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ind w:firstLine="0"/>
        <w:rPr>
          <w:rFonts w:eastAsia="黑体"/>
          <w:b/>
          <w:bCs/>
          <w:sz w:val="84"/>
        </w:rPr>
      </w:pPr>
      <w:r>
        <w:rPr>
          <w:rFonts w:eastAsia="黑体"/>
          <w:b/>
          <w:bCs/>
          <w:sz w:val="84"/>
        </w:rPr>
      </w:r>
      <w:r/>
    </w:p>
    <w:p>
      <w:pPr>
        <w:pStyle w:val="1000"/>
        <w:ind w:firstLine="0"/>
        <w:jc w:val="center"/>
        <w:rPr>
          <w:rFonts w:eastAsia="黑体"/>
          <w:b/>
          <w:bCs/>
          <w:sz w:val="84"/>
        </w:rPr>
      </w:pPr>
      <w:r>
        <w:rPr>
          <w:rFonts w:hint="eastAsia" w:eastAsia="黑体"/>
          <w:b/>
          <w:bCs/>
          <w:sz w:val="84"/>
        </w:rPr>
        <w:t xml:space="preserve">招　标　文　件</w:t>
      </w:r>
      <w:r/>
    </w:p>
    <w:p>
      <w:pPr>
        <w:pStyle w:val="1000"/>
        <w:ind w:firstLine="2249"/>
        <w:rPr>
          <w:b/>
          <w:bCs/>
          <w:sz w:val="32"/>
        </w:rPr>
      </w:pPr>
      <w:r>
        <w:rPr>
          <w:rFonts w:hint="eastAsia"/>
          <w:b/>
          <w:bCs/>
          <w:sz w:val="32"/>
        </w:rPr>
        <w:t xml:space="preserve">项目名称：常州市天宁区</w:t>
      </w:r>
      <w:r>
        <w:rPr>
          <w:rFonts w:hint="eastAsia"/>
          <w:b/>
          <w:bCs/>
          <w:sz w:val="32"/>
        </w:rPr>
        <w:t xml:space="preserve">2026-2028</w:t>
      </w:r>
      <w:r>
        <w:rPr>
          <w:rFonts w:hint="eastAsia"/>
          <w:b/>
          <w:bCs/>
          <w:sz w:val="32"/>
        </w:rPr>
        <w:t xml:space="preserve">年度道路设施养护管理综合保险服务</w:t>
      </w:r>
      <w:r/>
    </w:p>
    <w:p>
      <w:pPr>
        <w:ind w:left="2100" w:firstLine="161"/>
        <w:rPr>
          <w:b/>
          <w:color w:val="ff0000"/>
          <w:sz w:val="30"/>
          <w:szCs w:val="30"/>
        </w:rPr>
      </w:pPr>
      <w:r>
        <w:rPr>
          <w:rFonts w:hint="eastAsia"/>
          <w:b/>
          <w:bCs/>
          <w:color w:val="ff0000"/>
          <w:sz w:val="32"/>
        </w:rPr>
        <w:t xml:space="preserve">项目编号：</w:t>
      </w:r>
      <w:r>
        <w:rPr>
          <w:rFonts w:ascii="Arial" w:hAnsi="Arial" w:eastAsia="Arial" w:cs="Arial"/>
          <w:color w:val="000000"/>
        </w:rPr>
        <w:t xml:space="preserve">JSZC-320400-JZCG-G2026-0017</w:t>
      </w:r>
      <w:r>
        <w:rPr>
          <w:rFonts w:hint="eastAsia"/>
          <w:b/>
          <w:bCs/>
          <w:color w:val="ff0000"/>
          <w:sz w:val="32"/>
        </w:rPr>
      </w:r>
      <w:r/>
    </w:p>
    <w:p>
      <w:pPr>
        <w:ind w:left="2100"/>
        <w:rPr>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服务类项目，适用苏</w:t>
      </w:r>
      <w:r>
        <w:rPr>
          <w:rFonts w:hint="eastAsia"/>
          <w:b/>
          <w:color w:val="ff0000"/>
          <w:sz w:val="30"/>
          <w:szCs w:val="30"/>
        </w:rPr>
        <w:t xml:space="preserve">采云</w:t>
      </w:r>
      <w:r>
        <w:rPr>
          <w:rFonts w:hint="eastAsia"/>
          <w:b/>
          <w:color w:val="ff0000"/>
          <w:sz w:val="30"/>
          <w:szCs w:val="30"/>
        </w:rPr>
        <w:t xml:space="preserve">系统</w:t>
      </w:r>
      <w:r>
        <w:rPr>
          <w:b/>
          <w:color w:val="ff0000"/>
          <w:sz w:val="30"/>
          <w:szCs w:val="30"/>
        </w:rPr>
        <w:t xml:space="preserve">，</w:t>
      </w:r>
      <w:r>
        <w:rPr>
          <w:rFonts w:hint="eastAsia"/>
          <w:b/>
          <w:color w:val="ff0000"/>
          <w:sz w:val="30"/>
          <w:szCs w:val="30"/>
        </w:rPr>
        <w:t xml:space="preserve">非专门面向中小企业）</w:t>
      </w:r>
      <w:r/>
    </w:p>
    <w:p>
      <w:pPr>
        <w:pStyle w:val="1000"/>
        <w:ind w:firstLine="0"/>
        <w:spacing w:before="0" w:after="0"/>
        <w:rPr>
          <w:rFonts w:ascii="宋体" w:hAnsi="宋体"/>
        </w:rPr>
      </w:pPr>
      <w:r>
        <w:rPr>
          <w:rFonts w:ascii="宋体" w:hAnsi="宋体"/>
        </w:rPr>
      </w:r>
      <w:r/>
    </w:p>
    <w:p>
      <w:pPr>
        <w:pStyle w:val="1000"/>
        <w:ind w:firstLine="0"/>
        <w:spacing w:before="0" w:after="0"/>
        <w:rPr>
          <w:rFonts w:ascii="宋体" w:hAnsi="宋体"/>
        </w:rPr>
      </w:pPr>
      <w:r>
        <w:rPr>
          <w:rFonts w:ascii="宋体" w:hAnsi="宋体"/>
        </w:rPr>
      </w:r>
      <w:r/>
    </w:p>
    <w:p>
      <w:pPr>
        <w:pStyle w:val="1000"/>
        <w:ind w:firstLine="0"/>
        <w:spacing w:before="0" w:after="0"/>
        <w:rPr>
          <w:rFonts w:ascii="宋体" w:hAnsi="宋体"/>
        </w:rPr>
      </w:pPr>
      <w:r>
        <w:rPr>
          <w:rFonts w:ascii="宋体" w:hAnsi="宋体"/>
        </w:rPr>
      </w:r>
      <w:r/>
    </w:p>
    <w:p>
      <w:pPr>
        <w:pStyle w:val="1000"/>
        <w:ind w:firstLine="0"/>
        <w:spacing w:before="0" w:after="0"/>
        <w:rPr>
          <w:rFonts w:ascii="宋体" w:hAnsi="宋体"/>
        </w:rPr>
      </w:pPr>
      <w:r>
        <w:rPr>
          <w:rFonts w:ascii="宋体" w:hAnsi="宋体"/>
        </w:rPr>
      </w:r>
      <w:r/>
    </w:p>
    <w:p>
      <w:pPr>
        <w:pStyle w:val="1000"/>
        <w:ind w:firstLine="0"/>
        <w:spacing w:before="0" w:after="0"/>
        <w:rPr>
          <w:rFonts w:ascii="宋体" w:hAnsi="宋体"/>
        </w:rPr>
      </w:pPr>
      <w:r>
        <w:rPr>
          <w:rFonts w:ascii="宋体" w:hAnsi="宋体"/>
        </w:rPr>
      </w:r>
      <w:r/>
    </w:p>
    <w:p>
      <w:pPr>
        <w:pStyle w:val="1000"/>
        <w:ind w:firstLine="0"/>
        <w:spacing w:before="0" w:after="0"/>
        <w:rPr>
          <w:rFonts w:ascii="宋体" w:hAnsi="宋体"/>
        </w:rPr>
      </w:pPr>
      <w:r>
        <w:rPr>
          <w:rFonts w:ascii="宋体" w:hAnsi="宋体"/>
        </w:rPr>
      </w:r>
      <w:r/>
    </w:p>
    <w:p>
      <w:pPr>
        <w:pStyle w:val="1000"/>
        <w:ind w:firstLine="0"/>
        <w:spacing w:before="0" w:after="0"/>
        <w:rPr>
          <w:rFonts w:ascii="宋体" w:hAnsi="宋体"/>
        </w:rPr>
      </w:pPr>
      <w:r>
        <w:rPr>
          <w:rFonts w:ascii="宋体" w:hAnsi="宋体"/>
        </w:rPr>
      </w:r>
      <w:r/>
    </w:p>
    <w:p>
      <w:pPr>
        <w:pStyle w:val="1000"/>
        <w:ind w:firstLine="0"/>
        <w:jc w:val="center"/>
        <w:rPr>
          <w:b/>
          <w:bCs/>
          <w:sz w:val="32"/>
        </w:rPr>
      </w:pPr>
      <w:r>
        <w:rPr>
          <w:rFonts w:hint="eastAsia"/>
          <w:b/>
          <w:bCs/>
          <w:sz w:val="32"/>
        </w:rPr>
        <w:t xml:space="preserve">常州市政府采购中心</w:t>
      </w:r>
      <w:r/>
    </w:p>
    <w:p>
      <w:pPr>
        <w:pStyle w:val="1000"/>
        <w:ind w:firstLine="0"/>
        <w:jc w:val="center"/>
        <w:rPr>
          <w:b/>
          <w:bCs/>
          <w:sz w:val="32"/>
        </w:rPr>
      </w:pPr>
      <w:r>
        <w:rPr>
          <w:b/>
          <w:bCs/>
          <w:sz w:val="32"/>
        </w:rPr>
        <w:t xml:space="preserve">_202</w:t>
      </w:r>
      <w:r>
        <w:rPr>
          <w:rFonts w:hint="eastAsia"/>
          <w:b/>
          <w:bCs/>
          <w:sz w:val="32"/>
        </w:rPr>
        <w:t xml:space="preserve">6</w:t>
      </w:r>
      <w:r>
        <w:rPr>
          <w:b/>
          <w:bCs/>
          <w:sz w:val="32"/>
        </w:rPr>
        <w:t xml:space="preserve">___</w:t>
      </w:r>
      <w:r>
        <w:rPr>
          <w:rFonts w:hint="eastAsia"/>
          <w:b/>
          <w:bCs/>
          <w:sz w:val="32"/>
        </w:rPr>
        <w:t xml:space="preserve">年</w:t>
      </w:r>
      <w:r>
        <w:rPr>
          <w:b/>
          <w:bCs/>
          <w:sz w:val="32"/>
        </w:rPr>
        <w:t xml:space="preserve">_1__</w:t>
      </w:r>
      <w:r>
        <w:rPr>
          <w:rFonts w:hint="eastAsia"/>
          <w:b/>
          <w:bCs/>
          <w:sz w:val="32"/>
        </w:rPr>
        <w:t xml:space="preserve">月</w:t>
      </w:r>
      <w:r>
        <w:rPr>
          <w:b/>
          <w:bCs/>
          <w:sz w:val="32"/>
        </w:rPr>
        <w:t xml:space="preserve">_16__</w:t>
      </w:r>
      <w:r>
        <w:rPr>
          <w:rFonts w:hint="eastAsia"/>
          <w:b/>
          <w:bCs/>
          <w:sz w:val="32"/>
        </w:rPr>
        <w:t xml:space="preserve">日</w:t>
      </w:r>
      <w:r/>
    </w:p>
    <w:p>
      <w:pPr>
        <w:pStyle w:val="1000"/>
        <w:ind w:firstLine="0"/>
        <w:rPr>
          <w:u w:val="single"/>
        </w:rPr>
      </w:pPr>
      <w:r>
        <w:rPr>
          <w:rFonts w:hint="eastAsia"/>
        </w:rPr>
        <w:t xml:space="preserve">                        </w:t>
      </w:r>
      <w:r/>
    </w:p>
    <w:p>
      <w:pPr>
        <w:pStyle w:val="1000"/>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16938516"/>
      <w:r/>
      <w:bookmarkStart w:id="2" w:name="_Toc523127445"/>
      <w:r/>
      <w:bookmarkStart w:id="3" w:name="_Toc513029200"/>
      <w:r/>
      <w:bookmarkStart w:id="4" w:name="_Toc479757206"/>
      <w:r/>
      <w:bookmarkStart w:id="5" w:name="_Toc20823272"/>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11"/>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受[常州市天宁区住房和城乡建设局]的委托，常州市政府采购中心就[常州市天宁区2026-2028年度道路设施养护管理综合保险服务]([</w:t>
      </w:r>
      <w:r>
        <w:rPr>
          <w:rFonts w:ascii="Arial" w:hAnsi="Arial" w:eastAsia="Arial" w:cs="Arial"/>
          <w:color w:val="000000"/>
        </w:rPr>
        <w:t xml:space="preserve">JSZC-320400-JZCG-G2026-0017</w:t>
      </w:r>
      <w:r>
        <w:rPr>
          <w:rFonts w:hint="eastAsia" w:ascii="宋体" w:hAnsi="宋体"/>
          <w:sz w:val="24"/>
          <w:szCs w:val="24"/>
        </w:rPr>
      </w:r>
      <w:r>
        <w:rPr>
          <w:rFonts w:hint="eastAsia" w:ascii="宋体" w:hAnsi="宋体"/>
          <w:sz w:val="24"/>
          <w:szCs w:val="24"/>
        </w:rPr>
        <w:t xml:space="preserve">])项目进行公开招标采购，欢迎符合条件的供应商投标。</w:t>
      </w:r>
      <w:r/>
    </w:p>
    <w:p>
      <w:pPr>
        <w:pStyle w:val="914"/>
        <w:ind w:firstLine="498"/>
        <w:spacing w:before="156" w:after="156" w:line="360" w:lineRule="auto"/>
      </w:pPr>
      <w:r/>
      <w:bookmarkStart w:id="6" w:name="_Toc35393790"/>
      <w:r/>
      <w:bookmarkStart w:id="7" w:name="_Toc35393621"/>
      <w:r/>
      <w:bookmarkStart w:id="8" w:name="_Toc28359002"/>
      <w:r/>
      <w:bookmarkStart w:id="9" w:name="_Toc28359079"/>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w:t>
      </w:r>
      <w:r>
        <w:rPr>
          <w:rFonts w:ascii="Arial" w:hAnsi="Arial" w:eastAsia="Arial" w:cs="Arial"/>
          <w:color w:val="000000"/>
        </w:rPr>
        <w:t xml:space="preserve">JSZC-320400-JZCG-G2026-0017</w:t>
      </w:r>
      <w:r>
        <w:rPr>
          <w:rFonts w:hint="eastAsia" w:ascii="宋体" w:hAnsi="宋体"/>
          <w:sz w:val="24"/>
          <w:szCs w:val="24"/>
        </w:rPr>
      </w:r>
      <w:r/>
    </w:p>
    <w:p>
      <w:pPr>
        <w:ind w:left="479"/>
        <w:rPr>
          <w:rFonts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常州市天宁区2026-2028年度道路设施养护管理综合保险服务3.预算金额：人民币3000万元/3年</w:t>
      </w:r>
      <w:r/>
    </w:p>
    <w:p>
      <w:pPr>
        <w:ind w:firstLine="480"/>
        <w:rPr>
          <w:rFonts w:ascii="宋体" w:hAnsi="宋体"/>
          <w:sz w:val="24"/>
          <w:szCs w:val="24"/>
        </w:rPr>
      </w:pPr>
      <w:r>
        <w:rPr>
          <w:rFonts w:hint="eastAsia" w:ascii="宋体" w:hAnsi="宋体"/>
          <w:sz w:val="24"/>
          <w:szCs w:val="24"/>
        </w:rPr>
        <w:t xml:space="preserve">4.本项目设定最高限价为3000万元/3年。</w:t>
      </w:r>
      <w:r/>
    </w:p>
    <w:p>
      <w:pPr>
        <w:ind w:firstLine="480"/>
        <w:rPr>
          <w:rFonts w:ascii="宋体" w:hAnsi="宋体"/>
          <w:sz w:val="24"/>
          <w:szCs w:val="24"/>
          <w:u w:val="single"/>
        </w:rPr>
      </w:pPr>
      <w:r>
        <w:rPr>
          <w:rFonts w:hint="eastAsia" w:ascii="宋体" w:hAnsi="宋体"/>
          <w:sz w:val="24"/>
          <w:szCs w:val="24"/>
        </w:rPr>
        <w:t xml:space="preserve">5.采购需求（简介）：为充分运用市场化体制，提高财政资金使用效率，贯彻新“国十条”精神，优化现代城市体系，充分发挥保险费率杠杆的激励约束作用，强化事前风险防范，减少灾害事故发生，促进安全生产和突发事件应急管理，拟就天宁区城市道路、桥梁等市政设施采用“综合保险+”服务，发挥保险促进经济社会发展的作用和功能，促进政府职能转变，创新社会管理手段。（详细内容见本招标文件第四章） </w:t>
      </w:r>
      <w:r>
        <w:rPr>
          <w:rFonts w:hint="eastAsia" w:ascii="宋体" w:hAnsi="宋体" w:cs="宋体"/>
          <w:sz w:val="24"/>
          <w:szCs w:val="24"/>
        </w:rPr>
        <w:t xml:space="preserve">（详细内容见本招标文件第四章） </w:t>
      </w:r>
      <w:r/>
    </w:p>
    <w:p>
      <w:pPr>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highlight w:val="cyan"/>
        </w:rPr>
        <w:t xml:space="preserve">服务期三年，第一年期合同期限自合同签订生效之日起一年，</w:t>
      </w:r>
      <w:r>
        <w:rPr>
          <w:rFonts w:hint="eastAsia" w:ascii="宋体" w:hAnsi="宋体"/>
          <w:sz w:val="24"/>
          <w:szCs w:val="24"/>
        </w:rPr>
        <w:t xml:space="preserve">后续的保险合同一年一签；采购人在每年合同结束前对中标人该年度综合保险服务及赔付工作</w:t>
      </w:r>
      <w:r>
        <w:rPr>
          <w:rFonts w:hint="eastAsia" w:ascii="宋体" w:hAnsi="宋体"/>
          <w:sz w:val="24"/>
          <w:szCs w:val="24"/>
          <w:highlight w:val="cyan"/>
        </w:rPr>
        <w:t xml:space="preserve">进行</w:t>
      </w:r>
      <w:r>
        <w:rPr>
          <w:rFonts w:hint="eastAsia" w:ascii="宋体" w:hAnsi="宋体"/>
          <w:sz w:val="24"/>
          <w:szCs w:val="24"/>
        </w:rPr>
        <w:t xml:space="preserve">考核，考核合格的，可续签下一期合同（若因政策调整等客观情况需要重新进行招标的，采购人有权单方面终止合同）。</w:t>
      </w:r>
      <w:r/>
    </w:p>
    <w:p>
      <w:pPr>
        <w:pStyle w:val="914"/>
        <w:ind w:firstLine="498"/>
        <w:spacing w:before="156" w:after="156" w:line="360" w:lineRule="auto"/>
      </w:pPr>
      <w:r/>
      <w:bookmarkStart w:id="12" w:name="_Toc35393791"/>
      <w:r/>
      <w:bookmarkStart w:id="13" w:name="_Toc38985264"/>
      <w:r/>
      <w:bookmarkStart w:id="14" w:name="_Toc28359003"/>
      <w:r/>
      <w:bookmarkStart w:id="15" w:name="_Toc28359080"/>
      <w:r/>
      <w:bookmarkStart w:id="16" w:name="_Toc35393622"/>
      <w:r>
        <w:rPr>
          <w:rFonts w:hint="eastAsia"/>
        </w:rPr>
        <w:t xml:space="preserve">二、申请人的资格要求：</w:t>
      </w:r>
      <w:bookmarkEnd w:id="12"/>
      <w:r/>
      <w:bookmarkEnd w:id="13"/>
      <w:r/>
      <w:bookmarkEnd w:id="14"/>
      <w:r/>
      <w:bookmarkEnd w:id="15"/>
      <w:r/>
      <w:bookmarkEnd w:id="16"/>
      <w:r/>
      <w:r/>
    </w:p>
    <w:p>
      <w:pPr>
        <w:ind w:firstLine="482"/>
        <w:rPr>
          <w:rFonts w:ascii="宋体" w:hAnsi="宋体"/>
          <w:sz w:val="24"/>
          <w:szCs w:val="24"/>
        </w:rPr>
      </w:pPr>
      <w:r/>
      <w:bookmarkStart w:id="17" w:name="_Toc35393792"/>
      <w:r/>
      <w:bookmarkStart w:id="18" w:name="_Toc35393623"/>
      <w:r/>
      <w:bookmarkStart w:id="19" w:name="_Toc38985265"/>
      <w:r/>
      <w:bookmarkStart w:id="20" w:name="_Toc28359004"/>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2"/>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2"/>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rPr>
          <w:rFonts w:ascii="宋体" w:hAnsi="宋体" w:cs="宋体"/>
          <w:sz w:val="24"/>
          <w:szCs w:val="24"/>
        </w:rPr>
      </w:pPr>
      <w:r>
        <w:rPr>
          <w:rFonts w:hint="eastAsia" w:ascii="宋体" w:hAnsi="宋体"/>
          <w:sz w:val="24"/>
          <w:szCs w:val="24"/>
        </w:rPr>
        <w:t xml:space="preserve">3.落实政府采购政策需满足的资格要求：无</w:t>
      </w:r>
      <w:r/>
    </w:p>
    <w:p>
      <w:pPr>
        <w:ind w:firstLine="482"/>
        <w:rPr>
          <w:rFonts w:ascii="宋体" w:hAnsi="宋体" w:cs="宋体"/>
          <w:sz w:val="24"/>
          <w:szCs w:val="24"/>
        </w:rPr>
      </w:pPr>
      <w:r>
        <w:rPr>
          <w:rFonts w:hint="eastAsia" w:ascii="宋体" w:hAnsi="宋体"/>
          <w:sz w:val="24"/>
          <w:szCs w:val="24"/>
        </w:rPr>
        <w:t xml:space="preserve">4.本项目接受联合体投标，联合体中所有成员数量不得超过2名。</w:t>
      </w:r>
      <w:r/>
    </w:p>
    <w:p>
      <w:pPr>
        <w:ind w:firstLine="482"/>
        <w:rPr>
          <w:rFonts w:ascii="宋体" w:hAnsi="宋体"/>
          <w:sz w:val="24"/>
          <w:szCs w:val="24"/>
        </w:rPr>
      </w:pPr>
      <w:r>
        <w:rPr>
          <w:rFonts w:hint="eastAsia" w:ascii="宋体" w:hAnsi="宋体"/>
          <w:sz w:val="24"/>
          <w:szCs w:val="24"/>
        </w:rPr>
        <w:t xml:space="preserve">（二）本项目的特定资格要求</w:t>
      </w:r>
      <w:r/>
    </w:p>
    <w:p>
      <w:pPr>
        <w:ind w:firstLine="482"/>
        <w:rPr>
          <w:rFonts w:ascii="宋体" w:hAnsi="宋体"/>
          <w:sz w:val="24"/>
          <w:szCs w:val="24"/>
        </w:rPr>
      </w:pPr>
      <w:r>
        <w:rPr>
          <w:rFonts w:hint="eastAsia" w:ascii="宋体" w:hAnsi="宋体"/>
          <w:sz w:val="24"/>
          <w:szCs w:val="24"/>
        </w:rPr>
        <w:t xml:space="preserve">1.投标人具备中国银保监会颁发的有效期内的保险许可证证书。</w:t>
      </w:r>
      <w:r/>
    </w:p>
    <w:p>
      <w:pPr>
        <w:ind w:firstLine="482"/>
        <w:rPr>
          <w:rFonts w:ascii="宋体" w:hAnsi="宋体"/>
          <w:sz w:val="24"/>
          <w:szCs w:val="24"/>
        </w:rPr>
      </w:pPr>
      <w:r>
        <w:rPr>
          <w:rFonts w:hint="eastAsia" w:ascii="宋体" w:hAnsi="宋体"/>
          <w:sz w:val="24"/>
          <w:szCs w:val="24"/>
        </w:rPr>
        <w:t xml:space="preserve">2.投标人如为分支机构参与本项目投标响应，须提供总公司的有效授权证明。</w:t>
      </w:r>
      <w:r/>
    </w:p>
    <w:p>
      <w:pPr>
        <w:ind w:firstLine="482"/>
        <w:rPr>
          <w:rFonts w:ascii="宋体" w:hAnsi="宋体"/>
          <w:sz w:val="24"/>
          <w:szCs w:val="24"/>
        </w:rPr>
      </w:pPr>
      <w:r>
        <w:rPr>
          <w:rFonts w:hint="eastAsia" w:ascii="宋体" w:hAnsi="宋体"/>
          <w:sz w:val="24"/>
          <w:szCs w:val="24"/>
        </w:rPr>
        <w:t xml:space="preserve">3.投标人如为联合体投标，则联合体所有成员均应具备上述（1和2项）特定资格要求。</w:t>
      </w:r>
      <w:r/>
    </w:p>
    <w:p>
      <w:pPr>
        <w:pStyle w:val="914"/>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38985266"/>
      <w:r/>
      <w:bookmarkStart w:id="23" w:name="_Toc28359082"/>
      <w:r/>
      <w:bookmarkStart w:id="24" w:name="_Toc28359005"/>
      <w:r/>
      <w:bookmarkStart w:id="25" w:name="_Toc35393624"/>
      <w:r/>
      <w:bookmarkStart w:id="26"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p>
    <w:p>
      <w:pPr>
        <w:pStyle w:val="914"/>
        <w:ind w:firstLine="498"/>
        <w:spacing w:before="156" w:after="156" w:line="360" w:lineRule="auto"/>
      </w:pPr>
      <w:r/>
      <w:bookmarkStart w:id="27" w:name="_Toc28359084"/>
      <w:r/>
      <w:bookmarkStart w:id="28" w:name="_Toc35393625"/>
      <w:r/>
      <w:bookmarkStart w:id="29" w:name="_Toc28359007"/>
      <w:r/>
      <w:bookmarkStart w:id="30" w:name="_Toc35393794"/>
      <w:r/>
      <w:bookmarkStart w:id="31" w:name="_Toc38985267"/>
      <w:r/>
      <w:bookmarkEnd w:id="22"/>
      <w:r/>
      <w:bookmarkEnd w:id="23"/>
      <w:r/>
      <w:bookmarkEnd w:id="24"/>
      <w:r/>
      <w:bookmarkEnd w:id="25"/>
      <w:r/>
      <w:bookmarkEnd w:id="26"/>
      <w:r>
        <w:rPr>
          <w:rFonts w:hint="eastAsia"/>
        </w:rPr>
        <w:t xml:space="preserve">四、投标文件提交</w:t>
      </w:r>
      <w:r/>
    </w:p>
    <w:p>
      <w:pPr>
        <w:ind w:firstLine="540"/>
        <w:spacing w:line="360" w:lineRule="auto"/>
        <w:rPr>
          <w:rFonts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rPr>
      </w:pPr>
      <w:r>
        <w:rPr>
          <w:rFonts w:hint="eastAsia" w:ascii="宋体" w:hAnsi="宋体" w:cs="宋体"/>
          <w:sz w:val="24"/>
          <w:szCs w:val="24"/>
        </w:rPr>
        <w:t xml:space="preserve">2.地点：苏</w:t>
      </w:r>
      <w:r>
        <w:rPr>
          <w:rFonts w:hint="eastAsia" w:ascii="宋体" w:hAnsi="宋体" w:cs="宋体"/>
          <w:sz w:val="24"/>
          <w:szCs w:val="24"/>
        </w:rPr>
        <w:t xml:space="preserve">采云</w:t>
      </w:r>
      <w:r>
        <w:rPr>
          <w:rFonts w:hint="eastAsia" w:ascii="宋体" w:hAnsi="宋体" w:cs="宋体"/>
          <w:sz w:val="24"/>
          <w:szCs w:val="24"/>
        </w:rPr>
        <w:t xml:space="preserve">政府采购一体化平台</w:t>
      </w:r>
      <w:r/>
    </w:p>
    <w:p>
      <w:pPr>
        <w:pStyle w:val="914"/>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p>
    <w:p>
      <w:pPr>
        <w:pStyle w:val="914"/>
        <w:ind w:firstLine="498"/>
        <w:spacing w:before="156" w:after="156" w:line="360" w:lineRule="auto"/>
      </w:pPr>
      <w:r>
        <w:rPr>
          <w:rFonts w:hint="eastAsia"/>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pStyle w:val="914"/>
        <w:ind w:firstLine="498"/>
        <w:spacing w:before="156" w:after="156" w:line="360" w:lineRule="auto"/>
      </w:pPr>
      <w:r/>
      <w:bookmarkStart w:id="35" w:name="_Toc35393796"/>
      <w:r/>
      <w:bookmarkStart w:id="36" w:name="_Toc28359085"/>
      <w:r/>
      <w:bookmarkStart w:id="37" w:name="_Toc35393627"/>
      <w:r/>
      <w:bookmarkStart w:id="38" w:name="_Toc28359008"/>
      <w:r/>
      <w:bookmarkStart w:id="39" w:name="_Toc38985269"/>
      <w:r>
        <w:rPr>
          <w:rFonts w:hint="eastAsia"/>
        </w:rPr>
        <w:t xml:space="preserve">七、本次招标联系方式</w:t>
      </w:r>
      <w:bookmarkEnd w:id="35"/>
      <w:r/>
      <w:bookmarkEnd w:id="36"/>
      <w:r/>
      <w:bookmarkEnd w:id="37"/>
      <w:r/>
      <w:bookmarkEnd w:id="38"/>
      <w:r/>
      <w:bookmarkEnd w:id="39"/>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常州市天宁区住房和城乡建设局 </w: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江苏省常州市天宁区竹林北路256号天</w:t>
      </w:r>
      <w:r>
        <w:rPr>
          <w:rFonts w:hint="eastAsia" w:ascii="宋体" w:hAnsi="宋体"/>
          <w:sz w:val="24"/>
          <w:szCs w:val="24"/>
          <w:u w:val="single"/>
        </w:rPr>
        <w:t xml:space="preserve">宁科技</w:t>
      </w:r>
      <w:r>
        <w:rPr>
          <w:rFonts w:hint="eastAsia" w:ascii="宋体" w:hAnsi="宋体"/>
          <w:sz w:val="24"/>
          <w:szCs w:val="24"/>
          <w:u w:val="single"/>
        </w:rPr>
        <w:t xml:space="preserve">促进中心14楼</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聂先生         </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0519-69660861</w:t>
      </w:r>
      <w:r>
        <w:rPr>
          <w:rFonts w:hint="eastAsia" w:ascii="宋体" w:hAnsi="宋体"/>
          <w:sz w:val="24"/>
          <w:szCs w:val="24"/>
          <w:u w:val="single"/>
        </w:rPr>
        <w:t xml:space="preserve">　　　　　</w:t>
      </w:r>
      <w:bookmarkStart w:id="40" w:name="_Toc28359086"/>
      <w:r/>
      <w:bookmarkStart w:id="41" w:name="_Toc28359009"/>
      <w:r/>
      <w:r/>
    </w:p>
    <w:p>
      <w:pPr>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
    </w:p>
    <w:p>
      <w:pPr>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w:t>
      </w:r>
      <w:r>
        <w:rPr>
          <w:rFonts w:ascii="宋体" w:hAnsi="宋体"/>
          <w:sz w:val="24"/>
          <w:szCs w:val="24"/>
        </w:rPr>
        <w:t xml:space="preserve">________</w:t>
      </w:r>
      <w:r>
        <w:rPr>
          <w:rFonts w:hint="eastAsia" w:ascii="宋体" w:hAnsi="宋体"/>
          <w:sz w:val="24"/>
          <w:szCs w:val="24"/>
        </w:rPr>
        <w:t xml:space="preserve">郭女士</w:t>
      </w:r>
      <w:r>
        <w:rPr>
          <w:rFonts w:ascii="宋体" w:hAnsi="宋体"/>
          <w:sz w:val="24"/>
          <w:szCs w:val="24"/>
        </w:rPr>
        <w:t xml:space="preserve">____</w:t>
      </w:r>
      <w:r>
        <w:rPr>
          <w:rFonts w:hint="eastAsia" w:ascii="宋体" w:hAnsi="宋体"/>
          <w:sz w:val="24"/>
          <w:szCs w:val="24"/>
        </w:rPr>
        <w:t xml:space="preserve">                </w:t>
      </w:r>
      <w:r/>
    </w:p>
    <w:p>
      <w:pPr>
        <w:ind w:firstLine="720"/>
        <w:spacing w:line="360" w:lineRule="auto"/>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0519-85588150</w:t>
      </w:r>
      <w:r>
        <w:rPr>
          <w:rFonts w:ascii="宋体" w:hAnsi="宋体"/>
          <w:sz w:val="24"/>
          <w:szCs w:val="24"/>
        </w:rPr>
        <w:t xml:space="preserve">_________</w:t>
      </w:r>
      <w:r/>
    </w:p>
    <w:p>
      <w:pPr>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_____</w:t>
      </w:r>
      <w:r>
        <w:rPr>
          <w:rFonts w:hint="eastAsia" w:ascii="宋体" w:hAnsi="宋体"/>
          <w:sz w:val="24"/>
          <w:szCs w:val="24"/>
        </w:rPr>
        <w:t xml:space="preserve">杭先生</w:t>
      </w:r>
      <w:r>
        <w:rPr>
          <w:rFonts w:ascii="宋体" w:hAnsi="宋体"/>
          <w:sz w:val="24"/>
          <w:szCs w:val="24"/>
        </w:rPr>
        <w:t xml:space="preserve">_______</w:t>
      </w:r>
      <w:r>
        <w:rPr>
          <w:rFonts w:hint="eastAsia" w:ascii="宋体" w:hAnsi="宋体"/>
          <w:sz w:val="24"/>
          <w:szCs w:val="24"/>
        </w:rPr>
        <w:t xml:space="preserve">             </w:t>
      </w:r>
      <w:r/>
    </w:p>
    <w:p>
      <w:pPr>
        <w:ind w:firstLine="720"/>
        <w:spacing w:line="360" w:lineRule="auto"/>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0519-85588156</w:t>
      </w:r>
      <w:r>
        <w:rPr>
          <w:rFonts w:ascii="宋体" w:hAnsi="宋体"/>
          <w:sz w:val="24"/>
          <w:szCs w:val="24"/>
        </w:rPr>
        <w:t xml:space="preserve">________</w:t>
      </w:r>
      <w:r/>
    </w:p>
    <w:p>
      <w:pPr>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p>
    <w:p>
      <w:pPr>
        <w:ind w:firstLine="720"/>
        <w:spacing w:line="360" w:lineRule="auto"/>
        <w:rPr>
          <w:rFonts w:ascii="宋体" w:hAnsi="宋体"/>
          <w:sz w:val="24"/>
          <w:szCs w:val="24"/>
        </w:rPr>
      </w:pPr>
      <w:r>
        <w:rPr>
          <w:rFonts w:ascii="宋体" w:hAnsi="宋体"/>
          <w:sz w:val="24"/>
          <w:szCs w:val="24"/>
        </w:rPr>
      </w:r>
      <w:bookmarkEnd w:id="42"/>
      <w:bookmarkEnd w:id="43"/>
      <w:r/>
    </w:p>
    <w:p>
      <w:pPr>
        <w:pStyle w:val="914"/>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w:t>
      </w:r>
      <w:r>
        <w:rPr>
          <w:rFonts w:hint="eastAsia" w:ascii="宋体" w:hAnsi="宋体"/>
          <w:bCs/>
          <w:color w:val="ff0000"/>
          <w:sz w:val="24"/>
          <w:szCs w:val="24"/>
        </w:rPr>
        <w:t xml:space="preserve">苏财购〔2023〕</w:t>
      </w:r>
      <w:r>
        <w:rPr>
          <w:rFonts w:hint="eastAsia" w:ascii="宋体" w:hAnsi="宋体"/>
          <w:bCs/>
          <w:color w:val="ff0000"/>
          <w:sz w:val="24"/>
          <w:szCs w:val="24"/>
        </w:rPr>
        <w:t xml:space="preserve">101号），</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”政府采购交易系统（以下简称苏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w:t>
      </w:r>
      <w:r>
        <w:rPr>
          <w:rFonts w:hint="eastAsia" w:ascii="宋体" w:hAnsi="宋体"/>
          <w:bCs/>
          <w:color w:val="ff0000"/>
          <w:sz w:val="24"/>
          <w:szCs w:val="24"/>
        </w:rPr>
        <w:t xml:space="preserve">采云</w:t>
      </w:r>
      <w:r>
        <w:rPr>
          <w:rFonts w:hint="eastAsia" w:ascii="宋体" w:hAnsi="宋体"/>
          <w:bCs/>
          <w:color w:val="ff0000"/>
          <w:sz w:val="24"/>
          <w:szCs w:val="24"/>
        </w:rPr>
        <w:t xml:space="preserve">系统供应商操作手册》（以下简称《操作手册》））、进行注册并按《操作手册》要求制作、上传电子投标文件。</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br w:type="page" w:clear="all"/>
      </w:r>
      <w:r/>
    </w:p>
    <w:p>
      <w:pPr>
        <w:pStyle w:val="912"/>
        <w:ind w:firstLine="2429"/>
        <w:jc w:val="both"/>
        <w:rPr>
          <w:rFonts w:ascii="黑体" w:eastAsia="黑体"/>
          <w:b w:val="0"/>
          <w:bCs w:val="0"/>
        </w:rPr>
      </w:pPr>
      <w:r/>
      <w:bookmarkStart w:id="44" w:name="_Toc120614211"/>
      <w:r>
        <w:rPr>
          <w:rFonts w:hint="eastAsia" w:ascii="黑体" w:eastAsia="黑体"/>
        </w:rPr>
        <w:t xml:space="preserve">第二章  </w:t>
      </w:r>
      <w:bookmarkStart w:id="45" w:name="_Toc513029202"/>
      <w:r/>
      <w:bookmarkStart w:id="46" w:name="_Toc20823274"/>
      <w:r/>
      <w:bookmarkStart w:id="47" w:name="_Toc120614213"/>
      <w:r/>
      <w:bookmarkStart w:id="48" w:name="_Toc16938518"/>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914"/>
        <w:ind w:firstLine="498"/>
        <w:spacing w:before="156" w:after="156" w:line="360" w:lineRule="auto"/>
      </w:pPr>
      <w:r/>
      <w:bookmarkStart w:id="49" w:name="_Toc513029203"/>
      <w:r/>
      <w:bookmarkStart w:id="50" w:name="_Toc20823275"/>
      <w:r/>
      <w:bookmarkStart w:id="51" w:name="_Toc120614214"/>
      <w:r/>
      <w:bookmarkStart w:id="52" w:name="_Toc16938519"/>
      <w:r>
        <w:rPr>
          <w:rFonts w:hint="eastAsia"/>
        </w:rPr>
        <w:t xml:space="preserve">一、总则</w:t>
      </w:r>
      <w:bookmarkEnd w:id="49"/>
      <w:r/>
      <w:bookmarkEnd w:id="50"/>
      <w:r/>
      <w:bookmarkEnd w:id="51"/>
      <w:r/>
      <w:bookmarkEnd w:id="52"/>
      <w:r/>
      <w:r/>
    </w:p>
    <w:p>
      <w:pPr>
        <w:pStyle w:val="915"/>
        <w:ind w:firstLine="420"/>
        <w:spacing w:before="0" w:after="0" w:line="240" w:lineRule="auto"/>
        <w:rPr>
          <w:b w:val="0"/>
          <w:bCs w:val="0"/>
        </w:rPr>
      </w:pPr>
      <w:r/>
      <w:bookmarkStart w:id="53" w:name="_Hlt16619475"/>
      <w:r/>
      <w:bookmarkStart w:id="54" w:name="_Toc458694821"/>
      <w:r/>
      <w:bookmarkStart w:id="55" w:name="_Toc513029204"/>
      <w:r/>
      <w:bookmarkStart w:id="56" w:name="_Toc16938520"/>
      <w:r/>
      <w:bookmarkStart w:id="57" w:name="_Toc20823276"/>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915"/>
        <w:ind w:firstLine="420"/>
        <w:spacing w:before="0" w:after="0" w:line="240" w:lineRule="auto"/>
        <w:rPr>
          <w:b w:val="0"/>
          <w:bCs w:val="0"/>
        </w:rPr>
      </w:pPr>
      <w:r/>
      <w:bookmarkStart w:id="58" w:name="_Toc20823277"/>
      <w:r/>
      <w:bookmarkStart w:id="59" w:name="_Toc16938521"/>
      <w:r/>
      <w:bookmarkStart w:id="60" w:name="_Toc513029205"/>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915"/>
        <w:ind w:firstLine="420"/>
        <w:spacing w:before="0" w:after="0" w:line="240" w:lineRule="auto"/>
        <w:rPr>
          <w:b w:val="0"/>
          <w:bCs w:val="0"/>
        </w:rPr>
      </w:pPr>
      <w:r/>
      <w:bookmarkStart w:id="61" w:name="_Toc513029206"/>
      <w:r/>
      <w:bookmarkStart w:id="62" w:name="_Toc16938522"/>
      <w:r/>
      <w:bookmarkStart w:id="63" w:name="_Toc20823278"/>
      <w:r>
        <w:rPr>
          <w:rFonts w:hint="eastAsia"/>
          <w:b w:val="0"/>
          <w:bCs w:val="0"/>
        </w:rPr>
        <w:t xml:space="preserve">3</w:t>
      </w:r>
      <w:r>
        <w:rPr>
          <w:rFonts w:hint="eastAsia"/>
          <w:b w:val="0"/>
          <w:bCs w:val="0"/>
        </w:rPr>
        <w:t xml:space="preserve">、适用法律</w:t>
      </w:r>
      <w:bookmarkEnd w:id="61"/>
      <w:r/>
      <w:bookmarkEnd w:id="62"/>
      <w:r/>
      <w:bookmarkEnd w:id="63"/>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15"/>
        <w:ind w:firstLine="420"/>
        <w:spacing w:before="0" w:after="0" w:line="240" w:lineRule="auto"/>
        <w:rPr>
          <w:b w:val="0"/>
          <w:bCs w:val="0"/>
        </w:rPr>
      </w:pPr>
      <w:r/>
      <w:bookmarkStart w:id="64" w:name="_Toc513029207"/>
      <w:r/>
      <w:bookmarkStart w:id="65" w:name="_Toc20823279"/>
      <w:r/>
      <w:bookmarkStart w:id="66" w:name="_Toc462564067"/>
      <w:r/>
      <w:bookmarkStart w:id="67" w:name="_Toc16938523"/>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915"/>
        <w:ind w:firstLine="602"/>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4"/>
        <w:ind w:firstLine="321"/>
        <w:spacing w:before="156" w:after="156" w:line="360" w:lineRule="auto"/>
      </w:pPr>
      <w:r/>
      <w:bookmarkStart w:id="68" w:name="_Toc20823281"/>
      <w:r/>
      <w:bookmarkStart w:id="69" w:name="_Toc513029209"/>
      <w:r/>
      <w:bookmarkStart w:id="70" w:name="_Toc16938525"/>
      <w:r/>
      <w:bookmarkStart w:id="71" w:name="_Toc120614215"/>
      <w:r>
        <w:rPr>
          <w:rFonts w:hint="eastAsia"/>
        </w:rPr>
        <w:t xml:space="preserve">二、招标文件</w:t>
      </w:r>
      <w:bookmarkEnd w:id="68"/>
      <w:r/>
      <w:bookmarkEnd w:id="69"/>
      <w:r/>
      <w:bookmarkEnd w:id="70"/>
      <w:r/>
      <w:bookmarkEnd w:id="71"/>
      <w:r/>
      <w:r/>
    </w:p>
    <w:p>
      <w:pPr>
        <w:pStyle w:val="915"/>
        <w:ind w:firstLine="420"/>
        <w:spacing w:before="0" w:after="0" w:line="240" w:lineRule="auto"/>
        <w:rPr>
          <w:b w:val="0"/>
          <w:bCs w:val="0"/>
        </w:rPr>
      </w:pPr>
      <w:r/>
      <w:bookmarkStart w:id="72" w:name="_Toc513029210"/>
      <w:r/>
      <w:bookmarkStart w:id="73" w:name="_Toc16938526"/>
      <w:r/>
      <w:bookmarkStart w:id="74" w:name="_Toc20823282"/>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915"/>
        <w:ind w:firstLine="560"/>
        <w:spacing w:before="0" w:after="0" w:line="240" w:lineRule="auto"/>
        <w:rPr>
          <w:b w:val="0"/>
          <w:bCs w:val="0"/>
        </w:rPr>
      </w:pPr>
      <w:r/>
      <w:bookmarkStart w:id="75" w:name="_Toc20823283"/>
      <w:r/>
      <w:bookmarkStart w:id="76" w:name="_Toc462564070"/>
      <w:r/>
      <w:bookmarkStart w:id="77" w:name="_Toc513029211"/>
      <w:r/>
      <w:bookmarkStart w:id="78" w:name="_Toc16938527"/>
      <w:r>
        <w:rPr>
          <w:rFonts w:hint="eastAsia"/>
          <w:b w:val="0"/>
          <w:bCs w:val="0"/>
        </w:rPr>
        <w:t xml:space="preserve">7</w:t>
      </w:r>
      <w:r>
        <w:rPr>
          <w:rFonts w:hint="eastAsia"/>
          <w:b w:val="0"/>
          <w:bCs w:val="0"/>
        </w:rPr>
        <w:t xml:space="preserve">、招标文件的澄清</w:t>
      </w:r>
      <w:bookmarkEnd w:id="75"/>
      <w:r/>
      <w:bookmarkEnd w:id="76"/>
      <w:r/>
      <w:bookmarkEnd w:id="77"/>
      <w:r/>
      <w:bookmarkEnd w:id="78"/>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915"/>
        <w:ind w:firstLine="560"/>
        <w:spacing w:before="0" w:after="0" w:line="240" w:lineRule="auto"/>
        <w:rPr>
          <w:b w:val="0"/>
          <w:bCs w:val="0"/>
        </w:rPr>
      </w:pPr>
      <w:r/>
      <w:bookmarkStart w:id="79" w:name="_Toc513029212"/>
      <w:r/>
      <w:bookmarkStart w:id="80" w:name="_Toc462564071"/>
      <w:r/>
      <w:bookmarkStart w:id="81" w:name="_Toc20823284"/>
      <w:r/>
      <w:bookmarkStart w:id="82" w:name="_Toc16938528"/>
      <w:r>
        <w:rPr>
          <w:rFonts w:hint="eastAsia"/>
          <w:b w:val="0"/>
          <w:bCs w:val="0"/>
        </w:rPr>
        <w:t xml:space="preserve">8</w:t>
      </w:r>
      <w:r>
        <w:rPr>
          <w:rFonts w:hint="eastAsia"/>
          <w:b w:val="0"/>
          <w:bCs w:val="0"/>
        </w:rPr>
        <w:t xml:space="preserve">、招标文件的修改</w:t>
      </w:r>
      <w:bookmarkEnd w:id="79"/>
      <w:r/>
      <w:bookmarkEnd w:id="80"/>
      <w:r/>
      <w:bookmarkEnd w:id="81"/>
      <w:r/>
      <w:bookmarkEnd w:id="82"/>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4"/>
        <w:ind w:firstLine="482"/>
        <w:spacing w:before="156" w:after="156" w:line="360" w:lineRule="auto"/>
      </w:pPr>
      <w:r/>
      <w:bookmarkStart w:id="83" w:name="_Toc16938529"/>
      <w:r/>
      <w:bookmarkStart w:id="84" w:name="_Toc513029213"/>
      <w:r/>
      <w:bookmarkStart w:id="85" w:name="_Toc120614216"/>
      <w:r/>
      <w:bookmarkStart w:id="86" w:name="_Toc20823285"/>
      <w:r/>
      <w:bookmarkStart w:id="87" w:name="_Toc462564072"/>
      <w:r>
        <w:rPr>
          <w:rFonts w:hint="eastAsia"/>
        </w:rPr>
        <w:t xml:space="preserve">三、投标文件的编制</w:t>
      </w:r>
      <w:bookmarkEnd w:id="83"/>
      <w:r/>
      <w:bookmarkEnd w:id="84"/>
      <w:r/>
      <w:bookmarkEnd w:id="85"/>
      <w:r/>
      <w:bookmarkEnd w:id="86"/>
      <w:r/>
      <w:bookmarkEnd w:id="87"/>
      <w:r/>
      <w:r/>
    </w:p>
    <w:p>
      <w:pPr>
        <w:pStyle w:val="915"/>
        <w:ind w:firstLine="560"/>
        <w:spacing w:before="0" w:after="0" w:line="240" w:lineRule="auto"/>
        <w:rPr>
          <w:bCs w:val="0"/>
        </w:rPr>
      </w:pPr>
      <w:r/>
      <w:bookmarkStart w:id="88" w:name="_Toc16938530"/>
      <w:r/>
      <w:bookmarkStart w:id="89" w:name="_Toc462564073"/>
      <w:r/>
      <w:bookmarkStart w:id="90" w:name="_Toc513029214"/>
      <w:r/>
      <w:bookmarkStart w:id="91" w:name="_Toc20823286"/>
      <w:r>
        <w:rPr>
          <w:rFonts w:hint="eastAsia"/>
          <w:b w:val="0"/>
          <w:bCs w:val="0"/>
        </w:rPr>
        <w:t xml:space="preserve">9</w:t>
      </w:r>
      <w:r>
        <w:rPr>
          <w:rFonts w:hint="eastAsia"/>
          <w:b w:val="0"/>
          <w:bCs w:val="0"/>
        </w:rPr>
        <w:t xml:space="preserve">、投标文件的语言及度量衡单位</w:t>
      </w:r>
      <w:bookmarkEnd w:id="88"/>
      <w:r/>
      <w:bookmarkEnd w:id="89"/>
      <w:r/>
      <w:bookmarkEnd w:id="90"/>
      <w:r/>
      <w:bookmarkEnd w:id="91"/>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5"/>
        <w:ind w:firstLine="420"/>
        <w:spacing w:before="0" w:after="0" w:line="240" w:lineRule="auto"/>
        <w:rPr>
          <w:b w:val="0"/>
          <w:bCs w:val="0"/>
        </w:rPr>
      </w:pPr>
      <w:r/>
      <w:bookmarkStart w:id="92" w:name="_Toc513029215"/>
      <w:r/>
      <w:bookmarkStart w:id="93" w:name="_Toc16938531"/>
      <w:r/>
      <w:bookmarkStart w:id="94" w:name="_Toc20823287"/>
      <w:r/>
      <w:bookmarkStart w:id="95" w:name="_Toc462564074"/>
      <w:r>
        <w:rPr>
          <w:rFonts w:hint="eastAsia"/>
          <w:b w:val="0"/>
          <w:bCs w:val="0"/>
        </w:rPr>
        <w:t xml:space="preserve">10</w:t>
      </w:r>
      <w:r>
        <w:rPr>
          <w:rFonts w:hint="eastAsia"/>
          <w:b w:val="0"/>
          <w:bCs w:val="0"/>
        </w:rPr>
        <w:t xml:space="preserve">、投标文件构成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w:t>
      </w:r>
      <w:r>
        <w:rPr>
          <w:rFonts w:hint="eastAsia" w:ascii="宋体" w:hAnsi="宋体"/>
          <w:sz w:val="24"/>
          <w:szCs w:val="24"/>
        </w:rPr>
        <w:t xml:space="preserve">采购网”</w:t>
      </w:r>
      <w:r>
        <w:rPr>
          <w:rFonts w:hint="eastAsia" w:ascii="宋体" w:hAnsi="宋体"/>
          <w:sz w:val="24"/>
        </w:rPr>
        <w:t xml:space="preserve">发布的招标文件为准。</w:t>
      </w:r>
      <w:r/>
    </w:p>
    <w:p>
      <w:pPr>
        <w:pStyle w:val="915"/>
        <w:ind w:firstLine="420"/>
        <w:spacing w:before="0" w:after="0" w:line="240" w:lineRule="auto"/>
        <w:rPr>
          <w:b w:val="0"/>
          <w:bCs w:val="0"/>
        </w:rPr>
      </w:pPr>
      <w:r/>
      <w:bookmarkStart w:id="96" w:name="_Hlt26954838"/>
      <w:r/>
      <w:bookmarkStart w:id="97" w:name="_Hlt26668975"/>
      <w:r/>
      <w:bookmarkStart w:id="98" w:name="_Hlt26670360"/>
      <w:r/>
      <w:bookmarkStart w:id="99" w:name="_Toc513029219"/>
      <w:r/>
      <w:bookmarkStart w:id="100" w:name="_Toc14577357"/>
      <w:r/>
      <w:bookmarkStart w:id="101" w:name="_Toc49090509"/>
      <w:r/>
      <w:bookmarkStart w:id="102" w:name="_Toc513029216"/>
      <w:r/>
      <w:bookmarkStart w:id="103" w:name="_Toc14577354"/>
      <w:r/>
      <w:bookmarkStart w:id="104" w:name="_Toc49090507"/>
      <w:r/>
      <w:bookmarkEnd w:id="96"/>
      <w:r/>
      <w:bookmarkEnd w:id="97"/>
      <w:r/>
      <w:bookmarkEnd w:id="98"/>
      <w:r>
        <w:rPr>
          <w:rFonts w:hint="eastAsia"/>
          <w:b w:val="0"/>
          <w:bCs w:val="0"/>
        </w:rPr>
        <w:t xml:space="preserve">11</w:t>
      </w:r>
      <w:r>
        <w:rPr>
          <w:rFonts w:hint="eastAsia"/>
          <w:b w:val="0"/>
          <w:bCs w:val="0"/>
        </w:rPr>
        <w:t xml:space="preserve">、证明投标人及投标标的符合招标文件规定的文件</w:t>
      </w:r>
      <w:bookmarkEnd w:id="99"/>
      <w:r/>
      <w:bookmarkEnd w:id="100"/>
      <w:r/>
      <w:bookmarkEnd w:id="101"/>
      <w:r/>
      <w:r/>
    </w:p>
    <w:p>
      <w:pPr>
        <w:spacing w:line="480" w:lineRule="exact"/>
        <w:rPr>
          <w:rFonts w:ascii="宋体" w:hAnsi="宋体"/>
          <w:sz w:val="24"/>
          <w:szCs w:val="24"/>
        </w:rPr>
      </w:pPr>
      <w:r/>
      <w:bookmarkStart w:id="105" w:name="_Toc14577355"/>
      <w:r/>
      <w:bookmarkStart w:id="106" w:name="_Toc49090508"/>
      <w:r/>
      <w:bookmarkEnd w:id="102"/>
      <w:r/>
      <w:bookmarkEnd w:id="103"/>
      <w:r/>
      <w:bookmarkEnd w:id="104"/>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5"/>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7" w:name="_Hlt26670373"/>
      <w:r/>
      <w:bookmarkEnd w:id="105"/>
      <w:r/>
      <w:bookmarkEnd w:id="107"/>
      <w:r>
        <w:rPr>
          <w:rFonts w:hint="eastAsia"/>
          <w:b w:val="0"/>
          <w:bCs w:val="0"/>
        </w:rPr>
        <w:t xml:space="preserve">表</w:t>
      </w:r>
      <w:bookmarkEnd w:id="106"/>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15"/>
        <w:ind w:firstLine="420"/>
        <w:spacing w:before="0" w:after="0" w:line="240" w:lineRule="auto"/>
        <w:rPr>
          <w:b w:val="0"/>
          <w:bCs w:val="0"/>
        </w:rPr>
      </w:pPr>
      <w:r/>
      <w:bookmarkStart w:id="110" w:name="_Hlt26954731"/>
      <w:r/>
      <w:bookmarkStart w:id="111" w:name="_Hlt26954848"/>
      <w:r/>
      <w:bookmarkStart w:id="112" w:name="_Hlt26954846"/>
      <w:r/>
      <w:bookmarkStart w:id="113" w:name="_Hlt26954842"/>
      <w:r/>
      <w:bookmarkStart w:id="114" w:name="_Hlt26670403"/>
      <w:r/>
      <w:bookmarkStart w:id="115" w:name="_Hlt26954844"/>
      <w:r/>
      <w:bookmarkStart w:id="116" w:name="_Hlt26668983"/>
      <w:r/>
      <w:bookmarkStart w:id="117" w:name="_Hlt26670425"/>
      <w:r/>
      <w:bookmarkStart w:id="118" w:name="_Hlt26670486"/>
      <w:r/>
      <w:bookmarkStart w:id="119" w:name="_Hlt26670482"/>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915"/>
        <w:ind w:firstLine="420"/>
        <w:spacing w:before="0" w:after="0" w:line="240" w:lineRule="auto"/>
        <w:rPr>
          <w:b w:val="0"/>
          <w:bCs w:val="0"/>
        </w:rPr>
      </w:pPr>
      <w:r/>
      <w:bookmarkStart w:id="120" w:name="_Toc14577359"/>
      <w:r/>
      <w:bookmarkStart w:id="121"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915"/>
        <w:ind w:firstLine="420"/>
        <w:spacing w:before="0" w:after="0" w:line="240" w:lineRule="auto"/>
        <w:rPr>
          <w:b w:val="0"/>
          <w:bCs w:val="0"/>
        </w:rPr>
      </w:pPr>
      <w:r/>
      <w:bookmarkStart w:id="122" w:name="_Hlt26954850"/>
      <w:r/>
      <w:bookmarkStart w:id="123" w:name="_Hlt26670489"/>
      <w:r/>
      <w:bookmarkStart w:id="124" w:name="_Hlt26954734"/>
      <w:r/>
      <w:bookmarkStart w:id="125" w:name="_Toc14577360"/>
      <w:r/>
      <w:bookmarkStart w:id="126" w:name="_Toc49090511"/>
      <w:r/>
      <w:bookmarkEnd w:id="120"/>
      <w:r/>
      <w:bookmarkEnd w:id="121"/>
      <w:r/>
      <w:bookmarkEnd w:id="122"/>
      <w:r/>
      <w:bookmarkEnd w:id="123"/>
      <w:r/>
      <w:bookmarkEnd w:id="124"/>
      <w:r>
        <w:rPr>
          <w:rFonts w:hint="eastAsia"/>
          <w:b w:val="0"/>
          <w:bCs w:val="0"/>
        </w:rPr>
        <w:t xml:space="preserve">15</w:t>
      </w:r>
      <w:r>
        <w:rPr>
          <w:rFonts w:hint="eastAsia"/>
          <w:b w:val="0"/>
          <w:bCs w:val="0"/>
        </w:rPr>
        <w:t xml:space="preserve">、投标有效期</w:t>
      </w:r>
      <w:bookmarkEnd w:id="125"/>
      <w:r/>
      <w:bookmarkEnd w:id="126"/>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5"/>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4"/>
        <w:ind w:firstLine="482"/>
        <w:spacing w:before="156" w:after="156" w:line="360" w:lineRule="auto"/>
      </w:pPr>
      <w:r/>
      <w:bookmarkStart w:id="127" w:name="_Hlt26954852"/>
      <w:r/>
      <w:bookmarkStart w:id="128" w:name="_Hlt26954739"/>
      <w:r/>
      <w:bookmarkStart w:id="129" w:name="_Toc120614217"/>
      <w:r/>
      <w:bookmarkStart w:id="130" w:name="_Toc20823296"/>
      <w:r/>
      <w:bookmarkStart w:id="131" w:name="_Toc16938540"/>
      <w:r/>
      <w:bookmarkStart w:id="132" w:name="_Toc513029224"/>
      <w:r/>
      <w:bookmarkEnd w:id="127"/>
      <w:r/>
      <w:bookmarkEnd w:id="128"/>
      <w:r>
        <w:rPr>
          <w:rFonts w:hint="eastAsia"/>
        </w:rPr>
        <w:t xml:space="preserve">四、投标文件的递交</w:t>
      </w:r>
      <w:bookmarkEnd w:id="129"/>
      <w:r/>
      <w:bookmarkEnd w:id="130"/>
      <w:r/>
      <w:bookmarkEnd w:id="131"/>
      <w:r/>
      <w:bookmarkEnd w:id="132"/>
      <w:r/>
      <w:r/>
    </w:p>
    <w:p>
      <w:pPr>
        <w:pStyle w:val="915"/>
        <w:ind w:firstLine="560"/>
        <w:spacing w:before="0" w:after="0" w:line="240" w:lineRule="auto"/>
        <w:rPr>
          <w:rFonts w:ascii="黑体"/>
          <w:b w:val="0"/>
          <w:bCs w:val="0"/>
        </w:rPr>
      </w:pPr>
      <w:r/>
      <w:bookmarkStart w:id="133" w:name="_Toc513029225"/>
      <w:r/>
      <w:bookmarkStart w:id="134" w:name="_Toc20823297"/>
      <w:r/>
      <w:bookmarkStart w:id="135" w:name="_Toc16938541"/>
      <w:r/>
      <w:bookmarkStart w:id="136" w:name="_Toc462564084"/>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26"/>
        <w:ind w:left="525"/>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16938542"/>
      <w:r/>
      <w:bookmarkStart w:id="139" w:name="_Toc513029226"/>
      <w:r/>
      <w:r/>
    </w:p>
    <w:p>
      <w:pPr>
        <w:pStyle w:val="915"/>
        <w:ind w:firstLine="420"/>
        <w:rPr>
          <w:b w:val="0"/>
        </w:rPr>
      </w:pPr>
      <w:r>
        <w:rPr>
          <w:rFonts w:hint="eastAsia"/>
          <w:b w:val="0"/>
        </w:rPr>
        <w:t xml:space="preserve">18</w:t>
      </w:r>
      <w:r>
        <w:rPr>
          <w:rFonts w:hint="eastAsia"/>
          <w:b w:val="0"/>
        </w:rPr>
        <w:t xml:space="preserve">、投标截止</w:t>
      </w:r>
      <w:bookmarkEnd w:id="137"/>
      <w:r/>
      <w:bookmarkEnd w:id="138"/>
      <w:r/>
      <w:bookmarkEnd w:id="139"/>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5"/>
        <w:ind w:firstLine="420"/>
        <w:spacing w:before="0" w:after="0" w:line="240" w:lineRule="auto"/>
        <w:rPr>
          <w:b w:val="0"/>
          <w:bCs w:val="0"/>
        </w:rPr>
      </w:pPr>
      <w:r/>
      <w:bookmarkStart w:id="140" w:name="_Toc20823299"/>
      <w:r/>
      <w:bookmarkStart w:id="141" w:name="_Toc513029227"/>
      <w:r/>
      <w:bookmarkStart w:id="142" w:name="_Toc16938543"/>
      <w:r>
        <w:rPr>
          <w:rFonts w:hint="eastAsia"/>
          <w:b w:val="0"/>
          <w:bCs w:val="0"/>
        </w:rPr>
        <w:t xml:space="preserve">19</w:t>
      </w:r>
      <w:r>
        <w:rPr>
          <w:rFonts w:hint="eastAsia"/>
          <w:b w:val="0"/>
          <w:bCs w:val="0"/>
        </w:rPr>
        <w:t xml:space="preserve">、投标文件</w:t>
      </w:r>
      <w:bookmarkEnd w:id="140"/>
      <w:r/>
      <w:bookmarkEnd w:id="141"/>
      <w:r/>
      <w:bookmarkEnd w:id="142"/>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5"/>
        <w:ind w:firstLine="420"/>
        <w:spacing w:before="0" w:after="0" w:line="240" w:lineRule="auto"/>
        <w:rPr>
          <w:b w:val="0"/>
          <w:bCs w:val="0"/>
        </w:rPr>
      </w:pPr>
      <w:r/>
      <w:bookmarkStart w:id="143" w:name="_Toc513029228"/>
      <w:r/>
      <w:bookmarkStart w:id="144" w:name="_Toc20823300"/>
      <w:r/>
      <w:bookmarkStart w:id="145" w:name="_Toc16938544"/>
      <w:r>
        <w:rPr>
          <w:rFonts w:hint="eastAsia"/>
          <w:b w:val="0"/>
          <w:bCs w:val="0"/>
        </w:rPr>
        <w:t xml:space="preserve">20</w:t>
      </w:r>
      <w:r>
        <w:rPr>
          <w:rFonts w:hint="eastAsia"/>
          <w:b w:val="0"/>
          <w:bCs w:val="0"/>
        </w:rPr>
        <w:t xml:space="preserve">、投标文件的撤回和修改</w:t>
      </w:r>
      <w:bookmarkEnd w:id="143"/>
      <w:r/>
      <w:bookmarkEnd w:id="144"/>
      <w:r/>
      <w:bookmarkEnd w:id="145"/>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20.1.1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w:t>
      </w:r>
      <w:r>
        <w:rPr>
          <w:rFonts w:hint="eastAsia" w:ascii="宋体" w:hAnsi="宋体"/>
          <w:bCs/>
          <w:sz w:val="24"/>
        </w:rPr>
        <w:t xml:space="preserve">投标人不得撤回其投标。</w:t>
      </w:r>
      <w:r/>
    </w:p>
    <w:p>
      <w:pPr>
        <w:pStyle w:val="914"/>
        <w:ind w:firstLine="482"/>
        <w:spacing w:before="156" w:after="156" w:line="360" w:lineRule="auto"/>
      </w:pPr>
      <w:r/>
      <w:bookmarkStart w:id="146" w:name="_Toc120614218"/>
      <w:r/>
      <w:bookmarkStart w:id="147" w:name="_Toc20823301"/>
      <w:r/>
      <w:bookmarkStart w:id="148" w:name="_Toc16938545"/>
      <w:r/>
      <w:bookmarkStart w:id="149" w:name="_Toc513029229"/>
      <w:r>
        <w:rPr>
          <w:rFonts w:hint="eastAsia"/>
        </w:rPr>
        <w:t xml:space="preserve">五、开标与评标</w:t>
      </w:r>
      <w:bookmarkEnd w:id="146"/>
      <w:r/>
      <w:bookmarkEnd w:id="147"/>
      <w:r/>
      <w:bookmarkEnd w:id="148"/>
      <w:r/>
      <w:bookmarkEnd w:id="149"/>
      <w:r/>
      <w:r/>
    </w:p>
    <w:p>
      <w:pPr>
        <w:pStyle w:val="915"/>
        <w:ind w:firstLine="420"/>
        <w:spacing w:before="0" w:after="0" w:line="240" w:lineRule="auto"/>
        <w:rPr>
          <w:b w:val="0"/>
          <w:bCs w:val="0"/>
        </w:rPr>
      </w:pPr>
      <w:r/>
      <w:bookmarkStart w:id="150" w:name="_Toc16938546"/>
      <w:r/>
      <w:bookmarkStart w:id="151" w:name="_Toc20823302"/>
      <w:r/>
      <w:bookmarkStart w:id="152" w:name="_Toc513029230"/>
      <w:r>
        <w:rPr>
          <w:rFonts w:hint="eastAsia"/>
          <w:b w:val="0"/>
          <w:bCs w:val="0"/>
        </w:rPr>
        <w:t xml:space="preserve">21</w:t>
      </w:r>
      <w:r>
        <w:rPr>
          <w:rFonts w:hint="eastAsia"/>
          <w:b w:val="0"/>
          <w:bCs w:val="0"/>
        </w:rPr>
        <w:t xml:space="preserve">、开标</w:t>
      </w:r>
      <w:bookmarkEnd w:id="150"/>
      <w:r/>
      <w:bookmarkEnd w:id="151"/>
      <w:r/>
      <w:bookmarkEnd w:id="152"/>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中《开标记录表》宣布后5分钟内未提出的，视同认可开标结果。</w:t>
      </w:r>
      <w:r/>
    </w:p>
    <w:p>
      <w:pPr>
        <w:pStyle w:val="915"/>
        <w:ind w:firstLine="420"/>
        <w:spacing w:before="0" w:after="0" w:line="240" w:lineRule="auto"/>
        <w:rPr>
          <w:b w:val="0"/>
          <w:bCs w:val="0"/>
        </w:rPr>
      </w:pPr>
      <w:r/>
      <w:bookmarkStart w:id="153" w:name="_Toc16938547"/>
      <w:r/>
      <w:bookmarkStart w:id="154" w:name="_Toc20823303"/>
      <w:r/>
      <w:bookmarkStart w:id="155" w:name="_Toc513029231"/>
      <w:r>
        <w:rPr>
          <w:rFonts w:hint="eastAsia"/>
          <w:b w:val="0"/>
          <w:bCs w:val="0"/>
        </w:rPr>
        <w:t xml:space="preserve">22</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ascii="宋体" w:hAnsi="宋体"/>
          <w:sz w:val="24"/>
          <w:szCs w:val="24"/>
        </w:rPr>
        <w:t xml:space="preserve">候选人</w:t>
      </w:r>
      <w:r>
        <w:rPr>
          <w:rFonts w:hint="eastAsia" w:ascii="宋体" w:hAnsi="宋体"/>
          <w:sz w:val="24"/>
          <w:szCs w:val="24"/>
        </w:rPr>
        <w:t xml:space="preserve">。</w:t>
      </w:r>
      <w:r/>
    </w:p>
    <w:p>
      <w:pPr>
        <w:pStyle w:val="915"/>
        <w:ind w:firstLine="420"/>
        <w:spacing w:before="0" w:after="0" w:line="240" w:lineRule="auto"/>
        <w:rPr>
          <w:rFonts w:ascii="黑体"/>
          <w:b w:val="0"/>
          <w:bCs w:val="0"/>
        </w:rPr>
      </w:pPr>
      <w:r>
        <w:rPr>
          <w:rFonts w:hint="eastAsia" w:ascii="黑体"/>
          <w:b w:val="0"/>
          <w:bCs w:val="0"/>
        </w:rPr>
        <w:t xml:space="preserve">23、评标过程的保密与公正</w:t>
      </w:r>
      <w:bookmarkEnd w:id="153"/>
      <w:bookmarkEnd w:id="154"/>
      <w:bookmarkEnd w:id="155"/>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查看自己的评审得分及排序情况。</w:t>
      </w:r>
      <w:r/>
    </w:p>
    <w:p>
      <w:pPr>
        <w:pStyle w:val="915"/>
        <w:ind w:firstLine="420"/>
        <w:spacing w:before="0" w:after="0" w:line="240" w:lineRule="auto"/>
        <w:rPr>
          <w:b w:val="0"/>
          <w:bCs w:val="0"/>
        </w:rPr>
      </w:pPr>
      <w:r/>
      <w:bookmarkStart w:id="156" w:name="_Toc16938548"/>
      <w:r/>
      <w:bookmarkStart w:id="157" w:name="_Toc513029232"/>
      <w:r/>
      <w:bookmarkStart w:id="158" w:name="_Toc20823304"/>
      <w:r>
        <w:rPr>
          <w:rFonts w:hint="eastAsia"/>
          <w:b w:val="0"/>
          <w:bCs w:val="0"/>
        </w:rPr>
        <w:t xml:space="preserve">24</w:t>
      </w:r>
      <w:r>
        <w:rPr>
          <w:rFonts w:hint="eastAsia"/>
          <w:b w:val="0"/>
          <w:bCs w:val="0"/>
        </w:rPr>
        <w:t xml:space="preserve">、投标文件的澄清</w:t>
      </w:r>
      <w:bookmarkEnd w:id="156"/>
      <w:r/>
      <w:bookmarkEnd w:id="157"/>
      <w:r/>
      <w:bookmarkEnd w:id="158"/>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5"/>
        <w:ind w:firstLine="420"/>
        <w:spacing w:before="0" w:after="0" w:line="240" w:lineRule="auto"/>
        <w:rPr>
          <w:b w:val="0"/>
          <w:bCs w:val="0"/>
        </w:rPr>
      </w:pPr>
      <w:r/>
      <w:bookmarkStart w:id="159" w:name="_Toc16938549"/>
      <w:r/>
      <w:bookmarkStart w:id="160" w:name="_Toc20823305"/>
      <w:r/>
      <w:bookmarkStart w:id="161" w:name="_Toc513029233"/>
      <w:r>
        <w:rPr>
          <w:rFonts w:hint="eastAsia"/>
          <w:b w:val="0"/>
          <w:bCs w:val="0"/>
        </w:rPr>
        <w:t xml:space="preserve">25</w:t>
      </w:r>
      <w:r>
        <w:rPr>
          <w:rFonts w:hint="eastAsia"/>
          <w:b w:val="0"/>
          <w:bCs w:val="0"/>
        </w:rPr>
        <w:t xml:space="preserve">、对投标文件的初审</w:t>
      </w:r>
      <w:bookmarkEnd w:id="159"/>
      <w:r/>
      <w:bookmarkEnd w:id="160"/>
      <w:r/>
      <w:bookmarkEnd w:id="161"/>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ascii="宋体" w:hAnsi="宋体"/>
          <w:bCs/>
          <w:sz w:val="24"/>
        </w:rPr>
        <w:t xml:space="preserve">信用</w:t>
      </w:r>
      <w:r>
        <w:rPr>
          <w:rFonts w:hint="eastAsia" w:ascii="宋体" w:hAnsi="宋体"/>
          <w:bCs/>
          <w:sz w:val="24"/>
        </w:rPr>
        <w:t xml:space="preserve">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bookmarkStart w:id="162" w:name="_Toc20823306"/>
      <w:r/>
      <w:bookmarkStart w:id="163" w:name="_Toc16938550"/>
      <w:r/>
      <w:bookmarkStart w:id="164"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5"/>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2"/>
      <w:r/>
      <w:bookmarkEnd w:id="163"/>
      <w:r/>
      <w:bookmarkEnd w:id="164"/>
      <w:r>
        <w:rPr>
          <w:rFonts w:hint="eastAsia"/>
          <w:b w:val="0"/>
          <w:bCs w:val="0"/>
        </w:rPr>
        <w:t xml:space="preserve">无效投标条款</w:t>
      </w:r>
      <w:r>
        <w:rPr>
          <w:rFonts w:hint="eastAsia"/>
          <w:b w:val="0"/>
          <w:bCs w:val="0"/>
        </w:rPr>
        <w:t xml:space="preserve">和废标条款</w:t>
      </w:r>
      <w:r/>
    </w:p>
    <w:p>
      <w:pPr>
        <w:ind w:left="479"/>
        <w:spacing w:line="440" w:lineRule="exact"/>
        <w:rPr>
          <w:rFonts w:ascii="宋体" w:hAnsi="宋体"/>
          <w:bCs/>
          <w:sz w:val="24"/>
        </w:rPr>
      </w:pPr>
      <w:r/>
      <w:bookmarkStart w:id="165" w:name="_Toc20823307"/>
      <w:r/>
      <w:bookmarkStart w:id="166" w:name="_Toc16938551"/>
      <w:r/>
      <w:bookmarkStart w:id="167" w:name="_Toc513029235"/>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color w:val="000000"/>
          <w:sz w:val="24"/>
        </w:rPr>
      </w:pPr>
      <w:r>
        <w:rPr>
          <w:rFonts w:hint="eastAsia" w:ascii="宋体" w:hAnsi="宋体"/>
          <w:bCs/>
          <w:sz w:val="24"/>
        </w:rPr>
        <w:t xml:space="preserve">26.1.10</w:t>
      </w:r>
      <w:r>
        <w:rPr>
          <w:rFonts w:ascii="宋体" w:hAnsi="宋体"/>
          <w:bCs/>
          <w:color w:val="000000"/>
          <w:sz w:val="24"/>
        </w:rPr>
        <w:t xml:space="preserve">投标（响应）供应</w:t>
      </w:r>
      <w:r>
        <w:rPr>
          <w:rFonts w:ascii="宋体" w:hAnsi="宋体"/>
          <w:bCs/>
          <w:color w:val="000000"/>
          <w:sz w:val="24"/>
        </w:rPr>
        <w:t xml:space="preserve">商</w:t>
      </w:r>
      <w:r>
        <w:rPr>
          <w:rFonts w:hint="eastAsia" w:ascii="宋体" w:hAnsi="宋体"/>
          <w:bCs/>
          <w:color w:val="000000"/>
          <w:sz w:val="24"/>
        </w:rPr>
        <w:t xml:space="preserve">出现</w:t>
      </w:r>
      <w:r>
        <w:rPr>
          <w:rFonts w:ascii="宋体" w:hAnsi="宋体"/>
          <w:bCs/>
          <w:color w:val="000000"/>
          <w:sz w:val="24"/>
        </w:rPr>
        <w:t xml:space="preserve">苏财购</w:t>
      </w:r>
      <w:r>
        <w:rPr>
          <w:rFonts w:ascii="宋体" w:hAnsi="宋体"/>
          <w:bCs/>
          <w:color w:val="000000"/>
          <w:sz w:val="24"/>
        </w:rPr>
        <w:t xml:space="preserve">〔2025〕62号文件规定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w:t>
      </w:r>
      <w:r>
        <w:rPr>
          <w:rFonts w:hint="eastAsia" w:ascii="宋体" w:hAnsi="宋体"/>
          <w:bCs/>
          <w:color w:val="000000"/>
          <w:sz w:val="24"/>
        </w:rPr>
        <w:t xml:space="preserve">采云</w:t>
      </w:r>
      <w:r>
        <w:rPr>
          <w:rFonts w:hint="eastAsia" w:ascii="宋体" w:hAnsi="宋体"/>
          <w:bCs/>
          <w:color w:val="000000"/>
          <w:sz w:val="24"/>
        </w:rPr>
        <w:t xml:space="preserve">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 </w:t>
      </w:r>
      <w:r/>
    </w:p>
    <w:p>
      <w:pPr>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4"/>
        <w:ind w:firstLine="482"/>
        <w:spacing w:before="156" w:after="156" w:line="360" w:lineRule="auto"/>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915"/>
        <w:ind w:firstLine="600"/>
        <w:spacing w:before="0" w:after="0" w:line="240" w:lineRule="auto"/>
        <w:rPr>
          <w:rFonts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15"/>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5"/>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w:t>
      </w:r>
      <w:r>
        <w:rPr>
          <w:rFonts w:hint="eastAsia" w:ascii="宋体" w:hAnsi="宋体"/>
          <w:sz w:val="24"/>
          <w:szCs w:val="24"/>
        </w:rPr>
        <w:t xml:space="preserve">在中标结果公告届满之日起30日内,使用CA数字证书登录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4"/>
        <w:spacing w:before="156" w:after="156" w:line="360" w:lineRule="auto"/>
      </w:pPr>
      <w:r/>
      <w:bookmarkStart w:id="173" w:name="_Toc120614220"/>
      <w:r/>
      <w:bookmarkStart w:id="174" w:name="_Toc20823308"/>
      <w:r/>
      <w:bookmarkStart w:id="175" w:name="_Toc16938552"/>
      <w:r/>
      <w:bookmarkStart w:id="176" w:name="_Toc513029236"/>
      <w:r>
        <w:rPr>
          <w:rFonts w:hint="eastAsia"/>
        </w:rPr>
        <w:t xml:space="preserve">七、授予合同</w:t>
      </w:r>
      <w:bookmarkEnd w:id="173"/>
      <w:r/>
      <w:r/>
    </w:p>
    <w:p>
      <w:pPr>
        <w:pStyle w:val="915"/>
        <w:ind w:firstLine="600"/>
        <w:spacing w:before="0" w:after="0" w:line="240" w:lineRule="auto"/>
        <w:rPr>
          <w:rFonts w:ascii="黑体" w:hAnsi="宋体" w:cs="Times New Roman"/>
          <w:b w:val="0"/>
          <w:sz w:val="30"/>
          <w:szCs w:val="30"/>
        </w:rPr>
      </w:pPr>
      <w:r/>
      <w:bookmarkStart w:id="177" w:name="_Toc513029237"/>
      <w:r/>
      <w:bookmarkStart w:id="178" w:name="_Toc20823309"/>
      <w:r/>
      <w:bookmarkStart w:id="179" w:name="_Toc16938553"/>
      <w:r/>
      <w:bookmarkEnd w:id="174"/>
      <w:r/>
      <w:bookmarkEnd w:id="175"/>
      <w:r/>
      <w:bookmarkEnd w:id="176"/>
      <w:r>
        <w:rPr>
          <w:rFonts w:hint="eastAsia" w:ascii="黑体" w:hAnsi="宋体" w:cs="Times New Roman"/>
          <w:b w:val="0"/>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5"/>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5"/>
        <w:ind w:firstLine="600"/>
        <w:spacing w:before="0" w:after="0" w:line="240" w:lineRule="auto"/>
        <w:rPr>
          <w:rFonts w:ascii="黑体" w:hAnsi="宋体" w:cs="Times New Roman"/>
          <w:b w:val="0"/>
          <w:sz w:val="30"/>
          <w:szCs w:val="30"/>
        </w:rPr>
      </w:pPr>
      <w:r/>
      <w:bookmarkStart w:id="180" w:name="_Toc479757207"/>
      <w:r/>
      <w:bookmarkStart w:id="181" w:name="_Toc16938558"/>
      <w:r/>
      <w:bookmarkStart w:id="182" w:name="_Toc120614221"/>
      <w:r/>
      <w:bookmarkStart w:id="183" w:name="_Toc513029242"/>
      <w:r/>
      <w:bookmarkStart w:id="184" w:name="_Toc20823314"/>
      <w:r/>
      <w:bookmarkEnd w:id="177"/>
      <w:r/>
      <w:bookmarkEnd w:id="178"/>
      <w:r/>
      <w:bookmarkEnd w:id="179"/>
      <w:r>
        <w:rPr>
          <w:rFonts w:hint="eastAsia" w:ascii="黑体" w:hAnsi="宋体" w:cs="Times New Roman"/>
          <w:b w:val="0"/>
          <w:sz w:val="30"/>
          <w:szCs w:val="30"/>
        </w:rPr>
        <w:t xml:space="preserve">32、需要执行的政府采购政策（包括但不限于）</w:t>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1005"/>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w:t>
      </w:r>
      <w:r>
        <w:rPr>
          <w:rFonts w:ascii="宋体" w:hAnsi="宋体"/>
          <w:sz w:val="24"/>
          <w:szCs w:val="24"/>
        </w:rPr>
        <w:t xml:space="preserve">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w:t>
      </w:r>
      <w:r>
        <w:rPr>
          <w:rFonts w:ascii="宋体" w:hAnsi="宋体"/>
          <w:sz w:val="24"/>
          <w:szCs w:val="24"/>
        </w:rPr>
        <w:t xml:space="preserve">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w:t>
      </w:r>
      <w:r>
        <w:rPr>
          <w:rFonts w:ascii="宋体" w:hAnsi="宋体"/>
          <w:sz w:val="24"/>
          <w:szCs w:val="24"/>
        </w:rPr>
        <w:t xml:space="preserve">定劳动</w:t>
      </w:r>
      <w:r>
        <w:rPr>
          <w:rFonts w:ascii="宋体" w:hAnsi="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w:t>
      </w:r>
      <w:r>
        <w:rPr>
          <w:rFonts w:ascii="宋体" w:hAnsi="宋体"/>
          <w:sz w:val="24"/>
          <w:szCs w:val="24"/>
        </w:rPr>
        <w:t xml:space="preserve">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w:t>
      </w:r>
      <w:r>
        <w:rPr>
          <w:rFonts w:ascii="宋体" w:hAnsi="宋体"/>
          <w:sz w:val="24"/>
          <w:szCs w:val="24"/>
        </w:rPr>
        <w:t xml:space="preserve">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ascii="宋体" w:hAnsi="宋体"/>
          <w:b/>
          <w:sz w:val="24"/>
          <w:szCs w:val="24"/>
        </w:rPr>
      </w:pPr>
      <w:r>
        <w:rPr>
          <w:rFonts w:hint="eastAsia" w:ascii="宋体" w:hAnsi="宋体"/>
          <w:b/>
          <w:sz w:val="24"/>
          <w:szCs w:val="24"/>
        </w:rPr>
        <w:t xml:space="preserve">32.5绿色包装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w:t>
      </w:r>
      <w:r>
        <w:rPr>
          <w:rFonts w:ascii="宋体" w:hAnsi="宋体"/>
          <w:sz w:val="24"/>
          <w:szCs w:val="24"/>
        </w:rPr>
        <w:t xml:space="preserve">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内创新</w:t>
      </w:r>
      <w:r>
        <w:rPr>
          <w:rFonts w:hint="eastAsia" w:ascii="宋体" w:hAnsi="宋体"/>
          <w:sz w:val="24"/>
          <w:szCs w:val="24"/>
        </w:rPr>
        <w:t xml:space="preserve">产品，</w:t>
      </w:r>
      <w:r>
        <w:rPr>
          <w:rFonts w:hint="eastAsia" w:ascii="宋体" w:hAnsi="宋体"/>
          <w:sz w:val="24"/>
          <w:szCs w:val="24"/>
        </w:rPr>
        <w:t xml:space="preserve">自认定</w:t>
      </w:r>
      <w:r>
        <w:rPr>
          <w:rFonts w:hint="eastAsia" w:ascii="宋体" w:hAnsi="宋体"/>
          <w:sz w:val="24"/>
          <w:szCs w:val="24"/>
        </w:rPr>
        <w:t xml:space="preserve">之日起2年内视同已具备相应销售业绩，参加政府采购活动</w:t>
      </w:r>
      <w:r>
        <w:rPr>
          <w:rFonts w:hint="eastAsia" w:ascii="宋体" w:hAnsi="宋体"/>
          <w:sz w:val="24"/>
          <w:szCs w:val="24"/>
        </w:rPr>
        <w:t xml:space="preserve">时业绩</w:t>
      </w:r>
      <w:r>
        <w:rPr>
          <w:rFonts w:hint="eastAsia" w:ascii="宋体" w:hAnsi="宋体"/>
          <w:sz w:val="24"/>
          <w:szCs w:val="24"/>
        </w:rPr>
        <w:t xml:space="preserve">分值为满分。（如涉及）</w:t>
      </w:r>
      <w:r/>
    </w:p>
    <w:p>
      <w:pPr>
        <w:ind w:firstLine="482"/>
        <w:spacing w:line="480" w:lineRule="exact"/>
        <w:rPr>
          <w:rFonts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w:t>
      </w:r>
      <w:r>
        <w:rPr>
          <w:rFonts w:hint="eastAsia" w:ascii="宋体" w:hAnsi="宋体" w:cs="宋体"/>
          <w:color w:val="000000"/>
          <w:sz w:val="24"/>
          <w:szCs w:val="24"/>
        </w:rPr>
        <w:t xml:space="preserve">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ascii="宋体" w:hAnsi="宋体"/>
          <w:sz w:val="24"/>
          <w:szCs w:val="24"/>
        </w:rPr>
      </w:pPr>
      <w:r>
        <w:rPr>
          <w:rFonts w:ascii="宋体" w:hAnsi="宋体"/>
          <w:sz w:val="24"/>
          <w:szCs w:val="24"/>
        </w:rPr>
      </w:r>
      <w:r/>
    </w:p>
    <w:p>
      <w:r/>
      <w:r/>
    </w:p>
    <w:p>
      <w:pPr>
        <w:pStyle w:val="913"/>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11"/>
        <w:rPr>
          <w:rFonts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ind w:firstLine="480"/>
        <w:spacing w:line="500" w:lineRule="exact"/>
        <w:rPr>
          <w:rFonts w:ascii="宋体" w:hAnsi="宋体"/>
          <w:bCs/>
          <w:sz w:val="24"/>
        </w:rPr>
      </w:pPr>
      <w:r/>
      <w:bookmarkStart w:id="185" w:name="_Toc20823315"/>
      <w:r/>
      <w:bookmarkStart w:id="186" w:name="_Toc513029243"/>
      <w:r/>
      <w:bookmarkStart w:id="187" w:name="_Toc16938559"/>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w:t>
      </w:r>
      <w:r/>
    </w:p>
    <w:p>
      <w:pPr>
        <w:ind w:firstLine="640"/>
        <w:jc w:val="center"/>
        <w:spacing w:line="500" w:lineRule="exact"/>
        <w:rPr>
          <w:rFonts w:ascii="宋体" w:hAnsi="宋体"/>
          <w:bCs/>
          <w:sz w:val="32"/>
          <w:szCs w:val="32"/>
        </w:rPr>
      </w:pPr>
      <w:r/>
      <w:bookmarkStart w:id="188" w:name="_Toc49090575"/>
      <w:r/>
      <w:bookmarkStart w:id="189" w:name="_Toc120614281"/>
      <w:r/>
      <w:bookmarkStart w:id="190" w:name="_Toc26554093"/>
      <w:r/>
      <w:bookmarkStart w:id="191" w:name="_Toc462564139"/>
      <w:r/>
      <w:bookmarkStart w:id="192" w:name="_Toc479757211"/>
      <w:r/>
      <w:bookmarkEnd w:id="185"/>
      <w:r/>
      <w:bookmarkEnd w:id="186"/>
      <w:r/>
      <w:bookmarkEnd w:id="187"/>
      <w:r>
        <w:rPr>
          <w:rFonts w:hint="eastAsia" w:ascii="宋体" w:hAnsi="宋体"/>
          <w:bCs/>
          <w:sz w:val="32"/>
          <w:szCs w:val="32"/>
        </w:rPr>
        <w:t xml:space="preserve">（</w:t>
      </w:r>
      <w:r>
        <w:rPr>
          <w:rFonts w:hint="eastAsia" w:ascii="宋体" w:hAnsi="宋体"/>
          <w:bCs/>
          <w:sz w:val="32"/>
          <w:szCs w:val="32"/>
        </w:rPr>
        <w:t xml:space="preserve">拟签订</w:t>
      </w:r>
      <w:r>
        <w:rPr>
          <w:rFonts w:hint="eastAsia" w:ascii="宋体" w:hAnsi="宋体"/>
          <w:bCs/>
          <w:sz w:val="32"/>
          <w:szCs w:val="32"/>
        </w:rPr>
        <w:t xml:space="preserve">的合同文本）</w:t>
      </w:r>
      <w:r/>
    </w:p>
    <w:p>
      <w:pPr>
        <w:pStyle w:val="975"/>
      </w:p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甲方：</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乙方：</w:t>
      </w:r>
      <w:r>
        <w:rPr>
          <w:rFonts w:hint="eastAsia" w:ascii="仿宋" w:hAnsi="仿宋" w:eastAsia="仿宋" w:cs="仿宋"/>
          <w:sz w:val="24"/>
          <w:szCs w:val="24"/>
          <w:u w:val="single"/>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甲、乙双方根据《中华人民共和国民法典》和</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公开招标的结果，甲、乙双方在平等的基础上经充分协商，签署本合同。</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一、服务范围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天宁区管</w:t>
      </w:r>
      <w:r>
        <w:rPr>
          <w:rFonts w:hint="eastAsia" w:ascii="仿宋" w:hAnsi="仿宋" w:eastAsia="仿宋" w:cs="仿宋"/>
          <w:sz w:val="24"/>
          <w:szCs w:val="24"/>
        </w:rPr>
        <w:t xml:space="preserve">养范围</w:t>
      </w:r>
      <w:r>
        <w:rPr>
          <w:rFonts w:hint="eastAsia" w:ascii="仿宋" w:hAnsi="仿宋" w:eastAsia="仿宋" w:cs="仿宋"/>
          <w:sz w:val="24"/>
          <w:szCs w:val="24"/>
        </w:rPr>
        <w:t xml:space="preserve">内的城市道路、背街小巷、县道、桥梁及其附属设施（具体内容详见清单）总面积约为620万平方米。针对上述服务范围内的城市道路、背街小巷、县道、桥梁及其附属设施等进行综合保险服务。综合保险服务主要包括财产损失维修保险和公众责任险。其中，财产损失维修保险包含：城市道路桥梁综合保险和城市道路桥梁综合保险相关保险附加险（具体名称以乙方提供的险种名称为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本项目综合保险服务费总价包干，乙方提供兜底保障，针对在管</w:t>
      </w:r>
      <w:r>
        <w:rPr>
          <w:rFonts w:hint="eastAsia" w:ascii="仿宋" w:hAnsi="仿宋" w:eastAsia="仿宋" w:cs="仿宋"/>
          <w:sz w:val="24"/>
          <w:szCs w:val="24"/>
        </w:rPr>
        <w:t xml:space="preserve">养范围</w:t>
      </w:r>
      <w:r>
        <w:rPr>
          <w:rFonts w:hint="eastAsia" w:ascii="仿宋" w:hAnsi="仿宋" w:eastAsia="仿宋" w:cs="仿宋"/>
          <w:sz w:val="24"/>
          <w:szCs w:val="24"/>
        </w:rPr>
        <w:t xml:space="preserve">内由于自然灾害、意外事故造成的人员及财产损失（</w:t>
      </w:r>
      <w:r>
        <w:rPr>
          <w:rFonts w:hint="eastAsia" w:ascii="仿宋" w:hAnsi="仿宋" w:eastAsia="仿宋" w:cs="仿宋"/>
          <w:sz w:val="24"/>
          <w:szCs w:val="24"/>
        </w:rPr>
        <w:t xml:space="preserve">仅指需由</w:t>
      </w:r>
      <w:r>
        <w:rPr>
          <w:rFonts w:hint="eastAsia" w:ascii="仿宋" w:hAnsi="仿宋" w:eastAsia="仿宋" w:cs="仿宋"/>
          <w:sz w:val="24"/>
          <w:szCs w:val="24"/>
        </w:rPr>
        <w:t xml:space="preserve">甲方承担民事赔偿责任的部分）进行赔付，并且提供一揽子服务，委托有资质的专业第三方机构，对投保的路桥开展日常巡查、检测、施工、设计、维修（含开挖恢复）、监测及相关系统维护等服务工作。</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二、服务期限</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服务期三年，</w:t>
      </w:r>
      <w:r>
        <w:rPr>
          <w:rFonts w:hint="eastAsia" w:ascii="仿宋" w:hAnsi="仿宋" w:eastAsia="仿宋" w:cs="仿宋"/>
          <w:sz w:val="24"/>
          <w:szCs w:val="24"/>
          <w:highlight w:val="cyan"/>
        </w:rPr>
        <w:t xml:space="preserve">第一年期合同期限自合同签订生效之日起一年，</w:t>
      </w:r>
      <w:r>
        <w:rPr>
          <w:rFonts w:hint="eastAsia" w:ascii="仿宋" w:hAnsi="仿宋" w:eastAsia="仿宋" w:cs="仿宋"/>
          <w:sz w:val="24"/>
          <w:szCs w:val="24"/>
        </w:rPr>
        <w:t xml:space="preserve">后续的保险合同一年一签；甲方在每年合同结束前对乙方该年度保险服务及赔付工作</w:t>
      </w:r>
      <w:r>
        <w:rPr>
          <w:rFonts w:hint="eastAsia" w:ascii="仿宋" w:hAnsi="仿宋" w:eastAsia="仿宋" w:cs="仿宋"/>
          <w:sz w:val="24"/>
          <w:szCs w:val="24"/>
          <w:highlight w:val="cyan"/>
        </w:rPr>
        <w:t xml:space="preserve">进行</w:t>
      </w:r>
      <w:r>
        <w:rPr>
          <w:rFonts w:hint="eastAsia" w:ascii="仿宋" w:hAnsi="仿宋" w:eastAsia="仿宋" w:cs="仿宋"/>
          <w:sz w:val="24"/>
          <w:szCs w:val="24"/>
        </w:rPr>
        <w:t xml:space="preserve">考核，考核合格的，可续签下一期合同（若因政策调整等客观情况需要重新进行招标的，甲方有权单方面终止合同）。</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三、合同金额（包干价）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本项目合同总价：￥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元（大写：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元人民币）。</w:t>
      </w:r>
      <w:r/>
    </w:p>
    <w:p>
      <w:pPr>
        <w:ind w:firstLine="480"/>
        <w:spacing w:line="360" w:lineRule="auto"/>
        <w:rPr>
          <w:rFonts w:eastAsia="仿宋"/>
        </w:rPr>
      </w:pPr>
      <w:r>
        <w:rPr>
          <w:rFonts w:hint="eastAsia" w:ascii="仿宋" w:hAnsi="仿宋" w:eastAsia="仿宋" w:cs="仿宋"/>
          <w:sz w:val="24"/>
          <w:szCs w:val="24"/>
        </w:rPr>
        <w:t xml:space="preserve">本期合同价：￥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元（大写：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元人民币）。</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四、综合保险服务内容</w:t>
      </w:r>
      <w:r/>
    </w:p>
    <w:p>
      <w:pPr>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(一）保险标的</w:t>
      </w:r>
      <w:r>
        <w:rPr>
          <w:rFonts w:hint="eastAsia" w:ascii="仿宋" w:hAnsi="仿宋" w:eastAsia="仿宋" w:cs="仿宋"/>
          <w:sz w:val="24"/>
          <w:szCs w:val="24"/>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天宁区管</w:t>
      </w:r>
      <w:r>
        <w:rPr>
          <w:rFonts w:hint="eastAsia" w:ascii="仿宋" w:hAnsi="仿宋" w:eastAsia="仿宋" w:cs="仿宋"/>
          <w:sz w:val="24"/>
          <w:szCs w:val="24"/>
        </w:rPr>
        <w:t xml:space="preserve">养范围</w:t>
      </w:r>
      <w:r>
        <w:rPr>
          <w:rFonts w:hint="eastAsia" w:ascii="仿宋" w:hAnsi="仿宋" w:eastAsia="仿宋" w:cs="仿宋"/>
          <w:sz w:val="24"/>
          <w:szCs w:val="24"/>
        </w:rPr>
        <w:t xml:space="preserve">内的城市道路、背街小巷、县道、桥梁及其附属设施（具体内容详见清单）总面积约为620万平方米。针对上述服务范围内的城市道路、背街小巷、县道、桥梁及其附属设施等进行综合保险服务。</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（二）险种</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本次保险险种共分两大类，主要为财产保险和公众责任险。其中，财产保险包含：城市道路桥梁综合保险和城市道路桥梁综合保险相关保险附加险（具体名称以乙方提供的险种名称为准）。</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1.财产保险</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总保额为：人民币陆仟万元/年（¥60,000,000.00元）</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（1）城市道路桥梁综合保险（具体名称以乙方提供的险种名称为准）</w:t>
      </w:r>
      <w:r/>
    </w:p>
    <w:p>
      <w:pPr>
        <w:ind w:firstLine="482"/>
        <w:spacing w:line="360" w:lineRule="auto"/>
        <w:rPr>
          <w:rFonts w:ascii="仿宋" w:hAnsi="仿宋" w:eastAsia="仿宋" w:cs="仿宋"/>
          <w:b/>
          <w:bCs/>
          <w:sz w:val="24"/>
          <w:szCs w:val="24"/>
          <w:u w:val="single"/>
        </w:rPr>
      </w:pPr>
      <w:r>
        <w:rPr>
          <w:rFonts w:hint="eastAsia" w:ascii="仿宋" w:hAnsi="仿宋" w:eastAsia="仿宋" w:cs="仿宋"/>
          <w:b/>
          <w:bCs/>
          <w:sz w:val="24"/>
          <w:szCs w:val="24"/>
        </w:rPr>
        <w:t xml:space="preserve">赔偿限额：年度累计赔偿限额</w:t>
      </w:r>
      <w:r>
        <w:rPr>
          <w:rFonts w:hint="eastAsia" w:ascii="仿宋" w:hAnsi="仿宋" w:eastAsia="仿宋" w:cs="仿宋"/>
          <w:b/>
          <w:bCs/>
          <w:sz w:val="24"/>
          <w:szCs w:val="24"/>
          <w:u w:val="single"/>
        </w:rPr>
        <w:t xml:space="preserve">            </w:t>
      </w:r>
      <w:r/>
    </w:p>
    <w:p>
      <w:pPr>
        <w:ind w:firstLine="482"/>
        <w:spacing w:line="360" w:lineRule="auto"/>
        <w:rPr>
          <w:rFonts w:ascii="仿宋" w:hAnsi="仿宋" w:eastAsia="仿宋" w:cs="仿宋"/>
          <w:b/>
          <w:bCs/>
          <w:sz w:val="24"/>
          <w:szCs w:val="24"/>
          <w:u w:val="single"/>
        </w:rPr>
      </w:pPr>
      <w:r>
        <w:rPr>
          <w:rFonts w:hint="eastAsia" w:ascii="仿宋" w:hAnsi="仿宋" w:eastAsia="仿宋" w:cs="仿宋"/>
          <w:b/>
          <w:bCs/>
          <w:sz w:val="24"/>
          <w:szCs w:val="24"/>
        </w:rPr>
        <w:t xml:space="preserve">每次赔偿限额</w:t>
      </w:r>
      <w:r>
        <w:rPr>
          <w:rFonts w:hint="eastAsia" w:ascii="仿宋" w:hAnsi="仿宋" w:eastAsia="仿宋" w:cs="仿宋"/>
          <w:b/>
          <w:bCs/>
          <w:sz w:val="24"/>
          <w:szCs w:val="24"/>
          <w:u w:val="single"/>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在保险期间内，保险标的在正常使用过程中由于自然灾害、意外事故或发生故障造成直接物质损坏或灭失(以下简称“损失”)需要维修或替换的，保险人按照本保险合同的约定对被保险人在保单载明的维修机构维修保险标的过程中发生的材料费、人工费、专家费、清理费、检验费、应急加固费等必要的、合理的费用，保险人按照本保险合同的约定负责赔偿。</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保险事故发生后，被保险人为防止或减少保险标的损失所支付的必要的、合理的费用，保险人按照合同约定负责赔偿。</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（2）城市道路桥梁综合保险相关保险附加险（具体名称以乙方提供的险种名称为准）：</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放弃比例分摊保险条款</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在保险期间内，保险人视本保险合同为足额投保，发生保险责任范围内的损失，保险人在保险金额以内按实际损失计算赔偿，不作比例分摊。若本保险合同所列标的物不止一项时，应逐项分别计算,但保险期间内累计赔偿金额仍以总保险金额为限。</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2.公众责任保险</w:t>
      </w:r>
      <w:r/>
    </w:p>
    <w:p>
      <w:pPr>
        <w:ind w:firstLine="482"/>
        <w:spacing w:line="360" w:lineRule="auto"/>
        <w:rPr>
          <w:rFonts w:ascii="仿宋" w:hAnsi="仿宋" w:eastAsia="仿宋" w:cs="仿宋"/>
          <w:b/>
          <w:bCs/>
          <w:sz w:val="24"/>
          <w:szCs w:val="24"/>
          <w:u w:val="single"/>
        </w:rPr>
      </w:pPr>
      <w:r>
        <w:rPr>
          <w:rFonts w:hint="eastAsia" w:ascii="仿宋" w:hAnsi="仿宋" w:eastAsia="仿宋" w:cs="仿宋"/>
          <w:b/>
          <w:bCs/>
          <w:sz w:val="24"/>
          <w:szCs w:val="24"/>
        </w:rPr>
        <w:t xml:space="preserve">赔偿限额：年度累计赔偿限额</w:t>
      </w:r>
      <w:r>
        <w:rPr>
          <w:rFonts w:hint="eastAsia" w:ascii="仿宋" w:hAnsi="仿宋" w:eastAsia="仿宋" w:cs="仿宋"/>
          <w:b/>
          <w:bCs/>
          <w:sz w:val="24"/>
          <w:szCs w:val="24"/>
          <w:u w:val="single"/>
        </w:rPr>
        <w:t xml:space="preserve">                </w:t>
      </w:r>
      <w:r/>
    </w:p>
    <w:p>
      <w:pPr>
        <w:ind w:firstLine="482"/>
        <w:spacing w:line="360" w:lineRule="auto"/>
        <w:rPr>
          <w:rFonts w:ascii="仿宋" w:hAnsi="仿宋" w:eastAsia="仿宋" w:cs="仿宋"/>
          <w:b/>
          <w:bCs/>
          <w:sz w:val="24"/>
          <w:szCs w:val="24"/>
          <w:u w:val="single"/>
        </w:rPr>
      </w:pPr>
      <w:r>
        <w:rPr>
          <w:rFonts w:hint="eastAsia" w:ascii="仿宋" w:hAnsi="仿宋" w:eastAsia="仿宋" w:cs="仿宋"/>
          <w:b/>
          <w:bCs/>
          <w:sz w:val="24"/>
          <w:szCs w:val="24"/>
        </w:rPr>
        <w:t xml:space="preserve">每次赔偿限额</w:t>
      </w:r>
      <w:r>
        <w:rPr>
          <w:rFonts w:hint="eastAsia" w:ascii="仿宋" w:hAnsi="仿宋" w:eastAsia="仿宋" w:cs="仿宋"/>
          <w:b/>
          <w:bCs/>
          <w:sz w:val="24"/>
          <w:szCs w:val="24"/>
          <w:u w:val="single"/>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保险责任：被保险人在列明的地点范围内依法从事生产、经营等活动以及由于意外事故造成下列损失或费用，依法应由被保险人承担的民事赔偿责任，保险人负责赔偿：</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①第三者人身伤亡或财产损失；</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②事先经保险人书面同意的诉讼费用；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③发生保险责任事故后，被保险人为缩小或减少对第三者人身伤亡或财产损失的赔偿责任所支付的必要的、合理的费用。</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（三）其它相关要求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乙方应建立针对本项目的管理制度、应急服务制度、标准化操作流程，成立专项小组，明确各部门的职责。标准化操作流程应包括服务全过程中的各项细节工作流程，包括但不限于日常巡查管理、常规维修理赔流程、责任保险（公众责任、财产损失、自然灾害等）理赔流程、其他相关工作流程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服务期限内，乙方负责进行保险理赔事项的技术支持（包括但不限于甲方在进行公众责任险等相关保险理赔时协助与配合甲方对各项理赔材料进行整理、汇总等）、协助进行维权处理工作，按照甲方要求做好对“常州市天宁区2026-2028年度道路设施养护管理综合保险服务”对应的第三</w:t>
      </w:r>
      <w:r>
        <w:rPr>
          <w:rFonts w:hint="eastAsia" w:ascii="仿宋" w:hAnsi="仿宋" w:eastAsia="仿宋" w:cs="仿宋"/>
          <w:sz w:val="24"/>
          <w:szCs w:val="24"/>
        </w:rPr>
        <w:t xml:space="preserve">方服务</w:t>
      </w:r>
      <w:r>
        <w:rPr>
          <w:rFonts w:hint="eastAsia" w:ascii="仿宋" w:hAnsi="仿宋" w:eastAsia="仿宋" w:cs="仿宋"/>
          <w:sz w:val="24"/>
          <w:szCs w:val="24"/>
        </w:rPr>
        <w:t xml:space="preserve">单位的监督、管理和考核工作。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3.乙方采用的保险条款及费率应当向监管部门进行报备并获得注册号。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4.乙方每年投入在道路桥梁养护的</w:t>
      </w:r>
      <w:r>
        <w:rPr>
          <w:rFonts w:hint="eastAsia" w:ascii="仿宋" w:hAnsi="仿宋" w:eastAsia="仿宋" w:cs="仿宋"/>
          <w:sz w:val="24"/>
          <w:szCs w:val="24"/>
        </w:rPr>
        <w:t xml:space="preserve">风控费用</w:t>
      </w:r>
      <w:r>
        <w:rPr>
          <w:rFonts w:hint="eastAsia" w:ascii="仿宋" w:hAnsi="仿宋" w:eastAsia="仿宋" w:cs="仿宋"/>
          <w:sz w:val="24"/>
          <w:szCs w:val="24"/>
        </w:rPr>
        <w:t xml:space="preserve">资金投入不低于中标价格的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%。主要用于保障道路桥梁正常使用及为了防止出现安全隐患而进行的日常巡查、养护、检测、设计、监测及相关系统维护等服务。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5.如合同到期未续约，但</w:t>
      </w:r>
      <w:r>
        <w:rPr>
          <w:rFonts w:hint="eastAsia" w:ascii="仿宋" w:hAnsi="仿宋" w:eastAsia="仿宋" w:cs="仿宋"/>
          <w:sz w:val="24"/>
          <w:szCs w:val="24"/>
        </w:rPr>
        <w:t xml:space="preserve">属合同</w:t>
      </w:r>
      <w:r>
        <w:rPr>
          <w:rFonts w:hint="eastAsia" w:ascii="仿宋" w:hAnsi="仿宋" w:eastAsia="仿宋" w:cs="仿宋"/>
          <w:sz w:val="24"/>
          <w:szCs w:val="24"/>
        </w:rPr>
        <w:t xml:space="preserve">有效期内发生的保险赔偿及相关费用按当期合同约定赔付。</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五、人员、车辆配置</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1.乙方配置项目负责人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，项目服务团队人员为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；（合同后</w:t>
      </w:r>
      <w:r>
        <w:rPr>
          <w:rFonts w:hint="eastAsia" w:ascii="仿宋" w:hAnsi="仿宋" w:eastAsia="仿宋" w:cs="仿宋"/>
          <w:sz w:val="24"/>
          <w:szCs w:val="24"/>
        </w:rPr>
        <w:t xml:space="preserve">附人员</w:t>
      </w:r>
      <w:r>
        <w:rPr>
          <w:rFonts w:hint="eastAsia" w:ascii="仿宋" w:hAnsi="仿宋" w:eastAsia="仿宋" w:cs="仿宋"/>
          <w:sz w:val="24"/>
          <w:szCs w:val="24"/>
        </w:rPr>
        <w:t xml:space="preserve">相关资料）</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2.配置3辆专门用于服务的车辆。</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六、付款方式</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1.付款方式：</w:t>
      </w:r>
      <w:r/>
    </w:p>
    <w:p>
      <w:pPr>
        <w:ind w:firstLine="480"/>
        <w:spacing w:line="360" w:lineRule="auto"/>
        <w:rPr>
          <w:rFonts w:ascii="仿宋" w:hAnsi="仿宋" w:eastAsia="仿宋" w:cs="仿宋"/>
          <w:sz w:val="24"/>
          <w:szCs w:val="24"/>
        </w:rPr>
      </w:pPr>
      <w:r>
        <w:rPr>
          <w:rFonts w:hint="eastAsia" w:ascii="仿宋" w:hAnsi="仿宋" w:eastAsia="仿宋" w:cs="仿宋"/>
          <w:sz w:val="24"/>
          <w:szCs w:val="24"/>
          <w:highlight w:val="cyan"/>
        </w:rPr>
        <w:t xml:space="preserve">（1）保单生效日（中标公示日结束后10日内），</w:t>
      </w:r>
      <w:r>
        <w:rPr>
          <w:rFonts w:hint="eastAsia" w:ascii="仿宋" w:hAnsi="仿宋" w:eastAsia="仿宋" w:cs="仿宋"/>
          <w:sz w:val="24"/>
          <w:szCs w:val="24"/>
        </w:rPr>
        <w:t xml:space="preserve">支付年度综合服务保费</w:t>
      </w:r>
      <w:r>
        <w:rPr>
          <w:rFonts w:hint="eastAsia" w:ascii="仿宋" w:hAnsi="仿宋" w:eastAsia="仿宋" w:cs="仿宋"/>
          <w:sz w:val="24"/>
          <w:szCs w:val="24"/>
        </w:rPr>
        <w:t xml:space="preserve">的25%作为预付款；</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（2）每年度的7月30日前，支付年度综合服务保费的25%；</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（3）每年度的10月30日前，支付年度综合服务保费的25%；</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（4）当年度保险合同结束后，经甲方考核合格且履约验收通过后30天内支付余款。</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2.满足合同约定支付条件的，自收到发票后10个工作日内支付。</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七、履约保证金</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本项目不收取履约保证金。</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八、履约验收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1.甲方依法组织履约验收工作。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九、税费</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本合同执行中相关的一切税费均由乙方负担。</w:t>
      </w:r>
      <w:r/>
    </w:p>
    <w:p>
      <w:pPr>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十、违约责任</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1.甲方、乙方若有违反本协议规定或其他违纪事项可向相关部门投诉。经相关部门核查，如情况</w:t>
      </w:r>
      <w:r>
        <w:rPr>
          <w:rFonts w:hint="eastAsia" w:ascii="仿宋" w:hAnsi="仿宋" w:eastAsia="仿宋" w:cs="仿宋"/>
          <w:sz w:val="24"/>
          <w:szCs w:val="24"/>
        </w:rPr>
        <w:t xml:space="preserve">属实将</w:t>
      </w:r>
      <w:r>
        <w:rPr>
          <w:rFonts w:hint="eastAsia" w:ascii="仿宋" w:hAnsi="仿宋" w:eastAsia="仿宋" w:cs="仿宋"/>
          <w:sz w:val="24"/>
          <w:szCs w:val="24"/>
        </w:rPr>
        <w:t xml:space="preserve">作为有效投诉记录在案，自愿接受相应处罚。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2.乙方不能按约定进行服务的，甲方有权解除合同，同时有权要求乙方按照合同总价5%的标准支付违约金，解除合同的通知自发出之日生效。</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4.乙方投标属虚假承诺，或是由于乙方的过错造成合同无法继续履行的，应向甲方支付不少于合同总价30%违约金，若该违约金不足以弥补甲方损失，</w:t>
      </w:r>
      <w:r>
        <w:rPr>
          <w:rFonts w:hint="eastAsia" w:ascii="仿宋" w:hAnsi="仿宋" w:eastAsia="仿宋" w:cs="仿宋"/>
          <w:sz w:val="24"/>
          <w:szCs w:val="24"/>
        </w:rPr>
        <w:t xml:space="preserve">则应当赔偿甲方所有损失。</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5.其他未尽事宜，以《民法典》等有关法律法规规定为准，无相关规定的，双方协商解决。</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十一、不可抗力事件处理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1.甲、乙方中任何一方，因不可抗力不能按时或完全履行合同的，应及时通知对方，并在</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日内提供相应证明。未履行</w:t>
      </w:r>
      <w:r>
        <w:rPr>
          <w:rFonts w:hint="eastAsia" w:ascii="仿宋" w:hAnsi="仿宋" w:eastAsia="仿宋" w:cs="仿宋"/>
          <w:sz w:val="24"/>
          <w:szCs w:val="24"/>
        </w:rPr>
        <w:t xml:space="preserve">完合同</w:t>
      </w:r>
      <w:r>
        <w:rPr>
          <w:rFonts w:hint="eastAsia" w:ascii="仿宋" w:hAnsi="仿宋" w:eastAsia="仿宋" w:cs="仿宋"/>
          <w:sz w:val="24"/>
          <w:szCs w:val="24"/>
        </w:rPr>
        <w:t xml:space="preserve">部分是否继续履行、如何履行等问题，可由双方初步协商，并向主管部门报告。确定为不可抗力原因造成的损失，免予承担责任。</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2.不可抗力事件延续120天以上，双方应通过友好协商，确定是否继续履行合同。</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十二、附则</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1.本合同考核办法及招标文件、乙方投标文件及投标澄清或承诺，作为合同附件，对合同条款具有补充作用，具有同等法律效力。</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2.保险保单与本合同发生冲突的，以本合同为准。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3.未尽事宜，甲乙双方协商解决，并签订书面补充协议。补充协议与本合同具有同等效力。</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十三、争议处理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双方在执行合同中所发生的一切争议，应通过协商解决。如协商不成，任一方均有权向甲方住所地有管辖权的人民法院提起诉讼。</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十四、合同生效及其它</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1.合同经双方法定代表人（负责人）或授权代表签字并加盖单位公章后生效。</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2.本合同一式</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份，具有同等法律效力，甲方执</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份，乙方执</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w:t>
      </w:r>
      <w:r/>
    </w:p>
    <w:p>
      <w:pPr>
        <w:ind w:firstLine="480"/>
        <w:spacing w:line="360" w:lineRule="auto"/>
        <w:widowControl/>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360"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甲方：                           乙方：</w:t>
      </w:r>
      <w:r/>
    </w:p>
    <w:p>
      <w:pPr>
        <w:ind w:firstLine="480"/>
        <w:spacing w:line="360"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地址：                           地址：      </w:t>
      </w:r>
      <w:r/>
    </w:p>
    <w:p>
      <w:pPr>
        <w:ind w:firstLine="480"/>
        <w:spacing w:line="360"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法定（授权）代表人：              法定代表人</w:t>
      </w:r>
      <w:r>
        <w:rPr>
          <w:rFonts w:hint="eastAsia" w:ascii="仿宋" w:hAnsi="仿宋" w:eastAsia="仿宋" w:cs="仿宋"/>
          <w:sz w:val="24"/>
          <w:szCs w:val="24"/>
        </w:rPr>
        <w:t xml:space="preserve">（负责人）</w:t>
      </w:r>
      <w:r>
        <w:rPr>
          <w:rFonts w:hint="eastAsia" w:ascii="仿宋" w:hAnsi="仿宋" w:eastAsia="仿宋" w:cs="仿宋"/>
          <w:color w:val="000000"/>
          <w:sz w:val="24"/>
          <w:szCs w:val="24"/>
        </w:rPr>
        <w:t xml:space="preserve">或委托代理人：</w:t>
      </w:r>
      <w:r/>
    </w:p>
    <w:p>
      <w:pPr>
        <w:ind w:firstLine="480"/>
        <w:spacing w:line="360"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签字日期：      年  月  日</w:t>
      </w:r>
      <w:r>
        <w:rPr>
          <w:rFonts w:hint="eastAsia" w:ascii="仿宋" w:hAnsi="仿宋" w:eastAsia="仿宋" w:cs="仿宋"/>
          <w:color w:val="000000"/>
          <w:sz w:val="24"/>
          <w:szCs w:val="24"/>
        </w:rPr>
        <w:tab/>
        <w:t xml:space="preserve">     签字日期：        年  月  日</w:t>
      </w:r>
      <w:r/>
    </w:p>
    <w:p>
      <w:pPr>
        <w:ind w:firstLine="480"/>
        <w:rPr>
          <w:rFonts w:ascii="宋体" w:hAnsi="宋体"/>
          <w:color w:val="000000"/>
          <w:sz w:val="24"/>
        </w:rPr>
      </w:pPr>
      <w:r>
        <w:rPr>
          <w:rFonts w:ascii="宋体" w:hAnsi="宋体"/>
          <w:color w:val="000000"/>
          <w:sz w:val="24"/>
        </w:rPr>
      </w:r>
      <w:r/>
    </w:p>
    <w:p>
      <w:pPr>
        <w:pStyle w:val="946"/>
        <w:ind w:left="1470" w:right="1470"/>
      </w:pPr>
      <w:r/>
      <w:r/>
    </w:p>
    <w:p>
      <w:pPr>
        <w:pStyle w:val="911"/>
        <w:rPr>
          <w:rFonts w:ascii="黑体" w:eastAsia="黑体"/>
          <w:b/>
          <w:bCs/>
          <w:sz w:val="44"/>
        </w:rPr>
      </w:pPr>
      <w:r>
        <w:rPr>
          <w:rFonts w:hint="eastAsia" w:ascii="黑体" w:eastAsia="黑体"/>
          <w:b/>
          <w:bCs/>
          <w:sz w:val="44"/>
        </w:rPr>
        <w:t xml:space="preserve">第四章 采购需求</w:t>
      </w:r>
      <w:r/>
    </w:p>
    <w:p>
      <w:pPr>
        <w:pStyle w:val="1005"/>
        <w:ind w:left="0"/>
        <w:jc w:val="both"/>
        <w:spacing w:line="440" w:lineRule="exact"/>
        <w:widowControl w:val="off"/>
        <w:rPr>
          <w:rFonts w:ascii="宋体" w:hAnsi="宋体" w:cs="宋体"/>
          <w:b/>
          <w:lang w:eastAsia="zh-CN"/>
        </w:rPr>
      </w:pPr>
      <w:r>
        <w:rPr>
          <w:rFonts w:hint="eastAsia" w:ascii="宋体" w:hAnsi="宋体" w:cs="宋体"/>
          <w:b/>
          <w:lang w:eastAsia="zh-CN"/>
        </w:rPr>
        <w:t xml:space="preserve">一、采购标的</w:t>
      </w:r>
      <w:r/>
    </w:p>
    <w:p>
      <w:pPr>
        <w:ind w:firstLine="482"/>
        <w:spacing w:line="440" w:lineRule="exact"/>
        <w:rPr>
          <w:rFonts w:ascii="宋体" w:hAnsi="宋体" w:cs="宋体"/>
          <w:sz w:val="24"/>
          <w:szCs w:val="24"/>
        </w:rPr>
      </w:pPr>
      <w:r>
        <w:rPr>
          <w:rFonts w:hint="eastAsia" w:ascii="宋体" w:hAnsi="宋体" w:cs="宋体"/>
          <w:b/>
          <w:sz w:val="24"/>
        </w:rPr>
        <w:t xml:space="preserve">1.项目名称：</w:t>
      </w:r>
      <w:r>
        <w:rPr>
          <w:rFonts w:hint="eastAsia" w:ascii="宋体" w:hAnsi="宋体" w:cs="宋体"/>
          <w:sz w:val="24"/>
          <w:szCs w:val="24"/>
        </w:rPr>
        <w:t xml:space="preserve">常州市天宁区2026-2028年度道路设施养护管理综合保险服务</w:t>
      </w:r>
      <w:r/>
    </w:p>
    <w:p>
      <w:pPr>
        <w:ind w:firstLine="482"/>
        <w:spacing w:line="440" w:lineRule="exact"/>
        <w:rPr>
          <w:rFonts w:ascii="宋体" w:hAnsi="宋体" w:cs="宋体"/>
          <w:sz w:val="24"/>
        </w:rPr>
      </w:pPr>
      <w:r>
        <w:rPr>
          <w:rFonts w:hint="eastAsia" w:ascii="宋体" w:hAnsi="宋体" w:cs="宋体"/>
          <w:b/>
          <w:bCs/>
          <w:sz w:val="24"/>
        </w:rPr>
        <w:t xml:space="preserve">2.预算金额：</w:t>
      </w:r>
      <w:r>
        <w:rPr>
          <w:rFonts w:hint="eastAsia" w:ascii="宋体" w:hAnsi="宋体" w:cs="宋体"/>
          <w:sz w:val="24"/>
          <w:szCs w:val="24"/>
        </w:rPr>
        <w:t xml:space="preserve">人民币3000万元/3年</w:t>
      </w:r>
      <w:r>
        <w:rPr>
          <w:rFonts w:hint="eastAsia" w:ascii="宋体" w:hAnsi="宋体" w:cs="宋体"/>
          <w:sz w:val="24"/>
        </w:rPr>
        <w:t xml:space="preserve"> </w:t>
      </w:r>
      <w:r/>
    </w:p>
    <w:p>
      <w:pPr>
        <w:ind w:firstLine="482"/>
        <w:spacing w:line="440" w:lineRule="exact"/>
        <w:rPr>
          <w:rFonts w:ascii="宋体" w:hAnsi="宋体" w:cs="宋体"/>
          <w:sz w:val="24"/>
          <w:szCs w:val="24"/>
        </w:rPr>
      </w:pPr>
      <w:r>
        <w:rPr>
          <w:rFonts w:hint="eastAsia" w:ascii="宋体" w:hAnsi="宋体" w:cs="宋体"/>
          <w:b/>
          <w:bCs/>
          <w:sz w:val="24"/>
        </w:rPr>
        <w:t xml:space="preserve">3.最高限价：</w:t>
      </w:r>
      <w:r>
        <w:rPr>
          <w:rFonts w:hint="eastAsia" w:ascii="宋体" w:hAnsi="宋体" w:cs="宋体"/>
          <w:sz w:val="24"/>
          <w:szCs w:val="24"/>
        </w:rPr>
        <w:t xml:space="preserve">人民币3000万元/3年</w:t>
      </w:r>
      <w:r/>
    </w:p>
    <w:p>
      <w:pPr>
        <w:ind w:firstLine="482"/>
        <w:spacing w:line="440" w:lineRule="exact"/>
        <w:rPr>
          <w:rFonts w:ascii="宋体" w:hAnsi="宋体" w:cs="宋体"/>
          <w:sz w:val="24"/>
          <w:u w:val="single"/>
        </w:rPr>
      </w:pPr>
      <w:r>
        <w:rPr>
          <w:rFonts w:hint="eastAsia" w:ascii="宋体" w:hAnsi="宋体" w:cs="宋体"/>
          <w:b/>
          <w:bCs/>
          <w:sz w:val="24"/>
        </w:rPr>
        <w:t xml:space="preserve">4.采购项目概况（简介）：</w:t>
      </w:r>
      <w:r>
        <w:rPr>
          <w:rFonts w:hint="eastAsia" w:ascii="宋体" w:hAnsi="宋体" w:cs="宋体"/>
          <w:sz w:val="24"/>
        </w:rPr>
        <w:t xml:space="preserve">为充分运用市场化体制，提高财政资金使用效率，贯彻新“国十条”精神，优化现代城市体系，充分发挥保险费率杠杆的激励约束作用，强化事前风险防范，减少灾害事故发生，促进安全生产和突发事件应急管理，拟就天宁区城市道路、桥梁等市政设施采用“综合保险+”服务，发挥保险促进经济社会发展的作用和功能，促进政府职能转变，创新社会管理手段。 </w:t>
      </w:r>
      <w:r/>
    </w:p>
    <w:p>
      <w:pPr>
        <w:ind w:firstLine="482"/>
        <w:spacing w:line="440" w:lineRule="exact"/>
        <w:rPr>
          <w:rFonts w:ascii="宋体" w:hAnsi="宋体" w:cs="宋体"/>
          <w:sz w:val="24"/>
        </w:rPr>
      </w:pPr>
      <w:r>
        <w:rPr>
          <w:rFonts w:hint="eastAsia" w:ascii="宋体" w:hAnsi="宋体" w:cs="宋体"/>
          <w:b/>
          <w:bCs/>
          <w:sz w:val="24"/>
        </w:rPr>
        <w:t xml:space="preserve">5.合同履行期限：</w:t>
      </w:r>
      <w:r>
        <w:rPr>
          <w:rFonts w:hint="eastAsia" w:ascii="宋体" w:hAnsi="宋体" w:cs="宋体"/>
          <w:sz w:val="24"/>
          <w:highlight w:val="cyan"/>
        </w:rPr>
        <w:t xml:space="preserve">服务期三年，第一年期合同期限自合同签订生效之日起一年，</w:t>
      </w:r>
      <w:r>
        <w:rPr>
          <w:rFonts w:hint="eastAsia" w:ascii="宋体" w:hAnsi="宋体" w:cs="宋体"/>
          <w:sz w:val="24"/>
        </w:rPr>
        <w:t xml:space="preserve">后续的保险合同一年一签；采购人在每年合同结束前对中标人该年度保险服务及赔付工作</w:t>
      </w:r>
      <w:r>
        <w:rPr>
          <w:rFonts w:hint="eastAsia" w:ascii="宋体" w:hAnsi="宋体" w:cs="宋体"/>
          <w:iCs/>
          <w:sz w:val="24"/>
          <w:highlight w:val="cyan"/>
        </w:rPr>
        <w:t xml:space="preserve">进行</w:t>
      </w:r>
      <w:r>
        <w:rPr>
          <w:rFonts w:hint="eastAsia" w:ascii="宋体" w:hAnsi="宋体" w:cs="宋体"/>
          <w:sz w:val="24"/>
        </w:rPr>
        <w:t xml:space="preserve">考核，考核合格的，可续签下一期合同（若因政策调整等客观情况需要重新进行招标的，采购人有权单方面终止合同）。</w:t>
      </w:r>
      <w:r/>
    </w:p>
    <w:p>
      <w:pPr>
        <w:ind w:firstLine="482"/>
        <w:spacing w:line="440" w:lineRule="exact"/>
        <w:rPr>
          <w:rFonts w:ascii="宋体" w:hAnsi="宋体" w:cs="宋体"/>
          <w:sz w:val="24"/>
        </w:rPr>
      </w:pPr>
      <w:r>
        <w:rPr>
          <w:rFonts w:hint="eastAsia" w:ascii="宋体" w:hAnsi="宋体" w:cs="宋体"/>
          <w:b/>
          <w:bCs/>
          <w:sz w:val="24"/>
        </w:rPr>
        <w:t xml:space="preserve">6.是/</w:t>
      </w:r>
      <w:r>
        <w:rPr>
          <w:rFonts w:hint="eastAsia" w:ascii="宋体" w:hAnsi="宋体" w:cs="宋体"/>
          <w:b/>
          <w:bCs/>
          <w:sz w:val="24"/>
        </w:rPr>
        <w:t xml:space="preserve">否接受</w:t>
      </w:r>
      <w:r>
        <w:rPr>
          <w:rFonts w:hint="eastAsia" w:ascii="宋体" w:hAnsi="宋体" w:cs="宋体"/>
          <w:b/>
          <w:bCs/>
          <w:sz w:val="24"/>
        </w:rPr>
        <w:t xml:space="preserve">联合体投标：</w:t>
      </w:r>
      <w:r>
        <w:rPr>
          <w:rFonts w:hint="eastAsia" w:ascii="宋体" w:hAnsi="宋体" w:cs="宋体"/>
          <w:sz w:val="24"/>
        </w:rPr>
        <w:t xml:space="preserve">是；</w:t>
      </w:r>
      <w:r/>
    </w:p>
    <w:p>
      <w:pPr>
        <w:ind w:firstLine="480"/>
        <w:spacing w:line="440" w:lineRule="exact"/>
        <w:rPr>
          <w:rFonts w:ascii="宋体" w:hAnsi="宋体" w:cs="宋体"/>
          <w:sz w:val="24"/>
        </w:rPr>
      </w:pPr>
      <w:r>
        <w:rPr>
          <w:rFonts w:hint="eastAsia" w:ascii="宋体" w:hAnsi="宋体" w:cs="宋体"/>
          <w:sz w:val="24"/>
        </w:rPr>
        <w:t xml:space="preserve">接受联合体的还需填报对联合体组成的要求和数量：2个</w:t>
      </w:r>
      <w:r/>
    </w:p>
    <w:p>
      <w:pPr>
        <w:ind w:firstLine="482"/>
        <w:spacing w:line="440" w:lineRule="exact"/>
        <w:rPr>
          <w:rFonts w:ascii="宋体" w:hAnsi="宋体" w:cs="宋体"/>
          <w:bCs/>
          <w:sz w:val="24"/>
          <w:highlight w:val="yellow"/>
        </w:rPr>
      </w:pPr>
      <w:r>
        <w:rPr>
          <w:rFonts w:hint="eastAsia" w:ascii="宋体" w:hAnsi="宋体" w:cs="宋体"/>
          <w:b/>
          <w:bCs/>
          <w:sz w:val="24"/>
        </w:rPr>
        <w:t xml:space="preserve">7.是/</w:t>
      </w:r>
      <w:r>
        <w:rPr>
          <w:rFonts w:hint="eastAsia" w:ascii="宋体" w:hAnsi="宋体" w:cs="宋体"/>
          <w:b/>
          <w:bCs/>
          <w:sz w:val="24"/>
        </w:rPr>
        <w:t xml:space="preserve">否接受</w:t>
      </w:r>
      <w:r>
        <w:rPr>
          <w:rFonts w:hint="eastAsia" w:ascii="宋体" w:hAnsi="宋体" w:cs="宋体"/>
          <w:b/>
          <w:bCs/>
          <w:sz w:val="24"/>
        </w:rPr>
        <w:t xml:space="preserve">分支机构参与响应：</w:t>
      </w:r>
      <w:r>
        <w:rPr>
          <w:rFonts w:hint="eastAsia" w:ascii="宋体" w:hAnsi="宋体" w:cs="宋体"/>
          <w:bCs/>
          <w:sz w:val="24"/>
        </w:rPr>
        <w:t xml:space="preserve">是</w:t>
      </w:r>
      <w:r/>
    </w:p>
    <w:p>
      <w:pPr>
        <w:ind w:firstLine="482"/>
        <w:spacing w:line="440" w:lineRule="exact"/>
        <w:rPr>
          <w:rFonts w:ascii="宋体" w:hAnsi="宋体" w:cs="宋体"/>
          <w:sz w:val="24"/>
        </w:rPr>
      </w:pPr>
      <w:r>
        <w:rPr>
          <w:rFonts w:hint="eastAsia" w:ascii="宋体" w:hAnsi="宋体" w:cs="宋体"/>
          <w:b/>
          <w:bCs/>
          <w:sz w:val="24"/>
        </w:rPr>
        <w:t xml:space="preserve">8.是/</w:t>
      </w:r>
      <w:r>
        <w:rPr>
          <w:rFonts w:hint="eastAsia" w:ascii="宋体" w:hAnsi="宋体" w:cs="宋体"/>
          <w:b/>
          <w:bCs/>
          <w:sz w:val="24"/>
        </w:rPr>
        <w:t xml:space="preserve">否属于</w:t>
      </w:r>
      <w:r>
        <w:rPr>
          <w:rFonts w:hint="eastAsia" w:ascii="宋体" w:hAnsi="宋体" w:cs="宋体"/>
          <w:b/>
          <w:bCs/>
          <w:sz w:val="24"/>
        </w:rPr>
        <w:t xml:space="preserve">政府购买服务：</w:t>
      </w:r>
      <w:r>
        <w:rPr>
          <w:rFonts w:hint="eastAsia" w:ascii="宋体" w:hAnsi="宋体" w:cs="宋体"/>
          <w:sz w:val="24"/>
        </w:rPr>
        <w:t xml:space="preserve">是</w:t>
      </w:r>
      <w:r/>
    </w:p>
    <w:p>
      <w:pPr>
        <w:ind w:firstLine="482"/>
        <w:spacing w:line="440" w:lineRule="exact"/>
        <w:rPr>
          <w:rFonts w:ascii="宋体" w:hAnsi="宋体" w:cs="宋体"/>
          <w:sz w:val="24"/>
        </w:rPr>
      </w:pPr>
      <w:r>
        <w:rPr>
          <w:rFonts w:hint="eastAsia" w:ascii="宋体" w:hAnsi="宋体" w:cs="宋体"/>
          <w:b/>
          <w:bCs/>
          <w:sz w:val="24"/>
        </w:rPr>
        <w:t xml:space="preserve">9.是/</w:t>
      </w:r>
      <w:r>
        <w:rPr>
          <w:rFonts w:hint="eastAsia" w:ascii="宋体" w:hAnsi="宋体" w:cs="宋体"/>
          <w:b/>
          <w:bCs/>
          <w:sz w:val="24"/>
        </w:rPr>
        <w:t xml:space="preserve">否接受</w:t>
      </w:r>
      <w:r>
        <w:rPr>
          <w:rFonts w:hint="eastAsia" w:ascii="宋体" w:hAnsi="宋体" w:cs="宋体"/>
          <w:b/>
          <w:bCs/>
          <w:sz w:val="24"/>
        </w:rPr>
        <w:t xml:space="preserve">进口产品投标：</w:t>
      </w:r>
      <w:r>
        <w:rPr>
          <w:rFonts w:hint="eastAsia" w:ascii="宋体" w:hAnsi="宋体" w:cs="宋体"/>
          <w:sz w:val="24"/>
        </w:rPr>
        <w:t xml:space="preserve">否</w:t>
      </w:r>
      <w:r/>
    </w:p>
    <w:p>
      <w:pPr>
        <w:ind w:firstLine="482"/>
        <w:spacing w:line="440" w:lineRule="exact"/>
        <w:rPr>
          <w:rFonts w:ascii="宋体" w:hAnsi="宋体" w:cs="宋体"/>
          <w:sz w:val="24"/>
        </w:rPr>
      </w:pPr>
      <w:r>
        <w:rPr>
          <w:rFonts w:hint="eastAsia" w:ascii="宋体" w:hAnsi="宋体" w:cs="宋体"/>
          <w:b/>
          <w:bCs/>
          <w:sz w:val="24"/>
        </w:rPr>
        <w:t xml:space="preserve">10. 是/</w:t>
      </w:r>
      <w:r>
        <w:rPr>
          <w:rFonts w:hint="eastAsia" w:ascii="宋体" w:hAnsi="宋体" w:cs="宋体"/>
          <w:b/>
          <w:bCs/>
          <w:sz w:val="24"/>
        </w:rPr>
        <w:t xml:space="preserve">否专门</w:t>
      </w:r>
      <w:r>
        <w:rPr>
          <w:rFonts w:hint="eastAsia" w:ascii="宋体" w:hAnsi="宋体" w:cs="宋体"/>
          <w:b/>
          <w:bCs/>
          <w:sz w:val="24"/>
        </w:rPr>
        <w:t xml:space="preserve">面向中小企业预留采购份额：</w:t>
      </w:r>
      <w:r>
        <w:rPr>
          <w:rFonts w:hint="eastAsia" w:ascii="宋体" w:hAnsi="宋体" w:cs="宋体"/>
          <w:sz w:val="24"/>
        </w:rPr>
        <w:t xml:space="preserve">否</w:t>
      </w:r>
      <w:r/>
    </w:p>
    <w:p>
      <w:pPr>
        <w:ind w:firstLine="482"/>
        <w:spacing w:line="440" w:lineRule="exact"/>
        <w:rPr>
          <w:rFonts w:ascii="宋体" w:hAnsi="宋体" w:cs="宋体"/>
          <w:b/>
          <w:bCs/>
          <w:sz w:val="24"/>
        </w:rPr>
      </w:pPr>
      <w:r>
        <w:rPr>
          <w:rFonts w:hint="eastAsia" w:ascii="宋体" w:hAnsi="宋体" w:cs="宋体"/>
          <w:b/>
          <w:bCs/>
          <w:sz w:val="24"/>
        </w:rPr>
        <w:t xml:space="preserve">11.本项目的特定资格要求：</w:t>
      </w:r>
      <w:r/>
    </w:p>
    <w:p>
      <w:pPr>
        <w:ind w:firstLine="480"/>
        <w:spacing w:line="440" w:lineRule="exact"/>
        <w:rPr>
          <w:rFonts w:ascii="宋体" w:hAnsi="宋体" w:cs="宋体"/>
          <w:bCs/>
          <w:sz w:val="24"/>
        </w:rPr>
      </w:pPr>
      <w:r>
        <w:rPr>
          <w:rFonts w:hint="eastAsia" w:ascii="宋体" w:hAnsi="宋体" w:cs="宋体"/>
          <w:bCs/>
          <w:sz w:val="24"/>
        </w:rPr>
        <w:t xml:space="preserve">（1）投标人具备中国银保监会颁发的有效期内的保险许可证证书。</w:t>
      </w:r>
      <w:r/>
    </w:p>
    <w:p>
      <w:pPr>
        <w:ind w:firstLine="480"/>
        <w:spacing w:line="440" w:lineRule="exact"/>
        <w:rPr>
          <w:rFonts w:ascii="宋体" w:hAnsi="宋体" w:cs="宋体"/>
          <w:bCs/>
          <w:sz w:val="24"/>
        </w:rPr>
      </w:pPr>
      <w:r>
        <w:rPr>
          <w:rFonts w:hint="eastAsia" w:ascii="宋体" w:hAnsi="宋体" w:cs="宋体"/>
          <w:bCs/>
          <w:sz w:val="24"/>
        </w:rPr>
        <w:t xml:space="preserve">（2）投标人如为分支机构参与本项目投标响应，须提供总公司的有效授权证明。</w:t>
      </w:r>
      <w:r/>
    </w:p>
    <w:p>
      <w:pPr>
        <w:ind w:firstLine="480"/>
        <w:spacing w:line="440" w:lineRule="exact"/>
        <w:rPr>
          <w:rFonts w:ascii="宋体" w:hAnsi="宋体" w:cs="宋体"/>
          <w:bCs/>
          <w:sz w:val="24"/>
        </w:rPr>
      </w:pPr>
      <w:r>
        <w:rPr>
          <w:rFonts w:hint="eastAsia" w:ascii="宋体" w:hAnsi="宋体" w:cs="宋体"/>
          <w:bCs/>
          <w:sz w:val="24"/>
        </w:rPr>
        <w:t xml:space="preserve">（3）投标人如为联合体投标，则联合体所有成员均应具备上述（1和2项）特定资格要求。</w:t>
      </w:r>
      <w:r/>
    </w:p>
    <w:p>
      <w:pPr>
        <w:ind w:firstLine="482"/>
        <w:spacing w:line="440" w:lineRule="exact"/>
        <w:rPr>
          <w:rFonts w:ascii="宋体" w:hAnsi="宋体" w:cs="宋体"/>
          <w:bCs/>
          <w:sz w:val="24"/>
        </w:rPr>
      </w:pPr>
      <w:r>
        <w:rPr>
          <w:rFonts w:hint="eastAsia" w:ascii="宋体" w:hAnsi="宋体" w:cs="宋体"/>
          <w:b/>
          <w:sz w:val="24"/>
        </w:rPr>
        <w:t xml:space="preserve">12.项目类别：</w:t>
      </w:r>
      <w:r>
        <w:rPr>
          <w:rFonts w:hint="eastAsia" w:ascii="宋体" w:hAnsi="宋体" w:cs="宋体"/>
          <w:bCs/>
          <w:sz w:val="24"/>
        </w:rPr>
        <w:t xml:space="preserve">服务类</w:t>
      </w:r>
      <w:r/>
    </w:p>
    <w:p>
      <w:pPr>
        <w:rPr>
          <w:rFonts w:ascii="宋体" w:hAnsi="宋体"/>
          <w:sz w:val="24"/>
        </w:rPr>
      </w:pPr>
      <w:r>
        <w:rPr>
          <w:rFonts w:ascii="宋体" w:hAnsi="宋体"/>
          <w:sz w:val="24"/>
        </w:rPr>
      </w:r>
      <w:r/>
    </w:p>
    <w:p>
      <w:pPr>
        <w:pStyle w:val="1005"/>
        <w:ind w:left="500" w:hanging="500"/>
        <w:jc w:val="both"/>
        <w:spacing w:line="440" w:lineRule="exact"/>
        <w:widowControl w:val="off"/>
        <w:rPr>
          <w:rFonts w:ascii="宋体" w:hAnsi="宋体" w:cs="宋体"/>
          <w:b/>
          <w:lang w:eastAsia="zh-CN"/>
        </w:rPr>
      </w:pPr>
      <w:r>
        <w:rPr>
          <w:rFonts w:hint="eastAsia" w:ascii="宋体" w:hAnsi="宋体" w:cs="宋体"/>
          <w:b/>
          <w:lang w:eastAsia="zh-CN"/>
        </w:rPr>
        <w:t xml:space="preserve">二、商务要求</w:t>
      </w:r>
      <w:r/>
    </w:p>
    <w:p>
      <w:pPr>
        <w:ind w:firstLine="482"/>
        <w:spacing w:line="440" w:lineRule="exact"/>
        <w:rPr>
          <w:rFonts w:ascii="宋体" w:hAnsi="宋体" w:cs="宋体"/>
          <w:b/>
          <w:bCs/>
          <w:i/>
          <w:sz w:val="24"/>
        </w:rPr>
      </w:pPr>
      <w:r>
        <w:rPr>
          <w:rFonts w:hint="eastAsia" w:ascii="宋体" w:hAnsi="宋体" w:cs="宋体"/>
          <w:b/>
          <w:bCs/>
          <w:sz w:val="24"/>
        </w:rPr>
        <w:t xml:space="preserve">1.交付（实施）的时间（期限）和地点（范围）</w:t>
      </w:r>
      <w:r/>
    </w:p>
    <w:p>
      <w:pPr>
        <w:ind w:firstLine="480"/>
        <w:spacing w:line="440" w:lineRule="exact"/>
        <w:rPr>
          <w:rFonts w:ascii="宋体" w:hAnsi="宋体" w:cs="宋体"/>
          <w:i/>
          <w:sz w:val="24"/>
        </w:rPr>
      </w:pPr>
      <w:r>
        <w:rPr>
          <w:rFonts w:hint="eastAsia" w:ascii="宋体" w:hAnsi="宋体" w:cs="宋体"/>
          <w:iCs/>
          <w:sz w:val="24"/>
          <w:highlight w:val="cyan"/>
        </w:rPr>
        <w:t xml:space="preserve">服务期：服务期三年，第一年期合同期限自合同签订生效之日起一年，</w:t>
      </w:r>
      <w:r>
        <w:rPr>
          <w:rFonts w:hint="eastAsia" w:ascii="宋体" w:hAnsi="宋体" w:cs="宋体"/>
          <w:iCs/>
          <w:sz w:val="24"/>
        </w:rPr>
        <w:t xml:space="preserve">后续的保险合同一年一签；采购人在每年合同结束前对中标人该年度保险服务及赔付工作</w:t>
      </w:r>
      <w:r>
        <w:rPr>
          <w:rFonts w:hint="eastAsia" w:ascii="宋体" w:hAnsi="宋体" w:cs="宋体"/>
          <w:iCs/>
          <w:sz w:val="24"/>
          <w:highlight w:val="cyan"/>
        </w:rPr>
        <w:t xml:space="preserve">进行</w:t>
      </w:r>
      <w:r>
        <w:rPr>
          <w:rFonts w:hint="eastAsia" w:ascii="宋体" w:hAnsi="宋体" w:cs="宋体"/>
          <w:iCs/>
          <w:sz w:val="24"/>
        </w:rPr>
        <w:t xml:space="preserve">考核，考核合格的，可续签下一期合同（若因政策调整等客观情况需要重新进行招标的，采购人有权单方面终止合同）。</w:t>
      </w:r>
      <w:r/>
    </w:p>
    <w:p>
      <w:pPr>
        <w:ind w:firstLine="480"/>
        <w:spacing w:line="440" w:lineRule="exact"/>
        <w:rPr>
          <w:rFonts w:ascii="宋体" w:hAnsi="宋体" w:cs="宋体"/>
          <w:sz w:val="24"/>
        </w:rPr>
      </w:pPr>
      <w:r>
        <w:rPr>
          <w:rFonts w:hint="eastAsia" w:ascii="宋体" w:hAnsi="宋体" w:cs="宋体"/>
          <w:sz w:val="24"/>
        </w:rPr>
        <w:t xml:space="preserve">地点：按采购人指定的地点。</w:t>
      </w:r>
      <w:r/>
    </w:p>
    <w:p>
      <w:pPr>
        <w:ind w:firstLine="482"/>
        <w:spacing w:line="440" w:lineRule="exact"/>
        <w:rPr>
          <w:rFonts w:ascii="宋体" w:hAnsi="宋体" w:cs="宋体"/>
          <w:b/>
          <w:bCs/>
          <w:sz w:val="24"/>
        </w:rPr>
      </w:pPr>
      <w:r>
        <w:rPr>
          <w:rFonts w:hint="eastAsia" w:ascii="宋体" w:hAnsi="宋体" w:cs="宋体"/>
          <w:b/>
          <w:bCs/>
          <w:sz w:val="24"/>
        </w:rPr>
        <w:t xml:space="preserve">2.付款条件（进度和方式）</w:t>
      </w:r>
      <w:r/>
    </w:p>
    <w:p>
      <w:pPr>
        <w:ind w:firstLine="482"/>
        <w:spacing w:line="440" w:lineRule="exact"/>
        <w:rPr>
          <w:rFonts w:ascii="宋体" w:hAnsi="宋体" w:cs="宋体"/>
          <w:sz w:val="24"/>
        </w:rPr>
      </w:pPr>
      <w:r>
        <w:rPr>
          <w:rFonts w:hint="eastAsia" w:ascii="宋体" w:hAnsi="宋体" w:cs="宋体"/>
          <w:b/>
          <w:bCs/>
          <w:sz w:val="24"/>
        </w:rPr>
        <w:t xml:space="preserve">2.1付款方式：</w:t>
      </w:r>
      <w:r/>
    </w:p>
    <w:p>
      <w:pPr>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highlight w:val="cyan"/>
        </w:rPr>
        <w:t xml:space="preserve">保单生效日（中标公示日结束后10日内）</w:t>
      </w:r>
      <w:r>
        <w:rPr>
          <w:rFonts w:hint="eastAsia" w:ascii="宋体" w:hAnsi="宋体" w:cs="宋体"/>
          <w:sz w:val="24"/>
        </w:rPr>
        <w:t xml:space="preserve">，支付年度综合服务保费的25%作为预付款；</w:t>
      </w:r>
      <w:r/>
    </w:p>
    <w:p>
      <w:pPr>
        <w:ind w:firstLine="480"/>
        <w:spacing w:line="440" w:lineRule="exact"/>
        <w:rPr>
          <w:rFonts w:ascii="宋体" w:hAnsi="宋体" w:cs="宋体"/>
          <w:sz w:val="24"/>
        </w:rPr>
      </w:pPr>
      <w:r>
        <w:rPr>
          <w:rFonts w:hint="eastAsia" w:ascii="宋体" w:hAnsi="宋体" w:cs="宋体"/>
          <w:sz w:val="24"/>
        </w:rPr>
        <w:t xml:space="preserve">（2）每年度的7月30日前，支付年度综合服务保费的25%；</w:t>
      </w:r>
      <w:r/>
    </w:p>
    <w:p>
      <w:pPr>
        <w:ind w:firstLine="480"/>
        <w:spacing w:line="440" w:lineRule="exact"/>
        <w:rPr>
          <w:rFonts w:ascii="宋体" w:hAnsi="宋体" w:cs="宋体"/>
          <w:sz w:val="24"/>
        </w:rPr>
      </w:pPr>
      <w:r>
        <w:rPr>
          <w:rFonts w:hint="eastAsia" w:ascii="宋体" w:hAnsi="宋体" w:cs="宋体"/>
          <w:sz w:val="24"/>
        </w:rPr>
        <w:t xml:space="preserve">（3）每年度的10月30日前，支付年度综合服务保费的25%；</w:t>
      </w:r>
      <w:r/>
    </w:p>
    <w:p>
      <w:pPr>
        <w:ind w:firstLine="480"/>
        <w:spacing w:line="440" w:lineRule="exact"/>
        <w:rPr>
          <w:rFonts w:ascii="宋体" w:hAnsi="宋体" w:cs="宋体"/>
          <w:sz w:val="24"/>
        </w:rPr>
      </w:pPr>
      <w:r>
        <w:rPr>
          <w:rFonts w:hint="eastAsia" w:ascii="宋体" w:hAnsi="宋体" w:cs="宋体"/>
          <w:sz w:val="24"/>
        </w:rPr>
        <w:t xml:space="preserve">（4）当年度保险合同结束后，经甲方考核合格且履约验收通过后30天内支付余款。</w:t>
      </w:r>
      <w:r/>
    </w:p>
    <w:p>
      <w:pPr>
        <w:ind w:firstLine="482"/>
        <w:spacing w:line="440" w:lineRule="exact"/>
        <w:rPr>
          <w:rFonts w:ascii="宋体" w:hAnsi="宋体" w:cs="宋体"/>
          <w:sz w:val="24"/>
        </w:rPr>
      </w:pPr>
      <w:r>
        <w:rPr>
          <w:rFonts w:hint="eastAsia" w:ascii="宋体" w:hAnsi="宋体" w:cs="宋体"/>
          <w:b/>
          <w:bCs/>
          <w:sz w:val="24"/>
        </w:rPr>
        <w:t xml:space="preserve">2.2</w:t>
      </w:r>
      <w:r>
        <w:rPr>
          <w:rFonts w:hint="eastAsia" w:ascii="宋体" w:hAnsi="宋体" w:cs="宋体"/>
          <w:sz w:val="24"/>
        </w:rPr>
        <w:t xml:space="preserve">满足合同约定支付条件的，自收到发票后10个工作日内支付。</w:t>
      </w:r>
      <w:r/>
    </w:p>
    <w:p>
      <w:pPr>
        <w:ind w:firstLine="482"/>
        <w:spacing w:line="440" w:lineRule="exact"/>
        <w:rPr>
          <w:rFonts w:ascii="宋体" w:hAnsi="宋体" w:cs="宋体"/>
          <w:sz w:val="24"/>
        </w:rPr>
      </w:pPr>
      <w:r>
        <w:rPr>
          <w:rFonts w:hint="eastAsia" w:ascii="宋体" w:hAnsi="宋体" w:cs="宋体"/>
          <w:b/>
          <w:bCs/>
          <w:sz w:val="24"/>
        </w:rPr>
        <w:t xml:space="preserve">3.包装和运输：</w:t>
      </w:r>
      <w:r>
        <w:rPr>
          <w:rFonts w:hint="eastAsia" w:ascii="宋体" w:hAnsi="宋体" w:cs="宋体"/>
          <w:sz w:val="24"/>
        </w:rPr>
        <w:t xml:space="preserve">无</w:t>
      </w:r>
      <w:r/>
    </w:p>
    <w:p>
      <w:pPr>
        <w:ind w:firstLine="482"/>
        <w:spacing w:line="440" w:lineRule="exact"/>
        <w:rPr>
          <w:rFonts w:ascii="宋体" w:hAnsi="宋体" w:cs="宋体"/>
          <w:sz w:val="24"/>
        </w:rPr>
      </w:pPr>
      <w:r>
        <w:rPr>
          <w:rFonts w:hint="eastAsia" w:ascii="宋体" w:hAnsi="宋体" w:cs="宋体"/>
          <w:b/>
          <w:bCs/>
          <w:sz w:val="24"/>
        </w:rPr>
        <w:t xml:space="preserve">4.售后服务（质保期等）：</w:t>
      </w:r>
      <w:r>
        <w:rPr>
          <w:rFonts w:hint="eastAsia" w:ascii="宋体" w:hAnsi="宋体" w:cs="宋体"/>
          <w:sz w:val="24"/>
        </w:rPr>
        <w:t xml:space="preserve">无</w:t>
      </w:r>
      <w:r/>
    </w:p>
    <w:p>
      <w:pPr>
        <w:ind w:firstLine="482"/>
        <w:spacing w:line="440" w:lineRule="exact"/>
        <w:rPr>
          <w:rFonts w:ascii="宋体" w:hAnsi="宋体" w:cs="宋体"/>
          <w:sz w:val="24"/>
        </w:rPr>
      </w:pPr>
      <w:r>
        <w:rPr>
          <w:rFonts w:hint="eastAsia" w:ascii="宋体" w:hAnsi="宋体" w:cs="宋体"/>
          <w:b/>
          <w:bCs/>
          <w:sz w:val="24"/>
        </w:rPr>
        <w:t xml:space="preserve">5.保险：</w:t>
      </w:r>
      <w:r>
        <w:rPr>
          <w:rFonts w:hint="eastAsia" w:ascii="宋体" w:hAnsi="宋体" w:cs="宋体"/>
          <w:sz w:val="24"/>
        </w:rPr>
        <w:t xml:space="preserve">无</w:t>
      </w:r>
      <w:r/>
    </w:p>
    <w:p>
      <w:pPr>
        <w:rPr>
          <w:sz w:val="24"/>
        </w:rPr>
      </w:pPr>
      <w:r>
        <w:rPr>
          <w:sz w:val="24"/>
        </w:rPr>
      </w:r>
      <w:r/>
    </w:p>
    <w:p>
      <w:pPr>
        <w:pStyle w:val="1005"/>
        <w:ind w:left="0"/>
        <w:jc w:val="both"/>
        <w:widowControl w:val="off"/>
        <w:rPr>
          <w:rFonts w:ascii="Times New Roman" w:hAnsi="Times New Roman"/>
          <w:b/>
          <w:lang w:eastAsia="zh-CN"/>
        </w:rPr>
      </w:pPr>
      <w:r>
        <w:rPr>
          <w:rFonts w:ascii="Times New Roman" w:hAnsi="Times New Roman"/>
          <w:b/>
          <w:lang w:eastAsia="zh-CN"/>
        </w:rPr>
        <w:t xml:space="preserve">三、技术要求</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（一）项目概况</w:t>
      </w:r>
      <w:r/>
    </w:p>
    <w:p>
      <w:pPr>
        <w:ind w:firstLine="480"/>
        <w:spacing w:line="440" w:lineRule="exact"/>
        <w:rPr>
          <w:rFonts w:ascii="宋体" w:hAnsi="宋体" w:cs="宋体"/>
          <w:sz w:val="24"/>
          <w:szCs w:val="24"/>
        </w:rPr>
      </w:pPr>
      <w:r>
        <w:rPr>
          <w:rFonts w:hint="eastAsia" w:ascii="宋体" w:hAnsi="宋体" w:cs="宋体"/>
          <w:sz w:val="24"/>
          <w:szCs w:val="24"/>
        </w:rPr>
        <w:t xml:space="preserve">随着城市化进程的快速推进，城市规模扩张、人口产业聚集，建设从增量步入存量</w:t>
      </w:r>
      <w:r>
        <w:rPr>
          <w:rFonts w:hint="eastAsia" w:ascii="宋体" w:hAnsi="宋体" w:cs="宋体"/>
          <w:sz w:val="24"/>
          <w:szCs w:val="24"/>
        </w:rPr>
        <w:t xml:space="preserve">提质新阶段</w:t>
      </w:r>
      <w:r>
        <w:rPr>
          <w:rFonts w:hint="eastAsia" w:ascii="宋体" w:hAnsi="宋体" w:cs="宋体"/>
          <w:sz w:val="24"/>
          <w:szCs w:val="24"/>
        </w:rPr>
        <w:t xml:space="preserve">。但城市路桥安全问题日益凸显，路面损坏、桥梁病害多，风险呈现灾害耦合、损失放大等复杂特征，传统监测难以应对。自事权下放以来，天宁区在市政养护过程中，屡次发生车辆受损或行人受伤的情况，尤其是近两年来，已发生近十起，最终均由养护单位垫资赔偿。为充分运用市场化机制，提高财政资金使用效率，贯彻新“国十条”精神，通过开办城市道路桥梁综合保险+服务，进行城市道路、桥梁等市政设施管养维修工作保险化尝试，发挥保险促进经济社会发展，服务民生保障的作用和功能，促进政府职能转变。</w:t>
      </w:r>
      <w:r/>
    </w:p>
    <w:p>
      <w:pPr>
        <w:ind w:firstLine="480"/>
        <w:spacing w:line="440" w:lineRule="exact"/>
        <w:rPr>
          <w:rFonts w:ascii="宋体" w:hAnsi="宋体" w:cs="宋体"/>
          <w:sz w:val="24"/>
          <w:szCs w:val="24"/>
        </w:rPr>
      </w:pPr>
      <w:r>
        <w:rPr>
          <w:rFonts w:hint="eastAsia" w:ascii="宋体" w:hAnsi="宋体" w:cs="宋体"/>
          <w:sz w:val="24"/>
          <w:szCs w:val="24"/>
        </w:rPr>
        <w:t xml:space="preserve">保险公司承担道路桥梁维修费用进行赔偿；因路桥维修保养不到位而导致的第三方的财产以及人身伤亡赔偿。</w:t>
      </w:r>
      <w:r/>
    </w:p>
    <w:p>
      <w:pPr>
        <w:ind w:firstLine="480"/>
        <w:spacing w:line="440" w:lineRule="exact"/>
        <w:rPr>
          <w:rFonts w:ascii="宋体" w:hAnsi="宋体" w:cs="宋体"/>
          <w:sz w:val="24"/>
          <w:szCs w:val="24"/>
        </w:rPr>
      </w:pPr>
      <w:r>
        <w:rPr>
          <w:rFonts w:hint="eastAsia" w:ascii="宋体" w:hAnsi="宋体" w:cs="宋体"/>
          <w:sz w:val="24"/>
          <w:szCs w:val="24"/>
        </w:rPr>
        <w:t xml:space="preserve">区住建局根据道路桥梁的日常养护标准规范，负责对总包单位的监管和考核，确保养护标准不降、设施运转正常、问题处理得当、道桥通行顺畅。</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（二）服务范围和内容</w:t>
      </w:r>
      <w:r/>
    </w:p>
    <w:p>
      <w:pPr>
        <w:ind w:firstLine="480"/>
        <w:spacing w:line="440" w:lineRule="exact"/>
        <w:rPr>
          <w:rFonts w:ascii="宋体" w:hAnsi="宋体" w:cs="宋体"/>
          <w:sz w:val="24"/>
          <w:szCs w:val="24"/>
        </w:rPr>
      </w:pPr>
      <w:r>
        <w:rPr>
          <w:rFonts w:hint="eastAsia" w:ascii="宋体" w:hAnsi="宋体" w:cs="宋体"/>
          <w:sz w:val="24"/>
          <w:szCs w:val="24"/>
        </w:rPr>
        <w:t xml:space="preserve">天宁区管</w:t>
      </w:r>
      <w:r>
        <w:rPr>
          <w:rFonts w:hint="eastAsia" w:ascii="宋体" w:hAnsi="宋体" w:cs="宋体"/>
          <w:sz w:val="24"/>
          <w:szCs w:val="24"/>
        </w:rPr>
        <w:t xml:space="preserve">养范围</w:t>
      </w:r>
      <w:r>
        <w:rPr>
          <w:rFonts w:hint="eastAsia" w:ascii="宋体" w:hAnsi="宋体" w:cs="宋体"/>
          <w:sz w:val="24"/>
          <w:szCs w:val="24"/>
        </w:rPr>
        <w:t xml:space="preserve">内的城市道路、背街小巷、县道、桥梁及其附属设施（具体内容详见清单）总面积约为620万平方米。针对上述服务范围内的城市道路、背街小巷、县道、桥梁及其附属设施等进行综合保险服务。综合保险服务主要包括财产损失维修保险和公众责任险。其中，财产损失维修保险包含：城市道路桥梁综合保险和城市道路桥梁综合保险相关保险附加险（具体名称以中标供应商提供的险种名称为准）。</w:t>
      </w:r>
      <w:r/>
    </w:p>
    <w:p>
      <w:pPr>
        <w:ind w:firstLine="480"/>
        <w:spacing w:line="440" w:lineRule="exact"/>
        <w:rPr>
          <w:rFonts w:ascii="宋体" w:hAnsi="宋体" w:cs="宋体"/>
          <w:sz w:val="24"/>
          <w:szCs w:val="24"/>
        </w:rPr>
      </w:pPr>
      <w:r>
        <w:rPr>
          <w:rFonts w:hint="eastAsia" w:ascii="宋体" w:hAnsi="宋体" w:cs="宋体"/>
          <w:sz w:val="24"/>
          <w:szCs w:val="24"/>
        </w:rPr>
        <w:t xml:space="preserve">本项目综合保险服务费总价包干，中标供应商提供兜底保障，针对在管</w:t>
      </w:r>
      <w:r>
        <w:rPr>
          <w:rFonts w:hint="eastAsia" w:ascii="宋体" w:hAnsi="宋体" w:cs="宋体"/>
          <w:sz w:val="24"/>
          <w:szCs w:val="24"/>
        </w:rPr>
        <w:t xml:space="preserve">养范围</w:t>
      </w:r>
      <w:r>
        <w:rPr>
          <w:rFonts w:hint="eastAsia" w:ascii="宋体" w:hAnsi="宋体" w:cs="宋体"/>
          <w:sz w:val="24"/>
          <w:szCs w:val="24"/>
        </w:rPr>
        <w:t xml:space="preserve">内由于自然灾害、意外事故造成的人员及财产损失（</w:t>
      </w:r>
      <w:r>
        <w:rPr>
          <w:rFonts w:hint="eastAsia" w:ascii="宋体" w:hAnsi="宋体" w:cs="宋体"/>
          <w:sz w:val="24"/>
          <w:szCs w:val="24"/>
        </w:rPr>
        <w:t xml:space="preserve">仅指需由</w:t>
      </w:r>
      <w:r>
        <w:rPr>
          <w:rFonts w:hint="eastAsia" w:ascii="宋体" w:hAnsi="宋体" w:cs="宋体"/>
          <w:sz w:val="24"/>
          <w:szCs w:val="24"/>
        </w:rPr>
        <w:t xml:space="preserve">采购人承担民事赔偿责任的部分）进行赔付，并且提供一揽子服务，委托有资质的专业第三方机构，对投保的路桥开展日常巡查、检测、施工、设计、维修（含开挖恢复）、监测及相关系统维护等服务工作。</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（三）保险及其他服务要求</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一）保险标的</w:t>
      </w:r>
      <w:r/>
    </w:p>
    <w:p>
      <w:pPr>
        <w:ind w:firstLine="480"/>
        <w:spacing w:line="440" w:lineRule="exact"/>
        <w:rPr>
          <w:rFonts w:ascii="宋体" w:hAnsi="宋体" w:cs="宋体"/>
          <w:sz w:val="24"/>
          <w:szCs w:val="24"/>
        </w:rPr>
      </w:pPr>
      <w:r>
        <w:rPr>
          <w:rFonts w:hint="eastAsia" w:ascii="宋体" w:hAnsi="宋体" w:cs="宋体"/>
          <w:sz w:val="24"/>
          <w:szCs w:val="24"/>
        </w:rPr>
        <w:t xml:space="preserve">天宁区管</w:t>
      </w:r>
      <w:r>
        <w:rPr>
          <w:rFonts w:hint="eastAsia" w:ascii="宋体" w:hAnsi="宋体" w:cs="宋体"/>
          <w:sz w:val="24"/>
          <w:szCs w:val="24"/>
        </w:rPr>
        <w:t xml:space="preserve">养范围</w:t>
      </w:r>
      <w:r>
        <w:rPr>
          <w:rFonts w:hint="eastAsia" w:ascii="宋体" w:hAnsi="宋体" w:cs="宋体"/>
          <w:sz w:val="24"/>
          <w:szCs w:val="24"/>
        </w:rPr>
        <w:t xml:space="preserve">内的城市道路、背街小巷、县道、桥梁及其附属设施（具体内容详见清单）总面积约为620万平方米。针对上述服务范围内的城市道路、背街小巷、县道、桥梁及其附属设施等进行综合保险服务。</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二）险种</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本次保险险种共分两大类，主要为财产保险和公众责任险。其中，财产保险包含：城市道路桥梁综合保险和城市道路桥梁综合保险相关保险附加险（具体名称以中标供应商提供的险种名称为准）。</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1、财产保险</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总保额为：人民币陆仟万元/年（¥60,000,000.00元）</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1.1城市道路桥梁综合保险（具体名称以中标供应商提供的险种名称为准）</w:t>
      </w:r>
      <w:r/>
    </w:p>
    <w:p>
      <w:pPr>
        <w:ind w:firstLine="482"/>
        <w:spacing w:line="440" w:lineRule="exact"/>
        <w:rPr>
          <w:rFonts w:ascii="宋体" w:hAnsi="宋体" w:cs="宋体"/>
          <w:b/>
          <w:bCs/>
          <w:sz w:val="24"/>
          <w:szCs w:val="24"/>
        </w:rPr>
      </w:pPr>
      <w:r>
        <w:rPr>
          <w:rFonts w:hint="eastAsia" w:ascii="宋体" w:hAnsi="宋体" w:cs="宋体"/>
          <w:b/>
          <w:bCs/>
          <w:sz w:val="24"/>
          <w:szCs w:val="24"/>
          <w:highlight w:val="cyan"/>
        </w:rPr>
        <w:t xml:space="preserve">赔偿限额：年度累计赔偿限额壹仟伍佰万元（¥15,000,000.00元）</w:t>
      </w:r>
      <w:r>
        <w:rPr>
          <w:rFonts w:hint="eastAsia" w:ascii="宋体" w:hAnsi="宋体" w:cs="宋体"/>
          <w:b/>
          <w:bCs/>
          <w:sz w:val="24"/>
          <w:szCs w:val="24"/>
        </w:rPr>
        <w:t xml:space="preserve">，</w:t>
      </w:r>
      <w:r/>
    </w:p>
    <w:p>
      <w:pPr>
        <w:ind w:firstLine="482"/>
        <w:spacing w:line="440" w:lineRule="exact"/>
        <w:rPr>
          <w:rFonts w:ascii="宋体" w:hAnsi="宋体" w:cs="宋体"/>
          <w:b/>
          <w:bCs/>
          <w:sz w:val="24"/>
          <w:szCs w:val="24"/>
          <w:highlight w:val="cyan"/>
        </w:rPr>
      </w:pPr>
      <w:r>
        <w:rPr>
          <w:rFonts w:hint="eastAsia" w:ascii="宋体" w:hAnsi="宋体" w:cs="宋体"/>
          <w:b/>
          <w:bCs/>
          <w:sz w:val="24"/>
          <w:szCs w:val="24"/>
          <w:highlight w:val="cyan"/>
        </w:rPr>
        <w:t xml:space="preserve">每次赔偿限额伍佰万元（¥5,000,000.00元）</w:t>
      </w:r>
      <w:r/>
    </w:p>
    <w:p>
      <w:pPr>
        <w:ind w:firstLine="480"/>
        <w:spacing w:line="440" w:lineRule="exact"/>
        <w:rPr>
          <w:rFonts w:ascii="宋体" w:hAnsi="宋体" w:cs="宋体"/>
          <w:sz w:val="24"/>
          <w:szCs w:val="24"/>
        </w:rPr>
      </w:pPr>
      <w:r>
        <w:rPr>
          <w:rFonts w:hint="eastAsia" w:ascii="宋体" w:hAnsi="宋体" w:cs="宋体"/>
          <w:sz w:val="24"/>
          <w:szCs w:val="24"/>
        </w:rPr>
        <w:t xml:space="preserve">在保险期间内，保险标的在正常使用过程中由于自然灾害、意外事故或发生故障造成直接物质损坏或灭失(以下简称“损失”)需要维修或替换的，保险人按照本保险合同的约定对被保险人在保单载明的维修机构维修保险标的过程</w:t>
      </w:r>
      <w:r>
        <w:rPr>
          <w:rFonts w:hint="eastAsia" w:ascii="宋体" w:hAnsi="宋体" w:cs="宋体"/>
          <w:sz w:val="24"/>
          <w:szCs w:val="24"/>
        </w:rPr>
        <w:t xml:space="preserve">中发生的材料费、人工费、专家费、清理费、检验费、应急加固费等必要的、合理的费用，保险人按照本保险合同的约定负责赔偿。</w:t>
      </w:r>
      <w:r/>
    </w:p>
    <w:p>
      <w:pPr>
        <w:ind w:firstLine="480"/>
        <w:spacing w:line="440" w:lineRule="exact"/>
        <w:rPr>
          <w:rFonts w:ascii="宋体" w:hAnsi="宋体" w:cs="宋体"/>
          <w:sz w:val="24"/>
          <w:szCs w:val="24"/>
        </w:rPr>
      </w:pPr>
      <w:r>
        <w:rPr>
          <w:rFonts w:hint="eastAsia" w:ascii="宋体" w:hAnsi="宋体" w:cs="宋体"/>
          <w:sz w:val="24"/>
          <w:szCs w:val="24"/>
        </w:rPr>
        <w:t xml:space="preserve">保险事故发生后，被保险人为防止或减少保险标的损失所支付的必要的、合理的费用，保险人按照合同约定负责赔偿。</w:t>
      </w:r>
      <w:r/>
    </w:p>
    <w:p>
      <w:pPr>
        <w:ind w:firstLine="482"/>
        <w:spacing w:line="440" w:lineRule="exact"/>
        <w:rPr>
          <w:rFonts w:ascii="宋体" w:hAnsi="宋体" w:cs="宋体"/>
          <w:sz w:val="24"/>
          <w:szCs w:val="24"/>
        </w:rPr>
      </w:pPr>
      <w:r>
        <w:rPr>
          <w:rFonts w:hint="eastAsia" w:ascii="宋体" w:hAnsi="宋体" w:cs="宋体"/>
          <w:b/>
          <w:bCs/>
          <w:sz w:val="24"/>
          <w:szCs w:val="24"/>
        </w:rPr>
        <w:t xml:space="preserve">1.2城市道路桥梁综合保险相关保险附加险（具体名称以中标供应商提供的险种名称为准）：</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放弃比例分摊保险条款</w:t>
      </w:r>
      <w:r/>
    </w:p>
    <w:p>
      <w:pPr>
        <w:ind w:firstLine="480"/>
        <w:spacing w:line="440" w:lineRule="exact"/>
        <w:rPr>
          <w:rFonts w:ascii="宋体" w:hAnsi="宋体" w:cs="宋体"/>
          <w:sz w:val="24"/>
          <w:szCs w:val="24"/>
        </w:rPr>
      </w:pPr>
      <w:r>
        <w:rPr>
          <w:rFonts w:hint="eastAsia" w:ascii="宋体" w:hAnsi="宋体" w:cs="宋体"/>
          <w:sz w:val="24"/>
          <w:szCs w:val="24"/>
        </w:rPr>
        <w:t xml:space="preserve">在保险期间内，保险人视本保险合同为足额投保，发生保险责任范围内的损失，保险人在保险金额以内按实际损失计算赔偿，不作比例分摊。若本保险合同所列标的物不止一项时，应逐项分别计算,但保险期间内累计赔偿金额仍以总保险金额为限。</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2.公众责任保险</w:t>
      </w:r>
      <w:r/>
    </w:p>
    <w:p>
      <w:pPr>
        <w:ind w:firstLine="482"/>
        <w:spacing w:line="440" w:lineRule="exact"/>
        <w:rPr>
          <w:rFonts w:ascii="宋体" w:hAnsi="宋体" w:cs="宋体"/>
          <w:b/>
          <w:bCs/>
          <w:sz w:val="24"/>
          <w:szCs w:val="24"/>
          <w:highlight w:val="cyan"/>
        </w:rPr>
      </w:pPr>
      <w:r>
        <w:rPr>
          <w:rFonts w:hint="eastAsia" w:ascii="宋体" w:hAnsi="宋体" w:cs="宋体"/>
          <w:b/>
          <w:bCs/>
          <w:sz w:val="24"/>
          <w:szCs w:val="24"/>
          <w:highlight w:val="cyan"/>
        </w:rPr>
        <w:t xml:space="preserve">赔偿限额：年度累计赔偿限额人民币壹仟伍佰万元（¥15,000,000.00元）</w:t>
      </w:r>
      <w:r/>
    </w:p>
    <w:p>
      <w:pPr>
        <w:ind w:firstLine="482"/>
        <w:spacing w:line="440" w:lineRule="exact"/>
        <w:rPr>
          <w:rFonts w:ascii="宋体" w:hAnsi="宋体" w:cs="宋体"/>
          <w:b/>
          <w:bCs/>
          <w:sz w:val="24"/>
          <w:szCs w:val="24"/>
          <w:highlight w:val="cyan"/>
        </w:rPr>
      </w:pPr>
      <w:r>
        <w:rPr>
          <w:rFonts w:hint="eastAsia" w:ascii="宋体" w:hAnsi="宋体" w:cs="宋体"/>
          <w:b/>
          <w:bCs/>
          <w:sz w:val="24"/>
          <w:szCs w:val="24"/>
          <w:highlight w:val="cyan"/>
        </w:rPr>
        <w:t xml:space="preserve">每次赔偿限额伍佰万元（¥5,000,000.00元）</w:t>
      </w:r>
      <w:r/>
    </w:p>
    <w:p>
      <w:pPr>
        <w:ind w:firstLine="480"/>
        <w:spacing w:line="440" w:lineRule="exact"/>
        <w:rPr>
          <w:rFonts w:ascii="宋体" w:hAnsi="宋体" w:cs="宋体"/>
          <w:sz w:val="24"/>
          <w:szCs w:val="24"/>
        </w:rPr>
      </w:pPr>
      <w:r>
        <w:rPr>
          <w:rFonts w:hint="eastAsia" w:ascii="宋体" w:hAnsi="宋体" w:cs="宋体"/>
          <w:sz w:val="24"/>
          <w:szCs w:val="24"/>
        </w:rPr>
        <w:t xml:space="preserve">保险责任：被保险人在列明的地点范围内依法从事生产、经营等活动以及由于意外事故造成下列损失或费用，依法应由被保险人承担的民事赔偿责任，保险人负责赔偿：</w:t>
      </w:r>
      <w:r/>
    </w:p>
    <w:p>
      <w:pPr>
        <w:ind w:firstLine="480"/>
        <w:spacing w:line="440" w:lineRule="exact"/>
        <w:rPr>
          <w:rFonts w:ascii="宋体" w:hAnsi="宋体" w:cs="宋体"/>
          <w:sz w:val="24"/>
          <w:szCs w:val="24"/>
        </w:rPr>
      </w:pPr>
      <w:r>
        <w:rPr>
          <w:rFonts w:hint="eastAsia" w:ascii="宋体" w:hAnsi="宋体" w:cs="宋体"/>
          <w:sz w:val="24"/>
          <w:szCs w:val="24"/>
        </w:rPr>
        <w:t xml:space="preserve">①第三者人身伤亡或财产损失；</w:t>
      </w:r>
      <w:r/>
    </w:p>
    <w:p>
      <w:pPr>
        <w:ind w:firstLine="480"/>
        <w:spacing w:line="440" w:lineRule="exact"/>
        <w:rPr>
          <w:rFonts w:ascii="宋体" w:hAnsi="宋体" w:cs="宋体"/>
          <w:sz w:val="24"/>
          <w:szCs w:val="24"/>
        </w:rPr>
      </w:pPr>
      <w:r>
        <w:rPr>
          <w:rFonts w:hint="eastAsia" w:ascii="宋体" w:hAnsi="宋体" w:cs="宋体"/>
          <w:sz w:val="24"/>
          <w:szCs w:val="24"/>
        </w:rPr>
        <w:t xml:space="preserve">②事先经保险人书面同意的诉讼费用；</w:t>
      </w:r>
      <w:r/>
    </w:p>
    <w:p>
      <w:pPr>
        <w:ind w:firstLine="480"/>
        <w:spacing w:line="440" w:lineRule="exact"/>
        <w:rPr>
          <w:rFonts w:ascii="宋体" w:hAnsi="宋体" w:cs="宋体"/>
          <w:sz w:val="24"/>
          <w:szCs w:val="24"/>
        </w:rPr>
      </w:pPr>
      <w:r>
        <w:rPr>
          <w:rFonts w:hint="eastAsia" w:ascii="宋体" w:hAnsi="宋体" w:cs="宋体"/>
          <w:sz w:val="24"/>
          <w:szCs w:val="24"/>
        </w:rPr>
        <w:t xml:space="preserve">③发生保险责任事故后，被保险人为缩小或减少对第三者人身伤亡或财产损失的赔偿责任所支付的必要的、合理的费用。</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三）其他相关服务要求</w:t>
      </w:r>
      <w:r/>
    </w:p>
    <w:p>
      <w:pPr>
        <w:ind w:firstLine="480"/>
        <w:spacing w:line="440" w:lineRule="exact"/>
        <w:rPr>
          <w:rFonts w:ascii="宋体" w:hAnsi="宋体" w:cs="宋体"/>
          <w:sz w:val="24"/>
          <w:szCs w:val="24"/>
        </w:rPr>
      </w:pPr>
      <w:r>
        <w:rPr>
          <w:rFonts w:hint="eastAsia" w:ascii="宋体" w:hAnsi="宋体" w:cs="宋体"/>
          <w:sz w:val="24"/>
          <w:szCs w:val="24"/>
        </w:rPr>
        <w:t xml:space="preserve">1、建立针对本项目的管理制度、应急服务制度、标准化操作流程，成立专项小组，明确各部门的职责。投标人的标准化操作流程应包括服务全过程中的各项细节工作流程，包括但不限于日常巡查管理、常规维修费用赔付流程、责任保险（公众责任、财产损失、自然灾害等）理赔流程、其他相关工作流程等。</w:t>
      </w:r>
      <w:r/>
    </w:p>
    <w:p>
      <w:pPr>
        <w:ind w:firstLine="480"/>
        <w:spacing w:line="440" w:lineRule="exact"/>
        <w:rPr>
          <w:rFonts w:ascii="宋体" w:hAnsi="宋体" w:cs="宋体"/>
          <w:sz w:val="24"/>
          <w:szCs w:val="24"/>
        </w:rPr>
      </w:pPr>
      <w:r>
        <w:rPr>
          <w:rFonts w:hint="eastAsia" w:ascii="宋体" w:hAnsi="宋体" w:cs="宋体"/>
          <w:sz w:val="24"/>
          <w:szCs w:val="24"/>
        </w:rPr>
        <w:t xml:space="preserve">2、服务期限内，中标供应商负责进行保险理赔事项的技术支持（包括但不限于采购人在进行公众责任险等相关保险理赔时协助与配合采购人对各项理赔材料进行整理、汇总等）、协助进行维权处理工作。按照采购人要求做好对“常州市天宁区2026-2028年度道路设施养护管理综合保险服务”对应的第三</w:t>
      </w:r>
      <w:r>
        <w:rPr>
          <w:rFonts w:hint="eastAsia" w:ascii="宋体" w:hAnsi="宋体" w:cs="宋体"/>
          <w:sz w:val="24"/>
          <w:szCs w:val="24"/>
        </w:rPr>
        <w:t xml:space="preserve">方服务</w:t>
      </w:r>
      <w:r>
        <w:rPr>
          <w:rFonts w:hint="eastAsia" w:ascii="宋体" w:hAnsi="宋体" w:cs="宋体"/>
          <w:sz w:val="24"/>
          <w:szCs w:val="24"/>
        </w:rPr>
        <w:t xml:space="preserve">单位的监督、管理与考核工作。</w:t>
      </w:r>
      <w:r/>
    </w:p>
    <w:p>
      <w:pPr>
        <w:ind w:firstLine="480"/>
        <w:spacing w:line="440" w:lineRule="exact"/>
        <w:rPr>
          <w:rFonts w:ascii="宋体" w:hAnsi="宋体" w:cs="宋体"/>
          <w:sz w:val="24"/>
          <w:szCs w:val="24"/>
        </w:rPr>
      </w:pPr>
      <w:r>
        <w:rPr>
          <w:rFonts w:hint="eastAsia" w:ascii="宋体" w:hAnsi="宋体" w:cs="宋体"/>
          <w:sz w:val="24"/>
          <w:szCs w:val="24"/>
        </w:rPr>
        <w:t xml:space="preserve">3、投标人提供的保险条款须通过监管部门报备的条款及注册号，若投标时保险条款尚未完成报备的，投标人应承诺中标后15日内完成保险条款及费率的报备。</w:t>
      </w:r>
      <w:bookmarkStart w:id="193" w:name="_GoBack"/>
      <w:r/>
      <w:bookmarkEnd w:id="193"/>
      <w:r/>
      <w:r/>
    </w:p>
    <w:p>
      <w:pPr>
        <w:ind w:firstLine="480"/>
        <w:spacing w:line="440" w:lineRule="exact"/>
        <w:rPr>
          <w:rFonts w:ascii="宋体" w:hAnsi="宋体" w:cs="宋体"/>
          <w:sz w:val="24"/>
          <w:szCs w:val="24"/>
        </w:rPr>
      </w:pPr>
      <w:r>
        <w:rPr>
          <w:rFonts w:hint="eastAsia" w:ascii="宋体" w:hAnsi="宋体" w:cs="宋体"/>
          <w:sz w:val="24"/>
          <w:szCs w:val="24"/>
        </w:rPr>
        <w:t xml:space="preserve">4、中标供应商每年投入在道路桥梁养护的</w:t>
      </w:r>
      <w:r>
        <w:rPr>
          <w:rFonts w:hint="eastAsia" w:ascii="宋体" w:hAnsi="宋体" w:cs="宋体"/>
          <w:sz w:val="24"/>
          <w:szCs w:val="24"/>
        </w:rPr>
        <w:t xml:space="preserve">风控费用</w:t>
      </w:r>
      <w:r>
        <w:rPr>
          <w:rFonts w:hint="eastAsia" w:ascii="宋体" w:hAnsi="宋体" w:cs="宋体"/>
          <w:sz w:val="24"/>
          <w:szCs w:val="24"/>
        </w:rPr>
        <w:t xml:space="preserve">资金投入不得低于中标价格的10%，以30%为上限。主要用于保障道路桥梁正常使用及为了防止出现安全隐患而进行的日常巡查、养护、检测、设计、监测及相关系统维护等服务。</w:t>
      </w:r>
      <w:r/>
    </w:p>
    <w:p>
      <w:pPr>
        <w:ind w:firstLine="480"/>
        <w:spacing w:line="440" w:lineRule="exact"/>
        <w:rPr>
          <w:rFonts w:ascii="宋体" w:hAnsi="宋体" w:cs="宋体"/>
          <w:sz w:val="24"/>
          <w:szCs w:val="24"/>
        </w:rPr>
      </w:pPr>
      <w:r>
        <w:rPr>
          <w:rFonts w:hint="eastAsia" w:ascii="宋体" w:hAnsi="宋体" w:cs="宋体"/>
          <w:sz w:val="24"/>
          <w:szCs w:val="24"/>
        </w:rPr>
        <w:t xml:space="preserve">5、如合同到期未续约，但</w:t>
      </w:r>
      <w:r>
        <w:rPr>
          <w:rFonts w:hint="eastAsia" w:ascii="宋体" w:hAnsi="宋体" w:cs="宋体"/>
          <w:sz w:val="24"/>
          <w:szCs w:val="24"/>
        </w:rPr>
        <w:t xml:space="preserve">属合同</w:t>
      </w:r>
      <w:r>
        <w:rPr>
          <w:rFonts w:hint="eastAsia" w:ascii="宋体" w:hAnsi="宋体" w:cs="宋体"/>
          <w:sz w:val="24"/>
          <w:szCs w:val="24"/>
        </w:rPr>
        <w:t xml:space="preserve">有效期内发生的保险赔偿及相关费用按当期合同约定赔付。</w:t>
      </w:r>
      <w:r/>
    </w:p>
    <w:p>
      <w:pPr>
        <w:ind w:firstLine="480"/>
        <w:spacing w:line="440" w:lineRule="exact"/>
        <w:rPr>
          <w:rFonts w:ascii="宋体" w:hAnsi="宋体" w:cs="宋体"/>
          <w:b/>
          <w:sz w:val="24"/>
          <w:szCs w:val="24"/>
        </w:rPr>
      </w:pPr>
      <w:r>
        <w:rPr>
          <w:rFonts w:hint="eastAsia" w:ascii="宋体" w:hAnsi="宋体" w:cs="宋体"/>
          <w:sz w:val="24"/>
          <w:szCs w:val="24"/>
        </w:rPr>
        <w:t xml:space="preserve">★</w:t>
      </w:r>
      <w:r>
        <w:rPr>
          <w:rFonts w:hint="eastAsia" w:ascii="宋体" w:hAnsi="宋体" w:cs="宋体"/>
          <w:b/>
          <w:sz w:val="24"/>
          <w:szCs w:val="24"/>
        </w:rPr>
        <w:t xml:space="preserve">6、人员、车辆配置：</w:t>
      </w:r>
      <w:r/>
    </w:p>
    <w:p>
      <w:pPr>
        <w:ind w:firstLine="482"/>
        <w:spacing w:line="440" w:lineRule="exact"/>
        <w:rPr>
          <w:rFonts w:ascii="宋体" w:hAnsi="宋体" w:cs="宋体"/>
          <w:b/>
          <w:sz w:val="24"/>
          <w:szCs w:val="24"/>
        </w:rPr>
      </w:pPr>
      <w:r>
        <w:rPr>
          <w:rFonts w:hint="eastAsia" w:ascii="宋体" w:hAnsi="宋体" w:cs="宋体"/>
          <w:b/>
          <w:sz w:val="24"/>
          <w:szCs w:val="24"/>
        </w:rPr>
        <w:t xml:space="preserve">①针对本项目，中标人配置项目负责人1名（大专及以上学历，保险行业从业年限不少于5年，提供学历证明文件扫描件以及保险机构开具的从业年限证明文件，同时提供开标前连续3个月中任意一个月的社保缴纳证明）；</w:t>
      </w:r>
      <w:r/>
    </w:p>
    <w:p>
      <w:pPr>
        <w:ind w:firstLine="482"/>
        <w:spacing w:line="440" w:lineRule="exact"/>
        <w:rPr>
          <w:rFonts w:ascii="宋体" w:hAnsi="宋体" w:cs="宋体"/>
          <w:b/>
          <w:sz w:val="24"/>
          <w:szCs w:val="24"/>
        </w:rPr>
      </w:pPr>
      <w:r>
        <w:rPr>
          <w:rFonts w:hint="eastAsia" w:ascii="宋体" w:hAnsi="宋体" w:cs="宋体"/>
          <w:b/>
          <w:sz w:val="24"/>
          <w:szCs w:val="24"/>
        </w:rPr>
        <w:t xml:space="preserve">项目服务团队成员不少于3名（保险行业从业年限不少于2年，提供学历证明文件扫描件以及保险机构开具的从业年限证明文件，同时提供开标前连续3个月中任意一个月的社保缴纳证明）。</w:t>
      </w:r>
      <w:r/>
    </w:p>
    <w:p>
      <w:pPr>
        <w:ind w:firstLine="482"/>
        <w:spacing w:line="440" w:lineRule="exact"/>
        <w:rPr>
          <w:rFonts w:ascii="宋体" w:hAnsi="宋体" w:cs="宋体"/>
          <w:b/>
          <w:sz w:val="24"/>
          <w:szCs w:val="24"/>
        </w:rPr>
      </w:pPr>
      <w:r>
        <w:rPr>
          <w:rFonts w:hint="eastAsia" w:ascii="宋体" w:hAnsi="宋体" w:cs="宋体"/>
          <w:b/>
          <w:sz w:val="24"/>
          <w:szCs w:val="24"/>
        </w:rPr>
        <w:t xml:space="preserve">②中标人至少配置3辆专门用于本项目保险服务的车辆。</w:t>
      </w:r>
      <w:r/>
    </w:p>
    <w:p>
      <w:pPr>
        <w:ind w:firstLine="480"/>
        <w:spacing w:line="440" w:lineRule="exact"/>
        <w:rPr>
          <w:rFonts w:ascii="宋体" w:hAnsi="宋体" w:cs="宋体"/>
          <w:sz w:val="24"/>
          <w:szCs w:val="24"/>
        </w:rPr>
      </w:pPr>
      <w:r>
        <w:rPr>
          <w:rFonts w:hint="eastAsia" w:ascii="宋体" w:hAnsi="宋体" w:cs="宋体"/>
          <w:sz w:val="24"/>
          <w:szCs w:val="24"/>
        </w:rPr>
        <w:t xml:space="preserve">7、响应时间：</w:t>
      </w:r>
      <w:r/>
    </w:p>
    <w:p>
      <w:pPr>
        <w:ind w:firstLine="480"/>
        <w:spacing w:line="440" w:lineRule="exact"/>
        <w:rPr>
          <w:rFonts w:ascii="宋体" w:hAnsi="宋体" w:cs="宋体"/>
          <w:sz w:val="24"/>
          <w:szCs w:val="24"/>
        </w:rPr>
      </w:pPr>
      <w:r>
        <w:rPr>
          <w:rFonts w:hint="eastAsia" w:ascii="宋体" w:hAnsi="宋体" w:cs="宋体"/>
          <w:sz w:val="24"/>
          <w:szCs w:val="24"/>
        </w:rPr>
        <w:t xml:space="preserve">响应时间：中标供应</w:t>
      </w:r>
      <w:r>
        <w:rPr>
          <w:rFonts w:hint="eastAsia" w:ascii="宋体" w:hAnsi="宋体" w:cs="宋体"/>
          <w:sz w:val="24"/>
          <w:szCs w:val="24"/>
        </w:rPr>
        <w:t xml:space="preserve">商接到</w:t>
      </w:r>
      <w:r>
        <w:rPr>
          <w:rFonts w:hint="eastAsia" w:ascii="宋体" w:hAnsi="宋体" w:cs="宋体"/>
          <w:sz w:val="24"/>
          <w:szCs w:val="24"/>
        </w:rPr>
        <w:t xml:space="preserve">采购人通知后，10分钟内必须响应，保险服务单位30分钟内人员到达指定地点。</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（四）保险标的内容清单</w:t>
      </w:r>
      <w:r/>
    </w:p>
    <w:p>
      <w:pPr>
        <w:ind w:firstLine="480"/>
        <w:spacing w:line="440" w:lineRule="exact"/>
        <w:rPr>
          <w:rFonts w:ascii="宋体" w:hAnsi="宋体" w:cs="宋体"/>
          <w:sz w:val="24"/>
          <w:szCs w:val="24"/>
        </w:rPr>
      </w:pPr>
      <w:r>
        <w:rPr>
          <w:rFonts w:hint="eastAsia" w:ascii="宋体" w:hAnsi="宋体" w:cs="宋体"/>
          <w:sz w:val="24"/>
          <w:szCs w:val="24"/>
        </w:rPr>
        <w:t xml:space="preserve">详见附件清单</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（五）考核</w:t>
      </w:r>
      <w:r/>
    </w:p>
    <w:p>
      <w:pPr>
        <w:ind w:firstLine="480"/>
        <w:spacing w:line="440" w:lineRule="exact"/>
        <w:rPr>
          <w:rFonts w:ascii="宋体" w:hAnsi="宋体" w:cs="宋体"/>
          <w:sz w:val="24"/>
          <w:szCs w:val="24"/>
        </w:rPr>
      </w:pPr>
      <w:r>
        <w:rPr>
          <w:rFonts w:hint="eastAsia" w:ascii="宋体" w:hAnsi="宋体" w:cs="宋体"/>
          <w:sz w:val="24"/>
          <w:szCs w:val="24"/>
        </w:rPr>
        <w:t xml:space="preserve">为保障“常州市天宁区2026-2028年度道路设施养护管理综合保险服务”工作高效、规范，进一步提升天宁区城市道路、桥梁等市政设施精细化养护管理水平，加强养管养工作的监督考核，结合市、区相关考核标准，制订</w:t>
      </w:r>
      <w:r>
        <w:rPr>
          <w:rFonts w:hint="eastAsia" w:ascii="宋体" w:hAnsi="宋体" w:cs="宋体"/>
          <w:sz w:val="24"/>
          <w:szCs w:val="24"/>
        </w:rPr>
        <w:t xml:space="preserve">本考核</w:t>
      </w:r>
      <w:r>
        <w:rPr>
          <w:rFonts w:hint="eastAsia" w:ascii="宋体" w:hAnsi="宋体" w:cs="宋体"/>
          <w:sz w:val="24"/>
          <w:szCs w:val="24"/>
        </w:rPr>
        <w:t xml:space="preserve">标准。</w:t>
      </w:r>
      <w:r/>
    </w:p>
    <w:p>
      <w:pPr>
        <w:pStyle w:val="946"/>
        <w:ind w:left="0" w:right="0" w:firstLine="482"/>
        <w:spacing w:after="0" w:line="440" w:lineRule="exact"/>
        <w:rPr>
          <w:rFonts w:ascii="宋体" w:hAnsi="宋体" w:cs="宋体"/>
          <w:b/>
          <w:bCs/>
          <w:sz w:val="24"/>
          <w:szCs w:val="24"/>
        </w:rPr>
      </w:pPr>
      <w:r>
        <w:rPr>
          <w:rFonts w:hint="eastAsia" w:ascii="宋体" w:hAnsi="宋体" w:cs="宋体"/>
          <w:b/>
          <w:bCs/>
          <w:sz w:val="24"/>
          <w:szCs w:val="24"/>
        </w:rPr>
        <w:t xml:space="preserve">1.考核标准</w:t>
      </w:r>
      <w:r/>
    </w:p>
    <w:tbl>
      <w:tblPr>
        <w:tblW w:w="0" w:type="auto"/>
        <w:tblInd w:w="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40"/>
        <w:gridCol w:w="1990"/>
        <w:gridCol w:w="910"/>
        <w:gridCol w:w="4674"/>
      </w:tblGrid>
      <w:tr>
        <w:trPr>
          <w:trHeight w:val="454"/>
        </w:trPr>
        <w:tc>
          <w:tcPr>
            <w:tcW w:w="740" w:type="dxa"/>
            <w:vAlign w:val="center"/>
            <w:textDirection w:val="lrTb"/>
            <w:noWrap w:val="false"/>
          </w:tcPr>
          <w:p>
            <w:pPr>
              <w:pStyle w:val="1027"/>
              <w:jc w:val="center"/>
              <w:spacing w:before="0" w:beforeAutospacing="0" w:after="0" w:afterAutospacing="0"/>
              <w:widowControl w:val="off"/>
              <w:rPr>
                <w:rFonts w:cs="宋体"/>
                <w:b/>
                <w:bCs/>
                <w:szCs w:val="24"/>
              </w:rPr>
            </w:pPr>
            <w:r>
              <w:rPr>
                <w:rFonts w:hint="eastAsia" w:cs="宋体"/>
                <w:b/>
                <w:bCs/>
                <w:szCs w:val="24"/>
              </w:rPr>
              <w:t xml:space="preserve">序号</w:t>
            </w:r>
            <w:r/>
          </w:p>
        </w:tc>
        <w:tc>
          <w:tcPr>
            <w:tcW w:w="1990" w:type="dxa"/>
            <w:vAlign w:val="center"/>
            <w:textDirection w:val="lrTb"/>
            <w:noWrap w:val="false"/>
          </w:tcPr>
          <w:p>
            <w:pPr>
              <w:pStyle w:val="1027"/>
              <w:jc w:val="center"/>
              <w:spacing w:before="0" w:beforeAutospacing="0" w:after="0" w:afterAutospacing="0"/>
              <w:widowControl w:val="off"/>
              <w:rPr>
                <w:rFonts w:cs="宋体"/>
                <w:b/>
                <w:bCs/>
                <w:szCs w:val="24"/>
              </w:rPr>
            </w:pPr>
            <w:r>
              <w:rPr>
                <w:rFonts w:hint="eastAsia" w:cs="宋体"/>
                <w:b/>
                <w:bCs/>
                <w:szCs w:val="24"/>
              </w:rPr>
              <w:t xml:space="preserve">考核内容</w:t>
            </w:r>
            <w:r/>
          </w:p>
        </w:tc>
        <w:tc>
          <w:tcPr>
            <w:tcW w:w="910" w:type="dxa"/>
            <w:vAlign w:val="center"/>
            <w:textDirection w:val="lrTb"/>
            <w:noWrap w:val="false"/>
          </w:tcPr>
          <w:p>
            <w:pPr>
              <w:pStyle w:val="1027"/>
              <w:jc w:val="center"/>
              <w:spacing w:before="0" w:beforeAutospacing="0" w:after="0" w:afterAutospacing="0"/>
              <w:widowControl w:val="off"/>
              <w:rPr>
                <w:rFonts w:cs="宋体"/>
                <w:b/>
                <w:bCs/>
                <w:szCs w:val="24"/>
              </w:rPr>
            </w:pPr>
            <w:r>
              <w:rPr>
                <w:rFonts w:hint="eastAsia" w:cs="宋体"/>
                <w:b/>
                <w:bCs/>
                <w:szCs w:val="24"/>
              </w:rPr>
              <w:t xml:space="preserve">分值</w:t>
            </w:r>
            <w:r/>
          </w:p>
        </w:tc>
        <w:tc>
          <w:tcPr>
            <w:tcW w:w="4674" w:type="dxa"/>
            <w:vAlign w:val="center"/>
            <w:textDirection w:val="lrTb"/>
            <w:noWrap w:val="false"/>
          </w:tcPr>
          <w:p>
            <w:pPr>
              <w:pStyle w:val="1027"/>
              <w:jc w:val="center"/>
              <w:spacing w:before="0" w:beforeAutospacing="0" w:after="0" w:afterAutospacing="0"/>
              <w:widowControl w:val="off"/>
              <w:rPr>
                <w:rFonts w:cs="宋体"/>
                <w:b/>
                <w:bCs/>
                <w:szCs w:val="24"/>
              </w:rPr>
            </w:pPr>
            <w:r>
              <w:rPr>
                <w:rFonts w:hint="eastAsia" w:cs="宋体"/>
                <w:b/>
                <w:bCs/>
                <w:szCs w:val="24"/>
              </w:rPr>
              <w:t xml:space="preserve">评分标准</w:t>
            </w:r>
            <w:r/>
          </w:p>
        </w:tc>
      </w:tr>
      <w:tr>
        <w:trPr>
          <w:trHeight w:val="342"/>
        </w:trPr>
        <w:tc>
          <w:tcPr>
            <w:tcW w:w="740" w:type="dxa"/>
            <w:vAlign w:val="center"/>
            <w:textDirection w:val="lrTb"/>
            <w:noWrap w:val="false"/>
          </w:tcPr>
          <w:p>
            <w:pPr>
              <w:jc w:val="center"/>
              <w:rPr>
                <w:rFonts w:ascii="宋体" w:hAnsi="宋体" w:cs="宋体"/>
              </w:rPr>
            </w:pPr>
            <w:r>
              <w:rPr>
                <w:rFonts w:hint="eastAsia" w:ascii="宋体" w:hAnsi="宋体" w:cs="宋体"/>
              </w:rPr>
              <w:t xml:space="preserve">1</w:t>
            </w:r>
            <w:r/>
          </w:p>
        </w:tc>
        <w:tc>
          <w:tcPr>
            <w:tcW w:w="1990" w:type="dxa"/>
            <w:vAlign w:val="center"/>
            <w:textDirection w:val="lrTb"/>
            <w:noWrap w:val="false"/>
          </w:tcPr>
          <w:p>
            <w:pPr>
              <w:jc w:val="center"/>
              <w:rPr>
                <w:rFonts w:ascii="宋体" w:hAnsi="宋体" w:cs="宋体"/>
              </w:rPr>
            </w:pPr>
            <w:r>
              <w:rPr>
                <w:rFonts w:hint="eastAsia" w:ascii="宋体" w:hAnsi="宋体" w:cs="宋体"/>
              </w:rPr>
              <w:t xml:space="preserve">保险理赔服务</w:t>
            </w:r>
            <w:r/>
          </w:p>
        </w:tc>
        <w:tc>
          <w:tcPr>
            <w:tcW w:w="910" w:type="dxa"/>
            <w:vAlign w:val="center"/>
            <w:textDirection w:val="lrTb"/>
            <w:noWrap w:val="false"/>
          </w:tcPr>
          <w:p>
            <w:pPr>
              <w:jc w:val="center"/>
              <w:rPr>
                <w:rFonts w:ascii="宋体" w:hAnsi="宋体" w:cs="宋体"/>
              </w:rPr>
            </w:pPr>
            <w:r>
              <w:rPr>
                <w:rFonts w:hint="eastAsia" w:ascii="宋体" w:hAnsi="宋体" w:cs="宋体"/>
              </w:rPr>
              <w:t xml:space="preserve">40</w:t>
            </w:r>
            <w:r/>
          </w:p>
        </w:tc>
        <w:tc>
          <w:tcPr>
            <w:tcW w:w="4674" w:type="dxa"/>
            <w:textDirection w:val="lrTb"/>
            <w:noWrap w:val="false"/>
          </w:tcPr>
          <w:p>
            <w:pPr>
              <w:rPr>
                <w:rFonts w:ascii="宋体" w:hAnsi="宋体" w:cs="宋体"/>
              </w:rPr>
            </w:pPr>
            <w:r>
              <w:rPr>
                <w:rFonts w:hint="eastAsia" w:ascii="宋体" w:hAnsi="宋体" w:cs="宋体"/>
              </w:rPr>
              <w:t xml:space="preserve">1.接案响应时效（10分）：接到报案后，客服人员联系第三</w:t>
            </w:r>
            <w:r>
              <w:rPr>
                <w:rFonts w:hint="eastAsia" w:ascii="宋体" w:hAnsi="宋体" w:cs="宋体"/>
              </w:rPr>
              <w:t xml:space="preserve">方服务</w:t>
            </w:r>
            <w:r>
              <w:rPr>
                <w:rFonts w:hint="eastAsia" w:ascii="宋体" w:hAnsi="宋体" w:cs="宋体"/>
              </w:rPr>
              <w:t xml:space="preserve">单位的平均时间≤10分钟。未能及时响应的，每次扣0.5分；</w:t>
            </w:r>
            <w:r/>
          </w:p>
          <w:p>
            <w:pPr>
              <w:rPr>
                <w:rFonts w:ascii="宋体" w:hAnsi="宋体" w:cs="宋体"/>
              </w:rPr>
            </w:pPr>
            <w:r>
              <w:rPr>
                <w:rFonts w:hint="eastAsia" w:ascii="宋体" w:hAnsi="宋体" w:cs="宋体"/>
              </w:rPr>
              <w:t xml:space="preserve">2.现场查勘时效（10分）：专业人员抵达事故现场的平均时间（按事故等级分级设定，如重大</w:t>
            </w:r>
            <w:r>
              <w:rPr>
                <w:rFonts w:hint="eastAsia" w:ascii="宋体" w:hAnsi="宋体" w:cs="宋体"/>
              </w:rPr>
              <w:t xml:space="preserve">险情≤2小时，一般问题≤30分钟）。未能及时响应的，每次扣0.5分； </w:t>
            </w:r>
            <w:r/>
          </w:p>
          <w:p>
            <w:pPr>
              <w:rPr>
                <w:rFonts w:ascii="宋体" w:hAnsi="宋体" w:cs="宋体"/>
              </w:rPr>
            </w:pPr>
            <w:r>
              <w:rPr>
                <w:rFonts w:hint="eastAsia" w:ascii="宋体" w:hAnsi="宋体" w:cs="宋体"/>
              </w:rPr>
              <w:t xml:space="preserve">3.理赔支付时效（10分）：从资料齐全到赔款支付的平均周期≤7个工作日。未能及时响应的，每次扣0.5分；</w:t>
            </w:r>
            <w:r/>
          </w:p>
          <w:p>
            <w:pPr>
              <w:rPr>
                <w:rFonts w:ascii="宋体" w:hAnsi="宋体" w:cs="宋体"/>
              </w:rPr>
            </w:pPr>
            <w:r>
              <w:rPr>
                <w:rFonts w:hint="eastAsia" w:ascii="宋体" w:hAnsi="宋体" w:cs="宋体"/>
              </w:rPr>
              <w:t xml:space="preserve">4.台账管理（10分）：建立完整的保险服务台账，涵盖报案记录、查勘报告、理赔凭证、验收文件等，且需按规定时限提交上报。未按规定逾期上报的，每次扣0.5分。</w:t>
            </w:r>
            <w:r/>
          </w:p>
        </w:tc>
      </w:tr>
      <w:tr>
        <w:trPr/>
        <w:tc>
          <w:tcPr>
            <w:tcW w:w="740" w:type="dxa"/>
            <w:vAlign w:val="center"/>
            <w:textDirection w:val="lrTb"/>
            <w:noWrap w:val="false"/>
          </w:tcPr>
          <w:p>
            <w:pPr>
              <w:jc w:val="center"/>
              <w:rPr>
                <w:rFonts w:ascii="宋体" w:hAnsi="宋体" w:cs="宋体"/>
              </w:rPr>
            </w:pPr>
            <w:r>
              <w:rPr>
                <w:rFonts w:hint="eastAsia" w:ascii="宋体" w:hAnsi="宋体" w:cs="宋体"/>
              </w:rPr>
              <w:t xml:space="preserve">2</w:t>
            </w:r>
            <w:r/>
          </w:p>
        </w:tc>
        <w:tc>
          <w:tcPr>
            <w:tcW w:w="1990" w:type="dxa"/>
            <w:vAlign w:val="center"/>
            <w:textDirection w:val="lrTb"/>
            <w:noWrap w:val="false"/>
          </w:tcPr>
          <w:p>
            <w:pPr>
              <w:jc w:val="center"/>
              <w:rPr>
                <w:rFonts w:ascii="宋体" w:hAnsi="宋体" w:cs="宋体"/>
              </w:rPr>
            </w:pPr>
            <w:r>
              <w:rPr>
                <w:rFonts w:hint="eastAsia" w:ascii="宋体" w:hAnsi="宋体" w:cs="宋体"/>
              </w:rPr>
              <w:t xml:space="preserve">施工质量管控</w:t>
            </w:r>
            <w:r/>
          </w:p>
        </w:tc>
        <w:tc>
          <w:tcPr>
            <w:tcW w:w="910" w:type="dxa"/>
            <w:vAlign w:val="center"/>
            <w:textDirection w:val="lrTb"/>
            <w:noWrap w:val="false"/>
          </w:tcPr>
          <w:p>
            <w:pPr>
              <w:jc w:val="center"/>
              <w:rPr>
                <w:rFonts w:ascii="宋体" w:hAnsi="宋体" w:cs="宋体"/>
              </w:rPr>
            </w:pPr>
            <w:r>
              <w:rPr>
                <w:rFonts w:hint="eastAsia" w:ascii="宋体" w:hAnsi="宋体" w:cs="宋体"/>
              </w:rPr>
              <w:t xml:space="preserve">60</w:t>
            </w:r>
            <w:r/>
          </w:p>
        </w:tc>
        <w:tc>
          <w:tcPr>
            <w:tcW w:w="4674" w:type="dxa"/>
            <w:textDirection w:val="lrTb"/>
            <w:noWrap w:val="false"/>
          </w:tcPr>
          <w:p>
            <w:pPr>
              <w:rPr>
                <w:rFonts w:ascii="宋体" w:hAnsi="宋体" w:cs="宋体"/>
              </w:rPr>
            </w:pPr>
            <w:r>
              <w:rPr>
                <w:rFonts w:hint="eastAsia" w:ascii="宋体" w:hAnsi="宋体" w:cs="宋体"/>
              </w:rPr>
              <w:t xml:space="preserve">1.日常巡查（12分）：按相关规范进行系统化巡查。</w:t>
            </w:r>
            <w:r>
              <w:rPr>
                <w:rFonts w:hint="eastAsia" w:ascii="宋体" w:hAnsi="宋体" w:cs="宋体"/>
              </w:rPr>
              <w:t xml:space="preserve">每漏巡</w:t>
            </w:r>
            <w:r>
              <w:rPr>
                <w:rFonts w:hint="eastAsia" w:ascii="宋体" w:hAnsi="宋体" w:cs="宋体"/>
              </w:rPr>
              <w:t xml:space="preserve">一条路段/一座桥，扣0.5分。</w:t>
            </w:r>
            <w:r/>
          </w:p>
          <w:p>
            <w:pPr>
              <w:pStyle w:val="946"/>
              <w:ind w:left="0" w:right="0"/>
              <w:spacing w:after="0"/>
              <w:rPr>
                <w:rFonts w:ascii="宋体" w:hAnsi="宋体" w:cs="宋体"/>
              </w:rPr>
            </w:pPr>
            <w:r>
              <w:rPr>
                <w:rFonts w:hint="eastAsia" w:ascii="宋体" w:hAnsi="宋体" w:cs="宋体"/>
              </w:rPr>
              <w:t xml:space="preserve">2.病害/隐患发现及时率（12分）：发现重大隐患（如桥梁结构性裂缝、路面大面积塌陷）未上报，每处扣2分；一般问题（如小坑槽、路灯不亮）漏报，每处扣0.5分。</w:t>
            </w:r>
            <w:r/>
          </w:p>
          <w:p>
            <w:pPr>
              <w:pStyle w:val="946"/>
              <w:ind w:left="0" w:right="0"/>
              <w:spacing w:after="0"/>
              <w:rPr>
                <w:rFonts w:ascii="宋体" w:hAnsi="宋体" w:cs="宋体"/>
              </w:rPr>
            </w:pPr>
            <w:r>
              <w:rPr>
                <w:rFonts w:hint="eastAsia" w:ascii="宋体" w:hAnsi="宋体" w:cs="宋体"/>
              </w:rPr>
              <w:t xml:space="preserve">3.维修完成及时率（12分）：在维修任务生成时，在规定时限内完成，根据维修内容，每超时一例扣0.5分。</w:t>
            </w:r>
            <w:r/>
          </w:p>
          <w:p>
            <w:pPr>
              <w:pStyle w:val="946"/>
              <w:ind w:left="0" w:right="0"/>
              <w:spacing w:after="0"/>
              <w:rPr>
                <w:rFonts w:ascii="宋体" w:hAnsi="宋体" w:cs="宋体"/>
              </w:rPr>
            </w:pPr>
            <w:r>
              <w:rPr>
                <w:rFonts w:hint="eastAsia" w:ascii="宋体" w:hAnsi="宋体" w:cs="宋体"/>
              </w:rPr>
              <w:t xml:space="preserve">4.维修验收合格率（10分）：维修完成后，由甲方或第三方进行抽查。一次验收不合格，扣1分并要求返工；返工后仍不合格，加倍扣分。</w:t>
            </w:r>
            <w:r/>
          </w:p>
          <w:p>
            <w:pPr>
              <w:pStyle w:val="946"/>
              <w:ind w:left="0" w:right="0"/>
              <w:spacing w:after="0"/>
              <w:rPr>
                <w:rFonts w:ascii="宋体" w:hAnsi="宋体" w:cs="宋体"/>
              </w:rPr>
            </w:pPr>
            <w:r>
              <w:rPr>
                <w:rFonts w:hint="eastAsia" w:ascii="宋体" w:hAnsi="宋体" w:cs="宋体"/>
              </w:rPr>
              <w:t xml:space="preserve">5.设施综合完好率（12分）：通过定期检查、检测评估，各类施工质量达到规范标准，未达标准的，每有一例扣0.5分。</w:t>
            </w:r>
            <w:r/>
          </w:p>
          <w:p>
            <w:pPr>
              <w:pStyle w:val="946"/>
              <w:ind w:left="0" w:right="0"/>
              <w:spacing w:after="0"/>
              <w:rPr>
                <w:rFonts w:ascii="宋体" w:hAnsi="宋体" w:cs="宋体"/>
              </w:rPr>
            </w:pPr>
            <w:r>
              <w:rPr>
                <w:rFonts w:hint="eastAsia" w:ascii="宋体" w:hAnsi="宋体" w:cs="宋体"/>
              </w:rPr>
              <w:t xml:space="preserve">6.资金控制（2分）：每年资金使用不低于中标价格的60%，未能响应的，扣2分。</w:t>
            </w:r>
            <w:r/>
          </w:p>
        </w:tc>
      </w:tr>
    </w:tbl>
    <w:p>
      <w:pPr>
        <w:ind w:firstLine="482"/>
        <w:spacing w:line="460" w:lineRule="exact"/>
        <w:rPr>
          <w:rFonts w:ascii="宋体" w:hAnsi="宋体" w:cs="宋体"/>
          <w:b/>
          <w:bCs/>
          <w:sz w:val="24"/>
          <w:szCs w:val="24"/>
        </w:rPr>
      </w:pPr>
      <w:r>
        <w:rPr>
          <w:rFonts w:hint="eastAsia" w:ascii="宋体" w:hAnsi="宋体" w:cs="宋体"/>
          <w:b/>
          <w:bCs/>
          <w:sz w:val="24"/>
          <w:szCs w:val="24"/>
        </w:rPr>
        <w:t xml:space="preserve">2.考核方式和考核结果运用</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（1）考核方式</w:t>
      </w:r>
      <w:r/>
    </w:p>
    <w:p>
      <w:pPr>
        <w:ind w:firstLine="480"/>
        <w:spacing w:line="460" w:lineRule="exact"/>
        <w:rPr>
          <w:rFonts w:ascii="宋体" w:hAnsi="宋体" w:cs="宋体"/>
          <w:sz w:val="24"/>
          <w:szCs w:val="24"/>
        </w:rPr>
      </w:pPr>
      <w:r>
        <w:rPr>
          <w:rFonts w:hint="eastAsia" w:ascii="宋体" w:hAnsi="宋体" w:cs="宋体"/>
          <w:sz w:val="24"/>
          <w:szCs w:val="24"/>
        </w:rPr>
        <w:t xml:space="preserve">定期考核：每季度或每半年进行一次过程考核，年度进行一次总考核。</w:t>
      </w:r>
      <w:r/>
    </w:p>
    <w:p>
      <w:pPr>
        <w:ind w:firstLine="480"/>
        <w:spacing w:line="460" w:lineRule="exact"/>
        <w:rPr>
          <w:rFonts w:ascii="宋体" w:hAnsi="宋体" w:cs="宋体"/>
          <w:sz w:val="24"/>
          <w:szCs w:val="24"/>
        </w:rPr>
      </w:pPr>
      <w:r>
        <w:rPr>
          <w:rFonts w:hint="eastAsia" w:ascii="宋体" w:hAnsi="宋体" w:cs="宋体"/>
          <w:sz w:val="24"/>
          <w:szCs w:val="24"/>
        </w:rPr>
        <w:t xml:space="preserve">数据来源：结合承保人提交的报告、采购方的日常记录、第三方检测/审计报告、满意度调查等多维度信息。</w:t>
      </w:r>
      <w:r/>
    </w:p>
    <w:p>
      <w:pPr>
        <w:ind w:firstLine="480"/>
        <w:spacing w:line="460" w:lineRule="exact"/>
        <w:rPr>
          <w:rFonts w:ascii="宋体" w:hAnsi="宋体" w:cs="宋体"/>
          <w:sz w:val="24"/>
          <w:szCs w:val="24"/>
        </w:rPr>
      </w:pPr>
      <w:r>
        <w:rPr>
          <w:rFonts w:hint="eastAsia" w:ascii="宋体" w:hAnsi="宋体" w:cs="宋体"/>
          <w:sz w:val="24"/>
          <w:szCs w:val="24"/>
        </w:rPr>
        <w:t xml:space="preserve">成立考核小组：由采购单位、财政、审计、特邀专家等组成联合考核小组。</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（2）考核结果应用</w:t>
      </w:r>
      <w:r/>
    </w:p>
    <w:p>
      <w:pPr>
        <w:ind w:firstLine="480"/>
        <w:spacing w:line="460" w:lineRule="exact"/>
        <w:rPr>
          <w:rFonts w:ascii="宋体" w:hAnsi="宋体" w:cs="宋体"/>
          <w:sz w:val="24"/>
          <w:szCs w:val="24"/>
        </w:rPr>
      </w:pPr>
      <w:r>
        <w:rPr>
          <w:rFonts w:hint="eastAsia" w:ascii="宋体" w:hAnsi="宋体" w:cs="宋体"/>
          <w:sz w:val="24"/>
          <w:szCs w:val="24"/>
        </w:rPr>
        <w:t xml:space="preserve">1.年度考核得分≥ 90分，支付100%当期保费。</w:t>
      </w:r>
      <w:r/>
    </w:p>
    <w:p>
      <w:pPr>
        <w:ind w:firstLine="480"/>
        <w:spacing w:line="460" w:lineRule="exact"/>
        <w:rPr>
          <w:rFonts w:ascii="宋体" w:hAnsi="宋体" w:cs="宋体"/>
          <w:sz w:val="24"/>
          <w:szCs w:val="24"/>
        </w:rPr>
      </w:pPr>
      <w:r>
        <w:rPr>
          <w:rFonts w:hint="eastAsia" w:ascii="宋体" w:hAnsi="宋体" w:cs="宋体"/>
          <w:sz w:val="24"/>
          <w:szCs w:val="24"/>
        </w:rPr>
        <w:t xml:space="preserve">得分在 75-89分，按比例支付保费（如得分/100 * 当期保费），并要求承保人提交整改报告。</w:t>
      </w:r>
      <w:r/>
    </w:p>
    <w:p>
      <w:pPr>
        <w:ind w:firstLine="480"/>
        <w:spacing w:line="460" w:lineRule="exact"/>
        <w:rPr>
          <w:rFonts w:ascii="宋体" w:hAnsi="宋体" w:cs="宋体"/>
          <w:sz w:val="24"/>
          <w:szCs w:val="24"/>
        </w:rPr>
      </w:pPr>
      <w:r>
        <w:rPr>
          <w:rFonts w:hint="eastAsia" w:ascii="宋体" w:hAnsi="宋体" w:cs="宋体"/>
          <w:sz w:val="24"/>
          <w:szCs w:val="24"/>
        </w:rPr>
        <w:t xml:space="preserve">得分 &lt; 75分，暂缓支付保费，发出正式警告，并启动合同违约审查程序。</w:t>
      </w:r>
      <w:r/>
    </w:p>
    <w:p>
      <w:pPr>
        <w:ind w:firstLine="480"/>
        <w:spacing w:line="460" w:lineRule="exact"/>
        <w:rPr>
          <w:rFonts w:ascii="宋体" w:hAnsi="宋体" w:cs="宋体"/>
          <w:sz w:val="24"/>
          <w:szCs w:val="24"/>
          <w:highlight w:val="cyan"/>
        </w:rPr>
      </w:pPr>
      <w:r>
        <w:rPr>
          <w:rFonts w:hint="eastAsia" w:ascii="宋体" w:hAnsi="宋体" w:cs="宋体"/>
          <w:sz w:val="24"/>
          <w:szCs w:val="24"/>
          <w:highlight w:val="cyan"/>
        </w:rPr>
        <w:t xml:space="preserve">2.年度考核评价结果为合格，可续签下一期合同。</w:t>
      </w:r>
      <w:r/>
    </w:p>
    <w:p>
      <w:pPr>
        <w:ind w:firstLine="482"/>
        <w:spacing w:line="440" w:lineRule="exact"/>
        <w:rPr>
          <w:rFonts w:ascii="宋体" w:hAnsi="宋体" w:cs="宋体"/>
          <w:bCs/>
          <w:sz w:val="24"/>
          <w:szCs w:val="24"/>
        </w:rPr>
      </w:pPr>
      <w:r>
        <w:rPr>
          <w:rFonts w:hint="eastAsia" w:ascii="宋体" w:hAnsi="宋体" w:cs="宋体"/>
          <w:b/>
          <w:bCs/>
          <w:sz w:val="24"/>
          <w:szCs w:val="24"/>
        </w:rPr>
        <w:t xml:space="preserve">3.验收标准：</w:t>
      </w:r>
      <w:r>
        <w:rPr>
          <w:rFonts w:hint="eastAsia" w:ascii="宋体" w:hAnsi="宋体" w:cs="宋体"/>
          <w:bCs/>
          <w:sz w:val="24"/>
          <w:szCs w:val="24"/>
        </w:rPr>
        <w:t xml:space="preserve">符合国家、行业相关标准。</w:t>
      </w:r>
      <w:r/>
    </w:p>
    <w:p>
      <w:pPr>
        <w:ind w:firstLine="482"/>
        <w:spacing w:line="440" w:lineRule="exact"/>
        <w:rPr>
          <w:rFonts w:ascii="宋体" w:hAnsi="宋体" w:cs="宋体"/>
          <w:iCs/>
          <w:sz w:val="24"/>
          <w:szCs w:val="24"/>
        </w:rPr>
      </w:pPr>
      <w:r>
        <w:rPr>
          <w:rFonts w:hint="eastAsia" w:ascii="宋体" w:hAnsi="宋体" w:cs="宋体"/>
          <w:b/>
          <w:bCs/>
          <w:sz w:val="24"/>
          <w:szCs w:val="24"/>
        </w:rPr>
        <w:t xml:space="preserve">4.其他要求：</w:t>
      </w:r>
      <w:r>
        <w:rPr>
          <w:rFonts w:hint="eastAsia" w:ascii="宋体" w:hAnsi="宋体" w:cs="宋体"/>
          <w:iCs/>
          <w:sz w:val="24"/>
          <w:szCs w:val="24"/>
        </w:rPr>
        <w:t xml:space="preserve">无</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5.实质性要求</w:t>
      </w:r>
      <w:r/>
    </w:p>
    <w:tbl>
      <w:tblPr>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8"/>
        <w:gridCol w:w="3311"/>
        <w:gridCol w:w="4303"/>
      </w:tblGrid>
      <w:tr>
        <w:trPr>
          <w:jc w:val="center"/>
          <w:tblHeader/>
        </w:trPr>
        <w:tc>
          <w:tcPr>
            <w:tcW w:w="908" w:type="dxa"/>
            <w:vAlign w:val="center"/>
            <w:textDirection w:val="lrTb"/>
            <w:noWrap w:val="false"/>
          </w:tcPr>
          <w:p>
            <w:pPr>
              <w:jc w:val="center"/>
              <w:rPr>
                <w:rFonts w:ascii="宋体" w:hAnsi="宋体"/>
                <w:b/>
                <w:bCs/>
                <w:sz w:val="24"/>
              </w:rPr>
            </w:pPr>
            <w:r>
              <w:rPr>
                <w:rFonts w:hint="eastAsia" w:ascii="宋体" w:hAnsi="宋体"/>
                <w:b/>
                <w:bCs/>
                <w:sz w:val="24"/>
              </w:rPr>
              <w:t xml:space="preserve">序号</w:t>
            </w:r>
            <w:r/>
          </w:p>
        </w:tc>
        <w:tc>
          <w:tcPr>
            <w:tcW w:w="3311" w:type="dxa"/>
            <w:vAlign w:val="center"/>
            <w:textDirection w:val="lrTb"/>
            <w:noWrap w:val="false"/>
          </w:tcPr>
          <w:p>
            <w:pPr>
              <w:jc w:val="center"/>
              <w:rPr>
                <w:rFonts w:ascii="宋体" w:hAnsi="宋体"/>
                <w:b/>
                <w:bCs/>
                <w:sz w:val="24"/>
              </w:rPr>
            </w:pPr>
            <w:r>
              <w:rPr>
                <w:rFonts w:hint="eastAsia" w:ascii="宋体" w:hAnsi="宋体"/>
                <w:b/>
                <w:bCs/>
                <w:sz w:val="24"/>
              </w:rPr>
              <w:t xml:space="preserve">实质性条款</w:t>
            </w:r>
            <w:r/>
          </w:p>
        </w:tc>
        <w:tc>
          <w:tcPr>
            <w:tcW w:w="4303" w:type="dxa"/>
            <w:vAlign w:val="center"/>
            <w:textDirection w:val="lrTb"/>
            <w:noWrap w:val="false"/>
          </w:tcPr>
          <w:p>
            <w:pPr>
              <w:jc w:val="center"/>
              <w:rPr>
                <w:rFonts w:ascii="宋体" w:hAnsi="宋体"/>
                <w:b/>
                <w:bCs/>
                <w:sz w:val="24"/>
              </w:rPr>
            </w:pPr>
            <w:r>
              <w:rPr>
                <w:rFonts w:hint="eastAsia" w:ascii="宋体" w:hAnsi="宋体"/>
                <w:b/>
                <w:bCs/>
                <w:sz w:val="24"/>
              </w:rPr>
              <w:t xml:space="preserve">证明材料</w:t>
            </w:r>
            <w:r/>
          </w:p>
        </w:tc>
      </w:tr>
      <w:tr>
        <w:trPr>
          <w:jc w:val="center"/>
        </w:trPr>
        <w:tc>
          <w:tcPr>
            <w:tcW w:w="908" w:type="dxa"/>
            <w:vAlign w:val="center"/>
            <w:textDirection w:val="lrTb"/>
            <w:noWrap w:val="false"/>
          </w:tcPr>
          <w:p>
            <w:pPr>
              <w:jc w:val="center"/>
              <w:rPr>
                <w:rFonts w:ascii="宋体" w:hAnsi="宋体"/>
              </w:rPr>
            </w:pPr>
            <w:r>
              <w:rPr>
                <w:rFonts w:hint="eastAsia" w:ascii="宋体" w:hAnsi="宋体" w:cs="宋体"/>
              </w:rPr>
              <w:t xml:space="preserve">1</w:t>
            </w:r>
            <w:r/>
          </w:p>
        </w:tc>
        <w:tc>
          <w:tcPr>
            <w:tcW w:w="3311" w:type="dxa"/>
            <w:vAlign w:val="center"/>
            <w:textDirection w:val="lrTb"/>
            <w:noWrap w:val="false"/>
          </w:tcPr>
          <w:p>
            <w:pPr>
              <w:jc w:val="left"/>
              <w:rPr>
                <w:rFonts w:ascii="宋体" w:hAnsi="宋体"/>
              </w:rPr>
            </w:pPr>
            <w:r>
              <w:rPr>
                <w:rFonts w:hint="eastAsia" w:ascii="宋体" w:hAnsi="宋体" w:cs="宋体"/>
              </w:rPr>
              <w:t xml:space="preserve">针对本项目，中标人配置项目负责人1名（大专及以上学历，保险行业从业年限不少于5年</w:t>
            </w:r>
            <w:r/>
          </w:p>
        </w:tc>
        <w:tc>
          <w:tcPr>
            <w:tcW w:w="4303" w:type="dxa"/>
            <w:vAlign w:val="center"/>
            <w:textDirection w:val="lrTb"/>
            <w:noWrap w:val="false"/>
          </w:tcPr>
          <w:p>
            <w:pPr>
              <w:jc w:val="left"/>
              <w:rPr>
                <w:rFonts w:ascii="宋体" w:hAnsi="宋体"/>
              </w:rPr>
            </w:pPr>
            <w:r>
              <w:rPr>
                <w:rFonts w:hint="eastAsia" w:ascii="宋体" w:hAnsi="宋体" w:cs="宋体"/>
              </w:rPr>
              <w:t xml:space="preserve">提供学历证明文件扫描件以及保险机构开具的从业年限证明文件，同时提供开标前连续3个月中任意一个月的社保缴纳证明</w:t>
            </w:r>
            <w:r/>
          </w:p>
        </w:tc>
      </w:tr>
      <w:tr>
        <w:trPr>
          <w:jc w:val="center"/>
        </w:trPr>
        <w:tc>
          <w:tcPr>
            <w:tcW w:w="908" w:type="dxa"/>
            <w:vAlign w:val="center"/>
            <w:textDirection w:val="lrTb"/>
            <w:noWrap w:val="false"/>
          </w:tcPr>
          <w:p>
            <w:pPr>
              <w:jc w:val="center"/>
              <w:rPr>
                <w:rFonts w:ascii="宋体" w:hAnsi="宋体" w:cs="宋体"/>
              </w:rPr>
            </w:pPr>
            <w:r>
              <w:rPr>
                <w:rFonts w:hint="eastAsia" w:ascii="宋体" w:hAnsi="宋体" w:cs="宋体"/>
              </w:rPr>
              <w:t xml:space="preserve">2</w:t>
            </w:r>
            <w:r/>
          </w:p>
        </w:tc>
        <w:tc>
          <w:tcPr>
            <w:tcW w:w="3311" w:type="dxa"/>
            <w:vAlign w:val="center"/>
            <w:textDirection w:val="lrTb"/>
            <w:noWrap w:val="false"/>
          </w:tcPr>
          <w:p>
            <w:pPr>
              <w:jc w:val="left"/>
              <w:rPr>
                <w:rFonts w:ascii="宋体" w:hAnsi="宋体" w:cs="宋体"/>
              </w:rPr>
            </w:pPr>
            <w:r>
              <w:rPr>
                <w:rFonts w:hint="eastAsia" w:ascii="宋体" w:hAnsi="宋体" w:cs="宋体"/>
              </w:rPr>
              <w:t xml:space="preserve">针对本项目，中标人配置项目服务团队成员不少于3名，保险行业从业年限不少于2年</w:t>
            </w:r>
            <w:r/>
          </w:p>
        </w:tc>
        <w:tc>
          <w:tcPr>
            <w:tcW w:w="4303" w:type="dxa"/>
            <w:vAlign w:val="center"/>
            <w:textDirection w:val="lrTb"/>
            <w:noWrap w:val="false"/>
          </w:tcPr>
          <w:p>
            <w:pPr>
              <w:jc w:val="left"/>
              <w:rPr>
                <w:rFonts w:ascii="宋体" w:hAnsi="宋体" w:cs="宋体"/>
              </w:rPr>
            </w:pPr>
            <w:r>
              <w:rPr>
                <w:rFonts w:hint="eastAsia" w:ascii="宋体" w:hAnsi="宋体" w:cs="宋体"/>
              </w:rPr>
              <w:t xml:space="preserve">提供学历证明文件扫描件以及保险机构开具的从业年限证明文件，同时提供开标前连续3个月中任意一个月的社保缴纳证明</w:t>
            </w:r>
            <w:r/>
          </w:p>
        </w:tc>
      </w:tr>
      <w:tr>
        <w:trPr>
          <w:jc w:val="center"/>
        </w:trPr>
        <w:tc>
          <w:tcPr>
            <w:tcW w:w="908" w:type="dxa"/>
            <w:vAlign w:val="center"/>
            <w:textDirection w:val="lrTb"/>
            <w:noWrap w:val="false"/>
          </w:tcPr>
          <w:p>
            <w:pPr>
              <w:jc w:val="center"/>
              <w:rPr>
                <w:rFonts w:ascii="宋体" w:hAnsi="宋体" w:cs="宋体"/>
              </w:rPr>
            </w:pPr>
            <w:r>
              <w:rPr>
                <w:rFonts w:hint="eastAsia" w:ascii="宋体" w:hAnsi="宋体" w:cs="宋体"/>
              </w:rPr>
              <w:t xml:space="preserve">3</w:t>
            </w:r>
            <w:r/>
          </w:p>
        </w:tc>
        <w:tc>
          <w:tcPr>
            <w:tcW w:w="3311" w:type="dxa"/>
            <w:vAlign w:val="center"/>
            <w:textDirection w:val="lrTb"/>
            <w:noWrap w:val="false"/>
          </w:tcPr>
          <w:p>
            <w:pPr>
              <w:pStyle w:val="982"/>
              <w:ind w:firstLine="0"/>
              <w:jc w:val="left"/>
              <w:spacing w:line="240" w:lineRule="auto"/>
              <w:rPr>
                <w:rFonts w:cs="宋体"/>
                <w:szCs w:val="21"/>
              </w:rPr>
            </w:pPr>
            <w:r>
              <w:rPr>
                <w:rFonts w:hint="eastAsia" w:cs="宋体"/>
                <w:szCs w:val="21"/>
              </w:rPr>
              <w:t xml:space="preserve">中标人至少配置3辆专门用于本项目保险服务的车辆。</w:t>
            </w:r>
            <w:r/>
          </w:p>
        </w:tc>
        <w:tc>
          <w:tcPr>
            <w:tcW w:w="4303" w:type="dxa"/>
            <w:vAlign w:val="center"/>
            <w:textDirection w:val="lrTb"/>
            <w:noWrap w:val="false"/>
          </w:tcPr>
          <w:p>
            <w:pPr>
              <w:jc w:val="left"/>
              <w:rPr>
                <w:rFonts w:ascii="宋体" w:hAnsi="宋体" w:cs="宋体"/>
              </w:rPr>
            </w:pPr>
            <w:r>
              <w:rPr>
                <w:rFonts w:hint="eastAsia" w:ascii="宋体" w:hAnsi="宋体" w:cs="宋体"/>
              </w:rPr>
              <w:t xml:space="preserve">提供服务车辆证明材料（自有车辆，须提供车辆行驶证复印件，若为租赁车辆，还须提供车辆租赁协议或对应租期的付款凭证材料）</w:t>
            </w:r>
            <w:r/>
          </w:p>
        </w:tc>
      </w:tr>
    </w:tbl>
    <w:p>
      <w:pPr>
        <w:rPr>
          <w:sz w:val="24"/>
          <w:highlight w:val="yellow"/>
        </w:rPr>
      </w:pPr>
      <w:r>
        <w:rPr>
          <w:sz w:val="24"/>
          <w:highlight w:val="yellow"/>
        </w:rPr>
      </w:r>
      <w:r/>
    </w:p>
    <w:p>
      <w:pPr>
        <w:ind w:firstLine="482"/>
        <w:spacing w:line="360" w:lineRule="auto"/>
        <w:rPr>
          <w:rFonts w:ascii="宋体" w:hAnsi="宋体" w:cs="宋体"/>
          <w:sz w:val="24"/>
        </w:rPr>
      </w:pPr>
      <w:r>
        <w:rPr>
          <w:rFonts w:hint="eastAsia" w:ascii="宋体" w:hAnsi="宋体" w:cs="宋体"/>
          <w:b/>
          <w:bCs/>
          <w:sz w:val="24"/>
        </w:rPr>
        <w:t xml:space="preserve">6.样品：</w:t>
      </w:r>
      <w:r>
        <w:rPr>
          <w:rFonts w:hint="eastAsia" w:ascii="宋体" w:hAnsi="宋体" w:cs="宋体"/>
          <w:sz w:val="24"/>
        </w:rPr>
        <w:t xml:space="preserve">无</w:t>
      </w:r>
      <w:r/>
    </w:p>
    <w:p>
      <w:pPr>
        <w:ind w:firstLine="482"/>
        <w:spacing w:line="360" w:lineRule="auto"/>
        <w:rPr>
          <w:rFonts w:ascii="宋体" w:hAnsi="宋体" w:cs="宋体"/>
          <w:color w:val="000000"/>
          <w:sz w:val="24"/>
        </w:rPr>
      </w:pPr>
      <w:r>
        <w:rPr>
          <w:rFonts w:hint="eastAsia" w:ascii="宋体" w:hAnsi="宋体" w:cs="宋体"/>
          <w:b/>
          <w:bCs/>
          <w:color w:val="000000"/>
          <w:sz w:val="24"/>
        </w:rPr>
        <w:t xml:space="preserve">7.演示：</w:t>
      </w:r>
      <w:r>
        <w:rPr>
          <w:rFonts w:hint="eastAsia" w:ascii="宋体" w:hAnsi="宋体" w:cs="宋体"/>
          <w:color w:val="000000"/>
          <w:sz w:val="24"/>
        </w:rPr>
        <w:t xml:space="preserve">无</w:t>
      </w:r>
      <w:r/>
    </w:p>
    <w:p>
      <w:pPr>
        <w:ind w:firstLine="482"/>
        <w:spacing w:line="360" w:lineRule="auto"/>
        <w:rPr>
          <w:rFonts w:ascii="宋体" w:hAnsi="宋体" w:cs="宋体"/>
          <w:b/>
          <w:bCs/>
          <w:sz w:val="24"/>
        </w:rPr>
      </w:pPr>
      <w:r>
        <w:rPr>
          <w:rFonts w:hint="eastAsia" w:ascii="宋体" w:hAnsi="宋体" w:cs="宋体"/>
          <w:b/>
          <w:bCs/>
          <w:sz w:val="24"/>
        </w:rPr>
        <w:t xml:space="preserve">8.采购标的对应的中小企业划分标准所属行业一览表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1"/>
        <w:gridCol w:w="3537"/>
        <w:gridCol w:w="2852"/>
      </w:tblGrid>
      <w:tr>
        <w:trPr>
          <w:cantSplit/>
          <w:jc w:val="center"/>
        </w:trPr>
        <w:tc>
          <w:tcPr>
            <w:tcW w:w="981"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3537" w:type="dxa"/>
            <w:vAlign w:val="center"/>
            <w:textDirection w:val="lrTb"/>
            <w:noWrap w:val="false"/>
          </w:tcPr>
          <w:p>
            <w:pPr>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1140"/>
        </w:trPr>
        <w:tc>
          <w:tcPr>
            <w:tcW w:w="981" w:type="dxa"/>
            <w:vAlign w:val="center"/>
            <w:textDirection w:val="lrTb"/>
            <w:noWrap w:val="false"/>
          </w:tcPr>
          <w:p>
            <w:pPr>
              <w:jc w:val="center"/>
              <w:rPr>
                <w:rFonts w:ascii="宋体" w:hAnsi="宋体"/>
              </w:rPr>
            </w:pPr>
            <w:r>
              <w:rPr>
                <w:rFonts w:hint="eastAsia" w:ascii="宋体" w:hAnsi="宋体"/>
              </w:rPr>
              <w:t xml:space="preserve">1</w:t>
            </w:r>
            <w:r/>
          </w:p>
        </w:tc>
        <w:tc>
          <w:tcPr>
            <w:tcW w:w="3537" w:type="dxa"/>
            <w:vAlign w:val="center"/>
            <w:textDirection w:val="lrTb"/>
            <w:noWrap w:val="false"/>
          </w:tcPr>
          <w:p>
            <w:pPr>
              <w:jc w:val="center"/>
              <w:rPr>
                <w:rFonts w:ascii="宋体" w:hAnsi="宋体"/>
              </w:rPr>
            </w:pPr>
            <w:r>
              <w:rPr>
                <w:rFonts w:hint="eastAsia" w:ascii="宋体" w:hAnsi="宋体" w:cs="宋体"/>
              </w:rPr>
              <w:t xml:space="preserve">常州市天宁区2026-2028年度道路设施养护管理综合保险服务</w:t>
            </w:r>
            <w:r/>
          </w:p>
        </w:tc>
        <w:tc>
          <w:tcPr>
            <w:tcW w:w="2852" w:type="dxa"/>
            <w:vAlign w:val="center"/>
            <w:textDirection w:val="lrTb"/>
            <w:noWrap w:val="false"/>
          </w:tcPr>
          <w:p>
            <w:pPr>
              <w:jc w:val="center"/>
              <w:rPr>
                <w:rFonts w:ascii="宋体" w:hAnsi="宋体"/>
              </w:rPr>
            </w:pPr>
            <w:r>
              <w:rPr>
                <w:rFonts w:hint="eastAsia" w:ascii="宋体" w:hAnsi="宋体"/>
              </w:rPr>
              <w:t xml:space="preserve">其他未列明行业</w:t>
            </w:r>
            <w:r/>
          </w:p>
        </w:tc>
      </w:tr>
    </w:tbl>
    <w:p>
      <w:pPr>
        <w:pStyle w:val="1005"/>
        <w:ind w:left="0" w:firstLine="482"/>
        <w:spacing w:line="440" w:lineRule="exact"/>
        <w:rPr>
          <w:rFonts w:ascii="Times New Roman" w:hAnsi="Times New Roman"/>
          <w:lang w:eastAsia="zh-CN"/>
        </w:rPr>
      </w:pPr>
      <w:r>
        <w:rPr>
          <w:rFonts w:hint="eastAsia" w:ascii="宋体" w:hAnsi="宋体" w:cs="宋体"/>
          <w:b/>
          <w:bCs/>
          <w:lang w:eastAsia="zh-CN"/>
        </w:rPr>
        <w:t xml:space="preserve">9.</w:t>
      </w:r>
      <w:r>
        <w:rPr>
          <w:rFonts w:hint="eastAsia" w:ascii="宋体" w:hAnsi="宋体" w:cs="宋体"/>
          <w:lang w:eastAsia="zh-CN"/>
        </w:rPr>
        <w:t xml:space="preserve">其他项目相关的表格清单、图纸、图片等资料可以电子文件形式通过系统上传。</w:t>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1005"/>
        <w:ind w:firstLine="422"/>
        <w:rPr>
          <w:rFonts w:ascii="Times New Roman" w:hAnsi="Times New Roman"/>
          <w:b/>
          <w:lang w:eastAsia="zh-CN"/>
        </w:rPr>
      </w:pPr>
      <w:r>
        <w:rPr>
          <w:rFonts w:ascii="Times New Roman" w:hAnsi="Times New Roman"/>
          <w:b/>
          <w:lang w:eastAsia="zh-CN"/>
        </w:rPr>
      </w:r>
      <w:r/>
    </w:p>
    <w:p>
      <w:pPr>
        <w:pStyle w:val="911"/>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1000"/>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w:t>
      </w:r>
      <w:r>
        <w:rPr>
          <w:rFonts w:cs="Arial"/>
        </w:rPr>
        <w:t xml:space="preserve">且按照</w:t>
      </w:r>
      <w:r>
        <w:rPr>
          <w:rFonts w:cs="Arial"/>
        </w:rPr>
        <w:t xml:space="preserve">评审因素的量化指标评审得分最高的投标人为中标候选人</w:t>
      </w:r>
      <w:r>
        <w:rPr>
          <w:rFonts w:hint="eastAsia" w:cs="Arial"/>
        </w:rPr>
        <w:t xml:space="preserve">。本项目分包选取一名中标候选人。</w:t>
      </w:r>
      <w:r/>
    </w:p>
    <w:p>
      <w:pPr>
        <w:pStyle w:val="1000"/>
        <w:ind w:firstLine="441"/>
        <w:rPr>
          <w:rFonts w:ascii="宋体" w:hAnsi="宋体"/>
          <w:b/>
          <w:highlight w:val="yellow"/>
        </w:rPr>
      </w:pPr>
      <w:r>
        <w:rPr>
          <w:rFonts w:hint="eastAsia" w:ascii="宋体" w:hAnsi="宋体"/>
          <w:b/>
        </w:rPr>
        <w:t xml:space="preserve">政府采购政策功能落实</w:t>
      </w:r>
      <w:r/>
    </w:p>
    <w:p>
      <w:pPr>
        <w:pStyle w:val="1000"/>
        <w:spacing w:line="0" w:lineRule="atLeast"/>
        <w:rPr>
          <w:rFonts w:ascii="宋体" w:hAnsi="宋体"/>
        </w:rPr>
      </w:pPr>
      <w:r>
        <w:rPr>
          <w:rFonts w:hint="eastAsia" w:ascii="宋体" w:hAnsi="宋体"/>
        </w:rPr>
        <w:t xml:space="preserve">1、小微型企业价格扣除</w:t>
      </w:r>
      <w:r/>
    </w:p>
    <w:p>
      <w:pPr>
        <w:pStyle w:val="1000"/>
        <w:ind w:firstLine="360"/>
        <w:spacing w:line="0" w:lineRule="atLeast"/>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1000"/>
        <w:ind w:firstLine="360"/>
        <w:spacing w:line="0" w:lineRule="atLeast"/>
        <w:rPr>
          <w:rFonts w:ascii="宋体" w:hAnsi="宋体"/>
        </w:rPr>
      </w:pPr>
      <w:r>
        <w:rPr>
          <w:rFonts w:hint="eastAsia" w:ascii="宋体" w:hAnsi="宋体"/>
        </w:rPr>
        <w:t xml:space="preserve">（2）供应商需按照采购文件的要求提供相应的《小微企业声明函》。</w:t>
      </w:r>
      <w:r/>
    </w:p>
    <w:p>
      <w:pPr>
        <w:pStyle w:val="1000"/>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1000"/>
        <w:spacing w:line="0" w:lineRule="atLeast"/>
        <w:rPr>
          <w:rFonts w:ascii="宋体" w:hAnsi="宋体"/>
        </w:rPr>
      </w:pPr>
      <w:r>
        <w:rPr>
          <w:rFonts w:hint="eastAsia" w:ascii="宋体" w:hAnsi="宋体"/>
        </w:rPr>
        <w:t xml:space="preserve">2、残疾人福利单位价格扣除</w:t>
      </w:r>
      <w:r/>
    </w:p>
    <w:p>
      <w:pPr>
        <w:pStyle w:val="1000"/>
        <w:ind w:left="120" w:firstLine="360"/>
        <w:spacing w:line="0" w:lineRule="atLeas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00"/>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1000"/>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1000"/>
        <w:spacing w:line="0" w:lineRule="atLeast"/>
        <w:rPr>
          <w:rFonts w:ascii="宋体" w:hAnsi="宋体"/>
        </w:rPr>
      </w:pPr>
      <w:r>
        <w:rPr>
          <w:rFonts w:hint="eastAsia" w:ascii="宋体" w:hAnsi="宋体"/>
        </w:rPr>
        <w:t xml:space="preserve">3、监狱和戒毒企业价格扣除</w:t>
      </w:r>
      <w:r/>
    </w:p>
    <w:p>
      <w:pPr>
        <w:pStyle w:val="1000"/>
        <w:spacing w:line="0" w:lineRule="atLeas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00"/>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0"/>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00"/>
        <w:spacing w:line="400" w:lineRule="exact"/>
        <w:rPr>
          <w:rFonts w:ascii="宋体" w:hAnsi="宋体"/>
        </w:rPr>
      </w:pPr>
      <w:r>
        <w:rPr>
          <w:rFonts w:hint="eastAsia" w:ascii="宋体" w:hAnsi="宋体"/>
        </w:rPr>
        <w:t xml:space="preserve">4、残疾人福利单位、监狱企业属于小型、微型企业的，不重复享受政策。</w:t>
      </w:r>
      <w:r/>
    </w:p>
    <w:p>
      <w:pPr>
        <w:pStyle w:val="1000"/>
        <w:spacing w:line="400" w:lineRule="exact"/>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w:t>
      </w:r>
      <w:r>
        <w:rPr>
          <w:rFonts w:hint="eastAsia" w:ascii="宋体" w:hAnsi="宋体"/>
        </w:rPr>
        <w:t xml:space="preserve">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00"/>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00"/>
        <w:spacing w:line="0" w:lineRule="atLeast"/>
        <w:rPr>
          <w:rFonts w:ascii="宋体" w:hAnsi="宋体"/>
        </w:rPr>
      </w:pPr>
      <w:r>
        <w:rPr>
          <w:rFonts w:ascii="宋体" w:hAnsi="宋体"/>
        </w:rPr>
      </w:r>
      <w:r/>
    </w:p>
    <w:p>
      <w:pPr>
        <w:pStyle w:val="1000"/>
        <w:ind w:firstLine="482"/>
        <w:spacing w:line="0" w:lineRule="atLeast"/>
        <w:rPr>
          <w:rFonts w:ascii="宋体" w:hAnsi="宋体"/>
          <w:b/>
          <w:highlight w:val="yellow"/>
        </w:rPr>
      </w:pPr>
      <w:r>
        <w:rPr>
          <w:rFonts w:hint="eastAsia" w:ascii="宋体" w:hAnsi="宋体"/>
          <w:b/>
        </w:rPr>
        <w:t xml:space="preserve">评标方法与评标标准</w:t>
      </w:r>
      <w:r/>
    </w:p>
    <w:tbl>
      <w:tblPr>
        <w:tblW w:w="5143" w:type="pct"/>
        <w:tblInd w:w="-98" w:type="dxa"/>
        <w:tblCellMar>
          <w:left w:w="0" w:type="dxa"/>
          <w:right w:w="0" w:type="dxa"/>
        </w:tblCellMar>
        <w:tblLook w:val="04A0" w:firstRow="1" w:lastRow="0" w:firstColumn="1" w:lastColumn="0" w:noHBand="0" w:noVBand="1"/>
      </w:tblPr>
      <w:tblGrid>
        <w:gridCol w:w="765"/>
        <w:gridCol w:w="1299"/>
        <w:gridCol w:w="3890"/>
        <w:gridCol w:w="723"/>
        <w:gridCol w:w="555"/>
        <w:gridCol w:w="666"/>
        <w:gridCol w:w="666"/>
      </w:tblGrid>
      <w:tr>
        <w:trPr>
          <w:trHeight w:val="420"/>
        </w:trPr>
        <w:tc>
          <w:tcPr>
            <w:tcBorders>
              <w:top w:val="single" w:color="000000" w:sz="8" w:space="0"/>
              <w:left w:val="single" w:color="000000" w:sz="8" w:space="0"/>
              <w:bottom w:val="single" w:color="000000" w:sz="8" w:space="0"/>
              <w:right w:val="single" w:color="000000" w:sz="8" w:space="0"/>
            </w:tcBorders>
            <w:tcW w:w="446" w:type="pct"/>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sz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center"/>
              <w:widowControl/>
              <w:rPr>
                <w:rFonts w:ascii="宋体" w:hAnsi="宋体" w:cs="宋体"/>
                <w:sz w:val="24"/>
              </w:rPr>
            </w:pPr>
            <w:r>
              <w:rPr>
                <w:rFonts w:hint="eastAsia" w:ascii="宋体" w:hAnsi="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rPr>
                <w:rFonts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324" w:type="pct"/>
            <w:textDirection w:val="lrTb"/>
            <w:noWrap w:val="false"/>
          </w:tcPr>
          <w:p>
            <w:pPr>
              <w:jc w:val="center"/>
              <w:rPr>
                <w:rFonts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389" w:type="pct"/>
            <w:textDirection w:val="lrTb"/>
            <w:noWrap w:val="false"/>
          </w:tcPr>
          <w:p>
            <w:pPr>
              <w:jc w:val="center"/>
              <w:rPr>
                <w:rFonts w:ascii="宋体" w:hAnsi="宋体"/>
                <w:b/>
              </w:rPr>
            </w:pP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9" w:type="pct"/>
            <w:textDirection w:val="lrTb"/>
            <w:noWrap w:val="false"/>
          </w:tcPr>
          <w:p>
            <w:pPr>
              <w:jc w:val="center"/>
              <w:rPr>
                <w:rFonts w:ascii="宋体" w:hAnsi="宋体"/>
                <w:b/>
              </w:rPr>
            </w:pPr>
            <w:r>
              <w:rPr>
                <w:rFonts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10</w:t>
            </w:r>
            <w:r/>
          </w:p>
        </w:tc>
        <w:tc>
          <w:tcPr>
            <w:tcBorders>
              <w:top w:val="single" w:color="000000" w:sz="8" w:space="0"/>
              <w:left w:val="single" w:color="000000" w:sz="8" w:space="0"/>
              <w:bottom w:val="single" w:color="000000" w:sz="8" w:space="0"/>
              <w:right w:val="single" w:color="000000" w:sz="8" w:space="0"/>
            </w:tcBorders>
            <w:tcW w:w="389" w:type="pct"/>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jc w:val="center"/>
              <w:spacing w:line="400" w:lineRule="exact"/>
              <w:rPr>
                <w:rFonts w:ascii="宋体" w:hAnsi="宋体" w:cs="宋体"/>
                <w:color w:val="000000"/>
              </w:rPr>
            </w:pPr>
            <w:r>
              <w:rPr>
                <w:rFonts w:hint="eastAsia" w:ascii="宋体" w:hAnsi="宋体" w:cs="宋体"/>
                <w:color w:val="000000"/>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spacing w:line="400" w:lineRule="exact"/>
              <w:rPr>
                <w:rFonts w:ascii="宋体" w:hAnsi="宋体" w:cs="宋体"/>
                <w:color w:val="000000"/>
              </w:rPr>
            </w:pPr>
            <w:r>
              <w:rPr>
                <w:rFonts w:hint="eastAsia" w:ascii="宋体" w:hAnsi="宋体" w:cs="宋体"/>
                <w:color w:val="00000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满足招标文件要求且报价最低的投标报价为评标基准价，其价格分为满分10分。其他投标人的价格</w:t>
            </w:r>
            <w:r>
              <w:rPr>
                <w:rFonts w:hint="eastAsia" w:ascii="宋体" w:hAnsi="宋体" w:cs="宋体"/>
                <w:color w:val="000000"/>
              </w:rPr>
              <w:t xml:space="preserve">分统一</w:t>
            </w:r>
            <w:r>
              <w:rPr>
                <w:rFonts w:hint="eastAsia" w:ascii="宋体" w:hAnsi="宋体" w:cs="宋体"/>
                <w:color w:val="000000"/>
              </w:rPr>
              <w:t xml:space="preserve">按照下列公式计算（计算结果四舍五入保留两位小数）：投标报价得分=（评标基准价/投标报价）×10%×100。</w:t>
            </w:r>
            <w:r/>
          </w:p>
          <w:p>
            <w:pPr>
              <w:jc w:val="left"/>
              <w:widowControl/>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rPr>
            </w:pPr>
            <w:r>
              <w:rPr>
                <w:rFonts w:hint="eastAsia" w:ascii="宋体" w:hAnsi="宋体" w:cs="宋体"/>
                <w:b/>
                <w:bCs/>
              </w:rPr>
              <w:t xml:space="preserve">10</w:t>
            </w:r>
            <w:r/>
          </w:p>
        </w:tc>
        <w:tc>
          <w:tcPr>
            <w:tcBorders>
              <w:top w:val="single" w:color="000000" w:sz="8" w:space="0"/>
              <w:left w:val="single" w:color="000000" w:sz="8" w:space="0"/>
              <w:bottom w:val="single" w:color="000000" w:sz="8" w:space="0"/>
              <w:right w:val="single" w:color="000000" w:sz="8" w:space="0"/>
            </w:tcBorders>
            <w:tcW w:w="389" w:type="pct"/>
            <w:textDirection w:val="lrTb"/>
            <w:noWrap w:val="false"/>
          </w:tcPr>
          <w:p>
            <w:pPr>
              <w:jc w:val="center"/>
              <w:widowControl/>
              <w:rPr>
                <w:rFonts w:ascii="宋体" w:hAnsi="宋体" w:cs="宋体"/>
                <w:b/>
                <w:bCs/>
              </w:rPr>
            </w:pP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389" w:type="pct"/>
            <w:textDirection w:val="lrTb"/>
            <w:noWrap w:val="false"/>
          </w:tcPr>
          <w:p>
            <w:pPr>
              <w:jc w:val="center"/>
              <w:widowControl/>
              <w:rPr>
                <w:rFonts w:ascii="宋体" w:hAnsi="宋体" w:cs="宋体"/>
                <w:b/>
                <w:bCs/>
              </w:rPr>
            </w:pPr>
            <w:r>
              <w:rPr>
                <w:rFonts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sz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center"/>
              <w:widowControl/>
              <w:rPr>
                <w:rFonts w:ascii="宋体" w:hAnsi="宋体" w:cs="宋体"/>
                <w:sz w:val="24"/>
              </w:rPr>
            </w:pPr>
            <w:r>
              <w:rPr>
                <w:rFonts w:hint="eastAsia" w:ascii="宋体" w:hAnsi="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rPr>
                <w:rFonts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324" w:type="pct"/>
            <w:textDirection w:val="lrTb"/>
            <w:noWrap w:val="false"/>
          </w:tcPr>
          <w:p>
            <w:pPr>
              <w:jc w:val="center"/>
              <w:rPr>
                <w:rFonts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389" w:type="pct"/>
            <w:textDirection w:val="lrTb"/>
            <w:noWrap w:val="false"/>
          </w:tcPr>
          <w:p>
            <w:pPr>
              <w:jc w:val="center"/>
              <w:rPr>
                <w:rFonts w:ascii="宋体" w:hAnsi="宋体"/>
                <w:b/>
                <w:highlight w:val="yellow"/>
              </w:rPr>
            </w:pPr>
            <w:r>
              <w:rPr>
                <w:rFonts w:hint="eastAsia" w:ascii="宋体" w:hAnsi="宋体"/>
                <w:b/>
                <w:highlight w:val="yellow"/>
              </w:rPr>
              <w:t xml:space="preserve">是否暗标评审</w:t>
            </w:r>
            <w:r/>
          </w:p>
        </w:tc>
        <w:tc>
          <w:tcPr>
            <w:tcBorders>
              <w:top w:val="single" w:color="000000" w:sz="8" w:space="0"/>
              <w:left w:val="single" w:color="000000" w:sz="8" w:space="0"/>
              <w:bottom w:val="single" w:color="000000" w:sz="8" w:space="0"/>
              <w:right w:val="single" w:color="000000" w:sz="8" w:space="0"/>
            </w:tcBorders>
            <w:tcW w:w="389" w:type="pct"/>
            <w:textDirection w:val="lrTb"/>
            <w:noWrap w:val="false"/>
          </w:tcPr>
          <w:p>
            <w:pPr>
              <w:jc w:val="center"/>
              <w:rPr>
                <w:rFonts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技术分</w:t>
            </w:r>
            <w:r/>
          </w:p>
          <w:p>
            <w:pPr>
              <w:jc w:val="center"/>
              <w:widowControl/>
              <w:rPr>
                <w:rFonts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40</w:t>
            </w:r>
            <w:r/>
          </w:p>
        </w:tc>
        <w:tc>
          <w:tcPr>
            <w:tcBorders>
              <w:top w:val="single" w:color="000000" w:sz="8" w:space="0"/>
              <w:left w:val="single" w:color="000000" w:sz="8" w:space="0"/>
              <w:bottom w:val="single" w:color="000000" w:sz="8" w:space="0"/>
              <w:right w:val="single" w:color="000000" w:sz="8" w:space="0"/>
            </w:tcBorders>
            <w:tcW w:w="389" w:type="pct"/>
            <w:textDirection w:val="lrTb"/>
            <w:noWrap w:val="false"/>
          </w:tcPr>
          <w:p>
            <w:pPr>
              <w:jc w:val="center"/>
              <w:widowControl/>
              <w:rPr>
                <w:rFonts w:ascii="宋体" w:hAnsi="宋体" w:cs="宋体"/>
                <w:b/>
                <w:bCs/>
                <w:sz w:val="20"/>
                <w:szCs w:val="20"/>
                <w:highlight w:val="yellow"/>
              </w:rPr>
            </w:pPr>
            <w:r>
              <w:rPr>
                <w:rFonts w:ascii="宋体" w:hAnsi="宋体" w:cs="宋体"/>
                <w:b/>
                <w:bCs/>
                <w:sz w:val="20"/>
                <w:szCs w:val="20"/>
                <w:highlight w:val="yellow"/>
              </w:rPr>
            </w:r>
            <w:r/>
          </w:p>
        </w:tc>
        <w:tc>
          <w:tcPr>
            <w:tcBorders>
              <w:top w:val="single" w:color="000000" w:sz="8" w:space="0"/>
              <w:left w:val="single" w:color="000000" w:sz="8" w:space="0"/>
              <w:bottom w:val="single" w:color="000000" w:sz="8" w:space="0"/>
              <w:right w:val="single" w:color="000000" w:sz="8" w:space="0"/>
            </w:tcBorders>
            <w:tcW w:w="389" w:type="pct"/>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jc w:val="center"/>
              <w:widowControl/>
              <w:rPr>
                <w:rFonts w:ascii="宋体" w:hAnsi="宋体" w:cs="宋体"/>
              </w:rPr>
            </w:pPr>
            <w:r>
              <w:rPr>
                <w:rFonts w:hint="eastAsia" w:ascii="宋体" w:hAnsi="宋体" w:cs="宋体"/>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rPr>
            </w:pPr>
            <w:r>
              <w:rPr>
                <w:rFonts w:hint="eastAsia" w:ascii="宋体" w:hAnsi="宋体" w:cs="宋体"/>
                <w:color w:val="000000"/>
              </w:rPr>
              <w:t xml:space="preserve">城市道路、背街小巷、县道、桥梁及其附属设施综合保险服务总体方案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rPr>
                <w:rFonts w:ascii="宋体" w:hAnsi="宋体" w:cs="宋体"/>
                <w:b/>
                <w:bCs/>
                <w:color w:val="000000"/>
              </w:rPr>
            </w:pPr>
            <w:r>
              <w:rPr>
                <w:rFonts w:hint="eastAsia" w:ascii="宋体" w:hAnsi="宋体" w:cs="宋体"/>
                <w:b/>
                <w:bCs/>
                <w:color w:val="000000"/>
              </w:rPr>
              <w:t xml:space="preserve">评标委员会根据投标人针对本项目需求提供的城市道路、背街小巷、县道、桥梁及其附属设施综合保险服务总体方案进行综合评分：</w:t>
            </w:r>
            <w:r/>
          </w:p>
          <w:p>
            <w:pPr>
              <w:jc w:val="left"/>
              <w:rPr>
                <w:rFonts w:ascii="宋体" w:hAnsi="宋体" w:cs="宋体"/>
              </w:rPr>
            </w:pPr>
            <w:r>
              <w:rPr>
                <w:rFonts w:hint="eastAsia" w:ascii="宋体" w:hAnsi="宋体" w:cs="宋体"/>
              </w:rPr>
              <w:t xml:space="preserve">1、方案包含天宁区重点道路、桥梁及相关设施具体名录及等级分类，明确主干道、次干道、危旧桥梁3类设施的差异化保障策略，服务流程（日常巡查、风险预警）均标注完成时限，得10分；</w:t>
            </w:r>
            <w:r/>
          </w:p>
          <w:p>
            <w:pPr>
              <w:jc w:val="left"/>
              <w:rPr>
                <w:rFonts w:ascii="宋体" w:hAnsi="宋体" w:cs="宋体"/>
              </w:rPr>
            </w:pPr>
            <w:r>
              <w:rPr>
                <w:rFonts w:hint="eastAsia" w:ascii="宋体" w:hAnsi="宋体" w:cs="宋体"/>
              </w:rPr>
              <w:t xml:space="preserve">2、方案提及天宁区重点道路、桥梁及相关设施名录，明确2类设施差异化保障策略，服务流程仅标注关键环节时限，得8分；</w:t>
            </w:r>
            <w:r/>
          </w:p>
          <w:p>
            <w:pPr>
              <w:jc w:val="left"/>
              <w:rPr>
                <w:rFonts w:ascii="宋体" w:hAnsi="宋体" w:cs="宋体"/>
              </w:rPr>
            </w:pPr>
            <w:r>
              <w:rPr>
                <w:rFonts w:hint="eastAsia" w:ascii="宋体" w:hAnsi="宋体" w:cs="宋体"/>
              </w:rPr>
              <w:t xml:space="preserve">3、方案未特指天宁区设施，但明确通用道路桥梁保障策略，服务流程逻辑清晰无时限标注的，得6分；</w:t>
            </w:r>
            <w:r/>
          </w:p>
          <w:p>
            <w:pPr>
              <w:jc w:val="left"/>
              <w:rPr>
                <w:rFonts w:ascii="宋体" w:hAnsi="宋体" w:cs="宋体"/>
              </w:rPr>
            </w:pPr>
            <w:r>
              <w:rPr>
                <w:rFonts w:hint="eastAsia" w:ascii="宋体" w:hAnsi="宋体" w:cs="宋体"/>
              </w:rPr>
              <w:t xml:space="preserve">4、方案仅含通用保障框架，未区分设施类型，服务流程存在少量逻辑漏洞的，得4分；</w:t>
            </w:r>
            <w:r/>
          </w:p>
          <w:p>
            <w:pPr>
              <w:jc w:val="left"/>
              <w:widowControl/>
              <w:rPr>
                <w:rFonts w:ascii="宋体" w:hAnsi="宋体" w:cs="宋体"/>
              </w:rPr>
            </w:pPr>
            <w:r>
              <w:rPr>
                <w:rFonts w:hint="eastAsia" w:ascii="宋体" w:hAnsi="宋体" w:cs="宋体"/>
              </w:rPr>
              <w:t xml:space="preserve">未提供的不得分。</w:t>
            </w:r>
            <w:r/>
          </w:p>
          <w:p>
            <w:pPr>
              <w:jc w:val="left"/>
              <w:widowControl/>
              <w:rPr>
                <w:rFonts w:ascii="宋体" w:hAnsi="宋体" w:cs="宋体"/>
              </w:rPr>
            </w:pPr>
            <w:r>
              <w:rPr>
                <w:rFonts w:hint="eastAsia" w:ascii="宋体" w:hAnsi="宋体" w:cs="宋体"/>
                <w:b/>
                <w:bCs/>
                <w:color w:val="000000"/>
              </w:rPr>
              <w:t xml:space="preserve">注：需附天宁</w:t>
            </w:r>
            <w:r>
              <w:rPr>
                <w:rFonts w:hint="eastAsia" w:ascii="宋体" w:hAnsi="宋体" w:cs="宋体"/>
                <w:b/>
                <w:bCs/>
                <w:color w:val="000000"/>
              </w:rPr>
              <w:t xml:space="preserve">区设施</w:t>
            </w:r>
            <w:r>
              <w:rPr>
                <w:rFonts w:hint="eastAsia" w:ascii="宋体" w:hAnsi="宋体" w:cs="宋体"/>
                <w:b/>
                <w:bCs/>
                <w:color w:val="000000"/>
              </w:rPr>
              <w:t xml:space="preserve">名录（标注等级）、差异化策略对应服务流程表。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rPr>
            </w:pPr>
            <w:r>
              <w:rPr>
                <w:rFonts w:hint="eastAsia" w:ascii="宋体" w:hAnsi="宋体" w:cs="宋体"/>
                <w:b/>
                <w:bCs/>
              </w:rPr>
              <w:t xml:space="preserve">10</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jc w:val="center"/>
              <w:widowControl/>
              <w:rPr>
                <w:rFonts w:ascii="宋体" w:hAnsi="宋体" w:cs="宋体"/>
              </w:rPr>
            </w:pPr>
            <w:r>
              <w:rPr>
                <w:rFonts w:hint="eastAsia" w:ascii="宋体" w:hAnsi="宋体" w:cs="宋体"/>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rPr>
            </w:pPr>
            <w:r>
              <w:rPr>
                <w:rFonts w:hint="eastAsia" w:ascii="宋体" w:hAnsi="宋体" w:cs="宋体"/>
                <w:color w:val="000000"/>
              </w:rPr>
              <w:t xml:space="preserve">风险分析与防范方案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rPr>
                <w:rFonts w:ascii="宋体" w:hAnsi="宋体" w:cs="宋体"/>
                <w:color w:val="000000"/>
              </w:rPr>
            </w:pPr>
            <w:r>
              <w:rPr>
                <w:rFonts w:hint="eastAsia" w:ascii="宋体" w:hAnsi="宋体" w:cs="宋体"/>
                <w:b/>
                <w:bCs/>
                <w:color w:val="000000"/>
              </w:rPr>
              <w:t xml:space="preserve">评标委员会根据投标人针对本项目需求提供的风险分析与防范对应措施（包括但不限于针对如台风、防汛等安全保证措施、车辆超载致路面塌陷等风险措</w:t>
            </w:r>
            <w:r>
              <w:rPr>
                <w:rFonts w:hint="eastAsia" w:ascii="宋体" w:hAnsi="宋体" w:cs="宋体"/>
                <w:b/>
                <w:bCs/>
                <w:color w:val="000000"/>
              </w:rPr>
              <w:t xml:space="preserve">施、重大活动创建、检查期间的应急预案等）进行综合评分：</w:t>
            </w:r>
            <w:r/>
          </w:p>
          <w:p>
            <w:pPr>
              <w:jc w:val="left"/>
              <w:rPr>
                <w:rFonts w:ascii="宋体" w:hAnsi="宋体" w:cs="宋体"/>
              </w:rPr>
            </w:pPr>
            <w:r>
              <w:rPr>
                <w:rFonts w:hint="eastAsia" w:ascii="宋体" w:hAnsi="宋体" w:cs="宋体"/>
              </w:rPr>
              <w:t xml:space="preserve">1、覆盖上述5类及以上风险，每类风险含“预防措施（如定期支座检测）+应对流程（如塌陷后4小时内围挡）”，并引用近3年常州地区同类风险案例，应急演练方案全面、详实，可行，得10分；</w:t>
            </w:r>
            <w:r/>
          </w:p>
          <w:p>
            <w:pPr>
              <w:jc w:val="left"/>
              <w:rPr>
                <w:rFonts w:ascii="宋体" w:hAnsi="宋体" w:cs="宋体"/>
              </w:rPr>
            </w:pPr>
            <w:r>
              <w:rPr>
                <w:rFonts w:hint="eastAsia" w:ascii="宋体" w:hAnsi="宋体" w:cs="宋体"/>
              </w:rPr>
              <w:t xml:space="preserve">2、覆盖4类风险，每类含预防措施与应对流程，引用同类城市案例，应急演练方案较全面、可行，得8分；</w:t>
            </w:r>
            <w:r/>
          </w:p>
          <w:p>
            <w:pPr>
              <w:jc w:val="left"/>
              <w:rPr>
                <w:rFonts w:ascii="宋体" w:hAnsi="宋体" w:cs="宋体"/>
              </w:rPr>
            </w:pPr>
            <w:r>
              <w:rPr>
                <w:rFonts w:hint="eastAsia" w:ascii="宋体" w:hAnsi="宋体" w:cs="宋体"/>
              </w:rPr>
              <w:t xml:space="preserve">3、风险分析基本全面，风险防范对应措施合理性与可操作性尚可的，应急演练方案基本合理、可行，得6分；</w:t>
            </w:r>
            <w:r/>
          </w:p>
          <w:p>
            <w:pPr>
              <w:jc w:val="left"/>
              <w:rPr>
                <w:rFonts w:ascii="宋体" w:hAnsi="宋体" w:cs="宋体"/>
              </w:rPr>
            </w:pPr>
            <w:r>
              <w:rPr>
                <w:rFonts w:hint="eastAsia" w:ascii="宋体" w:hAnsi="宋体" w:cs="宋体"/>
              </w:rPr>
              <w:t xml:space="preserve">4、覆盖2类风险，预防措施或应对流程缺失其一，无案例支撑，应急演练方案内容简单，表述模糊，得4分；</w:t>
            </w:r>
            <w:r/>
          </w:p>
          <w:p>
            <w:pPr>
              <w:jc w:val="left"/>
              <w:rPr>
                <w:rFonts w:ascii="宋体" w:hAnsi="宋体" w:cs="宋体"/>
              </w:rPr>
            </w:pPr>
            <w:r>
              <w:rPr>
                <w:rFonts w:hint="eastAsia" w:ascii="宋体" w:hAnsi="宋体" w:cs="宋体"/>
              </w:rPr>
              <w:t xml:space="preserve">5、仅提及1类风险，措施与流程缺乏实操性，未提供应急演练方案，得2分；</w:t>
            </w:r>
            <w:r/>
          </w:p>
          <w:p>
            <w:pPr>
              <w:jc w:val="left"/>
              <w:widowControl/>
              <w:rPr>
                <w:rFonts w:ascii="宋体" w:hAnsi="宋体" w:cs="宋体"/>
                <w:color w:val="000000"/>
              </w:rPr>
            </w:pPr>
            <w:r>
              <w:rPr>
                <w:rFonts w:hint="eastAsia" w:ascii="宋体" w:hAnsi="宋体" w:cs="宋体"/>
                <w:color w:val="000000"/>
              </w:rPr>
              <w:t xml:space="preserve">未提供的不得分。</w:t>
            </w:r>
            <w:r/>
          </w:p>
          <w:p>
            <w:pPr>
              <w:jc w:val="left"/>
              <w:widowControl/>
              <w:rPr>
                <w:rFonts w:ascii="宋体" w:hAnsi="宋体" w:cs="宋体"/>
                <w:color w:val="000000"/>
              </w:rPr>
            </w:pPr>
            <w:r>
              <w:rPr>
                <w:rFonts w:hint="eastAsia" w:ascii="宋体" w:hAnsi="宋体" w:cs="宋体"/>
                <w:b/>
                <w:bCs/>
                <w:color w:val="000000"/>
              </w:rPr>
              <w:t xml:space="preserve">注：</w:t>
            </w:r>
            <w:r>
              <w:rPr>
                <w:rFonts w:hint="eastAsia" w:ascii="宋体" w:hAnsi="宋体" w:cs="宋体"/>
                <w:b/>
                <w:bCs/>
                <w:color w:val="000000"/>
              </w:rPr>
              <w:t xml:space="preserve">需附近</w:t>
            </w:r>
            <w:r>
              <w:rPr>
                <w:rFonts w:hint="eastAsia" w:ascii="宋体" w:hAnsi="宋体" w:cs="宋体"/>
                <w:b/>
                <w:bCs/>
                <w:color w:val="000000"/>
              </w:rPr>
              <w:t xml:space="preserve">3年常州地区风险案例（含事故类型、处理结果）、风险预防执行计划、应急演练方案。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rPr>
            </w:pPr>
            <w:r>
              <w:rPr>
                <w:rFonts w:hint="eastAsia" w:ascii="宋体" w:hAnsi="宋体" w:cs="宋体"/>
                <w:b/>
                <w:bCs/>
              </w:rPr>
              <w:t xml:space="preserve">10</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jc w:val="center"/>
              <w:widowControl/>
              <w:rPr>
                <w:rFonts w:ascii="宋体" w:hAnsi="宋体" w:cs="宋体"/>
              </w:rPr>
            </w:pPr>
            <w:r>
              <w:rPr>
                <w:rFonts w:hint="eastAsia" w:ascii="宋体" w:hAnsi="宋体" w:cs="宋体"/>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项目管理服务方案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rPr>
                <w:rFonts w:ascii="宋体" w:hAnsi="宋体" w:cs="宋体"/>
                <w:b/>
                <w:bCs/>
                <w:color w:val="000000"/>
              </w:rPr>
            </w:pPr>
            <w:r>
              <w:rPr>
                <w:rFonts w:hint="eastAsia" w:ascii="宋体" w:hAnsi="宋体" w:cs="宋体"/>
                <w:b/>
                <w:bCs/>
                <w:color w:val="000000"/>
              </w:rPr>
              <w:t xml:space="preserve">评标委员会根据投标人针对本项目需求提供的项目管理服务方案进行综合评分：</w:t>
            </w:r>
            <w:r/>
          </w:p>
          <w:p>
            <w:pPr>
              <w:rPr>
                <w:rFonts w:ascii="宋体" w:hAnsi="宋体" w:cs="宋体"/>
              </w:rPr>
            </w:pPr>
            <w:r>
              <w:rPr>
                <w:rFonts w:hint="eastAsia" w:ascii="宋体" w:hAnsi="宋体" w:cs="宋体"/>
              </w:rPr>
              <w:t xml:space="preserve">1、明确项目经理、技术负责人等5个以上岗位及职责（如项目经理每月提交1份服务报告），建立与天宁区住建局的周沟通机制（每周固定时间对接）得10分；</w:t>
            </w:r>
            <w:r/>
          </w:p>
          <w:p>
            <w:pPr>
              <w:rPr>
                <w:rFonts w:ascii="宋体" w:hAnsi="宋体" w:cs="宋体"/>
              </w:rPr>
            </w:pPr>
            <w:r>
              <w:rPr>
                <w:rFonts w:hint="eastAsia" w:ascii="宋体" w:hAnsi="宋体" w:cs="宋体"/>
              </w:rPr>
              <w:t xml:space="preserve">2、明确3-4个核心岗位及职责，建立双周沟通机制，未标注岗位工作频次得8分；</w:t>
            </w:r>
            <w:r/>
          </w:p>
          <w:p>
            <w:pPr>
              <w:rPr>
                <w:rFonts w:ascii="宋体" w:hAnsi="宋体" w:cs="宋体"/>
              </w:rPr>
            </w:pPr>
            <w:r>
              <w:rPr>
                <w:rFonts w:hint="eastAsia" w:ascii="宋体" w:hAnsi="宋体" w:cs="宋体"/>
              </w:rPr>
              <w:t xml:space="preserve">3、仅提及项目负责人岗位，沟通机制为“按需沟通”，无固定频次得6分；</w:t>
            </w:r>
            <w:r/>
          </w:p>
          <w:p>
            <w:pPr>
              <w:rPr>
                <w:rFonts w:ascii="宋体" w:hAnsi="宋体" w:cs="宋体"/>
              </w:rPr>
            </w:pPr>
            <w:r>
              <w:rPr>
                <w:rFonts w:hint="eastAsia" w:ascii="宋体" w:hAnsi="宋体" w:cs="宋体"/>
              </w:rPr>
              <w:t xml:space="preserve">4、组织架构表述模糊，仅提及“专人对接”，无具体沟通机制，得4分；</w:t>
            </w:r>
            <w:r/>
          </w:p>
          <w:p>
            <w:pPr>
              <w:rPr>
                <w:rFonts w:ascii="宋体" w:hAnsi="宋体" w:cs="宋体"/>
              </w:rPr>
            </w:pPr>
            <w:r>
              <w:rPr>
                <w:rFonts w:hint="eastAsia" w:ascii="宋体" w:hAnsi="宋体" w:cs="宋体"/>
              </w:rPr>
              <w:t xml:space="preserve">5、方案为通用管理框架，未结合本项目设置岗位与沟通机制得2分；</w:t>
            </w:r>
            <w:r/>
          </w:p>
          <w:p>
            <w:pPr>
              <w:jc w:val="left"/>
              <w:widowControl/>
              <w:rPr>
                <w:rFonts w:ascii="宋体" w:hAnsi="宋体" w:cs="宋体"/>
                <w:color w:val="000000"/>
              </w:rPr>
            </w:pPr>
            <w:r>
              <w:rPr>
                <w:rFonts w:hint="eastAsia" w:ascii="宋体" w:hAnsi="宋体" w:cs="宋体"/>
                <w:color w:val="000000"/>
              </w:rPr>
              <w:t xml:space="preserve">未提供的不得分。</w:t>
            </w:r>
            <w:r/>
          </w:p>
          <w:p>
            <w:pPr>
              <w:jc w:val="left"/>
              <w:widowControl/>
              <w:rPr>
                <w:rFonts w:ascii="宋体" w:hAnsi="宋体" w:cs="宋体"/>
                <w:color w:val="000000"/>
              </w:rPr>
            </w:pPr>
            <w:r>
              <w:rPr>
                <w:rFonts w:hint="eastAsia" w:ascii="宋体" w:hAnsi="宋体" w:cs="宋体"/>
                <w:b/>
                <w:bCs/>
                <w:color w:val="000000"/>
              </w:rPr>
              <w:t xml:space="preserve">注：需附项目组织架构图、岗位工作职责说明书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rPr>
            </w:pPr>
            <w:r>
              <w:rPr>
                <w:rFonts w:hint="eastAsia" w:ascii="宋体" w:hAnsi="宋体" w:cs="宋体"/>
                <w:b/>
                <w:bCs/>
              </w:rPr>
              <w:t xml:space="preserve">10</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jc w:val="center"/>
              <w:widowControl/>
              <w:rPr>
                <w:rFonts w:ascii="宋体" w:hAnsi="宋体" w:cs="宋体"/>
              </w:rPr>
            </w:pPr>
            <w:r>
              <w:rPr>
                <w:rFonts w:hint="eastAsia" w:ascii="宋体" w:hAnsi="宋体" w:cs="宋体"/>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道路、桥梁维修单位考核机制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rPr>
                <w:rFonts w:ascii="宋体" w:hAnsi="宋体" w:cs="宋体"/>
                <w:b/>
                <w:bCs/>
                <w:color w:val="000000"/>
              </w:rPr>
            </w:pPr>
            <w:r>
              <w:rPr>
                <w:rFonts w:hint="eastAsia" w:ascii="宋体" w:hAnsi="宋体" w:cs="宋体"/>
                <w:b/>
                <w:bCs/>
                <w:color w:val="000000"/>
              </w:rPr>
              <w:t xml:space="preserve">评标委员会根据投标人针对本项目需求提供的道路、桥梁维修单位考核机制进行综合评分：</w:t>
            </w:r>
            <w:r/>
          </w:p>
          <w:p>
            <w:pPr>
              <w:rPr>
                <w:rFonts w:ascii="宋体" w:hAnsi="宋体" w:cs="宋体"/>
                <w:color w:val="000000"/>
              </w:rPr>
            </w:pPr>
            <w:r>
              <w:rPr>
                <w:rFonts w:hint="eastAsia" w:ascii="宋体" w:hAnsi="宋体" w:cs="宋体"/>
                <w:color w:val="000000"/>
              </w:rPr>
              <w:t xml:space="preserve">1、考核指标明确，考核标准合理，考核结果运用可操作性强的，得10分；</w:t>
            </w:r>
            <w:r/>
          </w:p>
          <w:p>
            <w:pPr>
              <w:rPr>
                <w:rFonts w:ascii="宋体" w:hAnsi="宋体" w:cs="宋体"/>
                <w:color w:val="000000"/>
              </w:rPr>
            </w:pPr>
            <w:r>
              <w:rPr>
                <w:rFonts w:hint="eastAsia" w:ascii="宋体" w:hAnsi="宋体" w:cs="宋体"/>
                <w:color w:val="000000"/>
              </w:rPr>
              <w:t xml:space="preserve">2、考核指标基本明确，考核标准基本</w:t>
            </w:r>
            <w:r>
              <w:rPr>
                <w:rFonts w:hint="eastAsia" w:ascii="宋体" w:hAnsi="宋体" w:cs="宋体"/>
                <w:color w:val="000000"/>
              </w:rPr>
              <w:t xml:space="preserve">合理，考核结果可操作性较强的，得8分；</w:t>
            </w:r>
            <w:r/>
          </w:p>
          <w:p>
            <w:pPr>
              <w:rPr>
                <w:rFonts w:ascii="宋体" w:hAnsi="宋体" w:cs="宋体"/>
                <w:color w:val="000000"/>
              </w:rPr>
            </w:pPr>
            <w:r>
              <w:rPr>
                <w:rFonts w:hint="eastAsia" w:ascii="宋体" w:hAnsi="宋体" w:cs="宋体"/>
                <w:color w:val="000000"/>
              </w:rPr>
              <w:t xml:space="preserve">3、考核指标、标准基本能覆盖项目需求的，得6分；</w:t>
            </w:r>
            <w:r/>
          </w:p>
          <w:p>
            <w:pPr>
              <w:rPr>
                <w:rFonts w:ascii="宋体" w:hAnsi="宋体" w:cs="宋体"/>
                <w:color w:val="000000"/>
              </w:rPr>
            </w:pPr>
            <w:r>
              <w:rPr>
                <w:rFonts w:hint="eastAsia" w:ascii="宋体" w:hAnsi="宋体" w:cs="宋体"/>
                <w:color w:val="000000"/>
              </w:rPr>
              <w:t xml:space="preserve">4、有考核指标、标准设置合理性欠佳，结果运用操作性差的，得4分；</w:t>
            </w:r>
            <w:r/>
          </w:p>
          <w:p>
            <w:pPr>
              <w:rPr>
                <w:rFonts w:ascii="宋体" w:hAnsi="宋体" w:cs="宋体"/>
                <w:color w:val="000000"/>
              </w:rPr>
            </w:pPr>
            <w:r>
              <w:rPr>
                <w:rFonts w:hint="eastAsia" w:ascii="宋体" w:hAnsi="宋体" w:cs="宋体"/>
                <w:color w:val="000000"/>
              </w:rPr>
              <w:t xml:space="preserve">5、考核描述简单笼统，无具体明细的，得2分；</w:t>
            </w:r>
            <w:r/>
          </w:p>
          <w:p>
            <w:pPr>
              <w:jc w:val="left"/>
              <w:widowControl/>
              <w:rPr>
                <w:rFonts w:ascii="宋体" w:hAnsi="宋体" w:cs="宋体"/>
                <w:color w:val="000000"/>
              </w:rPr>
            </w:pPr>
            <w:r>
              <w:rPr>
                <w:rFonts w:hint="eastAsia" w:ascii="宋体" w:hAnsi="宋体" w:cs="宋体"/>
                <w:color w:val="000000"/>
              </w:rPr>
              <w:t xml:space="preserve">未提供的不得分。</w:t>
            </w:r>
            <w:r/>
          </w:p>
          <w:p>
            <w:pPr>
              <w:pStyle w:val="946"/>
              <w:ind w:left="0" w:right="0"/>
              <w:spacing w:after="0"/>
              <w:rPr>
                <w:rFonts w:ascii="宋体" w:hAnsi="宋体" w:cs="宋体"/>
              </w:rPr>
            </w:pPr>
            <w:r>
              <w:rPr>
                <w:rFonts w:hint="eastAsia" w:ascii="宋体" w:hAnsi="宋体" w:cs="宋体"/>
                <w:b/>
                <w:bCs/>
                <w:color w:val="000000"/>
              </w:rPr>
              <w:t xml:space="preserve">注：需附维修单位考核指标表、考核结果应用实施细则。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rPr>
            </w:pPr>
            <w:r>
              <w:rPr>
                <w:rFonts w:hint="eastAsia" w:ascii="宋体" w:hAnsi="宋体" w:cs="宋体"/>
                <w:b/>
                <w:bCs/>
              </w:rPr>
              <w:t xml:space="preserve">10</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商务分</w:t>
            </w:r>
            <w:r/>
          </w:p>
          <w:p>
            <w:pPr>
              <w:jc w:val="center"/>
              <w:widowControl/>
              <w:rPr>
                <w:rFonts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r>
      <w:tr>
        <w:trPr>
          <w:trHeight w:val="4034"/>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类似</w:t>
            </w:r>
            <w:r/>
          </w:p>
          <w:p>
            <w:pPr>
              <w:jc w:val="center"/>
              <w:widowControl/>
              <w:rPr>
                <w:rFonts w:ascii="宋体" w:hAnsi="宋体" w:cs="宋体"/>
                <w:color w:val="000000"/>
              </w:rPr>
            </w:pPr>
            <w:r>
              <w:rPr>
                <w:rFonts w:hint="eastAsia" w:ascii="宋体" w:hAnsi="宋体" w:cs="宋体"/>
                <w:color w:val="000000"/>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ind w:left="-69"/>
              <w:jc w:val="left"/>
              <w:rPr>
                <w:rFonts w:ascii="宋体" w:hAnsi="宋体" w:cs="宋体"/>
                <w:color w:val="ff0000"/>
              </w:rPr>
            </w:pPr>
            <w:r>
              <w:rPr>
                <w:rFonts w:hint="eastAsia" w:ascii="宋体" w:hAnsi="宋体" w:cs="宋体"/>
                <w:color w:val="000000"/>
              </w:rPr>
              <w:t xml:space="preserve">投标人或投标人所属总公司或总公司下属分支机构自2022年1月1日至本项目招标公告发布之日止（以合同签订时间为准），承接的与本项目类似城市道路桥梁综合保险服务项目业绩证明，每提供一份有效业绩证明得5分，最高得10分。</w:t>
            </w:r>
            <w:r/>
          </w:p>
          <w:p>
            <w:pPr>
              <w:ind w:left="-69"/>
              <w:jc w:val="left"/>
              <w:rPr>
                <w:rFonts w:ascii="宋体" w:hAnsi="宋体" w:cs="宋体"/>
                <w:color w:val="000000"/>
              </w:rPr>
            </w:pPr>
            <w:r>
              <w:rPr>
                <w:rFonts w:hint="eastAsia" w:ascii="宋体" w:hAnsi="宋体" w:cs="宋体"/>
                <w:b/>
                <w:bCs/>
                <w:color w:val="000000"/>
              </w:rPr>
              <w:t xml:space="preserve">注：投标文件中须提供有效的合同原件扫描件（含首页、签字盖章页）并加盖投标人公章，合同需明确服务内容包含“道路或桥梁综合保险服务”，未提供或未按规定提供不得分。同一个项目不同服务年份的多个合同仅按一份业绩计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10</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是</w:t>
            </w:r>
            <w:r/>
          </w:p>
        </w:tc>
      </w:tr>
      <w:tr>
        <w:trPr>
          <w:trHeight w:val="4868"/>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理赔服务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评标委员会根据投标人针对本项目需求提供的理赔服务（如报案受理、查勘、定损、维修、结算、索赔程序、赔付时间、救援服务、响应时间等）进行评分：</w:t>
            </w:r>
            <w:r/>
          </w:p>
          <w:p>
            <w:pPr>
              <w:jc w:val="left"/>
              <w:widowControl/>
              <w:rPr>
                <w:rFonts w:ascii="宋体" w:hAnsi="宋体" w:cs="宋体"/>
                <w:color w:val="000000"/>
              </w:rPr>
            </w:pPr>
            <w:r>
              <w:rPr>
                <w:rFonts w:hint="eastAsia" w:ascii="宋体" w:hAnsi="宋体" w:cs="宋体"/>
                <w:color w:val="000000"/>
              </w:rPr>
              <w:t xml:space="preserve">1、满足4项时效要求（报案10分钟响应、核心区域30分钟查勘、一般案件24小时定损、维修过程2次核查）得6分；</w:t>
            </w:r>
            <w:r/>
          </w:p>
          <w:p>
            <w:pPr>
              <w:jc w:val="left"/>
              <w:widowControl/>
              <w:rPr>
                <w:rFonts w:ascii="宋体" w:hAnsi="宋体" w:cs="宋体"/>
                <w:color w:val="000000"/>
              </w:rPr>
            </w:pPr>
            <w:r>
              <w:rPr>
                <w:rFonts w:hint="eastAsia" w:ascii="宋体" w:hAnsi="宋体" w:cs="宋体"/>
                <w:color w:val="000000"/>
              </w:rPr>
              <w:t xml:space="preserve">2、满足3项时效要求，1项轻微放宽（如边缘区域查勘1.5小时内）得5分；</w:t>
            </w:r>
            <w:r/>
          </w:p>
          <w:p>
            <w:pPr>
              <w:jc w:val="left"/>
              <w:widowControl/>
              <w:rPr>
                <w:rFonts w:ascii="宋体" w:hAnsi="宋体" w:cs="宋体"/>
                <w:color w:val="000000"/>
              </w:rPr>
            </w:pPr>
            <w:r>
              <w:rPr>
                <w:rFonts w:hint="eastAsia" w:ascii="宋体" w:hAnsi="宋体" w:cs="宋体"/>
                <w:color w:val="000000"/>
              </w:rPr>
              <w:t xml:space="preserve">3、满足2项时效要求，2项指标放宽（如复杂案件定损96小时内）得4分；</w:t>
            </w:r>
            <w:r/>
          </w:p>
          <w:p>
            <w:pPr>
              <w:jc w:val="left"/>
              <w:widowControl/>
              <w:rPr>
                <w:rFonts w:ascii="宋体" w:hAnsi="宋体" w:cs="宋体"/>
                <w:color w:val="000000"/>
              </w:rPr>
            </w:pPr>
            <w:r>
              <w:rPr>
                <w:rFonts w:hint="eastAsia" w:ascii="宋体" w:hAnsi="宋体" w:cs="宋体"/>
                <w:color w:val="000000"/>
              </w:rPr>
              <w:t xml:space="preserve">4、仅满足1项时效要求，其余指标未明确或超合理时限得3分；</w:t>
            </w:r>
            <w:r/>
          </w:p>
          <w:p>
            <w:pPr>
              <w:jc w:val="left"/>
              <w:widowControl/>
              <w:rPr>
                <w:rFonts w:ascii="宋体" w:hAnsi="宋体" w:cs="宋体"/>
                <w:color w:val="000000"/>
              </w:rPr>
            </w:pPr>
            <w:r>
              <w:rPr>
                <w:rFonts w:hint="eastAsia" w:ascii="宋体" w:hAnsi="宋体" w:cs="宋体"/>
                <w:color w:val="000000"/>
              </w:rPr>
              <w:t xml:space="preserve">5、未明确任何时效指标，仅描述通用流程得2分。</w:t>
            </w:r>
            <w:r>
              <w:rPr>
                <w:rFonts w:hint="eastAsia" w:ascii="宋体" w:hAnsi="宋体" w:cs="宋体"/>
                <w:color w:val="000000"/>
              </w:rPr>
              <w:br w:type="textWrapping" w:clear="all"/>
            </w:r>
            <w:r>
              <w:rPr>
                <w:rFonts w:hint="eastAsia" w:ascii="宋体" w:hAnsi="宋体" w:cs="宋体"/>
                <w:b/>
                <w:bCs/>
                <w:color w:val="000000"/>
              </w:rPr>
              <w:t xml:space="preserve">注：投标文件按上述评分要求提供理赔流程时效承诺函并加盖投标人公章，未提供或未按规定提供不得分。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jc w:val="center"/>
              <w:widowControl/>
              <w:rPr>
                <w:rFonts w:ascii="宋体" w:hAnsi="宋体" w:cs="宋体"/>
                <w:b/>
                <w:bCs/>
                <w:sz w:val="20"/>
                <w:szCs w:val="20"/>
              </w:rPr>
            </w:pPr>
            <w:r>
              <w:rPr>
                <w:rFonts w:hint="eastAsia" w:ascii="宋体" w:hAnsi="宋体" w:cs="宋体"/>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限时查勘、限时赔付承诺</w:t>
            </w:r>
            <w:r/>
          </w:p>
          <w:p>
            <w:pPr>
              <w:jc w:val="center"/>
              <w:widowControl/>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评标委员会根据投标人针对本项目需求提供的保险服务方案中的限时查勘、限时赔付承诺进行评分：</w:t>
            </w:r>
            <w:r/>
          </w:p>
          <w:p>
            <w:pPr>
              <w:jc w:val="left"/>
              <w:widowControl/>
              <w:rPr>
                <w:rFonts w:ascii="宋体" w:hAnsi="宋体" w:cs="宋体"/>
                <w:color w:val="000000"/>
              </w:rPr>
            </w:pPr>
            <w:r>
              <w:rPr>
                <w:rFonts w:hint="eastAsia" w:ascii="宋体" w:hAnsi="宋体" w:cs="宋体"/>
                <w:color w:val="000000"/>
              </w:rPr>
              <w:t xml:space="preserve">1、</w:t>
            </w:r>
            <w:r>
              <w:rPr>
                <w:rFonts w:hint="eastAsia" w:ascii="宋体" w:hAnsi="宋体" w:cs="宋体"/>
                <w:color w:val="000000"/>
              </w:rPr>
              <w:t xml:space="preserve">明确全</w:t>
            </w:r>
            <w:r>
              <w:rPr>
                <w:rFonts w:hint="eastAsia" w:ascii="宋体" w:hAnsi="宋体" w:cs="宋体"/>
                <w:color w:val="000000"/>
              </w:rPr>
              <w:t xml:space="preserve">时段查勘时限（核心区域工作时段30分钟/非工作时段1小时）、赔付时限（小额24小时到账/大额3个工作日），承诺超时赔付违约金（每超10分钟</w:t>
            </w:r>
            <w:r>
              <w:rPr>
                <w:rFonts w:hint="eastAsia" w:ascii="宋体" w:hAnsi="宋体" w:cs="宋体"/>
                <w:color w:val="000000"/>
              </w:rPr>
              <w:t xml:space="preserve">付合同</w:t>
            </w:r>
            <w:r>
              <w:rPr>
                <w:rFonts w:hint="eastAsia" w:ascii="宋体" w:hAnsi="宋体" w:cs="宋体"/>
                <w:color w:val="000000"/>
              </w:rPr>
              <w:t xml:space="preserve">额0.1%）得6分；</w:t>
            </w:r>
            <w:r/>
          </w:p>
          <w:p>
            <w:pPr>
              <w:jc w:val="left"/>
              <w:widowControl/>
              <w:rPr>
                <w:rFonts w:ascii="宋体" w:hAnsi="宋体" w:cs="宋体"/>
                <w:color w:val="000000"/>
              </w:rPr>
            </w:pPr>
            <w:r>
              <w:rPr>
                <w:rFonts w:hint="eastAsia" w:ascii="宋体" w:hAnsi="宋体" w:cs="宋体"/>
                <w:color w:val="000000"/>
              </w:rPr>
              <w:t xml:space="preserve">2、查勘、赔付时限达标，未明确超时违约金得5分；</w:t>
            </w:r>
            <w:r/>
          </w:p>
          <w:p>
            <w:pPr>
              <w:jc w:val="left"/>
              <w:widowControl/>
              <w:rPr>
                <w:rFonts w:ascii="宋体" w:hAnsi="宋体" w:cs="宋体"/>
                <w:color w:val="000000"/>
              </w:rPr>
            </w:pPr>
            <w:r>
              <w:rPr>
                <w:rFonts w:hint="eastAsia" w:ascii="宋体" w:hAnsi="宋体" w:cs="宋体"/>
                <w:color w:val="000000"/>
              </w:rPr>
              <w:t xml:space="preserve">3、查勘时限达标，赔付时限放宽（如大额5个工作日），无违约承诺得4分；</w:t>
            </w:r>
            <w:r/>
          </w:p>
          <w:p>
            <w:pPr>
              <w:jc w:val="left"/>
              <w:widowControl/>
              <w:rPr>
                <w:rFonts w:ascii="宋体" w:hAnsi="宋体" w:cs="宋体"/>
                <w:color w:val="000000"/>
              </w:rPr>
            </w:pPr>
            <w:r>
              <w:rPr>
                <w:rFonts w:hint="eastAsia" w:ascii="宋体" w:hAnsi="宋体" w:cs="宋体"/>
                <w:color w:val="000000"/>
              </w:rPr>
              <w:t xml:space="preserve">4、查勘或赔付时限1项未达标，无违约承诺得3分；</w:t>
            </w:r>
            <w:r/>
          </w:p>
          <w:p>
            <w:pPr>
              <w:jc w:val="left"/>
              <w:widowControl/>
              <w:rPr>
                <w:rFonts w:ascii="宋体" w:hAnsi="宋体" w:cs="宋体"/>
                <w:color w:val="000000"/>
              </w:rPr>
            </w:pPr>
            <w:r>
              <w:rPr>
                <w:rFonts w:hint="eastAsia" w:ascii="宋体" w:hAnsi="宋体" w:cs="宋体"/>
                <w:color w:val="000000"/>
              </w:rPr>
              <w:t xml:space="preserve">5、</w:t>
            </w:r>
            <w:r>
              <w:rPr>
                <w:rFonts w:hint="eastAsia" w:ascii="宋体" w:hAnsi="宋体" w:cs="宋体"/>
                <w:color w:val="000000"/>
              </w:rPr>
              <w:t xml:space="preserve">仅明确</w:t>
            </w:r>
            <w:r>
              <w:rPr>
                <w:rFonts w:hint="eastAsia" w:ascii="宋体" w:hAnsi="宋体" w:cs="宋体"/>
                <w:color w:val="000000"/>
              </w:rPr>
              <w:t xml:space="preserve">1项时限，未覆盖全时段得2分；</w:t>
            </w:r>
            <w:r/>
          </w:p>
          <w:p>
            <w:pPr>
              <w:jc w:val="left"/>
              <w:widowControl/>
              <w:rPr>
                <w:rFonts w:ascii="宋体" w:hAnsi="宋体" w:cs="宋体"/>
                <w:b/>
                <w:bCs/>
                <w:color w:val="000000"/>
              </w:rPr>
            </w:pPr>
            <w:r>
              <w:rPr>
                <w:rFonts w:hint="eastAsia" w:ascii="宋体" w:hAnsi="宋体" w:cs="宋体"/>
                <w:b/>
                <w:bCs/>
                <w:color w:val="000000"/>
              </w:rPr>
              <w:t xml:space="preserve">注：投标文件按上述评分要求提供全时段查勘、赔付承诺函（含违约金计算方式）并加盖投标人公章，未提供或未按规定提供不得分。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6</w:t>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否</w:t>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jc w:val="center"/>
              <w:widowControl/>
            </w:pPr>
            <w:r>
              <w:rPr>
                <w:rFonts w:hint="eastAsia" w:ascii="宋体" w:hAnsi="宋体" w:cs="宋体"/>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spacing w:line="400" w:lineRule="exact"/>
              <w:widowControl/>
              <w:rPr>
                <w:rFonts w:ascii="宋体" w:hAnsi="宋体" w:cs="宋体"/>
                <w:color w:val="000000"/>
              </w:rPr>
            </w:pPr>
            <w:r>
              <w:rPr>
                <w:rFonts w:hint="eastAsia" w:ascii="宋体" w:hAnsi="宋体" w:cs="宋体"/>
                <w:color w:val="000000"/>
              </w:rPr>
              <w:t xml:space="preserve">赔偿</w:t>
            </w:r>
            <w:r/>
          </w:p>
          <w:p>
            <w:pPr>
              <w:jc w:val="center"/>
              <w:widowControl/>
              <w:rPr>
                <w:rFonts w:ascii="宋体" w:hAnsi="宋体" w:cs="宋体"/>
                <w:color w:val="000000"/>
              </w:rPr>
            </w:pPr>
            <w:r>
              <w:rPr>
                <w:rFonts w:hint="eastAsia" w:ascii="宋体" w:hAnsi="宋体" w:cs="宋体"/>
                <w:color w:val="000000"/>
              </w:rPr>
              <w:t xml:space="preserve">限额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widowControl/>
              <w:rPr>
                <w:rFonts w:ascii="宋体" w:hAnsi="宋体" w:cs="宋体"/>
                <w:b/>
                <w:bCs/>
                <w:color w:val="000000"/>
              </w:rPr>
            </w:pPr>
            <w:r>
              <w:rPr>
                <w:rFonts w:hint="eastAsia" w:ascii="宋体" w:hAnsi="宋体" w:cs="宋体"/>
                <w:b/>
                <w:bCs/>
                <w:color w:val="000000"/>
              </w:rPr>
              <w:t xml:space="preserve">投标人承诺：</w:t>
            </w:r>
            <w:r/>
          </w:p>
          <w:p>
            <w:pPr>
              <w:widowControl/>
              <w:rPr>
                <w:rFonts w:ascii="宋体" w:hAnsi="宋体" w:cs="宋体"/>
                <w:color w:val="000000"/>
              </w:rPr>
            </w:pPr>
            <w:r>
              <w:rPr>
                <w:rFonts w:hint="eastAsia" w:ascii="宋体" w:hAnsi="宋体" w:cs="宋体"/>
                <w:color w:val="000000"/>
              </w:rPr>
              <w:t xml:space="preserve">1、财产损失维修保险：赔偿限额大于1500万元，每提高100万元得1分，最高得5分。</w:t>
            </w:r>
            <w:r/>
          </w:p>
          <w:p>
            <w:pPr>
              <w:widowControl/>
              <w:rPr>
                <w:rFonts w:ascii="宋体" w:hAnsi="宋体" w:cs="宋体"/>
                <w:color w:val="000000"/>
              </w:rPr>
            </w:pPr>
            <w:r>
              <w:rPr>
                <w:rFonts w:hint="eastAsia" w:ascii="宋体" w:hAnsi="宋体" w:cs="宋体"/>
                <w:color w:val="000000"/>
              </w:rPr>
              <w:t xml:space="preserve">2、公众责任险：赔偿限额大于1500万元，每提高100万元得1分，最高得5分。</w:t>
            </w:r>
            <w:r/>
          </w:p>
          <w:p>
            <w:pPr>
              <w:widowControl/>
              <w:rPr>
                <w:rFonts w:ascii="宋体" w:hAnsi="宋体" w:cs="宋体"/>
                <w:color w:val="000000"/>
              </w:rPr>
            </w:pPr>
            <w:r>
              <w:rPr>
                <w:rFonts w:hint="eastAsia" w:ascii="宋体" w:hAnsi="宋体" w:cs="宋体"/>
                <w:color w:val="000000"/>
              </w:rPr>
              <w:t xml:space="preserve">最高得10分。</w:t>
            </w:r>
            <w:r/>
          </w:p>
          <w:p>
            <w:pPr>
              <w:widowControl/>
              <w:rPr>
                <w:rFonts w:ascii="宋体" w:hAnsi="宋体" w:cs="宋体"/>
                <w:color w:val="000000"/>
              </w:rPr>
            </w:pPr>
            <w:r>
              <w:rPr>
                <w:rFonts w:hint="eastAsia" w:ascii="宋体" w:hAnsi="宋体" w:cs="宋体"/>
                <w:b/>
                <w:bCs/>
                <w:color w:val="000000"/>
              </w:rPr>
              <w:t xml:space="preserve">注：投标文件按上述评分要求提供承诺函并加盖投标人公章，未提供或未按规定提供不得分。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10</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jc w:val="center"/>
              <w:widowControl/>
              <w:rPr>
                <w:rFonts w:ascii="宋体" w:hAnsi="宋体" w:cs="宋体"/>
              </w:rPr>
            </w:pPr>
            <w:r>
              <w:rPr>
                <w:rFonts w:hint="eastAsia" w:ascii="宋体" w:hAnsi="宋体" w:cs="宋体"/>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spacing w:line="400" w:lineRule="exact"/>
              <w:widowControl/>
              <w:rPr>
                <w:rFonts w:ascii="宋体" w:hAnsi="宋体" w:cs="宋体"/>
                <w:color w:val="000000"/>
              </w:rPr>
            </w:pPr>
            <w:r>
              <w:rPr>
                <w:rFonts w:hint="eastAsia" w:ascii="宋体" w:hAnsi="宋体" w:cs="宋体"/>
                <w:color w:val="000000"/>
              </w:rPr>
              <w:t xml:space="preserve">保险服务网点、服务团队和服务响应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根据投标人的保险服务网点覆盖、服务团队人员配备、服务响应等情况评分：</w:t>
            </w:r>
            <w:r/>
          </w:p>
          <w:p>
            <w:pPr>
              <w:jc w:val="left"/>
              <w:widowControl/>
              <w:rPr>
                <w:rFonts w:ascii="宋体" w:hAnsi="宋体" w:cs="宋体"/>
                <w:color w:val="000000"/>
              </w:rPr>
            </w:pPr>
            <w:r>
              <w:rPr>
                <w:rFonts w:hint="eastAsia" w:ascii="宋体" w:hAnsi="宋体" w:cs="宋体"/>
                <w:color w:val="000000"/>
              </w:rPr>
              <w:t xml:space="preserve">1、天宁区内有专属网点（附地址）或常州主城区网点30分钟内可抵达，专属团队≥5人（至少含2名市政工程师、2名理赔师），7×24小时热线（附号码）且48小时闭环响应，得5分；</w:t>
            </w:r>
            <w:r/>
          </w:p>
          <w:p>
            <w:pPr>
              <w:jc w:val="left"/>
              <w:widowControl/>
              <w:rPr>
                <w:rFonts w:ascii="宋体" w:hAnsi="宋体" w:cs="宋体"/>
                <w:color w:val="000000"/>
              </w:rPr>
            </w:pPr>
            <w:r>
              <w:rPr>
                <w:rFonts w:hint="eastAsia" w:ascii="宋体" w:hAnsi="宋体" w:cs="宋体"/>
                <w:color w:val="000000"/>
              </w:rPr>
              <w:t xml:space="preserve">2、满足上述2项要求的，得3分；</w:t>
            </w:r>
            <w:r/>
          </w:p>
          <w:p>
            <w:pPr>
              <w:jc w:val="left"/>
              <w:widowControl/>
              <w:rPr>
                <w:rFonts w:ascii="宋体" w:hAnsi="宋体" w:cs="宋体"/>
                <w:color w:val="000000"/>
              </w:rPr>
            </w:pPr>
            <w:r>
              <w:rPr>
                <w:rFonts w:hint="eastAsia" w:ascii="宋体" w:hAnsi="宋体" w:cs="宋体"/>
                <w:color w:val="000000"/>
              </w:rPr>
              <w:t xml:space="preserve">3、满足上述1项要求的，得1分；</w:t>
            </w:r>
            <w:r/>
          </w:p>
          <w:p>
            <w:pPr>
              <w:jc w:val="left"/>
              <w:widowControl/>
              <w:rPr>
                <w:rFonts w:ascii="宋体" w:hAnsi="宋体" w:cs="宋体"/>
                <w:color w:val="000000"/>
              </w:rPr>
            </w:pPr>
            <w:r>
              <w:rPr>
                <w:rFonts w:hint="eastAsia" w:ascii="宋体" w:hAnsi="宋体" w:cs="宋体"/>
                <w:color w:val="000000"/>
              </w:rPr>
              <w:t xml:space="preserve">4、投标人承诺中标后满足上述配置1的得5分，满足配置2的得3分，满足配置1的得1分；</w:t>
            </w:r>
            <w:r/>
          </w:p>
          <w:p>
            <w:pPr>
              <w:jc w:val="left"/>
              <w:widowControl/>
              <w:rPr>
                <w:rFonts w:ascii="宋体" w:hAnsi="宋体" w:cs="宋体"/>
                <w:color w:val="000000"/>
              </w:rPr>
            </w:pPr>
            <w:r>
              <w:rPr>
                <w:rFonts w:hint="eastAsia" w:ascii="宋体" w:hAnsi="宋体" w:cs="宋体"/>
                <w:color w:val="000000"/>
              </w:rPr>
              <w:t xml:space="preserve">最高得5分。</w:t>
            </w:r>
            <w:r/>
          </w:p>
          <w:p>
            <w:r>
              <w:rPr>
                <w:rFonts w:hint="eastAsia"/>
                <w:b/>
                <w:bCs/>
              </w:rPr>
              <w:t xml:space="preserve">注：提供网点租赁合同或产权证明、团队配置表及人员证书扫描件、热线开通证明或提供承诺函（承诺</w:t>
            </w:r>
            <w:r>
              <w:rPr>
                <w:rFonts w:hint="eastAsia"/>
                <w:b/>
                <w:bCs/>
              </w:rPr>
              <w:t xml:space="preserve">函内容</w:t>
            </w:r>
            <w:r>
              <w:rPr>
                <w:rFonts w:hint="eastAsia"/>
                <w:b/>
                <w:bCs/>
              </w:rPr>
              <w:t xml:space="preserve">按上述评分要求提供）并加盖投标人公章，未</w:t>
            </w:r>
            <w:r>
              <w:rPr>
                <w:rFonts w:hint="eastAsia"/>
                <w:b/>
                <w:bCs/>
              </w:rPr>
              <w:t xml:space="preserve">提供或未按规定提供不得分。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5</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jc w:val="center"/>
              <w:widowControl/>
              <w:rPr>
                <w:rFonts w:ascii="宋体" w:hAnsi="宋体" w:cs="宋体"/>
              </w:rPr>
            </w:pPr>
            <w:r>
              <w:rPr>
                <w:rFonts w:hint="eastAsia" w:ascii="宋体" w:hAnsi="宋体" w:cs="宋体"/>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保险+</w:t>
            </w:r>
            <w:r>
              <w:rPr>
                <w:rFonts w:hint="eastAsia" w:ascii="宋体" w:hAnsi="宋体" w:cs="宋体"/>
                <w:color w:val="000000"/>
              </w:rPr>
              <w:t xml:space="preserve">”</w:t>
            </w:r>
            <w:r>
              <w:rPr>
                <w:rFonts w:hint="eastAsia" w:ascii="宋体" w:hAnsi="宋体" w:cs="宋体"/>
                <w:color w:val="000000"/>
              </w:rPr>
              <w:t xml:space="preserve">服务创新措施承诺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评标委员会根据投标人的“保险+”服务的创新措施承诺进行评分：</w:t>
            </w:r>
            <w:r/>
          </w:p>
          <w:p>
            <w:pPr>
              <w:widowControl/>
              <w:rPr>
                <w:rFonts w:ascii="宋体" w:hAnsi="宋体" w:cs="宋体"/>
                <w:color w:val="000000"/>
              </w:rPr>
            </w:pPr>
            <w:r>
              <w:rPr>
                <w:rFonts w:hint="eastAsia" w:ascii="宋体" w:hAnsi="宋体" w:cs="宋体"/>
                <w:color w:val="000000"/>
              </w:rPr>
              <w:t xml:space="preserve">1、提供“保险+智慧监测”服务（保险期内，为天宁区10座（含）以上重点桥梁装位移传感器并同步数据至甲方指定平台），每月出具《养护风险分析报告》，得5分；</w:t>
            </w:r>
            <w:r/>
          </w:p>
          <w:p>
            <w:pPr>
              <w:widowControl/>
              <w:rPr>
                <w:rFonts w:ascii="宋体" w:hAnsi="宋体" w:cs="宋体"/>
                <w:color w:val="000000"/>
              </w:rPr>
            </w:pPr>
            <w:r>
              <w:rPr>
                <w:rFonts w:hint="eastAsia" w:ascii="宋体" w:hAnsi="宋体" w:cs="宋体"/>
                <w:color w:val="000000"/>
              </w:rPr>
              <w:t xml:space="preserve">2、提供“保险+智慧监测”服务（保险期内，为天宁区7至9座重点桥梁装位移传感器并同步数据至甲方指定平台），每月出具《养护风险分析报告》，得4分；</w:t>
            </w:r>
            <w:r/>
          </w:p>
          <w:p>
            <w:pPr>
              <w:widowControl/>
              <w:rPr>
                <w:rFonts w:ascii="宋体" w:hAnsi="宋体" w:cs="宋体"/>
                <w:color w:val="000000"/>
              </w:rPr>
            </w:pPr>
            <w:r>
              <w:rPr>
                <w:rFonts w:hint="eastAsia" w:ascii="宋体" w:hAnsi="宋体" w:cs="宋体"/>
                <w:color w:val="000000"/>
              </w:rPr>
              <w:t xml:space="preserve">3、提供“保险+智慧监测”服务（保险期内，为天宁区4至6座重点桥梁装位移传感器并同步数据至甲方指定平台），每月出具《养护风险分析报告》，得3分；</w:t>
            </w:r>
            <w:r/>
          </w:p>
          <w:p>
            <w:pPr>
              <w:widowControl/>
              <w:rPr>
                <w:rFonts w:ascii="宋体" w:hAnsi="宋体" w:cs="宋体"/>
                <w:color w:val="000000"/>
              </w:rPr>
            </w:pPr>
            <w:r>
              <w:rPr>
                <w:rFonts w:hint="eastAsia" w:ascii="宋体" w:hAnsi="宋体" w:cs="宋体"/>
                <w:color w:val="000000"/>
              </w:rPr>
              <w:t xml:space="preserve">4、提供“保险+智慧监测”服务（保险期内，为天宁区1至3座重点桥梁装位移传感器并同步数据至甲方指定平台），每月出具《养护风险分析报告》，得2分。</w:t>
            </w:r>
            <w:r/>
          </w:p>
          <w:p>
            <w:pPr>
              <w:widowControl/>
              <w:rPr>
                <w:rFonts w:ascii="宋体" w:hAnsi="宋体" w:cs="宋体"/>
                <w:color w:val="000000"/>
              </w:rPr>
            </w:pPr>
            <w:r>
              <w:rPr>
                <w:rFonts w:hint="eastAsia" w:ascii="宋体" w:hAnsi="宋体" w:cs="宋体"/>
                <w:b/>
                <w:bCs/>
                <w:color w:val="000000"/>
              </w:rPr>
              <w:t xml:space="preserve">注：投标文件按上述评分要求提供承诺函并加盖投标人公章，未提供或未按规定提供不得分。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5</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jc w:val="center"/>
              <w:widowControl/>
              <w:rPr>
                <w:rFonts w:ascii="宋体" w:hAnsi="宋体" w:cs="宋体"/>
              </w:rPr>
            </w:pPr>
            <w:r>
              <w:rPr>
                <w:rFonts w:hint="eastAsia" w:ascii="宋体" w:hAnsi="宋体" w:cs="宋体"/>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风控</w:t>
            </w:r>
            <w:r/>
          </w:p>
          <w:p>
            <w:pPr>
              <w:jc w:val="center"/>
              <w:widowControl/>
              <w:rPr>
                <w:rFonts w:ascii="宋体" w:hAnsi="宋体" w:cs="宋体"/>
                <w:b/>
                <w:bCs/>
                <w:sz w:val="20"/>
                <w:szCs w:val="20"/>
              </w:rPr>
            </w:pPr>
            <w:r>
              <w:rPr>
                <w:rFonts w:hint="eastAsia" w:ascii="宋体" w:hAnsi="宋体" w:cs="宋体"/>
                <w:sz w:val="20"/>
                <w:szCs w:val="20"/>
              </w:rPr>
              <w:t xml:space="preserve">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widowControl/>
              <w:rPr>
                <w:rFonts w:ascii="宋体" w:hAnsi="宋体" w:cs="宋体"/>
              </w:rPr>
            </w:pPr>
            <w:r>
              <w:rPr>
                <w:rFonts w:hint="eastAsia" w:ascii="宋体" w:hAnsi="宋体" w:cs="宋体"/>
              </w:rPr>
              <w:t xml:space="preserve">评标委员会根据投标人针对本项目拟投入</w:t>
            </w:r>
            <w:r>
              <w:rPr>
                <w:rFonts w:hint="eastAsia" w:ascii="宋体" w:hAnsi="宋体" w:cs="宋体"/>
              </w:rPr>
              <w:t xml:space="preserve">的风控服务费</w:t>
            </w:r>
            <w:r>
              <w:rPr>
                <w:rFonts w:hint="eastAsia" w:ascii="宋体" w:hAnsi="宋体" w:cs="宋体"/>
              </w:rPr>
              <w:t xml:space="preserve">用及</w:t>
            </w:r>
            <w:r>
              <w:rPr>
                <w:rFonts w:hint="eastAsia" w:ascii="宋体" w:hAnsi="宋体" w:cs="宋体"/>
              </w:rPr>
              <w:t xml:space="preserve">风控服务</w:t>
            </w:r>
            <w:r>
              <w:rPr>
                <w:rFonts w:hint="eastAsia" w:ascii="宋体" w:hAnsi="宋体" w:cs="宋体"/>
              </w:rPr>
              <w:t xml:space="preserve">措施进行评分：</w:t>
            </w:r>
            <w:r/>
          </w:p>
          <w:p>
            <w:pPr>
              <w:widowControl/>
              <w:rPr>
                <w:rFonts w:ascii="宋体" w:hAnsi="宋体" w:cs="宋体"/>
              </w:rPr>
            </w:pPr>
            <w:r>
              <w:rPr>
                <w:rFonts w:hint="eastAsia" w:ascii="宋体" w:hAnsi="宋体" w:cs="宋体"/>
                <w:b/>
                <w:bCs/>
              </w:rPr>
              <w:t xml:space="preserve">（1）</w:t>
            </w:r>
            <w:r>
              <w:rPr>
                <w:rFonts w:hint="eastAsia" w:ascii="宋体" w:hAnsi="宋体" w:cs="宋体"/>
                <w:b/>
                <w:bCs/>
              </w:rPr>
              <w:t xml:space="preserve">风控费用</w:t>
            </w:r>
            <w:r>
              <w:rPr>
                <w:rFonts w:hint="eastAsia" w:ascii="宋体" w:hAnsi="宋体" w:cs="宋体"/>
                <w:b/>
                <w:bCs/>
              </w:rPr>
              <w:t xml:space="preserve">的投入：</w:t>
            </w:r>
            <w:r/>
          </w:p>
          <w:p>
            <w:pPr>
              <w:widowControl/>
              <w:rPr>
                <w:rFonts w:ascii="宋体" w:hAnsi="宋体" w:cs="宋体"/>
              </w:rPr>
            </w:pPr>
            <w:r>
              <w:rPr>
                <w:rFonts w:hint="eastAsia" w:ascii="宋体" w:hAnsi="宋体" w:cs="宋体"/>
              </w:rPr>
              <w:t xml:space="preserve">投标人拟投入</w:t>
            </w:r>
            <w:r>
              <w:rPr>
                <w:rFonts w:hint="eastAsia" w:ascii="宋体" w:hAnsi="宋体" w:cs="宋体"/>
              </w:rPr>
              <w:t xml:space="preserve">风控费用</w:t>
            </w:r>
            <w:r>
              <w:rPr>
                <w:rFonts w:hint="eastAsia" w:ascii="宋体" w:hAnsi="宋体" w:cs="宋体"/>
              </w:rPr>
              <w:t xml:space="preserve">占总报价30%的，得5分；</w:t>
            </w:r>
            <w:r/>
          </w:p>
          <w:p>
            <w:pPr>
              <w:widowControl/>
              <w:rPr>
                <w:rFonts w:ascii="宋体" w:hAnsi="宋体" w:cs="宋体"/>
              </w:rPr>
            </w:pPr>
            <w:r>
              <w:rPr>
                <w:rFonts w:hint="eastAsia" w:ascii="宋体" w:hAnsi="宋体" w:cs="宋体"/>
              </w:rPr>
              <w:t xml:space="preserve">投标人拟投入</w:t>
            </w:r>
            <w:r>
              <w:rPr>
                <w:rFonts w:hint="eastAsia" w:ascii="宋体" w:hAnsi="宋体" w:cs="宋体"/>
              </w:rPr>
              <w:t xml:space="preserve">风控费用</w:t>
            </w:r>
            <w:r>
              <w:rPr>
                <w:rFonts w:hint="eastAsia" w:ascii="宋体" w:hAnsi="宋体" w:cs="宋体"/>
              </w:rPr>
              <w:t xml:space="preserve">占总报价20%的，得3分；</w:t>
            </w:r>
            <w:r/>
          </w:p>
          <w:p>
            <w:pPr>
              <w:widowControl/>
              <w:rPr>
                <w:rFonts w:ascii="宋体" w:hAnsi="宋体" w:cs="宋体"/>
              </w:rPr>
            </w:pPr>
            <w:r>
              <w:rPr>
                <w:rFonts w:hint="eastAsia" w:ascii="宋体" w:hAnsi="宋体" w:cs="宋体"/>
              </w:rPr>
              <w:t xml:space="preserve">投标人拟投入</w:t>
            </w:r>
            <w:r>
              <w:rPr>
                <w:rFonts w:hint="eastAsia" w:ascii="宋体" w:hAnsi="宋体" w:cs="宋体"/>
              </w:rPr>
              <w:t xml:space="preserve">风控费用</w:t>
            </w:r>
            <w:r>
              <w:rPr>
                <w:rFonts w:hint="eastAsia" w:ascii="宋体" w:hAnsi="宋体" w:cs="宋体"/>
              </w:rPr>
              <w:t xml:space="preserve">占总报价10%的，得1分；</w:t>
            </w:r>
            <w:r/>
          </w:p>
          <w:p>
            <w:pPr>
              <w:widowControl/>
              <w:rPr>
                <w:rFonts w:ascii="宋体" w:hAnsi="宋体" w:cs="宋体"/>
                <w:b/>
                <w:bCs/>
              </w:rPr>
            </w:pPr>
            <w:r>
              <w:rPr>
                <w:rFonts w:hint="eastAsia" w:ascii="宋体" w:hAnsi="宋体" w:cs="宋体"/>
                <w:b/>
                <w:bCs/>
              </w:rPr>
              <w:t xml:space="preserve">（2）</w:t>
            </w:r>
            <w:r>
              <w:rPr>
                <w:rFonts w:hint="eastAsia" w:ascii="宋体" w:hAnsi="宋体" w:cs="宋体"/>
                <w:b/>
                <w:bCs/>
              </w:rPr>
              <w:t xml:space="preserve">风控服务</w:t>
            </w:r>
            <w:r>
              <w:rPr>
                <w:rFonts w:hint="eastAsia" w:ascii="宋体" w:hAnsi="宋体" w:cs="宋体"/>
                <w:b/>
                <w:bCs/>
              </w:rPr>
              <w:t xml:space="preserve">设备或具体措施：</w:t>
            </w:r>
            <w:r/>
          </w:p>
          <w:p>
            <w:pPr>
              <w:widowControl/>
              <w:rPr>
                <w:rFonts w:ascii="宋体" w:hAnsi="宋体" w:cs="宋体"/>
              </w:rPr>
            </w:pPr>
            <w:r>
              <w:rPr>
                <w:rFonts w:hint="eastAsia" w:ascii="宋体" w:hAnsi="宋体" w:cs="宋体"/>
              </w:rPr>
              <w:t xml:space="preserve">投标人提供了现有</w:t>
            </w:r>
            <w:r>
              <w:rPr>
                <w:rFonts w:hint="eastAsia" w:ascii="宋体" w:hAnsi="宋体" w:cs="宋体"/>
              </w:rPr>
              <w:t xml:space="preserve">风控服务</w:t>
            </w:r>
            <w:r>
              <w:rPr>
                <w:rFonts w:hint="eastAsia" w:ascii="宋体" w:hAnsi="宋体" w:cs="宋体"/>
              </w:rPr>
              <w:t xml:space="preserve">设备或列举具体</w:t>
            </w:r>
            <w:r>
              <w:rPr>
                <w:rFonts w:hint="eastAsia" w:ascii="宋体" w:hAnsi="宋体" w:cs="宋体"/>
              </w:rPr>
              <w:t xml:space="preserve">风控服务</w:t>
            </w:r>
            <w:r>
              <w:rPr>
                <w:rFonts w:hint="eastAsia" w:ascii="宋体" w:hAnsi="宋体" w:cs="宋体"/>
              </w:rPr>
              <w:t xml:space="preserve">措施的，得3分，未提供不得分。</w:t>
            </w:r>
            <w:r/>
          </w:p>
          <w:p>
            <w:pPr>
              <w:widowControl/>
              <w:rPr>
                <w:rFonts w:ascii="宋体" w:hAnsi="宋体" w:cs="宋体"/>
                <w:b/>
                <w:bCs/>
              </w:rPr>
            </w:pPr>
            <w:r>
              <w:rPr>
                <w:rFonts w:hint="eastAsia" w:ascii="宋体" w:hAnsi="宋体" w:cs="宋体"/>
                <w:b/>
                <w:bCs/>
              </w:rPr>
              <w:t xml:space="preserve">注：针对</w:t>
            </w:r>
            <w:r>
              <w:rPr>
                <w:rFonts w:hint="eastAsia" w:ascii="宋体" w:hAnsi="宋体" w:cs="宋体"/>
                <w:b/>
                <w:bCs/>
              </w:rPr>
              <w:t xml:space="preserve">风控费用</w:t>
            </w:r>
            <w:r>
              <w:rPr>
                <w:rFonts w:hint="eastAsia" w:ascii="宋体" w:hAnsi="宋体" w:cs="宋体"/>
                <w:b/>
                <w:bCs/>
              </w:rPr>
              <w:t xml:space="preserve">投入评分：投标人按上述评分要求提供</w:t>
            </w:r>
            <w:r>
              <w:rPr>
                <w:rFonts w:hint="eastAsia" w:ascii="宋体" w:hAnsi="宋体" w:cs="宋体"/>
                <w:b/>
                <w:bCs/>
              </w:rPr>
              <w:t xml:space="preserve">风控费用</w:t>
            </w:r>
            <w:r>
              <w:rPr>
                <w:rFonts w:hint="eastAsia" w:ascii="宋体" w:hAnsi="宋体" w:cs="宋体"/>
                <w:b/>
                <w:bCs/>
              </w:rPr>
              <w:t xml:space="preserve">投入承诺函；</w:t>
            </w:r>
            <w:r/>
          </w:p>
          <w:p>
            <w:pPr>
              <w:widowControl/>
              <w:rPr>
                <w:rFonts w:ascii="宋体" w:hAnsi="宋体" w:cs="宋体"/>
                <w:b/>
                <w:bCs/>
              </w:rPr>
            </w:pPr>
            <w:r>
              <w:rPr>
                <w:rFonts w:hint="eastAsia" w:ascii="宋体" w:hAnsi="宋体" w:cs="宋体"/>
                <w:b/>
                <w:bCs/>
              </w:rPr>
              <w:t xml:space="preserve">针对</w:t>
            </w:r>
            <w:r>
              <w:rPr>
                <w:rFonts w:hint="eastAsia" w:ascii="宋体" w:hAnsi="宋体" w:cs="宋体"/>
                <w:b/>
                <w:bCs/>
              </w:rPr>
              <w:t xml:space="preserve">风控服务</w:t>
            </w:r>
            <w:r>
              <w:rPr>
                <w:rFonts w:hint="eastAsia" w:ascii="宋体" w:hAnsi="宋体" w:cs="宋体"/>
                <w:b/>
                <w:bCs/>
              </w:rPr>
              <w:t xml:space="preserve">设备或具体措施：提供与本项目道路桥梁相关</w:t>
            </w:r>
            <w:r>
              <w:rPr>
                <w:rFonts w:hint="eastAsia" w:ascii="宋体" w:hAnsi="宋体" w:cs="宋体"/>
                <w:b/>
                <w:bCs/>
              </w:rPr>
              <w:t xml:space="preserve">风控服务</w:t>
            </w:r>
            <w:r>
              <w:rPr>
                <w:rFonts w:hint="eastAsia" w:ascii="宋体" w:hAnsi="宋体" w:cs="宋体"/>
                <w:b/>
                <w:bCs/>
              </w:rPr>
              <w:t xml:space="preserve">内容举措方案及相关设备使用案例进行评分。</w:t>
            </w:r>
            <w:r/>
          </w:p>
          <w:p>
            <w:pPr>
              <w:widowControl/>
              <w:rPr>
                <w:rFonts w:ascii="宋体" w:hAnsi="宋体" w:cs="宋体"/>
                <w:b/>
                <w:bCs/>
                <w:sz w:val="20"/>
                <w:szCs w:val="20"/>
              </w:rPr>
            </w:pPr>
            <w:r>
              <w:rPr>
                <w:rFonts w:hint="eastAsia" w:ascii="宋体" w:hAnsi="宋体" w:cs="宋体"/>
                <w:b/>
                <w:bCs/>
              </w:rPr>
              <w:t xml:space="preserve">未提供或未按规定提供不得分。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bl>
    <w:p>
      <w:r/>
      <w:r/>
    </w:p>
    <w:p>
      <w:r/>
      <w:r/>
    </w:p>
    <w:p>
      <w:r/>
      <w:r/>
    </w:p>
    <w:p>
      <w:r/>
      <w:r/>
    </w:p>
    <w:p>
      <w:r/>
      <w:r/>
    </w:p>
    <w:p>
      <w:r/>
      <w:r/>
    </w:p>
    <w:p>
      <w:r/>
      <w:r/>
    </w:p>
    <w:p>
      <w:r/>
      <w:r/>
    </w:p>
    <w:p>
      <w:r/>
      <w:r/>
    </w:p>
    <w:p>
      <w:r/>
      <w:r/>
    </w:p>
    <w:p>
      <w:r/>
      <w:r/>
    </w:p>
    <w:p>
      <w:r/>
      <w:r/>
    </w:p>
    <w:p>
      <w:pPr>
        <w:pStyle w:val="911"/>
        <w:rPr>
          <w:rFonts w:ascii="黑体" w:eastAsia="黑体"/>
          <w:bCs/>
          <w:sz w:val="44"/>
        </w:rPr>
      </w:pPr>
      <w:r>
        <w:rPr>
          <w:rFonts w:hint="eastAsia" w:ascii="黑体" w:eastAsia="黑体"/>
          <w:bCs/>
          <w:sz w:val="44"/>
        </w:rPr>
        <w:t xml:space="preserve">第六章  投标</w:t>
      </w:r>
      <w:bookmarkEnd w:id="188"/>
      <w:r/>
      <w:bookmarkEnd w:id="189"/>
      <w:r/>
      <w:bookmarkEnd w:id="190"/>
      <w:r>
        <w:rPr>
          <w:rFonts w:hint="eastAsia" w:ascii="黑体" w:eastAsia="黑体"/>
          <w:bCs/>
          <w:sz w:val="44"/>
        </w:rPr>
        <w:t xml:space="preserve">文件格式 </w:t>
      </w:r>
      <w:r/>
    </w:p>
    <w:p>
      <w:pPr>
        <w:jc w:val="center"/>
        <w:rPr>
          <w:rFonts w:ascii="宋体" w:hAnsi="宋体"/>
          <w:b/>
          <w:sz w:val="72"/>
        </w:rPr>
      </w:pPr>
      <w:r/>
      <w:bookmarkStart w:id="194" w:name="_Hlt26955039"/>
      <w:r/>
      <w:bookmarkStart w:id="195" w:name="_Hlt26671244"/>
      <w:r/>
      <w:bookmarkStart w:id="196" w:name="_Toc120614282"/>
      <w:r/>
      <w:bookmarkStart w:id="197" w:name="_Toc26554094"/>
      <w:r/>
      <w:bookmarkStart w:id="198" w:name="_Toc49090576"/>
      <w:r/>
      <w:bookmarkEnd w:id="194"/>
      <w:r/>
      <w:bookmarkEnd w:id="195"/>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三、法人授权书</w:t>
      </w:r>
      <w:r/>
    </w:p>
    <w:p>
      <w:pPr>
        <w:ind w:firstLine="480"/>
        <w:spacing w:line="440" w:lineRule="exact"/>
        <w:rPr>
          <w:rFonts w:ascii="宋体" w:hAnsi="宋体"/>
          <w:i/>
          <w:sz w:val="24"/>
          <w:u w:val="single"/>
        </w:rPr>
      </w:pPr>
      <w:r>
        <w:rPr>
          <w:rFonts w:hint="eastAsia" w:ascii="宋体" w:hAnsi="宋体"/>
          <w:i/>
          <w:sz w:val="24"/>
          <w:u w:val="single"/>
        </w:rPr>
        <w:t xml:space="preserve">四、投标函</w:t>
      </w:r>
      <w:r/>
    </w:p>
    <w:p>
      <w:pPr>
        <w:ind w:firstLine="480"/>
        <w:spacing w:line="440" w:lineRule="exact"/>
        <w:rPr>
          <w:rFonts w:ascii="宋体" w:hAnsi="宋体"/>
          <w:sz w:val="24"/>
        </w:rPr>
      </w:pPr>
      <w:r>
        <w:rPr>
          <w:rFonts w:hint="eastAsia" w:ascii="宋体" w:hAnsi="宋体"/>
          <w:sz w:val="24"/>
        </w:rPr>
        <w:t xml:space="preserve">五、小</w:t>
      </w:r>
      <w:r>
        <w:rPr>
          <w:rFonts w:hint="eastAsia" w:ascii="宋体" w:hAnsi="宋体"/>
          <w:sz w:val="24"/>
        </w:rPr>
        <w:t xml:space="preserve">微企业</w:t>
      </w:r>
      <w:r>
        <w:rPr>
          <w:rFonts w:hint="eastAsia" w:ascii="宋体" w:hAnsi="宋体"/>
          <w:sz w:val="24"/>
        </w:rPr>
        <w:t xml:space="preserve">声明函</w:t>
      </w:r>
      <w:r/>
    </w:p>
    <w:p>
      <w:pPr>
        <w:ind w:firstLine="480"/>
        <w:spacing w:line="440" w:lineRule="exact"/>
        <w:rPr>
          <w:rFonts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ascii="宋体" w:hAnsi="宋体"/>
          <w:sz w:val="24"/>
        </w:rPr>
      </w:pPr>
      <w:r>
        <w:rPr>
          <w:rFonts w:hint="eastAsia" w:ascii="宋体" w:hAnsi="宋体"/>
          <w:sz w:val="24"/>
        </w:rPr>
        <w:t xml:space="preserve">七、联合体协议</w:t>
      </w:r>
      <w:r/>
    </w:p>
    <w:p>
      <w:pPr>
        <w:ind w:firstLine="480"/>
        <w:spacing w:line="440" w:lineRule="exact"/>
        <w:rPr>
          <w:rFonts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bookmarkStart w:id="199" w:name="_Toc120614284"/>
      <w:r/>
      <w:bookmarkEnd w:id="196"/>
      <w:r/>
      <w:bookmarkEnd w:id="197"/>
      <w:r/>
      <w:bookmarkEnd w:id="198"/>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ascii="宋体" w:hAnsi="宋体" w:cs="宋体"/>
          <w:b/>
          <w:sz w:val="28"/>
          <w:szCs w:val="28"/>
        </w:rPr>
      </w:pPr>
      <w:r>
        <w:rPr>
          <w:rFonts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913"/>
        <w:ind w:firstLine="480"/>
        <w:spacing w:line="460" w:lineRule="exact"/>
      </w:pPr>
      <w:r/>
      <w:r/>
    </w:p>
    <w:p>
      <w:pPr>
        <w:pStyle w:val="913"/>
        <w:ind w:firstLine="480"/>
        <w:spacing w:line="460" w:lineRule="exact"/>
      </w:pPr>
      <w:r>
        <w:rPr>
          <w:rFonts w:hint="eastAsia"/>
        </w:rPr>
        <w:t xml:space="preserve">致：常州市政府采购中心</w:t>
      </w:r>
      <w:r/>
    </w:p>
    <w:p>
      <w:pPr>
        <w:pStyle w:val="913"/>
        <w:ind w:firstLine="840"/>
        <w:spacing w:line="460" w:lineRule="exact"/>
        <w:rPr>
          <w:u w:val="single"/>
        </w:rPr>
      </w:pPr>
      <w:r>
        <w:rPr>
          <w:rFonts w:hint="eastAsia"/>
          <w:u w:val="single"/>
        </w:rPr>
        <w:t xml:space="preserve">（采购人名称）</w:t>
      </w:r>
      <w:r/>
    </w:p>
    <w:p>
      <w:pPr>
        <w:pStyle w:val="913"/>
        <w:ind w:firstLine="480"/>
        <w:spacing w:line="460" w:lineRule="exact"/>
      </w:pPr>
      <w:r/>
      <w:r/>
    </w:p>
    <w:p>
      <w:pPr>
        <w:pStyle w:val="913"/>
        <w:ind w:firstLine="480"/>
        <w:spacing w:line="460" w:lineRule="exact"/>
      </w:pPr>
      <w:r>
        <w:rPr>
          <w:rFonts w:hint="eastAsia"/>
        </w:rPr>
        <w:t xml:space="preserve">按照《中华人民共和国政府采购法》第二十二条和招标文件的规定，我单位郑重声明如下：</w:t>
      </w:r>
      <w:r/>
    </w:p>
    <w:p>
      <w:pPr>
        <w:pStyle w:val="91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13"/>
        <w:ind w:firstLine="480"/>
        <w:spacing w:line="460" w:lineRule="exact"/>
      </w:pPr>
      <w:r>
        <w:rPr>
          <w:rFonts w:hint="eastAsia"/>
        </w:rPr>
        <w:t xml:space="preserve">二、我单位具有良好的商业信誉（指投标人经营状况良好，无本资格声明第十条情形）和健全的财务会计制度。</w:t>
      </w:r>
      <w:r/>
    </w:p>
    <w:p>
      <w:pPr>
        <w:pStyle w:val="913"/>
        <w:ind w:firstLine="480"/>
        <w:spacing w:line="460" w:lineRule="exact"/>
      </w:pPr>
      <w:r>
        <w:rPr>
          <w:rFonts w:hint="eastAsia"/>
        </w:rPr>
        <w:t xml:space="preserve">三、我单位依法进行纳税和社会保险申报并实际履行了义务。</w:t>
      </w:r>
      <w:r/>
    </w:p>
    <w:p>
      <w:pPr>
        <w:pStyle w:val="91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913"/>
        <w:ind w:firstLine="480"/>
        <w:spacing w:line="460" w:lineRule="exact"/>
      </w:pPr>
      <w:r>
        <w:rPr>
          <w:rFonts w:hint="eastAsia"/>
        </w:rPr>
        <w:t xml:space="preserve">主要设备有：</w:t>
      </w:r>
      <w:r>
        <w:rPr>
          <w:u w:val="single"/>
        </w:rPr>
        <w:t xml:space="preserve">            </w:t>
      </w:r>
      <w:r/>
    </w:p>
    <w:p>
      <w:pPr>
        <w:pStyle w:val="913"/>
        <w:ind w:firstLine="480"/>
        <w:spacing w:line="460" w:lineRule="exact"/>
      </w:pPr>
      <w:r>
        <w:rPr>
          <w:rFonts w:hint="eastAsia"/>
        </w:rPr>
        <w:t xml:space="preserve">主要专业技术能力有</w:t>
      </w:r>
      <w:r>
        <w:rPr>
          <w:rFonts w:hint="eastAsia"/>
          <w:u w:val="single"/>
        </w:rPr>
        <w:t xml:space="preserve">                 </w:t>
      </w:r>
      <w:r/>
    </w:p>
    <w:p>
      <w:pPr>
        <w:pStyle w:val="91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913"/>
        <w:ind w:firstLine="480"/>
        <w:spacing w:line="460" w:lineRule="exact"/>
      </w:pPr>
      <w:r>
        <w:rPr>
          <w:rFonts w:hint="eastAsia"/>
        </w:rPr>
        <w:t xml:space="preserve">六、我单位具备法律、行政法规规定的其他条件。</w:t>
      </w:r>
      <w:r/>
    </w:p>
    <w:p>
      <w:pPr>
        <w:pStyle w:val="91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13"/>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913"/>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913"/>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91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13"/>
        <w:ind w:firstLine="480"/>
        <w:spacing w:line="460" w:lineRule="exact"/>
      </w:pPr>
      <w:r>
        <w:rPr>
          <w:rFonts w:hint="eastAsia"/>
        </w:rPr>
        <w:t xml:space="preserve">九、</w:t>
      </w:r>
      <w:r>
        <w:t xml:space="preserve">我单位</w:t>
      </w:r>
      <w:r>
        <w:t xml:space="preserve">无以下</w:t>
      </w:r>
      <w:r>
        <w:t xml:space="preserve">不良信用记录情形：</w:t>
      </w:r>
      <w:r/>
    </w:p>
    <w:p>
      <w:pPr>
        <w:pStyle w:val="913"/>
        <w:ind w:firstLine="480"/>
        <w:spacing w:line="460" w:lineRule="exact"/>
      </w:pPr>
      <w:r>
        <w:t xml:space="preserve">1</w:t>
      </w:r>
      <w:r>
        <w:rPr>
          <w:rFonts w:hint="eastAsia"/>
        </w:rPr>
        <w:t xml:space="preserve">、在“信用中国”网站被列入失信被执行人和重大税收违法案件当事人名单；</w:t>
      </w:r>
      <w:r/>
    </w:p>
    <w:p>
      <w:pPr>
        <w:pStyle w:val="913"/>
        <w:ind w:firstLine="480"/>
        <w:spacing w:line="460" w:lineRule="exact"/>
      </w:pPr>
      <w:r>
        <w:t xml:space="preserve">2</w:t>
      </w:r>
      <w:r>
        <w:rPr>
          <w:rFonts w:hint="eastAsia"/>
        </w:rPr>
        <w:t xml:space="preserve">、在“中国政府采购网”网站被列入政府采购严重违法失信行为记录名单；</w:t>
      </w:r>
      <w:r/>
    </w:p>
    <w:p>
      <w:pPr>
        <w:pStyle w:val="913"/>
        <w:ind w:firstLine="480"/>
        <w:spacing w:line="460" w:lineRule="exact"/>
      </w:pPr>
      <w:r>
        <w:t xml:space="preserve">3</w:t>
      </w:r>
      <w:r>
        <w:rPr>
          <w:rFonts w:hint="eastAsia"/>
        </w:rPr>
        <w:t xml:space="preserve">、</w:t>
      </w:r>
      <w:r>
        <w:t xml:space="preserve">不符合《政府采购法》第二十二条规定的条件。</w:t>
      </w:r>
      <w:r/>
    </w:p>
    <w:p>
      <w:pPr>
        <w:pStyle w:val="913"/>
        <w:ind w:firstLine="480"/>
        <w:spacing w:line="460" w:lineRule="exact"/>
      </w:pPr>
      <w:r/>
      <w:r/>
    </w:p>
    <w:p>
      <w:pPr>
        <w:pStyle w:val="91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13"/>
        <w:ind w:firstLine="480"/>
        <w:spacing w:line="460" w:lineRule="exact"/>
      </w:pPr>
      <w:r/>
      <w:r/>
    </w:p>
    <w:p>
      <w:pPr>
        <w:pStyle w:val="913"/>
        <w:ind w:firstLine="480"/>
        <w:spacing w:line="460" w:lineRule="exact"/>
      </w:pPr>
      <w:r/>
      <w:r/>
    </w:p>
    <w:p>
      <w:pPr>
        <w:pStyle w:val="913"/>
        <w:ind w:firstLine="480"/>
        <w:spacing w:line="460" w:lineRule="exact"/>
      </w:pPr>
      <w:r>
        <w:rPr>
          <w:rFonts w:hint="eastAsia"/>
        </w:rPr>
        <w:t xml:space="preserve">                                            </w:t>
      </w:r>
      <w:r>
        <w:rPr>
          <w:rFonts w:hint="eastAsia"/>
        </w:rPr>
        <w:t xml:space="preserve">投标人：（加盖公章）</w:t>
      </w:r>
      <w:r/>
    </w:p>
    <w:p>
      <w:pPr>
        <w:pStyle w:val="913"/>
        <w:ind w:firstLine="480"/>
        <w:spacing w:line="460" w:lineRule="exact"/>
      </w:pPr>
      <w:r>
        <w:rPr>
          <w:rFonts w:hint="eastAsia"/>
        </w:rPr>
        <w:t xml:space="preserve">                                           </w:t>
      </w:r>
      <w:r>
        <w:rPr>
          <w:rFonts w:hint="eastAsia"/>
        </w:rPr>
        <w:t xml:space="preserve">法定代表人（或单位负责人）签字或盖章：</w:t>
      </w:r>
      <w:r/>
    </w:p>
    <w:p>
      <w:pPr>
        <w:pStyle w:val="913"/>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8"/>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998"/>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98"/>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98"/>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98"/>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98"/>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98"/>
        <w:ind w:firstLine="480"/>
        <w:rPr>
          <w:sz w:val="24"/>
          <w:szCs w:val="24"/>
        </w:rPr>
      </w:pPr>
      <w:r>
        <w:rPr>
          <w:rFonts w:hint="eastAsia"/>
          <w:sz w:val="24"/>
          <w:szCs w:val="24"/>
        </w:rPr>
        <w:t xml:space="preserve">      </w:t>
      </w:r>
      <w:r>
        <w:rPr>
          <w:rFonts w:hint="eastAsia"/>
          <w:sz w:val="24"/>
          <w:szCs w:val="24"/>
        </w:rPr>
        <w:t xml:space="preserve">日期：</w:t>
      </w:r>
      <w:bookmarkStart w:id="200" w:name="_格式3__银行出具的资信证明"/>
      <w:r/>
      <w:bookmarkStart w:id="201" w:name="_Hlt26671380"/>
      <w:r/>
      <w:bookmarkStart w:id="202" w:name="_Hlt26955070"/>
      <w:r/>
      <w:bookmarkEnd w:id="200"/>
      <w:r/>
      <w:bookmarkEnd w:id="201"/>
      <w:r/>
      <w:bookmarkEnd w:id="202"/>
      <w:r>
        <w:rPr>
          <w:rFonts w:hint="eastAsia"/>
          <w:sz w:val="24"/>
          <w:szCs w:val="24"/>
          <w:u w:val="single"/>
        </w:rPr>
        <w:t xml:space="preserve">                                         </w:t>
      </w:r>
      <w:r/>
    </w:p>
    <w:p>
      <w:pPr>
        <w:pStyle w:val="913"/>
        <w:rPr>
          <w:i/>
          <w:sz w:val="24"/>
          <w:szCs w:val="24"/>
          <w:u w:val="single"/>
        </w:rPr>
      </w:pPr>
      <w:r>
        <w:rPr>
          <w:i/>
          <w:sz w:val="24"/>
          <w:szCs w:val="24"/>
          <w:u w:val="single"/>
        </w:rPr>
      </w:r>
      <w:r/>
    </w:p>
    <w:p>
      <w:pPr>
        <w:pStyle w:val="913"/>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914"/>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1000"/>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1000"/>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1000"/>
        <w:spacing w:before="0" w:after="0" w:line="420" w:lineRule="exact"/>
        <w:rPr>
          <w:rFonts w:ascii="宋体" w:hAnsi="宋体"/>
          <w:szCs w:val="21"/>
        </w:rPr>
      </w:pPr>
      <w:r>
        <w:rPr>
          <w:rFonts w:hint="eastAsia" w:ascii="宋体" w:hAnsi="宋体"/>
          <w:szCs w:val="21"/>
        </w:rPr>
        <w:t xml:space="preserve">据此函，__________</w:t>
      </w:r>
      <w:r>
        <w:t xml:space="preserve">被授权</w:t>
      </w:r>
      <w:r>
        <w:t xml:space="preserve">人</w:t>
      </w:r>
      <w:r>
        <w:rPr>
          <w:rFonts w:hint="eastAsia" w:ascii="宋体" w:hAnsi="宋体"/>
          <w:szCs w:val="21"/>
        </w:rPr>
        <w:t xml:space="preserve">兹宣布</w:t>
      </w:r>
      <w:r>
        <w:rPr>
          <w:rFonts w:hint="eastAsia" w:ascii="宋体" w:hAnsi="宋体"/>
          <w:szCs w:val="21"/>
        </w:rPr>
        <w:t xml:space="preserve">同意如下：</w:t>
      </w:r>
      <w:r/>
    </w:p>
    <w:p>
      <w:pPr>
        <w:pStyle w:val="1000"/>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00"/>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00"/>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0"/>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0"/>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0"/>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00"/>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00"/>
        <w:ind w:left="420"/>
        <w:spacing w:before="0" w:after="0" w:line="420" w:lineRule="exact"/>
        <w:rPr>
          <w:rFonts w:ascii="宋体" w:hAnsi="宋体"/>
          <w:szCs w:val="21"/>
        </w:rPr>
      </w:pPr>
      <w:r>
        <w:rPr>
          <w:rFonts w:hint="eastAsia" w:ascii="宋体" w:hAnsi="宋体"/>
          <w:szCs w:val="21"/>
        </w:rPr>
        <w:t xml:space="preserve">地          址：</w:t>
      </w:r>
      <w:r/>
    </w:p>
    <w:p>
      <w:pPr>
        <w:pStyle w:val="1000"/>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1000"/>
        <w:ind w:left="420"/>
        <w:spacing w:before="0" w:after="0" w:line="420" w:lineRule="exact"/>
        <w:rPr>
          <w:rFonts w:ascii="宋体" w:hAnsi="宋体"/>
          <w:szCs w:val="21"/>
        </w:rPr>
      </w:pPr>
      <w:r>
        <w:rPr>
          <w:rFonts w:hint="eastAsia" w:ascii="宋体" w:hAnsi="宋体"/>
          <w:szCs w:val="21"/>
        </w:rPr>
        <w:t xml:space="preserve">电          话：</w:t>
      </w:r>
      <w:r/>
    </w:p>
    <w:p>
      <w:pPr>
        <w:pStyle w:val="1000"/>
        <w:ind w:left="420"/>
        <w:spacing w:before="0" w:after="0" w:line="420" w:lineRule="exact"/>
        <w:rPr>
          <w:rFonts w:ascii="宋体" w:hAnsi="宋体"/>
          <w:szCs w:val="21"/>
        </w:rPr>
      </w:pPr>
      <w:r>
        <w:rPr>
          <w:rFonts w:hint="eastAsia" w:ascii="宋体" w:hAnsi="宋体"/>
          <w:szCs w:val="21"/>
        </w:rPr>
        <w:t xml:space="preserve">传          真：</w:t>
      </w:r>
      <w:r/>
    </w:p>
    <w:p>
      <w:pPr>
        <w:pStyle w:val="1000"/>
        <w:ind w:left="420"/>
        <w:spacing w:before="0" w:after="0" w:line="420" w:lineRule="exact"/>
        <w:rPr>
          <w:rFonts w:ascii="宋体" w:hAnsi="宋体"/>
          <w:szCs w:val="21"/>
        </w:rPr>
      </w:pPr>
      <w:r>
        <w:rPr>
          <w:rFonts w:hint="eastAsia" w:ascii="宋体" w:hAnsi="宋体"/>
          <w:szCs w:val="21"/>
        </w:rPr>
        <w:t xml:space="preserve">投标人开户行：</w:t>
      </w:r>
      <w:r/>
    </w:p>
    <w:p>
      <w:pPr>
        <w:pStyle w:val="1000"/>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1000"/>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五、小</w:t>
      </w:r>
      <w:r>
        <w:rPr>
          <w:rFonts w:hint="eastAsia" w:ascii="黑体" w:hAnsi="黑体" w:eastAsia="黑体"/>
          <w:b/>
          <w:sz w:val="32"/>
          <w:szCs w:val="32"/>
        </w:rPr>
        <w:t xml:space="preserve">微企业</w:t>
      </w:r>
      <w:r>
        <w:rPr>
          <w:rFonts w:hint="eastAsia" w:ascii="黑体" w:hAnsi="黑体" w:eastAsia="黑体"/>
          <w:b/>
          <w:sz w:val="32"/>
          <w:szCs w:val="32"/>
        </w:rPr>
        <w:t xml:space="preserve">声明函（服务）（分包号：**）</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w:t>
      </w:r>
      <w:r>
        <w:rPr>
          <w:rFonts w:hint="eastAsia" w:ascii="宋体" w:hAnsi="宋体"/>
          <w:sz w:val="24"/>
          <w:szCs w:val="24"/>
        </w:rPr>
        <w:t xml:space="preserve">微企业</w:t>
      </w:r>
      <w:r>
        <w:rPr>
          <w:rFonts w:hint="eastAsia" w:ascii="宋体" w:hAnsi="宋体"/>
          <w:sz w:val="24"/>
          <w:szCs w:val="24"/>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rPr>
        <w:t xml:space="preserve">其他未列明行业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rPr>
        <w:t xml:space="preserve">其他未列明行业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560" w:lineRule="exact"/>
        <w:rPr>
          <w:rFonts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w:t>
      </w:r>
      <w:r>
        <w:rPr>
          <w:rFonts w:hint="eastAsia" w:ascii="宋体" w:hAnsi="宋体"/>
          <w:sz w:val="24"/>
        </w:rPr>
        <w:t xml:space="preserve">微企业</w:t>
      </w:r>
      <w:r>
        <w:rPr>
          <w:rFonts w:hint="eastAsia" w:ascii="宋体" w:hAnsi="宋体"/>
          <w:sz w:val="24"/>
        </w:rPr>
        <w:t xml:space="preserve">的，此</w:t>
      </w:r>
      <w:r>
        <w:rPr>
          <w:rFonts w:hint="eastAsia" w:ascii="宋体" w:hAnsi="宋体"/>
          <w:sz w:val="24"/>
        </w:rPr>
        <w:t xml:space="preserve">声明函将随</w:t>
      </w:r>
      <w:r>
        <w:rPr>
          <w:rFonts w:hint="eastAsia" w:ascii="宋体" w:hAnsi="宋体"/>
          <w:sz w:val="24"/>
        </w:rPr>
        <w:t xml:space="preserve">中标结果同时公告，接受社会监督。</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88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服务名称</w:t>
            </w:r>
            <w:r/>
          </w:p>
        </w:tc>
        <w:tc>
          <w:tcPr>
            <w:tcW w:w="213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服务内容</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77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9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rPr>
          <w:rFonts w:ascii="宋体" w:hAnsi="宋体"/>
          <w:sz w:val="24"/>
          <w:szCs w:val="24"/>
          <w:u w:val="single"/>
        </w:rPr>
      </w:pPr>
      <w:r>
        <w:rPr>
          <w:rFonts w:ascii="宋体" w:hAnsi="宋体"/>
          <w:sz w:val="24"/>
          <w:szCs w:val="24"/>
          <w:u w:val="single"/>
        </w:rPr>
      </w:r>
      <w:r/>
    </w:p>
    <w:p>
      <w:pPr>
        <w:rPr>
          <w:rFonts w:ascii="宋体" w:hAnsi="宋体"/>
          <w:sz w:val="24"/>
          <w:szCs w:val="24"/>
        </w:rPr>
      </w:pPr>
      <w:r>
        <w:rPr>
          <w:rFonts w:hint="eastAsia" w:ascii="宋体" w:hAnsi="宋体"/>
          <w:sz w:val="24"/>
          <w:szCs w:val="24"/>
        </w:rPr>
        <w:t xml:space="preserve">备注：1.投标报价</w:t>
      </w:r>
      <w:r>
        <w:rPr>
          <w:rFonts w:hint="eastAsia" w:ascii="宋体" w:hAnsi="宋体"/>
          <w:sz w:val="24"/>
          <w:szCs w:val="24"/>
        </w:rPr>
        <w:t xml:space="preserve">采用总</w:t>
      </w:r>
      <w:r>
        <w:rPr>
          <w:rFonts w:hint="eastAsia" w:ascii="宋体" w:hAnsi="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ascii="黑体" w:hAnsi="黑体" w:eastAsia="黑体"/>
          <w:b/>
          <w:sz w:val="32"/>
          <w:szCs w:val="32"/>
        </w:rPr>
      </w:pPr>
      <w:r/>
      <w:bookmarkStart w:id="203" w:name="_Hlt26955054"/>
      <w:r/>
      <w:bookmarkEnd w:id="199"/>
      <w:r/>
      <w:bookmarkEnd w:id="203"/>
      <w:r>
        <w:rPr>
          <w:rFonts w:hint="eastAsia" w:ascii="黑体" w:hAnsi="黑体" w:eastAsia="黑体"/>
          <w:b/>
          <w:sz w:val="32"/>
          <w:szCs w:val="32"/>
        </w:rPr>
        <w:t xml:space="preserve">十、商务要求响应及偏离表（分包号：**）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04" w:name="_Hlt26955056"/>
            <w:r/>
            <w:bookmarkStart w:id="205" w:name="_Hlt26580838"/>
            <w:r/>
            <w:bookmarkStart w:id="206" w:name="_Hlt26609391"/>
            <w:r/>
            <w:bookmarkStart w:id="207" w:name="_Hlt26671343"/>
            <w:r/>
            <w:bookmarkStart w:id="208" w:name="_Hlt26955064"/>
            <w:r/>
            <w:bookmarkStart w:id="209" w:name="_Hlt24879081"/>
            <w:r/>
            <w:bookmarkStart w:id="210" w:name="_Hlt26671372"/>
            <w:r/>
            <w:bookmarkStart w:id="211" w:name="_Hlt26782999"/>
            <w:r/>
            <w:bookmarkEnd w:id="204"/>
            <w:r/>
            <w:bookmarkEnd w:id="205"/>
            <w:r/>
            <w:bookmarkEnd w:id="206"/>
            <w:r/>
            <w:bookmarkEnd w:id="207"/>
            <w:r/>
            <w:bookmarkEnd w:id="208"/>
            <w:r/>
            <w:bookmarkEnd w:id="209"/>
            <w:r/>
            <w:bookmarkEnd w:id="210"/>
            <w:r/>
            <w:bookmarkEnd w:id="211"/>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913"/>
        <w:ind w:firstLine="0"/>
        <w:rPr>
          <w:rFonts w:ascii="宋体" w:hAnsi="宋体"/>
          <w:sz w:val="24"/>
        </w:rPr>
      </w:pPr>
      <w:r/>
      <w:bookmarkStart w:id="212" w:name="_Hlt26955066"/>
      <w:r/>
      <w:bookmarkStart w:id="213" w:name="_Hlt26671374"/>
      <w:r/>
      <w:bookmarkStart w:id="214" w:name="_Hlt26609389"/>
      <w:r/>
      <w:bookmarkStart w:id="215" w:name="_Toc462564146"/>
      <w:r/>
      <w:bookmarkEnd w:id="212"/>
      <w:r/>
      <w:bookmarkEnd w:id="213"/>
      <w:r/>
      <w:bookmarkEnd w:id="214"/>
      <w:r/>
      <w:r/>
    </w:p>
    <w:p>
      <w:pPr>
        <w:jc w:val="center"/>
        <w:rPr>
          <w:rFonts w:ascii="黑体" w:hAnsi="黑体" w:eastAsia="黑体"/>
          <w:b/>
          <w:sz w:val="32"/>
          <w:szCs w:val="32"/>
        </w:rPr>
      </w:pPr>
      <w:r/>
      <w:bookmarkStart w:id="216" w:name="_格式2__法定代表人授权书"/>
      <w:r/>
      <w:bookmarkEnd w:id="191"/>
      <w:r/>
      <w:bookmarkEnd w:id="192"/>
      <w:r/>
      <w:bookmarkEnd w:id="215"/>
      <w:r/>
      <w:bookmarkEnd w:id="216"/>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946"/>
        <w:ind w:left="1470" w:right="1470"/>
      </w:pPr>
      <w:r/>
      <w:r/>
    </w:p>
    <w:p>
      <w:pPr>
        <w:pStyle w:val="946"/>
        <w:ind w:left="1470" w:right="1470"/>
      </w:pPr>
      <w:r/>
      <w:r/>
    </w:p>
    <w:p>
      <w:pPr>
        <w:pStyle w:val="946"/>
        <w:ind w:left="1470" w:right="1470"/>
      </w:pPr>
      <w:r/>
      <w:r/>
    </w:p>
    <w:p>
      <w:pPr>
        <w:pStyle w:val="946"/>
        <w:ind w:left="1470" w:right="1470"/>
      </w:pPr>
      <w:r/>
      <w:r/>
    </w:p>
    <w:p>
      <w:pPr>
        <w:pStyle w:val="946"/>
        <w:ind w:left="1470" w:right="1470"/>
      </w:pPr>
      <w:r/>
      <w:r/>
    </w:p>
    <w:p>
      <w:pPr>
        <w:pStyle w:val="946"/>
        <w:ind w:left="1470" w:right="1470"/>
      </w:pPr>
      <w:r/>
      <w:r/>
    </w:p>
    <w:p>
      <w:pPr>
        <w:pStyle w:val="946"/>
        <w:ind w:left="1470" w:right="1470"/>
      </w:pPr>
      <w:r/>
      <w:r/>
    </w:p>
    <w:p>
      <w:pPr>
        <w:rPr>
          <w:rFonts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00"/>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w:t>
      </w:r>
      <w:r>
        <w:rPr>
          <w:rFonts w:hint="eastAsia" w:ascii="宋体" w:hAnsi="宋体" w:cs="宋体"/>
          <w:b/>
          <w:bCs/>
          <w:color w:val="000000"/>
          <w:sz w:val="24"/>
          <w:szCs w:val="24"/>
        </w:rPr>
        <w:t xml:space="preserve">作出</w:t>
      </w:r>
      <w:r>
        <w:rPr>
          <w:rFonts w:hint="eastAsia" w:ascii="宋体" w:hAnsi="宋体" w:cs="宋体"/>
          <w:b/>
          <w:bCs/>
          <w:color w:val="000000"/>
          <w:sz w:val="24"/>
          <w:szCs w:val="24"/>
        </w:rPr>
        <w:t xml:space="preserve">调整，按照制作工具显示的栏目编制</w:t>
      </w:r>
      <w:r>
        <w:rPr>
          <w:rFonts w:hint="eastAsia" w:ascii="宋体" w:hAnsi="宋体"/>
          <w:b/>
          <w:sz w:val="24"/>
          <w:szCs w:val="24"/>
        </w:rPr>
        <w:t xml:space="preserve">）</w:t>
      </w:r>
      <w:r/>
    </w:p>
    <w:p>
      <w:pPr>
        <w:spacing w:line="460" w:lineRule="exact"/>
        <w:rPr>
          <w:rFonts w:ascii="宋体" w:hAnsi="宋体"/>
          <w:bCs/>
          <w:sz w:val="24"/>
        </w:rPr>
      </w:pPr>
      <w:r>
        <w:rPr>
          <w:rFonts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w:t>
            </w:r>
            <w:r>
              <w:rPr>
                <w:rFonts w:hint="eastAsia" w:ascii="宋体" w:hAnsi="宋体" w:cs="宋体"/>
                <w:color w:val="000000"/>
              </w:rPr>
              <w:t xml:space="preserve">完整技术</w:t>
            </w:r>
            <w:r>
              <w:rPr>
                <w:rFonts w:hint="eastAsia" w:ascii="宋体" w:hAnsi="宋体" w:cs="宋体"/>
                <w:color w:val="000000"/>
              </w:rPr>
              <w:t xml:space="preserve">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w:t>
            </w:r>
            <w:r>
              <w:rPr>
                <w:rFonts w:hint="eastAsia" w:ascii="宋体" w:hAnsi="宋体" w:cs="宋体"/>
                <w:color w:val="000000"/>
              </w:rPr>
              <w:t xml:space="preserve">包预算</w:t>
            </w:r>
            <w:r>
              <w:rPr>
                <w:rFonts w:hint="eastAsia" w:ascii="宋体" w:hAnsi="宋体" w:cs="宋体"/>
                <w:color w:val="000000"/>
              </w:rPr>
              <w:t xml:space="preserve">金额或者项目/采购</w:t>
            </w:r>
            <w:r>
              <w:rPr>
                <w:rFonts w:hint="eastAsia" w:ascii="宋体" w:hAnsi="宋体" w:cs="宋体"/>
                <w:color w:val="000000"/>
              </w:rPr>
              <w:t xml:space="preserve">包最高</w:t>
            </w:r>
            <w:r>
              <w:rPr>
                <w:rFonts w:hint="eastAsia" w:ascii="宋体" w:hAnsi="宋体" w:cs="宋体"/>
                <w:color w:val="000000"/>
              </w:rPr>
              <w:t xml:space="preserve">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报价合理性</w:t>
            </w:r>
            <w:r/>
          </w:p>
        </w:tc>
        <w:tc>
          <w:tcPr>
            <w:tcW w:w="5321" w:type="dxa"/>
            <w:vAlign w:val="center"/>
            <w:textDirection w:val="lrTb"/>
            <w:noWrap w:val="false"/>
          </w:tcPr>
          <w:p>
            <w:pPr>
              <w:rPr>
                <w:rFonts w:ascii="宋体" w:hAnsi="宋体" w:cs="宋体"/>
                <w:color w:val="000000"/>
              </w:rPr>
            </w:pPr>
            <w:r>
              <w:rPr>
                <w:rFonts w:hint="eastAsia" w:ascii="宋体" w:hAnsi="宋体" w:cs="宋体"/>
                <w:color w:val="000000"/>
              </w:rPr>
              <w:t xml:space="preserve">由评委审查，报价合理的予以通过。</w:t>
            </w:r>
            <w:r>
              <w:rPr>
                <w:rFonts w:ascii="宋体" w:hAnsi="宋体" w:cs="宋体"/>
                <w:color w:val="000000"/>
              </w:rPr>
              <w:t xml:space="preserve">根据</w:t>
            </w:r>
            <w:r>
              <w:rPr>
                <w:rFonts w:ascii="宋体" w:hAnsi="宋体" w:cs="宋体"/>
                <w:color w:val="000000"/>
              </w:rPr>
              <w:t xml:space="preserve">苏财购〔2025〕</w:t>
            </w:r>
            <w:r>
              <w:rPr>
                <w:rFonts w:ascii="宋体" w:hAnsi="宋体" w:cs="宋体"/>
                <w:color w:val="000000"/>
              </w:rPr>
              <w:t xml:space="preserve">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不能诚信履约的其他情形。启动异常低价投标（响应）审查后，评标委员会（评审小组）应当要求相关供应商在评标现场合理的时间内，提供项目具体成本测算等与报价合理性相关的书面说明及相关证明材料，对投标（响应）价格</w:t>
            </w:r>
            <w:r>
              <w:rPr>
                <w:rFonts w:ascii="宋体" w:hAnsi="宋体" w:cs="宋体"/>
                <w:color w:val="000000"/>
              </w:rPr>
              <w:t xml:space="preserve">作出</w:t>
            </w:r>
            <w:r>
              <w:rPr>
                <w:rFonts w:ascii="宋体" w:hAnsi="宋体" w:cs="宋体"/>
                <w:color w:val="000000"/>
              </w:rPr>
              <w:t xml:space="preserve">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价格折扣文件格式</w:t>
            </w:r>
            <w:r/>
          </w:p>
        </w:tc>
        <w:tc>
          <w:tcPr>
            <w:shd w:val="clear" w:color="000000" w:fill="ffff00"/>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小</w:t>
            </w:r>
            <w:r>
              <w:rPr>
                <w:rFonts w:hint="eastAsia" w:ascii="宋体" w:hAnsi="宋体" w:cs="宋体"/>
                <w:color w:val="000000"/>
              </w:rPr>
              <w:t xml:space="preserve">微企业</w:t>
            </w:r>
            <w:r>
              <w:rPr>
                <w:rFonts w:hint="eastAsia" w:ascii="宋体" w:hAnsi="宋体" w:cs="宋体"/>
                <w:color w:val="000000"/>
              </w:rPr>
              <w:t xml:space="preserve">声明函</w:t>
            </w:r>
            <w:r/>
          </w:p>
        </w:tc>
        <w:tc>
          <w:tcPr>
            <w:shd w:val="clear" w:color="000000" w:fill="ffff00"/>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属于小</w:t>
            </w:r>
            <w:r>
              <w:rPr>
                <w:rFonts w:hint="eastAsia" w:ascii="宋体" w:hAnsi="宋体" w:cs="宋体"/>
                <w:color w:val="000000"/>
              </w:rPr>
              <w:t xml:space="preserve">微企业</w:t>
            </w:r>
            <w:r>
              <w:rPr>
                <w:rFonts w:hint="eastAsia" w:ascii="宋体" w:hAnsi="宋体" w:cs="宋体"/>
                <w:color w:val="000000"/>
              </w:rPr>
              <w:t xml:space="preserve">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913"/>
        <w:rPr>
          <w:sz w:val="24"/>
          <w:szCs w:val="24"/>
        </w:rPr>
      </w:pPr>
      <w:r>
        <w:rPr>
          <w:sz w:val="24"/>
          <w:szCs w:val="24"/>
        </w:rPr>
      </w:r>
      <w:r/>
    </w:p>
    <w:p>
      <w:pPr>
        <w:pStyle w:val="913"/>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left" w:pos="6820" w:leader="none"/>
      </w:tabs>
    </w:pPr>
    <w:r>
      <w:tab/>
    </w:r>
    <w:r>
      <w:tab/>
    </w:r>
    <w:r>
      <w:tab/>
    </w:r>
    <w:r>
      <w:fldChar w:fldCharType="begin"/>
    </w:r>
    <w:r>
      <w:instrText xml:space="preserve">PAGE   \* MERGEFORMAT</w:instrText>
    </w:r>
    <w:r>
      <w:fldChar w:fldCharType="separate"/>
    </w:r>
    <w:r>
      <w:rPr>
        <w:lang w:val="zh-CN"/>
      </w:rPr>
      <w:t xml:space="preserve">31</w:t>
    </w:r>
    <w:r>
      <w:fldChar w:fldCharType="end"/>
    </w:r>
    <w:r/>
  </w:p>
  <w:p>
    <w:pPr>
      <w:pStyle w:val="958"/>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right"/>
    </w:pPr>
    <w:r>
      <w:fldChar w:fldCharType="begin"/>
    </w:r>
    <w:r>
      <w:instrText xml:space="preserve">PAGE   \* MERGEFORMAT</w:instrText>
    </w:r>
    <w:r>
      <w:fldChar w:fldCharType="separate"/>
    </w:r>
    <w:r>
      <w:rPr>
        <w:lang w:val="zh-CN"/>
      </w:rPr>
      <w:t xml:space="preserve">44</w:t>
    </w:r>
    <w:r>
      <w:fldChar w:fldCharType="end"/>
    </w:r>
    <w:r/>
  </w:p>
  <w:p>
    <w:pPr>
      <w:pStyle w:val="958"/>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right"/>
    </w:pPr>
    <w:r>
      <w:fldChar w:fldCharType="begin"/>
    </w:r>
    <w:r>
      <w:instrText xml:space="preserve">PAGE   \* MERGEFORMAT</w:instrText>
    </w:r>
    <w:r>
      <w:fldChar w:fldCharType="separate"/>
    </w:r>
    <w:r>
      <w:rPr>
        <w:lang w:val="zh-CN"/>
      </w:rPr>
      <w:t xml:space="preserve">45</w:t>
    </w:r>
    <w:r>
      <w:fldChar w:fldCharType="end"/>
    </w:r>
    <w:r/>
  </w:p>
  <w:p>
    <w:pPr>
      <w:pStyle w:val="958"/>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p>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0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7"/>
      <w:isLgl w:val="false"/>
      <w:suff w:val="nothing"/>
      <w:lvlText w:val=""/>
      <w:lvlJc w:val="left"/>
      <w:pPr>
        <w:ind w:left="0" w:firstLine="0"/>
      </w:pPr>
      <w:rPr>
        <w:rFonts w:hint="eastAsia"/>
      </w:rPr>
    </w:lvl>
    <w:lvl w:ilvl="6">
      <w:start w:val="1"/>
      <w:numFmt w:val="decimal"/>
      <w:pStyle w:val="918"/>
      <w:isLgl w:val="false"/>
      <w:suff w:val="nothing"/>
      <w:lvlText w:val=""/>
      <w:lvlJc w:val="left"/>
      <w:pPr>
        <w:ind w:left="0" w:firstLine="0"/>
      </w:pPr>
      <w:rPr>
        <w:rFonts w:hint="eastAsia"/>
      </w:rPr>
    </w:lvl>
    <w:lvl w:ilvl="7">
      <w:start w:val="1"/>
      <w:numFmt w:val="decimal"/>
      <w:pStyle w:val="919"/>
      <w:isLgl w:val="false"/>
      <w:suff w:val="nothing"/>
      <w:lvlText w:val=""/>
      <w:lvlJc w:val="left"/>
      <w:pPr>
        <w:ind w:left="0" w:firstLine="0"/>
      </w:pPr>
      <w:rPr>
        <w:rFonts w:hint="eastAsia"/>
      </w:rPr>
    </w:lvl>
    <w:lvl w:ilvl="8">
      <w:start w:val="1"/>
      <w:numFmt w:val="decimal"/>
      <w:pStyle w:val="920"/>
      <w:isLgl w:val="false"/>
      <w:suff w:val="nothing"/>
      <w:lvlText w:val=""/>
      <w:lvlJc w:val="left"/>
      <w:pPr>
        <w:ind w:left="0" w:firstLine="0"/>
      </w:pPr>
      <w:rPr>
        <w:rFonts w:hint="eastAsia"/>
      </w:rPr>
    </w:lvl>
  </w:abstractNum>
  <w:abstractNum w:abstractNumId="4">
    <w:multiLevelType w:val="hybridMultilevel"/>
    <w:lvl w:ilvl="0">
      <w:start w:val="1"/>
      <w:numFmt w:val="decimal"/>
      <w:pStyle w:val="10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9"/>
    <w:link w:val="730"/>
    <w:uiPriority w:val="9"/>
    <w:rPr>
      <w:rFonts w:ascii="Arial" w:hAnsi="Arial" w:eastAsia="Arial" w:cs="Arial"/>
      <w:sz w:val="40"/>
      <w:szCs w:val="40"/>
    </w:rPr>
  </w:style>
  <w:style w:type="character" w:styleId="15">
    <w:name w:val="Heading 2 Char"/>
    <w:basedOn w:val="739"/>
    <w:link w:val="731"/>
    <w:uiPriority w:val="9"/>
    <w:rPr>
      <w:rFonts w:ascii="Arial" w:hAnsi="Arial" w:eastAsia="Arial" w:cs="Arial"/>
      <w:sz w:val="34"/>
    </w:rPr>
  </w:style>
  <w:style w:type="character" w:styleId="17">
    <w:name w:val="Heading 3 Char"/>
    <w:basedOn w:val="739"/>
    <w:link w:val="732"/>
    <w:uiPriority w:val="9"/>
    <w:rPr>
      <w:rFonts w:ascii="Arial" w:hAnsi="Arial" w:eastAsia="Arial" w:cs="Arial"/>
      <w:sz w:val="30"/>
      <w:szCs w:val="30"/>
    </w:rPr>
  </w:style>
  <w:style w:type="character" w:styleId="19">
    <w:name w:val="Heading 4 Char"/>
    <w:basedOn w:val="739"/>
    <w:link w:val="733"/>
    <w:uiPriority w:val="9"/>
    <w:rPr>
      <w:rFonts w:ascii="Arial" w:hAnsi="Arial" w:eastAsia="Arial" w:cs="Arial"/>
      <w:b/>
      <w:bCs/>
      <w:sz w:val="26"/>
      <w:szCs w:val="26"/>
    </w:rPr>
  </w:style>
  <w:style w:type="character" w:styleId="21">
    <w:name w:val="Heading 5 Char"/>
    <w:basedOn w:val="739"/>
    <w:link w:val="734"/>
    <w:uiPriority w:val="9"/>
    <w:rPr>
      <w:rFonts w:ascii="Arial" w:hAnsi="Arial" w:eastAsia="Arial" w:cs="Arial"/>
      <w:b/>
      <w:bCs/>
      <w:sz w:val="24"/>
      <w:szCs w:val="24"/>
    </w:rPr>
  </w:style>
  <w:style w:type="character" w:styleId="23">
    <w:name w:val="Heading 6 Char"/>
    <w:basedOn w:val="739"/>
    <w:link w:val="735"/>
    <w:uiPriority w:val="9"/>
    <w:rPr>
      <w:rFonts w:ascii="Arial" w:hAnsi="Arial" w:eastAsia="Arial" w:cs="Arial"/>
      <w:b/>
      <w:bCs/>
      <w:sz w:val="22"/>
      <w:szCs w:val="22"/>
    </w:rPr>
  </w:style>
  <w:style w:type="character" w:styleId="25">
    <w:name w:val="Heading 7 Char"/>
    <w:basedOn w:val="739"/>
    <w:link w:val="736"/>
    <w:uiPriority w:val="9"/>
    <w:rPr>
      <w:rFonts w:ascii="Arial" w:hAnsi="Arial" w:eastAsia="Arial" w:cs="Arial"/>
      <w:b/>
      <w:bCs/>
      <w:i/>
      <w:iCs/>
      <w:sz w:val="22"/>
      <w:szCs w:val="22"/>
    </w:rPr>
  </w:style>
  <w:style w:type="character" w:styleId="27">
    <w:name w:val="Heading 8 Char"/>
    <w:basedOn w:val="739"/>
    <w:link w:val="737"/>
    <w:uiPriority w:val="9"/>
    <w:rPr>
      <w:rFonts w:ascii="Arial" w:hAnsi="Arial" w:eastAsia="Arial" w:cs="Arial"/>
      <w:i/>
      <w:iCs/>
      <w:sz w:val="22"/>
      <w:szCs w:val="22"/>
    </w:rPr>
  </w:style>
  <w:style w:type="character" w:styleId="29">
    <w:name w:val="Heading 9 Char"/>
    <w:basedOn w:val="739"/>
    <w:link w:val="738"/>
    <w:uiPriority w:val="9"/>
    <w:rPr>
      <w:rFonts w:ascii="Arial" w:hAnsi="Arial" w:eastAsia="Arial" w:cs="Arial"/>
      <w:i/>
      <w:iCs/>
      <w:sz w:val="21"/>
      <w:szCs w:val="21"/>
    </w:rPr>
  </w:style>
  <w:style w:type="character" w:styleId="34">
    <w:name w:val="Title Char"/>
    <w:basedOn w:val="739"/>
    <w:link w:val="758"/>
    <w:uiPriority w:val="10"/>
    <w:rPr>
      <w:sz w:val="48"/>
      <w:szCs w:val="48"/>
    </w:rPr>
  </w:style>
  <w:style w:type="character" w:styleId="36">
    <w:name w:val="Subtitle Char"/>
    <w:basedOn w:val="739"/>
    <w:link w:val="752"/>
    <w:uiPriority w:val="11"/>
    <w:rPr>
      <w:sz w:val="24"/>
      <w:szCs w:val="24"/>
    </w:rPr>
  </w:style>
  <w:style w:type="character" w:styleId="38">
    <w:name w:val="Quote Char"/>
    <w:link w:val="776"/>
    <w:uiPriority w:val="29"/>
    <w:rPr>
      <w:i/>
    </w:rPr>
  </w:style>
  <w:style w:type="character" w:styleId="40">
    <w:name w:val="Intense Quote Char"/>
    <w:link w:val="778"/>
    <w:uiPriority w:val="30"/>
    <w:rPr>
      <w:i/>
    </w:rPr>
  </w:style>
  <w:style w:type="character" w:styleId="42">
    <w:name w:val="Header Char"/>
    <w:basedOn w:val="739"/>
    <w:link w:val="749"/>
    <w:uiPriority w:val="99"/>
  </w:style>
  <w:style w:type="character" w:styleId="46">
    <w:name w:val="Caption Char"/>
    <w:basedOn w:val="743"/>
    <w:link w:val="748"/>
    <w:uiPriority w:val="99"/>
  </w:style>
  <w:style w:type="table" w:styleId="49">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3"/>
    <w:uiPriority w:val="99"/>
    <w:rPr>
      <w:sz w:val="18"/>
    </w:rPr>
  </w:style>
  <w:style w:type="character" w:styleId="178">
    <w:name w:val="Endnote Text Char"/>
    <w:link w:val="747"/>
    <w:uiPriority w:val="99"/>
    <w:rPr>
      <w:sz w:val="20"/>
    </w:rPr>
  </w:style>
  <w:style w:type="paragraph" w:styleId="189">
    <w:name w:val="TOC Heading"/>
    <w:uiPriority w:val="39"/>
    <w:unhideWhenUsed/>
  </w:style>
  <w:style w:type="paragraph" w:styleId="729" w:default="1">
    <w:name w:val="Normal"/>
    <w:qFormat/>
    <w:pPr>
      <w:jc w:val="both"/>
      <w:widowControl w:val="off"/>
    </w:pPr>
    <w:rPr>
      <w:rFonts w:ascii="Times New Roman" w:hAnsi="Times New Roman"/>
      <w:sz w:val="21"/>
      <w:szCs w:val="21"/>
    </w:rPr>
  </w:style>
  <w:style w:type="paragraph" w:styleId="730">
    <w:name w:val="Heading 1"/>
    <w:basedOn w:val="729"/>
    <w:next w:val="729"/>
    <w:link w:val="763"/>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64"/>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65"/>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66"/>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67"/>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68"/>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70"/>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71"/>
    <w:uiPriority w:val="9"/>
    <w:unhideWhenUsed/>
    <w:qFormat/>
    <w:pPr>
      <w:keepLines/>
      <w:keepNext/>
      <w:spacing w:before="320" w:after="200"/>
      <w:outlineLvl w:val="8"/>
    </w:pPr>
    <w:rPr>
      <w:rFonts w:ascii="Arial" w:hAnsi="Arial" w:eastAsia="Arial" w:cs="Arial"/>
      <w:i/>
      <w:iCs/>
    </w:rPr>
  </w:style>
  <w:style w:type="character" w:styleId="739" w:default="1">
    <w:name w:val="Default Paragraph Font"/>
    <w:uiPriority w:val="1"/>
    <w:semiHidden/>
    <w:unhideWhenUsed/>
  </w:style>
  <w:style w:type="table" w:styleId="740" w:default="1">
    <w:name w:val="Normal Table"/>
    <w:uiPriority w:val="99"/>
    <w:semiHidden/>
    <w:unhideWhenUsed/>
    <w:tblPr>
      <w:tblInd w:w="0" w:type="dxa"/>
      <w:tblCellMar>
        <w:left w:w="108" w:type="dxa"/>
        <w:top w:w="0" w:type="dxa"/>
        <w:right w:w="108" w:type="dxa"/>
        <w:bottom w:w="0" w:type="dxa"/>
      </w:tblCellMar>
    </w:tblPr>
  </w:style>
  <w:style w:type="numbering" w:styleId="741" w:default="1">
    <w:name w:val="No List"/>
    <w:uiPriority w:val="99"/>
    <w:semiHidden/>
    <w:unhideWhenUsed/>
  </w:style>
  <w:style w:type="paragraph" w:styleId="742">
    <w:name w:val="toc 7"/>
    <w:basedOn w:val="729"/>
    <w:next w:val="729"/>
    <w:uiPriority w:val="39"/>
    <w:unhideWhenUsed/>
    <w:qFormat/>
    <w:pPr>
      <w:ind w:left="1701"/>
      <w:spacing w:after="57"/>
    </w:pPr>
  </w:style>
  <w:style w:type="paragraph" w:styleId="743">
    <w:name w:val="Caption"/>
    <w:basedOn w:val="729"/>
    <w:next w:val="729"/>
    <w:uiPriority w:val="35"/>
    <w:semiHidden/>
    <w:unhideWhenUsed/>
    <w:qFormat/>
    <w:pPr>
      <w:spacing w:line="276" w:lineRule="auto"/>
    </w:pPr>
    <w:rPr>
      <w:b/>
      <w:bCs/>
      <w:color w:val="4f81bd" w:themeColor="accent1"/>
      <w:sz w:val="18"/>
      <w:szCs w:val="18"/>
    </w:rPr>
  </w:style>
  <w:style w:type="paragraph" w:styleId="744">
    <w:name w:val="toc 5"/>
    <w:basedOn w:val="729"/>
    <w:next w:val="729"/>
    <w:uiPriority w:val="39"/>
    <w:unhideWhenUsed/>
    <w:qFormat/>
    <w:pPr>
      <w:ind w:left="1134"/>
      <w:spacing w:after="57"/>
    </w:pPr>
  </w:style>
  <w:style w:type="paragraph" w:styleId="745">
    <w:name w:val="toc 3"/>
    <w:basedOn w:val="729"/>
    <w:next w:val="729"/>
    <w:uiPriority w:val="39"/>
    <w:unhideWhenUsed/>
    <w:qFormat/>
    <w:pPr>
      <w:ind w:left="567"/>
      <w:spacing w:after="57"/>
    </w:pPr>
  </w:style>
  <w:style w:type="paragraph" w:styleId="746">
    <w:name w:val="toc 8"/>
    <w:basedOn w:val="729"/>
    <w:next w:val="729"/>
    <w:uiPriority w:val="39"/>
    <w:unhideWhenUsed/>
    <w:qFormat/>
    <w:pPr>
      <w:ind w:left="1984"/>
      <w:spacing w:after="57"/>
    </w:pPr>
  </w:style>
  <w:style w:type="paragraph" w:styleId="747">
    <w:name w:val="endnote text"/>
    <w:basedOn w:val="729"/>
    <w:link w:val="909"/>
    <w:uiPriority w:val="99"/>
    <w:semiHidden/>
    <w:unhideWhenUsed/>
    <w:qFormat/>
    <w:rPr>
      <w:sz w:val="20"/>
    </w:rPr>
  </w:style>
  <w:style w:type="paragraph" w:styleId="748">
    <w:name w:val="Footer"/>
    <w:basedOn w:val="729"/>
    <w:link w:val="782"/>
    <w:uiPriority w:val="99"/>
    <w:unhideWhenUsed/>
    <w:qFormat/>
    <w:pPr>
      <w:tabs>
        <w:tab w:val="center" w:pos="7143" w:leader="none"/>
        <w:tab w:val="right" w:pos="14287" w:leader="none"/>
      </w:tabs>
    </w:pPr>
  </w:style>
  <w:style w:type="paragraph" w:styleId="749">
    <w:name w:val="Header"/>
    <w:basedOn w:val="729"/>
    <w:link w:val="780"/>
    <w:uiPriority w:val="99"/>
    <w:unhideWhenUsed/>
    <w:qFormat/>
    <w:pPr>
      <w:tabs>
        <w:tab w:val="center" w:pos="7143" w:leader="none"/>
        <w:tab w:val="right" w:pos="14287" w:leader="none"/>
      </w:tabs>
    </w:pPr>
  </w:style>
  <w:style w:type="paragraph" w:styleId="750">
    <w:name w:val="toc 1"/>
    <w:basedOn w:val="729"/>
    <w:next w:val="729"/>
    <w:uiPriority w:val="39"/>
    <w:unhideWhenUsed/>
    <w:qFormat/>
    <w:pPr>
      <w:spacing w:after="57"/>
    </w:pPr>
  </w:style>
  <w:style w:type="paragraph" w:styleId="751">
    <w:name w:val="toc 4"/>
    <w:basedOn w:val="729"/>
    <w:next w:val="729"/>
    <w:uiPriority w:val="39"/>
    <w:unhideWhenUsed/>
    <w:qFormat/>
    <w:pPr>
      <w:ind w:left="850"/>
      <w:spacing w:after="57"/>
    </w:pPr>
  </w:style>
  <w:style w:type="paragraph" w:styleId="752">
    <w:name w:val="Subtitle"/>
    <w:basedOn w:val="729"/>
    <w:next w:val="729"/>
    <w:link w:val="775"/>
    <w:uiPriority w:val="11"/>
    <w:qFormat/>
    <w:pPr>
      <w:spacing w:before="200" w:after="200"/>
    </w:pPr>
    <w:rPr>
      <w:sz w:val="24"/>
      <w:szCs w:val="24"/>
    </w:rPr>
  </w:style>
  <w:style w:type="paragraph" w:styleId="753">
    <w:name w:val="footnote text"/>
    <w:basedOn w:val="729"/>
    <w:link w:val="908"/>
    <w:uiPriority w:val="99"/>
    <w:semiHidden/>
    <w:unhideWhenUsed/>
    <w:qFormat/>
    <w:pPr>
      <w:spacing w:after="40"/>
    </w:pPr>
    <w:rPr>
      <w:sz w:val="18"/>
    </w:rPr>
  </w:style>
  <w:style w:type="paragraph" w:styleId="754">
    <w:name w:val="toc 6"/>
    <w:basedOn w:val="729"/>
    <w:next w:val="729"/>
    <w:uiPriority w:val="39"/>
    <w:unhideWhenUsed/>
    <w:qFormat/>
    <w:pPr>
      <w:ind w:left="1417"/>
      <w:spacing w:after="57"/>
    </w:pPr>
  </w:style>
  <w:style w:type="paragraph" w:styleId="755">
    <w:name w:val="table of figures"/>
    <w:basedOn w:val="729"/>
    <w:next w:val="729"/>
    <w:uiPriority w:val="99"/>
    <w:unhideWhenUsed/>
    <w:qFormat/>
  </w:style>
  <w:style w:type="paragraph" w:styleId="756">
    <w:name w:val="toc 2"/>
    <w:basedOn w:val="729"/>
    <w:next w:val="729"/>
    <w:uiPriority w:val="39"/>
    <w:unhideWhenUsed/>
    <w:qFormat/>
    <w:pPr>
      <w:ind w:left="283"/>
      <w:spacing w:after="57"/>
    </w:pPr>
  </w:style>
  <w:style w:type="paragraph" w:styleId="757">
    <w:name w:val="toc 9"/>
    <w:basedOn w:val="729"/>
    <w:next w:val="729"/>
    <w:uiPriority w:val="39"/>
    <w:unhideWhenUsed/>
    <w:qFormat/>
    <w:pPr>
      <w:ind w:left="2268"/>
      <w:spacing w:after="57"/>
    </w:pPr>
  </w:style>
  <w:style w:type="paragraph" w:styleId="758">
    <w:name w:val="Title"/>
    <w:basedOn w:val="729"/>
    <w:next w:val="729"/>
    <w:link w:val="774"/>
    <w:uiPriority w:val="10"/>
    <w:qFormat/>
    <w:pPr>
      <w:contextualSpacing/>
      <w:spacing w:before="300" w:after="200"/>
    </w:pPr>
    <w:rPr>
      <w:sz w:val="48"/>
      <w:szCs w:val="48"/>
    </w:r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Hyperlink"/>
    <w:uiPriority w:val="99"/>
    <w:unhideWhenUsed/>
    <w:qFormat/>
    <w:rPr>
      <w:color w:val="0000ff" w:themeColor="hyperlink"/>
      <w:u w:val="single"/>
    </w:rPr>
  </w:style>
  <w:style w:type="character" w:styleId="762">
    <w:name w:val="footnote reference"/>
    <w:uiPriority w:val="99"/>
    <w:unhideWhenUsed/>
    <w:qFormat/>
    <w:rPr>
      <w:vertAlign w:val="superscript"/>
    </w:rPr>
  </w:style>
  <w:style w:type="character" w:styleId="763" w:customStyle="1">
    <w:name w:val="标题 1 Char1"/>
    <w:link w:val="730"/>
    <w:uiPriority w:val="9"/>
    <w:qFormat/>
    <w:rPr>
      <w:rFonts w:ascii="Arial" w:hAnsi="Arial" w:eastAsia="Arial" w:cs="Arial"/>
      <w:sz w:val="40"/>
      <w:szCs w:val="40"/>
    </w:rPr>
  </w:style>
  <w:style w:type="character" w:styleId="764" w:customStyle="1">
    <w:name w:val="标题 2 Char1"/>
    <w:link w:val="731"/>
    <w:uiPriority w:val="9"/>
    <w:qFormat/>
    <w:rPr>
      <w:rFonts w:ascii="Arial" w:hAnsi="Arial" w:eastAsia="Arial" w:cs="Arial"/>
      <w:sz w:val="34"/>
    </w:rPr>
  </w:style>
  <w:style w:type="character" w:styleId="765" w:customStyle="1">
    <w:name w:val="标题 3 Char1"/>
    <w:link w:val="732"/>
    <w:uiPriority w:val="9"/>
    <w:qFormat/>
    <w:rPr>
      <w:rFonts w:ascii="Arial" w:hAnsi="Arial" w:eastAsia="Arial" w:cs="Arial"/>
      <w:sz w:val="30"/>
      <w:szCs w:val="30"/>
    </w:rPr>
  </w:style>
  <w:style w:type="character" w:styleId="766" w:customStyle="1">
    <w:name w:val="标题 4 Char1"/>
    <w:link w:val="733"/>
    <w:uiPriority w:val="9"/>
    <w:qFormat/>
    <w:rPr>
      <w:rFonts w:ascii="Arial" w:hAnsi="Arial" w:eastAsia="Arial" w:cs="Arial"/>
      <w:b/>
      <w:bCs/>
      <w:sz w:val="26"/>
      <w:szCs w:val="26"/>
    </w:rPr>
  </w:style>
  <w:style w:type="character" w:styleId="767" w:customStyle="1">
    <w:name w:val="标题 5 Char1"/>
    <w:link w:val="734"/>
    <w:uiPriority w:val="9"/>
    <w:qFormat/>
    <w:rPr>
      <w:rFonts w:ascii="Arial" w:hAnsi="Arial" w:eastAsia="Arial" w:cs="Arial"/>
      <w:b/>
      <w:bCs/>
      <w:sz w:val="24"/>
      <w:szCs w:val="24"/>
    </w:rPr>
  </w:style>
  <w:style w:type="character" w:styleId="768" w:customStyle="1">
    <w:name w:val="标题 6 Char1"/>
    <w:link w:val="735"/>
    <w:uiPriority w:val="9"/>
    <w:qFormat/>
    <w:rPr>
      <w:rFonts w:ascii="Arial" w:hAnsi="Arial" w:eastAsia="Arial" w:cs="Arial"/>
      <w:b/>
      <w:bCs/>
      <w:sz w:val="22"/>
      <w:szCs w:val="22"/>
    </w:rPr>
  </w:style>
  <w:style w:type="character" w:styleId="769" w:customStyle="1">
    <w:name w:val="标题 7 Char1"/>
    <w:link w:val="736"/>
    <w:uiPriority w:val="9"/>
    <w:qFormat/>
    <w:rPr>
      <w:rFonts w:ascii="Arial" w:hAnsi="Arial" w:eastAsia="Arial" w:cs="Arial"/>
      <w:b/>
      <w:bCs/>
      <w:i/>
      <w:iCs/>
      <w:sz w:val="22"/>
      <w:szCs w:val="22"/>
    </w:rPr>
  </w:style>
  <w:style w:type="character" w:styleId="770" w:customStyle="1">
    <w:name w:val="标题 8 Char1"/>
    <w:link w:val="737"/>
    <w:uiPriority w:val="9"/>
    <w:qFormat/>
    <w:rPr>
      <w:rFonts w:ascii="Arial" w:hAnsi="Arial" w:eastAsia="Arial" w:cs="Arial"/>
      <w:i/>
      <w:iCs/>
      <w:sz w:val="22"/>
      <w:szCs w:val="22"/>
    </w:rPr>
  </w:style>
  <w:style w:type="character" w:styleId="771" w:customStyle="1">
    <w:name w:val="标题 9 Char1"/>
    <w:link w:val="738"/>
    <w:uiPriority w:val="9"/>
    <w:qFormat/>
    <w:rPr>
      <w:rFonts w:ascii="Arial" w:hAnsi="Arial" w:eastAsia="Arial" w:cs="Arial"/>
      <w:i/>
      <w:iCs/>
      <w:sz w:val="21"/>
      <w:szCs w:val="21"/>
    </w:rPr>
  </w:style>
  <w:style w:type="paragraph" w:styleId="772">
    <w:name w:val="List Paragraph"/>
    <w:basedOn w:val="729"/>
    <w:uiPriority w:val="34"/>
    <w:qFormat/>
    <w:pPr>
      <w:contextualSpacing/>
      <w:ind w:left="720"/>
    </w:pPr>
  </w:style>
  <w:style w:type="paragraph" w:styleId="773">
    <w:name w:val="No Spacing"/>
    <w:uiPriority w:val="1"/>
    <w:qFormat/>
  </w:style>
  <w:style w:type="character" w:styleId="774" w:customStyle="1">
    <w:name w:val="标题 Char1"/>
    <w:link w:val="758"/>
    <w:uiPriority w:val="10"/>
    <w:qFormat/>
    <w:rPr>
      <w:sz w:val="48"/>
      <w:szCs w:val="48"/>
    </w:rPr>
  </w:style>
  <w:style w:type="character" w:styleId="775" w:customStyle="1">
    <w:name w:val="副标题 Char"/>
    <w:link w:val="752"/>
    <w:uiPriority w:val="11"/>
    <w:qFormat/>
    <w:rPr>
      <w:sz w:val="24"/>
      <w:szCs w:val="24"/>
    </w:rPr>
  </w:style>
  <w:style w:type="paragraph" w:styleId="776">
    <w:name w:val="Quote"/>
    <w:basedOn w:val="729"/>
    <w:next w:val="729"/>
    <w:link w:val="777"/>
    <w:uiPriority w:val="29"/>
    <w:qFormat/>
    <w:pPr>
      <w:ind w:left="720" w:right="720"/>
    </w:pPr>
    <w:rPr>
      <w:i/>
    </w:rPr>
  </w:style>
  <w:style w:type="character" w:styleId="777" w:customStyle="1">
    <w:name w:val="引用 Char"/>
    <w:link w:val="776"/>
    <w:uiPriority w:val="29"/>
    <w:qFormat/>
    <w:rPr>
      <w:i/>
    </w:rPr>
  </w:style>
  <w:style w:type="paragraph" w:styleId="778">
    <w:name w:val="Intense Quote"/>
    <w:basedOn w:val="729"/>
    <w:next w:val="729"/>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Char"/>
    <w:link w:val="778"/>
    <w:uiPriority w:val="30"/>
    <w:qFormat/>
    <w:rPr>
      <w:i/>
    </w:rPr>
  </w:style>
  <w:style w:type="character" w:styleId="780" w:customStyle="1">
    <w:name w:val="页眉 Char1"/>
    <w:link w:val="749"/>
    <w:uiPriority w:val="99"/>
    <w:qFormat/>
  </w:style>
  <w:style w:type="character" w:styleId="781" w:customStyle="1">
    <w:name w:val="Footer Char"/>
    <w:uiPriority w:val="99"/>
    <w:qFormat/>
  </w:style>
  <w:style w:type="character" w:styleId="782" w:customStyle="1">
    <w:name w:val="页脚 Char1"/>
    <w:link w:val="748"/>
    <w:uiPriority w:val="99"/>
    <w:qFormat/>
  </w:style>
  <w:style w:type="table" w:styleId="78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2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7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7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脚注文本 Char"/>
    <w:link w:val="753"/>
    <w:uiPriority w:val="99"/>
    <w:qFormat/>
    <w:rPr>
      <w:sz w:val="18"/>
    </w:rPr>
  </w:style>
  <w:style w:type="character" w:styleId="909" w:customStyle="1">
    <w:name w:val="尾注文本 Char"/>
    <w:link w:val="747"/>
    <w:uiPriority w:val="99"/>
    <w:qFormat/>
    <w:rPr>
      <w:sz w:val="20"/>
    </w:rPr>
  </w:style>
  <w:style w:type="paragraph" w:styleId="910" w:customStyle="1">
    <w:name w:val="TOC 标题1"/>
    <w:uiPriority w:val="39"/>
    <w:unhideWhenUsed/>
    <w:qFormat/>
  </w:style>
  <w:style w:type="paragraph" w:styleId="911" w:customStyle="1">
    <w:name w:val="标题 11"/>
    <w:basedOn w:val="729"/>
    <w:next w:val="729"/>
    <w:link w:val="923"/>
    <w:qFormat/>
    <w:pPr>
      <w:jc w:val="center"/>
      <w:keepNext/>
      <w:outlineLvl w:val="0"/>
    </w:pPr>
    <w:rPr>
      <w:rFonts w:ascii="楷体_GB2312" w:eastAsia="楷体_GB2312"/>
      <w:sz w:val="28"/>
      <w:szCs w:val="28"/>
    </w:rPr>
  </w:style>
  <w:style w:type="paragraph" w:styleId="912" w:customStyle="1">
    <w:name w:val="标题 21"/>
    <w:basedOn w:val="729"/>
    <w:next w:val="913"/>
    <w:link w:val="924"/>
    <w:qFormat/>
    <w:pPr>
      <w:jc w:val="center"/>
      <w:keepLines/>
      <w:keepNext/>
      <w:spacing w:before="260" w:after="260" w:line="416" w:lineRule="auto"/>
      <w:outlineLvl w:val="1"/>
    </w:pPr>
    <w:rPr>
      <w:rFonts w:ascii="Arial" w:hAnsi="Arial" w:eastAsia="幼圆" w:cs="Arial"/>
      <w:b/>
      <w:bCs/>
      <w:sz w:val="44"/>
      <w:szCs w:val="44"/>
    </w:rPr>
  </w:style>
  <w:style w:type="paragraph" w:styleId="913" w:customStyle="1">
    <w:name w:val="正文缩进1"/>
    <w:basedOn w:val="729"/>
    <w:link w:val="925"/>
    <w:uiPriority w:val="99"/>
    <w:qFormat/>
    <w:pPr>
      <w:ind w:firstLine="420"/>
    </w:pPr>
  </w:style>
  <w:style w:type="paragraph" w:styleId="914" w:customStyle="1">
    <w:name w:val="标题 31"/>
    <w:basedOn w:val="729"/>
    <w:next w:val="913"/>
    <w:link w:val="926"/>
    <w:qFormat/>
    <w:pPr>
      <w:keepLines/>
      <w:keepNext/>
      <w:spacing w:before="260" w:after="260" w:line="416" w:lineRule="auto"/>
      <w:outlineLvl w:val="2"/>
    </w:pPr>
    <w:rPr>
      <w:b/>
      <w:bCs/>
      <w:sz w:val="32"/>
      <w:szCs w:val="32"/>
    </w:rPr>
  </w:style>
  <w:style w:type="paragraph" w:styleId="915" w:customStyle="1">
    <w:name w:val="标题 41"/>
    <w:basedOn w:val="729"/>
    <w:next w:val="913"/>
    <w:link w:val="927"/>
    <w:qFormat/>
    <w:pPr>
      <w:keepLines/>
      <w:keepNext/>
      <w:spacing w:before="280" w:after="290" w:line="376" w:lineRule="auto"/>
      <w:outlineLvl w:val="3"/>
    </w:pPr>
    <w:rPr>
      <w:rFonts w:ascii="Arial" w:hAnsi="Arial" w:eastAsia="黑体" w:cs="Arial"/>
      <w:b/>
      <w:bCs/>
      <w:sz w:val="28"/>
      <w:szCs w:val="28"/>
    </w:rPr>
  </w:style>
  <w:style w:type="paragraph" w:styleId="916" w:customStyle="1">
    <w:name w:val="标题 51"/>
    <w:basedOn w:val="729"/>
    <w:next w:val="913"/>
    <w:link w:val="928"/>
    <w:qFormat/>
    <w:pPr>
      <w:keepNext/>
      <w:outlineLvl w:val="4"/>
    </w:pPr>
    <w:rPr>
      <w:rFonts w:ascii="宋体"/>
      <w:color w:val="000000"/>
      <w:sz w:val="28"/>
      <w:szCs w:val="28"/>
    </w:rPr>
  </w:style>
  <w:style w:type="paragraph" w:styleId="917" w:customStyle="1">
    <w:name w:val="标题 61"/>
    <w:basedOn w:val="729"/>
    <w:next w:val="729"/>
    <w:link w:val="929"/>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customStyle="1">
    <w:name w:val="标题 71"/>
    <w:basedOn w:val="729"/>
    <w:next w:val="729"/>
    <w:link w:val="930"/>
    <w:qFormat/>
    <w:pPr>
      <w:numPr>
        <w:ilvl w:val="6"/>
        <w:numId w:val="1"/>
      </w:numPr>
      <w:keepLines/>
      <w:keepNext/>
      <w:spacing w:before="240" w:after="64" w:line="320" w:lineRule="auto"/>
      <w:outlineLvl w:val="6"/>
    </w:pPr>
    <w:rPr>
      <w:b/>
      <w:bCs/>
      <w:sz w:val="24"/>
      <w:szCs w:val="24"/>
    </w:rPr>
  </w:style>
  <w:style w:type="paragraph" w:styleId="919" w:customStyle="1">
    <w:name w:val="标题 81"/>
    <w:basedOn w:val="729"/>
    <w:next w:val="729"/>
    <w:link w:val="931"/>
    <w:qFormat/>
    <w:pPr>
      <w:numPr>
        <w:ilvl w:val="7"/>
        <w:numId w:val="1"/>
      </w:numPr>
      <w:keepLines/>
      <w:keepNext/>
      <w:spacing w:before="240" w:after="64" w:line="320" w:lineRule="auto"/>
      <w:outlineLvl w:val="7"/>
    </w:pPr>
    <w:rPr>
      <w:rFonts w:ascii="Arial" w:hAnsi="Arial" w:eastAsia="黑体"/>
      <w:sz w:val="24"/>
      <w:szCs w:val="24"/>
    </w:rPr>
  </w:style>
  <w:style w:type="paragraph" w:styleId="920" w:customStyle="1">
    <w:name w:val="标题 91"/>
    <w:basedOn w:val="729"/>
    <w:next w:val="729"/>
    <w:link w:val="932"/>
    <w:qFormat/>
    <w:pPr>
      <w:numPr>
        <w:ilvl w:val="8"/>
        <w:numId w:val="1"/>
      </w:numPr>
      <w:keepLines/>
      <w:keepNext/>
      <w:spacing w:before="240" w:after="64" w:line="320" w:lineRule="auto"/>
      <w:outlineLvl w:val="8"/>
    </w:pPr>
    <w:rPr>
      <w:rFonts w:ascii="Arial" w:hAnsi="Arial" w:eastAsia="黑体"/>
    </w:rPr>
  </w:style>
  <w:style w:type="character" w:styleId="921" w:customStyle="1">
    <w:name w:val="默认段落字体1"/>
    <w:uiPriority w:val="1"/>
    <w:unhideWhenUsed/>
    <w:qFormat/>
  </w:style>
  <w:style w:type="table" w:styleId="922" w:customStyle="1">
    <w:name w:val="普通表格1"/>
    <w:uiPriority w:val="99"/>
    <w:unhideWhenUsed/>
    <w:qFormat/>
    <w:tblPr>
      <w:tblCellMar>
        <w:left w:w="0" w:type="dxa"/>
        <w:top w:w="0" w:type="dxa"/>
        <w:right w:w="0" w:type="dxa"/>
        <w:bottom w:w="0" w:type="dxa"/>
      </w:tblCellMar>
    </w:tblPr>
  </w:style>
  <w:style w:type="character" w:styleId="923" w:customStyle="1">
    <w:name w:val="标题 1 Char"/>
    <w:link w:val="911"/>
    <w:qFormat/>
    <w:rPr>
      <w:rFonts w:ascii="楷体_GB2312" w:hAnsi="Times New Roman" w:eastAsia="楷体_GB2312" w:cs="Times New Roman"/>
      <w:sz w:val="28"/>
      <w:szCs w:val="28"/>
    </w:rPr>
  </w:style>
  <w:style w:type="character" w:styleId="924" w:customStyle="1">
    <w:name w:val="标题 2 Char"/>
    <w:link w:val="912"/>
    <w:qFormat/>
    <w:rPr>
      <w:rFonts w:ascii="Arial" w:hAnsi="Arial" w:eastAsia="幼圆" w:cs="Arial"/>
      <w:b/>
      <w:bCs/>
      <w:sz w:val="44"/>
      <w:szCs w:val="44"/>
    </w:rPr>
  </w:style>
  <w:style w:type="character" w:styleId="925" w:customStyle="1">
    <w:name w:val="正文缩进 Char"/>
    <w:link w:val="913"/>
    <w:qFormat/>
    <w:rPr>
      <w:rFonts w:ascii="Times New Roman" w:hAnsi="Times New Roman" w:eastAsia="宋体" w:cs="Times New Roman"/>
      <w:szCs w:val="21"/>
    </w:rPr>
  </w:style>
  <w:style w:type="character" w:styleId="926" w:customStyle="1">
    <w:name w:val="标题 3 Char"/>
    <w:link w:val="914"/>
    <w:qFormat/>
    <w:rPr>
      <w:rFonts w:ascii="Times New Roman" w:hAnsi="Times New Roman" w:eastAsia="宋体" w:cs="Times New Roman"/>
      <w:b/>
      <w:bCs/>
      <w:sz w:val="32"/>
      <w:szCs w:val="32"/>
    </w:rPr>
  </w:style>
  <w:style w:type="character" w:styleId="927" w:customStyle="1">
    <w:name w:val="标题 4 Char"/>
    <w:link w:val="915"/>
    <w:qFormat/>
    <w:rPr>
      <w:rFonts w:ascii="Arial" w:hAnsi="Arial" w:eastAsia="黑体" w:cs="Arial"/>
      <w:b/>
      <w:bCs/>
      <w:sz w:val="28"/>
      <w:szCs w:val="28"/>
    </w:rPr>
  </w:style>
  <w:style w:type="character" w:styleId="928" w:customStyle="1">
    <w:name w:val="标题 5 Char"/>
    <w:link w:val="916"/>
    <w:qFormat/>
    <w:rPr>
      <w:rFonts w:ascii="宋体" w:hAnsi="Times New Roman" w:eastAsia="宋体" w:cs="Times New Roman"/>
      <w:color w:val="000000"/>
      <w:sz w:val="28"/>
      <w:szCs w:val="28"/>
    </w:rPr>
  </w:style>
  <w:style w:type="character" w:styleId="929" w:customStyle="1">
    <w:name w:val="标题 6 Char"/>
    <w:link w:val="917"/>
    <w:qFormat/>
    <w:rPr>
      <w:rFonts w:ascii="Arial" w:hAnsi="Arial" w:eastAsia="黑体" w:cs="Times New Roman"/>
      <w:b/>
      <w:bCs/>
      <w:sz w:val="24"/>
      <w:szCs w:val="24"/>
    </w:rPr>
  </w:style>
  <w:style w:type="character" w:styleId="930" w:customStyle="1">
    <w:name w:val="标题 7 Char"/>
    <w:link w:val="918"/>
    <w:qFormat/>
    <w:rPr>
      <w:rFonts w:ascii="Times New Roman" w:hAnsi="Times New Roman" w:eastAsia="宋体" w:cs="Times New Roman"/>
      <w:b/>
      <w:bCs/>
      <w:sz w:val="24"/>
      <w:szCs w:val="24"/>
    </w:rPr>
  </w:style>
  <w:style w:type="character" w:styleId="931" w:customStyle="1">
    <w:name w:val="标题 8 Char"/>
    <w:link w:val="919"/>
    <w:qFormat/>
    <w:rPr>
      <w:rFonts w:ascii="Arial" w:hAnsi="Arial" w:eastAsia="黑体" w:cs="Times New Roman"/>
      <w:sz w:val="24"/>
      <w:szCs w:val="24"/>
    </w:rPr>
  </w:style>
  <w:style w:type="character" w:styleId="932" w:customStyle="1">
    <w:name w:val="标题 9 Char"/>
    <w:link w:val="920"/>
    <w:qFormat/>
    <w:rPr>
      <w:rFonts w:ascii="Arial" w:hAnsi="Arial" w:eastAsia="黑体" w:cs="Times New Roman"/>
      <w:szCs w:val="21"/>
    </w:rPr>
  </w:style>
  <w:style w:type="paragraph" w:styleId="933" w:customStyle="1">
    <w:name w:val="列表 31"/>
    <w:basedOn w:val="729"/>
    <w:qFormat/>
    <w:pPr>
      <w:ind w:left="100" w:hanging="200"/>
    </w:pPr>
  </w:style>
  <w:style w:type="paragraph" w:styleId="934" w:customStyle="1">
    <w:name w:val="目录 71"/>
    <w:basedOn w:val="729"/>
    <w:next w:val="729"/>
    <w:semiHidden/>
    <w:qFormat/>
    <w:pPr>
      <w:ind w:left="1260"/>
      <w:jc w:val="left"/>
    </w:pPr>
  </w:style>
  <w:style w:type="paragraph" w:styleId="935" w:customStyle="1">
    <w:name w:val="文档结构图1"/>
    <w:basedOn w:val="729"/>
    <w:link w:val="936"/>
    <w:semiHidden/>
    <w:qFormat/>
    <w:pPr>
      <w:shd w:val="clear" w:color="auto" w:fill="000080"/>
    </w:pPr>
  </w:style>
  <w:style w:type="character" w:styleId="936" w:customStyle="1">
    <w:name w:val="文档结构图 Char"/>
    <w:link w:val="935"/>
    <w:semiHidden/>
    <w:qFormat/>
    <w:rPr>
      <w:rFonts w:ascii="Times New Roman" w:hAnsi="Times New Roman" w:eastAsia="宋体" w:cs="Times New Roman"/>
      <w:szCs w:val="21"/>
      <w:shd w:val="clear" w:color="auto" w:fill="000080"/>
    </w:rPr>
  </w:style>
  <w:style w:type="paragraph" w:styleId="937" w:customStyle="1">
    <w:name w:val="批注文字1"/>
    <w:basedOn w:val="729"/>
    <w:link w:val="938"/>
    <w:qFormat/>
    <w:pPr>
      <w:jc w:val="left"/>
    </w:pPr>
  </w:style>
  <w:style w:type="character" w:styleId="938" w:customStyle="1">
    <w:name w:val="批注文字 Char"/>
    <w:link w:val="937"/>
    <w:qFormat/>
    <w:rPr>
      <w:rFonts w:ascii="Times New Roman" w:hAnsi="Times New Roman" w:eastAsia="宋体" w:cs="Times New Roman"/>
      <w:szCs w:val="21"/>
    </w:rPr>
  </w:style>
  <w:style w:type="paragraph" w:styleId="939" w:customStyle="1">
    <w:name w:val="正文文本 31"/>
    <w:basedOn w:val="729"/>
    <w:link w:val="940"/>
    <w:qFormat/>
    <w:rPr>
      <w:rFonts w:ascii="仿宋_GB2312" w:hAnsi="Arial" w:eastAsia="仿宋_GB2312"/>
      <w:sz w:val="32"/>
      <w:szCs w:val="32"/>
    </w:rPr>
  </w:style>
  <w:style w:type="character" w:styleId="940" w:customStyle="1">
    <w:name w:val="正文文本 3 Char"/>
    <w:link w:val="939"/>
    <w:qFormat/>
    <w:rPr>
      <w:rFonts w:ascii="仿宋_GB2312" w:hAnsi="Arial" w:eastAsia="仿宋_GB2312" w:cs="Times New Roman"/>
      <w:sz w:val="32"/>
      <w:szCs w:val="32"/>
    </w:rPr>
  </w:style>
  <w:style w:type="paragraph" w:styleId="941" w:customStyle="1">
    <w:name w:val="正文文本1"/>
    <w:basedOn w:val="729"/>
    <w:link w:val="942"/>
    <w:qFormat/>
    <w:rPr>
      <w:rFonts w:ascii="楷体_GB2312" w:hAnsi="Arial" w:eastAsia="楷体_GB2312"/>
      <w:sz w:val="28"/>
      <w:szCs w:val="28"/>
    </w:rPr>
  </w:style>
  <w:style w:type="character" w:styleId="942" w:customStyle="1">
    <w:name w:val="正文文本 Char"/>
    <w:link w:val="941"/>
    <w:qFormat/>
    <w:rPr>
      <w:rFonts w:ascii="楷体_GB2312" w:hAnsi="Arial" w:eastAsia="楷体_GB2312" w:cs="Times New Roman"/>
      <w:sz w:val="28"/>
      <w:szCs w:val="28"/>
    </w:rPr>
  </w:style>
  <w:style w:type="paragraph" w:styleId="943" w:customStyle="1">
    <w:name w:val="正文文本缩进1"/>
    <w:basedOn w:val="729"/>
    <w:link w:val="944"/>
    <w:qFormat/>
    <w:pPr>
      <w:ind w:firstLine="645"/>
    </w:pPr>
    <w:rPr>
      <w:rFonts w:ascii="楷体_GB2312" w:eastAsia="楷体_GB2312"/>
      <w:sz w:val="32"/>
      <w:szCs w:val="32"/>
    </w:rPr>
  </w:style>
  <w:style w:type="character" w:styleId="944" w:customStyle="1">
    <w:name w:val="正文文本缩进 Char"/>
    <w:link w:val="943"/>
    <w:qFormat/>
    <w:rPr>
      <w:rFonts w:ascii="楷体_GB2312" w:hAnsi="Times New Roman" w:eastAsia="楷体_GB2312" w:cs="Times New Roman"/>
      <w:sz w:val="32"/>
      <w:szCs w:val="32"/>
    </w:rPr>
  </w:style>
  <w:style w:type="paragraph" w:styleId="945" w:customStyle="1">
    <w:name w:val="列表 21"/>
    <w:basedOn w:val="729"/>
    <w:qFormat/>
    <w:pPr>
      <w:ind w:left="100" w:hanging="200"/>
    </w:pPr>
  </w:style>
  <w:style w:type="paragraph" w:styleId="946" w:customStyle="1">
    <w:name w:val="文本块1"/>
    <w:basedOn w:val="729"/>
    <w:uiPriority w:val="99"/>
    <w:unhideWhenUsed/>
    <w:qFormat/>
    <w:pPr>
      <w:ind w:left="1440" w:right="1440"/>
      <w:spacing w:after="120"/>
    </w:pPr>
  </w:style>
  <w:style w:type="paragraph" w:styleId="947" w:customStyle="1">
    <w:name w:val="目录 51"/>
    <w:basedOn w:val="729"/>
    <w:next w:val="729"/>
    <w:semiHidden/>
    <w:qFormat/>
    <w:pPr>
      <w:ind w:left="840"/>
      <w:jc w:val="left"/>
    </w:pPr>
  </w:style>
  <w:style w:type="paragraph" w:styleId="948" w:customStyle="1">
    <w:name w:val="目录 31"/>
    <w:basedOn w:val="729"/>
    <w:next w:val="729"/>
    <w:semiHidden/>
    <w:qFormat/>
    <w:pPr>
      <w:ind w:left="420"/>
      <w:jc w:val="left"/>
    </w:pPr>
    <w:rPr>
      <w:i/>
      <w:iCs/>
      <w:szCs w:val="24"/>
    </w:rPr>
  </w:style>
  <w:style w:type="paragraph" w:styleId="949" w:customStyle="1">
    <w:name w:val="纯文本1"/>
    <w:basedOn w:val="729"/>
    <w:link w:val="950"/>
    <w:qFormat/>
    <w:rPr>
      <w:rFonts w:ascii="宋体" w:hAnsi="Courier New" w:cs="Courier New"/>
    </w:rPr>
  </w:style>
  <w:style w:type="character" w:styleId="950" w:customStyle="1">
    <w:name w:val="纯文本 Char"/>
    <w:link w:val="949"/>
    <w:qFormat/>
    <w:rPr>
      <w:rFonts w:ascii="宋体" w:hAnsi="Courier New" w:eastAsia="宋体" w:cs="Courier New"/>
      <w:szCs w:val="21"/>
    </w:rPr>
  </w:style>
  <w:style w:type="paragraph" w:styleId="951" w:customStyle="1">
    <w:name w:val="目录 81"/>
    <w:basedOn w:val="729"/>
    <w:next w:val="729"/>
    <w:semiHidden/>
    <w:qFormat/>
    <w:pPr>
      <w:ind w:left="1470"/>
      <w:jc w:val="left"/>
    </w:pPr>
  </w:style>
  <w:style w:type="paragraph" w:styleId="952" w:customStyle="1">
    <w:name w:val="日期1"/>
    <w:basedOn w:val="729"/>
    <w:next w:val="729"/>
    <w:link w:val="953"/>
    <w:qFormat/>
    <w:rPr>
      <w:sz w:val="24"/>
      <w:szCs w:val="24"/>
    </w:rPr>
  </w:style>
  <w:style w:type="character" w:styleId="953" w:customStyle="1">
    <w:name w:val="日期 Char"/>
    <w:link w:val="952"/>
    <w:qFormat/>
    <w:rPr>
      <w:rFonts w:ascii="Times New Roman" w:hAnsi="Times New Roman" w:eastAsia="宋体" w:cs="Times New Roman"/>
      <w:sz w:val="24"/>
      <w:szCs w:val="24"/>
    </w:rPr>
  </w:style>
  <w:style w:type="paragraph" w:styleId="954" w:customStyle="1">
    <w:name w:val="正文文本缩进 21"/>
    <w:basedOn w:val="729"/>
    <w:link w:val="955"/>
    <w:qFormat/>
    <w:pPr>
      <w:ind w:left="630" w:firstLine="645"/>
    </w:pPr>
    <w:rPr>
      <w:rFonts w:ascii="Arial" w:hAnsi="Arial" w:eastAsia="仿宋_GB2312" w:cs="Arial"/>
      <w:sz w:val="32"/>
      <w:szCs w:val="32"/>
    </w:rPr>
  </w:style>
  <w:style w:type="character" w:styleId="955" w:customStyle="1">
    <w:name w:val="正文文本缩进 2 Char"/>
    <w:link w:val="954"/>
    <w:qFormat/>
    <w:rPr>
      <w:rFonts w:ascii="Arial" w:hAnsi="Arial" w:eastAsia="仿宋_GB2312" w:cs="Arial"/>
      <w:sz w:val="32"/>
      <w:szCs w:val="32"/>
    </w:rPr>
  </w:style>
  <w:style w:type="paragraph" w:styleId="956" w:customStyle="1">
    <w:name w:val="批注框文本1"/>
    <w:basedOn w:val="729"/>
    <w:link w:val="957"/>
    <w:semiHidden/>
    <w:qFormat/>
    <w:rPr>
      <w:sz w:val="18"/>
      <w:szCs w:val="18"/>
    </w:rPr>
  </w:style>
  <w:style w:type="character" w:styleId="957" w:customStyle="1">
    <w:name w:val="批注框文本 Char"/>
    <w:link w:val="956"/>
    <w:semiHidden/>
    <w:qFormat/>
    <w:rPr>
      <w:rFonts w:ascii="Times New Roman" w:hAnsi="Times New Roman" w:eastAsia="宋体" w:cs="Times New Roman"/>
      <w:sz w:val="18"/>
      <w:szCs w:val="18"/>
    </w:rPr>
  </w:style>
  <w:style w:type="paragraph" w:styleId="958" w:customStyle="1">
    <w:name w:val="页脚1"/>
    <w:basedOn w:val="729"/>
    <w:link w:val="959"/>
    <w:uiPriority w:val="99"/>
    <w:qFormat/>
    <w:pPr>
      <w:jc w:val="left"/>
      <w:tabs>
        <w:tab w:val="center" w:pos="4153" w:leader="none"/>
        <w:tab w:val="right" w:pos="8306" w:leader="none"/>
      </w:tabs>
    </w:pPr>
    <w:rPr>
      <w:sz w:val="18"/>
      <w:szCs w:val="18"/>
    </w:rPr>
  </w:style>
  <w:style w:type="character" w:styleId="959" w:customStyle="1">
    <w:name w:val="页脚 Char"/>
    <w:link w:val="958"/>
    <w:uiPriority w:val="99"/>
    <w:qFormat/>
    <w:rPr>
      <w:rFonts w:ascii="Times New Roman" w:hAnsi="Times New Roman" w:eastAsia="宋体" w:cs="Times New Roman"/>
      <w:sz w:val="18"/>
      <w:szCs w:val="18"/>
    </w:rPr>
  </w:style>
  <w:style w:type="paragraph" w:styleId="960" w:customStyle="1">
    <w:name w:val="寄信人地址1"/>
    <w:basedOn w:val="729"/>
    <w:qFormat/>
    <w:rPr>
      <w:rFonts w:ascii="Arial" w:hAnsi="Arial"/>
    </w:rPr>
  </w:style>
  <w:style w:type="paragraph" w:styleId="961" w:customStyle="1">
    <w:name w:val="页眉1"/>
    <w:basedOn w:val="729"/>
    <w:link w:val="962"/>
    <w:qFormat/>
    <w:pPr>
      <w:jc w:val="center"/>
      <w:tabs>
        <w:tab w:val="center" w:pos="4153" w:leader="none"/>
        <w:tab w:val="right" w:pos="8306" w:leader="none"/>
      </w:tabs>
      <w:pBdr>
        <w:bottom w:val="single" w:color="000000" w:sz="6" w:space="1"/>
      </w:pBdr>
    </w:pPr>
    <w:rPr>
      <w:sz w:val="18"/>
      <w:szCs w:val="18"/>
    </w:rPr>
  </w:style>
  <w:style w:type="character" w:styleId="962" w:customStyle="1">
    <w:name w:val="页眉 Char"/>
    <w:link w:val="961"/>
    <w:qFormat/>
    <w:rPr>
      <w:rFonts w:ascii="Times New Roman" w:hAnsi="Times New Roman" w:eastAsia="宋体" w:cs="Times New Roman"/>
      <w:sz w:val="18"/>
      <w:szCs w:val="18"/>
    </w:rPr>
  </w:style>
  <w:style w:type="paragraph" w:styleId="963" w:customStyle="1">
    <w:name w:val="目录 11"/>
    <w:basedOn w:val="729"/>
    <w:next w:val="729"/>
    <w:semiHidden/>
    <w:qFormat/>
    <w:pPr>
      <w:jc w:val="left"/>
      <w:spacing w:before="120" w:after="120" w:line="400" w:lineRule="exact"/>
      <w:tabs>
        <w:tab w:val="right" w:pos="8720" w:leader="dot"/>
      </w:tabs>
    </w:pPr>
    <w:rPr>
      <w:rFonts w:ascii="宋体" w:hAnsi="宋体"/>
      <w:caps/>
      <w:sz w:val="24"/>
      <w:szCs w:val="24"/>
    </w:rPr>
  </w:style>
  <w:style w:type="paragraph" w:styleId="964" w:customStyle="1">
    <w:name w:val="目录 41"/>
    <w:basedOn w:val="729"/>
    <w:next w:val="729"/>
    <w:semiHidden/>
    <w:qFormat/>
    <w:pPr>
      <w:ind w:left="630"/>
      <w:jc w:val="left"/>
    </w:pPr>
  </w:style>
  <w:style w:type="paragraph" w:styleId="965" w:customStyle="1">
    <w:name w:val="列表1"/>
    <w:basedOn w:val="729"/>
    <w:qFormat/>
    <w:pPr>
      <w:ind w:left="200" w:hanging="200"/>
    </w:pPr>
  </w:style>
  <w:style w:type="paragraph" w:styleId="966" w:customStyle="1">
    <w:name w:val="目录 61"/>
    <w:basedOn w:val="729"/>
    <w:next w:val="729"/>
    <w:semiHidden/>
    <w:qFormat/>
    <w:pPr>
      <w:ind w:left="1050"/>
      <w:jc w:val="left"/>
    </w:pPr>
  </w:style>
  <w:style w:type="paragraph" w:styleId="967" w:customStyle="1">
    <w:name w:val="正文文本缩进 31"/>
    <w:basedOn w:val="729"/>
    <w:link w:val="968"/>
    <w:qFormat/>
    <w:pPr>
      <w:ind w:left="645" w:firstLine="645"/>
    </w:pPr>
    <w:rPr>
      <w:rFonts w:ascii="Arial" w:hAnsi="Arial" w:eastAsia="仿宋_GB2312" w:cs="Arial"/>
      <w:color w:val="ffff00"/>
      <w:sz w:val="32"/>
      <w:szCs w:val="32"/>
    </w:rPr>
  </w:style>
  <w:style w:type="character" w:styleId="968" w:customStyle="1">
    <w:name w:val="正文文本缩进 3 Char"/>
    <w:link w:val="967"/>
    <w:qFormat/>
    <w:rPr>
      <w:rFonts w:ascii="Arial" w:hAnsi="Arial" w:eastAsia="仿宋_GB2312" w:cs="Arial"/>
      <w:color w:val="ffff00"/>
      <w:sz w:val="32"/>
      <w:szCs w:val="32"/>
    </w:rPr>
  </w:style>
  <w:style w:type="paragraph" w:styleId="969" w:customStyle="1">
    <w:name w:val="图表目录1"/>
    <w:basedOn w:val="729"/>
    <w:next w:val="729"/>
    <w:semiHidden/>
    <w:qFormat/>
    <w:pPr>
      <w:ind w:left="840" w:hanging="420"/>
    </w:pPr>
  </w:style>
  <w:style w:type="paragraph" w:styleId="970" w:customStyle="1">
    <w:name w:val="目录 21"/>
    <w:basedOn w:val="729"/>
    <w:next w:val="729"/>
    <w:semiHidden/>
    <w:qFormat/>
    <w:pPr>
      <w:ind w:left="210"/>
      <w:jc w:val="left"/>
    </w:pPr>
    <w:rPr>
      <w:smallCaps/>
      <w:szCs w:val="24"/>
    </w:rPr>
  </w:style>
  <w:style w:type="paragraph" w:styleId="971" w:customStyle="1">
    <w:name w:val="目录 91"/>
    <w:basedOn w:val="729"/>
    <w:next w:val="729"/>
    <w:semiHidden/>
    <w:qFormat/>
    <w:pPr>
      <w:ind w:left="1680"/>
      <w:jc w:val="left"/>
    </w:pPr>
  </w:style>
  <w:style w:type="paragraph" w:styleId="972" w:customStyle="1">
    <w:name w:val="正文文本 21"/>
    <w:basedOn w:val="729"/>
    <w:link w:val="973"/>
    <w:qFormat/>
    <w:pPr>
      <w:jc w:val="center"/>
      <w:widowControl/>
    </w:pPr>
    <w:rPr>
      <w:rFonts w:ascii="楷体_GB2312" w:eastAsia="楷体_GB2312"/>
      <w:sz w:val="28"/>
      <w:szCs w:val="28"/>
    </w:rPr>
  </w:style>
  <w:style w:type="character" w:styleId="973" w:customStyle="1">
    <w:name w:val="正文文本 2 Char"/>
    <w:link w:val="972"/>
    <w:qFormat/>
    <w:rPr>
      <w:rFonts w:ascii="楷体_GB2312" w:hAnsi="Times New Roman" w:eastAsia="楷体_GB2312" w:cs="Times New Roman"/>
      <w:sz w:val="28"/>
      <w:szCs w:val="28"/>
    </w:rPr>
  </w:style>
  <w:style w:type="paragraph" w:styleId="974" w:customStyle="1">
    <w:name w:val="普通(网站)11"/>
    <w:basedOn w:val="729"/>
    <w:uiPriority w:val="99"/>
    <w:qFormat/>
    <w:pPr>
      <w:jc w:val="left"/>
      <w:spacing w:before="100" w:beforeAutospacing="1" w:after="100" w:afterAutospacing="1"/>
      <w:widowControl/>
    </w:pPr>
    <w:rPr>
      <w:rFonts w:ascii="宋体" w:hAnsi="宋体" w:cs="宋体"/>
      <w:sz w:val="24"/>
      <w:szCs w:val="24"/>
    </w:rPr>
  </w:style>
  <w:style w:type="paragraph" w:styleId="975" w:customStyle="1">
    <w:name w:val="索引 11"/>
    <w:basedOn w:val="729"/>
    <w:next w:val="729"/>
    <w:semiHidden/>
    <w:qFormat/>
    <w:pPr>
      <w:spacing w:line="240" w:lineRule="atLeast"/>
    </w:pPr>
    <w:rPr>
      <w:b/>
      <w:bCs/>
    </w:rPr>
  </w:style>
  <w:style w:type="paragraph" w:styleId="976" w:customStyle="1">
    <w:name w:val="标题11"/>
    <w:basedOn w:val="729"/>
    <w:next w:val="729"/>
    <w:link w:val="977"/>
    <w:uiPriority w:val="10"/>
    <w:qFormat/>
    <w:pPr>
      <w:jc w:val="center"/>
      <w:spacing w:before="240" w:after="60"/>
      <w:outlineLvl w:val="0"/>
    </w:pPr>
    <w:rPr>
      <w:rFonts w:ascii="Cambria" w:hAnsi="Cambria"/>
      <w:b/>
      <w:bCs/>
      <w:sz w:val="32"/>
      <w:szCs w:val="32"/>
    </w:rPr>
  </w:style>
  <w:style w:type="character" w:styleId="977" w:customStyle="1">
    <w:name w:val="标题 Char"/>
    <w:link w:val="976"/>
    <w:uiPriority w:val="10"/>
    <w:qFormat/>
    <w:rPr>
      <w:rFonts w:ascii="Cambria" w:hAnsi="Cambria" w:cs="Times New Roman"/>
      <w:b/>
      <w:bCs/>
      <w:sz w:val="32"/>
      <w:szCs w:val="32"/>
    </w:rPr>
  </w:style>
  <w:style w:type="paragraph" w:styleId="978" w:customStyle="1">
    <w:name w:val="批注主题1"/>
    <w:basedOn w:val="937"/>
    <w:next w:val="937"/>
    <w:link w:val="979"/>
    <w:semiHidden/>
    <w:qFormat/>
    <w:rPr>
      <w:b/>
      <w:bCs/>
    </w:rPr>
  </w:style>
  <w:style w:type="character" w:styleId="979" w:customStyle="1">
    <w:name w:val="批注主题 Char"/>
    <w:link w:val="978"/>
    <w:semiHidden/>
    <w:qFormat/>
    <w:rPr>
      <w:rFonts w:ascii="Times New Roman" w:hAnsi="Times New Roman" w:eastAsia="宋体" w:cs="Times New Roman"/>
      <w:b/>
      <w:bCs/>
      <w:szCs w:val="21"/>
    </w:rPr>
  </w:style>
  <w:style w:type="paragraph" w:styleId="980" w:customStyle="1">
    <w:name w:val="正文首行缩进1"/>
    <w:basedOn w:val="729"/>
    <w:link w:val="981"/>
    <w:qFormat/>
    <w:pPr>
      <w:ind w:firstLine="200"/>
      <w:spacing w:line="360" w:lineRule="auto"/>
    </w:pPr>
    <w:rPr>
      <w:rFonts w:ascii="仿宋_GB2312" w:eastAsia="仿宋_GB2312"/>
      <w:sz w:val="30"/>
      <w:szCs w:val="30"/>
    </w:rPr>
  </w:style>
  <w:style w:type="character" w:styleId="981" w:customStyle="1">
    <w:name w:val="正文首行缩进 Char"/>
    <w:link w:val="980"/>
    <w:qFormat/>
    <w:rPr>
      <w:rFonts w:ascii="仿宋_GB2312" w:hAnsi="Times New Roman" w:eastAsia="仿宋_GB2312" w:cs="Times New Roman"/>
      <w:sz w:val="30"/>
      <w:szCs w:val="30"/>
    </w:rPr>
  </w:style>
  <w:style w:type="paragraph" w:styleId="982" w:customStyle="1">
    <w:name w:val="正文首行缩进 21"/>
    <w:basedOn w:val="943"/>
    <w:next w:val="729"/>
    <w:link w:val="983"/>
    <w:qFormat/>
    <w:pPr>
      <w:ind w:firstLine="420"/>
      <w:spacing w:line="360" w:lineRule="auto"/>
    </w:pPr>
    <w:rPr>
      <w:rFonts w:ascii="宋体" w:hAnsi="宋体" w:eastAsia="宋体"/>
      <w:sz w:val="21"/>
      <w:szCs w:val="20"/>
    </w:rPr>
  </w:style>
  <w:style w:type="character" w:styleId="983" w:customStyle="1">
    <w:name w:val="正文首行缩进 2 Char"/>
    <w:link w:val="982"/>
    <w:qFormat/>
    <w:rPr>
      <w:rFonts w:ascii="宋体" w:hAnsi="宋体" w:eastAsia="宋体" w:cs="Times New Roman"/>
      <w:sz w:val="32"/>
      <w:szCs w:val="20"/>
    </w:rPr>
  </w:style>
  <w:style w:type="table" w:styleId="984" w:customStyle="1">
    <w:name w:val="网格型1"/>
    <w:basedOn w:val="922"/>
    <w:qFormat/>
    <w:pPr>
      <w:jc w:val="both"/>
      <w:widowControl w:val="off"/>
    </w:pPr>
    <w:rPr>
      <w:rFonts w:ascii="Times New Roman" w:hAnsi="Times New Roman"/>
    </w:rPr>
    <w:tblPr>
      <w:tblCellMar>
        <w:left w:w="0" w:type="dxa"/>
        <w:top w:w="0" w:type="dxa"/>
        <w:right w:w="0" w:type="dxa"/>
        <w:bottom w:w="0" w:type="dxa"/>
      </w:tblCellMar>
    </w:tblPr>
  </w:style>
  <w:style w:type="character" w:styleId="985" w:customStyle="1">
    <w:name w:val="要点1"/>
    <w:qFormat/>
    <w:rPr>
      <w:b/>
      <w:bCs/>
    </w:rPr>
  </w:style>
  <w:style w:type="character" w:styleId="986" w:customStyle="1">
    <w:name w:val="页码1"/>
    <w:qFormat/>
  </w:style>
  <w:style w:type="character" w:styleId="987" w:customStyle="1">
    <w:name w:val="访问过的超链接1"/>
    <w:qFormat/>
    <w:rPr>
      <w:color w:val="800080"/>
      <w:u w:val="single"/>
    </w:rPr>
  </w:style>
  <w:style w:type="character" w:styleId="988" w:customStyle="1">
    <w:name w:val="超链接1"/>
    <w:qFormat/>
    <w:rPr>
      <w:color w:val="0000ff"/>
      <w:u w:val="single"/>
    </w:rPr>
  </w:style>
  <w:style w:type="character" w:styleId="989" w:customStyle="1">
    <w:name w:val="批注引用1"/>
    <w:qFormat/>
    <w:rPr>
      <w:sz w:val="21"/>
      <w:szCs w:val="21"/>
    </w:rPr>
  </w:style>
  <w:style w:type="character" w:styleId="990" w:customStyle="1">
    <w:name w:val="font5 Char"/>
    <w:qFormat/>
    <w:rPr>
      <w:rFonts w:ascii="宋体" w:hAnsi="宋体" w:eastAsia="宋体"/>
      <w:sz w:val="28"/>
      <w:szCs w:val="28"/>
      <w:lang w:val="en-US" w:eastAsia="zh-CN" w:bidi="ar-SA"/>
    </w:rPr>
  </w:style>
  <w:style w:type="character" w:styleId="991" w:customStyle="1">
    <w:name w:val="二级目录 Char"/>
    <w:link w:val="992"/>
    <w:qFormat/>
    <w:rPr>
      <w:b/>
      <w:sz w:val="30"/>
      <w:szCs w:val="28"/>
    </w:rPr>
  </w:style>
  <w:style w:type="paragraph" w:styleId="992" w:customStyle="1">
    <w:name w:val="二级目录"/>
    <w:next w:val="729"/>
    <w:link w:val="991"/>
    <w:qFormat/>
    <w:pPr>
      <w:ind w:left="907" w:hanging="907"/>
      <w:tabs>
        <w:tab w:val="left" w:pos="907" w:leader="none"/>
        <w:tab w:val="left" w:pos="1145" w:leader="none"/>
      </w:tabs>
      <w:outlineLvl w:val="1"/>
    </w:pPr>
    <w:rPr>
      <w:b/>
      <w:sz w:val="30"/>
      <w:szCs w:val="28"/>
    </w:rPr>
  </w:style>
  <w:style w:type="character" w:styleId="993" w:customStyle="1">
    <w:name w:val="列出段落 Char"/>
    <w:link w:val="994"/>
    <w:qFormat/>
    <w:rPr>
      <w:rFonts w:ascii="Calibri" w:hAnsi="Calibri"/>
      <w:sz w:val="24"/>
      <w:szCs w:val="24"/>
      <w:lang w:eastAsia="en-US" w:bidi="en-US"/>
    </w:rPr>
  </w:style>
  <w:style w:type="paragraph" w:styleId="994" w:customStyle="1">
    <w:name w:val="列出段落1"/>
    <w:basedOn w:val="729"/>
    <w:link w:val="993"/>
    <w:qFormat/>
    <w:pPr>
      <w:contextualSpacing/>
      <w:ind w:left="720"/>
      <w:jc w:val="left"/>
      <w:widowControl/>
    </w:pPr>
    <w:rPr>
      <w:rFonts w:ascii="Calibri" w:hAnsi="Calibri"/>
      <w:sz w:val="24"/>
      <w:szCs w:val="24"/>
      <w:lang w:eastAsia="en-US" w:bidi="en-US"/>
    </w:rPr>
  </w:style>
  <w:style w:type="paragraph" w:styleId="995" w:customStyle="1">
    <w:name w:val="Body Text(ch)"/>
    <w:basedOn w:val="729"/>
    <w:next w:val="941"/>
    <w:qFormat/>
    <w:pPr>
      <w:spacing w:after="120"/>
    </w:pPr>
    <w:rPr>
      <w:rFonts w:ascii="宋体" w:hAnsi="Arial"/>
      <w:bCs/>
      <w:iCs/>
      <w:szCs w:val="24"/>
    </w:rPr>
  </w:style>
  <w:style w:type="paragraph" w:styleId="996" w:customStyle="1">
    <w:name w:val="xl27"/>
    <w:basedOn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customStyle="1">
    <w:name w:val="xl26"/>
    <w:basedOn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8" w:customStyle="1">
    <w:name w:val="Char"/>
    <w:basedOn w:val="729"/>
    <w:qFormat/>
    <w:pPr>
      <w:ind w:firstLine="200"/>
      <w:tabs>
        <w:tab w:val="left" w:pos="360" w:leader="none"/>
      </w:tabs>
    </w:pPr>
    <w:rPr>
      <w:sz w:val="28"/>
      <w:szCs w:val="30"/>
    </w:rPr>
  </w:style>
  <w:style w:type="paragraph" w:styleId="999" w:customStyle="1">
    <w:name w:val="Char1"/>
    <w:basedOn w:val="935"/>
    <w:qFormat/>
    <w:rPr>
      <w:rFonts w:ascii="Tahoma" w:hAnsi="Tahoma"/>
      <w:sz w:val="24"/>
      <w:szCs w:val="24"/>
    </w:rPr>
  </w:style>
  <w:style w:type="paragraph" w:styleId="1000" w:customStyle="1">
    <w:name w:val="普通正文"/>
    <w:basedOn w:val="729"/>
    <w:qFormat/>
    <w:pPr>
      <w:ind w:firstLine="480"/>
      <w:jc w:val="left"/>
      <w:spacing w:before="120" w:after="120" w:line="360" w:lineRule="auto"/>
    </w:pPr>
    <w:rPr>
      <w:rFonts w:ascii="Arial" w:hAnsi="Arial"/>
      <w:sz w:val="24"/>
      <w:szCs w:val="24"/>
    </w:rPr>
  </w:style>
  <w:style w:type="paragraph" w:styleId="1001" w:customStyle="1">
    <w:name w:val="table_lines"/>
    <w:basedOn w:val="729"/>
    <w:qFormat/>
    <w:pPr>
      <w:jc w:val="left"/>
      <w:widowControl/>
    </w:pPr>
    <w:rPr>
      <w:sz w:val="20"/>
      <w:szCs w:val="20"/>
      <w:lang w:val="de-DE" w:eastAsia="de-DE"/>
    </w:rPr>
  </w:style>
  <w:style w:type="paragraph" w:styleId="1002" w:customStyle="1">
    <w:name w:val="附录1"/>
    <w:qFormat/>
    <w:pPr>
      <w:numPr>
        <w:numId w:val="2"/>
      </w:numPr>
      <w:spacing w:before="240" w:line="600" w:lineRule="atLeast"/>
    </w:pPr>
    <w:rPr>
      <w:rFonts w:ascii="Times New Roman" w:hAnsi="Times New Roman"/>
      <w:b/>
      <w:i/>
      <w:sz w:val="28"/>
    </w:rPr>
  </w:style>
  <w:style w:type="paragraph" w:styleId="1003" w:customStyle="1">
    <w:name w:val="font7"/>
    <w:basedOn w:val="729"/>
    <w:qFormat/>
    <w:pPr>
      <w:jc w:val="left"/>
      <w:spacing w:before="100" w:beforeAutospacing="1" w:after="100" w:afterAutospacing="1"/>
      <w:widowControl/>
    </w:pPr>
    <w:rPr>
      <w:rFonts w:hint="eastAsia" w:ascii="宋体" w:hAnsi="宋体"/>
      <w:sz w:val="18"/>
      <w:szCs w:val="18"/>
    </w:rPr>
  </w:style>
  <w:style w:type="paragraph" w:styleId="1004" w:customStyle="1">
    <w:name w:val="Char Char Char Char"/>
    <w:basedOn w:val="935"/>
    <w:qFormat/>
    <w:pPr>
      <w:spacing w:line="360" w:lineRule="auto"/>
    </w:pPr>
    <w:rPr>
      <w:rFonts w:ascii="Tahoma" w:hAnsi="Tahoma"/>
      <w:sz w:val="24"/>
      <w:szCs w:val="24"/>
    </w:rPr>
  </w:style>
  <w:style w:type="paragraph" w:styleId="1005" w:customStyle="1">
    <w:name w:val="列出段落2"/>
    <w:basedOn w:val="729"/>
    <w:link w:val="1006"/>
    <w:uiPriority w:val="34"/>
    <w:qFormat/>
    <w:pPr>
      <w:contextualSpacing/>
      <w:ind w:left="720"/>
      <w:jc w:val="left"/>
      <w:widowControl/>
    </w:pPr>
    <w:rPr>
      <w:rFonts w:ascii="Calibri" w:hAnsi="Calibri"/>
      <w:sz w:val="24"/>
      <w:szCs w:val="24"/>
      <w:lang w:eastAsia="en-US" w:bidi="en-US"/>
    </w:rPr>
  </w:style>
  <w:style w:type="character" w:styleId="1006" w:customStyle="1">
    <w:name w:val="列出段落 Char1"/>
    <w:link w:val="1005"/>
    <w:uiPriority w:val="34"/>
    <w:qFormat/>
    <w:rPr>
      <w:sz w:val="24"/>
      <w:szCs w:val="24"/>
      <w:lang w:eastAsia="en-US" w:bidi="en-US"/>
    </w:rPr>
  </w:style>
  <w:style w:type="paragraph" w:styleId="1007" w:customStyle="1">
    <w:name w:val="4"/>
    <w:basedOn w:val="729"/>
    <w:next w:val="967"/>
    <w:qFormat/>
    <w:pPr>
      <w:ind w:firstLine="420"/>
      <w:spacing w:line="360" w:lineRule="auto"/>
    </w:pPr>
    <w:rPr>
      <w:color w:val="ff0000"/>
      <w:sz w:val="24"/>
      <w:szCs w:val="24"/>
    </w:rPr>
  </w:style>
  <w:style w:type="paragraph" w:styleId="1008" w:customStyle="1">
    <w:name w:val="普通 (Web)"/>
    <w:basedOn w:val="729"/>
    <w:qFormat/>
    <w:pPr>
      <w:jc w:val="left"/>
      <w:spacing w:before="100" w:beforeAutospacing="1" w:after="100" w:afterAutospacing="1"/>
      <w:widowControl/>
    </w:pPr>
    <w:rPr>
      <w:rFonts w:ascii="宋体" w:hAnsi="宋体"/>
      <w:sz w:val="24"/>
      <w:szCs w:val="24"/>
    </w:rPr>
  </w:style>
  <w:style w:type="paragraph" w:styleId="1009" w:customStyle="1">
    <w:name w:val="Char Char Char Char Char Char Char Char Char Char"/>
    <w:basedOn w:val="729"/>
    <w:qFormat/>
    <w:pPr>
      <w:spacing w:line="360" w:lineRule="auto"/>
    </w:pPr>
    <w:rPr>
      <w:sz w:val="24"/>
      <w:szCs w:val="20"/>
    </w:rPr>
  </w:style>
  <w:style w:type="paragraph" w:styleId="1010" w:customStyle="1">
    <w:name w:val="样式1"/>
    <w:basedOn w:val="729"/>
    <w:qFormat/>
    <w:pPr>
      <w:numPr>
        <w:numId w:val="3"/>
      </w:numPr>
    </w:pPr>
    <w:rPr>
      <w:rFonts w:ascii="宋体" w:hAnsi="宋体"/>
    </w:rPr>
  </w:style>
  <w:style w:type="paragraph" w:styleId="1011" w:customStyle="1">
    <w:name w:val="font6"/>
    <w:basedOn w:val="729"/>
    <w:qFormat/>
    <w:pPr>
      <w:jc w:val="left"/>
      <w:spacing w:before="100" w:beforeAutospacing="1" w:after="100" w:afterAutospacing="1"/>
      <w:widowControl/>
    </w:pPr>
    <w:rPr>
      <w:rFonts w:hint="eastAsia" w:ascii="宋体" w:hAnsi="宋体"/>
      <w:sz w:val="28"/>
      <w:szCs w:val="28"/>
      <w:u w:val="single"/>
    </w:rPr>
  </w:style>
  <w:style w:type="paragraph" w:styleId="1012" w:customStyle="1">
    <w:name w:val="xl25"/>
    <w:basedOn w:val="72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customStyle="1">
    <w:name w:val="图标"/>
    <w:basedOn w:val="729"/>
    <w:next w:val="72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4" w:customStyle="1">
    <w:name w:val="标题3"/>
    <w:basedOn w:val="729"/>
    <w:next w:val="729"/>
    <w:qFormat/>
    <w:pPr>
      <w:ind w:firstLine="624"/>
      <w:spacing w:line="590" w:lineRule="atLeast"/>
    </w:pPr>
    <w:rPr>
      <w:rFonts w:ascii="方正黑体_GBK" w:eastAsia="方正黑体_GBK"/>
      <w:sz w:val="32"/>
      <w:szCs w:val="32"/>
    </w:rPr>
  </w:style>
  <w:style w:type="paragraph" w:styleId="1015" w:customStyle="1">
    <w:name w:val="xl24"/>
    <w:basedOn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customStyle="1">
    <w:name w:val="xl29"/>
    <w:basedOn w:val="72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7" w:customStyle="1">
    <w:name w:val="Char Char Char Char Char Char Char Char"/>
    <w:basedOn w:val="729"/>
    <w:qFormat/>
    <w:pPr>
      <w:jc w:val="left"/>
      <w:spacing w:after="160" w:line="240" w:lineRule="exact"/>
      <w:widowControl/>
    </w:pPr>
    <w:rPr>
      <w:rFonts w:ascii="Verdana" w:hAnsi="Verdana"/>
      <w:sz w:val="20"/>
      <w:szCs w:val="20"/>
      <w:lang w:eastAsia="en-US"/>
    </w:rPr>
  </w:style>
  <w:style w:type="paragraph" w:styleId="1018" w:customStyle="1">
    <w:name w:val="xl28"/>
    <w:basedOn w:val="72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9" w:customStyle="1">
    <w:name w:val="Char Char Char Char Char Char Char Char1"/>
    <w:basedOn w:val="729"/>
    <w:qFormat/>
    <w:pPr>
      <w:jc w:val="left"/>
      <w:spacing w:after="160" w:line="240" w:lineRule="exact"/>
      <w:widowControl/>
    </w:pPr>
    <w:rPr>
      <w:rFonts w:ascii="Verdana" w:hAnsi="Verdana"/>
      <w:sz w:val="20"/>
      <w:szCs w:val="20"/>
      <w:lang w:eastAsia="en-US"/>
    </w:rPr>
  </w:style>
  <w:style w:type="paragraph" w:styleId="1020" w:customStyle="1">
    <w:name w:val="xl30"/>
    <w:basedOn w:val="729"/>
    <w:qFormat/>
    <w:pPr>
      <w:jc w:val="center"/>
      <w:spacing w:before="100" w:beforeAutospacing="1" w:after="100" w:afterAutospacing="1"/>
      <w:widowControl/>
    </w:pPr>
    <w:rPr>
      <w:rFonts w:ascii="宋体" w:hAnsi="宋体"/>
      <w:b/>
      <w:bCs/>
      <w:sz w:val="36"/>
      <w:szCs w:val="36"/>
    </w:rPr>
  </w:style>
  <w:style w:type="paragraph" w:styleId="1021" w:customStyle="1">
    <w:name w:val="Char Char Char Char1"/>
    <w:basedOn w:val="935"/>
    <w:qFormat/>
    <w:pPr>
      <w:spacing w:line="360" w:lineRule="auto"/>
    </w:pPr>
    <w:rPr>
      <w:rFonts w:ascii="Tahoma" w:hAnsi="Tahoma"/>
      <w:sz w:val="24"/>
      <w:szCs w:val="24"/>
    </w:rPr>
  </w:style>
  <w:style w:type="paragraph" w:styleId="1022" w:customStyle="1">
    <w:name w:val="table_1stline"/>
    <w:basedOn w:val="729"/>
    <w:qFormat/>
    <w:pPr>
      <w:jc w:val="left"/>
      <w:spacing w:before="120"/>
      <w:widowControl/>
    </w:pPr>
    <w:rPr>
      <w:bCs/>
      <w:sz w:val="20"/>
      <w:szCs w:val="20"/>
      <w:lang w:val="de-DE" w:eastAsia="de-DE"/>
    </w:rPr>
  </w:style>
  <w:style w:type="paragraph" w:styleId="1023" w:customStyle="1">
    <w:name w:val="font5"/>
    <w:basedOn w:val="729"/>
    <w:qFormat/>
    <w:pPr>
      <w:jc w:val="left"/>
      <w:spacing w:before="100" w:beforeAutospacing="1" w:after="100" w:afterAutospacing="1"/>
      <w:widowControl/>
    </w:pPr>
    <w:rPr>
      <w:rFonts w:hint="eastAsia" w:ascii="宋体" w:hAnsi="宋体"/>
      <w:sz w:val="28"/>
      <w:szCs w:val="28"/>
    </w:rPr>
  </w:style>
  <w:style w:type="paragraph" w:styleId="1024" w:customStyle="1">
    <w:name w:val="标题1"/>
    <w:basedOn w:val="729"/>
    <w:next w:val="72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5" w:customStyle="1">
    <w:name w:val="修订1"/>
    <w:uiPriority w:val="99"/>
    <w:semiHidden/>
    <w:qFormat/>
    <w:rPr>
      <w:rFonts w:ascii="Times New Roman" w:hAnsi="Times New Roman"/>
      <w:sz w:val="21"/>
      <w:szCs w:val="21"/>
    </w:rPr>
  </w:style>
  <w:style w:type="paragraph" w:styleId="1026" w:customStyle="1">
    <w:name w:val="无间隔1"/>
    <w:uiPriority w:val="99"/>
    <w:qFormat/>
    <w:pPr>
      <w:jc w:val="both"/>
      <w:widowControl w:val="off"/>
    </w:pPr>
    <w:rPr>
      <w:rFonts w:ascii="Times New Roman" w:hAnsi="Times New Roman"/>
      <w:sz w:val="21"/>
      <w:szCs w:val="21"/>
    </w:rPr>
  </w:style>
  <w:style w:type="paragraph" w:styleId="1027" w:customStyle="1">
    <w:name w:val="普通(网站)1"/>
    <w:basedOn w:val="729"/>
    <w:uiPriority w:val="99"/>
    <w:unhideWhenUsed/>
    <w:qFormat/>
    <w:pPr>
      <w:jc w:val="left"/>
      <w:spacing w:before="100" w:beforeAutospacing="1" w:after="100" w:afterAutospacing="1"/>
      <w:widowControl/>
    </w:pPr>
    <w:rPr>
      <w:rFonts w:ascii="宋体" w:hAnsi="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9</cp:revision>
  <dcterms:created xsi:type="dcterms:W3CDTF">2024-07-29T06:57:00Z</dcterms:created>
  <dcterms:modified xsi:type="dcterms:W3CDTF">2026-01-16T07:08:09Z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CC32FE7115EA490EAD20844B631959E9_13</vt:lpwstr>
  </property>
  <property fmtid="{D5CDD505-2E9C-101B-9397-08002B2CF9AE}" pid="4" name="KSOTemplateDocerSaveRecord">
    <vt:lpwstr>eyJoZGlkIjoiOTAxYTBiNjkwYWQ4Njk5YzJkYmQxZWI3NjgwZDMwMjIiLCJ1c2VySWQiOiIyMTkyOTE1NDcifQ==</vt:lpwstr>
  </property>
</Properties>
</file>