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90"/>
        <w:rPr>
          <w:rFonts w:hint="eastAsia"/>
        </w:rPr>
      </w:pPr>
      <w:r>
        <w:rPr>
          <w:rFonts w:hint="eastAsia"/>
        </w:rPr>
      </w:r>
      <w:r/>
    </w:p>
    <w:p>
      <w:pPr>
        <w:pStyle w:val="1010"/>
        <w:jc w:val="center"/>
        <w:rPr>
          <w:rFonts w:eastAsia="黑体"/>
          <w:b/>
          <w:bCs/>
          <w:color w:val="000000"/>
          <w:sz w:val="84"/>
        </w:rPr>
      </w:pPr>
      <w:r>
        <w:rPr>
          <w:rFonts w:hint="eastAsia" w:eastAsia="黑体"/>
          <w:b/>
          <w:bCs/>
          <w:color w:val="000000"/>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江宁区麒麟科创园学校等校教学设备 </w:t>
      </w:r>
      <w:r/>
    </w:p>
    <w:p>
      <w:pPr>
        <w:ind w:firstLine="1506"/>
        <w:rPr>
          <w:rFonts w:hint="eastAsia"/>
          <w:b/>
          <w:color w:val="ff0000"/>
          <w:sz w:val="30"/>
          <w:szCs w:val="30"/>
          <w:highlight w:val="none"/>
          <w:lang w:val="en-US" w:eastAsia="zh-CN"/>
        </w:rPr>
      </w:pPr>
      <w:r>
        <w:rPr>
          <w:rFonts w:hint="eastAsia"/>
          <w:b/>
          <w:sz w:val="30"/>
          <w:szCs w:val="30"/>
        </w:rPr>
        <w:t xml:space="preserve">项目编号：</w:t>
      </w:r>
      <w:r>
        <w:rPr>
          <w:rFonts w:hint="eastAsia"/>
          <w:b/>
          <w:sz w:val="32"/>
          <w:szCs w:val="32"/>
          <w:highlight w:val="none"/>
          <w:lang w:val="en-US" w:eastAsia="zh-CN"/>
        </w:rPr>
        <w:t xml:space="preserve">JSZC-320115-JZCG-G2026-0001  </w:t>
      </w:r>
      <w:r>
        <w:rPr>
          <w:rFonts w:hint="eastAsia"/>
          <w:b/>
          <w:color w:val="ff0000"/>
          <w:sz w:val="30"/>
          <w:szCs w:val="30"/>
          <w:highlight w:val="none"/>
        </w:rPr>
        <w:t xml:space="preserve">  </w:t>
      </w:r>
      <w:r>
        <w:rPr>
          <w:rFonts w:hint="eastAsia"/>
          <w:b/>
          <w:color w:val="ff0000"/>
          <w:sz w:val="30"/>
          <w:szCs w:val="30"/>
          <w:highlight w:val="none"/>
          <w:lang w:val="en-US" w:eastAsia="zh-CN"/>
        </w:rPr>
        <w:t xml:space="preserve">  </w:t>
      </w:r>
      <w:r/>
    </w:p>
    <w:p>
      <w:pPr>
        <w:ind w:firstLine="1506"/>
        <w:rPr>
          <w:rFonts w:hint="eastAsia"/>
          <w:b/>
          <w:color w:val="ff0000"/>
          <w:sz w:val="30"/>
          <w:szCs w:val="30"/>
          <w:highlight w:val="yellow"/>
        </w:rPr>
      </w:pPr>
      <w:r>
        <w:rPr>
          <w:rFonts w:hint="eastAsia"/>
          <w:b/>
          <w:color w:val="ff0000"/>
          <w:sz w:val="30"/>
          <w:szCs w:val="30"/>
          <w:highlight w:val="none"/>
          <w:lang w:val="en-US" w:eastAsia="zh-CN"/>
        </w:rPr>
        <w:t xml:space="preserve">               </w:t>
      </w:r>
      <w:r>
        <w:rPr>
          <w:rFonts w:hint="eastAsia"/>
          <w:b/>
          <w:color w:val="ff0000"/>
          <w:sz w:val="30"/>
          <w:szCs w:val="30"/>
          <w:highlight w:val="none"/>
        </w:rPr>
        <w:t xml:space="preserve">      </w:t>
      </w:r>
      <w:r/>
    </w:p>
    <w:p>
      <w:pPr>
        <w:jc w:val="center"/>
        <w:rPr>
          <w:rFonts w:hint="eastAsia"/>
          <w:b/>
          <w:sz w:val="30"/>
          <w:szCs w:val="30"/>
        </w:rPr>
      </w:pPr>
      <w:r>
        <w:rPr>
          <w:rFonts w:hint="eastAsia"/>
          <w:b/>
          <w:sz w:val="30"/>
          <w:szCs w:val="30"/>
        </w:rPr>
        <w:t xml:space="preserve">（非专门面向中小企业）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0"/>
        <w:ind w:firstLine="0"/>
        <w:jc w:val="center"/>
        <w:rPr>
          <w:rFonts w:hint="eastAsia"/>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w:t>
      </w:r>
      <w:r>
        <w:rPr>
          <w:rFonts w:hint="eastAsia" w:ascii="Arial" w:hAnsi="Arial"/>
          <w:b/>
          <w:bCs/>
          <w:sz w:val="32"/>
          <w:szCs w:val="24"/>
          <w:lang w:val="en-US" w:eastAsia="zh-CN"/>
        </w:rPr>
        <w:t xml:space="preserve">6</w:t>
      </w:r>
      <w:r>
        <w:rPr>
          <w:rFonts w:hint="eastAsia" w:ascii="Arial" w:hAnsi="Arial"/>
          <w:b/>
          <w:bCs/>
          <w:sz w:val="32"/>
          <w:szCs w:val="24"/>
        </w:rPr>
        <w:t xml:space="preserve">年</w:t>
      </w:r>
      <w:r>
        <w:rPr>
          <w:rFonts w:hint="eastAsia" w:ascii="Arial" w:hAnsi="Arial"/>
          <w:b/>
          <w:bCs/>
          <w:sz w:val="32"/>
          <w:szCs w:val="24"/>
          <w:highlight w:val="none"/>
          <w:lang w:val="en-US" w:eastAsia="zh-CN"/>
        </w:rPr>
        <w:t xml:space="preserve">01</w:t>
      </w:r>
      <w:r>
        <w:rPr>
          <w:rFonts w:hint="eastAsia" w:ascii="Arial" w:hAnsi="Arial"/>
          <w:b/>
          <w:bCs/>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spacing w:line="480" w:lineRule="exact"/>
        <w:rPr>
          <w:rFonts w:hint="eastAsia" w:ascii="宋体" w:hAnsi="宋体" w:cs="宋体"/>
          <w:b/>
          <w:bCs/>
          <w:color w:val="000000"/>
          <w:sz w:val="24"/>
          <w:szCs w:val="24"/>
        </w:rPr>
        <w:outlineLvl w:val="0"/>
      </w:pPr>
      <w:r>
        <w:rPr>
          <w:rFonts w:hint="eastAsia" w:ascii="宋体" w:hAnsi="宋体" w:cs="宋体"/>
          <w:b/>
          <w:bCs/>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投标邀请…………………………………… </w:t>
      </w:r>
      <w:r/>
    </w:p>
    <w:p>
      <w:pPr>
        <w:numPr>
          <w:ilvl w:val="0"/>
          <w:numId w:val="4"/>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投标人须知…………………………………  </w:t>
      </w:r>
      <w:r/>
    </w:p>
    <w:p>
      <w:pPr>
        <w:numPr>
          <w:ilvl w:val="0"/>
          <w:numId w:val="4"/>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4"/>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hint="eastAsia" w:ascii="宋体" w:hAnsi="宋体"/>
          <w:sz w:val="24"/>
          <w:szCs w:val="24"/>
        </w:rPr>
      </w:pPr>
      <w:r>
        <w:rPr>
          <w:rFonts w:hint="eastAsia" w:ascii="宋体" w:hAnsi="宋体"/>
          <w:sz w:val="24"/>
          <w:szCs w:val="24"/>
        </w:rPr>
      </w:r>
      <w:r/>
    </w:p>
    <w:p>
      <w:pPr>
        <w:pStyle w:val="711"/>
        <w:ind w:firstLine="480"/>
        <w:rPr>
          <w:rFonts w:ascii="宋体" w:hAnsi="宋体"/>
          <w:b w:val="0"/>
          <w:bCs w:val="0"/>
          <w:color w:val="000000"/>
          <w:sz w:val="24"/>
          <w:szCs w:val="24"/>
        </w:rPr>
      </w:pPr>
      <w:r>
        <w:rPr>
          <w:rFonts w:hint="eastAsia" w:ascii="宋体" w:hAnsi="宋体"/>
          <w:b w:val="0"/>
          <w:bCs w:val="0"/>
          <w:sz w:val="24"/>
          <w:szCs w:val="24"/>
        </w:rPr>
        <w:t xml:space="preserve">受</w:t>
      </w:r>
      <w:r>
        <w:rPr>
          <w:rFonts w:hint="eastAsia" w:ascii="宋体" w:hAnsi="宋体"/>
          <w:b w:val="0"/>
          <w:bCs w:val="0"/>
          <w:color w:val="000000"/>
          <w:sz w:val="24"/>
          <w:szCs w:val="24"/>
        </w:rPr>
        <w:t xml:space="preserve">南京市江宁区教育技术装备中心（采购单位）委托，南京市公共资源交易中心江宁分中心（以下简称“交易中心”）就江宁区麒麟科创园学校等校教学设备（项目名称）项目进行公开招标采购，欢迎符合条件的供应商投标。</w:t>
      </w:r>
      <w:r/>
    </w:p>
    <w:p>
      <w:pPr>
        <w:pStyle w:val="898"/>
        <w:ind w:firstLine="465"/>
        <w:spacing w:before="145" w:after="145" w:line="240" w:lineRule="auto"/>
        <w:rPr>
          <w:rFonts w:hint="eastAsia" w:ascii="方正黑体_GBK" w:hAnsi="方正黑体_GBK" w:eastAsia="方正黑体_GBK" w:cs="方正黑体_GBK"/>
          <w:b w:val="0"/>
          <w:bCs w:val="0"/>
          <w:sz w:val="30"/>
          <w:szCs w:val="30"/>
        </w:rPr>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
    </w:p>
    <w:p>
      <w:pPr>
        <w:ind w:firstLine="480"/>
        <w:rPr>
          <w:rFonts w:hint="eastAsia" w:ascii="宋体" w:hAnsi="宋体"/>
          <w:sz w:val="24"/>
          <w:szCs w:val="24"/>
          <w:highlight w:val="none"/>
          <w:lang w:val="en-US" w:eastAsia="zh-CN"/>
        </w:rPr>
      </w:pPr>
      <w:r>
        <w:rPr>
          <w:rFonts w:hint="eastAsia" w:ascii="宋体" w:hAnsi="宋体"/>
          <w:sz w:val="24"/>
          <w:szCs w:val="24"/>
        </w:rPr>
        <w:t xml:space="preserve">1.项目编号：</w:t>
      </w:r>
      <w:r>
        <w:rPr>
          <w:rFonts w:hint="eastAsia" w:ascii="宋体" w:hAnsi="宋体"/>
          <w:sz w:val="24"/>
          <w:szCs w:val="24"/>
          <w:highlight w:val="none"/>
          <w:lang w:val="en-US" w:eastAsia="zh-CN"/>
        </w:rPr>
        <w:t xml:space="preserve">JSZC-320115-JZCG-G2026-0001</w:t>
      </w:r>
      <w:r/>
    </w:p>
    <w:p>
      <w:pPr>
        <w:ind w:firstLine="480"/>
        <w:rPr>
          <w:rFonts w:hint="eastAsia" w:ascii="宋体" w:hAnsi="宋体"/>
          <w:color w:val="000000"/>
          <w:sz w:val="24"/>
          <w:szCs w:val="24"/>
        </w:rPr>
      </w:pPr>
      <w:r>
        <w:rPr>
          <w:rFonts w:hint="eastAsia" w:ascii="宋体" w:hAnsi="宋体"/>
          <w:sz w:val="24"/>
          <w:szCs w:val="24"/>
        </w:rPr>
        <w:t xml:space="preserve">2.项目名称：</w:t>
      </w:r>
      <w:bookmarkEnd w:id="11"/>
      <w:r>
        <w:rPr>
          <w:rFonts w:hint="eastAsia" w:ascii="宋体" w:hAnsi="宋体"/>
          <w:color w:val="000000"/>
          <w:sz w:val="24"/>
          <w:szCs w:val="24"/>
        </w:rPr>
        <w:t xml:space="preserve">江宁区麒麟科创园学校等校教学设备</w:t>
      </w:r>
      <w:r/>
    </w:p>
    <w:p>
      <w:pPr>
        <w:ind w:firstLine="480"/>
        <w:rPr>
          <w:rFonts w:hint="eastAsia" w:ascii="宋体" w:hAnsi="宋体"/>
          <w:sz w:val="24"/>
          <w:szCs w:val="24"/>
        </w:rPr>
      </w:pPr>
      <w:r>
        <w:rPr>
          <w:rFonts w:hint="eastAsia" w:ascii="宋体" w:hAnsi="宋体"/>
          <w:sz w:val="24"/>
          <w:szCs w:val="24"/>
        </w:rPr>
        <w:t xml:space="preserve">3.预算金额：</w:t>
      </w:r>
      <w:r>
        <w:rPr>
          <w:rFonts w:hint="eastAsia" w:ascii="宋体" w:hAnsi="宋体"/>
          <w:color w:val="000000"/>
          <w:sz w:val="24"/>
          <w:szCs w:val="24"/>
          <w:lang w:val="en-US" w:eastAsia="zh-CN"/>
        </w:rPr>
        <w:t xml:space="preserve">137</w:t>
      </w:r>
      <w:r>
        <w:rPr>
          <w:rFonts w:hint="eastAsia" w:ascii="宋体" w:hAnsi="宋体" w:cs="宋体"/>
          <w:sz w:val="24"/>
          <w:szCs w:val="24"/>
        </w:rPr>
        <w:t xml:space="preserve">万元</w:t>
      </w:r>
      <w:r/>
    </w:p>
    <w:p>
      <w:pPr>
        <w:ind w:firstLine="480"/>
        <w:spacing w:line="264" w:lineRule="auto"/>
        <w:rPr>
          <w:rFonts w:ascii="宋体" w:hAnsi="宋体"/>
          <w:sz w:val="24"/>
          <w:szCs w:val="24"/>
        </w:rPr>
      </w:pPr>
      <w:r>
        <w:rPr>
          <w:rFonts w:hint="eastAsia" w:ascii="宋体" w:hAnsi="宋体"/>
          <w:sz w:val="24"/>
          <w:szCs w:val="24"/>
        </w:rPr>
        <w:t xml:space="preserve">4.最高限价：本项目不设最高限价,但投标人投标报价不得超过预算金额。</w:t>
      </w:r>
      <w:r/>
    </w:p>
    <w:p>
      <w:pPr>
        <w:ind w:firstLine="480"/>
        <w:rPr>
          <w:rFonts w:ascii="宋体" w:hAnsi="宋体"/>
          <w:sz w:val="24"/>
          <w:szCs w:val="24"/>
          <w:u w:val="single"/>
        </w:rPr>
      </w:pPr>
      <w:r>
        <w:rPr>
          <w:rFonts w:hint="eastAsia" w:ascii="宋体" w:hAnsi="宋体"/>
          <w:sz w:val="24"/>
          <w:szCs w:val="24"/>
        </w:rPr>
        <w:t xml:space="preserve">5.采购需求（简介）：根据学校需求配置</w:t>
      </w:r>
      <w:r>
        <w:rPr>
          <w:rFonts w:hint="eastAsia" w:ascii="宋体" w:hAnsi="宋体" w:cs="宋体"/>
          <w:bCs/>
          <w:color w:val="000000"/>
          <w:sz w:val="24"/>
          <w:szCs w:val="24"/>
        </w:rPr>
        <w:t xml:space="preserve">智慧黑板</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w:t>
      </w:r>
      <w:r>
        <w:rPr>
          <w:rFonts w:hint="eastAsia"/>
          <w:sz w:val="24"/>
          <w:szCs w:val="24"/>
        </w:rPr>
        <w:t xml:space="preserve">智慧黑板</w:t>
      </w: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ascii="宋体" w:hAnsi="宋体" w:cs="宋体"/>
          <w:bCs/>
          <w:color w:val="000000"/>
          <w:sz w:val="24"/>
          <w:szCs w:val="24"/>
          <w:lang w:val="en-US" w:eastAsia="zh-CN"/>
        </w:rPr>
        <w:t xml:space="preserve">、双侧副板（1）、</w:t>
      </w:r>
      <w:r>
        <w:rPr>
          <w:rFonts w:hint="eastAsia"/>
          <w:sz w:val="24"/>
          <w:szCs w:val="24"/>
          <w:lang w:val="en-US" w:eastAsia="zh-CN"/>
        </w:rPr>
        <w:t xml:space="preserve">数字互联侧板</w:t>
      </w:r>
      <w:r>
        <w:rPr>
          <w:rFonts w:hint="eastAsia" w:ascii="宋体" w:hAnsi="宋体" w:cs="宋体"/>
          <w:bCs/>
          <w:color w:val="000000"/>
          <w:sz w:val="24"/>
          <w:szCs w:val="24"/>
          <w:lang w:val="en-US" w:eastAsia="zh-CN"/>
        </w:rPr>
        <w:t xml:space="preserve">、内置ops电脑（1）、</w:t>
      </w:r>
      <w:r>
        <w:rPr>
          <w:rFonts w:hint="eastAsia"/>
          <w:sz w:val="24"/>
          <w:szCs w:val="24"/>
          <w:lang w:val="en-US" w:eastAsia="zh-CN"/>
        </w:rPr>
        <w:t xml:space="preserve">内置ops电脑（2）</w:t>
      </w:r>
      <w:r>
        <w:rPr>
          <w:rFonts w:hint="eastAsia" w:ascii="宋体" w:hAnsi="宋体" w:cs="宋体"/>
          <w:bCs/>
          <w:color w:val="000000"/>
          <w:sz w:val="24"/>
          <w:szCs w:val="24"/>
          <w:lang w:val="en-US" w:eastAsia="zh-CN"/>
        </w:rPr>
        <w:t xml:space="preserve">、集控管理平台（1）、</w:t>
      </w:r>
      <w:r>
        <w:rPr>
          <w:rFonts w:hint="eastAsia"/>
          <w:sz w:val="24"/>
          <w:szCs w:val="24"/>
          <w:lang w:val="en-US" w:eastAsia="zh-CN"/>
        </w:rPr>
        <w:t xml:space="preserve">集控管理平台（2）</w:t>
      </w:r>
      <w:r>
        <w:rPr>
          <w:rFonts w:hint="eastAsia" w:ascii="宋体" w:hAnsi="宋体" w:cs="宋体"/>
          <w:bCs/>
          <w:color w:val="000000"/>
          <w:sz w:val="24"/>
          <w:szCs w:val="24"/>
          <w:lang w:val="en-US" w:eastAsia="zh-CN"/>
        </w:rPr>
        <w:t xml:space="preserve">、视频展台（1）、</w:t>
      </w:r>
      <w:r>
        <w:rPr>
          <w:rFonts w:hint="eastAsia"/>
          <w:sz w:val="24"/>
          <w:szCs w:val="24"/>
          <w:lang w:val="en-US" w:eastAsia="zh-CN"/>
        </w:rPr>
        <w:t xml:space="preserve">视频展台（2）</w:t>
      </w:r>
      <w:r>
        <w:rPr>
          <w:rFonts w:hint="eastAsia" w:ascii="宋体" w:hAnsi="宋体" w:cs="宋体"/>
          <w:bCs/>
          <w:color w:val="000000"/>
          <w:sz w:val="24"/>
          <w:szCs w:val="24"/>
          <w:lang w:val="en-US" w:eastAsia="zh-CN"/>
        </w:rPr>
        <w:t xml:space="preserve">、扩声设备、多媒体讲台</w:t>
      </w:r>
      <w:r>
        <w:rPr>
          <w:rFonts w:hint="eastAsia" w:ascii="宋体" w:hAnsi="宋体"/>
          <w:sz w:val="24"/>
          <w:szCs w:val="24"/>
        </w:rPr>
        <w:t xml:space="preserve">等教学设备，满足学校的教学需要。</w:t>
      </w:r>
      <w:r>
        <w:rPr>
          <w:rFonts w:hint="eastAsia" w:ascii="宋体" w:hAnsi="宋体" w:cs="宋体"/>
          <w:sz w:val="24"/>
          <w:szCs w:val="24"/>
        </w:rPr>
        <w:t xml:space="preserve">（详细内容见本招标文件第四章） </w:t>
      </w:r>
      <w:r/>
    </w:p>
    <w:p>
      <w:pPr>
        <w:ind w:firstLine="480"/>
        <w:rPr>
          <w:rFonts w:hint="eastAsia" w:ascii="宋体" w:hAnsi="宋体"/>
          <w:sz w:val="24"/>
          <w:szCs w:val="24"/>
          <w:highlight w:val="none"/>
        </w:rPr>
      </w:pPr>
      <w:r>
        <w:rPr>
          <w:rFonts w:hint="eastAsia" w:ascii="宋体" w:hAnsi="宋体"/>
          <w:sz w:val="24"/>
          <w:szCs w:val="24"/>
        </w:rPr>
        <w:t xml:space="preserve">6.合同履行期限：中标后3</w:t>
      </w:r>
      <w:r>
        <w:rPr>
          <w:rFonts w:hint="eastAsia" w:ascii="宋体" w:hAnsi="宋体"/>
          <w:sz w:val="24"/>
          <w:szCs w:val="24"/>
          <w:highlight w:val="none"/>
        </w:rPr>
        <w:t xml:space="preserve">0</w:t>
      </w:r>
      <w:r>
        <w:rPr>
          <w:rFonts w:hint="eastAsia" w:ascii="宋体" w:hAnsi="宋体"/>
          <w:sz w:val="24"/>
          <w:szCs w:val="24"/>
          <w:highlight w:val="none"/>
          <w:lang w:eastAsia="zh-CN"/>
        </w:rPr>
        <w:t xml:space="preserve">个</w:t>
      </w:r>
      <w:r>
        <w:rPr>
          <w:rFonts w:hint="eastAsia" w:ascii="宋体" w:hAnsi="宋体" w:cs="宋体"/>
          <w:sz w:val="24"/>
          <w:szCs w:val="24"/>
          <w:highlight w:val="none"/>
        </w:rPr>
        <w:t xml:space="preserve">日历</w:t>
      </w:r>
      <w:r>
        <w:rPr>
          <w:rFonts w:hint="eastAsia" w:ascii="宋体" w:hAnsi="宋体"/>
          <w:sz w:val="24"/>
          <w:szCs w:val="24"/>
          <w:highlight w:val="none"/>
        </w:rPr>
        <w:t xml:space="preserve">日内签订合同，合同签订后30</w:t>
      </w:r>
      <w:r>
        <w:rPr>
          <w:rFonts w:hint="eastAsia" w:ascii="宋体" w:hAnsi="宋体"/>
          <w:sz w:val="24"/>
          <w:szCs w:val="24"/>
          <w:highlight w:val="none"/>
          <w:lang w:eastAsia="zh-CN"/>
        </w:rPr>
        <w:t xml:space="preserve">个</w:t>
      </w:r>
      <w:r>
        <w:rPr>
          <w:rFonts w:hint="eastAsia" w:ascii="宋体" w:hAnsi="宋体" w:cs="宋体"/>
          <w:sz w:val="24"/>
          <w:szCs w:val="24"/>
          <w:highlight w:val="none"/>
        </w:rPr>
        <w:t xml:space="preserve">日历</w:t>
      </w:r>
      <w:r>
        <w:rPr>
          <w:rFonts w:hint="eastAsia" w:ascii="宋体" w:hAnsi="宋体"/>
          <w:sz w:val="24"/>
          <w:szCs w:val="24"/>
          <w:highlight w:val="none"/>
        </w:rPr>
        <w:t xml:space="preserve">日内交货，质保期不得低于六年（自验收报告签字确认日起开始进入质保期</w:t>
      </w:r>
      <w:r>
        <w:rPr>
          <w:rFonts w:hint="eastAsia" w:ascii="宋体" w:hAnsi="宋体"/>
          <w:sz w:val="24"/>
          <w:szCs w:val="24"/>
          <w:highlight w:val="none"/>
          <w:lang w:eastAsia="zh-CN"/>
        </w:rPr>
        <w:t xml:space="preserve">，</w:t>
      </w:r>
      <w:r>
        <w:rPr>
          <w:rFonts w:hint="eastAsia" w:ascii="宋体" w:hAnsi="宋体"/>
          <w:color w:val="auto"/>
          <w:sz w:val="24"/>
          <w:szCs w:val="24"/>
          <w:highlight w:val="none"/>
          <w:lang w:val="en-US" w:eastAsia="zh-CN"/>
        </w:rPr>
        <w:t xml:space="preserve">质保期不包含在合同履行期限中</w:t>
      </w:r>
      <w:r>
        <w:rPr>
          <w:rFonts w:hint="eastAsia" w:ascii="宋体" w:hAnsi="宋体"/>
          <w:sz w:val="24"/>
          <w:szCs w:val="24"/>
          <w:highlight w:val="none"/>
        </w:rPr>
        <w:t xml:space="preserve">）。</w:t>
      </w:r>
      <w:r/>
    </w:p>
    <w:p>
      <w:pPr>
        <w:ind w:firstLine="480"/>
        <w:spacing w:line="264" w:lineRule="auto"/>
        <w:rPr>
          <w:rFonts w:hint="eastAsia" w:ascii="宋体" w:hAnsi="宋体"/>
          <w:sz w:val="24"/>
          <w:szCs w:val="24"/>
          <w:highlight w:val="none"/>
          <w:lang w:eastAsia="zh-CN"/>
        </w:rPr>
      </w:pPr>
      <w:r/>
      <w:bookmarkStart w:id="12" w:name="_Toc28359080"/>
      <w:r/>
      <w:bookmarkStart w:id="13" w:name="_Toc38985264"/>
      <w:r/>
      <w:bookmarkStart w:id="14" w:name="_Toc28359003"/>
      <w:r/>
      <w:bookmarkStart w:id="15" w:name="_Toc35393622"/>
      <w:r/>
      <w:bookmarkStart w:id="16" w:name="_Toc35393791"/>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.本项目不接受联合</w:t>
      </w:r>
      <w:r>
        <w:rPr>
          <w:rFonts w:hint="eastAsia" w:ascii="宋体" w:hAnsi="宋体" w:cs="宋体"/>
          <w:sz w:val="24"/>
          <w:szCs w:val="24"/>
          <w:highlight w:val="none"/>
        </w:rPr>
        <w:t xml:space="preserve">体投标。</w:t>
      </w:r>
      <w:r/>
    </w:p>
    <w:p>
      <w:pPr>
        <w:ind w:firstLine="480"/>
        <w:spacing w:line="264" w:lineRule="auto"/>
        <w:rPr>
          <w:rFonts w:ascii="宋体" w:hAnsi="宋体"/>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.本项目不接受进口产品投标。</w:t>
      </w:r>
      <w:r/>
    </w:p>
    <w:p>
      <w:pPr>
        <w:pStyle w:val="89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rPr>
          <w:rFonts w:hint="eastAsia" w:ascii="宋体" w:hAnsi="宋体" w:cs="宋体"/>
          <w:sz w:val="24"/>
          <w:szCs w:val="24"/>
        </w:rPr>
      </w:pPr>
      <w:r/>
      <w:bookmarkStart w:id="17" w:name="_Toc28359081"/>
      <w:r/>
      <w:bookmarkStart w:id="18" w:name="_Toc35393792"/>
      <w:r/>
      <w:bookmarkStart w:id="19" w:name="_Toc28359004"/>
      <w:r/>
      <w:bookmarkStart w:id="20" w:name="_Toc35393623"/>
      <w:r/>
      <w:bookmarkStart w:id="21" w:name="_Toc38985265"/>
      <w:r>
        <w:rPr>
          <w:rFonts w:hint="eastAsia" w:ascii="宋体" w:hAnsi="宋体" w:cs="宋体"/>
          <w:sz w:val="24"/>
          <w:szCs w:val="24"/>
        </w:rPr>
        <w:t xml:space="preserve">（一）通用资格要求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numPr>
          <w:ilvl w:val="0"/>
          <w:numId w:val="5"/>
        </w:numPr>
        <w:ind w:firstLine="480"/>
        <w:spacing w:line="264" w:lineRule="auto"/>
        <w:rPr>
          <w:rFonts w:hint="eastAsia" w:ascii="宋体" w:hAnsi="宋体"/>
          <w:sz w:val="24"/>
          <w:szCs w:val="24"/>
        </w:rPr>
      </w:pPr>
      <w:r>
        <w:rPr>
          <w:rFonts w:hint="eastAsia" w:ascii="宋体" w:hAnsi="宋体"/>
          <w:sz w:val="24"/>
          <w:szCs w:val="24"/>
        </w:rPr>
        <w:t xml:space="preserve">落实政府采购政策需满足的资格要求：无。</w:t>
      </w:r>
      <w:r/>
    </w:p>
    <w:p>
      <w:pPr>
        <w:numPr>
          <w:ilvl w:val="0"/>
          <w:numId w:val="0"/>
        </w:numPr>
        <w:ind w:firstLine="480"/>
        <w:spacing w:line="264" w:lineRule="auto"/>
        <w:rPr>
          <w:rFonts w:hint="eastAsia" w:ascii="宋体" w:hAnsi="宋体" w:eastAsia="宋体"/>
          <w:color w:val="0000ff"/>
          <w:sz w:val="24"/>
          <w:szCs w:val="24"/>
          <w:lang w:eastAsia="zh-CN"/>
        </w:rPr>
      </w:pPr>
      <w:r>
        <w:rPr>
          <w:rFonts w:hint="eastAsia" w:ascii="宋体" w:hAnsi="宋体"/>
          <w:sz w:val="24"/>
          <w:szCs w:val="24"/>
          <w:lang w:val="en-US" w:eastAsia="zh-CN"/>
        </w:rPr>
        <w:t xml:space="preserve">2.1</w:t>
      </w:r>
      <w:r>
        <w:rPr>
          <w:rFonts w:hint="eastAsia" w:ascii="宋体" w:hAnsi="宋体"/>
          <w:sz w:val="24"/>
          <w:szCs w:val="24"/>
          <w:lang w:val="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宋体" w:hAnsi="宋体" w:eastAsia="宋体"/>
          <w:color w:val="0000ff"/>
          <w:sz w:val="24"/>
          <w:szCs w:val="24"/>
          <w:lang w:val="en-US" w:eastAsia="zh-CN"/>
        </w:rPr>
      </w:pPr>
      <w:r>
        <w:rPr>
          <w:rFonts w:hint="eastAsia" w:ascii="宋体" w:hAnsi="宋体" w:cs="宋体"/>
          <w:sz w:val="24"/>
          <w:szCs w:val="24"/>
        </w:rPr>
        <w:t xml:space="preserve">（二）本项目特定资格要求：</w:t>
      </w:r>
      <w:r>
        <w:rPr>
          <w:rFonts w:hint="eastAsia" w:ascii="宋体" w:hAnsi="宋体" w:cs="宋体"/>
          <w:sz w:val="24"/>
          <w:szCs w:val="24"/>
          <w:lang w:val="zh-CN"/>
        </w:rPr>
        <w:t xml:space="preserve">无</w:t>
      </w:r>
      <w:r/>
    </w:p>
    <w:p>
      <w:pPr>
        <w:ind w:firstLine="480"/>
        <w:spacing w:line="264" w:lineRule="auto"/>
        <w:rPr>
          <w:rFonts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ind w:firstLine="480"/>
        <w:rPr>
          <w:rFonts w:hint="eastAsia" w:ascii="宋体" w:hAnsi="宋体"/>
          <w:color w:val="0000ff"/>
          <w:sz w:val="24"/>
          <w:szCs w:val="24"/>
        </w:rPr>
      </w:pPr>
      <w:r>
        <w:rPr>
          <w:rFonts w:hint="eastAsia" w:ascii="宋体" w:hAnsi="宋体"/>
          <w:color w:val="0000ff"/>
          <w:sz w:val="24"/>
          <w:szCs w:val="24"/>
        </w:rPr>
      </w:r>
      <w:r/>
    </w:p>
    <w:p>
      <w:pPr>
        <w:pStyle w:val="89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9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rPr>
          <w:rFonts w:hint="eastAsia" w:ascii="宋体" w:hAnsi="宋体"/>
          <w:bCs/>
          <w:sz w:val="24"/>
          <w:szCs w:val="24"/>
          <w:u w:val="single"/>
        </w:rPr>
      </w:pPr>
      <w:r>
        <w:rPr>
          <w:rFonts w:hint="eastAsia" w:ascii="宋体" w:hAnsi="宋体" w:cs="宋体"/>
          <w:sz w:val="24"/>
          <w:szCs w:val="24"/>
        </w:rPr>
        <w:t xml:space="preserve">1.提交投标文件截止时间、开标</w:t>
      </w:r>
      <w:r>
        <w:rPr>
          <w:rFonts w:hint="eastAsia" w:ascii="宋体" w:hAnsi="宋体" w:cs="宋体"/>
          <w:color w:val="000000" w:themeColor="text1"/>
          <w:sz w:val="24"/>
          <w:szCs w:val="24"/>
          <w14:textFill>
            <w14:solidFill>
              <w14:schemeClr w14:val="tx1"/>
            </w14:solidFill>
          </w14:textFill>
        </w:rPr>
        <w:t xml:space="preserve">时间：</w:t>
      </w:r>
      <w:r>
        <w:rPr>
          <w:rFonts w:hint="eastAsia" w:ascii="宋体" w:hAnsi="宋体" w:cs="宋体"/>
          <w:bCs/>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bCs/>
          <w:color w:val="000000" w:themeColor="text1"/>
          <w:sz w:val="24"/>
          <w:szCs w:val="24"/>
          <w:highlight w:val="none"/>
          <w14:textFill>
            <w14:solidFill>
              <w14:schemeClr w14:val="tx1"/>
            </w14:solidFill>
          </w14:textFill>
        </w:rPr>
        <w:t xml:space="preserve">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00</w:t>
      </w:r>
      <w:r>
        <w:rPr>
          <w:rFonts w:hint="eastAsia" w:ascii="宋体" w:hAnsi="宋体"/>
          <w:bCs/>
          <w:color w:val="000000" w:themeColor="text1"/>
          <w:sz w:val="24"/>
          <w:szCs w:val="24"/>
          <w:highlight w:val="none"/>
          <w14:textFill>
            <w14:solidFill>
              <w14:schemeClr w14:val="tx1"/>
            </w14:solidFill>
          </w14:textFill>
        </w:rPr>
        <w:t xml:space="preserve">分（北</w:t>
      </w:r>
      <w:r>
        <w:rPr>
          <w:rFonts w:hint="eastAsia" w:ascii="宋体" w:hAnsi="宋体"/>
          <w:bCs/>
          <w:sz w:val="24"/>
          <w:szCs w:val="24"/>
          <w:highlight w:val="none"/>
        </w:rPr>
        <w:t xml:space="preserve">京时间）。</w:t>
      </w:r>
      <w:r/>
    </w:p>
    <w:p>
      <w:pPr>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98"/>
        <w:ind w:firstLine="465"/>
        <w:spacing w:before="145" w:after="145" w:line="240" w:lineRule="auto"/>
        <w:rPr>
          <w:rFonts w:hint="eastAsia" w:ascii="方正黑体_GBK" w:hAnsi="方正黑体_GBK" w:eastAsia="方正黑体_GBK" w:cs="方正黑体_GBK"/>
          <w:b w:val="0"/>
          <w:bCs w:val="0"/>
          <w:sz w:val="30"/>
          <w:szCs w:val="30"/>
        </w:rPr>
      </w:pPr>
      <w:r/>
      <w:bookmarkStart w:id="27" w:name="_Toc35393794"/>
      <w:r/>
      <w:bookmarkStart w:id="28" w:name="_Toc35393625"/>
      <w:r/>
      <w:bookmarkStart w:id="29" w:name="_Toc38985267"/>
      <w:r/>
      <w:bookmarkStart w:id="30" w:name="_Toc28359007"/>
      <w:r/>
      <w:bookmarkStart w:id="31" w:name="_Toc28359084"/>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highlight w:val="none"/>
        </w:rPr>
      </w:pPr>
      <w:r/>
      <w:bookmarkStart w:id="32" w:name="_Toc35393795"/>
      <w:r/>
      <w:bookmarkStart w:id="33" w:name="_Toc35393626"/>
      <w:r/>
      <w:bookmarkStart w:id="34" w:name="_Toc38985268"/>
      <w:r>
        <w:rPr>
          <w:rFonts w:hint="eastAsia" w:ascii="宋体" w:hAnsi="宋体" w:cs="宋体"/>
          <w:sz w:val="24"/>
          <w:szCs w:val="24"/>
          <w:highlight w:val="none"/>
        </w:rPr>
        <w:t xml:space="preserve">公告期限为自本公告发布之日起5个工作日。</w:t>
      </w:r>
      <w:r/>
    </w:p>
    <w:p>
      <w:pPr>
        <w:pStyle w:val="898"/>
        <w:ind w:firstLine="498"/>
        <w:spacing w:before="145" w:after="145" w:line="240" w:lineRule="auto"/>
        <w:rPr>
          <w:rFonts w:hint="eastAsia"/>
        </w:rPr>
      </w:pPr>
      <w:r>
        <w:rPr>
          <w:rFonts w:hint="eastAsia"/>
        </w:rPr>
        <w:t xml:space="preserve">六、其他事宜</w:t>
      </w:r>
      <w:bookmarkEnd w:id="32"/>
      <w:r/>
      <w:bookmarkEnd w:id="33"/>
      <w:r/>
      <w:bookmarkEnd w:id="34"/>
      <w:r/>
      <w:r/>
    </w:p>
    <w:p>
      <w:pPr>
        <w:ind w:firstLine="480"/>
        <w:tabs>
          <w:tab w:val="left" w:pos="900" w:leader="none"/>
        </w:tabs>
        <w:rPr>
          <w:rFonts w:hint="eastAsia" w:ascii="宋体" w:hAnsi="宋体"/>
          <w:bCs/>
          <w:sz w:val="24"/>
          <w:szCs w:val="24"/>
        </w:rPr>
      </w:pPr>
      <w:r/>
      <w:bookmarkStart w:id="35" w:name="_Toc28359008"/>
      <w:r/>
      <w:bookmarkStart w:id="36" w:name="_Toc28359085"/>
      <w:r/>
      <w:bookmarkStart w:id="37" w:name="_Toc35393627"/>
      <w:r/>
      <w:bookmarkStart w:id="38" w:name="_Toc35393796"/>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rPr>
          <w:rFonts w:hint="eastAsia" w:ascii="宋体" w:hAnsi="宋体" w:cs="宋体"/>
          <w:sz w:val="24"/>
          <w:szCs w:val="24"/>
          <w:highlight w:val="none"/>
        </w:rPr>
      </w:pPr>
      <w:r>
        <w:rPr>
          <w:rFonts w:hint="eastAsia" w:ascii="宋体" w:hAnsi="宋体"/>
          <w:sz w:val="24"/>
          <w:szCs w:val="24"/>
        </w:rPr>
        <w:t xml:space="preserve">2.</w:t>
      </w:r>
      <w:r>
        <w:rPr>
          <w:rFonts w:hint="eastAsia" w:ascii="宋体" w:hAnsi="宋体" w:cs="宋体"/>
          <w:sz w:val="24"/>
          <w:szCs w:val="24"/>
        </w:rPr>
        <w:t xml:space="preserve">本项目组织集中勘察及答疑，供应商代表携带加盖单位公章的营业执照复印件、法定代表人授权委托书、身份证参加。</w:t>
      </w:r>
      <w:r>
        <w:rPr>
          <w:rFonts w:hint="eastAsia" w:ascii="宋体" w:hAnsi="宋体" w:cs="宋体"/>
          <w:sz w:val="24"/>
          <w:szCs w:val="24"/>
          <w:highlight w:val="none"/>
        </w:rPr>
        <w:t xml:space="preserve">签到开始时间：202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bCs/>
          <w:sz w:val="24"/>
          <w:szCs w:val="24"/>
          <w:highlight w:val="none"/>
        </w:rPr>
        <w:t xml:space="preserve">时</w:t>
      </w:r>
      <w:r>
        <w:rPr>
          <w:rFonts w:hint="eastAsia"/>
          <w:bCs/>
          <w:sz w:val="24"/>
          <w:szCs w:val="24"/>
          <w:highlight w:val="none"/>
          <w:lang w:val="en-US" w:eastAsia="zh-CN"/>
        </w:rPr>
        <w:t xml:space="preserve">30</w:t>
      </w:r>
      <w:r>
        <w:rPr>
          <w:rFonts w:hint="eastAsia" w:ascii="宋体" w:hAnsi="宋体"/>
          <w:bCs/>
          <w:sz w:val="24"/>
          <w:szCs w:val="24"/>
          <w:highlight w:val="none"/>
        </w:rPr>
        <w:t xml:space="preserve">分</w:t>
      </w:r>
      <w:r>
        <w:rPr>
          <w:rFonts w:hint="eastAsia" w:ascii="宋体" w:hAnsi="宋体" w:cs="宋体"/>
          <w:sz w:val="24"/>
          <w:szCs w:val="24"/>
          <w:highlight w:val="none"/>
        </w:rPr>
        <w:t xml:space="preserve">，签到截止时间：202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10</w:t>
      </w:r>
      <w:r>
        <w:rPr>
          <w:rFonts w:hint="eastAsia"/>
          <w:bCs/>
          <w:sz w:val="24"/>
          <w:szCs w:val="24"/>
          <w:highlight w:val="none"/>
        </w:rPr>
        <w:t xml:space="preserve">时</w:t>
      </w:r>
      <w:r>
        <w:rPr>
          <w:rFonts w:hint="eastAsia"/>
          <w:bCs/>
          <w:sz w:val="24"/>
          <w:szCs w:val="24"/>
          <w:highlight w:val="none"/>
          <w:lang w:val="en-US" w:eastAsia="zh-CN"/>
        </w:rPr>
        <w:t xml:space="preserve">00</w:t>
      </w:r>
      <w:r>
        <w:rPr>
          <w:rFonts w:hint="eastAsia" w:ascii="宋体" w:hAnsi="宋体"/>
          <w:bCs/>
          <w:sz w:val="24"/>
          <w:szCs w:val="24"/>
          <w:highlight w:val="none"/>
        </w:rPr>
        <w:t xml:space="preserve">分</w:t>
      </w:r>
      <w:r>
        <w:rPr>
          <w:rFonts w:hint="eastAsia" w:ascii="宋体" w:hAnsi="宋体" w:cs="宋体"/>
          <w:sz w:val="24"/>
          <w:szCs w:val="24"/>
          <w:highlight w:val="none"/>
        </w:rPr>
        <w:t xml:space="preserve">，地址：</w:t>
      </w:r>
      <w:r>
        <w:rPr>
          <w:rFonts w:hint="eastAsia" w:ascii="宋体" w:hAnsi="宋体"/>
          <w:color w:val="000000"/>
          <w:sz w:val="24"/>
          <w:szCs w:val="24"/>
          <w:highlight w:val="none"/>
          <w:lang w:val="en-US" w:eastAsia="zh-CN"/>
        </w:rPr>
        <w:t xml:space="preserve">南京市上秦淮小学</w:t>
      </w: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王齐</w:t>
      </w:r>
      <w:r>
        <w:rPr>
          <w:rFonts w:hint="eastAsia" w:ascii="宋体" w:hAnsi="宋体" w:cs="宋体"/>
          <w:sz w:val="24"/>
          <w:szCs w:val="24"/>
          <w:highlight w:val="none"/>
        </w:rPr>
        <w:t xml:space="preserve">，联系电话：15195960138</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bCs/>
          <w:color w:val="auto"/>
          <w:sz w:val="24"/>
          <w:highlight w:val="none"/>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highlight w:val="none"/>
          <w:lang w:val="en-US" w:eastAsia="zh-CN"/>
        </w:rPr>
        <w:t xml:space="preserve">招标项目资格审查结果</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bCs/>
          <w:color w:val="auto"/>
          <w:sz w:val="24"/>
          <w:highlight w:val="none"/>
          <w:lang w:val="en-US" w:eastAsia="zh-CN"/>
        </w:rPr>
        <w:t xml:space="preserve">供应商对上述事项以外</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质疑向交易中心提出，由交易中心负责答复。</w:t>
      </w:r>
      <w:r/>
    </w:p>
    <w:p>
      <w:pPr>
        <w:ind w:firstLine="480"/>
        <w:spacing w:line="264" w:lineRule="auto"/>
        <w:rPr>
          <w:rFonts w:hint="eastAsia"/>
          <w:highlight w:val="none"/>
          <w:lang w:val="zh-CN"/>
        </w:rPr>
      </w:pPr>
      <w:r>
        <w:rPr>
          <w:rFonts w:hint="eastAsia" w:ascii="宋体" w:hAnsi="宋体" w:cs="宋体"/>
          <w:b/>
          <w:bCs/>
          <w:sz w:val="24"/>
          <w:szCs w:val="24"/>
          <w:highlight w:val="none"/>
        </w:rPr>
        <w:t xml:space="preserve">供应商提出质疑函应提交《质疑函》原件，且尽可能通过邮寄方式送达，交易中心和采购人不接受无运单快件。</w:t>
      </w:r>
      <w:r/>
    </w:p>
    <w:p>
      <w:pPr>
        <w:ind w:firstLine="480"/>
        <w:spacing w:line="252" w:lineRule="auto"/>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采购人《质疑函》收件人：</w:t>
      </w:r>
      <w:r>
        <w:rPr>
          <w:rFonts w:hint="eastAsia" w:ascii="宋体" w:hAnsi="宋体"/>
          <w:color w:val="auto"/>
          <w:sz w:val="24"/>
          <w:szCs w:val="24"/>
          <w:highlight w:val="none"/>
        </w:rPr>
        <w:t xml:space="preserve">宗建丰</w:t>
      </w:r>
      <w:r>
        <w:rPr>
          <w:rFonts w:hint="eastAsia" w:ascii="宋体" w:hAnsi="宋体" w:eastAsia="宋体" w:cs="Times New Roman"/>
          <w:b w:val="0"/>
          <w:bCs w:val="0"/>
          <w:color w:val="auto"/>
          <w:sz w:val="24"/>
          <w:highlight w:val="none"/>
          <w:lang w:val="en-US" w:eastAsia="zh-CN"/>
        </w:rPr>
        <w:t xml:space="preserve">，收件地址：</w:t>
      </w:r>
      <w:r>
        <w:rPr>
          <w:rFonts w:hint="eastAsia" w:ascii="宋体" w:hAnsi="宋体"/>
          <w:color w:val="000000"/>
          <w:sz w:val="24"/>
          <w:szCs w:val="24"/>
          <w:highlight w:val="none"/>
        </w:rPr>
        <w:t xml:space="preserve">南京市江宁区东新北路16号</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highlight w:val="none"/>
          <w:lang w:val="en-US" w:eastAsia="zh-CN"/>
        </w:rPr>
        <w:t xml:space="preserve">联系电话：</w:t>
      </w:r>
      <w:r>
        <w:rPr>
          <w:rFonts w:hint="eastAsia" w:ascii="宋体" w:hAnsi="宋体"/>
          <w:color w:val="000000"/>
          <w:sz w:val="24"/>
          <w:szCs w:val="24"/>
          <w:highlight w:val="none"/>
        </w:rPr>
        <w:t xml:space="preserve">025-84930376</w:t>
      </w:r>
      <w:r>
        <w:rPr>
          <w:rFonts w:hint="eastAsia" w:ascii="宋体" w:hAnsi="宋体" w:eastAsia="宋体" w:cs="Times New Roman"/>
          <w:b w:val="0"/>
          <w:bCs w:val="0"/>
          <w:color w:val="auto"/>
          <w:sz w:val="24"/>
          <w:highlight w:val="none"/>
          <w:lang w:val="en-US" w:eastAsia="zh-CN"/>
        </w:rPr>
        <w:t xml:space="preserve">。</w:t>
      </w:r>
      <w:r/>
    </w:p>
    <w:p>
      <w:pPr>
        <w:ind w:firstLine="480"/>
        <w:keepLines w:val="0"/>
        <w:keepNext w:val="0"/>
        <w:pageBreakBefore w:val="0"/>
        <w:spacing w:line="252"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Times New Roman"/>
          <w:b w:val="0"/>
          <w:bCs w:val="0"/>
          <w:color w:val="auto"/>
          <w:sz w:val="24"/>
          <w:highlight w:val="none"/>
          <w:lang w:val="zh-CN"/>
        </w:rPr>
        <w:t xml:space="preserve">交易中心《质疑函》收件人：</w:t>
      </w:r>
      <w:r>
        <w:rPr>
          <w:rFonts w:hint="eastAsia" w:ascii="宋体" w:hAnsi="宋体"/>
          <w:sz w:val="24"/>
          <w:highlight w:val="none"/>
          <w:lang w:val="zh-CN"/>
        </w:rPr>
        <w:t xml:space="preserve">南京市公共资源交易中心江宁分中心A314业务受理科</w:t>
      </w:r>
      <w:r>
        <w:rPr>
          <w:rFonts w:hint="eastAsia" w:ascii="宋体" w:hAnsi="宋体" w:eastAsia="宋体" w:cs="Times New Roman"/>
          <w:b w:val="0"/>
          <w:bCs w:val="0"/>
          <w:color w:val="auto"/>
          <w:sz w:val="24"/>
          <w:highlight w:val="none"/>
          <w:lang w:val="zh-CN"/>
        </w:rPr>
        <w:t xml:space="preserve">，</w:t>
      </w:r>
      <w:r>
        <w:rPr>
          <w:rFonts w:hint="eastAsia" w:ascii="宋体" w:hAnsi="宋体" w:eastAsia="宋体" w:cs="Times New Roman"/>
          <w:b w:val="0"/>
          <w:bCs w:val="0"/>
          <w:color w:val="auto"/>
          <w:sz w:val="24"/>
          <w:highlight w:val="none"/>
          <w:lang w:val="en-US" w:eastAsia="zh-CN"/>
        </w:rPr>
        <w:t xml:space="preserve">收件</w:t>
      </w:r>
      <w:r>
        <w:rPr>
          <w:rFonts w:hint="eastAsia" w:ascii="宋体" w:hAnsi="宋体" w:eastAsia="宋体" w:cs="Times New Roman"/>
          <w:b w:val="0"/>
          <w:bCs w:val="0"/>
          <w:color w:val="auto"/>
          <w:sz w:val="24"/>
          <w:highlight w:val="none"/>
          <w:lang w:val="zh-CN"/>
        </w:rPr>
        <w:t xml:space="preserve">地址：</w:t>
      </w:r>
      <w:r>
        <w:rPr>
          <w:rFonts w:hint="eastAsia" w:ascii="宋体" w:hAnsi="宋体"/>
          <w:sz w:val="24"/>
          <w:highlight w:val="none"/>
          <w:lang w:val="zh-CN"/>
        </w:rPr>
        <w:t xml:space="preserve">南京市江宁区杨家圩路2号市民中心 A区3楼</w:t>
      </w:r>
      <w:r>
        <w:rPr>
          <w:rFonts w:hint="eastAsia" w:ascii="宋体" w:hAnsi="宋体" w:eastAsia="宋体" w:cs="Times New Roman"/>
          <w:b w:val="0"/>
          <w:bCs w:val="0"/>
          <w:color w:val="auto"/>
          <w:sz w:val="24"/>
          <w:highlight w:val="none"/>
          <w:lang w:val="zh-CN"/>
        </w:rPr>
        <w:t xml:space="preserve">，联系电话：</w:t>
      </w:r>
      <w:r>
        <w:rPr>
          <w:rFonts w:hint="eastAsia" w:ascii="宋体" w:hAnsi="宋体"/>
          <w:sz w:val="24"/>
          <w:highlight w:val="none"/>
          <w:lang w:val="zh-CN"/>
        </w:rPr>
        <w:t xml:space="preserve">025-69634313</w:t>
      </w:r>
      <w:r>
        <w:rPr>
          <w:rFonts w:hint="eastAsia" w:ascii="宋体" w:hAnsi="宋体" w:eastAsia="宋体" w:cs="Times New Roman"/>
          <w:b w:val="0"/>
          <w:bCs w:val="0"/>
          <w:color w:val="auto"/>
          <w:sz w:val="24"/>
          <w:highlight w:val="none"/>
          <w:lang w:val="zh-CN"/>
        </w:rPr>
        <w:t xml:space="preserve">。</w:t>
      </w:r>
      <w:r/>
    </w:p>
    <w:p>
      <w:pPr>
        <w:pStyle w:val="89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rPr>
          <w:rFonts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址：南京市江宁区东新北路16号</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联系人：宗建丰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联系电话：025-84930376</w:t>
      </w:r>
      <w:bookmarkStart w:id="40" w:name="_Toc28359086"/>
      <w:r/>
      <w:bookmarkStart w:id="41" w:name="_Toc28359009"/>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w:t>
      </w:r>
      <w:bookmarkEnd w:id="40"/>
      <w:r/>
      <w:bookmarkEnd w:id="41"/>
      <w:r>
        <w:rPr>
          <w:rFonts w:hint="eastAsia" w:ascii="宋体" w:hAnsi="宋体"/>
          <w:color w:val="000000"/>
          <w:sz w:val="24"/>
          <w:szCs w:val="24"/>
        </w:rPr>
        <w:t xml:space="preserve"> 南京市公共资源交易中心江宁分中心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hint="eastAsia"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eastAsia="zh-CN"/>
        </w:rPr>
        <w:t xml:space="preserve">黄后乐</w:t>
      </w:r>
      <w:r/>
    </w:p>
    <w:p>
      <w:pPr>
        <w:ind w:firstLine="480"/>
        <w:spacing w:line="264" w:lineRule="auto"/>
        <w:rPr>
          <w:rFonts w:hint="default" w:ascii="宋体" w:hAnsi="宋体" w:eastAsia="宋体"/>
          <w:color w:val="000000"/>
          <w:sz w:val="24"/>
          <w:szCs w:val="24"/>
          <w:lang w:val="en-US" w:eastAsia="zh-CN"/>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69613983</w:t>
      </w:r>
      <w:r/>
    </w:p>
    <w:p>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98"/>
        <w:ind w:firstLine="465"/>
        <w:spacing w:before="145" w:after="145" w:line="264" w:lineRule="auto"/>
        <w:rPr>
          <w:rFonts w:hint="eastAsia" w:ascii="方正黑体_GBK" w:hAnsi="方正黑体_GBK" w:eastAsia="方正黑体_GBK" w:cs="方正黑体_GBK"/>
          <w:b w:val="0"/>
          <w:bCs w:val="0"/>
          <w:sz w:val="30"/>
          <w:szCs w:val="30"/>
        </w:rPr>
      </w:pPr>
      <w:r/>
      <w:bookmarkStart w:id="47" w:name="_Toc16938519"/>
      <w:r/>
      <w:bookmarkStart w:id="48" w:name="_Toc120614214"/>
      <w:r/>
      <w:bookmarkStart w:id="49" w:name="_Toc513029203"/>
      <w:r/>
      <w:bookmarkStart w:id="50" w:name="_Toc20823275"/>
      <w:r/>
      <w:bookmarkStart w:id="51" w:name="_Toc479757207"/>
      <w:r/>
      <w:bookmarkStart w:id="52" w:name="_Toc120614221"/>
      <w:r/>
      <w:bookmarkStart w:id="53" w:name="_Toc16938558"/>
      <w:r/>
      <w:bookmarkStart w:id="54" w:name="_Toc513029242"/>
      <w:r/>
      <w:bookmarkStart w:id="55" w:name="_Toc20823314"/>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899"/>
        <w:ind w:firstLine="420"/>
        <w:spacing w:before="0" w:after="0" w:line="264"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spacing w:line="264"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9"/>
        <w:ind w:firstLine="420"/>
        <w:spacing w:before="0" w:after="0" w:line="264" w:lineRule="auto"/>
        <w:rPr>
          <w:rFonts w:hint="eastAsia" w:ascii="方正楷体_GBK" w:hAnsi="方正楷体_GBK" w:eastAsia="方正楷体_GBK" w:cs="方正楷体_GBK"/>
        </w:rPr>
      </w:pPr>
      <w:r/>
      <w:bookmarkStart w:id="61" w:name="_Toc513029205"/>
      <w:r/>
      <w:bookmarkStart w:id="62" w:name="_Toc20823277"/>
      <w:r/>
      <w:bookmarkStart w:id="63" w:name="_Toc16938521"/>
      <w:r>
        <w:rPr>
          <w:rFonts w:hint="eastAsia" w:ascii="方正楷体_GBK" w:hAnsi="方正楷体_GBK" w:eastAsia="方正楷体_GBK" w:cs="方正楷体_GBK"/>
        </w:rPr>
        <w:t xml:space="preserve">2.合格的投标人</w:t>
      </w:r>
      <w:bookmarkEnd w:id="61"/>
      <w:r/>
      <w:bookmarkEnd w:id="62"/>
      <w:r/>
      <w:bookmarkEnd w:id="63"/>
      <w:r/>
      <w:r/>
    </w:p>
    <w:p>
      <w:pPr>
        <w:ind w:firstLine="420"/>
        <w:spacing w:line="264" w:lineRule="auto"/>
        <w:rPr>
          <w:rFonts w:hint="eastAsia" w:ascii="宋体" w:hAnsi="宋体"/>
          <w:sz w:val="24"/>
        </w:rPr>
      </w:pPr>
      <w:r>
        <w:rPr>
          <w:rFonts w:hint="eastAsia" w:ascii="宋体" w:hAnsi="宋体"/>
          <w:sz w:val="24"/>
        </w:rPr>
        <w:t xml:space="preserve">2.1 满足招标公告对供应商的资格要求的规定。</w:t>
      </w:r>
      <w:r/>
    </w:p>
    <w:p>
      <w:pPr>
        <w:ind w:firstLine="420"/>
        <w:spacing w:line="264" w:lineRule="auto"/>
        <w:rPr>
          <w:rFonts w:hint="eastAsia" w:ascii="宋体" w:hAnsi="宋体"/>
          <w:sz w:val="24"/>
        </w:rPr>
      </w:pPr>
      <w:r>
        <w:rPr>
          <w:rFonts w:hint="eastAsia" w:ascii="宋体" w:hAnsi="宋体"/>
          <w:sz w:val="24"/>
        </w:rPr>
        <w:t xml:space="preserve">2.2 满足本文件规定的实质性要求和条件。</w:t>
      </w:r>
      <w:r/>
    </w:p>
    <w:p>
      <w:pPr>
        <w:pStyle w:val="899"/>
        <w:ind w:firstLine="420"/>
        <w:spacing w:before="0" w:after="0" w:line="264" w:lineRule="auto"/>
        <w:rPr>
          <w:rFonts w:hint="eastAsia" w:ascii="方正楷体_GBK" w:hAnsi="方正楷体_GBK" w:eastAsia="方正楷体_GBK" w:cs="方正楷体_GBK"/>
        </w:rPr>
      </w:pPr>
      <w:r/>
      <w:bookmarkStart w:id="64" w:name="_Toc16938522"/>
      <w:r/>
      <w:bookmarkStart w:id="65" w:name="_Toc20823278"/>
      <w:r/>
      <w:bookmarkStart w:id="66" w:name="_Toc513029206"/>
      <w:r>
        <w:rPr>
          <w:rFonts w:hint="eastAsia" w:ascii="方正楷体_GBK" w:hAnsi="方正楷体_GBK" w:eastAsia="方正楷体_GBK" w:cs="方正楷体_GBK"/>
        </w:rPr>
        <w:t xml:space="preserve">3.适用法律</w:t>
      </w:r>
      <w:bookmarkEnd w:id="64"/>
      <w:r/>
      <w:bookmarkEnd w:id="65"/>
      <w:r/>
      <w:bookmarkEnd w:id="66"/>
      <w:r/>
      <w:r/>
    </w:p>
    <w:p>
      <w:pPr>
        <w:ind w:firstLine="420"/>
        <w:spacing w:line="264"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99"/>
        <w:ind w:firstLine="420"/>
        <w:spacing w:before="0" w:after="0" w:line="264" w:lineRule="auto"/>
        <w:rPr>
          <w:rFonts w:hint="eastAsia" w:ascii="方正楷体_GBK" w:hAnsi="方正楷体_GBK" w:eastAsia="方正楷体_GBK" w:cs="方正楷体_GBK"/>
        </w:rPr>
      </w:pPr>
      <w:r/>
      <w:bookmarkStart w:id="67" w:name="_Toc20823279"/>
      <w:r/>
      <w:bookmarkStart w:id="68" w:name="_Toc462564067"/>
      <w:r/>
      <w:bookmarkStart w:id="69" w:name="_Toc513029207"/>
      <w:r/>
      <w:bookmarkStart w:id="70" w:name="_Toc16938523"/>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spacing w:line="264" w:lineRule="auto"/>
        <w:rPr>
          <w:rFonts w:hint="eastAsia"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p>
    <w:p>
      <w:pPr>
        <w:ind w:firstLine="420"/>
        <w:spacing w:line="264" w:lineRule="auto"/>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99"/>
        <w:ind w:firstLine="420"/>
        <w:spacing w:before="0" w:after="0" w:line="264"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spacing w:line="264" w:lineRule="auto"/>
        <w:rPr>
          <w:rFonts w:hint="eastAsia" w:ascii="宋体" w:hAnsi="宋体"/>
          <w:sz w:val="24"/>
        </w:rPr>
      </w:pPr>
      <w:r>
        <w:rPr>
          <w:rFonts w:hint="eastAsia" w:ascii="宋体" w:hAnsi="宋体"/>
          <w:sz w:val="24"/>
        </w:rPr>
        <w:t xml:space="preserve">5.1 投标人一旦参加本项目采购活动，即被认为接受了本招标文件的规定和约束。</w:t>
      </w:r>
      <w:r/>
    </w:p>
    <w:p>
      <w:pPr>
        <w:pStyle w:val="898"/>
        <w:ind w:firstLine="465"/>
        <w:spacing w:before="145" w:after="145" w:line="264" w:lineRule="auto"/>
        <w:rPr>
          <w:rFonts w:hint="eastAsia" w:ascii="方正黑体_GBK" w:hAnsi="方正黑体_GBK" w:eastAsia="方正黑体_GBK" w:cs="方正黑体_GBK"/>
          <w:b w:val="0"/>
          <w:bCs w:val="0"/>
          <w:sz w:val="30"/>
          <w:szCs w:val="30"/>
        </w:rPr>
      </w:pPr>
      <w:r/>
      <w:bookmarkStart w:id="71" w:name="_Toc20823281"/>
      <w:r/>
      <w:bookmarkStart w:id="72" w:name="_Toc16938525"/>
      <w:r/>
      <w:bookmarkStart w:id="73" w:name="_Toc513029209"/>
      <w:r/>
      <w:bookmarkStart w:id="74" w:name="_Toc120614215"/>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
    </w:p>
    <w:p>
      <w:pPr>
        <w:pStyle w:val="899"/>
        <w:ind w:firstLine="420"/>
        <w:spacing w:before="0" w:after="0" w:line="264" w:lineRule="auto"/>
        <w:rPr>
          <w:rFonts w:hint="eastAsia" w:ascii="方正楷体_GBK" w:hAnsi="方正楷体_GBK" w:eastAsia="方正楷体_GBK" w:cs="方正楷体_GBK"/>
        </w:rPr>
      </w:pPr>
      <w:r/>
      <w:bookmarkStart w:id="75" w:name="_Toc20823282"/>
      <w:r/>
      <w:bookmarkStart w:id="76" w:name="_Toc513029210"/>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
    </w:p>
    <w:p>
      <w:pPr>
        <w:ind w:firstLine="420"/>
        <w:spacing w:line="264" w:lineRule="auto"/>
        <w:rPr>
          <w:rFonts w:hint="eastAsia" w:ascii="宋体" w:hAnsi="宋体"/>
          <w:sz w:val="24"/>
        </w:rPr>
      </w:pPr>
      <w:r>
        <w:rPr>
          <w:rFonts w:hint="eastAsia" w:ascii="宋体" w:hAnsi="宋体"/>
          <w:sz w:val="24"/>
        </w:rPr>
        <w:t xml:space="preserve">6.1 招标文件由以下部分组成：</w:t>
      </w:r>
      <w:r/>
    </w:p>
    <w:p>
      <w:pPr>
        <w:ind w:firstLine="420"/>
        <w:spacing w:line="264" w:lineRule="auto"/>
        <w:rPr>
          <w:rFonts w:hint="eastAsia" w:ascii="宋体" w:hAnsi="宋体"/>
          <w:sz w:val="24"/>
        </w:rPr>
      </w:pPr>
      <w:r>
        <w:rPr>
          <w:rFonts w:hint="eastAsia" w:ascii="宋体" w:hAnsi="宋体"/>
          <w:sz w:val="24"/>
        </w:rPr>
        <w:t xml:space="preserve">（1）投标邀请</w:t>
      </w:r>
      <w:r/>
    </w:p>
    <w:p>
      <w:pPr>
        <w:ind w:firstLine="420"/>
        <w:spacing w:line="264" w:lineRule="auto"/>
        <w:rPr>
          <w:rFonts w:hint="eastAsia" w:ascii="宋体" w:hAnsi="宋体"/>
          <w:sz w:val="24"/>
        </w:rPr>
      </w:pPr>
      <w:r>
        <w:rPr>
          <w:rFonts w:hint="eastAsia" w:ascii="宋体" w:hAnsi="宋体"/>
          <w:sz w:val="24"/>
        </w:rPr>
        <w:t xml:space="preserve">（2）投标人须知</w:t>
      </w:r>
      <w:r/>
    </w:p>
    <w:p>
      <w:pPr>
        <w:ind w:firstLine="420"/>
        <w:spacing w:line="264" w:lineRule="auto"/>
        <w:rPr>
          <w:rFonts w:hint="eastAsia" w:ascii="宋体" w:hAnsi="宋体"/>
          <w:sz w:val="24"/>
        </w:rPr>
      </w:pPr>
      <w:r>
        <w:rPr>
          <w:rFonts w:hint="eastAsia" w:ascii="宋体" w:hAnsi="宋体"/>
          <w:sz w:val="24"/>
        </w:rPr>
        <w:t xml:space="preserve">（3）合同文本</w:t>
      </w:r>
      <w:r/>
    </w:p>
    <w:p>
      <w:pPr>
        <w:ind w:firstLine="420"/>
        <w:spacing w:line="264" w:lineRule="auto"/>
        <w:rPr>
          <w:rFonts w:hint="eastAsia" w:ascii="宋体" w:hAnsi="宋体"/>
          <w:sz w:val="24"/>
        </w:rPr>
      </w:pPr>
      <w:r>
        <w:rPr>
          <w:rFonts w:hint="eastAsia" w:ascii="宋体" w:hAnsi="宋体"/>
          <w:sz w:val="24"/>
        </w:rPr>
        <w:t xml:space="preserve">（4）采购需求</w:t>
      </w:r>
      <w:r/>
    </w:p>
    <w:p>
      <w:pPr>
        <w:ind w:firstLine="420"/>
        <w:spacing w:line="264" w:lineRule="auto"/>
        <w:rPr>
          <w:rFonts w:hint="eastAsia" w:ascii="宋体" w:hAnsi="宋体"/>
          <w:sz w:val="24"/>
        </w:rPr>
      </w:pPr>
      <w:r>
        <w:rPr>
          <w:rFonts w:hint="eastAsia" w:ascii="宋体" w:hAnsi="宋体"/>
          <w:sz w:val="24"/>
        </w:rPr>
        <w:t xml:space="preserve">（5）评标方法与评标标准</w:t>
      </w:r>
      <w:r/>
    </w:p>
    <w:p>
      <w:pPr>
        <w:ind w:firstLine="420"/>
        <w:spacing w:line="264" w:lineRule="auto"/>
        <w:rPr>
          <w:rFonts w:hint="eastAsia" w:ascii="宋体" w:hAnsi="宋体"/>
          <w:sz w:val="24"/>
        </w:rPr>
      </w:pPr>
      <w:r>
        <w:rPr>
          <w:rFonts w:hint="eastAsia" w:ascii="宋体" w:hAnsi="宋体"/>
          <w:sz w:val="24"/>
        </w:rPr>
        <w:t xml:space="preserve">（6）投标文件格式</w:t>
      </w:r>
      <w:r/>
    </w:p>
    <w:p>
      <w:pPr>
        <w:ind w:firstLine="420"/>
        <w:spacing w:line="264" w:lineRule="auto"/>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spacing w:line="264" w:lineRule="auto"/>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9"/>
        <w:ind w:firstLine="420"/>
        <w:spacing w:before="0" w:after="0" w:line="264" w:lineRule="auto"/>
        <w:rPr>
          <w:rFonts w:hint="eastAsia" w:ascii="方正楷体_GBK" w:hAnsi="方正楷体_GBK" w:eastAsia="方正楷体_GBK" w:cs="方正楷体_GBK"/>
        </w:rPr>
      </w:pPr>
      <w:r/>
      <w:bookmarkStart w:id="78" w:name="_Toc20823283"/>
      <w:r/>
      <w:bookmarkStart w:id="79" w:name="_Toc16938527"/>
      <w:r/>
      <w:bookmarkStart w:id="80" w:name="_Toc513029211"/>
      <w:r/>
      <w:bookmarkStart w:id="81" w:name="_Toc462564070"/>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spacing w:line="264" w:lineRule="auto"/>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99"/>
        <w:ind w:firstLine="420"/>
        <w:spacing w:before="0" w:after="0" w:line="264" w:lineRule="auto"/>
        <w:rPr>
          <w:rFonts w:hint="eastAsia" w:ascii="方正楷体_GBK" w:hAnsi="方正楷体_GBK" w:eastAsia="方正楷体_GBK" w:cs="方正楷体_GBK"/>
        </w:rPr>
      </w:pPr>
      <w:r/>
      <w:bookmarkStart w:id="82" w:name="_Toc20823284"/>
      <w:r/>
      <w:bookmarkStart w:id="83" w:name="_Toc16938528"/>
      <w:r/>
      <w:bookmarkStart w:id="84" w:name="_Toc462564071"/>
      <w:r/>
      <w:bookmarkStart w:id="85" w:name="_Toc513029212"/>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spacing w:line="264" w:lineRule="auto"/>
        <w:rPr>
          <w:rFonts w:hint="eastAsia" w:ascii="宋体" w:hAnsi="宋体"/>
          <w:sz w:val="24"/>
        </w:rPr>
      </w:pPr>
      <w:r/>
      <w:bookmarkStart w:id="86" w:name="_Toc513029213"/>
      <w:r/>
      <w:bookmarkStart w:id="87" w:name="_Toc20823285"/>
      <w:r/>
      <w:bookmarkStart w:id="88" w:name="_Toc120614216"/>
      <w:r/>
      <w:bookmarkStart w:id="89" w:name="_Toc16938529"/>
      <w:r/>
      <w:bookmarkStart w:id="90"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spacing w:line="264" w:lineRule="auto"/>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264" w:lineRule="auto"/>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98"/>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
    </w:p>
    <w:p>
      <w:pPr>
        <w:pStyle w:val="899"/>
        <w:ind w:firstLine="420"/>
        <w:spacing w:before="0" w:after="0" w:line="264" w:lineRule="auto"/>
        <w:rPr>
          <w:rFonts w:hint="eastAsia" w:ascii="方正楷体_GBK" w:hAnsi="方正楷体_GBK" w:eastAsia="方正楷体_GBK" w:cs="方正楷体_GBK"/>
        </w:rPr>
      </w:pPr>
      <w:r/>
      <w:bookmarkStart w:id="91" w:name="_Toc20823286"/>
      <w:r/>
      <w:bookmarkStart w:id="92" w:name="_Toc462564073"/>
      <w:r/>
      <w:bookmarkStart w:id="93" w:name="_Toc16938530"/>
      <w:r/>
      <w:bookmarkStart w:id="94" w:name="_Toc513029214"/>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spacing w:line="264" w:lineRule="auto"/>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spacing w:line="264" w:lineRule="auto"/>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99"/>
        <w:ind w:firstLine="420"/>
        <w:spacing w:before="0" w:after="0" w:line="264" w:lineRule="auto"/>
        <w:rPr>
          <w:rFonts w:hint="eastAsia" w:ascii="方正楷体_GBK" w:hAnsi="方正楷体_GBK" w:eastAsia="方正楷体_GBK" w:cs="方正楷体_GBK"/>
        </w:rPr>
      </w:pPr>
      <w:r/>
      <w:bookmarkStart w:id="95" w:name="_Toc513029215"/>
      <w:r/>
      <w:bookmarkStart w:id="96" w:name="_Toc20823287"/>
      <w:r/>
      <w:bookmarkStart w:id="97" w:name="_Toc462564074"/>
      <w:r/>
      <w:bookmarkStart w:id="98" w:name="_Toc16938531"/>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spacing w:line="264" w:lineRule="auto"/>
        <w:rPr>
          <w:rFonts w:hint="eastAsia" w:ascii="宋体" w:hAnsi="宋体"/>
          <w:sz w:val="24"/>
        </w:rPr>
      </w:pPr>
      <w:r>
        <w:rPr>
          <w:rFonts w:hint="eastAsia" w:ascii="宋体" w:hAnsi="宋体"/>
          <w:sz w:val="24"/>
        </w:rPr>
        <w:t xml:space="preserve">10.1投标人编写的投标文件应包括资格证明文件、符合性证明文件、投标分项报价表、响应及偏离表、其他证明文件、投标函、开标一览表等部分。</w:t>
      </w:r>
      <w:r/>
    </w:p>
    <w:p>
      <w:pPr>
        <w:ind w:firstLine="420"/>
        <w:spacing w:line="264" w:lineRule="auto"/>
        <w:rPr>
          <w:rFonts w:hint="eastAsia"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p>
    <w:p>
      <w:pPr>
        <w:pStyle w:val="899"/>
        <w:ind w:firstLine="420"/>
        <w:spacing w:before="0" w:after="0" w:line="264" w:lineRule="auto"/>
        <w:rPr>
          <w:rFonts w:hint="eastAsia" w:ascii="方正楷体_GBK" w:hAnsi="方正楷体_GBK" w:eastAsia="方正楷体_GBK" w:cs="方正楷体_GBK"/>
        </w:rPr>
      </w:pPr>
      <w:r/>
      <w:bookmarkStart w:id="99" w:name="_Hlt26668975"/>
      <w:r/>
      <w:bookmarkEnd w:id="99"/>
      <w:r/>
      <w:bookmarkStart w:id="100" w:name="_Hlt26954838"/>
      <w:r/>
      <w:bookmarkEnd w:id="100"/>
      <w:r/>
      <w:bookmarkStart w:id="101" w:name="_Hlt26670360"/>
      <w:r/>
      <w:bookmarkEnd w:id="101"/>
      <w:r/>
      <w:bookmarkStart w:id="102" w:name="_Toc513029219"/>
      <w:r/>
      <w:bookmarkStart w:id="103" w:name="_Toc49090509"/>
      <w:r/>
      <w:bookmarkStart w:id="104" w:name="_Toc14577357"/>
      <w:r/>
      <w:bookmarkStart w:id="105" w:name="_Toc14577354"/>
      <w:r/>
      <w:bookmarkStart w:id="106" w:name="_Toc513029216"/>
      <w:r/>
      <w:bookmarkStart w:id="107" w:name="_Toc49090507"/>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r/>
      <w:bookmarkEnd w:id="106"/>
      <w:r/>
      <w:bookmarkEnd w:id="107"/>
      <w:r/>
      <w:r/>
    </w:p>
    <w:p>
      <w:pPr>
        <w:ind w:firstLine="420"/>
        <w:spacing w:line="264" w:lineRule="auto"/>
        <w:rPr>
          <w:rFonts w:hint="eastAsia"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spacing w:line="264" w:lineRule="auto"/>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99"/>
        <w:ind w:firstLine="420"/>
        <w:spacing w:before="0" w:after="0" w:line="264"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b/>
          <w:bCs/>
          <w:color w:val="auto"/>
          <w:lang w:eastAsia="zh-CN"/>
        </w:rPr>
        <w:t xml:space="preserve">（如有）</w:t>
      </w:r>
      <w:r/>
    </w:p>
    <w:p>
      <w:pPr>
        <w:ind w:firstLine="420"/>
        <w:rPr>
          <w:rFonts w:ascii="宋体" w:hAnsi="宋体"/>
          <w:color w:val="000000"/>
          <w:sz w:val="24"/>
        </w:rPr>
      </w:pPr>
      <w:r>
        <w:rPr>
          <w:rFonts w:hint="eastAsia" w:ascii="宋体" w:hAnsi="宋体"/>
          <w:color w:val="000000"/>
          <w:sz w:val="24"/>
        </w:rPr>
        <w:t xml:space="preserve">12.1投</w:t>
      </w:r>
      <w:bookmarkStart w:id="111" w:name="_Hlt26954840"/>
      <w:r/>
      <w:bookmarkEnd w:id="111"/>
      <w:r>
        <w:rPr>
          <w:rFonts w:hint="eastAsia" w:ascii="宋体" w:hAnsi="宋体"/>
          <w:color w:val="000000"/>
          <w:sz w:val="24"/>
        </w:rPr>
        <w:t xml:space="preserve">标人应按照招标文件规定格式填报投标分项报价表</w:t>
      </w:r>
      <w:bookmarkStart w:id="112" w:name="_Hlt26670399"/>
      <w:r/>
      <w:bookmarkEnd w:id="112"/>
      <w:r>
        <w:rPr>
          <w:rFonts w:hint="eastAsia" w:ascii="宋体" w:hAnsi="宋体"/>
          <w:color w:val="000000"/>
          <w:sz w:val="24"/>
        </w:rPr>
        <w:t xml:space="preserve">。</w:t>
      </w:r>
      <w:r/>
    </w:p>
    <w:p>
      <w:pPr>
        <w:ind w:firstLine="420"/>
        <w:rPr>
          <w:rFonts w:hint="eastAsia" w:ascii="宋体" w:hAnsi="宋体" w:eastAsia="宋体" w:cs="Times New Roman"/>
          <w:color w:val="auto"/>
          <w:sz w:val="24"/>
        </w:rPr>
      </w:pPr>
      <w:r>
        <w:rPr>
          <w:rFonts w:hint="eastAsia" w:ascii="宋体" w:hAnsi="宋体"/>
          <w:color w:val="000000"/>
          <w:sz w:val="24"/>
        </w:rPr>
        <w:t xml:space="preserve">12.2投标文件中的单价和总价无特殊规定的采用人民币报价，以元为单位标注。招标文件另有规定的按规定执行。</w:t>
      </w:r>
      <w:r/>
    </w:p>
    <w:p>
      <w:pPr>
        <w:pStyle w:val="899"/>
        <w:ind w:firstLine="420"/>
        <w:spacing w:before="0" w:after="0" w:line="264"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p>
    <w:p>
      <w:pPr>
        <w:ind w:firstLine="420"/>
        <w:spacing w:line="264" w:lineRule="auto"/>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spacing w:line="264" w:lineRule="auto"/>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99"/>
        <w:ind w:firstLine="420"/>
        <w:spacing w:before="0" w:after="0" w:line="264" w:lineRule="auto"/>
        <w:rPr>
          <w:rFonts w:hint="eastAsia" w:ascii="方正楷体_GBK" w:hAnsi="方正楷体_GBK" w:eastAsia="方正楷体_GBK" w:cs="方正楷体_GBK"/>
        </w:rPr>
      </w:pPr>
      <w:r/>
      <w:bookmarkStart w:id="113" w:name="_Toc14577359"/>
      <w:r/>
      <w:bookmarkStart w:id="114" w:name="_Toc49090510"/>
      <w:r>
        <w:rPr>
          <w:rFonts w:hint="eastAsia" w:ascii="方正楷体_GBK" w:hAnsi="方正楷体_GBK" w:eastAsia="方正楷体_GBK" w:cs="方正楷体_GBK"/>
        </w:rPr>
        <w:t xml:space="preserve">14.投标函和开标一览表及核心产品品牌一览表</w:t>
      </w:r>
      <w:r/>
    </w:p>
    <w:p>
      <w:pPr>
        <w:ind w:firstLine="420"/>
        <w:spacing w:line="264" w:lineRule="auto"/>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yellow"/>
          <w:lang w:val="zh-CN"/>
        </w:rPr>
      </w:pPr>
      <w:r>
        <w:rPr>
          <w:rFonts w:hint="eastAsia" w:ascii="宋体" w:hAnsi="宋体" w:eastAsia="宋体" w:cs="Times New Roman"/>
          <w:color w:val="auto"/>
          <w:sz w:val="24"/>
          <w:highlight w:val="none"/>
          <w:lang w:val="zh-CN"/>
        </w:rPr>
        <w:t xml:space="preserve">14.2 </w:t>
      </w:r>
      <w:r>
        <w:rPr>
          <w:rFonts w:hint="eastAsia" w:ascii="宋体" w:hAnsi="宋体"/>
          <w:sz w:val="24"/>
          <w:highlight w:val="none"/>
          <w:lang w:val="zh-CN"/>
        </w:rPr>
        <w:t xml:space="preserve">对</w:t>
      </w:r>
      <w:r>
        <w:rPr>
          <w:rFonts w:hint="eastAsia" w:ascii="宋体" w:hAnsi="宋体"/>
          <w:sz w:val="24"/>
          <w:lang w:val="zh-CN"/>
        </w:rPr>
        <w:t xml:space="preserve">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spacing w:line="264" w:lineRule="auto"/>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13"/>
      <w:r/>
      <w:bookmarkEnd w:id="114"/>
      <w:r/>
      <w:r/>
    </w:p>
    <w:p>
      <w:pPr>
        <w:pStyle w:val="899"/>
        <w:ind w:firstLine="420"/>
        <w:spacing w:before="0" w:after="0" w:line="264" w:lineRule="auto"/>
        <w:rPr>
          <w:rFonts w:hint="eastAsia" w:ascii="方正楷体_GBK" w:hAnsi="方正楷体_GBK" w:eastAsia="方正楷体_GBK" w:cs="方正楷体_GBK"/>
        </w:rPr>
      </w:pPr>
      <w:r/>
      <w:bookmarkStart w:id="115" w:name="_Hlt26954850"/>
      <w:r/>
      <w:bookmarkEnd w:id="115"/>
      <w:r/>
      <w:bookmarkStart w:id="116" w:name="_Hlt26954734"/>
      <w:r/>
      <w:bookmarkEnd w:id="116"/>
      <w:r/>
      <w:bookmarkStart w:id="117" w:name="_Hlt26670489"/>
      <w:r/>
      <w:bookmarkEnd w:id="117"/>
      <w:r/>
      <w:bookmarkStart w:id="118" w:name="_Toc49090511"/>
      <w:r/>
      <w:bookmarkStart w:id="119" w:name="_Toc14577360"/>
      <w:r>
        <w:rPr>
          <w:rFonts w:hint="eastAsia" w:ascii="方正楷体_GBK" w:hAnsi="方正楷体_GBK" w:eastAsia="方正楷体_GBK" w:cs="方正楷体_GBK"/>
        </w:rPr>
        <w:t xml:space="preserve">15.投标有效期</w:t>
      </w:r>
      <w:bookmarkEnd w:id="118"/>
      <w:r/>
      <w:bookmarkEnd w:id="119"/>
      <w:r/>
      <w:r/>
    </w:p>
    <w:p>
      <w:pPr>
        <w:ind w:firstLine="420"/>
        <w:spacing w:line="264" w:lineRule="auto"/>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99"/>
        <w:ind w:firstLine="420"/>
        <w:spacing w:before="0" w:after="0" w:line="264"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spacing w:line="264" w:lineRule="auto"/>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98"/>
        <w:ind w:firstLine="465"/>
        <w:spacing w:before="145" w:after="145" w:line="264" w:lineRule="auto"/>
        <w:rPr>
          <w:rFonts w:hint="eastAsia" w:ascii="方正黑体_GBK" w:hAnsi="方正黑体_GBK" w:eastAsia="方正黑体_GBK" w:cs="方正黑体_GBK"/>
          <w:b w:val="0"/>
          <w:bCs w:val="0"/>
          <w:sz w:val="30"/>
          <w:szCs w:val="30"/>
        </w:rPr>
      </w:pPr>
      <w:r/>
      <w:bookmarkStart w:id="120" w:name="_Hlt26954739"/>
      <w:r/>
      <w:bookmarkEnd w:id="120"/>
      <w:r/>
      <w:bookmarkStart w:id="121" w:name="_Hlt26954852"/>
      <w:r/>
      <w:bookmarkEnd w:id="121"/>
      <w:r/>
      <w:bookmarkStart w:id="122" w:name="_Toc20823296"/>
      <w:r/>
      <w:bookmarkStart w:id="123" w:name="_Toc513029224"/>
      <w:r/>
      <w:bookmarkStart w:id="124" w:name="_Toc120614217"/>
      <w:r/>
      <w:bookmarkStart w:id="125" w:name="_Toc16938540"/>
      <w:r>
        <w:rPr>
          <w:rFonts w:hint="eastAsia" w:ascii="方正黑体_GBK" w:hAnsi="方正黑体_GBK" w:eastAsia="方正黑体_GBK" w:cs="方正黑体_GBK"/>
          <w:b w:val="0"/>
          <w:bCs w:val="0"/>
          <w:sz w:val="30"/>
          <w:szCs w:val="30"/>
        </w:rPr>
        <w:t xml:space="preserve">四、投标文件的递交</w:t>
      </w:r>
      <w:bookmarkEnd w:id="122"/>
      <w:r/>
      <w:bookmarkEnd w:id="123"/>
      <w:r/>
      <w:bookmarkEnd w:id="124"/>
      <w:r/>
      <w:bookmarkEnd w:id="125"/>
      <w:r/>
      <w:r/>
    </w:p>
    <w:p>
      <w:pPr>
        <w:pStyle w:val="899"/>
        <w:ind w:firstLine="420"/>
        <w:spacing w:before="0" w:after="0" w:line="264" w:lineRule="auto"/>
        <w:rPr>
          <w:rFonts w:hint="eastAsia" w:ascii="方正楷体_GBK" w:hAnsi="方正楷体_GBK" w:eastAsia="方正楷体_GBK" w:cs="方正楷体_GBK"/>
        </w:rPr>
      </w:pPr>
      <w:r/>
      <w:bookmarkStart w:id="126" w:name="_Toc462564084"/>
      <w:r/>
      <w:bookmarkStart w:id="127" w:name="_Toc20823297"/>
      <w:r/>
      <w:bookmarkStart w:id="128" w:name="_Toc16938541"/>
      <w:r/>
      <w:bookmarkStart w:id="129" w:name="_Toc513029225"/>
      <w:r>
        <w:rPr>
          <w:rFonts w:hint="eastAsia" w:ascii="方正楷体_GBK" w:hAnsi="方正楷体_GBK" w:eastAsia="方正楷体_GBK" w:cs="方正楷体_GBK"/>
        </w:rPr>
        <w:t xml:space="preserve">17.投标文件</w:t>
      </w:r>
      <w:bookmarkEnd w:id="126"/>
      <w:r/>
      <w:bookmarkEnd w:id="127"/>
      <w:r/>
      <w:bookmarkEnd w:id="128"/>
      <w:r/>
      <w:bookmarkEnd w:id="129"/>
      <w:r>
        <w:rPr>
          <w:rFonts w:hint="eastAsia" w:ascii="方正楷体_GBK" w:hAnsi="方正楷体_GBK" w:eastAsia="方正楷体_GBK" w:cs="方正楷体_GBK"/>
        </w:rPr>
        <w:t xml:space="preserve">的递交</w:t>
      </w:r>
      <w:r/>
    </w:p>
    <w:p>
      <w:pPr>
        <w:ind w:firstLine="420"/>
        <w:spacing w:line="264" w:lineRule="auto"/>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30" w:name="_Toc16938542"/>
      <w:r/>
      <w:bookmarkStart w:id="131" w:name="_Toc513029226"/>
      <w:r/>
      <w:bookmarkStart w:id="132" w:name="_Toc20823298"/>
      <w:r/>
      <w:bookmarkEnd w:id="130"/>
      <w:r/>
      <w:bookmarkEnd w:id="131"/>
      <w:r/>
      <w:bookmarkEnd w:id="132"/>
      <w:r/>
      <w:r/>
    </w:p>
    <w:p>
      <w:pPr>
        <w:ind w:firstLine="420"/>
        <w:spacing w:line="264"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spacing w:line="264"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99"/>
        <w:ind w:firstLine="420"/>
        <w:spacing w:before="0" w:after="0" w:line="264" w:lineRule="auto"/>
        <w:rPr>
          <w:rFonts w:hint="eastAsia" w:ascii="方正楷体_GBK" w:hAnsi="方正楷体_GBK" w:eastAsia="方正楷体_GBK" w:cs="方正楷体_GBK"/>
        </w:rPr>
      </w:pPr>
      <w:r/>
      <w:bookmarkStart w:id="133" w:name="_Toc20823299"/>
      <w:r/>
      <w:bookmarkStart w:id="134" w:name="_Toc513029227"/>
      <w:r/>
      <w:bookmarkStart w:id="135" w:name="_Toc16938543"/>
      <w:r>
        <w:rPr>
          <w:rFonts w:hint="eastAsia" w:ascii="方正楷体_GBK" w:hAnsi="方正楷体_GBK" w:eastAsia="方正楷体_GBK" w:cs="方正楷体_GBK"/>
        </w:rPr>
        <w:t xml:space="preserve">18.投标文件</w:t>
      </w:r>
      <w:bookmarkEnd w:id="133"/>
      <w:r/>
      <w:bookmarkEnd w:id="134"/>
      <w:r/>
      <w:bookmarkEnd w:id="135"/>
      <w:r>
        <w:rPr>
          <w:rFonts w:hint="eastAsia" w:ascii="方正楷体_GBK" w:hAnsi="方正楷体_GBK" w:eastAsia="方正楷体_GBK" w:cs="方正楷体_GBK"/>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bookmarkStart w:id="136" w:name="_Toc20823300"/>
      <w:r/>
      <w:bookmarkStart w:id="137" w:name="_Toc513029228"/>
      <w:r/>
      <w:bookmarkStart w:id="138" w:name="_Toc16938544"/>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color w:val="000000"/>
          <w:sz w:val="24"/>
          <w:highlight w:val="none"/>
          <w:lang w:val="zh-CN"/>
        </w:rPr>
        <w:t xml:space="preserve">投标截止时间后上传的任何投标文件</w:t>
      </w:r>
      <w:r>
        <w:rPr>
          <w:rFonts w:hint="eastAsia" w:ascii="宋体" w:hAnsi="宋体"/>
          <w:color w:val="000000"/>
          <w:sz w:val="24"/>
          <w:highlight w:val="none"/>
        </w:rPr>
        <w:t xml:space="preserve">将被</w:t>
      </w:r>
      <w:r>
        <w:rPr>
          <w:rFonts w:hint="eastAsia" w:ascii="宋体" w:hAnsi="宋体"/>
          <w:color w:val="000000"/>
          <w:sz w:val="24"/>
          <w:highlight w:val="none"/>
          <w:lang w:val="zh-CN"/>
        </w:rPr>
        <w:t xml:space="preserve">拒绝。</w:t>
      </w:r>
      <w:r/>
    </w:p>
    <w:p>
      <w:pPr>
        <w:pStyle w:val="899"/>
        <w:ind w:firstLine="420"/>
        <w:spacing w:before="0" w:after="0" w:line="264"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19.投标文件的撤回和修改</w:t>
      </w:r>
      <w:bookmarkEnd w:id="136"/>
      <w:r/>
      <w:bookmarkEnd w:id="137"/>
      <w:r/>
      <w:bookmarkEnd w:id="138"/>
      <w:r/>
      <w:r/>
    </w:p>
    <w:p>
      <w:pPr>
        <w:ind w:firstLine="420"/>
        <w:spacing w:line="264"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spacing w:line="264"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lang w:val="zh-CN"/>
        </w:rPr>
        <w:t xml:space="preserve">投标人可在投标截止时间前撤回其电子投标文件，具体操作方法见《操作手册》。</w:t>
      </w:r>
      <w:r/>
    </w:p>
    <w:p>
      <w:pPr>
        <w:ind w:firstLine="420"/>
        <w:spacing w:line="264"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spacing w:line="264"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spacing w:line="264"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spacing w:line="264"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spacing w:line="264"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39" w:name="_Toc120614218"/>
      <w:r/>
      <w:bookmarkStart w:id="140" w:name="_Toc513029229"/>
      <w:r/>
      <w:bookmarkStart w:id="141" w:name="_Toc20823301"/>
      <w:r/>
      <w:bookmarkStart w:id="142" w:name="_Toc16938545"/>
      <w:r/>
      <w:r/>
    </w:p>
    <w:p>
      <w:pPr>
        <w:pStyle w:val="898"/>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39"/>
      <w:r/>
      <w:bookmarkEnd w:id="140"/>
      <w:r/>
      <w:bookmarkEnd w:id="141"/>
      <w:r/>
      <w:bookmarkEnd w:id="142"/>
      <w:r/>
      <w:r/>
    </w:p>
    <w:p>
      <w:pPr>
        <w:pStyle w:val="899"/>
        <w:ind w:firstLine="420"/>
        <w:spacing w:before="0" w:after="0" w:line="264" w:lineRule="auto"/>
        <w:rPr>
          <w:rFonts w:hint="eastAsia" w:ascii="方正楷体_GBK" w:hAnsi="方正楷体_GBK" w:eastAsia="方正楷体_GBK" w:cs="方正楷体_GBK"/>
        </w:rPr>
      </w:pPr>
      <w:r/>
      <w:bookmarkStart w:id="143" w:name="_Toc20823302"/>
      <w:r/>
      <w:bookmarkStart w:id="144" w:name="_Toc513029230"/>
      <w:r/>
      <w:bookmarkStart w:id="145" w:name="_Toc16938546"/>
      <w:r>
        <w:rPr>
          <w:rFonts w:hint="eastAsia" w:ascii="方正楷体_GBK" w:hAnsi="方正楷体_GBK" w:eastAsia="方正楷体_GBK" w:cs="方正楷体_GBK"/>
        </w:rPr>
        <w:t xml:space="preserve">20.开标</w:t>
      </w:r>
      <w:bookmarkEnd w:id="143"/>
      <w:r/>
      <w:bookmarkEnd w:id="144"/>
      <w:r/>
      <w:bookmarkEnd w:id="145"/>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99"/>
        <w:ind w:firstLine="420"/>
        <w:spacing w:before="0" w:after="0" w:line="264" w:lineRule="auto"/>
        <w:rPr>
          <w:rFonts w:hint="eastAsia" w:ascii="方正楷体_GBK" w:hAnsi="方正楷体_GBK" w:eastAsia="方正楷体_GBK" w:cs="方正楷体_GBK"/>
        </w:rPr>
      </w:pPr>
      <w:r/>
      <w:bookmarkStart w:id="146" w:name="_Toc20823303"/>
      <w:r/>
      <w:bookmarkStart w:id="147" w:name="_Toc16938547"/>
      <w:r/>
      <w:bookmarkStart w:id="148" w:name="_Toc513029231"/>
      <w:r>
        <w:rPr>
          <w:rFonts w:hint="eastAsia" w:ascii="方正楷体_GBK" w:hAnsi="方正楷体_GBK" w:eastAsia="方正楷体_GBK" w:cs="方正楷体_GBK"/>
        </w:rPr>
        <w:t xml:space="preserve">21.评标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w:t>
      </w:r>
      <w:r>
        <w:rPr>
          <w:rFonts w:hint="eastAsia" w:ascii="宋体" w:hAnsi="宋体"/>
          <w:sz w:val="24"/>
          <w:lang w:val="zh-CN"/>
        </w:rPr>
        <w:t xml:space="preserve">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899"/>
        <w:ind w:firstLine="420"/>
        <w:spacing w:before="0" w:after="0" w:line="264"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46"/>
      <w:r/>
      <w:bookmarkEnd w:id="147"/>
      <w:r/>
      <w:bookmarkEnd w:id="148"/>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899"/>
        <w:ind w:firstLine="420"/>
        <w:spacing w:before="0" w:after="0" w:line="264" w:lineRule="auto"/>
        <w:rPr>
          <w:rFonts w:hint="eastAsia" w:ascii="方正楷体_GBK" w:hAnsi="方正楷体_GBK" w:eastAsia="方正楷体_GBK" w:cs="方正楷体_GBK"/>
        </w:rPr>
      </w:pPr>
      <w:r/>
      <w:bookmarkStart w:id="149" w:name="_Toc20823304"/>
      <w:r/>
      <w:bookmarkStart w:id="150" w:name="_Toc16938548"/>
      <w:r/>
      <w:bookmarkStart w:id="151" w:name="_Toc513029232"/>
      <w:r>
        <w:rPr>
          <w:rFonts w:hint="eastAsia" w:ascii="方正楷体_GBK" w:hAnsi="方正楷体_GBK" w:eastAsia="方正楷体_GBK" w:cs="方正楷体_GBK"/>
        </w:rPr>
        <w:t xml:space="preserve">23.投标文件的澄清</w:t>
      </w:r>
      <w:bookmarkEnd w:id="149"/>
      <w:r/>
      <w:bookmarkEnd w:id="150"/>
      <w:r/>
      <w:bookmarkEnd w:id="151"/>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spacing w:line="264" w:lineRule="auto"/>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spacing w:line="264" w:lineRule="auto"/>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99"/>
        <w:ind w:firstLine="420"/>
        <w:spacing w:before="0" w:after="0" w:line="264" w:lineRule="auto"/>
        <w:rPr>
          <w:rFonts w:hint="eastAsia" w:ascii="方正楷体_GBK" w:hAnsi="方正楷体_GBK" w:eastAsia="方正楷体_GBK" w:cs="方正楷体_GBK"/>
        </w:rPr>
      </w:pPr>
      <w:r/>
      <w:bookmarkStart w:id="152" w:name="_Toc513029233"/>
      <w:r/>
      <w:bookmarkStart w:id="153" w:name="_Toc16938549"/>
      <w:r/>
      <w:bookmarkStart w:id="154" w:name="_Toc20823305"/>
      <w:r>
        <w:rPr>
          <w:rFonts w:hint="eastAsia" w:ascii="方正楷体_GBK" w:hAnsi="方正楷体_GBK" w:eastAsia="方正楷体_GBK" w:cs="方正楷体_GBK"/>
        </w:rPr>
        <w:t xml:space="preserve">24.投标文件的</w:t>
      </w:r>
      <w:bookmarkEnd w:id="152"/>
      <w:r/>
      <w:bookmarkEnd w:id="153"/>
      <w:r/>
      <w:bookmarkEnd w:id="154"/>
      <w:r>
        <w:rPr>
          <w:rFonts w:hint="eastAsia" w:ascii="方正楷体_GBK" w:hAnsi="方正楷体_GBK" w:eastAsia="方正楷体_GBK" w:cs="方正楷体_GBK"/>
        </w:rPr>
        <w:t xml:space="preserve">审查</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spacing w:line="264" w:lineRule="auto"/>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spacing w:line="264" w:lineRule="auto"/>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spacing w:line="264" w:lineRule="auto"/>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spacing w:line="264" w:lineRule="auto"/>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spacing w:line="264" w:lineRule="auto"/>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spacing w:line="264" w:lineRule="auto"/>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spacing w:line="264" w:lineRule="auto"/>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spacing w:line="264" w:lineRule="auto"/>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264" w:lineRule="auto"/>
        <w:rPr>
          <w:rFonts w:hint="eastAsia" w:ascii="宋体" w:hAnsi="宋体"/>
          <w:sz w:val="24"/>
          <w:lang w:val="zh-CN"/>
        </w:rPr>
      </w:pPr>
      <w:r/>
      <w:bookmarkStart w:id="155" w:name="_Toc20823306"/>
      <w:r/>
      <w:bookmarkStart w:id="156" w:name="_Toc513029234"/>
      <w:r/>
      <w:bookmarkStart w:id="157"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899"/>
        <w:ind w:firstLine="420"/>
        <w:spacing w:before="0" w:after="0" w:line="264"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55"/>
      <w:r/>
      <w:bookmarkEnd w:id="156"/>
      <w:r/>
      <w:bookmarkEnd w:id="157"/>
      <w:r>
        <w:rPr>
          <w:rFonts w:hint="eastAsia" w:ascii="方正楷体_GBK" w:hAnsi="方正楷体_GBK" w:eastAsia="方正楷体_GBK" w:cs="方正楷体_GBK"/>
        </w:rPr>
        <w:t xml:space="preserve">5.无效投标和废标</w:t>
      </w:r>
      <w:r/>
    </w:p>
    <w:p>
      <w:pPr>
        <w:ind w:firstLine="420"/>
        <w:spacing w:line="264" w:lineRule="auto"/>
        <w:rPr>
          <w:rFonts w:hint="eastAsia" w:ascii="宋体" w:hAnsi="宋体"/>
          <w:sz w:val="24"/>
          <w:lang w:val="zh-CN"/>
        </w:rPr>
      </w:pPr>
      <w:r/>
      <w:bookmarkStart w:id="158" w:name="_Toc16938551"/>
      <w:r/>
      <w:bookmarkStart w:id="159" w:name="_Toc20823307"/>
      <w:r/>
      <w:bookmarkStart w:id="160"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无效投标条款</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投标人在苏采云系统规定的时间内未成功解密电子投标文件的。</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投标人未按照招标文件要求上传电子投标文件的。</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同一投标人提交两个（含两个）以上不同的投标报价的。</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投标人不具备招标文件规定</w:t>
      </w:r>
      <w:r>
        <w:rPr>
          <w:rFonts w:hint="eastAsia" w:ascii="宋体" w:hAnsi="宋体"/>
          <w:sz w:val="24"/>
        </w:rPr>
        <w:t xml:space="preserve">的</w:t>
      </w:r>
      <w:r>
        <w:rPr>
          <w:rFonts w:hint="eastAsia" w:ascii="宋体" w:hAnsi="宋体"/>
          <w:sz w:val="24"/>
          <w:lang w:val="zh-CN"/>
        </w:rPr>
        <w:t xml:space="preserve">资格要求的。</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eastAsia="宋体" w:cs="Times New Roman"/>
          <w:color w:val="auto"/>
          <w:sz w:val="24"/>
          <w:highlight w:val="none"/>
          <w:lang w:val="en-US" w:eastAsia="zh-CN"/>
        </w:rPr>
        <w:t xml:space="preserve">或单价上限</w:t>
      </w:r>
      <w:r>
        <w:rPr>
          <w:rFonts w:hint="eastAsia" w:ascii="宋体" w:hAnsi="宋体"/>
          <w:sz w:val="24"/>
          <w:highlight w:val="none"/>
          <w:lang w:val="zh-CN"/>
        </w:rPr>
        <w:t xml:space="preserve">。</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未通过符合性审查的。</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b/>
          <w:bCs/>
          <w:iCs/>
          <w:sz w:val="24"/>
          <w:lang w:val="zh-CN"/>
        </w:rPr>
        <w:t xml:space="preserve">本招标文件中斜体且有下划线部分，</w:t>
      </w:r>
      <w:r>
        <w:rPr>
          <w:rFonts w:hint="eastAsia" w:ascii="宋体" w:hAnsi="宋体"/>
          <w:b/>
          <w:bCs/>
          <w:sz w:val="24"/>
          <w:lang w:val="zh-CN"/>
        </w:rPr>
        <w:t xml:space="preserve">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投标文件含有采购人不能接受的附加条件的。</w:t>
      </w:r>
      <w:r/>
    </w:p>
    <w:p>
      <w:pPr>
        <w:ind w:firstLine="420"/>
        <w:rPr>
          <w:rFonts w:ascii="宋体" w:hAnsi="宋体"/>
          <w:b/>
          <w:bCs/>
          <w:color w:val="000000"/>
          <w:sz w:val="24"/>
          <w:highlight w:val="yellow"/>
          <w:lang w:val="zh-CN"/>
        </w:rPr>
      </w:pPr>
      <w:r>
        <w:rPr>
          <w:rFonts w:hint="eastAsia" w:ascii="宋体" w:hAnsi="宋体"/>
          <w:b/>
          <w:bCs/>
          <w:color w:val="000000"/>
          <w:sz w:val="24"/>
          <w:highlight w:val="none"/>
          <w:lang w:val="zh-CN"/>
        </w:rPr>
        <w:t xml:space="preserve">2</w:t>
      </w:r>
      <w:r>
        <w:rPr>
          <w:rFonts w:hint="eastAsia" w:ascii="宋体" w:hAnsi="宋体"/>
          <w:b/>
          <w:bCs/>
          <w:color w:val="000000"/>
          <w:sz w:val="24"/>
          <w:highlight w:val="none"/>
        </w:rPr>
        <w:t xml:space="preserve">5</w:t>
      </w:r>
      <w:r>
        <w:rPr>
          <w:rFonts w:hint="eastAsia" w:ascii="宋体" w:hAnsi="宋体"/>
          <w:b/>
          <w:bCs/>
          <w:color w:val="000000"/>
          <w:sz w:val="24"/>
          <w:highlight w:val="none"/>
          <w:lang w:val="zh-CN"/>
        </w:rPr>
        <w:t xml:space="preserve">.1.10</w:t>
      </w:r>
      <w:r>
        <w:rPr>
          <w:rFonts w:hint="eastAsia" w:ascii="宋体" w:hAnsi="宋体"/>
          <w:b/>
          <w:bCs/>
          <w:sz w:val="24"/>
          <w:highlight w:val="none"/>
          <w:lang w:val="zh-CN"/>
        </w:rPr>
        <w:t xml:space="preserve">评委</w:t>
      </w:r>
      <w:r>
        <w:rPr>
          <w:rFonts w:hint="eastAsia" w:ascii="宋体" w:hAnsi="宋体"/>
          <w:b/>
          <w:bCs/>
          <w:sz w:val="24"/>
          <w:lang w:val="zh-CN"/>
        </w:rPr>
        <w:t xml:space="preserve">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spacing w:line="264" w:lineRule="auto"/>
        <w:rPr>
          <w:rFonts w:hint="eastAsia" w:ascii="宋体" w:hAnsi="宋体"/>
          <w:b/>
          <w:bCs/>
          <w:sz w:val="24"/>
          <w:szCs w:val="21"/>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.1.11</w:t>
      </w:r>
      <w:r>
        <w:rPr>
          <w:rFonts w:hint="eastAsia" w:ascii="宋体" w:hAnsi="宋体"/>
          <w:sz w:val="24"/>
        </w:rPr>
        <w:t xml:space="preserve"> </w:t>
      </w:r>
      <w:r>
        <w:rPr>
          <w:rFonts w:hint="eastAsia" w:ascii="宋体" w:hAnsi="宋体"/>
          <w:sz w:val="24"/>
          <w:szCs w:val="21"/>
        </w:rPr>
        <w:t xml:space="preserve">采购产品被财政部、国家发改委、生态环境部等列入“节能产品品目清单”强制采购范围，而投标人提供的产品不在强制采购范围内的。</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投标文件未按照招标文件要求加盖电子公章的。</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废标条款</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资格</w:t>
      </w:r>
      <w:r>
        <w:rPr>
          <w:rFonts w:hint="eastAsia" w:ascii="宋体" w:hAnsi="宋体"/>
          <w:sz w:val="24"/>
          <w:lang w:val="zh-CN"/>
        </w:rPr>
        <w:t xml:space="preserve">条件的供应商或者对招标文件作</w:t>
      </w:r>
      <w:r>
        <w:rPr>
          <w:rFonts w:hint="eastAsia" w:ascii="宋体" w:hAnsi="宋体"/>
          <w:sz w:val="24"/>
        </w:rPr>
        <w:t xml:space="preserve">出</w:t>
      </w:r>
      <w:r>
        <w:rPr>
          <w:rFonts w:hint="eastAsia" w:ascii="宋体" w:hAnsi="宋体"/>
          <w:sz w:val="24"/>
          <w:lang w:val="zh-CN"/>
        </w:rPr>
        <w:t xml:space="preserve">实质</w:t>
      </w:r>
      <w:r>
        <w:rPr>
          <w:rFonts w:hint="eastAsia" w:ascii="宋体" w:hAnsi="宋体"/>
          <w:sz w:val="24"/>
        </w:rPr>
        <w:t xml:space="preserve">性</w:t>
      </w:r>
      <w:r>
        <w:rPr>
          <w:rFonts w:hint="eastAsia" w:ascii="宋体" w:hAnsi="宋体"/>
          <w:sz w:val="24"/>
          <w:lang w:val="zh-CN"/>
        </w:rPr>
        <w:t xml:space="preserve">响应的供应商不足三家的。</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出现影响采购公正的违法、违规行为的。</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因重大变故采购任务取消的。</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rPr>
        <w:t xml:space="preserve">的</w:t>
      </w:r>
      <w:r>
        <w:rPr>
          <w:rFonts w:hint="eastAsia" w:ascii="宋体" w:hAnsi="宋体"/>
          <w:sz w:val="24"/>
          <w:lang w:val="zh-CN"/>
        </w:rPr>
        <w:t xml:space="preserve">。</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因苏采云系统故障造成开标不成功的。</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w:t>
      </w:r>
      <w:r>
        <w:rPr>
          <w:rFonts w:hint="eastAsia" w:ascii="宋体" w:hAnsi="宋体"/>
          <w:sz w:val="24"/>
        </w:rPr>
        <w:t xml:space="preserve">作</w:t>
      </w:r>
      <w:r>
        <w:rPr>
          <w:rFonts w:hint="eastAsia" w:ascii="宋体" w:hAnsi="宋体"/>
          <w:sz w:val="24"/>
          <w:lang w:val="zh-CN"/>
        </w:rPr>
        <w:t xml:space="preserve">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hint="default" w:ascii="宋体" w:hAnsi="宋体" w:eastAsia="宋体" w:cs="Times New Roman"/>
          <w:b/>
          <w:bCs/>
          <w:color w:val="auto"/>
          <w:sz w:val="24"/>
          <w:highlight w:val="yellow"/>
          <w:lang w:val="en-US" w:eastAsia="zh-CN"/>
        </w:rPr>
      </w:pPr>
      <w:r>
        <w:rPr>
          <w:rFonts w:hint="eastAsia" w:ascii="宋体" w:hAnsi="宋体" w:eastAsia="宋体" w:cs="Times New Roman"/>
          <w:b/>
          <w:bCs/>
          <w:color w:val="auto"/>
          <w:sz w:val="24"/>
          <w:highlight w:val="none"/>
          <w:lang w:val="zh-CN" w:eastAsia="zh-CN"/>
        </w:rPr>
        <w:t xml:space="preserve">25.4 </w:t>
      </w:r>
      <w:r>
        <w:rPr>
          <w:rFonts w:hint="eastAsia" w:ascii="宋体" w:hAnsi="宋体"/>
          <w:b/>
          <w:bCs/>
          <w:sz w:val="24"/>
          <w:highlight w:val="none"/>
          <w:lang w:val="zh-CN"/>
        </w:rPr>
        <w:t xml:space="preserve">如</w:t>
      </w:r>
      <w:r>
        <w:rPr>
          <w:rFonts w:hint="eastAsia" w:ascii="宋体" w:hAnsi="宋体"/>
          <w:b/>
          <w:bCs/>
          <w:sz w:val="24"/>
          <w:lang w:val="zh-CN"/>
        </w:rPr>
        <w:t xml:space="preserve">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18"/>
        <w:rPr>
          <w:rFonts w:hint="eastAsia"/>
          <w:lang w:val="zh-CN"/>
        </w:rPr>
      </w:pPr>
      <w:r>
        <w:rPr>
          <w:rFonts w:hint="eastAsia"/>
          <w:lang w:val="zh-CN"/>
        </w:rPr>
      </w:r>
      <w:r/>
    </w:p>
    <w:p>
      <w:pPr>
        <w:pStyle w:val="898"/>
        <w:ind w:firstLine="465"/>
        <w:spacing w:before="145" w:after="145" w:line="264" w:lineRule="auto"/>
        <w:rPr>
          <w:rFonts w:hint="eastAsia" w:ascii="方正黑体_GBK" w:hAnsi="方正黑体_GBK" w:eastAsia="方正黑体_GBK" w:cs="方正黑体_GBK"/>
          <w:b w:val="0"/>
          <w:bCs w:val="0"/>
          <w:sz w:val="30"/>
          <w:szCs w:val="30"/>
        </w:rPr>
      </w:pPr>
      <w:r/>
      <w:bookmarkStart w:id="161" w:name="_Toc120614219"/>
      <w:r>
        <w:rPr>
          <w:rFonts w:hint="eastAsia" w:ascii="方正黑体_GBK" w:hAnsi="方正黑体_GBK" w:eastAsia="方正黑体_GBK" w:cs="方正黑体_GBK"/>
          <w:b w:val="0"/>
          <w:bCs w:val="0"/>
          <w:sz w:val="30"/>
          <w:szCs w:val="30"/>
        </w:rPr>
        <w:t xml:space="preserve">六、</w:t>
      </w:r>
      <w:bookmarkEnd w:id="158"/>
      <w:r/>
      <w:bookmarkEnd w:id="159"/>
      <w:r/>
      <w:bookmarkEnd w:id="160"/>
      <w:r>
        <w:rPr>
          <w:rFonts w:hint="eastAsia" w:ascii="方正黑体_GBK" w:hAnsi="方正黑体_GBK" w:eastAsia="方正黑体_GBK" w:cs="方正黑体_GBK"/>
          <w:b w:val="0"/>
          <w:bCs w:val="0"/>
          <w:sz w:val="30"/>
          <w:szCs w:val="30"/>
        </w:rPr>
        <w:t xml:space="preserve">定标</w:t>
      </w:r>
      <w:bookmarkEnd w:id="161"/>
      <w:r/>
      <w:r/>
    </w:p>
    <w:p>
      <w:pPr>
        <w:pStyle w:val="899"/>
        <w:ind w:firstLine="420"/>
        <w:spacing w:before="0" w:after="0" w:line="264" w:lineRule="auto"/>
        <w:rPr>
          <w:rFonts w:hint="eastAsia" w:ascii="方正楷体_GBK" w:hAnsi="方正楷体_GBK" w:eastAsia="方正楷体_GBK" w:cs="方正楷体_GBK"/>
        </w:rPr>
      </w:pPr>
      <w:r/>
      <w:bookmarkStart w:id="162" w:name="_Toc513029238"/>
      <w:r/>
      <w:bookmarkStart w:id="163" w:name="_Toc16938554"/>
      <w:r/>
      <w:bookmarkStart w:id="164" w:name="_Toc20823310"/>
      <w:r>
        <w:rPr>
          <w:rFonts w:hint="eastAsia" w:ascii="方正楷体_GBK" w:hAnsi="方正楷体_GBK" w:eastAsia="方正楷体_GBK" w:cs="方正楷体_GBK"/>
        </w:rPr>
        <w:t xml:space="preserve">2</w:t>
      </w:r>
      <w:bookmarkEnd w:id="162"/>
      <w:r>
        <w:rPr>
          <w:rFonts w:hint="eastAsia" w:ascii="方正楷体_GBK" w:hAnsi="方正楷体_GBK" w:eastAsia="方正楷体_GBK" w:cs="方正楷体_GBK"/>
        </w:rPr>
        <w:t xml:space="preserve">6.确定</w:t>
      </w:r>
      <w:bookmarkEnd w:id="163"/>
      <w:r/>
      <w:bookmarkEnd w:id="164"/>
      <w:r>
        <w:rPr>
          <w:rFonts w:hint="eastAsia" w:ascii="方正楷体_GBK" w:hAnsi="方正楷体_GBK" w:eastAsia="方正楷体_GBK" w:cs="方正楷体_GBK"/>
        </w:rPr>
        <w:t xml:space="preserve">中标单位</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sz w:val="24"/>
          <w:highlight w:val="none"/>
          <w:lang w:val="zh-CN"/>
        </w:rPr>
        <w:t xml:space="preserve">种</w:t>
      </w:r>
      <w:r>
        <w:rPr>
          <w:rFonts w:hint="eastAsia" w:ascii="宋体" w:hAnsi="宋体"/>
          <w:sz w:val="24"/>
          <w:lang w:val="zh-CN"/>
        </w:rPr>
        <w:t xml:space="preserve">方式确定中标人：</w:t>
      </w:r>
      <w:r/>
    </w:p>
    <w:p>
      <w:pPr>
        <w:ind w:firstLine="420"/>
        <w:spacing w:line="264" w:lineRule="auto"/>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spacing w:line="264" w:lineRule="auto"/>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spacing w:line="264" w:lineRule="auto"/>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spacing w:line="264"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提供虚假材料谋取中标的。</w:t>
      </w:r>
      <w:r/>
    </w:p>
    <w:p>
      <w:pPr>
        <w:ind w:firstLine="420"/>
        <w:rPr>
          <w:rFonts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p>
    <w:p>
      <w:pPr>
        <w:ind w:firstLine="420"/>
        <w:rPr>
          <w:rFonts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p>
    <w:p>
      <w:pPr>
        <w:ind w:firstLine="420"/>
        <w:rPr>
          <w:rFonts w:ascii="宋体" w:hAnsi="宋体"/>
          <w:color w:val="000000"/>
          <w:sz w:val="24"/>
          <w:lang w:val="zh-CN"/>
        </w:rPr>
      </w:pPr>
      <w:r>
        <w:rPr>
          <w:rFonts w:hint="eastAsia" w:ascii="宋体" w:hAnsi="宋体"/>
          <w:color w:val="000000"/>
          <w:sz w:val="24"/>
          <w:lang w:val="zh-CN"/>
        </w:rPr>
        <w:t xml:space="preserve">26.4.4属于本文件规定的无效投标情形，但在评标过程中未被评委会发现。</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采取不正当手段诋毁、排挤其他供应商的。</w:t>
      </w:r>
      <w:r/>
    </w:p>
    <w:p>
      <w:pPr>
        <w:ind w:firstLine="420"/>
        <w:spacing w:line="264" w:lineRule="auto"/>
        <w:rPr>
          <w:rFonts w:hint="eastAsia" w:ascii="宋体" w:hAnsi="宋体"/>
          <w:b/>
          <w:bCs/>
          <w:sz w:val="24"/>
          <w:lang w:val="zh-CN"/>
        </w:rPr>
      </w:pPr>
      <w:r/>
      <w:bookmarkStart w:id="16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65"/>
      <w:r/>
      <w:r/>
    </w:p>
    <w:p>
      <w:pPr>
        <w:pStyle w:val="899"/>
        <w:ind w:firstLine="420"/>
        <w:spacing w:before="0" w:after="0" w:line="264"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spacing w:line="264" w:lineRule="auto"/>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264"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98"/>
        <w:ind w:firstLine="465"/>
        <w:spacing w:before="145" w:after="145" w:line="264" w:lineRule="auto"/>
        <w:rPr>
          <w:rFonts w:hint="eastAsia" w:ascii="方正黑体_GBK" w:hAnsi="方正黑体_GBK" w:eastAsia="方正黑体_GBK" w:cs="方正黑体_GBK"/>
          <w:b w:val="0"/>
          <w:bCs w:val="0"/>
          <w:sz w:val="30"/>
          <w:szCs w:val="30"/>
        </w:rPr>
      </w:pPr>
      <w:r/>
      <w:bookmarkStart w:id="166" w:name="_Toc120614220"/>
      <w:r/>
      <w:bookmarkStart w:id="167" w:name="_Toc513029236"/>
      <w:r/>
      <w:bookmarkStart w:id="168" w:name="_Toc16938552"/>
      <w:r/>
      <w:bookmarkStart w:id="169" w:name="_Toc20823308"/>
      <w:r>
        <w:rPr>
          <w:rFonts w:hint="eastAsia" w:ascii="方正黑体_GBK" w:hAnsi="方正黑体_GBK" w:eastAsia="方正黑体_GBK" w:cs="方正黑体_GBK"/>
          <w:b w:val="0"/>
          <w:bCs w:val="0"/>
          <w:sz w:val="30"/>
          <w:szCs w:val="30"/>
        </w:rPr>
        <w:t xml:space="preserve">七、授予合同</w:t>
      </w:r>
      <w:bookmarkEnd w:id="166"/>
      <w:r/>
      <w:bookmarkEnd w:id="167"/>
      <w:r/>
      <w:bookmarkEnd w:id="168"/>
      <w:r/>
      <w:bookmarkEnd w:id="169"/>
      <w:r/>
      <w:r/>
    </w:p>
    <w:p>
      <w:pPr>
        <w:pStyle w:val="899"/>
        <w:ind w:firstLine="420"/>
        <w:spacing w:before="0" w:after="0" w:line="264" w:lineRule="auto"/>
        <w:rPr>
          <w:rFonts w:hint="eastAsia" w:ascii="方正楷体_GBK" w:hAnsi="方正楷体_GBK" w:eastAsia="方正楷体_GBK" w:cs="方正楷体_GBK"/>
        </w:rPr>
      </w:pPr>
      <w:r/>
      <w:bookmarkStart w:id="170" w:name="_Toc20823309"/>
      <w:r/>
      <w:bookmarkStart w:id="171" w:name="_Toc513029237"/>
      <w:r/>
      <w:bookmarkStart w:id="172" w:name="_Toc16938553"/>
      <w:r>
        <w:rPr>
          <w:rFonts w:hint="eastAsia" w:ascii="方正楷体_GBK" w:hAnsi="方正楷体_GBK" w:eastAsia="方正楷体_GBK" w:cs="方正楷体_GBK"/>
        </w:rPr>
        <w:t xml:space="preserve">28.签订合同</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spacing w:line="264"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spacing w:line="264"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264"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99"/>
        <w:ind w:firstLine="420"/>
        <w:spacing w:before="0" w:after="0" w:line="264"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bookmarkEnd w:id="170"/>
      <w:r/>
      <w:bookmarkEnd w:id="171"/>
      <w:r/>
      <w:bookmarkEnd w:id="172"/>
      <w:r/>
      <w:r/>
    </w:p>
    <w:p>
      <w:pPr>
        <w:ind w:firstLine="420"/>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r/>
    </w:p>
    <w:p>
      <w:pPr>
        <w:pStyle w:val="899"/>
        <w:ind w:firstLine="420"/>
        <w:spacing w:before="0" w:after="0" w:line="264"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color w:val="000000"/>
          <w:sz w:val="24"/>
          <w:lang w:val="zh-CN"/>
        </w:rPr>
      </w:pPr>
      <w:r>
        <w:rPr>
          <w:rFonts w:hint="eastAsia" w:ascii="宋体" w:hAnsi="宋体"/>
          <w:color w:val="000000"/>
          <w:sz w:val="24"/>
        </w:rPr>
        <w:t xml:space="preserve">30.1</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南京市公共资源交易平台网站“小企业融资平台”，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lang w:val="zh-CN"/>
        </w:rPr>
      </w:pPr>
      <w:r>
        <w:rPr>
          <w:rFonts w:hint="eastAsia" w:ascii="宋体" w:hAnsi="宋体"/>
          <w:color w:val="000000"/>
          <w:sz w:val="24"/>
        </w:rPr>
        <w:t xml:space="preserve">30.2依据《关于在全省政府采购领域推行电子履约保函（保险）的通知》（苏财购</w:t>
      </w:r>
      <w:r>
        <w:rPr>
          <w:rFonts w:hint="eastAsia" w:ascii="宋体" w:hAnsi="宋体" w:cs="宋体"/>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898"/>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spacing w:line="264" w:lineRule="auto"/>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spacing w:line="264" w:lineRule="auto"/>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规定以书面形式向交易中心或采购人提出质疑。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spacing w:line="264" w:lineRule="auto"/>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b/>
          <w:bCs/>
          <w:color w:val="000000"/>
          <w:sz w:val="24"/>
          <w:highlight w:val="none"/>
          <w:lang w:val="en-US" w:eastAsia="zh-CN"/>
        </w:rPr>
      </w:pPr>
      <w:r>
        <w:rPr>
          <w:rFonts w:hint="eastAsia" w:ascii="宋体" w:hAnsi="宋体" w:cs="Times New Roman"/>
          <w:color w:val="auto"/>
          <w:sz w:val="24"/>
          <w:highlight w:val="none"/>
          <w:lang w:val="en-US" w:eastAsia="zh-CN"/>
        </w:rPr>
        <w:t xml:space="preserve">35.</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质疑答复主体提出质疑，具体详见采购文件第一章。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由采购人负责答复的质疑，采购人将《质疑答复函》抄送交易中心。</w:t>
      </w:r>
      <w:r/>
    </w:p>
    <w:p>
      <w:pPr>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6.2 </w:t>
      </w:r>
      <w:r>
        <w:rPr>
          <w:rFonts w:hint="eastAsia" w:ascii="宋体" w:hAnsi="宋体" w:eastAsia="宋体" w:cs="Times New Roman"/>
          <w:color w:val="auto"/>
          <w:sz w:val="24"/>
          <w:highlight w:val="none"/>
          <w:lang w:val="en-US" w:eastAsia="zh-CN"/>
        </w:rPr>
        <w:t xml:space="preserve">属于第33条规定的对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spacing w:line="264" w:lineRule="auto"/>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98"/>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99"/>
        <w:ind w:firstLine="420"/>
        <w:spacing w:before="0" w:after="0" w:line="264" w:lineRule="auto"/>
        <w:rPr>
          <w:rFonts w:hint="eastAsia" w:ascii="方正楷体_GBK" w:hAnsi="方正楷体_GBK" w:eastAsia="方正楷体_GBK" w:cs="方正楷体_GBK"/>
          <w:highlight w:val="yellow"/>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color w:val="000000"/>
          <w:sz w:val="24"/>
          <w:lang w:val="zh-CN"/>
        </w:rPr>
      </w:pPr>
      <w:r>
        <w:rPr>
          <w:rFonts w:hint="eastAsia" w:ascii="宋体" w:hAnsi="宋体"/>
          <w:color w:val="000000"/>
          <w:sz w:val="24"/>
        </w:rPr>
        <w:t xml:space="preserve">38.1 </w:t>
      </w:r>
      <w:r>
        <w:rPr>
          <w:rFonts w:hint="eastAsia" w:ascii="宋体" w:hAnsi="宋体"/>
          <w:color w:val="000000"/>
          <w:sz w:val="24"/>
          <w:lang w:val="zh-CN"/>
        </w:rPr>
        <w:t xml:space="preserve">本项目中的货物全部由中小企业制造的，投标供应商享受中小企业扶持政策。</w:t>
      </w:r>
      <w:r/>
    </w:p>
    <w:p>
      <w:pPr>
        <w:ind w:firstLine="420"/>
        <w:spacing w:line="264" w:lineRule="auto"/>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64" w:lineRule="auto"/>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spacing w:line="264" w:lineRule="auto"/>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spacing w:line="264"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spacing w:line="264"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99"/>
        <w:ind w:firstLine="420"/>
        <w:spacing w:before="0" w:after="0" w:line="264"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spacing w:line="264" w:lineRule="auto"/>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264" w:lineRule="auto"/>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spacing w:line="264" w:lineRule="auto"/>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99"/>
        <w:ind w:firstLine="420"/>
        <w:spacing w:before="0" w:after="0" w:line="264"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spacing w:line="264" w:lineRule="auto"/>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264" w:lineRule="auto"/>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264" w:lineRule="auto"/>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264" w:lineRule="auto"/>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99"/>
        <w:ind w:firstLine="420"/>
        <w:spacing w:before="0" w:after="0" w:line="264"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spacing w:line="264" w:lineRule="auto"/>
        <w:widowControl/>
        <w:rPr>
          <w:rFonts w:hint="eastAsia"/>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99"/>
        <w:ind w:firstLine="420"/>
        <w:spacing w:before="0" w:after="0" w:line="264"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42.网络产品、市场准入类产品采购</w:t>
      </w:r>
      <w:r/>
    </w:p>
    <w:p>
      <w:pPr>
        <w:ind w:firstLine="420"/>
        <w:spacing w:line="252" w:lineRule="auto"/>
        <w:rPr>
          <w:rFonts w:hint="eastAsia" w:ascii="宋体" w:hAnsi="宋体"/>
          <w:sz w:val="24"/>
          <w:lang w:val="zh-CN"/>
        </w:rPr>
      </w:pPr>
      <w:r>
        <w:rPr>
          <w:rFonts w:hint="eastAsia" w:ascii="宋体" w:hAnsi="宋体"/>
          <w:sz w:val="24"/>
          <w:lang w:val="zh-CN"/>
        </w:rPr>
        <w:t xml:space="preserve">42.1本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hint="eastAsia" w:ascii="宋体" w:hAnsi="宋体"/>
          <w:sz w:val="24"/>
          <w:lang w:val="zh-CN"/>
        </w:rPr>
      </w:pPr>
      <w:r>
        <w:rPr>
          <w:rFonts w:hint="eastAsia" w:ascii="宋体" w:hAnsi="宋体"/>
          <w:sz w:val="24"/>
          <w:lang w:val="zh-CN"/>
        </w:rPr>
        <w:t xml:space="preserve">42.2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99"/>
        <w:ind w:firstLine="420"/>
        <w:spacing w:before="0" w:after="0" w:line="264"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spacing w:line="252" w:lineRule="auto"/>
        <w:rPr>
          <w:rFonts w:hint="eastAsia" w:ascii="宋体" w:hAnsi="宋体"/>
          <w:sz w:val="24"/>
          <w:lang w:val="zh-CN"/>
        </w:rPr>
      </w:pPr>
      <w:r>
        <w:rPr>
          <w:rFonts w:hint="eastAsia" w:ascii="宋体" w:hAnsi="宋体"/>
          <w:sz w:val="24"/>
          <w:lang w:val="zh-CN"/>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20"/>
        <w:spacing w:line="252" w:lineRule="auto"/>
        <w:rPr>
          <w:rFonts w:hint="eastAsia" w:ascii="宋体" w:hAnsi="宋体"/>
          <w:sz w:val="24"/>
          <w:lang w:val="zh-CN"/>
        </w:rPr>
      </w:pPr>
      <w:r>
        <w:rPr>
          <w:rFonts w:hint="eastAsia" w:ascii="宋体" w:hAnsi="宋体"/>
          <w:sz w:val="24"/>
          <w:lang w:val="zh-CN"/>
        </w:rPr>
        <w:t xml:space="preserve">43.2本国产品应当符合以下条件：</w:t>
      </w:r>
      <w:r/>
    </w:p>
    <w:p>
      <w:pPr>
        <w:ind w:firstLine="420"/>
        <w:spacing w:line="252" w:lineRule="auto"/>
        <w:rPr>
          <w:rFonts w:hint="eastAsia" w:ascii="宋体" w:hAnsi="宋体"/>
          <w:sz w:val="24"/>
          <w:lang w:val="zh-CN"/>
        </w:rPr>
      </w:pPr>
      <w:r>
        <w:rPr>
          <w:rFonts w:hint="eastAsia" w:ascii="宋体" w:hAnsi="宋体"/>
          <w:sz w:val="24"/>
          <w:lang w:val="zh-CN"/>
        </w:rPr>
        <w:t xml:space="preserve">（1）在中国境内生产</w:t>
      </w:r>
      <w:r/>
    </w:p>
    <w:p>
      <w:pPr>
        <w:ind w:firstLine="420"/>
        <w:spacing w:line="252" w:lineRule="auto"/>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spacing w:line="252" w:lineRule="auto"/>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252" w:lineRule="auto"/>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spacing w:line="252" w:lineRule="auto"/>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spacing w:line="252" w:lineRule="auto"/>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spacing w:line="252" w:lineRule="auto"/>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252" w:lineRule="auto"/>
        <w:rPr>
          <w:rFonts w:hint="eastAsia" w:ascii="宋体" w:hAnsi="宋体"/>
          <w:sz w:val="24"/>
          <w:lang w:val="zh-CN"/>
        </w:rPr>
      </w:pPr>
      <w:r>
        <w:rPr>
          <w:rFonts w:hint="eastAsia" w:ascii="宋体" w:hAnsi="宋体"/>
          <w:sz w:val="24"/>
          <w:lang w:val="zh-CN"/>
        </w:rPr>
        <w:t xml:space="preserve">43.3本国产品标准的适用范围</w:t>
      </w:r>
      <w:r/>
    </w:p>
    <w:p>
      <w:pPr>
        <w:ind w:firstLine="420"/>
        <w:spacing w:line="252" w:lineRule="auto"/>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52" w:lineRule="auto"/>
        <w:rPr>
          <w:rFonts w:hint="eastAsia" w:ascii="宋体" w:hAnsi="宋体"/>
          <w:sz w:val="24"/>
          <w:lang w:val="zh-CN"/>
        </w:rPr>
      </w:pPr>
      <w:r>
        <w:rPr>
          <w:rFonts w:hint="eastAsia" w:ascii="宋体" w:hAnsi="宋体"/>
          <w:sz w:val="24"/>
          <w:lang w:val="zh-CN"/>
        </w:rPr>
        <w:t xml:space="preserve">43.4对本国产品的支持政策</w:t>
      </w:r>
      <w:r/>
    </w:p>
    <w:p>
      <w:pPr>
        <w:ind w:firstLine="420"/>
        <w:spacing w:line="252" w:lineRule="auto"/>
        <w:rPr>
          <w:rFonts w:hint="eastAsia" w:ascii="宋体" w:hAnsi="宋体"/>
          <w:b/>
          <w:bCs/>
          <w:sz w:val="24"/>
          <w:lang w:val="zh-CN"/>
        </w:rPr>
      </w:pPr>
      <w:r>
        <w:rPr>
          <w:rFonts w:hint="eastAsia" w:ascii="宋体" w:hAnsi="宋体"/>
          <w:b/>
          <w:bCs/>
          <w:sz w:val="24"/>
          <w:lang w:val="zh-CN"/>
        </w:rPr>
        <w:t xml:space="preserve">本项目如既有本国产品又有非本国产品参与竞争，依法对本国产品给予价格评审优惠，具体详见第五章。</w:t>
      </w:r>
      <w:r/>
    </w:p>
    <w:p>
      <w:pPr>
        <w:ind w:firstLine="420"/>
        <w:spacing w:line="252" w:lineRule="auto"/>
        <w:rPr>
          <w:rFonts w:hint="eastAsia" w:ascii="宋体" w:hAnsi="宋体"/>
          <w:sz w:val="24"/>
          <w:lang w:val="zh-CN"/>
        </w:rPr>
      </w:pPr>
      <w:r>
        <w:rPr>
          <w:rFonts w:hint="eastAsia" w:ascii="宋体" w:hAnsi="宋体"/>
          <w:sz w:val="24"/>
          <w:lang w:val="zh-CN"/>
        </w:rPr>
        <w:t xml:space="preserve">43.5政策执行要求</w:t>
      </w:r>
      <w:r/>
    </w:p>
    <w:p>
      <w:pPr>
        <w:ind w:firstLine="420"/>
        <w:spacing w:line="252" w:lineRule="auto"/>
        <w:rPr>
          <w:rFonts w:hint="eastAsia" w:ascii="宋体" w:hAnsi="宋体"/>
          <w:sz w:val="24"/>
          <w:lang w:val="zh-CN"/>
        </w:rPr>
      </w:pPr>
      <w:r>
        <w:rPr>
          <w:rFonts w:hint="eastAsia" w:ascii="宋体" w:hAnsi="宋体"/>
          <w:sz w:val="24"/>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spacing w:line="252" w:lineRule="auto"/>
        <w:rPr>
          <w:rFonts w:hint="eastAsia" w:ascii="宋体" w:hAnsi="宋体"/>
          <w:b/>
          <w:bCs/>
          <w:sz w:val="24"/>
          <w:lang w:val="zh-CN"/>
        </w:rPr>
      </w:pPr>
      <w:r>
        <w:rPr>
          <w:rFonts w:hint="eastAsia" w:ascii="宋体" w:hAnsi="宋体"/>
          <w:sz w:val="24"/>
          <w:lang w:val="zh-CN"/>
        </w:rPr>
        <w:t xml:space="preserve">（2）有关证明文件。</w:t>
      </w:r>
      <w:r>
        <w:rPr>
          <w:rFonts w:hint="eastAsia" w:ascii="宋体" w:hAnsi="宋体"/>
          <w:b/>
          <w:bCs/>
          <w:sz w:val="24"/>
          <w:lang w:val="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spacing w:line="252" w:lineRule="auto"/>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spacing w:line="252" w:lineRule="auto"/>
        <w:rPr>
          <w:rFonts w:hint="eastAsia" w:ascii="宋体" w:hAnsi="宋体"/>
          <w:sz w:val="24"/>
          <w:lang w:val="zh-CN"/>
        </w:rPr>
      </w:pPr>
      <w:r>
        <w:rPr>
          <w:rFonts w:hint="eastAsia" w:ascii="宋体" w:hAnsi="宋体"/>
          <w:sz w:val="24"/>
          <w:lang w:val="zh-CN"/>
        </w:rPr>
      </w:r>
      <w:r/>
    </w:p>
    <w:p>
      <w:pPr>
        <w:ind w:firstLine="420"/>
        <w:spacing w:line="252" w:lineRule="auto"/>
        <w:rPr>
          <w:rFonts w:hint="eastAsia" w:ascii="宋体" w:hAnsi="宋体"/>
          <w:sz w:val="24"/>
          <w:lang w:val="zh-CN"/>
        </w:rPr>
      </w:pPr>
      <w:r>
        <w:rPr>
          <w:rFonts w:hint="eastAsia" w:ascii="宋体" w:hAnsi="宋体"/>
          <w:sz w:val="24"/>
          <w:lang w:val="zh-CN"/>
        </w:rPr>
      </w:r>
      <w:r/>
    </w:p>
    <w:p>
      <w:pPr>
        <w:ind w:firstLine="420"/>
        <w:spacing w:line="252" w:lineRule="auto"/>
        <w:rPr>
          <w:rFonts w:hint="eastAsia" w:ascii="宋体" w:hAnsi="宋体"/>
          <w:sz w:val="24"/>
          <w:lang w:val="zh-CN"/>
        </w:rPr>
      </w:pPr>
      <w:r>
        <w:rPr>
          <w:rFonts w:hint="eastAsia" w:ascii="宋体" w:hAnsi="宋体"/>
          <w:sz w:val="24"/>
          <w:lang w:val="zh-CN"/>
        </w:rPr>
      </w:r>
      <w:r/>
    </w:p>
    <w:p>
      <w:pPr>
        <w:pStyle w:val="718"/>
        <w:ind w:left="0" w:firstLine="0"/>
        <w:rPr>
          <w:rFonts w:hint="eastAsia"/>
          <w:lang w:val="en-US"/>
        </w:rPr>
      </w:pPr>
      <w:r>
        <w:rPr>
          <w:rFonts w:hint="eastAsia"/>
          <w:lang w:val="en-US"/>
        </w:rPr>
      </w:r>
      <w:r/>
    </w:p>
    <w:p>
      <w:pPr>
        <w:pStyle w:val="990"/>
        <w:ind w:left="0"/>
        <w:jc w:val="both"/>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rPr>
      </w:pPr>
      <w:r>
        <w:rPr>
          <w:rFonts w:hint="eastAsia"/>
        </w:rPr>
      </w:r>
      <w:r/>
    </w:p>
    <w:p>
      <w:pPr>
        <w:pStyle w:val="928"/>
        <w:rPr>
          <w:rFonts w:hint="eastAsia"/>
        </w:rPr>
      </w:pPr>
      <w:r>
        <w:rPr>
          <w:rFonts w:hint="eastAsia"/>
        </w:rPr>
      </w:r>
      <w:r/>
    </w:p>
    <w:p>
      <w:pPr>
        <w:pStyle w:val="990"/>
        <w:ind w:left="0"/>
        <w:jc w:val="center"/>
        <w:tabs>
          <w:tab w:val="left" w:pos="463" w:leader="none"/>
        </w:tabs>
        <w:rPr>
          <w:rFonts w:hint="eastAsia" w:ascii="黑体" w:hAnsi="Times New Roman" w:eastAsia="黑体" w:cs="Times New Roman"/>
          <w:color w:val="000000"/>
          <w:sz w:val="44"/>
          <w:szCs w:val="44"/>
        </w:rPr>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hint="eastAsia" w:ascii="宋体" w:hAnsi="宋体"/>
          <w:bCs/>
          <w:color w:val="000000"/>
          <w:sz w:val="24"/>
          <w:szCs w:val="21"/>
        </w:rPr>
      </w:pPr>
      <w:r/>
      <w:bookmarkStart w:id="173" w:name="_Toc513029243"/>
      <w:r/>
      <w:bookmarkStart w:id="174" w:name="_Toc20823315"/>
      <w:r/>
      <w:bookmarkStart w:id="175" w:name="_Toc1693855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outlineLvl w:val="0"/>
      </w:pPr>
      <w:r>
        <w:rPr>
          <w:rFonts w:hint="eastAsia" w:ascii="宋体" w:hAnsi="宋体"/>
          <w:b/>
          <w:color w:val="000000"/>
          <w:sz w:val="30"/>
          <w:szCs w:val="21"/>
        </w:rPr>
      </w:r>
      <w:r/>
    </w:p>
    <w:p>
      <w:pPr>
        <w:jc w:val="center"/>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u w:val="none"/>
        </w:rPr>
      </w:pPr>
      <w:r>
        <w:rPr>
          <w:rFonts w:hint="eastAsia" w:ascii="宋体" w:hAnsi="宋体" w:cs="Courier New"/>
          <w:color w:val="000000"/>
          <w:sz w:val="24"/>
          <w:szCs w:val="24"/>
        </w:rPr>
        <w:t xml:space="preserve">1.1 标的名称：</w:t>
      </w:r>
      <w:r>
        <w:rPr>
          <w:rFonts w:hint="eastAsia" w:ascii="宋体" w:hAnsi="宋体"/>
          <w:sz w:val="24"/>
          <w:szCs w:val="24"/>
          <w:highlight w:val="none"/>
          <w:u w:val="none"/>
          <w:lang w:val="en-US" w:eastAsia="zh-CN"/>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履行时间（期限）：合同签订后30个日历日</w:t>
      </w:r>
      <w:r>
        <w:rPr>
          <w:rFonts w:hint="eastAsia" w:ascii="宋体" w:hAnsi="宋体" w:cs="宋体"/>
          <w:color w:val="000000"/>
          <w:sz w:val="24"/>
          <w:szCs w:val="24"/>
        </w:rPr>
        <w:t xml:space="preserve">完成交货</w:t>
      </w:r>
      <w:r>
        <w:rPr>
          <w:rFonts w:hint="eastAsia" w:ascii="宋体" w:hAnsi="宋体" w:cs="Courier New"/>
          <w:color w:val="000000"/>
          <w:sz w:val="24"/>
          <w:szCs w:val="24"/>
        </w:rPr>
        <w:t xml:space="preserve">，投标人所投产品质保期限不低于六年（自验收报告签字确认日起开始进入质保期）</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935"/>
        <w:spacing w:line="264" w:lineRule="auto"/>
        <w:rPr>
          <w:rFonts w:hAnsi="宋体" w:cs="Courier New"/>
          <w:color w:val="000000"/>
          <w:sz w:val="24"/>
          <w:szCs w:val="24"/>
        </w:rPr>
      </w:pPr>
      <w:r>
        <w:rPr>
          <w:rFonts w:hAnsi="宋体" w:cs="Courier New"/>
          <w:color w:val="000000"/>
          <w:sz w:val="24"/>
          <w:szCs w:val="24"/>
        </w:rPr>
        <w:t xml:space="preserve">2.1</w:t>
      </w:r>
      <w:r>
        <w:rPr>
          <w:rFonts w:hint="eastAsia" w:hAnsi="宋体" w:cs="Courier New"/>
          <w:sz w:val="24"/>
          <w:szCs w:val="24"/>
        </w:rPr>
        <w:t xml:space="preserve">本合同金额为（大写）：____________________圆（____________________元）人民币。</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乙方应按招标文件规定的时间向甲方提供使用货物(包含与货物相关的服务)的有关技术资料。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3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73"/>
      <w:r/>
      <w:bookmarkEnd w:id="174"/>
      <w:r/>
      <w:bookmarkEnd w:id="175"/>
      <w:r/>
      <w:r/>
    </w:p>
    <w:p>
      <w:pPr>
        <w:pStyle w:val="935"/>
        <w:spacing w:before="120" w:after="120" w:line="264" w:lineRule="auto"/>
        <w:rPr>
          <w:rFonts w:hint="eastAsia" w:hAnsi="宋体" w:cs="Courier New"/>
          <w:sz w:val="24"/>
          <w:szCs w:val="24"/>
        </w:rPr>
      </w:pPr>
      <w:r/>
      <w:bookmarkStart w:id="176" w:name="_Hlt16619369"/>
      <w:r/>
      <w:bookmarkEnd w:id="176"/>
      <w:r/>
      <w:bookmarkStart w:id="177" w:name="_Hlt16619350"/>
      <w:r/>
      <w:bookmarkStart w:id="178" w:name="_Toc16938590"/>
      <w:r/>
      <w:bookmarkStart w:id="179" w:name="_Toc20823346"/>
      <w:r/>
      <w:bookmarkStart w:id="180" w:name="_Toc120614244"/>
      <w:r/>
      <w:bookmarkStart w:id="181" w:name="_Toc479757211"/>
      <w:r/>
      <w:bookmarkStart w:id="182" w:name="_Toc462564139"/>
      <w:r>
        <w:rPr>
          <w:rFonts w:hint="eastAsia" w:hAnsi="宋体" w:cs="Courier New"/>
          <w:sz w:val="24"/>
          <w:szCs w:val="24"/>
        </w:rPr>
        <w:t xml:space="preserve">  </w:t>
      </w:r>
      <w:r/>
    </w:p>
    <w:p>
      <w:pPr>
        <w:pStyle w:val="935"/>
        <w:spacing w:before="120" w:after="120" w:line="264" w:lineRule="auto"/>
        <w:rPr>
          <w:rFonts w:hint="eastAsia" w:hAnsi="宋体" w:cs="Courier New"/>
          <w:sz w:val="24"/>
          <w:szCs w:val="24"/>
        </w:rPr>
      </w:pPr>
      <w:r>
        <w:rPr>
          <w:rFonts w:hint="eastAsia" w:hAnsi="宋体" w:cs="Courier New"/>
          <w:sz w:val="24"/>
          <w:szCs w:val="24"/>
        </w:rPr>
        <w:t xml:space="preserve">甲  方：（公章）                       乙  方：（公章） </w:t>
      </w:r>
      <w:r/>
    </w:p>
    <w:p>
      <w:pPr>
        <w:pStyle w:val="935"/>
        <w:spacing w:before="120" w:after="120" w:line="264" w:lineRule="auto"/>
        <w:rPr>
          <w:rFonts w:hint="eastAsia" w:hAnsi="宋体" w:cs="Courier New"/>
          <w:sz w:val="24"/>
          <w:szCs w:val="24"/>
        </w:rPr>
      </w:pPr>
      <w:r>
        <w:rPr>
          <w:rFonts w:hint="eastAsia" w:hAnsi="宋体" w:cs="Courier New"/>
          <w:sz w:val="24"/>
          <w:szCs w:val="24"/>
        </w:rPr>
        <w:t xml:space="preserve">地  址：                               地  址： </w:t>
      </w:r>
      <w:r/>
    </w:p>
    <w:p>
      <w:pPr>
        <w:pStyle w:val="935"/>
        <w:spacing w:before="120" w:after="120" w:line="264" w:lineRule="auto"/>
        <w:rPr>
          <w:rFonts w:hint="eastAsia" w:hAnsi="宋体" w:cs="Courier New"/>
          <w:sz w:val="24"/>
          <w:szCs w:val="24"/>
        </w:rPr>
      </w:pPr>
      <w:r>
        <w:rPr>
          <w:rFonts w:hint="eastAsia" w:hAnsi="宋体" w:cs="Courier New"/>
          <w:sz w:val="24"/>
          <w:szCs w:val="24"/>
        </w:rPr>
        <w:t xml:space="preserve">法定代表人或授权代表：                 法定代表人或授权代表：</w:t>
      </w:r>
      <w:r/>
    </w:p>
    <w:p>
      <w:pPr>
        <w:pStyle w:val="935"/>
        <w:spacing w:before="120" w:after="120" w:line="264" w:lineRule="auto"/>
        <w:rPr>
          <w:rFonts w:hint="eastAsia" w:hAnsi="宋体" w:cs="Courier New"/>
          <w:sz w:val="24"/>
          <w:szCs w:val="24"/>
        </w:rPr>
      </w:pPr>
      <w:r>
        <w:rPr>
          <w:rFonts w:hint="eastAsia" w:hAnsi="宋体" w:cs="Courier New"/>
          <w:sz w:val="24"/>
          <w:szCs w:val="24"/>
        </w:rPr>
        <w:t xml:space="preserve">联系电话：                             联系电话：          </w:t>
      </w:r>
      <w:r/>
    </w:p>
    <w:p>
      <w:pPr>
        <w:pStyle w:val="935"/>
        <w:spacing w:before="120" w:after="120" w:line="264" w:lineRule="auto"/>
        <w:rPr>
          <w:rFonts w:hint="eastAsia" w:hAnsi="宋体" w:cs="Courier New"/>
          <w:sz w:val="24"/>
          <w:szCs w:val="24"/>
        </w:rPr>
      </w:pPr>
      <w:r>
        <w:rPr>
          <w:rFonts w:hint="eastAsia" w:hAnsi="宋体" w:cs="Courier New"/>
          <w:sz w:val="24"/>
          <w:szCs w:val="24"/>
        </w:rPr>
        <w:t xml:space="preserve">                                          </w:t>
      </w:r>
      <w:r/>
    </w:p>
    <w:p>
      <w:pPr>
        <w:pStyle w:val="935"/>
        <w:ind w:firstLine="4800"/>
        <w:spacing w:before="120" w:after="120" w:line="264" w:lineRule="auto"/>
        <w:rPr>
          <w:rFonts w:hint="eastAsia" w:hAnsi="宋体" w:cs="Courier New"/>
          <w:sz w:val="24"/>
          <w:szCs w:val="24"/>
        </w:rPr>
      </w:pPr>
      <w:r>
        <w:rPr>
          <w:rFonts w:hint="eastAsia" w:hAnsi="宋体" w:cs="Courier New"/>
          <w:sz w:val="24"/>
          <w:szCs w:val="24"/>
        </w:rPr>
        <w:t xml:space="preserve">签订日期：      </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935"/>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77"/>
      <w:r>
        <w:rPr>
          <w:rFonts w:hint="eastAsia" w:ascii="方正小标宋简体" w:hAnsi="方正小标宋简体" w:eastAsia="方正小标宋简体" w:cs="方正小标宋简体"/>
          <w:color w:val="000000"/>
          <w:sz w:val="36"/>
          <w:szCs w:val="36"/>
        </w:rPr>
        <w:t xml:space="preserve">四章  采购需求</w:t>
      </w:r>
      <w:bookmarkEnd w:id="178"/>
      <w:r/>
      <w:bookmarkEnd w:id="179"/>
      <w:r/>
      <w:bookmarkEnd w:id="180"/>
      <w:r/>
      <w:r/>
    </w:p>
    <w:p>
      <w:pPr>
        <w:ind w:firstLine="480"/>
        <w:spacing w:line="264" w:lineRule="auto"/>
        <w:rPr>
          <w:rFonts w:hint="eastAsia" w:ascii="黑体" w:hAnsi="黑体" w:eastAsia="黑体" w:cs="黑体"/>
          <w:color w:val="000000"/>
          <w:sz w:val="24"/>
          <w:szCs w:val="24"/>
        </w:rPr>
      </w:pPr>
      <w:r/>
      <w:bookmarkStart w:id="183" w:name="_Toc26554093"/>
      <w:r/>
      <w:bookmarkStart w:id="184"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rPr>
          <w:rFonts w:hint="eastAsia" w:ascii="宋体" w:hAnsi="宋体" w:cs="宋体"/>
          <w:bCs/>
          <w:sz w:val="24"/>
          <w:szCs w:val="24"/>
        </w:rPr>
      </w:pPr>
      <w:r>
        <w:rPr>
          <w:rFonts w:hint="eastAsia" w:ascii="宋体" w:hAnsi="宋体"/>
          <w:sz w:val="24"/>
          <w:szCs w:val="24"/>
        </w:rPr>
        <w:t xml:space="preserve">南京市江宁区教育技术装备中心拟采购一批各学校教学设备，决定对</w:t>
      </w:r>
      <w:r>
        <w:rPr>
          <w:rFonts w:hint="eastAsia" w:ascii="宋体" w:hAnsi="宋体"/>
          <w:color w:val="000000"/>
          <w:sz w:val="24"/>
          <w:szCs w:val="24"/>
        </w:rPr>
        <w:t xml:space="preserve">江宁区麒麟科创园学校等校教学设备</w:t>
      </w:r>
      <w:r>
        <w:rPr>
          <w:rFonts w:hint="eastAsia" w:ascii="宋体" w:hAnsi="宋体"/>
          <w:sz w:val="24"/>
          <w:szCs w:val="24"/>
        </w:rPr>
        <w:t xml:space="preserve">项目进行公开招标。供应商应负责设备的供应、安装、调试及售后。</w:t>
      </w:r>
      <w:r/>
    </w:p>
    <w:p>
      <w:pPr>
        <w:ind w:firstLine="480"/>
        <w:spacing w:line="264" w:lineRule="auto"/>
        <w:rPr>
          <w:rFonts w:ascii="宋体" w:hAnsi="宋体" w:cs="宋体"/>
          <w:sz w:val="24"/>
          <w:szCs w:val="28"/>
        </w:rPr>
      </w:pPr>
      <w:r>
        <w:rPr>
          <w:rFonts w:hint="eastAsia" w:ascii="宋体" w:hAnsi="宋体" w:cs="宋体"/>
          <w:bCs/>
          <w:sz w:val="24"/>
          <w:szCs w:val="24"/>
        </w:rPr>
        <w:t xml:space="preserve">本项目为班级多媒体设备采购，主要用于学校的班级教室的教学及展示使用。包含：</w:t>
      </w:r>
      <w:r/>
    </w:p>
    <w:p>
      <w:pPr>
        <w:ind w:firstLine="480"/>
        <w:spacing w:line="264" w:lineRule="auto"/>
        <w:rPr>
          <w:rFonts w:hint="default" w:ascii="宋体" w:hAnsi="宋体" w:eastAsia="宋体" w:cs="宋体"/>
          <w:b/>
          <w:bCs w:val="0"/>
          <w:color w:val="000000"/>
          <w:sz w:val="24"/>
          <w:szCs w:val="24"/>
          <w:lang w:val="en-US" w:eastAsia="zh-CN"/>
        </w:rPr>
      </w:pPr>
      <w:r>
        <w:rPr>
          <w:rFonts w:hint="eastAsia" w:ascii="宋体" w:hAnsi="宋体" w:cs="宋体"/>
          <w:bCs/>
          <w:color w:val="000000"/>
          <w:sz w:val="24"/>
          <w:szCs w:val="24"/>
        </w:rPr>
        <w:t xml:space="preserve">1、江宁上峰初级中学：智慧黑板</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11台，双侧副板（1）11块，内置ops电脑（1）11台，集控管理平台（1）11套，视频展台（1）11台，扩声设备11台，无线键鼠11套，智能AI电子笔11支，多媒体讲台11台，安装调试11套，线材辅助11套，旧设备拆除11套。</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2、江宁清水亭学校：智慧黑板</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20台，双侧副板（1）5块，双侧副板（2）15块，内置OPS电脑（1）20台，集控管理平台（1）20套，视频展台（1）20台、扩声设备20台，无线键鼠20套，智能AI电子笔20支，多媒体讲台19台，安装调试20套，线材辅助20套，旧设备拆除15套。</w:t>
      </w:r>
      <w:r/>
    </w:p>
    <w:p>
      <w:pPr>
        <w:ind w:firstLine="480"/>
        <w:spacing w:line="264" w:lineRule="auto"/>
        <w:rPr>
          <w:rFonts w:hint="default"/>
          <w:sz w:val="24"/>
          <w:szCs w:val="24"/>
          <w:lang w:val="en-US" w:eastAsia="zh-CN"/>
        </w:rPr>
      </w:pPr>
      <w:r>
        <w:rPr>
          <w:rFonts w:hint="eastAsia"/>
          <w:sz w:val="24"/>
          <w:szCs w:val="24"/>
        </w:rPr>
        <w:t xml:space="preserve">3、南京市礼尚路学校：智慧黑板</w:t>
      </w: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lang w:val="en-US" w:eastAsia="zh-CN"/>
        </w:rPr>
        <w:t xml:space="preserve">6台，数字互联侧板6块，内置ops电脑（2）6台，集控管理平台（2）6套，课程云盒6套，视频展台（2）6台，扩声设备6台，</w:t>
      </w:r>
      <w:r>
        <w:rPr>
          <w:rFonts w:hint="eastAsia" w:ascii="宋体" w:hAnsi="宋体" w:cs="宋体"/>
          <w:bCs/>
          <w:color w:val="000000"/>
          <w:sz w:val="24"/>
          <w:szCs w:val="24"/>
          <w:lang w:val="en-US" w:eastAsia="zh-CN"/>
        </w:rPr>
        <w:t xml:space="preserve">无线键鼠6套，智能AI电子笔6支，安装调试6套，线材辅6套。</w:t>
      </w:r>
      <w:r/>
    </w:p>
    <w:p>
      <w:pPr>
        <w:ind w:firstLine="480"/>
        <w:spacing w:line="264" w:lineRule="auto"/>
        <w:rPr>
          <w:rFonts w:hint="eastAsia" w:ascii="宋体" w:hAnsi="宋体" w:cs="宋体"/>
          <w:bCs/>
          <w:color w:val="000000"/>
          <w:sz w:val="24"/>
          <w:szCs w:val="24"/>
          <w:lang w:val="en-US" w:eastAsia="zh-CN"/>
        </w:rPr>
      </w:pPr>
      <w:r>
        <w:rPr>
          <w:rFonts w:hint="eastAsia" w:ascii="宋体" w:hAnsi="宋体" w:cs="宋体"/>
          <w:bCs/>
          <w:color w:val="000000"/>
          <w:sz w:val="24"/>
          <w:szCs w:val="24"/>
        </w:rPr>
        <w:t xml:space="preserve">4、南京市上秦淮小学：</w:t>
      </w:r>
      <w:r>
        <w:rPr>
          <w:rFonts w:hint="eastAsia"/>
          <w:sz w:val="24"/>
          <w:szCs w:val="24"/>
        </w:rPr>
        <w:t xml:space="preserve">智慧黑板</w:t>
      </w: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lang w:val="en-US" w:eastAsia="zh-CN"/>
        </w:rPr>
        <w:t xml:space="preserve">5台，数字互联侧板5块，内置ops电脑（2）5台，集控管理平台（2）5套，课程云盒5套，视频展台（2）5台，扩声设备5台，</w:t>
      </w:r>
      <w:r>
        <w:rPr>
          <w:rFonts w:hint="eastAsia" w:ascii="宋体" w:hAnsi="宋体" w:cs="宋体"/>
          <w:bCs/>
          <w:color w:val="000000"/>
          <w:sz w:val="24"/>
          <w:szCs w:val="24"/>
          <w:lang w:val="en-US" w:eastAsia="zh-CN"/>
        </w:rPr>
        <w:t xml:space="preserve">无线键鼠5套，智能AI电子笔5支，安装调试5套，线材辅5套。</w:t>
      </w:r>
      <w:r/>
    </w:p>
    <w:p>
      <w:pPr>
        <w:ind w:firstLine="480"/>
        <w:spacing w:line="264" w:lineRule="auto"/>
        <w:rPr>
          <w:rFonts w:hint="default"/>
          <w:lang w:val="en-US"/>
        </w:rPr>
      </w:pPr>
      <w:r>
        <w:rPr>
          <w:rFonts w:hint="eastAsia" w:ascii="宋体" w:hAnsi="宋体" w:cs="宋体"/>
          <w:bCs/>
          <w:color w:val="000000"/>
          <w:sz w:val="24"/>
          <w:szCs w:val="24"/>
          <w:lang w:val="en-US" w:eastAsia="zh-CN"/>
        </w:rPr>
        <w:t xml:space="preserve">5、其他：</w:t>
      </w:r>
      <w:r>
        <w:rPr>
          <w:rFonts w:hint="eastAsia" w:ascii="宋体" w:hAnsi="宋体" w:cs="宋体"/>
          <w:bCs/>
          <w:color w:val="000000"/>
          <w:sz w:val="24"/>
          <w:szCs w:val="24"/>
        </w:rPr>
        <w:t xml:space="preserve">智慧黑板</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8台，双侧副板（1）8块，内置ops电脑（1）8台，集控管理平台（1）8套，视频展台（1）8台，扩声设备8台，无线键鼠8套，智能AI电子笔8支，多媒体讲台8台，安装调试8套，线材辅助8套，旧设备拆除8套。</w:t>
      </w:r>
      <w:r/>
    </w:p>
    <w:p>
      <w:pPr>
        <w:numPr>
          <w:ilvl w:val="0"/>
          <w:numId w:val="6"/>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rPr>
          <w:rFonts w:hint="eastAsia" w:ascii="宋体" w:hAnsi="宋体"/>
          <w:sz w:val="24"/>
          <w:szCs w:val="24"/>
        </w:rPr>
      </w:pPr>
      <w:r>
        <w:rPr>
          <w:rFonts w:hint="eastAsia" w:ascii="宋体" w:hAnsi="宋体"/>
          <w:color w:val="000000"/>
          <w:sz w:val="24"/>
          <w:szCs w:val="24"/>
        </w:rPr>
        <w:t xml:space="preserve">2.</w:t>
      </w:r>
      <w:r>
        <w:rPr>
          <w:rFonts w:hint="eastAsia" w:ascii="宋体" w:hAnsi="宋体" w:cs="宋体"/>
          <w:bCs/>
          <w:sz w:val="24"/>
          <w:szCs w:val="24"/>
        </w:rPr>
        <w:t xml:space="preserve">固定资产须符合《市政府办公厅关于印发&lt;南京市市级行政事业单位资产配置标准&gt;、&lt;南京市市级行政事业单位资产使用年限标准&gt;（2016年修订版）的通知》</w:t>
      </w:r>
      <w:r>
        <w:rPr>
          <w:rFonts w:hint="eastAsia" w:ascii="宋体" w:hAnsi="宋体" w:cs="宋体"/>
          <w:bCs/>
          <w:sz w:val="24"/>
          <w:szCs w:val="24"/>
          <w:lang w:eastAsia="zh-CN"/>
        </w:rPr>
        <w:t xml:space="preserve">、</w:t>
      </w:r>
      <w:r>
        <w:rPr>
          <w:rFonts w:hint="eastAsia" w:ascii="宋体" w:hAnsi="宋体" w:cs="宋体"/>
          <w:bCs/>
          <w:sz w:val="24"/>
          <w:szCs w:val="24"/>
        </w:rPr>
        <w:t xml:space="preserve">《关于印发南京市中小学通用资产配置标准的通知》</w:t>
      </w:r>
      <w:r>
        <w:rPr>
          <w:rFonts w:hint="eastAsia" w:ascii="宋体" w:hAnsi="宋体" w:cs="宋体"/>
          <w:bCs/>
          <w:sz w:val="24"/>
          <w:szCs w:val="24"/>
          <w:lang w:eastAsia="zh-CN"/>
        </w:rPr>
        <w:t xml:space="preserve">、</w:t>
      </w:r>
      <w:r>
        <w:rPr>
          <w:rFonts w:hint="eastAsia" w:ascii="宋体" w:hAnsi="宋体" w:cs="宋体"/>
          <w:bCs/>
          <w:sz w:val="24"/>
          <w:szCs w:val="24"/>
        </w:rPr>
        <w:t xml:space="preserve">《关于印发〈江宁区区级行政事业单位资产配置标准〉、〈江宁区区级行政事业单位资产使用年限标准〉（2016年修订版）的通知》</w:t>
      </w:r>
      <w:r>
        <w:rPr>
          <w:rFonts w:hint="eastAsia" w:ascii="宋体" w:hAnsi="宋体"/>
          <w:sz w:val="24"/>
          <w:szCs w:val="24"/>
        </w:rPr>
        <w:t xml:space="preserve">。</w:t>
      </w:r>
      <w:r/>
    </w:p>
    <w:p>
      <w:pPr>
        <w:pStyle w:val="928"/>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rPr>
          <w:rFonts w:hint="eastAsia"/>
        </w:rPr>
      </w:r>
      <w:r/>
    </w:p>
    <w:p>
      <w:pPr>
        <w:pStyle w:val="929"/>
        <w:rPr>
          <w:rFonts w:hint="eastAsia"/>
        </w:rPr>
      </w:pPr>
      <w:r>
        <w:rPr>
          <w:rFonts w:hint="eastAsia"/>
        </w:rPr>
      </w:r>
      <w:r>
        <w:rPr>
          <w:rFonts w:hint="eastAsia"/>
        </w:rPr>
      </w:r>
      <w:r/>
    </w:p>
    <w:p>
      <w:pPr>
        <w:pStyle w:val="929"/>
        <w:rPr>
          <w:rFonts w:hint="eastAsia"/>
        </w:rPr>
      </w:pPr>
      <w:r>
        <w:rPr>
          <w:rFonts w:hint="eastAsia"/>
        </w:rPr>
      </w:r>
      <w:r/>
    </w:p>
    <w:p>
      <w:pPr>
        <w:pStyle w:val="929"/>
        <w:rPr>
          <w:rFonts w:hint="eastAsia"/>
        </w:rPr>
      </w:pPr>
      <w:r>
        <w:rPr>
          <w:rFonts w:hint="eastAsia"/>
        </w:rPr>
      </w:r>
      <w:r/>
    </w:p>
    <w:p>
      <w:pPr>
        <w:spacing w:line="264" w:lineRule="auto"/>
        <w:rPr>
          <w:rFonts w:hint="eastAsia" w:ascii="宋体" w:hAnsi="宋体" w:cs="宋体"/>
          <w:bCs/>
          <w:sz w:val="24"/>
          <w:szCs w:val="24"/>
        </w:rPr>
      </w:pPr>
      <w:r>
        <w:rPr>
          <w:rFonts w:hint="eastAsia" w:ascii="黑体" w:hAnsi="黑体" w:eastAsia="黑体" w:cs="黑体"/>
          <w:color w:val="000000"/>
          <w:sz w:val="24"/>
          <w:szCs w:val="24"/>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rPr>
        <w:t xml:space="preserve">清单</w:t>
      </w:r>
      <w:r/>
    </w:p>
    <w:tbl>
      <w:tblPr>
        <w:tblStyle w:val="741"/>
        <w:tblpPr w:horzAnchor="page" w:tblpX="695" w:vertAnchor="page" w:tblpY="1143" w:leftFromText="180" w:topFromText="0" w:rightFromText="180" w:bottomFromText="0"/>
        <w:tblW w:w="9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2197"/>
        <w:gridCol w:w="786"/>
        <w:gridCol w:w="557"/>
        <w:gridCol w:w="1326"/>
        <w:gridCol w:w="1096"/>
        <w:gridCol w:w="1043"/>
        <w:gridCol w:w="697"/>
        <w:gridCol w:w="1230"/>
      </w:tblGrid>
      <w:tr>
        <w:trPr>
          <w:trHeight w:val="655"/>
        </w:trPr>
        <w:tc>
          <w:tcPr>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序号</w:t>
            </w:r>
            <w:r/>
          </w:p>
        </w:tc>
        <w:tc>
          <w:tcPr>
            <w:tcW w:w="21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分项名称</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数量</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单位</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i w:val="0"/>
                <w:iCs w:val="0"/>
                <w:color w:val="000000"/>
                <w:sz w:val="22"/>
                <w:szCs w:val="22"/>
                <w:u w:val="none"/>
                <w:lang w:val="en-US" w:eastAsia="zh-CN" w:bidi="ar"/>
              </w:rPr>
              <w:t xml:space="preserve">单价上限（元）</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产品类型</w:t>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所属行业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属性</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i w:val="0"/>
                <w:iCs w:val="0"/>
                <w:color w:val="000000"/>
                <w:sz w:val="22"/>
                <w:szCs w:val="22"/>
                <w:u w:val="none"/>
                <w:lang w:val="en-US" w:eastAsia="zh-CN" w:bidi="ar"/>
              </w:rPr>
              <w:t xml:space="preserve">政府强制采购节能产品</w:t>
            </w:r>
            <w:r/>
          </w:p>
        </w:tc>
      </w:tr>
      <w:tr>
        <w:trPr>
          <w:trHeight w:val="978"/>
        </w:trPr>
        <w:tc>
          <w:tcPr>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1</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智慧黑板（1）</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39</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台</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10500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核心产品</w:t>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2</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双侧副板（1）</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24</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块</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4500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3</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双侧副板（2）</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15</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块</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4600</w:t>
            </w:r>
            <w:r/>
          </w:p>
        </w:tc>
        <w:tc>
          <w:tcPr>
            <w:shd w:val="clear" w:color="auto" w:fill="auto"/>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shd w:val="clear" w:color="auto" w:fill="auto"/>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shd w:val="clear" w:color="auto" w:fill="auto"/>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shd w:val="clear" w:color="auto" w:fill="auto"/>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4</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内置OPS电脑（1）</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39</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台</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3000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5</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color w:val="000000" w:themeColor="text1"/>
                <w:sz w:val="22"/>
                <w:szCs w:val="22"/>
                <w:lang w:val="en-US" w:eastAsia="zh-CN"/>
                <w14:textFill>
                  <w14:solidFill>
                    <w14:schemeClr w14:val="tx1"/>
                  </w14:solidFill>
                </w14:textFill>
              </w:rPr>
              <w:t xml:space="preserve">集控管理平台（1）</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39</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套</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300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6</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视频展台（1）</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39</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台</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1600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7</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color w:val="000000" w:themeColor="text1"/>
                <w:sz w:val="22"/>
                <w:szCs w:val="22"/>
                <w:lang w:val="en-US" w:eastAsia="zh-CN"/>
                <w14:textFill>
                  <w14:solidFill>
                    <w14:schemeClr w14:val="tx1"/>
                  </w14:solidFill>
                </w14:textFill>
              </w:rPr>
              <w:t xml:space="preserve">智慧黑板（2）</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11</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台</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10500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8</w:t>
            </w:r>
            <w:r/>
          </w:p>
        </w:tc>
        <w:tc>
          <w:tcPr>
            <w:tcW w:w="2197" w:type="dxa"/>
            <w:vAlign w:val="center"/>
            <w:textDirection w:val="lrTb"/>
            <w:noWrap w:val="false"/>
          </w:tcPr>
          <w:p>
            <w:pPr>
              <w:jc w:val="center"/>
              <w:spacing w:after="0" w:line="240" w:lineRule="auto"/>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sz w:val="22"/>
                <w:szCs w:val="22"/>
                <w:lang w:val="en-US" w:eastAsia="zh-CN"/>
              </w:rPr>
              <w:t xml:space="preserve">数字互联侧板</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11</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块</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4500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主要产品</w:t>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9</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内置OPS电脑（2）</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11</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台</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3000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10</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sz w:val="22"/>
                <w:szCs w:val="22"/>
                <w:lang w:val="en-US" w:eastAsia="zh-CN"/>
              </w:rPr>
              <w:t xml:space="preserve">集控管理平台（2）</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11</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套</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300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11</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sz w:val="22"/>
                <w:szCs w:val="22"/>
                <w:lang w:val="en-US" w:eastAsia="zh-CN"/>
              </w:rPr>
              <w:t xml:space="preserve">课程云盒</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11</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套</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 xml:space="preserve">1480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12</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SA"/>
              </w:rPr>
              <w:t xml:space="preserve">视频展台（2）</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11</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台</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1600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13</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SA"/>
              </w:rPr>
              <w:t xml:space="preserve">扩声设备</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50</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台</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2260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14</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rPr>
              <w:t xml:space="preserve">无线键鼠 </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50</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套</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250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15</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rPr>
              <w:t xml:space="preserve">智能AI电子笔</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50</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支</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300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16</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sz w:val="22"/>
                <w:szCs w:val="22"/>
                <w:lang w:val="en-US" w:eastAsia="zh-CN"/>
              </w:rPr>
              <w:t xml:space="preserve">多媒体讲台 </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38</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台</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2600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7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17</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安装调试</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50</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套</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950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i w:val="0"/>
                <w:iCs w:val="0"/>
                <w:color w:val="000000"/>
                <w:sz w:val="22"/>
                <w:szCs w:val="22"/>
                <w:u w:val="none"/>
                <w:lang w:val="en-US" w:eastAsia="zh-CN" w:bidi="ar"/>
              </w:rPr>
              <w:t xml:space="preserve">软件和信息技术服务业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服务</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655"/>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18</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color w:val="000000" w:themeColor="text1"/>
                <w:sz w:val="22"/>
                <w:szCs w:val="22"/>
                <w:lang w:val="en-US" w:eastAsia="zh-CN"/>
                <w14:textFill>
                  <w14:solidFill>
                    <w14:schemeClr w14:val="tx1"/>
                  </w14:solidFill>
                </w14:textFill>
              </w:rPr>
              <w:t xml:space="preserve">线材辅助</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50</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套</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500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工业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highlight w:val="none"/>
                <w:vertAlign w:val="baseline"/>
                <w:lang w:val="en-US" w:eastAsia="zh-CN"/>
              </w:rPr>
              <w:t xml:space="preserve">货物</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r>
        <w:trPr>
          <w:trHeight w:val="988"/>
        </w:trPr>
        <w:tc>
          <w:tcPr>
            <w:shd w:val="clear" w:color="auto" w:fill="auto"/>
            <w:tcW w:w="603"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19</w:t>
            </w:r>
            <w:r/>
          </w:p>
        </w:tc>
        <w:tc>
          <w:tcPr>
            <w:tcW w:w="2197"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2"/>
                <w:szCs w:val="22"/>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lang w:val="en-US" w:eastAsia="zh-CN"/>
                <w14:textFill>
                  <w14:solidFill>
                    <w14:schemeClr w14:val="tx1"/>
                  </w14:solidFill>
                </w14:textFill>
              </w:rPr>
              <w:t xml:space="preserve">旧设备拆除</w:t>
            </w:r>
            <w:r/>
          </w:p>
        </w:tc>
        <w:tc>
          <w:tcPr>
            <w:tcW w:w="78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34</w:t>
            </w:r>
            <w:r/>
          </w:p>
        </w:tc>
        <w:tc>
          <w:tcPr>
            <w:tcW w:w="55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套</w:t>
            </w:r>
            <w:r/>
          </w:p>
        </w:tc>
        <w:tc>
          <w:tcPr>
            <w:tcW w:w="132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t xml:space="preserve">600</w:t>
            </w:r>
            <w:r/>
          </w:p>
        </w:tc>
        <w:tc>
          <w:tcPr>
            <w:tcW w:w="1096"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bidi="ar-SA"/>
              </w:rPr>
            </w:r>
            <w:r/>
          </w:p>
        </w:tc>
        <w:tc>
          <w:tcPr>
            <w:tcW w:w="1043" w:type="dxa"/>
            <w:vAlign w:val="center"/>
            <w:textDirection w:val="lrTb"/>
            <w:noWrap w:val="false"/>
          </w:tcPr>
          <w:p>
            <w:pP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i w:val="0"/>
                <w:iCs w:val="0"/>
                <w:color w:val="000000"/>
                <w:sz w:val="22"/>
                <w:szCs w:val="22"/>
                <w:u w:val="none"/>
                <w:lang w:val="en-US" w:eastAsia="zh-CN" w:bidi="ar"/>
              </w:rPr>
              <w:t xml:space="preserve">软件和信息技术服务业</w:t>
            </w:r>
            <w:r/>
          </w:p>
        </w:tc>
        <w:tc>
          <w:tcPr>
            <w:tcW w:w="697"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bidi="ar-SA"/>
              </w:rPr>
            </w:pPr>
            <w:r>
              <w:rPr>
                <w:rFonts w:hint="eastAsia" w:ascii="宋体" w:hAnsi="宋体" w:eastAsia="宋体" w:cs="宋体"/>
                <w:sz w:val="22"/>
                <w:szCs w:val="22"/>
                <w:vertAlign w:val="baseline"/>
                <w:lang w:val="en-US" w:eastAsia="zh-CN"/>
              </w:rPr>
              <w:t xml:space="preserve">服务</w:t>
            </w:r>
            <w:r/>
          </w:p>
        </w:tc>
        <w:tc>
          <w:tcPr>
            <w:tcW w:w="1230" w:type="dxa"/>
            <w:vAlign w:val="center"/>
            <w:textDirection w:val="lrTb"/>
            <w:noWrap w:val="false"/>
          </w:tcPr>
          <w:p>
            <w:pPr>
              <w:jc w:val="center"/>
              <w:spacing w:after="0" w:line="240" w:lineRule="auto"/>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r>
            <w:r/>
          </w:p>
        </w:tc>
      </w:tr>
    </w:tbl>
    <w:p>
      <w:pPr>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19"/>
        <w:rPr>
          <w:rFonts w:hint="eastAsia" w:ascii="黑体" w:hAnsi="黑体" w:eastAsia="黑体" w:cs="黑体"/>
          <w:sz w:val="24"/>
          <w:szCs w:val="24"/>
        </w:rPr>
      </w:pPr>
      <w:r>
        <w:rPr>
          <w:rFonts w:hint="eastAsia" w:ascii="黑体" w:hAnsi="黑体" w:eastAsia="黑体" w:cs="黑体"/>
          <w:sz w:val="24"/>
          <w:szCs w:val="24"/>
        </w:rPr>
      </w:r>
      <w:r/>
    </w:p>
    <w:p>
      <w:pPr>
        <w:pStyle w:val="746"/>
        <w:rPr>
          <w:rFonts w:hint="eastAsia" w:ascii="黑体" w:hAnsi="黑体" w:eastAsia="黑体" w:cs="黑体"/>
          <w:sz w:val="24"/>
          <w:szCs w:val="24"/>
        </w:rPr>
      </w:pPr>
      <w:r>
        <w:rPr>
          <w:rFonts w:hint="eastAsia" w:ascii="黑体" w:hAnsi="黑体" w:eastAsia="黑体" w:cs="黑体"/>
          <w:sz w:val="24"/>
          <w:szCs w:val="24"/>
        </w:rPr>
      </w:r>
      <w:r/>
    </w:p>
    <w:p>
      <w:pPr>
        <w:pStyle w:val="746"/>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18"/>
        <w:rPr>
          <w:rFonts w:hint="eastAsia" w:ascii="黑体" w:hAnsi="黑体" w:eastAsia="黑体" w:cs="黑体"/>
          <w:sz w:val="24"/>
          <w:szCs w:val="24"/>
        </w:rPr>
      </w:pPr>
      <w:r>
        <w:rPr>
          <w:rFonts w:hint="eastAsia" w:ascii="黑体" w:hAnsi="黑体" w:eastAsia="黑体" w:cs="黑体"/>
          <w:sz w:val="24"/>
          <w:szCs w:val="24"/>
        </w:rPr>
      </w:r>
      <w:r/>
    </w:p>
    <w:p>
      <w:pPr>
        <w:rPr>
          <w:rFonts w:hint="eastAsia" w:ascii="黑体" w:hAnsi="黑体" w:eastAsia="黑体" w:cs="黑体"/>
          <w:sz w:val="24"/>
          <w:szCs w:val="24"/>
        </w:rPr>
      </w:pPr>
      <w:r>
        <w:rPr>
          <w:rFonts w:hint="eastAsia" w:ascii="黑体" w:hAnsi="黑体" w:eastAsia="黑体" w:cs="黑体"/>
          <w:sz w:val="24"/>
          <w:szCs w:val="24"/>
        </w:rPr>
      </w:r>
      <w:r/>
    </w:p>
    <w:p>
      <w:pPr>
        <w:pStyle w:val="718"/>
        <w:rPr>
          <w:rFonts w:hint="eastAsia" w:ascii="黑体" w:hAnsi="黑体" w:eastAsia="黑体" w:cs="黑体"/>
          <w:sz w:val="24"/>
          <w:szCs w:val="24"/>
        </w:rPr>
      </w:pPr>
      <w:r>
        <w:rPr>
          <w:rFonts w:hint="eastAsia" w:ascii="黑体" w:hAnsi="黑体" w:eastAsia="黑体" w:cs="黑体"/>
          <w:sz w:val="24"/>
          <w:szCs w:val="24"/>
        </w:rPr>
      </w:r>
      <w:r/>
    </w:p>
    <w:p>
      <w:pPr>
        <w:rPr>
          <w:rFonts w:hint="eastAsia" w:ascii="黑体" w:hAnsi="黑体" w:eastAsia="黑体" w:cs="黑体"/>
          <w:sz w:val="24"/>
          <w:szCs w:val="24"/>
        </w:rPr>
      </w:pPr>
      <w:r>
        <w:rPr>
          <w:rFonts w:hint="eastAsia" w:ascii="黑体" w:hAnsi="黑体" w:eastAsia="黑体" w:cs="黑体"/>
          <w:sz w:val="24"/>
          <w:szCs w:val="24"/>
        </w:rPr>
      </w:r>
      <w:r/>
    </w:p>
    <w:p>
      <w:pPr>
        <w:pStyle w:val="718"/>
        <w:rPr>
          <w:rFonts w:hint="eastAsia" w:ascii="黑体" w:hAnsi="黑体" w:eastAsia="黑体" w:cs="黑体"/>
          <w:sz w:val="24"/>
          <w:szCs w:val="24"/>
        </w:rPr>
      </w:pPr>
      <w:r>
        <w:rPr>
          <w:rFonts w:hint="eastAsia" w:ascii="黑体" w:hAnsi="黑体" w:eastAsia="黑体" w:cs="黑体"/>
          <w:sz w:val="24"/>
          <w:szCs w:val="24"/>
        </w:rPr>
      </w:r>
      <w:r/>
    </w:p>
    <w:p>
      <w:pPr>
        <w:rPr>
          <w:rFonts w:hint="eastAsia" w:ascii="黑体" w:hAnsi="黑体" w:eastAsia="黑体" w:cs="黑体"/>
          <w:sz w:val="24"/>
          <w:szCs w:val="24"/>
        </w:rPr>
      </w:pPr>
      <w:r>
        <w:rPr>
          <w:rFonts w:hint="eastAsia" w:ascii="黑体" w:hAnsi="黑体" w:eastAsia="黑体" w:cs="黑体"/>
          <w:sz w:val="24"/>
          <w:szCs w:val="24"/>
        </w:rPr>
      </w:r>
      <w:r/>
    </w:p>
    <w:p>
      <w:pPr>
        <w:pStyle w:val="718"/>
        <w:rPr>
          <w:rFonts w:hint="eastAsia"/>
        </w:rPr>
      </w:pPr>
      <w:r>
        <w:rPr>
          <w:rFonts w:hint="eastAsia"/>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（一）技术要求</w:t>
      </w:r>
      <w:r/>
    </w:p>
    <w:p>
      <w:pPr>
        <w:ind w:firstLine="480"/>
        <w:spacing w:line="264" w:lineRule="auto"/>
        <w:rPr>
          <w:rFonts w:hint="eastAsia"/>
        </w:rPr>
      </w:pPr>
      <w:r>
        <w:rPr>
          <w:rFonts w:hint="eastAsia" w:ascii="宋体" w:hAnsi="宋体" w:cs="宋体"/>
          <w:bCs/>
          <w:color w:val="000000"/>
          <w:sz w:val="24"/>
          <w:szCs w:val="24"/>
        </w:rPr>
        <w:t xml:space="preserve">1.产品技术指标</w:t>
      </w:r>
      <w:r/>
    </w:p>
    <w:tbl>
      <w:tblPr>
        <w:tblStyle w:val="717"/>
        <w:tblW w:w="988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2"/>
        <w:gridCol w:w="997"/>
        <w:gridCol w:w="803"/>
        <w:gridCol w:w="7379"/>
      </w:tblGrid>
      <w:tr>
        <w:trPr/>
        <w:tc>
          <w:tcPr>
            <w:tcW w:w="702"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997"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产品</w:t>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要求</w:t>
            </w:r>
            <w:r/>
          </w:p>
        </w:tc>
        <w:tc>
          <w:tcPr>
            <w:tcW w:w="7379"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功能、性能、配置要求</w:t>
            </w:r>
            <w:r/>
          </w:p>
        </w:tc>
      </w:tr>
      <w:tr>
        <w:trPr>
          <w:trHeight w:val="707"/>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997" w:type="dxa"/>
            <w:vAlign w:val="center"/>
            <w:vMerge w:val="restart"/>
            <w:textDirection w:val="lrTb"/>
            <w:noWrap w:val="false"/>
          </w:tcPr>
          <w:p>
            <w:pP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智慧黑板（1）</w:t>
            </w:r>
            <w:r/>
          </w:p>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250"/>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非实质性要求</w:t>
            </w:r>
            <w:r/>
          </w:p>
        </w:tc>
        <w:tc>
          <w:tcPr>
            <w:tcW w:w="7379" w:type="dxa"/>
            <w:vAlign w:val="center"/>
            <w:textDirection w:val="lrTb"/>
            <w:noWrap w:val="false"/>
          </w:tcPr>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一、整体要求：</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1、智慧黑板整体尺寸：液晶显示屏≥86英寸，显示比例：16:9，分辨率不小于3840×2160，4K UHD超高清。屏幕亮度：≥350cd/㎡；</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2、采用电容触控技术，手指、触控笔轻触、实现多点互动、多人同时流畅书写，并支持40点触控；</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3、整机采用三拼接平面一体化设计，无外露连接线，整机两侧副屏可支持多种媒介进行板书书写，主屏采用3.2mm防眩钢化玻璃；</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4、前置端口：≥3路双通道 PC/Android 共享 USB 接口 、≥1 路Touch-USB、≥1 路 HDMI输入接口、≥1路TYPE-C输入接口，方便用户拓展使用；</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5、前置接口保护：前置接口具备翻转保护盖，有效防止灰尘等杂物对接口的侵蚀；</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6、设备自带两支可磁吸式触控笔，并可吸附在设备正面。</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7、前置不少于八个物理按键包含：开关机、信号源、菜单、音量+、音量-、节能、主页、电脑，并具有隐藏式电脑一键还原按钮；</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8、内置高性能安卓14.0系统平台，RAM≥4GB，ROM≥32GB，并支持蓝牙5.0技术；</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9、支持同时四画面无线传屏，并支持反向控制，双向控制，支持扫码传屏，支持手机、PAD和电脑多终端平台使用；</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10、后置接口：≥HDMI×1、≥USB×2、≥Touch USB×1、≥COAX×1、≥TF CARD×1、≥EARPHONE×1、≥RJ45×1、≥R232×1、≥VGA×1、≥PC audio×1；</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11、智能护眼：设备具有全通道减滤蓝光护眼功能，具有检测到用户触摸屏幕时，自动调节屏幕亮度以减小对眼睛的刺激，并具有纸质护眼功能，全通道实现多种不同类型纸质护眼效果；</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12、信号源：支持用户自定义开机后直接进入对应通道画面，支持自定义设置安卓系统、内置电脑（OPS）、HDMI、上一次通道等、如果HDMI/VGA等有信号时可自动开机、并支持接入信号源时，可自动跳转到对应通道，并可在任意通道下将画面冻结；</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13、支持可以任意场景下截取屏幕内容，可调节大小部分截取、或者全屏截取，并具有支持一个按键将屏幕下移，方便老师操作，并具有全通道录屏功能，录屏的同时，可录制MIC输入声音、系统声音、可将屏幕UI、通道信号内容内容一起录制下来；</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14、支持手势快捷功能设定，可设置五指上滑、下滑、左滑、右滑可分别对应不同快捷功能，例如息屏、降屏、打开批注、切换到OPS、降屏等，此功能可单独开启和关闭；</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15、具有应用锁功能，可通密码锁定客户指定的APP，打开APP时需要输入密码，并可通过可通过U盘放置特定文件，插拔U盘时解除/锁定屏幕，打开后系统将U盘访问权限锁定，用户无法通过U盘拷贝资料；</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16、自带白板功能：支持笔可设置不同颜色、粗细，并支持三角板、直尺、圆规、量角器等数学工具，支持三角形、多边形、直线、虚线、箭头等十多种规则图形绘制，支持正方体、长方体、圆柱、圆锥等3D图形插入，并可多方协同书写，屏幕可同时启动2/3/4个白板，分开左右区域显示，并可通过二维码分享白板内容；</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17、其它要求：支持定时器、投票器、幕布、放大镜、聚光灯、录屏等小工具，并具有对触控单元、OPS模块、光感系统、网络模块等模块进行检测，一键清理缓存等垃圾文件清理，一键加速优化后台任务，增加ram可用空间；</w:t>
            </w:r>
            <w:r/>
          </w:p>
          <w:p>
            <w:pPr>
              <w:jc w:val="left"/>
              <w:spacing w:line="264" w:lineRule="auto"/>
              <w:rPr>
                <w:rFonts w:hint="eastAsia" w:ascii="宋体" w:hAnsi="宋体" w:eastAsia="宋体" w:cs="宋体"/>
                <w:sz w:val="24"/>
                <w:szCs w:val="24"/>
              </w:rPr>
            </w:pPr>
            <w:r>
              <w:rPr>
                <w:rFonts w:hint="eastAsia" w:ascii="宋体" w:hAnsi="宋体" w:eastAsia="宋体" w:cs="宋体"/>
                <w:color w:val="auto"/>
                <w:sz w:val="24"/>
                <w:szCs w:val="24"/>
                <w:lang w:val="en-US" w:eastAsia="zh-CN" w:bidi="ar-SA"/>
              </w:rPr>
              <w:t xml:space="preserve">18、摄像头及麦克风：可根据要求配备≥1300 万像素摄像头及8阵列麦克风。</w:t>
            </w:r>
            <w:r/>
          </w:p>
        </w:tc>
      </w:tr>
      <w:tr>
        <w:trPr>
          <w:trHeight w:val="90"/>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i w:val="0"/>
                <w:iCs w:val="0"/>
                <w:color w:val="000000"/>
                <w:sz w:val="24"/>
                <w:szCs w:val="24"/>
                <w:u w:val="none"/>
                <w:lang w:val="en-US" w:eastAsia="zh-CN" w:bidi="ar"/>
              </w:rPr>
              <w:t xml:space="preserve">双侧副板（1）</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2437"/>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非实质性要求</w:t>
            </w:r>
            <w:r/>
          </w:p>
        </w:tc>
        <w:tc>
          <w:tcPr>
            <w:tcW w:w="7379" w:type="dxa"/>
            <w:vAlign w:val="center"/>
            <w:textDirection w:val="lrTb"/>
            <w:noWrap w:val="false"/>
          </w:tcPr>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1、结构：两块装组合，与智慧黑板主屏拼接使用；</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2、基本尺寸：高度≥1140mm，宽度≥1100mm；</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3、板面：采用烤漆板面，亚光、黑色，铅笔硬度≥9H；</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4、背板：采用钢板，机械化流水线一次成型；</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5、支持成膜笔、水性笔、粉笔等各种笔书写；</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6、支持带磁性教具、黑板擦等设备磁吸方便使用；</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7、副板与主屏连接具有按压卡扣方式方便调节。</w:t>
            </w:r>
            <w:r/>
          </w:p>
        </w:tc>
      </w:tr>
      <w:tr>
        <w:trPr>
          <w:trHeight w:val="617"/>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color w:val="000000" w:themeColor="text1"/>
                <w:sz w:val="24"/>
                <w:szCs w:val="24"/>
                <w:lang w:val="en-US" w:eastAsia="zh-CN"/>
                <w14:textFill>
                  <w14:solidFill>
                    <w14:schemeClr w14:val="tx1"/>
                  </w14:solidFill>
                </w14:textFill>
              </w:rPr>
              <w:t xml:space="preserve">双侧副板（2）</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2240"/>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非实质性要求</w:t>
            </w:r>
            <w:r/>
          </w:p>
        </w:tc>
        <w:tc>
          <w:tcPr>
            <w:tcW w:w="7379" w:type="dxa"/>
            <w:vAlign w:val="center"/>
            <w:textDirection w:val="lrTb"/>
            <w:noWrap w:val="false"/>
          </w:tcPr>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1、结构：两块装组合，与智慧黑板主屏拼接使用，整体尺</w:t>
            </w:r>
            <w:r>
              <w:rPr>
                <w:rFonts w:hint="eastAsia" w:ascii="宋体" w:hAnsi="宋体" w:eastAsia="宋体" w:cs="宋体"/>
                <w:bCs/>
                <w:sz w:val="24"/>
                <w:szCs w:val="24"/>
                <w:lang w:val="en-US" w:eastAsia="zh-CN"/>
              </w:rPr>
              <w:t xml:space="preserve">寸≥</w:t>
            </w:r>
            <w:r>
              <w:rPr>
                <w:rFonts w:hint="eastAsia" w:ascii="宋体" w:hAnsi="宋体" w:eastAsia="宋体" w:cs="宋体"/>
                <w:bCs/>
                <w:sz w:val="24"/>
                <w:szCs w:val="24"/>
              </w:rPr>
              <w:t xml:space="preserve">4800mm；</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2、基本尺寸：高度≥1140mm，宽度≥1400mm；</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3、板面：采用烤漆板面，亚光、黑色，铅笔硬度≥9H；</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4、背板：采用钢板，机械化流水线一次成型；</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5、支持成膜笔、水性笔、粉笔等各种笔书写；</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6、支持带磁性教具、黑板擦等设备磁吸方便使用；</w:t>
            </w:r>
            <w:r/>
          </w:p>
          <w:p>
            <w:pPr>
              <w:jc w:val="left"/>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7、副板与主屏连接具有按压卡扣方式方便调节。</w:t>
            </w:r>
            <w:r/>
          </w:p>
        </w:tc>
      </w:tr>
      <w:tr>
        <w:trPr>
          <w:trHeight w:val="90"/>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p>
        </w:tc>
        <w:tc>
          <w:tcPr>
            <w:tcW w:w="997" w:type="dxa"/>
            <w:vAlign w:val="center"/>
            <w:vMerge w:val="restart"/>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内置OPS电脑（1）</w:t>
            </w:r>
            <w:r/>
          </w:p>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pStyle w:val="718"/>
              <w:numPr>
                <w:ilvl w:val="0"/>
                <w:numId w:val="7"/>
              </w:numPr>
              <w:ind w:left="0" w:firstLine="0"/>
              <w:rPr>
                <w:rFonts w:hint="eastAsia" w:ascii="宋体" w:hAnsi="宋体" w:eastAsia="宋体" w:cs="宋体"/>
                <w:sz w:val="24"/>
                <w:szCs w:val="24"/>
              </w:rPr>
            </w:pPr>
            <w:r>
              <w:rPr>
                <w:rFonts w:hint="eastAsia" w:ascii="宋体" w:hAnsi="宋体" w:eastAsia="宋体" w:cs="宋体"/>
                <w:color w:val="000000"/>
                <w:sz w:val="24"/>
                <w:szCs w:val="24"/>
              </w:rPr>
              <w:t xml:space="preserve">CPU</w:t>
            </w:r>
            <w:r>
              <w:rPr>
                <w:rFonts w:hint="eastAsia" w:ascii="宋体" w:hAnsi="宋体" w:eastAsia="宋体" w:cs="宋体"/>
                <w:sz w:val="24"/>
                <w:szCs w:val="24"/>
              </w:rPr>
              <w:t xml:space="preserve">主频</w:t>
            </w:r>
            <w:r>
              <w:rPr>
                <w:rFonts w:hint="eastAsia" w:ascii="宋体" w:hAnsi="宋体" w:eastAsia="宋体" w:cs="宋体"/>
                <w:bCs/>
                <w:sz w:val="24"/>
                <w:szCs w:val="24"/>
              </w:rPr>
              <w:t xml:space="preserve">≥2.0GHz，</w:t>
            </w:r>
            <w:r>
              <w:rPr>
                <w:rFonts w:hint="eastAsia" w:ascii="宋体" w:hAnsi="宋体" w:eastAsia="宋体" w:cs="宋体"/>
                <w:bCs/>
                <w:sz w:val="24"/>
                <w:szCs w:val="24"/>
                <w:highlight w:val="none"/>
                <w:lang w:eastAsia="zh-CN"/>
              </w:rPr>
              <w:t xml:space="preserve">不低于</w:t>
            </w:r>
            <w:r>
              <w:rPr>
                <w:rFonts w:hint="eastAsia" w:ascii="宋体" w:hAnsi="宋体" w:eastAsia="宋体" w:cs="宋体"/>
                <w:bCs/>
                <w:sz w:val="24"/>
                <w:szCs w:val="24"/>
              </w:rPr>
              <w:t xml:space="preserve">8核心12线程</w:t>
            </w:r>
            <w:r>
              <w:rPr>
                <w:rFonts w:hint="eastAsia" w:ascii="宋体" w:hAnsi="宋体" w:eastAsia="宋体" w:cs="宋体"/>
                <w:sz w:val="24"/>
                <w:szCs w:val="24"/>
              </w:rPr>
              <w:t xml:space="preserve">；</w:t>
            </w:r>
            <w:r/>
          </w:p>
          <w:p>
            <w:pPr>
              <w:pStyle w:val="718"/>
              <w:numPr>
                <w:ilvl w:val="0"/>
                <w:numId w:val="7"/>
              </w:numPr>
              <w:ind w:left="0" w:firstLine="0"/>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rPr>
              <w:t xml:space="preserve">内存不低于16GB DDR4；</w:t>
            </w:r>
            <w:r/>
          </w:p>
          <w:p>
            <w:pPr>
              <w:pStyle w:val="718"/>
              <w:numPr>
                <w:ilvl w:val="0"/>
                <w:numId w:val="7"/>
              </w:numPr>
              <w:ind w:left="0" w:firstLine="0"/>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rPr>
              <w:t xml:space="preserve">硬盘不低于512GB固态硬盘。</w:t>
            </w:r>
            <w:r/>
          </w:p>
          <w:p>
            <w:pPr>
              <w:jc w:val="left"/>
              <w:tabs>
                <w:tab w:val="left" w:pos="1071" w:leader="none"/>
              </w:tabs>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000000"/>
                <w:sz w:val="24"/>
                <w:szCs w:val="24"/>
              </w:rPr>
              <w:t xml:space="preserve">（提供相关证明材料</w:t>
            </w:r>
            <w:r>
              <w:rPr>
                <w:rFonts w:hint="eastAsia" w:ascii="宋体" w:hAnsi="宋体" w:eastAsia="宋体" w:cs="宋体"/>
                <w:b/>
                <w:bCs/>
                <w:color w:val="000000"/>
                <w:sz w:val="24"/>
                <w:szCs w:val="24"/>
                <w:lang w:val="en-US" w:eastAsia="zh-CN"/>
              </w:rPr>
              <w:t xml:space="preserve">上传至系统</w:t>
            </w:r>
            <w:r>
              <w:rPr>
                <w:rFonts w:hint="eastAsia" w:ascii="宋体" w:hAnsi="宋体" w:eastAsia="宋体" w:cs="宋体"/>
                <w:sz w:val="24"/>
                <w:szCs w:val="24"/>
                <w:lang w:eastAsia="zh-CN"/>
              </w:rPr>
              <w:t xml:space="preserve">，</w:t>
            </w:r>
            <w:r>
              <w:rPr>
                <w:rFonts w:hint="eastAsia" w:ascii="宋体" w:hAnsi="宋体" w:eastAsia="宋体" w:cs="宋体"/>
                <w:b/>
                <w:bCs/>
                <w:color w:val="000000"/>
                <w:sz w:val="24"/>
                <w:szCs w:val="24"/>
                <w:lang w:val="en-US" w:eastAsia="zh-CN"/>
              </w:rPr>
              <w:t xml:space="preserve">未提供作无效投标处理。</w:t>
            </w:r>
            <w:r>
              <w:rPr>
                <w:rFonts w:hint="eastAsia" w:ascii="宋体" w:hAnsi="宋体" w:eastAsia="宋体" w:cs="宋体"/>
                <w:b/>
                <w:bCs/>
                <w:color w:val="000000"/>
                <w:sz w:val="24"/>
                <w:szCs w:val="24"/>
              </w:rPr>
              <w:t xml:space="preserve">）</w:t>
            </w:r>
            <w:r/>
          </w:p>
        </w:tc>
      </w:tr>
      <w:tr>
        <w:trPr>
          <w:trHeight w:val="2124"/>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pStyle w:val="718"/>
              <w:ind w:left="0"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1、开放式可插接INTEL规范接口（OPS接口），双面合计80针；</w:t>
            </w:r>
            <w:r/>
          </w:p>
          <w:p>
            <w:pPr>
              <w:pStyle w:val="718"/>
              <w:ind w:left="0"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2、支持WIFI无线网络，带双天线，带RJ45接口100M/1000Mbs；</w:t>
            </w:r>
            <w:r/>
          </w:p>
          <w:p>
            <w:pPr>
              <w:pStyle w:val="718"/>
              <w:ind w:left="0"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3、具备电源（POWER）开关按键；</w:t>
            </w:r>
            <w:r/>
          </w:p>
          <w:p>
            <w:pPr>
              <w:jc w:val="left"/>
              <w:spacing w:line="264" w:lineRule="auto"/>
              <w:rPr>
                <w:rFonts w:hint="eastAsia" w:ascii="宋体" w:hAnsi="宋体" w:eastAsia="宋体" w:cs="宋体"/>
                <w:bCs/>
                <w:color w:val="000000"/>
                <w:sz w:val="24"/>
                <w:szCs w:val="24"/>
              </w:rPr>
            </w:pPr>
            <w:r>
              <w:rPr>
                <w:rFonts w:hint="eastAsia" w:ascii="宋体" w:hAnsi="宋体" w:eastAsia="宋体" w:cs="宋体"/>
                <w:color w:val="auto"/>
                <w:sz w:val="24"/>
                <w:szCs w:val="24"/>
                <w:lang w:val="en-US" w:eastAsia="zh-CN"/>
              </w:rPr>
              <w:t xml:space="preserve">4、具有多个独立非外扩展的电脑USB接口：电脑上至少4个USB接口，其中至少包含2个USB3.0接口。TYPE-C接口 ：≥1路HDMI。</w:t>
            </w:r>
            <w:r/>
          </w:p>
        </w:tc>
      </w:tr>
      <w:tr>
        <w:trPr>
          <w:trHeight w:val="883"/>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i w:val="0"/>
                <w:iCs w:val="0"/>
                <w:color w:val="000000"/>
                <w:sz w:val="24"/>
                <w:szCs w:val="24"/>
                <w:u w:val="none"/>
                <w:lang w:val="en-US" w:eastAsia="zh-CN" w:bidi="ar-SA"/>
              </w:rPr>
              <w:t xml:space="preserve">集控管理平台（1）</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560"/>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numPr>
                <w:ilvl w:val="0"/>
                <w:numId w:val="8"/>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后台控制端采用 B/S 架构设计，可在 Windows、Linux、Android、iOS 等多种不同的操作系统上通过网页浏览器登陆进行操作，可控制在互联网内的智慧黑板设备；</w:t>
            </w:r>
            <w:r/>
          </w:p>
          <w:p>
            <w:pPr>
              <w:numPr>
                <w:ilvl w:val="0"/>
                <w:numId w:val="8"/>
              </w:numPr>
              <w:ind w:left="0" w:firstLine="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使用集中管理控制系统的学校拥有学校账号，该学校设备只需接入互联网，通过学校特定邀请码即可绑定关联，关联后即可在后台对设备进行远程管理；</w:t>
            </w:r>
            <w:r/>
          </w:p>
          <w:p>
            <w:pPr>
              <w:numPr>
                <w:ilvl w:val="0"/>
                <w:numId w:val="8"/>
              </w:numPr>
              <w:ind w:left="0" w:firstLine="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设备总览功能，支持查看系统部署至今使用时长，管控设备总数，当前开机设备数，设备异常数，最近一周管理周报，设备最近两天使用情况，长时间未使用设备情况分布，软件使用情况，访问网站记录；</w:t>
            </w:r>
            <w:r/>
          </w:p>
          <w:p>
            <w:pPr>
              <w:numPr>
                <w:ilvl w:val="0"/>
                <w:numId w:val="8"/>
              </w:numPr>
              <w:ind w:left="0" w:firstLine="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详情管理：支持查看单台设备开机时间分布情况、设备已安装软件列表及使用情况、内存/硬盘占用情况、基础参数；支持查看设备异常情况；支持查看设备所有待执行的指令信息；</w:t>
            </w:r>
            <w:r/>
          </w:p>
          <w:p>
            <w:pPr>
              <w:numPr>
                <w:ilvl w:val="0"/>
                <w:numId w:val="8"/>
              </w:numPr>
              <w:ind w:left="0" w:firstLine="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循环指令：支持设置即时、定时、循环模式的关机、重启、打铃、锁屏/解锁指令。其中打铃指令支持上传自定义铃声、设置播放时长；</w:t>
            </w:r>
            <w:r/>
          </w:p>
          <w:p>
            <w:pPr>
              <w:jc w:val="left"/>
              <w:spacing w:line="264"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val="en-US" w:eastAsia="zh-CN" w:bidi="ar"/>
              </w:rPr>
              <w:t xml:space="preserve">6、网址过滤：支持统计近7天访问网址数量以及访问风险网址设备数量；支持黑白名单管理；支持风险网站访问记录。</w:t>
            </w:r>
            <w:r/>
          </w:p>
        </w:tc>
      </w:tr>
      <w:tr>
        <w:trPr>
          <w:trHeight w:val="717"/>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sz w:val="24"/>
                <w:szCs w:val="24"/>
                <w:lang w:val="en-US" w:eastAsia="zh-CN"/>
              </w:rPr>
              <w:t xml:space="preserve">视频展台（1）</w:t>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★实质性要求</w:t>
            </w:r>
            <w:r/>
          </w:p>
        </w:tc>
        <w:tc>
          <w:tcPr>
            <w:tcW w:w="7379" w:type="dxa"/>
            <w:vAlign w:val="center"/>
            <w:textDirection w:val="lrTb"/>
            <w:noWrap w:val="false"/>
          </w:tcPr>
          <w:p>
            <w:pPr>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90"/>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一、硬件参数要求： </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1、像素：≥1300 万像素（3840*2880）； </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2、变焦：≥1000%倍数码变焦； </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3、支持幅面：A4； </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4、补光灯：具有触摸控制，具有LED光源</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5、具备电脑 USB 供电，无外接电源； </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6、具备带磁吸关箱；</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7、安装方式：壁挂式安装，无须气压拉杆，无锐角无利边设计，有效防止师生碰伤、划伤。</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二、软件参数要求：</w:t>
            </w:r>
            <w:r/>
          </w:p>
          <w:p>
            <w:pPr>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展台软件带自动文字正向，软件可以根据实际展示文件的文字方向（无论是正的，反的，偏斜的），进行自动的旋转调整，保持文字永远都是正向展示，同时实现展示文件自动居中，方便随意放纸，无需调整与操作；</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2、展台软件带自动的放大与缩小的功能，软件可以根据展示物的大小，自动进行放大与缩小，小的展示物体可以自动放大到同屏的等比例，大的展示物体可以自动缩小到同屏等比例；</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3、展示画面批注功能，支持对展示画面批注，批注笔提供</w:t>
            </w:r>
            <w:r>
              <w:rPr>
                <w:rFonts w:hint="eastAsia" w:ascii="宋体" w:hAnsi="宋体" w:eastAsia="宋体" w:cs="宋体"/>
                <w:color w:val="auto"/>
                <w:sz w:val="24"/>
                <w:szCs w:val="24"/>
                <w:highlight w:val="none"/>
                <w:lang w:val="en-US" w:eastAsia="zh-CN" w:bidi="ar-SA"/>
              </w:rPr>
              <w:t xml:space="preserve">不少于</w:t>
            </w:r>
            <w:r>
              <w:rPr>
                <w:rFonts w:hint="eastAsia" w:ascii="宋体" w:hAnsi="宋体" w:eastAsia="宋体" w:cs="宋体"/>
                <w:color w:val="auto"/>
                <w:sz w:val="24"/>
                <w:szCs w:val="24"/>
                <w:lang w:val="en-US" w:eastAsia="zh-CN" w:bidi="ar-SA"/>
              </w:rPr>
              <w:t xml:space="preserve">五级、十种颜色选择，可一键擦除、撤销批注内容；支持在照片上批注，批注内容可跟随照片漫游，移动，避免批注内容与图像内容出现偏移；</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4、同屏对比，支持不限幅面分屏对比，每副图可单独进行全屏、放大、缩小、手写批注等设置；</w:t>
            </w:r>
            <w:r/>
          </w:p>
          <w:p>
            <w:pPr>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5、二维码识别功能，PC通道下支持二维码扫码功能：打开扫一扫功能后，将书本上的二维码放入扫描框内即可自动扫描，并进入系统浏览器获取二维码的链接内容；</w:t>
            </w:r>
            <w:r/>
          </w:p>
          <w:p>
            <w:pPr>
              <w:pStyle w:val="719"/>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6、展台软件带延时拍照功能，方便对图像进行设置延时拍照，可延时 5s 或 10s；</w:t>
            </w:r>
            <w:r/>
          </w:p>
          <w:p>
            <w:pPr>
              <w:jc w:val="left"/>
              <w:spacing w:line="264" w:lineRule="auto"/>
              <w:rPr>
                <w:rFonts w:hint="eastAsia" w:ascii="宋体" w:hAnsi="宋体" w:eastAsia="宋体" w:cs="宋体"/>
                <w:bCs/>
                <w:color w:val="000000"/>
                <w:sz w:val="24"/>
                <w:szCs w:val="24"/>
              </w:rPr>
            </w:pPr>
            <w:r>
              <w:rPr>
                <w:rFonts w:hint="eastAsia" w:ascii="宋体" w:hAnsi="宋体" w:eastAsia="宋体" w:cs="宋体"/>
                <w:color w:val="auto"/>
                <w:sz w:val="24"/>
                <w:szCs w:val="24"/>
                <w:lang w:val="en-US" w:eastAsia="zh-CN" w:bidi="ar-SA"/>
              </w:rPr>
              <w:t xml:space="preserve">7、展台软件支持 10 点以上触摸，在画笔状态下支持同时 10 点以上流畅标注。</w:t>
            </w:r>
            <w:r/>
          </w:p>
        </w:tc>
      </w:tr>
      <w:tr>
        <w:trPr>
          <w:trHeight w:val="90"/>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color w:val="000000" w:themeColor="text1"/>
                <w:sz w:val="24"/>
                <w:szCs w:val="24"/>
                <w:lang w:val="en-US" w:eastAsia="zh-CN"/>
                <w14:textFill>
                  <w14:solidFill>
                    <w14:schemeClr w14:val="tx1"/>
                  </w14:solidFill>
                </w14:textFill>
              </w:rPr>
              <w:t xml:space="preserve">智慧黑板（2）</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866"/>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pStyle w:val="978"/>
              <w:numPr>
                <w:ilvl w:val="0"/>
                <w:numId w:val="0"/>
              </w:numPr>
              <w:spacing w:before="156" w:after="156" w:line="30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 xml:space="preserve">一、智慧黑板主体</w:t>
            </w:r>
            <w:r>
              <w:rPr>
                <w:rFonts w:hint="eastAsia" w:ascii="宋体" w:hAnsi="宋体" w:eastAsia="宋体" w:cs="宋体"/>
                <w:b w:val="0"/>
                <w:bCs w:val="0"/>
                <w:color w:val="auto"/>
                <w:sz w:val="24"/>
                <w:szCs w:val="24"/>
                <w:highlight w:val="none"/>
                <w:lang w:val="en-US" w:eastAsia="zh-CN"/>
              </w:rPr>
              <w:t xml:space="preserve">：</w:t>
            </w:r>
            <w:r/>
          </w:p>
          <w:p>
            <w:pPr>
              <w:pStyle w:val="978"/>
              <w:numPr>
                <w:ilvl w:val="0"/>
                <w:numId w:val="0"/>
              </w:numPr>
              <w:spacing w:before="156" w:after="156" w:line="30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1、显示尺寸≥86英寸，分辨率：≥3840*2160 ，在双系统下均支持40点触控及40点书写划线，不低于</w:t>
            </w:r>
            <w:r>
              <w:rPr>
                <w:rFonts w:hint="eastAsia" w:ascii="宋体" w:hAnsi="宋体" w:eastAsia="宋体" w:cs="宋体"/>
                <w:color w:val="auto"/>
                <w:sz w:val="24"/>
                <w:szCs w:val="24"/>
                <w:highlight w:val="none"/>
                <w:lang w:val="en-US" w:eastAsia="zh-CN"/>
              </w:rPr>
              <w:t xml:space="preserve">A规屏；</w:t>
            </w:r>
            <w:r/>
          </w:p>
          <w:p>
            <w:pPr>
              <w:pStyle w:val="978"/>
              <w:numPr>
                <w:ilvl w:val="0"/>
                <w:numId w:val="0"/>
              </w:numPr>
              <w:spacing w:before="156" w:after="156" w:line="30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2、背光系统支持DC调光方式，多级亮度调节，拍摄时画面无条纹闪烁。光源稳定无频闪，蓝光危害为RG0豁免级；</w:t>
            </w:r>
            <w:r/>
          </w:p>
          <w:p>
            <w:pPr>
              <w:pStyle w:val="978"/>
              <w:numPr>
                <w:ilvl w:val="0"/>
                <w:numId w:val="0"/>
              </w:numPr>
              <w:spacing w:before="156" w:after="156" w:line="30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3、具备屏体温度实时监控、高温预警及断电保护等功能；</w:t>
            </w:r>
            <w:r/>
          </w:p>
          <w:p>
            <w:pPr>
              <w:pStyle w:val="978"/>
              <w:numPr>
                <w:ilvl w:val="0"/>
                <w:numId w:val="0"/>
              </w:numPr>
              <w:spacing w:before="156" w:after="156" w:line="30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4、接口具备中文标识，至少具有1路HDMI接口（非转接），2路USB3.0接口，1路Type-C接口（具备数据传输、充电等功能）；无需打开背板，前置接口面板支持单独前拆维护，后置非转接 HDMI输入≥2路，HDMI输出≥1路（支持安卓及其他通道信号输出）；</w:t>
            </w:r>
            <w:r/>
          </w:p>
          <w:p>
            <w:pPr>
              <w:pStyle w:val="978"/>
              <w:numPr>
                <w:ilvl w:val="0"/>
                <w:numId w:val="0"/>
              </w:numPr>
              <w:spacing w:before="156" w:after="156" w:line="30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5、采用≥12核驱动芯片，不低于8核CPU、4核GPU。 Android 系统版本≥14.0，内存≥4G，存储≥32G；</w:t>
            </w:r>
            <w:r/>
          </w:p>
          <w:p>
            <w:pPr>
              <w:pStyle w:val="978"/>
              <w:numPr>
                <w:ilvl w:val="0"/>
                <w:numId w:val="0"/>
              </w:numPr>
              <w:spacing w:before="156" w:after="156" w:line="30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6、内置一体化超高清5K摄像头，单颗摄像头有效像素≥1900W，可输出图片与视频，支持搭配AI软件实现自动点名点数功能，支持远程巡课功能，具备指示灯工作状态提示；</w:t>
            </w:r>
            <w:r/>
          </w:p>
          <w:p>
            <w:pPr>
              <w:pStyle w:val="978"/>
              <w:numPr>
                <w:ilvl w:val="0"/>
                <w:numId w:val="0"/>
              </w:numPr>
              <w:spacing w:before="156" w:after="156" w:line="30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7、内置8阵列麦克风，拾音角度≥180°，具备无线（包括Wi-Fi和蓝牙）独立模块，支持单独拆卸；内置Wi-Fi6无线网卡，支持2.4G、5G双频，遵循IEEE802.11a\b\g\n\ac\ax\wave2协议标准；内置蓝牙Bluetooth 5.4模块，支持连接外部蓝牙音箱播放音频，≥12M无遮挡正常连接；</w:t>
            </w:r>
            <w:r/>
          </w:p>
          <w:p>
            <w:pPr>
              <w:pStyle w:val="978"/>
              <w:numPr>
                <w:ilvl w:val="0"/>
                <w:numId w:val="0"/>
              </w:numPr>
              <w:spacing w:before="156" w:after="156" w:line="30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8、智能交互黑板具备前置组合式针孔电脑还原物理按键，具有中文标识。</w:t>
            </w:r>
            <w:r/>
          </w:p>
          <w:p>
            <w:pPr>
              <w:pStyle w:val="978"/>
              <w:numPr>
                <w:ilvl w:val="0"/>
                <w:numId w:val="0"/>
              </w:numPr>
              <w:spacing w:before="156" w:after="156" w:line="30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二、备授课系统：</w:t>
            </w:r>
            <w:r/>
          </w:p>
          <w:p>
            <w:pPr>
              <w:pStyle w:val="978"/>
              <w:numPr>
                <w:ilvl w:val="0"/>
                <w:numId w:val="0"/>
              </w:numPr>
              <w:spacing w:before="156" w:after="156" w:line="30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可根据自身使用需求对已经创建好的课件进行修改或删除，删除后的课件可自行存放到回收站，默认情况下保存30天，30天后可自动清除，已经删除后的课件，可进行恢复或清除；回收站内的课件支持单个课件，或者全部课件一键清除；</w:t>
            </w:r>
            <w:r/>
          </w:p>
          <w:p>
            <w:pPr>
              <w:pStyle w:val="978"/>
              <w:numPr>
                <w:ilvl w:val="0"/>
                <w:numId w:val="0"/>
              </w:numPr>
              <w:spacing w:before="156" w:after="156" w:line="30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2、老师个人账号无需完成特定任务，即可获取不少于 200G 云端存储空间；</w:t>
            </w:r>
            <w:r/>
          </w:p>
          <w:p>
            <w:pPr>
              <w:pStyle w:val="978"/>
              <w:numPr>
                <w:ilvl w:val="0"/>
                <w:numId w:val="0"/>
              </w:numPr>
              <w:spacing w:before="156" w:after="156" w:line="30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3、提供预置的课件素材，允许老师在网页端、移动端、电脑端进行内容的选择与组合，快速生成课件并浏览。所有制作的课件均实时保存至云端，老师只需登录即可查；</w:t>
            </w:r>
            <w:r/>
          </w:p>
          <w:p>
            <w:pPr>
              <w:jc w:val="left"/>
              <w:spacing w:line="264"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提供模块化的课件素材和教案，学科涵盖小学语文、初中语文、小学数学、初中数学、小学英语、初中英语、小学科学、初中物理、初中化学等学科。课件支持组选：课堂导入，知识讲解，例题与变式，拓展延伸，课外活动等；</w:t>
            </w:r>
            <w:r/>
          </w:p>
          <w:p>
            <w:pPr>
              <w:rPr>
                <w:rFonts w:hint="eastAsia" w:ascii="宋体" w:hAnsi="宋体" w:eastAsia="宋体" w:cs="宋体"/>
                <w:sz w:val="24"/>
                <w:szCs w:val="24"/>
                <w:lang w:val="en-US" w:eastAsia="zh-CN"/>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sz w:val="24"/>
                <w:szCs w:val="24"/>
              </w:rPr>
              <w:t xml:space="preserve">配套教学软件支持免登录打开本地课件；具备不少于五种登录方式，包含U盘登录、账号密码直接登录、微信扫码登录、第三方登录、书写登录等，其中书写登录可录入内容及笔迹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智慧黑板上</w:t>
            </w:r>
            <w:r>
              <w:rPr>
                <w:rFonts w:hint="eastAsia" w:ascii="宋体" w:hAnsi="宋体" w:eastAsia="宋体" w:cs="宋体"/>
                <w:color w:val="auto"/>
                <w:sz w:val="24"/>
                <w:szCs w:val="24"/>
              </w:rPr>
              <w:t xml:space="preserve">进行书写登录软件</w:t>
            </w:r>
            <w:r>
              <w:rPr>
                <w:rFonts w:hint="eastAsia" w:ascii="宋体" w:hAnsi="宋体" w:eastAsia="宋体" w:cs="宋体"/>
                <w:color w:val="auto"/>
                <w:sz w:val="24"/>
                <w:szCs w:val="24"/>
                <w:lang w:eastAsia="zh-CN"/>
              </w:rPr>
              <w:t xml:space="preserve">。</w:t>
            </w:r>
            <w:r/>
          </w:p>
        </w:tc>
      </w:tr>
      <w:tr>
        <w:trPr>
          <w:trHeight w:val="831"/>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i w:val="0"/>
                <w:iCs w:val="0"/>
                <w:color w:val="000000"/>
                <w:sz w:val="24"/>
                <w:szCs w:val="24"/>
                <w:u w:val="none"/>
                <w:lang w:val="en-US" w:eastAsia="zh-CN" w:bidi="ar-SA"/>
              </w:rPr>
              <w:t xml:space="preserve">数字互联侧板</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84"/>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bottom w:val="single" w:color="000000" w:sz="4" w:space="0"/>
            </w:tcBorders>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Borders>
              <w:bottom w:val="single" w:color="000000" w:sz="4" w:space="0"/>
            </w:tcBorders>
            <w:tcW w:w="7379" w:type="dxa"/>
            <w:vAlign w:val="center"/>
            <w:textDirection w:val="lrTb"/>
            <w:noWrap w:val="false"/>
          </w:tcPr>
          <w:p>
            <w:pPr>
              <w:numPr>
                <w:ilvl w:val="0"/>
                <w:numId w:val="0"/>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1、双侧侧板板面硬度不低于9H；</w:t>
            </w:r>
            <w:r/>
          </w:p>
          <w:p>
            <w:pPr>
              <w:numPr>
                <w:ilvl w:val="0"/>
                <w:numId w:val="0"/>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2、双侧侧板支持磁性材质教具吸附；</w:t>
            </w:r>
            <w:r/>
          </w:p>
          <w:p>
            <w:pPr>
              <w:numPr>
                <w:ilvl w:val="0"/>
                <w:numId w:val="0"/>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3、双侧侧板背板采用镀锌钢板材质；</w:t>
            </w:r>
            <w:r/>
          </w:p>
          <w:p>
            <w:pPr>
              <w:numPr>
                <w:ilvl w:val="0"/>
                <w:numId w:val="0"/>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4、侧板无任何快捷按键；</w:t>
            </w:r>
            <w:r/>
          </w:p>
          <w:p>
            <w:pPr>
              <w:pStyle w:val="978"/>
              <w:ind w:firstLine="0"/>
              <w:jc w:val="left"/>
              <w:spacing w:line="320" w:lineRule="exact"/>
              <w:rPr>
                <w:rFonts w:hint="eastAsia" w:ascii="宋体" w:hAnsi="宋体" w:eastAsia="宋体" w:cs="宋体"/>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 xml:space="preserve">5、侧板支持板书记忆功能，侧板支持各类书写笔，可将侧板上的笔迹实时同步至黑板显示区域，并可保存至本地或进行二维码分享。</w:t>
            </w:r>
            <w:r/>
          </w:p>
        </w:tc>
      </w:tr>
      <w:tr>
        <w:trPr>
          <w:trHeight w:val="384"/>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内置OPS电脑（2）</w:t>
            </w:r>
            <w:r/>
          </w:p>
        </w:tc>
        <w:tc>
          <w:tcPr>
            <w:tcBorders>
              <w:bottom w:val="single" w:color="000000" w:sz="4" w:space="0"/>
            </w:tcBorders>
            <w:tcW w:w="803" w:type="dxa"/>
            <w:vAlign w:val="center"/>
            <w:textDirection w:val="lrTb"/>
            <w:noWrap w:val="false"/>
          </w:tcPr>
          <w:p>
            <w:pPr>
              <w:jc w:val="center"/>
              <w:spacing w:line="264" w:lineRule="auto"/>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sz w:val="24"/>
                <w:szCs w:val="24"/>
                <w:highlight w:val="none"/>
              </w:rPr>
              <w:t xml:space="preserve">实质性要求</w:t>
            </w:r>
            <w:r/>
          </w:p>
        </w:tc>
        <w:tc>
          <w:tcPr>
            <w:tcBorders>
              <w:bottom w:val="single" w:color="000000" w:sz="4" w:space="0"/>
            </w:tcBorders>
            <w:tcW w:w="7379" w:type="dxa"/>
            <w:vAlign w:val="center"/>
            <w:textDirection w:val="lrTb"/>
            <w:noWrap w:val="false"/>
          </w:tcPr>
          <w:p>
            <w:pPr>
              <w:pStyle w:val="718"/>
              <w:numPr>
                <w:ilvl w:val="0"/>
                <w:numId w:val="9"/>
              </w:numPr>
              <w:ind w:left="0" w:firstLine="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CPU</w:t>
            </w:r>
            <w:r>
              <w:rPr>
                <w:rFonts w:hint="eastAsia" w:ascii="宋体" w:hAnsi="宋体" w:eastAsia="宋体" w:cs="宋体"/>
                <w:sz w:val="24"/>
                <w:szCs w:val="24"/>
                <w:highlight w:val="none"/>
              </w:rPr>
              <w:t xml:space="preserve">主频</w:t>
            </w:r>
            <w:r>
              <w:rPr>
                <w:rFonts w:hint="eastAsia" w:ascii="宋体" w:hAnsi="宋体" w:eastAsia="宋体" w:cs="宋体"/>
                <w:bCs/>
                <w:sz w:val="24"/>
                <w:szCs w:val="24"/>
                <w:highlight w:val="none"/>
              </w:rPr>
              <w:t xml:space="preserve">≥2.0GHz，</w:t>
            </w:r>
            <w:r>
              <w:rPr>
                <w:rFonts w:hint="eastAsia" w:ascii="宋体" w:hAnsi="宋体" w:eastAsia="宋体" w:cs="宋体"/>
                <w:bCs/>
                <w:sz w:val="24"/>
                <w:szCs w:val="24"/>
                <w:highlight w:val="none"/>
                <w:lang w:eastAsia="zh-CN"/>
              </w:rPr>
              <w:t xml:space="preserve">不低于</w:t>
            </w:r>
            <w:r>
              <w:rPr>
                <w:rFonts w:hint="eastAsia" w:ascii="宋体" w:hAnsi="宋体" w:eastAsia="宋体" w:cs="宋体"/>
                <w:bCs/>
                <w:sz w:val="24"/>
                <w:szCs w:val="24"/>
                <w:highlight w:val="none"/>
              </w:rPr>
              <w:t xml:space="preserve">8核心12线程</w:t>
            </w:r>
            <w:r>
              <w:rPr>
                <w:rFonts w:hint="eastAsia" w:ascii="宋体" w:hAnsi="宋体" w:eastAsia="宋体" w:cs="宋体"/>
                <w:sz w:val="24"/>
                <w:szCs w:val="24"/>
                <w:highlight w:val="none"/>
              </w:rPr>
              <w:t xml:space="preserve">；</w:t>
            </w:r>
            <w:r/>
          </w:p>
          <w:p>
            <w:pPr>
              <w:pStyle w:val="718"/>
              <w:numPr>
                <w:ilvl w:val="0"/>
                <w:numId w:val="9"/>
              </w:num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内存不低于16GB DDR4；</w:t>
            </w:r>
            <w:r/>
          </w:p>
          <w:p>
            <w:pPr>
              <w:pStyle w:val="718"/>
              <w:numPr>
                <w:ilvl w:val="0"/>
                <w:numId w:val="9"/>
              </w:num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硬盘不低于512GB固态硬盘。</w:t>
            </w:r>
            <w:r/>
          </w:p>
          <w:p>
            <w:pPr>
              <w:jc w:val="left"/>
              <w:tabs>
                <w:tab w:val="left" w:pos="1071" w:leader="none"/>
              </w:tabs>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（提供相关证明材料</w:t>
            </w:r>
            <w:r>
              <w:rPr>
                <w:rFonts w:hint="eastAsia" w:ascii="宋体" w:hAnsi="宋体" w:eastAsia="宋体" w:cs="宋体"/>
                <w:b/>
                <w:bCs/>
                <w:color w:val="000000"/>
                <w:sz w:val="24"/>
                <w:szCs w:val="24"/>
                <w:highlight w:val="none"/>
                <w:lang w:val="en-US" w:eastAsia="zh-CN"/>
              </w:rPr>
              <w:t xml:space="preserve">上传至系统</w:t>
            </w:r>
            <w:r>
              <w:rPr>
                <w:rFonts w:hint="eastAsia" w:ascii="宋体" w:hAnsi="宋体" w:eastAsia="宋体" w:cs="宋体"/>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未提供作无效投标处理。</w:t>
            </w:r>
            <w:r>
              <w:rPr>
                <w:rFonts w:hint="eastAsia" w:ascii="宋体" w:hAnsi="宋体" w:eastAsia="宋体" w:cs="宋体"/>
                <w:b/>
                <w:bCs/>
                <w:color w:val="000000"/>
                <w:sz w:val="24"/>
                <w:szCs w:val="24"/>
                <w:highlight w:val="none"/>
              </w:rPr>
              <w:t xml:space="preserve">）</w:t>
            </w:r>
            <w:r/>
          </w:p>
        </w:tc>
      </w:tr>
      <w:tr>
        <w:trPr>
          <w:trHeight w:val="761"/>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非实质性要求</w:t>
            </w:r>
            <w:r/>
          </w:p>
        </w:tc>
        <w:tc>
          <w:tcPr>
            <w:tcW w:w="7379" w:type="dxa"/>
            <w:vAlign w:val="center"/>
            <w:textDirection w:val="lrTb"/>
            <w:noWrap w:val="false"/>
          </w:tcPr>
          <w:p>
            <w:pPr>
              <w:pStyle w:val="978"/>
              <w:numPr>
                <w:ilvl w:val="0"/>
                <w:numId w:val="0"/>
              </w:num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1、OPS具备独立复位按键；采用80pin Intel通用标准接口,即插即用，按压式卡扣设计，易于维护；</w:t>
            </w:r>
            <w:r/>
          </w:p>
          <w:p>
            <w:pPr>
              <w:pStyle w:val="978"/>
              <w:numPr>
                <w:ilvl w:val="0"/>
                <w:numId w:val="0"/>
              </w:num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2、接口：整机非外扩展至少具备6个USB接口；具有独立非外扩展的输出接口：≥1路HDMI等；具有3.5mm圆孔接口；</w:t>
            </w:r>
            <w:r/>
          </w:p>
          <w:p>
            <w:pPr>
              <w:jc w:val="left"/>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auto"/>
                <w:sz w:val="24"/>
                <w:szCs w:val="24"/>
                <w:highlight w:val="none"/>
                <w:lang w:val="en-US" w:eastAsia="zh-CN"/>
              </w:rPr>
              <w:t xml:space="preserve">3、至少具有2路LED状态指示灯；line out≥1路；RJ45≥1路。</w:t>
            </w:r>
            <w:r/>
          </w:p>
        </w:tc>
      </w:tr>
      <w:tr>
        <w:trPr>
          <w:trHeight w:val="717"/>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sz w:val="24"/>
                <w:szCs w:val="24"/>
                <w:lang w:val="en-US" w:eastAsia="zh-CN"/>
              </w:rPr>
              <w:t xml:space="preserve">集控管理平台（2）</w:t>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★实质性要求</w:t>
            </w:r>
            <w:r/>
          </w:p>
        </w:tc>
        <w:tc>
          <w:tcPr>
            <w:tcW w:w="7379" w:type="dxa"/>
            <w:vAlign w:val="center"/>
            <w:textDirection w:val="lrTb"/>
            <w:noWrap w:val="false"/>
          </w:tcPr>
          <w:p>
            <w:pPr>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717"/>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非实质性要求</w:t>
            </w:r>
            <w:r/>
          </w:p>
        </w:tc>
        <w:tc>
          <w:tcPr>
            <w:tcW w:w="7379"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一、管理平台</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1、后台控制端采用 B/S 架构设计，可在多种不同的操作系统上通过网页浏览器登录进行操作</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2、支持查看立即控制、定时计划、信息发布等控制列表内容</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3、支持上传软件至平台，自动下发至桌面进行自动运行安装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二、设备控制</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1、设备详情：</w:t>
            </w:r>
            <w:r>
              <w:rPr>
                <w:rFonts w:hint="eastAsia" w:ascii="宋体" w:hAnsi="宋体" w:eastAsia="宋体" w:cs="宋体"/>
                <w:color w:val="000000"/>
                <w:sz w:val="24"/>
                <w:szCs w:val="24"/>
                <w:highlight w:val="none"/>
                <w:lang w:eastAsia="zh-CN"/>
              </w:rPr>
              <w:t xml:space="preserve">支持</w:t>
            </w:r>
            <w:r>
              <w:rPr>
                <w:rFonts w:hint="eastAsia" w:ascii="宋体" w:hAnsi="宋体" w:eastAsia="宋体" w:cs="宋体"/>
                <w:color w:val="000000"/>
                <w:sz w:val="24"/>
                <w:szCs w:val="24"/>
                <w:highlight w:val="none"/>
              </w:rPr>
              <w:t xml:space="preserve">查看校园内所有设备的状态，包括在线、离线状态，教室名称、内存使用率、CPU使用率、C盘使用率，支持按照设备类型、设备名称进行查询筛选；支持按列表展示以及按缩略图展示；支持一键查看设备已安装应用情况，支持查看</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rPr>
              <w:t xml:space="preserve">激活状态，支持查看</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rPr>
              <w:t xml:space="preserve">版本信息，支持查看设备IP地址，支持查看当前设备序列号、声音及显示设置模式</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2、即时操作控制：</w:t>
            </w:r>
            <w:r>
              <w:rPr>
                <w:rFonts w:hint="eastAsia" w:ascii="宋体" w:hAnsi="宋体" w:eastAsia="宋体" w:cs="宋体"/>
                <w:color w:val="000000"/>
                <w:sz w:val="24"/>
                <w:szCs w:val="24"/>
                <w:highlight w:val="none"/>
                <w:lang w:eastAsia="zh-CN"/>
              </w:rPr>
              <w:t xml:space="preserve">支持</w:t>
            </w:r>
            <w:r>
              <w:rPr>
                <w:rFonts w:hint="eastAsia" w:ascii="宋体" w:hAnsi="宋体" w:eastAsia="宋体" w:cs="宋体"/>
                <w:color w:val="000000"/>
                <w:sz w:val="24"/>
                <w:szCs w:val="24"/>
                <w:highlight w:val="none"/>
              </w:rPr>
              <w:t xml:space="preserve">批量对选定的受控设备进行关机、重启、触控切换（屏幕触控锁定、解锁），童锁切换、信号源切换、音量调节、打铃操作，一键锁屏设置，支持一键开启系统还原功能，一键系统备份，一键设置显示模式，显示模式支持标准、鲜艳、明亮、护眼，一键支持声音模式设置，声音模式至少包含标准、教师、会议、影院四种场景设置，支持一键设置系统桌面壁纸</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定时操作控制：可远程对选定的设备做定时关机、定时打铃、定时切换信号源、定时信息发布，实现单次、每日循环、每周循环、每月循环的定时控制。支持定时操作列表查询，并可对具体某项定时操作进行再次编辑。</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三、校园文化</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1、远程巡课：默认查看当前屏幕画面，实时监控当前设备桌面，支持同时查看设备不少于80台，可切换摄像头画面；无需部署本地巡课服务器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2、视频直播：本地无需部署直播服务器，无需绑定IP地址，云端直接开启直播；用户可预约直播，选择日期、时间进行预约</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3、课间文化：</w:t>
            </w:r>
            <w:r>
              <w:rPr>
                <w:rFonts w:hint="eastAsia" w:ascii="宋体" w:hAnsi="宋体" w:eastAsia="宋体" w:cs="宋体"/>
                <w:color w:val="000000"/>
                <w:sz w:val="24"/>
                <w:szCs w:val="24"/>
                <w:highlight w:val="none"/>
                <w:lang w:eastAsia="zh-CN"/>
              </w:rPr>
              <w:t xml:space="preserve">支持</w:t>
            </w:r>
            <w:r>
              <w:rPr>
                <w:rFonts w:hint="eastAsia" w:ascii="宋体" w:hAnsi="宋体" w:eastAsia="宋体" w:cs="宋体"/>
                <w:color w:val="000000"/>
                <w:sz w:val="24"/>
                <w:szCs w:val="24"/>
                <w:highlight w:val="none"/>
              </w:rPr>
              <w:t xml:space="preserve">选择音/视频下发至</w:t>
            </w:r>
            <w:r>
              <w:rPr>
                <w:rFonts w:hint="eastAsia" w:ascii="宋体" w:hAnsi="宋体" w:eastAsia="宋体" w:cs="宋体"/>
                <w:color w:val="000000"/>
                <w:sz w:val="24"/>
                <w:szCs w:val="24"/>
                <w:highlight w:val="none"/>
                <w:lang w:val="en-US" w:eastAsia="zh-CN"/>
              </w:rPr>
              <w:t xml:space="preserve">智慧黑板（2）</w:t>
            </w:r>
            <w:r>
              <w:rPr>
                <w:rFonts w:hint="eastAsia" w:ascii="宋体" w:hAnsi="宋体" w:eastAsia="宋体" w:cs="宋体"/>
                <w:color w:val="000000"/>
                <w:sz w:val="24"/>
                <w:szCs w:val="24"/>
                <w:highlight w:val="none"/>
              </w:rPr>
              <w:t xml:space="preserve">，自定义时间自动播放；单次播放，每日/每周/每月定时播放。</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四、数据统计：</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1、以图文形式对设备的使用情况进行数据统计；支持以统计图表显示及以excel格式导出；支持将统计图表内容以pdf形式，每周推送至用户移动端中</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2、区级管理员可查看该区域下所有学校设备数据，校级管理员可查看本校所有设备数据</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五、基础设置</w:t>
            </w:r>
            <w:r/>
          </w:p>
          <w:p>
            <w:pPr>
              <w:jc w:val="left"/>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1、可进行学校信息设置、分组设置、设备设置、用户设置、综合设置、登录日志等。</w:t>
            </w:r>
            <w:r/>
          </w:p>
        </w:tc>
      </w:tr>
      <w:tr>
        <w:trPr>
          <w:trHeight w:val="717"/>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i w:val="0"/>
                <w:iCs w:val="0"/>
                <w:color w:val="000000"/>
                <w:sz w:val="24"/>
                <w:szCs w:val="24"/>
                <w:u w:val="none"/>
                <w:lang w:val="en-US" w:eastAsia="zh-CN" w:bidi="ar-SA"/>
              </w:rPr>
              <w:t xml:space="preserve">课程云盒</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388"/>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jc w:val="lef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硬件规格</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1、CPU采用不低于四核处理器，GPU采用不低于两核处理器；运行内存不小于 2GB，存储空间不少于30GB</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2、USB接口不少于2路，最少1路触控口；音频接口不少于1路；HDMI接口不少于1路；网络接口不少于2路，最少1路支持POE供电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3、支持4K分辨率下60HZ屏幕刷新率高清画面输出。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二、课程资源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1、提供非学科素质类课程，课程体系支持按授课内容展开，包括音视频、图片、文本等各类型资源</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rPr>
              <w:br w:type="textWrapping" w:clear="all"/>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课程资源至少支持H5、音视频、图片、PPT等多种类型课件，支持实时屏幕批注。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三、平台管控：</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1、采用 B/S 架构设计，可在多种不同的操作系统上通过网页浏览器登录进行操作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设备具备物联网能力</w:t>
            </w:r>
            <w:r>
              <w:rPr>
                <w:rFonts w:hint="eastAsia" w:ascii="宋体" w:hAnsi="宋体" w:eastAsia="宋体" w:cs="宋体"/>
                <w:color w:val="000000"/>
                <w:sz w:val="24"/>
                <w:szCs w:val="24"/>
              </w:rPr>
              <w:t xml:space="preserve">；支持对选定的受控设备进行休眠、唤醒、重启。</w:t>
            </w:r>
            <w:r/>
          </w:p>
        </w:tc>
      </w:tr>
      <w:tr>
        <w:trPr>
          <w:trHeight w:val="1240"/>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i w:val="0"/>
                <w:iCs w:val="0"/>
                <w:color w:val="000000"/>
                <w:sz w:val="24"/>
                <w:szCs w:val="24"/>
                <w:u w:val="none"/>
                <w:lang w:val="en-US" w:eastAsia="zh-CN" w:bidi="ar-SA"/>
              </w:rPr>
              <w:t xml:space="preserve">视频展台（2）</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488"/>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1、整机采用USB方式供电，支持壁挂和桌面两种安装方式，托板边角采用圆弧倒角设计，无需气压杆支撑</w:t>
            </w:r>
            <w:r>
              <w:rPr>
                <w:rFonts w:hint="eastAsia" w:ascii="宋体" w:hAnsi="宋体" w:eastAsia="宋体" w:cs="宋体"/>
                <w:color w:val="000000"/>
                <w:sz w:val="24"/>
                <w:szCs w:val="24"/>
                <w:lang w:eastAsia="zh-CN" w:bidi="ar"/>
              </w:rPr>
              <w:t xml:space="preserve">；</w:t>
            </w:r>
            <w:r/>
          </w:p>
          <w:p>
            <w:pPr>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2、外观材质：采用ABS材质</w:t>
            </w:r>
            <w:r>
              <w:rPr>
                <w:rFonts w:hint="eastAsia" w:ascii="宋体" w:hAnsi="宋体" w:eastAsia="宋体" w:cs="宋体"/>
                <w:color w:val="000000"/>
                <w:sz w:val="24"/>
                <w:szCs w:val="24"/>
                <w:lang w:eastAsia="zh-CN" w:bidi="ar"/>
              </w:rPr>
              <w:t xml:space="preserve">；</w:t>
            </w:r>
            <w:r/>
          </w:p>
          <w:p>
            <w:pPr>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3、整机采用高清摄像头设计， 镜头≥1600W像素，中心线≥1800线，四周线≥1400线，分辨率（解析度）≥4620×3460</w:t>
            </w:r>
            <w:r>
              <w:rPr>
                <w:rFonts w:hint="eastAsia" w:ascii="宋体" w:hAnsi="宋体" w:eastAsia="宋体" w:cs="宋体"/>
                <w:color w:val="000000"/>
                <w:sz w:val="24"/>
                <w:szCs w:val="24"/>
                <w:lang w:eastAsia="zh-CN" w:bidi="ar"/>
              </w:rPr>
              <w:t xml:space="preserve">；</w:t>
            </w:r>
            <w:r/>
          </w:p>
          <w:p>
            <w:pPr>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4、变焦：12倍数字变焦</w:t>
            </w:r>
            <w:r>
              <w:rPr>
                <w:rFonts w:hint="eastAsia" w:ascii="宋体" w:hAnsi="宋体" w:eastAsia="宋体" w:cs="宋体"/>
                <w:color w:val="000000"/>
                <w:sz w:val="24"/>
                <w:szCs w:val="24"/>
                <w:lang w:eastAsia="zh-CN" w:bidi="ar"/>
              </w:rPr>
              <w:t xml:space="preserve">；</w:t>
            </w:r>
            <w:r/>
          </w:p>
          <w:p>
            <w:pPr>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5、图像色彩：≥24位</w:t>
            </w:r>
            <w:r>
              <w:rPr>
                <w:rFonts w:hint="eastAsia" w:ascii="宋体" w:hAnsi="宋体" w:eastAsia="宋体" w:cs="宋体"/>
                <w:color w:val="000000"/>
                <w:sz w:val="24"/>
                <w:szCs w:val="24"/>
                <w:lang w:eastAsia="zh-CN" w:bidi="ar"/>
              </w:rPr>
              <w:t xml:space="preserve">；</w:t>
            </w:r>
            <w:r/>
          </w:p>
          <w:p>
            <w:pPr>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6、摄像头支持JPG图片拍摄及MP4视频录制</w:t>
            </w:r>
            <w:r>
              <w:rPr>
                <w:rFonts w:hint="eastAsia" w:ascii="宋体" w:hAnsi="宋体" w:eastAsia="宋体" w:cs="宋体"/>
                <w:color w:val="000000"/>
                <w:sz w:val="24"/>
                <w:szCs w:val="24"/>
                <w:lang w:eastAsia="zh-CN" w:bidi="ar"/>
              </w:rPr>
              <w:t xml:space="preserve">；</w:t>
            </w:r>
            <w:r/>
          </w:p>
          <w:p>
            <w:pPr>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7、整机内置麦克风，满足教学录制需求</w:t>
            </w:r>
            <w:r>
              <w:rPr>
                <w:rFonts w:hint="eastAsia" w:ascii="宋体" w:hAnsi="宋体" w:eastAsia="宋体" w:cs="宋体"/>
                <w:color w:val="000000"/>
                <w:sz w:val="24"/>
                <w:szCs w:val="24"/>
                <w:lang w:eastAsia="zh-CN" w:bidi="ar"/>
              </w:rPr>
              <w:t xml:space="preserve">；</w:t>
            </w:r>
            <w:r/>
          </w:p>
          <w:p>
            <w:pPr>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8、具备LED</w:t>
            </w:r>
            <w:r>
              <w:rPr>
                <w:rFonts w:hint="eastAsia" w:ascii="宋体" w:hAnsi="宋体" w:eastAsia="宋体" w:cs="宋体"/>
                <w:color w:val="000000"/>
                <w:sz w:val="24"/>
                <w:szCs w:val="24"/>
                <w:lang w:val="en-US" w:eastAsia="zh-CN" w:bidi="ar"/>
              </w:rPr>
              <w:t xml:space="preserve">光源</w:t>
            </w:r>
            <w:r>
              <w:rPr>
                <w:rFonts w:hint="eastAsia" w:ascii="宋体" w:hAnsi="宋体" w:eastAsia="宋体" w:cs="宋体"/>
                <w:color w:val="000000"/>
                <w:sz w:val="24"/>
                <w:szCs w:val="24"/>
                <w:lang w:bidi="ar"/>
              </w:rPr>
              <w:t xml:space="preserve">补光灯按键和拍照按键</w:t>
            </w:r>
            <w:r>
              <w:rPr>
                <w:rFonts w:hint="eastAsia" w:ascii="宋体" w:hAnsi="宋体" w:eastAsia="宋体" w:cs="宋体"/>
                <w:color w:val="000000"/>
                <w:sz w:val="24"/>
                <w:szCs w:val="24"/>
                <w:lang w:eastAsia="zh-CN" w:bidi="ar"/>
              </w:rPr>
              <w:t xml:space="preserve">；</w:t>
            </w:r>
            <w:r/>
          </w:p>
          <w:p>
            <w:pPr>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9、拍摄幅面：A4及以上</w:t>
            </w:r>
            <w:r>
              <w:rPr>
                <w:rFonts w:hint="eastAsia" w:ascii="宋体" w:hAnsi="宋体" w:eastAsia="宋体" w:cs="宋体"/>
                <w:color w:val="000000"/>
                <w:sz w:val="24"/>
                <w:szCs w:val="24"/>
                <w:lang w:eastAsia="zh-CN" w:bidi="ar"/>
              </w:rPr>
              <w:t xml:space="preserve">；</w:t>
            </w:r>
            <w:r/>
          </w:p>
          <w:p>
            <w:pPr>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10、展台托板具有磁吸结构设计，在合上托板后，吸附在上盖内侧，确保安全</w:t>
            </w:r>
            <w:r>
              <w:rPr>
                <w:rFonts w:hint="eastAsia" w:ascii="宋体" w:hAnsi="宋体" w:eastAsia="宋体" w:cs="宋体"/>
                <w:color w:val="000000"/>
                <w:sz w:val="24"/>
                <w:szCs w:val="24"/>
                <w:lang w:eastAsia="zh-CN" w:bidi="ar"/>
              </w:rPr>
              <w:t xml:space="preserve">；</w:t>
            </w:r>
            <w:r/>
          </w:p>
          <w:p>
            <w:pPr>
              <w:jc w:val="left"/>
              <w:spacing w:line="264"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bidi="ar"/>
              </w:rPr>
              <w:t xml:space="preserve">11、展台托板承重≥3kg。</w:t>
            </w:r>
            <w:r/>
          </w:p>
        </w:tc>
      </w:tr>
      <w:tr>
        <w:trPr>
          <w:trHeight w:val="678"/>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i w:val="0"/>
                <w:iCs w:val="0"/>
                <w:color w:val="000000"/>
                <w:sz w:val="24"/>
                <w:szCs w:val="24"/>
                <w:u w:val="none"/>
                <w:lang w:val="en-US" w:eastAsia="zh-CN" w:bidi="ar-SA"/>
              </w:rPr>
              <w:t xml:space="preserve">扩声设备</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2494"/>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红外扩声主机：                                                                                                                                                                                                         1、集成：数字功放，红外无线接收模块，反馈抑制模块，数字音频处理模块，扬声器于一体；</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2、采用红外光线进行音频传输，可在室外阳光环境下工作，不串频，无干扰；</w:t>
            </w:r>
            <w:r/>
          </w:p>
          <w:p>
            <w:pPr>
              <w:numPr>
                <w:ilvl w:val="0"/>
                <w:numId w:val="0"/>
              </w:num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lang w:val="en-US" w:eastAsia="zh-CN" w:bidi="ar"/>
              </w:rPr>
              <w:t xml:space="preserve">3、频道组数≥3通道，支持两支红外无线话筒（具备红外技术PPT翻页功能）</w:t>
            </w:r>
            <w:r>
              <w:rPr>
                <w:rFonts w:hint="eastAsia" w:ascii="宋体" w:hAnsi="宋体" w:eastAsia="宋体" w:cs="宋体"/>
                <w:color w:val="000000"/>
                <w:sz w:val="24"/>
                <w:szCs w:val="24"/>
                <w:highlight w:val="none"/>
                <w:lang w:val="en-US" w:eastAsia="zh-CN" w:bidi="ar"/>
              </w:rPr>
              <w:t xml:space="preserve">和一支红外翻页笔同时使用。；</w:t>
            </w:r>
            <w:r/>
          </w:p>
          <w:p>
            <w:pPr>
              <w:numPr>
                <w:ilvl w:val="0"/>
                <w:numId w:val="0"/>
              </w:num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4、内嵌超广角多阵列式红外线接收管≥24颗。5、内嵌2个4"扬声器；</w:t>
            </w:r>
            <w:r/>
          </w:p>
          <w:p>
            <w:pPr>
              <w:numPr>
                <w:ilvl w:val="0"/>
                <w:numId w:val="0"/>
              </w:num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6、接口：红外传输扩展口RJ45网口≥1个；线路输入接口≥1个；USB数字声卡接口≥1个；混音输出接口≥1个；话筒独立输出≥1个；</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7、支持RS232中控，实现每路音量调节，高低音调节，参数</w:t>
            </w:r>
            <w:r>
              <w:rPr>
                <w:rFonts w:hint="eastAsia" w:ascii="宋体" w:hAnsi="宋体" w:eastAsia="宋体" w:cs="宋体"/>
                <w:color w:val="000000"/>
                <w:sz w:val="24"/>
                <w:szCs w:val="24"/>
                <w:lang w:val="en-US" w:eastAsia="zh-CN" w:bidi="ar"/>
              </w:rPr>
              <w:t xml:space="preserve">储存/恢复，电源开关的中控控制；</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8、前面板配置中文液晶屏，及时反馈设备状态；</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9、功放频率响应：50Hz~20KHz ±3dB；</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1、功放额定输出功率:（4Ω）90W ；</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11、失真：≤0.05%；</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12、信噪比≥78dB(MIC),  ≥80dB(LINE),  ≥98dB(IR MIC)；</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13、标配挂墙支架 。                                  </w:t>
            </w:r>
            <w:r>
              <w:rPr>
                <w:rFonts w:hint="eastAsia" w:ascii="宋体" w:hAnsi="宋体" w:eastAsia="宋体" w:cs="宋体"/>
                <w:color w:val="000000"/>
                <w:sz w:val="24"/>
                <w:szCs w:val="24"/>
                <w:lang w:val="en-US" w:eastAsia="zh-CN" w:bidi="ar"/>
              </w:rPr>
              <w:t xml:space="preserve">                                                                                                                                                                                                            红外话筒：                                               </w:t>
            </w:r>
            <w:r>
              <w:rPr>
                <w:rFonts w:hint="eastAsia" w:ascii="宋体" w:hAnsi="宋体" w:eastAsia="宋体" w:cs="宋体"/>
                <w:color w:val="000000"/>
                <w:sz w:val="24"/>
                <w:szCs w:val="24"/>
                <w:lang w:val="en-US" w:eastAsia="zh-CN" w:bidi="ar"/>
              </w:rPr>
              <w:t xml:space="preserve">                                                                                                                                                                                                             1、无线传输制式：红外线(波长850nm)，高灵敏度红外线发射管≥6颗，分布在前后左右四面，不易遮挡。</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2、拾音传感器：电容式驻极体音头ECM；</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3、有效传输距离：与配套主机实现26米（室内直线无遮挡）稳定传输；</w:t>
            </w:r>
            <w:r/>
          </w:p>
          <w:p>
            <w:pPr>
              <w:numPr>
                <w:ilvl w:val="0"/>
                <w:numId w:val="0"/>
              </w:num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lang w:val="en-US" w:eastAsia="zh-CN" w:bidi="ar"/>
              </w:rPr>
              <w:t xml:space="preserve">4、通道调节</w:t>
            </w:r>
            <w:r>
              <w:rPr>
                <w:rFonts w:hint="eastAsia" w:ascii="宋体" w:hAnsi="宋体" w:eastAsia="宋体" w:cs="宋体"/>
                <w:color w:val="000000"/>
                <w:sz w:val="24"/>
                <w:szCs w:val="24"/>
                <w:highlight w:val="none"/>
                <w:lang w:val="en-US" w:eastAsia="zh-CN" w:bidi="ar"/>
              </w:rPr>
              <w:t xml:space="preserve">：双通道设计，可自主调节红外通道；</w:t>
            </w:r>
            <w:r/>
          </w:p>
          <w:p>
            <w:pPr>
              <w:numPr>
                <w:ilvl w:val="0"/>
                <w:numId w:val="0"/>
              </w:num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5、功率调节：可自主设定高低两档发射功率；</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6、电池：内置≥1300</w:t>
            </w:r>
            <w:r>
              <w:rPr>
                <w:rFonts w:hint="eastAsia" w:ascii="宋体" w:hAnsi="宋体" w:eastAsia="宋体" w:cs="宋体"/>
                <w:color w:val="000000"/>
                <w:sz w:val="24"/>
                <w:szCs w:val="24"/>
                <w:lang w:val="en-US" w:eastAsia="zh-CN" w:bidi="ar"/>
              </w:rPr>
              <w:t xml:space="preserve">mAh锂电池，工作时间≥8小时；</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7、充电方式：支持磁吸座充(即话筒尾部安装环形充电磁铁，正反方向都能充电)和磁吸线充；</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8、话筒具备PPT翻页功能；</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9、话筒具备绿色激光教鞭功能；</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10、智能电源管理：话筒静置1秒后自动休眠，拿取时瞬间自动正常工作。</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11、可手持可颈挂，标配可轻松调节高度的硅胶挂绳；</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12、通过4颗双色指示灯反馈设备电量、音量及使用状态；</w:t>
            </w:r>
            <w:r/>
          </w:p>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13、外部音源接入：能支持头戴咪和外部音源输入，可连接手机等移动设备；</w:t>
            </w:r>
            <w:r/>
          </w:p>
          <w:p>
            <w:pPr>
              <w:jc w:val="left"/>
              <w:spacing w:line="264"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val="en-US" w:eastAsia="zh-CN" w:bidi="ar"/>
              </w:rPr>
              <w:t xml:space="preserve">14、兼容性：兼容同品牌红外线全系列接收设备。 </w:t>
            </w:r>
            <w:r/>
          </w:p>
        </w:tc>
      </w:tr>
      <w:tr>
        <w:trPr>
          <w:trHeight w:val="771"/>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无线键鼠</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293"/>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numPr>
                <w:ilvl w:val="0"/>
                <w:numId w:val="10"/>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迷你无线标准键盘鼠标、人体工程学键盘； </w:t>
            </w:r>
            <w:r/>
          </w:p>
          <w:p>
            <w:pPr>
              <w:numPr>
                <w:ilvl w:val="0"/>
                <w:numId w:val="10"/>
              </w:numPr>
              <w:ind w:left="0" w:firstLine="0"/>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键盘按</w:t>
            </w:r>
            <w:r>
              <w:rPr>
                <w:rFonts w:hint="eastAsia" w:ascii="宋体" w:hAnsi="宋体" w:eastAsia="宋体" w:cs="宋体"/>
                <w:color w:val="000000" w:themeColor="text1"/>
                <w:sz w:val="24"/>
                <w:szCs w:val="24"/>
                <w:lang w:val="en-US" w:eastAsia="zh-CN"/>
                <w14:textFill>
                  <w14:solidFill>
                    <w14:schemeClr w14:val="tx1"/>
                  </w14:solidFill>
                </w14:textFill>
              </w:rPr>
              <w:t xml:space="preserve">键个数16个热键，104个标准键；</w:t>
            </w:r>
            <w:r/>
          </w:p>
          <w:p>
            <w:pPr>
              <w:numPr>
                <w:ilvl w:val="0"/>
                <w:numId w:val="10"/>
              </w:numPr>
              <w:ind w:left="0" w:firstLine="0"/>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鼠标最大分辨率：1000DPI，最高追踪速度30英寸/秒；</w:t>
            </w:r>
            <w:r/>
          </w:p>
          <w:p>
            <w:pPr>
              <w:jc w:val="left"/>
              <w:spacing w:line="264" w:lineRule="auto"/>
              <w:rPr>
                <w:rFonts w:hint="eastAsia" w:ascii="宋体" w:hAnsi="宋体" w:eastAsia="宋体" w:cs="宋体"/>
                <w:bCs/>
                <w:color w:val="000000"/>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 xml:space="preserve">4、无线连接，自适应跳频技术，双向传输10米远距。</w:t>
            </w:r>
            <w:r/>
          </w:p>
        </w:tc>
      </w:tr>
      <w:tr>
        <w:trPr>
          <w:trHeight w:val="834"/>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i w:val="0"/>
                <w:iCs w:val="0"/>
                <w:color w:val="000000"/>
                <w:sz w:val="24"/>
                <w:szCs w:val="24"/>
                <w:u w:val="none"/>
                <w:lang w:val="en-US" w:eastAsia="zh-CN" w:bidi="ar-SA"/>
              </w:rPr>
              <w:t xml:space="preserve">智能AI电子笔</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123"/>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numPr>
                <w:ilvl w:val="0"/>
                <w:numId w:val="11"/>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采用无线通信技术，有效传输距离不低于15米；</w:t>
            </w:r>
            <w:r/>
          </w:p>
          <w:p>
            <w:pPr>
              <w:numPr>
                <w:ilvl w:val="0"/>
                <w:numId w:val="11"/>
              </w:numPr>
              <w:ind w:left="0" w:firstLine="0"/>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笔身不低于4个功能按键，包括翻页、PPT播放、一键关闭应用和返回桌面等功能；按键具有图形标识，单个按键均具有两种以上功能；</w:t>
            </w:r>
            <w:r/>
          </w:p>
          <w:p>
            <w:pPr>
              <w:numPr>
                <w:ilvl w:val="0"/>
                <w:numId w:val="11"/>
              </w:numPr>
              <w:ind w:left="0" w:firstLine="0"/>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笔身采用Type-c接口充电，具有自动休眠节电功能，满电续航时间不低于24小时；</w:t>
            </w:r>
            <w:r/>
          </w:p>
          <w:p>
            <w:pPr>
              <w:numPr>
                <w:ilvl w:val="0"/>
                <w:numId w:val="0"/>
              </w:numPr>
              <w:jc w:val="left"/>
              <w:keepLines w:val="0"/>
              <w:keepNext w:val="0"/>
              <w:widowControl/>
              <w:rPr>
                <w:rFonts w:hint="eastAsia" w:ascii="宋体" w:hAnsi="宋体" w:eastAsia="宋体" w:cs="宋体"/>
                <w:bCs/>
                <w:color w:val="000000"/>
                <w:sz w:val="24"/>
                <w:szCs w:val="24"/>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4、支持自动连接，可搭配多支智能电子笔切换使用，对码方式只需同时按上翻页+返回桌面按键2-3秒完成对码。</w:t>
            </w:r>
            <w:r/>
          </w:p>
        </w:tc>
      </w:tr>
      <w:tr>
        <w:trPr>
          <w:trHeight w:val="90"/>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sz w:val="24"/>
                <w:szCs w:val="24"/>
                <w:lang w:val="en-US" w:eastAsia="zh-CN"/>
              </w:rPr>
              <w:t xml:space="preserve">多媒体讲台</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numPr>
                <w:ilvl w:val="0"/>
                <w:numId w:val="0"/>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1、规格：长：±850mm,宽：±640mm,±950mm，长、宽、高尺寸误差不大于50mm；</w:t>
            </w:r>
            <w:r/>
          </w:p>
          <w:p>
            <w:pPr>
              <w:numPr>
                <w:ilvl w:val="0"/>
                <w:numId w:val="0"/>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2、讲台采用上下分体、组合结构； </w:t>
            </w:r>
            <w:r/>
          </w:p>
          <w:p>
            <w:pPr>
              <w:numPr>
                <w:ilvl w:val="0"/>
                <w:numId w:val="0"/>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3、主体材料厚度为≥1.0mm 冷轧钢板，经剪板、冲压、折边、激光切割；二氧化碳</w:t>
            </w:r>
            <w:r/>
          </w:p>
          <w:p>
            <w:pPr>
              <w:numPr>
                <w:ilvl w:val="0"/>
                <w:numId w:val="0"/>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焊接,柜体边缘及拐角均采用 45°圆弧平滑过渡设计；</w:t>
            </w:r>
            <w:r/>
          </w:p>
          <w:p>
            <w:pPr>
              <w:numPr>
                <w:ilvl w:val="0"/>
                <w:numId w:val="0"/>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4、桌面采用实木耐划台面，配置实木扶手，扶手厚度≥12mm ；</w:t>
            </w:r>
            <w:r/>
          </w:p>
          <w:p>
            <w:pPr>
              <w:numPr>
                <w:ilvl w:val="0"/>
                <w:numId w:val="0"/>
              </w:numPr>
              <w:jc w:val="left"/>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5、锁具：开门部位采用通用锁；</w:t>
            </w:r>
            <w:r/>
          </w:p>
          <w:p>
            <w:pPr>
              <w:jc w:val="left"/>
              <w:spacing w:line="264" w:lineRule="auto"/>
              <w:rPr>
                <w:rFonts w:hint="eastAsia" w:ascii="宋体" w:hAnsi="宋体" w:eastAsia="宋体" w:cs="宋体"/>
                <w:bCs/>
                <w:color w:val="000000"/>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 xml:space="preserve">6、道轨：抽屉部位采用消音滚珠道轨。</w:t>
            </w:r>
            <w:r/>
          </w:p>
        </w:tc>
      </w:tr>
      <w:tr>
        <w:trPr>
          <w:trHeight w:val="90"/>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i w:val="0"/>
                <w:iCs w:val="0"/>
                <w:color w:val="000000"/>
                <w:sz w:val="24"/>
                <w:szCs w:val="24"/>
                <w:u w:val="none"/>
                <w:lang w:val="en-US" w:eastAsia="zh-CN" w:bidi="ar-SA"/>
              </w:rPr>
              <w:t xml:space="preserve">安装调试</w:t>
            </w:r>
            <w:r/>
          </w:p>
        </w:tc>
        <w:tc>
          <w:tcPr>
            <w:tcW w:w="803" w:type="dxa"/>
            <w:vAlign w:val="center"/>
            <w:textDirection w:val="lrTb"/>
            <w:noWrap w:val="false"/>
          </w:tcPr>
          <w:p>
            <w:pPr>
              <w:jc w:val="center"/>
              <w:spacing w:line="264" w:lineRule="auto"/>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sz w:val="24"/>
                <w:szCs w:val="24"/>
                <w:highlight w:val="none"/>
              </w:rPr>
              <w:t xml:space="preserve">实质性要求</w:t>
            </w:r>
            <w:r/>
          </w:p>
        </w:tc>
        <w:tc>
          <w:tcPr>
            <w:tcW w:w="7379" w:type="dxa"/>
            <w:vAlign w:val="center"/>
            <w:textDirection w:val="lrTb"/>
            <w:noWrap w:val="false"/>
          </w:tcPr>
          <w:p>
            <w:pPr>
              <w:jc w:val="left"/>
              <w:tabs>
                <w:tab w:val="left" w:pos="1071" w:leader="none"/>
              </w:tabs>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所有设备搬运、安装、调试到位，让整套设备能够正常运行，包含（智慧黑板、激光投影机、视频展台、扩声设备、讲台等设备）安装调试，副板需进行加固处理，施工完毕清理施工现场垃圾，保证教室干净整洁。</w:t>
            </w:r>
            <w:r/>
          </w:p>
        </w:tc>
      </w:tr>
      <w:tr>
        <w:trPr>
          <w:trHeight w:val="707"/>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707"/>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lang w:val="en-US"/>
              </w:rPr>
            </w:pPr>
            <w:r>
              <w:rPr>
                <w:rFonts w:hint="eastAsia" w:ascii="宋体" w:hAnsi="宋体" w:eastAsia="宋体" w:cs="宋体"/>
                <w:sz w:val="24"/>
                <w:szCs w:val="24"/>
                <w:lang w:val="en-US" w:eastAsia="zh-CN"/>
              </w:rPr>
              <w:t xml:space="preserve">线材辅助</w:t>
            </w:r>
            <w:r/>
          </w:p>
        </w:tc>
        <w:tc>
          <w:tcPr>
            <w:tcW w:w="803" w:type="dxa"/>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实质性要求</w:t>
            </w:r>
            <w:r/>
          </w:p>
        </w:tc>
        <w:tc>
          <w:tcPr>
            <w:tcW w:w="7379"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en-US"/>
                <w14:textFill>
                  <w14:solidFill>
                    <w14:schemeClr w14:val="tx1"/>
                  </w14:solidFill>
                </w14:textFill>
              </w:rPr>
              <w:t xml:space="preserve">所用线槽（防阻燃）、线缆（高清线、电源线、音频线、音箱连接线、控制线）、辅材均为国标。</w:t>
            </w:r>
            <w:r/>
          </w:p>
        </w:tc>
      </w:tr>
      <w:tr>
        <w:trPr>
          <w:trHeight w:val="992"/>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717"/>
        </w:trPr>
        <w:tc>
          <w:tcPr>
            <w:tcW w:w="702"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w:t>
            </w:r>
            <w:r/>
          </w:p>
        </w:tc>
        <w:tc>
          <w:tcPr>
            <w:tcW w:w="997" w:type="dxa"/>
            <w:vAlign w:val="center"/>
            <w:vMerge w:val="restart"/>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sz w:val="24"/>
                <w:szCs w:val="24"/>
                <w:lang w:val="en-US" w:eastAsia="zh-CN"/>
              </w:rPr>
              <w:t xml:space="preserve">旧设备拆除 </w:t>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★实质性要求</w:t>
            </w:r>
            <w:r/>
          </w:p>
        </w:tc>
        <w:tc>
          <w:tcPr>
            <w:tcW w:w="7379" w:type="dxa"/>
            <w:vAlign w:val="center"/>
            <w:textDirection w:val="lrTb"/>
            <w:noWrap w:val="false"/>
          </w:tcPr>
          <w:p>
            <w:pPr>
              <w:jc w:val="left"/>
              <w:spacing w:line="264" w:lineRule="auto"/>
              <w:rPr>
                <w:rFonts w:hint="eastAsia" w:ascii="宋体" w:hAnsi="宋体" w:eastAsia="宋体" w:cs="宋体"/>
                <w:bCs/>
                <w:color w:val="000000"/>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1、旧</w:t>
            </w:r>
            <w:r>
              <w:rPr>
                <w:rFonts w:hint="eastAsia" w:ascii="宋体" w:hAnsi="宋体" w:eastAsia="宋体" w:cs="宋体"/>
                <w:color w:val="000000" w:themeColor="text1"/>
                <w:sz w:val="24"/>
                <w:szCs w:val="24"/>
                <w:lang w:val="en-US" w:eastAsia="zh-CN"/>
                <w14:textFill>
                  <w14:solidFill>
                    <w14:schemeClr w14:val="tx1"/>
                  </w14:solidFill>
                </w14:textFill>
              </w:rPr>
              <w:t xml:space="preserve">设备（黑板、讲台、投影、电脑、音响、线槽等）的拆除费用，原设备区域内拆除后的平整修复，垃圾清运至校内指定地点。</w:t>
            </w:r>
            <w:r/>
          </w:p>
        </w:tc>
      </w:tr>
      <w:tr>
        <w:trPr>
          <w:trHeight w:val="717"/>
        </w:trPr>
        <w:tc>
          <w:tcPr>
            <w:tcW w:w="702"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7" w:type="dxa"/>
            <w:vAlign w:val="center"/>
            <w:vMerge w:val="continue"/>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03" w:type="dxa"/>
            <w:vAlign w:val="center"/>
            <w:textDirection w:val="lrTb"/>
            <w:noWrap w:val="false"/>
          </w:tcPr>
          <w:p>
            <w:pPr>
              <w:jc w:val="center"/>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非实质性要求</w:t>
            </w:r>
            <w:r/>
          </w:p>
        </w:tc>
        <w:tc>
          <w:tcPr>
            <w:tcW w:w="7379" w:type="dxa"/>
            <w:vAlign w:val="center"/>
            <w:textDirection w:val="lrTb"/>
            <w:noWrap w:val="false"/>
          </w:tcPr>
          <w:p>
            <w:pPr>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bl>
    <w:p>
      <w:pPr>
        <w:ind w:firstLine="480"/>
        <w:spacing w:line="264" w:lineRule="auto"/>
        <w:rPr>
          <w:rFonts w:hint="eastAsia" w:ascii="宋体" w:hAnsi="宋体"/>
          <w:sz w:val="24"/>
        </w:rPr>
      </w:pPr>
      <w:r>
        <w:rPr>
          <w:rFonts w:hint="eastAsia" w:ascii="宋体" w:hAnsi="宋体"/>
          <w:sz w:val="24"/>
        </w:rPr>
      </w:r>
      <w:r/>
    </w:p>
    <w:p>
      <w:pPr>
        <w:pStyle w:val="932"/>
        <w:ind w:left="900" w:hanging="480"/>
        <w:rPr>
          <w:rFonts w:hint="eastAsia" w:ascii="宋体" w:hAnsi="宋体"/>
          <w:sz w:val="24"/>
        </w:rPr>
      </w:pPr>
      <w:r>
        <w:rPr>
          <w:rFonts w:hint="eastAsia" w:ascii="宋体" w:hAnsi="宋体"/>
          <w:sz w:val="24"/>
        </w:rPr>
      </w:r>
      <w:r/>
    </w:p>
    <w:p>
      <w:p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sz w:val="24"/>
          <w:szCs w:val="24"/>
        </w:rPr>
      </w:pPr>
      <w:r>
        <w:rPr>
          <w:rFonts w:hint="eastAsia" w:ascii="宋体" w:hAnsi="宋体" w:cs="宋体"/>
          <w:sz w:val="24"/>
          <w:szCs w:val="24"/>
        </w:rPr>
        <w:t xml:space="preserve">2.实施要求</w:t>
      </w:r>
      <w:r/>
    </w:p>
    <w:p>
      <w:pPr>
        <w:ind w:firstLine="480"/>
        <w:spacing w:line="36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ascii="宋体" w:hAnsi="宋体" w:cs="宋体"/>
          <w:sz w:val="24"/>
          <w:szCs w:val="24"/>
        </w:rPr>
      </w:pPr>
      <w:r>
        <w:rPr>
          <w:rFonts w:hint="eastAsia" w:ascii="宋体" w:hAnsi="宋体" w:cs="宋体"/>
          <w:sz w:val="24"/>
          <w:szCs w:val="24"/>
        </w:rPr>
        <w:t xml:space="preserve">供应商中标后</w:t>
      </w:r>
      <w:r>
        <w:rPr>
          <w:rFonts w:hint="eastAsia" w:ascii="宋体" w:hAnsi="宋体" w:cs="宋体"/>
          <w:sz w:val="24"/>
          <w:szCs w:val="24"/>
          <w:lang w:val="en-US" w:eastAsia="zh-CN"/>
        </w:rPr>
        <w:t xml:space="preserve">签订合同时</w:t>
      </w:r>
      <w:r>
        <w:rPr>
          <w:rFonts w:hint="eastAsia" w:ascii="宋体" w:hAnsi="宋体" w:cs="宋体"/>
          <w:sz w:val="24"/>
          <w:szCs w:val="24"/>
        </w:rPr>
        <w:t xml:space="preserve">需提供设备安装日程计划。 </w:t>
      </w:r>
      <w:r/>
    </w:p>
    <w:p>
      <w:pPr>
        <w:ind w:firstLine="480"/>
        <w:spacing w:line="360" w:lineRule="exact"/>
        <w:rPr>
          <w:rFonts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中标供应商在合同履约过程中，必须通过“南京市教育装备项目管理平台”申请验收。装备中心组织专家依据采购文件上的项目需求要求、</w:t>
      </w:r>
      <w:r>
        <w:rPr>
          <w:rFonts w:hint="eastAsia" w:ascii="宋体" w:hAnsi="宋体" w:cs="宋体"/>
          <w:color w:val="auto"/>
          <w:sz w:val="24"/>
          <w:szCs w:val="24"/>
          <w:lang w:val="en-US" w:eastAsia="zh-CN"/>
        </w:rPr>
        <w:t xml:space="preserve">中标供应商</w:t>
      </w:r>
      <w:r>
        <w:rPr>
          <w:rFonts w:hint="eastAsia" w:ascii="宋体" w:hAnsi="宋体" w:cs="宋体"/>
          <w:sz w:val="24"/>
          <w:szCs w:val="24"/>
        </w:rPr>
        <w:t xml:space="preserve">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①中标供应商所投产品质</w:t>
      </w:r>
      <w:r>
        <w:rPr>
          <w:rFonts w:hint="eastAsia" w:ascii="宋体" w:hAnsi="宋体" w:cs="宋体"/>
          <w:sz w:val="24"/>
          <w:szCs w:val="24"/>
          <w:highlight w:val="none"/>
        </w:rPr>
        <w:t xml:space="preserve">保期限</w:t>
      </w:r>
      <w:r>
        <w:rPr>
          <w:rFonts w:hint="eastAsia" w:ascii="宋体" w:hAnsi="宋体" w:cs="宋体"/>
          <w:color w:val="auto"/>
          <w:sz w:val="24"/>
          <w:szCs w:val="24"/>
          <w:lang w:val="en-US" w:eastAsia="zh-CN"/>
        </w:rPr>
        <w:t xml:space="preserve">不得低于</w:t>
      </w:r>
      <w:r>
        <w:rPr>
          <w:rFonts w:hint="eastAsia" w:ascii="宋体" w:hAnsi="宋体" w:cs="宋体"/>
          <w:sz w:val="24"/>
          <w:szCs w:val="24"/>
          <w:highlight w:val="none"/>
        </w:rPr>
        <w:t xml:space="preserve">六年（</w:t>
      </w:r>
      <w:r>
        <w:rPr>
          <w:rFonts w:hint="eastAsia" w:ascii="宋体" w:hAnsi="宋体" w:cs="宋体"/>
          <w:sz w:val="24"/>
          <w:szCs w:val="24"/>
        </w:rPr>
        <w:t xml:space="preserve">自验收报告签字确认日起开始进入质保期），质保期内维修（人为因素除外）费用包含在投标总价中。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w:t>
      </w:r>
      <w:r>
        <w:rPr>
          <w:rFonts w:hint="eastAsia" w:ascii="宋体" w:hAnsi="宋体" w:cs="宋体"/>
          <w:sz w:val="24"/>
          <w:szCs w:val="24"/>
          <w:lang w:val="en-US" w:eastAsia="zh-CN"/>
        </w:rPr>
        <w:t xml:space="preserve">3</w:t>
      </w:r>
      <w:r>
        <w:rPr>
          <w:rFonts w:hint="eastAsia" w:ascii="宋体" w:hAnsi="宋体" w:cs="宋体"/>
          <w:sz w:val="24"/>
          <w:szCs w:val="24"/>
        </w:rPr>
        <w:t xml:space="preserve">小时内到达现场并排除故障。保修期内如同一故障发生三次，或在1周内无法修复，供应商须无条件换货，立即更换新机。</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①中标供应商必须接受“南京市教育装备项目管理平台”的信息化过程管理，在“南京市教育装备云服务平台”中公开投标文件、合同与合同清单，接受南京市教育、财政、审计等行政部门的网络在线监督。 </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②中标供应商必须在履约过程中，严格按照“南京市教育装备项目管理平台”的技术与管理规范，在规定的时间节点，提供相应的合同履约资料，包括照片。</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中标供应商在合同履约过程中，必须通过“南京市教育装备项目管理平台”申请验收。验收不合格即记录在平台中，整改后验收仍不合格的，采购人有权依据法律 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中标供应商必须对所有进入固定资产的设备，按南京市的统一要求，通过“南京市教育装备项目管理平台”(南京市教育装备项目管理平台网址 http://nj.cneefix.com)制作二维码标签，并张贴到设备上。</w:t>
      </w:r>
      <w:r/>
    </w:p>
    <w:p>
      <w:pPr>
        <w:ind w:firstLine="480"/>
        <w:spacing w:line="360" w:lineRule="exact"/>
        <w:rPr>
          <w:rFonts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中标供应商必须通过“南京市教育装备项目管理平台”提供售后维护维保服务。</w:t>
      </w:r>
      <w:r/>
    </w:p>
    <w:p>
      <w:pPr>
        <w:ind w:firstLine="480"/>
        <w:spacing w:line="360" w:lineRule="exact"/>
        <w:rPr>
          <w:rFonts w:ascii="宋体" w:hAnsi="宋体" w:cs="宋体"/>
          <w:sz w:val="24"/>
          <w:szCs w:val="24"/>
        </w:rPr>
      </w:pPr>
      <w:r>
        <w:rPr>
          <w:rFonts w:hint="eastAsia" w:ascii="宋体" w:hAnsi="宋体" w:cs="宋体"/>
          <w:sz w:val="24"/>
          <w:szCs w:val="24"/>
        </w:rPr>
        <w:t xml:space="preserve">（7） 其他要求：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②中标供应商在签订合同前须将投标文件内提供的“相关证书”和“检测报告”等原件供采购人查验，如不提供或提供不全，采购人可向监管部门举报投标人虚假响应招标要求。</w:t>
      </w:r>
      <w:r/>
    </w:p>
    <w:p>
      <w:pPr>
        <w:ind w:firstLine="480"/>
        <w:spacing w:line="360" w:lineRule="exact"/>
        <w:rPr>
          <w:rFonts w:ascii="宋体" w:hAnsi="宋体" w:cs="宋体"/>
          <w:sz w:val="24"/>
          <w:szCs w:val="24"/>
        </w:rPr>
      </w:pPr>
      <w:r>
        <w:rPr>
          <w:rFonts w:hint="eastAsia" w:ascii="宋体" w:hAnsi="宋体" w:cs="宋体"/>
          <w:sz w:val="24"/>
          <w:szCs w:val="24"/>
        </w:rPr>
        <w:t xml:space="preserve">③江苏</w:t>
      </w:r>
      <w:r>
        <w:rPr>
          <w:rFonts w:hint="eastAsia" w:ascii="宋体" w:hAnsi="宋体" w:cs="宋体"/>
          <w:sz w:val="24"/>
          <w:szCs w:val="24"/>
          <w:lang w:val="en-US" w:eastAsia="zh-CN"/>
        </w:rPr>
        <w:t xml:space="preserve">宁耀科教设备</w:t>
      </w:r>
      <w:r>
        <w:rPr>
          <w:rFonts w:hint="eastAsia" w:ascii="宋体" w:hAnsi="宋体" w:cs="宋体"/>
          <w:sz w:val="24"/>
          <w:szCs w:val="24"/>
        </w:rPr>
        <w:t xml:space="preserve">有限公司参与本项目技术咨询服务，参照相关法规执行。</w:t>
      </w:r>
      <w:r/>
    </w:p>
    <w:p>
      <w:pPr>
        <w:ind w:firstLine="480"/>
        <w:spacing w:line="360" w:lineRule="exact"/>
        <w:rPr>
          <w:rFonts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ascii="宋体" w:hAnsi="宋体" w:cs="宋体"/>
          <w:sz w:val="24"/>
          <w:szCs w:val="24"/>
        </w:rPr>
      </w:pPr>
      <w:r>
        <w:rPr>
          <w:rFonts w:hint="eastAsia" w:ascii="宋体" w:hAnsi="宋体" w:cs="宋体"/>
          <w:sz w:val="24"/>
          <w:szCs w:val="24"/>
        </w:rPr>
        <w:t xml:space="preserve">①交付时间：合同签订后30个日历日内完成交货。</w:t>
      </w:r>
      <w:r/>
    </w:p>
    <w:p>
      <w:pPr>
        <w:ind w:firstLine="480"/>
        <w:spacing w:line="360" w:lineRule="exact"/>
        <w:rPr>
          <w:rFonts w:ascii="宋体" w:hAnsi="宋体" w:cs="宋体"/>
          <w:sz w:val="24"/>
          <w:szCs w:val="24"/>
        </w:rPr>
      </w:pPr>
      <w:r>
        <w:rPr>
          <w:rFonts w:hint="eastAsia" w:ascii="宋体" w:hAnsi="宋体" w:cs="宋体"/>
          <w:sz w:val="24"/>
          <w:szCs w:val="24"/>
        </w:rPr>
        <w:t xml:space="preserve">②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投标时提供证明材料的，供应商应按要求在投标文件中提供相应证明材料。要求合同签订时提供证明材料的，签订合同时供应商应按招标文件要求和投标文件响应内容提供相应证明材料原件供采购人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ind w:firstLine="480"/>
        <w:spacing w:line="360" w:lineRule="exact"/>
        <w:rPr>
          <w:rFonts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hint="eastAsia" w:ascii="宋体" w:hAnsi="宋体" w:cs="宋体"/>
          <w:sz w:val="24"/>
          <w:szCs w:val="24"/>
          <w:lang w:eastAsia="zh-CN"/>
        </w:rPr>
      </w:pPr>
      <w:r>
        <w:rPr>
          <w:rFonts w:hint="eastAsia" w:ascii="宋体" w:hAnsi="宋体" w:cs="宋体"/>
          <w:sz w:val="24"/>
          <w:szCs w:val="24"/>
          <w:lang w:val="en-US" w:eastAsia="zh-CN"/>
        </w:rPr>
        <w:t xml:space="preserve">1</w:t>
      </w:r>
      <w:r>
        <w:rPr>
          <w:rFonts w:hint="eastAsia" w:ascii="宋体" w:hAnsi="宋体" w:cs="宋体"/>
          <w:sz w:val="24"/>
          <w:szCs w:val="24"/>
        </w:rPr>
        <w:t xml:space="preserve">.视频演示</w:t>
      </w:r>
      <w:r>
        <w:rPr>
          <w:rFonts w:hint="eastAsia" w:ascii="宋体" w:hAnsi="宋体" w:cs="宋体"/>
          <w:sz w:val="24"/>
          <w:szCs w:val="24"/>
          <w:lang w:eastAsia="zh-CN"/>
        </w:rPr>
        <w:t xml:space="preserve">：</w:t>
      </w:r>
      <w:r/>
    </w:p>
    <w:p>
      <w:pPr>
        <w:ind w:firstLine="480"/>
        <w:spacing w:line="360" w:lineRule="exac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视</w:t>
      </w:r>
      <w:r>
        <w:rPr>
          <w:rFonts w:hint="eastAsia" w:ascii="宋体" w:hAnsi="宋体" w:cs="宋体"/>
          <w:sz w:val="24"/>
          <w:szCs w:val="24"/>
        </w:rPr>
        <w:t xml:space="preserve">频文件的格式为*.mp4或*.avi，供应商须将视频文件分段压缩为*.zip文件上传（单个文件不得大于50M，所有文件合计不得大于300M）。文件上传方式见</w:t>
      </w:r>
      <w:r>
        <w:rPr>
          <w:rFonts w:hint="eastAsia" w:ascii="宋体" w:hAnsi="宋体" w:eastAsia="宋体" w:cs="宋体"/>
          <w:color w:val="auto"/>
          <w:sz w:val="24"/>
          <w:szCs w:val="24"/>
          <w:highlight w:val="none"/>
          <w:lang w:val="en-US" w:eastAsia="zh-CN"/>
        </w:rPr>
        <w:t xml:space="preserve">苏采云系统操作指南</w:t>
      </w:r>
      <w:r>
        <w:rPr>
          <w:rFonts w:hint="eastAsia" w:ascii="宋体" w:hAnsi="宋体" w:cs="宋体"/>
          <w:sz w:val="24"/>
          <w:szCs w:val="24"/>
          <w:highlight w:val="none"/>
        </w:rPr>
        <w:t xml:space="preserve">，</w:t>
      </w:r>
      <w:r>
        <w:rPr>
          <w:rFonts w:hint="eastAsia" w:ascii="宋体" w:hAnsi="宋体" w:cs="宋体"/>
          <w:sz w:val="24"/>
          <w:szCs w:val="24"/>
        </w:rPr>
        <w:t xml:space="preserve">上传的演示视频将作为投标文件的组成部分。视频时长总计不超过</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sz w:val="24"/>
          <w:szCs w:val="24"/>
        </w:rPr>
        <w:t xml:space="preserve">分钟。</w:t>
      </w:r>
      <w:r/>
    </w:p>
    <w:p>
      <w:pPr>
        <w:pStyle w:val="718"/>
        <w:ind w:left="0" w:firstLine="480"/>
        <w:rPr>
          <w:rFonts w:hint="eastAsia"/>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演示</w:t>
      </w:r>
      <w:r>
        <w:rPr>
          <w:rFonts w:hint="eastAsia" w:ascii="宋体" w:hAnsi="宋体" w:cs="宋体"/>
          <w:sz w:val="24"/>
          <w:szCs w:val="24"/>
        </w:rPr>
        <w:t xml:space="preserve">内容详见“第五章 评标方法与评标标准”。</w:t>
      </w:r>
      <w:r/>
    </w:p>
    <w:p>
      <w:pPr>
        <w:pStyle w:val="718"/>
        <w:rPr>
          <w:rFonts w:hint="eastAsia"/>
        </w:rPr>
      </w:pPr>
      <w:r>
        <w:rPr>
          <w:rFonts w:hint="eastAsia"/>
        </w:rPr>
      </w:r>
      <w:r/>
    </w:p>
    <w:p>
      <w:pPr>
        <w:rPr>
          <w:rFonts w:hint="eastAsia"/>
        </w:rPr>
      </w:pPr>
      <w:r>
        <w:rPr>
          <w:rFonts w:hint="eastAsia"/>
        </w:rPr>
      </w:r>
      <w:r/>
    </w:p>
    <w:p>
      <w:pPr>
        <w:pStyle w:val="718"/>
        <w:rPr>
          <w:rFonts w:hint="eastAsia" w:eastAsia="宋体"/>
          <w:lang w:eastAsia="zh-CN"/>
        </w:rPr>
      </w:pPr>
      <w:r>
        <w:rPr>
          <w:rFonts w:hint="eastAsia" w:eastAsia="宋体"/>
          <w:lang w:eastAsia="zh-CN"/>
        </w:rPr>
      </w:r>
      <w:r/>
    </w:p>
    <w:p>
      <w:pPr>
        <w:rPr>
          <w:rFonts w:hint="eastAsia"/>
        </w:rPr>
      </w:pPr>
      <w:r>
        <w:rPr>
          <w:rFonts w:hint="eastAsia"/>
        </w:rPr>
      </w:r>
      <w:r/>
    </w:p>
    <w:p>
      <w:pPr>
        <w:pStyle w:val="718"/>
        <w:rPr>
          <w:rFonts w:hint="eastAsia"/>
        </w:rPr>
      </w:pPr>
      <w:r>
        <w:rPr>
          <w:rFonts w:hint="eastAsia"/>
        </w:rPr>
      </w:r>
      <w:r/>
    </w:p>
    <w:p>
      <w:pPr>
        <w:pStyle w:val="718"/>
        <w:ind w:left="0" w:firstLine="0"/>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rPr>
          <w:rFonts w:hint="eastAsia"/>
        </w:rPr>
      </w:r>
      <w:r/>
    </w:p>
    <w:p>
      <w:pPr>
        <w:pStyle w:val="718"/>
        <w:rPr>
          <w:rFonts w:hint="eastAsia"/>
        </w:rPr>
      </w:pPr>
      <w:r>
        <w:rPr>
          <w:rFonts w:hint="eastAsia"/>
        </w:rPr>
      </w:r>
      <w:r>
        <w:rPr>
          <w:rFonts w:hint="eastAsia"/>
        </w:rPr>
      </w:r>
      <w:r/>
    </w:p>
    <w:p>
      <w:pPr>
        <w:pStyle w:val="718"/>
        <w:rPr>
          <w:rFonts w:hint="eastAsia"/>
        </w:rPr>
      </w:pPr>
      <w:r>
        <w:rPr>
          <w:rFonts w:hint="eastAsia"/>
        </w:rPr>
      </w:r>
      <w:r/>
    </w:p>
    <w:p>
      <w:pPr>
        <w:rPr>
          <w:rFonts w:hint="eastAsia"/>
        </w:rPr>
      </w:pPr>
      <w:r/>
      <w:bookmarkStart w:id="194" w:name="_GoBack"/>
      <w:r/>
      <w:bookmarkEnd w:id="194"/>
      <w:r/>
      <w:r/>
    </w:p>
    <w:p>
      <w:pPr>
        <w:pStyle w:val="718"/>
        <w:rPr>
          <w:rFonts w:hint="eastAsia"/>
        </w:rPr>
      </w:pPr>
      <w:r>
        <w:rPr>
          <w:rFonts w:hint="eastAsia"/>
        </w:rPr>
      </w:r>
      <w:r/>
    </w:p>
    <w:p>
      <w:pPr>
        <w:ind w:firstLine="720"/>
        <w:jc w:val="center"/>
        <w:spacing w:line="264" w:lineRule="auto"/>
        <w:rPr>
          <w:rFonts w:hint="eastAsia" w:ascii="方正小标宋简体" w:hAnsi="方正小标宋简体" w:eastAsia="方正小标宋简体" w:cs="方正小标宋简体"/>
          <w:color w:val="000000"/>
          <w:sz w:val="36"/>
          <w:szCs w:val="36"/>
        </w:rPr>
      </w:pPr>
      <w:r/>
      <w:bookmarkStart w:id="185" w:name="_Toc120614281"/>
      <w:r>
        <w:rPr>
          <w:rFonts w:hint="eastAsia" w:ascii="方正小标宋简体" w:hAnsi="方正小标宋简体" w:eastAsia="方正小标宋简体" w:cs="方正小标宋简体"/>
          <w:color w:val="000000"/>
          <w:sz w:val="36"/>
          <w:szCs w:val="36"/>
        </w:rPr>
        <w:t xml:space="preserve">第五章  评标方法与评标标准</w:t>
      </w:r>
      <w:r/>
    </w:p>
    <w:p>
      <w:pPr>
        <w:rPr>
          <w:rFonts w:hint="eastAsia" w:ascii="宋体" w:hAnsi="宋体" w:cs="宋体"/>
          <w:b/>
          <w:bCs/>
          <w:sz w:val="24"/>
          <w:szCs w:val="24"/>
        </w:rPr>
      </w:pPr>
      <w:r>
        <w:rPr>
          <w:rFonts w:hint="eastAsia" w:ascii="宋体" w:hAnsi="宋体" w:cs="宋体"/>
          <w:b/>
          <w:bCs/>
          <w:sz w:val="24"/>
          <w:szCs w:val="24"/>
        </w:rPr>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1.采用综合评分法的，评标结果按评审后得分由高到低顺序排列。得分相同的，按投标报价由低到高顺序排列。得分且投标报价相同的，按</w:t>
      </w: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评标标准</w:t>
      </w:r>
      <w:r>
        <w:rPr>
          <w:rFonts w:hint="eastAsia" w:ascii="宋体" w:hAnsi="宋体" w:cs="宋体"/>
          <w:sz w:val="24"/>
          <w:szCs w:val="24"/>
        </w:rPr>
        <w:t xml:space="preserve">2.1 </w:t>
      </w:r>
      <w:r>
        <w:rPr>
          <w:rFonts w:hint="eastAsia" w:ascii="宋体" w:hAnsi="宋体" w:cs="宋体"/>
          <w:sz w:val="24"/>
          <w:szCs w:val="24"/>
          <w:lang w:val="en-US" w:eastAsia="zh-CN"/>
        </w:rPr>
        <w:t xml:space="preserve">-2.6</w:t>
      </w:r>
      <w:r>
        <w:rPr>
          <w:rFonts w:hint="eastAsia" w:ascii="宋体" w:hAnsi="宋体" w:cs="宋体"/>
          <w:sz w:val="24"/>
          <w:szCs w:val="24"/>
        </w:rPr>
        <w:t xml:space="preserve">项”得分由高到低顺序排列。在投标文件满足招标文件全部实质性要求的供应商中，按照评审得分由高到低推荐3名中标候选人。</w:t>
      </w:r>
      <w:r/>
    </w:p>
    <w:p>
      <w:pPr>
        <w:ind w:firstLine="480"/>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rPr>
          <w:rFonts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w:t>
      </w:r>
      <w:r>
        <w:rPr>
          <w:rFonts w:hint="eastAsia" w:ascii="宋体" w:hAnsi="宋体"/>
          <w:sz w:val="24"/>
          <w:szCs w:val="24"/>
          <w:lang w:val="zh-CN"/>
        </w:rPr>
        <w:t xml:space="preserve">5%</w:t>
      </w:r>
      <w:r>
        <w:rPr>
          <w:rFonts w:hint="eastAsia" w:ascii="宋体" w:hAnsi="宋体" w:cs="宋体"/>
          <w:sz w:val="24"/>
          <w:szCs w:val="24"/>
        </w:rPr>
        <w:t xml:space="preserve">的扣除，用扣除后的价格参与评审。</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三、评标标准</w:t>
      </w:r>
      <w:r/>
    </w:p>
    <w:tbl>
      <w:tblPr>
        <w:tblStyle w:val="717"/>
        <w:tblW w:w="5000" w:type="pct"/>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28" w:type="dxa"/>
          <w:right w:w="57" w:type="dxa"/>
          <w:bottom w:w="28" w:type="dxa"/>
        </w:tblCellMar>
        <w:tblLook w:val="04A0" w:firstRow="1" w:lastRow="0" w:firstColumn="1" w:lastColumn="0" w:noHBand="0" w:noVBand="1"/>
      </w:tblPr>
      <w:tblGrid>
        <w:gridCol w:w="554"/>
        <w:gridCol w:w="607"/>
        <w:gridCol w:w="7086"/>
        <w:gridCol w:w="850"/>
        <w:gridCol w:w="763"/>
      </w:tblGrid>
      <w:tr>
        <w:trPr>
          <w:trHeight w:val="564"/>
        </w:trPr>
        <w:tc>
          <w:tcPr>
            <w:tcW w:w="554"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607"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评分因素</w:t>
            </w:r>
            <w:r/>
          </w:p>
        </w:tc>
        <w:tc>
          <w:tcPr>
            <w:tcW w:w="7086"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评分细则</w:t>
            </w:r>
            <w:r/>
          </w:p>
        </w:tc>
        <w:tc>
          <w:tcPr>
            <w:tcW w:w="850"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c>
          <w:tcPr>
            <w:tcW w:w="763" w:type="dxa"/>
            <w:vAlign w:val="center"/>
            <w:textDirection w:val="lrTb"/>
            <w:noWrap w:val="false"/>
          </w:tcPr>
          <w:p>
            <w:pPr>
              <w:pStyle w:val="1002"/>
              <w:ind w:firstLine="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p>
            <w:pPr>
              <w:pStyle w:val="1002"/>
              <w:ind w:firstLine="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类型</w:t>
            </w:r>
            <w:r/>
          </w:p>
        </w:tc>
      </w:tr>
      <w:tr>
        <w:trPr>
          <w:trHeight w:val="454"/>
        </w:trPr>
        <w:tc>
          <w:tcPr>
            <w:gridSpan w:val="5"/>
            <w:tcW w:w="9860" w:type="dxa"/>
            <w:vAlign w:val="center"/>
            <w:textDirection w:val="lrTb"/>
            <w:noWrap w:val="false"/>
          </w:tcPr>
          <w:p>
            <w:pPr>
              <w:pStyle w:val="1002"/>
              <w:ind w:firstLine="0"/>
              <w:jc w:val="left"/>
              <w:keepLines w:val="0"/>
              <w:keepNext w:val="0"/>
              <w:pageBreakBefore w:val="0"/>
              <w:spacing w:line="3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1、价格</w:t>
            </w:r>
            <w:r/>
          </w:p>
        </w:tc>
      </w:tr>
      <w:tr>
        <w:trPr/>
        <w:tc>
          <w:tcPr>
            <w:tcW w:w="554"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607"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tc>
        <w:tc>
          <w:tcPr>
            <w:tcW w:w="7086" w:type="dxa"/>
            <w:vAlign w:val="center"/>
            <w:textDirection w:val="lrTb"/>
            <w:noWrap w:val="false"/>
          </w:tcPr>
          <w:p>
            <w:pPr>
              <w:pStyle w:val="1002"/>
              <w:ind w:firstLine="0"/>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W w:w="850"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c>
          <w:tcPr>
            <w:tcW w:w="763"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价格分</w:t>
            </w:r>
            <w:r/>
          </w:p>
        </w:tc>
      </w:tr>
      <w:tr>
        <w:trPr>
          <w:trHeight w:val="454"/>
        </w:trPr>
        <w:tc>
          <w:tcPr>
            <w:gridSpan w:val="5"/>
            <w:tcW w:w="9860" w:type="dxa"/>
            <w:vAlign w:val="center"/>
            <w:textDirection w:val="lrTb"/>
            <w:noWrap w:val="false"/>
          </w:tcPr>
          <w:p>
            <w:pPr>
              <w:pStyle w:val="1002"/>
              <w:ind w:firstLine="0"/>
              <w:jc w:val="left"/>
              <w:keepLines w:val="0"/>
              <w:keepNext w:val="0"/>
              <w:pageBreakBefore w:val="0"/>
              <w:spacing w:line="300" w:lineRule="exact"/>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rPr>
              <w:t xml:space="preserve">2、技术</w:t>
            </w:r>
            <w:r/>
          </w:p>
        </w:tc>
      </w:tr>
      <w:tr>
        <w:trPr/>
        <w:tc>
          <w:tcPr>
            <w:tcW w:w="554"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W w:w="607"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产品技术参数</w:t>
            </w:r>
            <w:r/>
          </w:p>
        </w:tc>
        <w:tc>
          <w:tcPr>
            <w:tcW w:w="7086"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评委根据供应商所投产品对产品技术参数的响应程度进行评分：</w:t>
            </w:r>
            <w:r/>
          </w:p>
          <w:p>
            <w:pPr>
              <w:pStyle w:val="1002"/>
              <w:ind w:firstLine="0"/>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产品技术参数全部满足招标要求的得满分，打★指标为必须满足项，如有负偏离将作为无效投标，其余指标有1项负偏离扣1分，扣完为止。</w:t>
            </w:r>
            <w:r/>
          </w:p>
        </w:tc>
        <w:tc>
          <w:tcPr>
            <w:tcW w:w="850"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r/>
          </w:p>
        </w:tc>
        <w:tc>
          <w:tcPr>
            <w:tcW w:w="763"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客观分</w:t>
            </w:r>
            <w:r/>
          </w:p>
        </w:tc>
      </w:tr>
      <w:tr>
        <w:trPr/>
        <w:tc>
          <w:tcPr>
            <w:shd w:val="clear" w:color="auto" w:fill="auto"/>
            <w:tcW w:w="554"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2.2</w:t>
            </w:r>
            <w:r/>
          </w:p>
        </w:tc>
        <w:tc>
          <w:tcPr>
            <w:shd w:val="clear" w:color="auto" w:fill="auto"/>
            <w:tcW w:w="607" w:type="dxa"/>
            <w:vAlign w:val="center"/>
            <w:textDirection w:val="lrTb"/>
            <w:noWrap w:val="false"/>
          </w:tcPr>
          <w:p>
            <w:pPr>
              <w:pStyle w:val="1002"/>
              <w:ind w:firstLine="0"/>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视频演示</w:t>
            </w:r>
            <w:r/>
          </w:p>
        </w:tc>
        <w:tc>
          <w:tcPr>
            <w:shd w:val="clear" w:color="auto" w:fill="auto"/>
            <w:tcW w:w="7086"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视</w:t>
            </w:r>
            <w:r>
              <w:rPr>
                <w:rFonts w:hint="eastAsia" w:ascii="宋体" w:hAnsi="宋体" w:eastAsia="宋体" w:cs="宋体"/>
                <w:sz w:val="24"/>
                <w:szCs w:val="24"/>
              </w:rPr>
              <w:t xml:space="preserve">频文件的格式为*.mp4或*.avi，供应商须将视频文件分段压缩为*.zip文件上传（单个文件不得大于50M，所有文件合计不得大于300M）。文件上传方式见</w:t>
            </w:r>
            <w:r>
              <w:rPr>
                <w:rFonts w:hint="eastAsia" w:ascii="宋体" w:hAnsi="宋体" w:eastAsia="宋体" w:cs="宋体"/>
                <w:sz w:val="24"/>
                <w:szCs w:val="24"/>
                <w:highlight w:val="none"/>
                <w:lang w:val="en-US" w:eastAsia="zh-CN"/>
              </w:rPr>
              <w:t xml:space="preserve">苏采云系统操作指南</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上传的演示视频将作为投标文件的组成部分。视频时长总计不超过</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sz w:val="24"/>
                <w:szCs w:val="24"/>
              </w:rPr>
              <w:t xml:space="preserve">分钟</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视频文件未提供或因供应商自身原因无法打开的不得分。</w:t>
            </w:r>
            <w:r/>
          </w:p>
          <w:p>
            <w:pPr>
              <w:ind w:left="0"/>
              <w:keepLines w:val="0"/>
              <w:keepNext w:val="0"/>
              <w:pageBreakBefore w:val="0"/>
              <w:spacing w:line="320" w:lineRule="exact"/>
              <w:rPr>
                <w:rFonts w:hint="eastAsia" w:ascii="宋体" w:hAnsi="宋体" w:eastAsia="宋体" w:cs="宋体"/>
                <w:color w:val="000000"/>
                <w:sz w:val="24"/>
                <w:szCs w:val="24"/>
                <w:lang w:bidi="ar"/>
              </w:rPr>
            </w:pPr>
            <w:r>
              <w:rPr>
                <w:rFonts w:hint="eastAsia" w:ascii="宋体" w:hAnsi="宋体" w:eastAsia="宋体" w:cs="宋体"/>
                <w:color w:val="auto"/>
                <w:sz w:val="24"/>
                <w:szCs w:val="24"/>
                <w:lang w:val="en-US" w:eastAsia="zh-CN"/>
              </w:rPr>
              <w:t xml:space="preserve">视频演示一：</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lang w:bidi="ar"/>
              </w:rPr>
              <w:t xml:space="preserve">清单</w:t>
            </w: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themeColor="text1"/>
                <w:sz w:val="24"/>
                <w:szCs w:val="24"/>
                <w:lang w:val="en-US" w:eastAsia="zh-CN"/>
                <w14:textFill>
                  <w14:solidFill>
                    <w14:schemeClr w14:val="tx1"/>
                  </w14:solidFill>
                </w14:textFill>
              </w:rPr>
              <w:t xml:space="preserve">智慧黑板（2）</w:t>
            </w:r>
            <w:r>
              <w:rPr>
                <w:rFonts w:hint="eastAsia" w:ascii="宋体" w:hAnsi="宋体" w:eastAsia="宋体" w:cs="宋体"/>
                <w:color w:val="000000"/>
                <w:sz w:val="24"/>
                <w:szCs w:val="24"/>
                <w:lang w:bidi="ar"/>
              </w:rPr>
              <w:t xml:space="preserve">演示</w:t>
            </w:r>
            <w:r/>
          </w:p>
          <w:p>
            <w:pPr>
              <w:ind w:firstLine="484"/>
              <w:jc w:val="left"/>
              <w:widowControl/>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评委根据投标人提供的产品</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lang w:val="en-US" w:eastAsia="zh-CN"/>
              </w:rPr>
              <w:t xml:space="preserve">智慧</w:t>
            </w:r>
            <w:r>
              <w:rPr>
                <w:rFonts w:hint="eastAsia" w:ascii="宋体" w:hAnsi="宋体" w:eastAsia="宋体" w:cs="宋体"/>
                <w:b/>
                <w:bCs/>
                <w:color w:val="000000"/>
                <w:sz w:val="24"/>
                <w:szCs w:val="24"/>
              </w:rPr>
              <w:t xml:space="preserve">黑板</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pacing w:val="1"/>
                <w:sz w:val="24"/>
                <w:szCs w:val="24"/>
              </w:rPr>
              <w:t xml:space="preserve">视频演示综合评分（每位投标人演示视频文件演示时间不超过</w:t>
            </w:r>
            <w:r>
              <w:rPr>
                <w:rFonts w:hint="eastAsia" w:ascii="宋体" w:hAnsi="宋体" w:eastAsia="宋体" w:cs="宋体"/>
                <w:color w:val="000000"/>
                <w:spacing w:val="1"/>
                <w:sz w:val="24"/>
                <w:szCs w:val="24"/>
                <w:lang w:val="en-US" w:eastAsia="zh-CN"/>
              </w:rPr>
              <w:t xml:space="preserve">5</w:t>
            </w:r>
            <w:r>
              <w:rPr>
                <w:rFonts w:hint="eastAsia" w:ascii="宋体" w:hAnsi="宋体" w:eastAsia="宋体" w:cs="宋体"/>
                <w:color w:val="000000"/>
                <w:spacing w:val="1"/>
                <w:sz w:val="24"/>
                <w:szCs w:val="24"/>
              </w:rPr>
              <w:t xml:space="preserve">分钟）：</w:t>
            </w:r>
            <w:r/>
          </w:p>
          <w:p>
            <w:pPr>
              <w:rPr>
                <w:rFonts w:hint="eastAsia" w:ascii="宋体" w:hAnsi="宋体" w:eastAsia="宋体" w:cs="宋体"/>
                <w:color w:val="auto"/>
                <w:spacing w:val="1"/>
                <w:sz w:val="24"/>
                <w:szCs w:val="24"/>
                <w:lang w:eastAsia="zh-CN"/>
              </w:rPr>
            </w:pPr>
            <w:r>
              <w:rPr>
                <w:rFonts w:hint="eastAsia" w:ascii="宋体" w:hAnsi="宋体" w:eastAsia="宋体" w:cs="宋体"/>
                <w:color w:val="000000"/>
                <w:spacing w:val="1"/>
                <w:sz w:val="24"/>
                <w:szCs w:val="24"/>
              </w:rPr>
              <w:t xml:space="preserve">1、</w:t>
            </w:r>
            <w:r>
              <w:rPr>
                <w:rFonts w:hint="eastAsia" w:ascii="宋体" w:hAnsi="宋体" w:eastAsia="宋体" w:cs="宋体"/>
                <w:color w:val="000000"/>
                <w:spacing w:val="1"/>
                <w:sz w:val="24"/>
                <w:szCs w:val="24"/>
                <w:lang w:val="en-US" w:eastAsia="zh-CN"/>
              </w:rPr>
              <w:t xml:space="preserve">演示</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lang w:val="en-US" w:eastAsia="zh-CN"/>
              </w:rPr>
              <w:t xml:space="preserve">智慧</w:t>
            </w:r>
            <w:r>
              <w:rPr>
                <w:rFonts w:hint="eastAsia" w:ascii="宋体" w:hAnsi="宋体" w:eastAsia="宋体" w:cs="宋体"/>
                <w:b/>
                <w:bCs/>
                <w:color w:val="000000"/>
                <w:sz w:val="24"/>
                <w:szCs w:val="24"/>
              </w:rPr>
              <w:t xml:space="preserve">黑板</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配套教学软件支持免登录打开本地课件；具备不少于五种登录方式，包含U盘登录、账号密码直接登录、微信扫码登录、第三方登录、书写登录等，其中书写登录可录入内容及笔迹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智慧黑板上</w:t>
            </w:r>
            <w:r>
              <w:rPr>
                <w:rFonts w:hint="eastAsia" w:ascii="宋体" w:hAnsi="宋体" w:eastAsia="宋体" w:cs="宋体"/>
                <w:color w:val="auto"/>
                <w:sz w:val="24"/>
                <w:szCs w:val="24"/>
              </w:rPr>
              <w:t xml:space="preserve">进行书写登录软件</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rPr>
              <w:t xml:space="preserve">2、</w:t>
            </w:r>
            <w:r>
              <w:rPr>
                <w:rFonts w:hint="eastAsia" w:ascii="宋体" w:hAnsi="宋体" w:eastAsia="宋体" w:cs="宋体"/>
                <w:color w:val="000000"/>
                <w:spacing w:val="1"/>
                <w:sz w:val="24"/>
                <w:szCs w:val="24"/>
                <w:lang w:val="en-US" w:eastAsia="zh-CN"/>
              </w:rPr>
              <w:t xml:space="preserve">演示</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lang w:val="en-US" w:eastAsia="zh-CN"/>
              </w:rPr>
              <w:t xml:space="preserve">智慧</w:t>
            </w:r>
            <w:r>
              <w:rPr>
                <w:rFonts w:hint="eastAsia" w:ascii="宋体" w:hAnsi="宋体" w:eastAsia="宋体" w:cs="宋体"/>
                <w:b/>
                <w:bCs/>
                <w:color w:val="000000"/>
                <w:sz w:val="24"/>
                <w:szCs w:val="24"/>
              </w:rPr>
              <w:t xml:space="preserve">黑板</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.配套教学软件具备绿板教学模式，绿板状态支持显示文件、工具和应用的便捷入口，当开始批注且绿板上有笔迹时，自动隐藏便捷入口，清除笔迹时，自动恢复显示便捷入口。</w:t>
            </w:r>
            <w:r/>
          </w:p>
          <w:p>
            <w:pPr>
              <w:pStyle w:val="747"/>
              <w:ind w:left="0" w:firstLine="0"/>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以上功能，每成功演示一项得</w:t>
            </w:r>
            <w:r>
              <w:rPr>
                <w:rFonts w:hint="eastAsia" w:ascii="宋体" w:hAnsi="宋体" w:eastAsia="宋体" w:cs="宋体"/>
                <w:color w:val="000000"/>
                <w:spacing w:val="1"/>
                <w:sz w:val="24"/>
                <w:szCs w:val="24"/>
                <w:lang w:val="en-US" w:eastAsia="zh-CN"/>
              </w:rPr>
              <w:t xml:space="preserve">2</w:t>
            </w:r>
            <w:r>
              <w:rPr>
                <w:rFonts w:hint="eastAsia" w:ascii="宋体" w:hAnsi="宋体" w:eastAsia="宋体" w:cs="宋体"/>
                <w:color w:val="000000"/>
                <w:spacing w:val="1"/>
                <w:sz w:val="24"/>
                <w:szCs w:val="24"/>
              </w:rPr>
              <w:t xml:space="preserve">分，全部满足得</w:t>
            </w:r>
            <w:r>
              <w:rPr>
                <w:rFonts w:hint="eastAsia" w:ascii="宋体" w:hAnsi="宋体" w:eastAsia="宋体" w:cs="宋体"/>
                <w:color w:val="000000"/>
                <w:spacing w:val="1"/>
                <w:sz w:val="24"/>
                <w:szCs w:val="24"/>
                <w:lang w:val="en-US" w:eastAsia="zh-CN"/>
              </w:rPr>
              <w:t xml:space="preserve">4</w:t>
            </w:r>
            <w:r>
              <w:rPr>
                <w:rFonts w:hint="eastAsia" w:ascii="宋体" w:hAnsi="宋体" w:eastAsia="宋体" w:cs="宋体"/>
                <w:color w:val="000000"/>
                <w:spacing w:val="1"/>
                <w:sz w:val="24"/>
                <w:szCs w:val="24"/>
              </w:rPr>
              <w:t xml:space="preserve">分。本项最多</w:t>
            </w:r>
            <w:r>
              <w:rPr>
                <w:rFonts w:hint="eastAsia" w:ascii="宋体" w:hAnsi="宋体" w:eastAsia="宋体" w:cs="宋体"/>
                <w:color w:val="000000"/>
                <w:spacing w:val="1"/>
                <w:sz w:val="24"/>
                <w:szCs w:val="24"/>
                <w:lang w:val="en-US" w:eastAsia="zh-CN"/>
              </w:rPr>
              <w:t xml:space="preserve">4</w:t>
            </w:r>
            <w:r>
              <w:rPr>
                <w:rFonts w:hint="eastAsia" w:ascii="宋体" w:hAnsi="宋体" w:eastAsia="宋体" w:cs="宋体"/>
                <w:color w:val="000000"/>
                <w:spacing w:val="1"/>
                <w:sz w:val="24"/>
                <w:szCs w:val="24"/>
              </w:rPr>
              <w:t xml:space="preserve">分，未提供演示不得分。</w:t>
            </w:r>
            <w:r/>
          </w:p>
          <w:p>
            <w:pPr>
              <w:numPr>
                <w:ilvl w:val="0"/>
                <w:numId w:val="0"/>
              </w:numPr>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视频演示二：</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lang w:bidi="ar"/>
              </w:rPr>
              <w:t xml:space="preserve">清单</w:t>
            </w:r>
            <w:r>
              <w:rPr>
                <w:rFonts w:hint="eastAsia" w:ascii="宋体" w:hAnsi="宋体" w:eastAsia="宋体" w:cs="宋体"/>
                <w:color w:val="000000"/>
                <w:sz w:val="24"/>
                <w:szCs w:val="24"/>
                <w:lang w:val="en-US" w:eastAsia="zh-CN" w:bidi="ar"/>
              </w:rPr>
              <w:t xml:space="preserve">8</w:t>
            </w:r>
            <w:r>
              <w:rPr>
                <w:rFonts w:hint="eastAsia" w:ascii="宋体" w:hAnsi="宋体" w:eastAsia="宋体" w:cs="宋体"/>
                <w:sz w:val="24"/>
                <w:szCs w:val="24"/>
                <w:lang w:val="en-US" w:eastAsia="zh-CN"/>
              </w:rPr>
              <w:t xml:space="preserve">数字互联侧板</w:t>
            </w:r>
            <w:r>
              <w:rPr>
                <w:rFonts w:hint="eastAsia" w:ascii="宋体" w:hAnsi="宋体" w:eastAsia="宋体" w:cs="宋体"/>
                <w:color w:val="000000"/>
                <w:sz w:val="24"/>
                <w:szCs w:val="24"/>
                <w:lang w:bidi="ar"/>
              </w:rPr>
              <w:t xml:space="preserve">演示</w:t>
            </w:r>
            <w:r/>
          </w:p>
          <w:p>
            <w:pPr>
              <w:numPr>
                <w:ilvl w:val="0"/>
                <w:numId w:val="0"/>
              </w:numPr>
              <w:ind w:firstLine="484"/>
              <w:jc w:val="left"/>
              <w:widowControl/>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评委根据投标人提供的产</w:t>
            </w:r>
            <w:r>
              <w:rPr>
                <w:rFonts w:hint="eastAsia" w:ascii="宋体" w:hAnsi="宋体" w:eastAsia="宋体" w:cs="宋体"/>
                <w:color w:val="000000"/>
                <w:spacing w:val="1"/>
                <w:sz w:val="24"/>
                <w:szCs w:val="24"/>
                <w:highlight w:val="none"/>
              </w:rPr>
              <w:t xml:space="preserve">品</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数字互联侧板</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pacing w:val="1"/>
                <w:sz w:val="24"/>
                <w:szCs w:val="24"/>
              </w:rPr>
              <w:t xml:space="preserve">视频演示综合评分（每位投标人演示视频文件演示时间不超过</w:t>
            </w:r>
            <w:r>
              <w:rPr>
                <w:rFonts w:hint="eastAsia" w:ascii="宋体" w:hAnsi="宋体" w:eastAsia="宋体" w:cs="宋体"/>
                <w:color w:val="000000"/>
                <w:spacing w:val="1"/>
                <w:sz w:val="24"/>
                <w:szCs w:val="24"/>
                <w:lang w:val="en-US" w:eastAsia="zh-CN"/>
              </w:rPr>
              <w:t xml:space="preserve">3</w:t>
            </w:r>
            <w:r>
              <w:rPr>
                <w:rFonts w:hint="eastAsia" w:ascii="宋体" w:hAnsi="宋体" w:eastAsia="宋体" w:cs="宋体"/>
                <w:color w:val="000000"/>
                <w:spacing w:val="1"/>
                <w:sz w:val="24"/>
                <w:szCs w:val="24"/>
              </w:rPr>
              <w:t xml:space="preserve">分钟）：</w:t>
            </w:r>
            <w:r/>
          </w:p>
          <w:p>
            <w:pPr>
              <w:numPr>
                <w:ilvl w:val="0"/>
                <w:numId w:val="12"/>
              </w:numPr>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rPr>
              <w:t xml:space="preserve">演示</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数字互联侧板</w:t>
            </w:r>
            <w:r>
              <w:rPr>
                <w:rFonts w:hint="eastAsia" w:ascii="宋体" w:hAnsi="宋体" w:eastAsia="宋体" w:cs="宋体"/>
                <w:b/>
                <w:bCs/>
                <w:color w:val="000000"/>
                <w:sz w:val="24"/>
                <w:szCs w:val="24"/>
              </w:rPr>
              <w:t xml:space="preserve">”</w:t>
            </w:r>
            <w:r>
              <w:rPr>
                <w:rFonts w:hint="eastAsia" w:ascii="宋体" w:hAnsi="宋体" w:eastAsia="宋体" w:cs="宋体"/>
                <w:b w:val="0"/>
                <w:bCs w:val="0"/>
                <w:color w:val="000000"/>
                <w:sz w:val="24"/>
                <w:szCs w:val="24"/>
                <w:lang w:val="en-US" w:eastAsia="zh-CN"/>
              </w:rPr>
              <w:t xml:space="preserve">能够</w:t>
            </w:r>
            <w:r>
              <w:rPr>
                <w:rFonts w:hint="eastAsia" w:ascii="宋体" w:hAnsi="宋体" w:eastAsia="宋体" w:cs="宋体"/>
                <w:color w:val="000000"/>
                <w:spacing w:val="1"/>
                <w:sz w:val="24"/>
                <w:szCs w:val="24"/>
              </w:rPr>
              <w:t xml:space="preserve">智能区分手指关节与粉笔对板面的操作，在手指关节连续敲击书写板面时，可快速启动板书记忆软件</w:t>
            </w:r>
            <w:r>
              <w:rPr>
                <w:rFonts w:hint="eastAsia" w:ascii="宋体" w:hAnsi="宋体" w:eastAsia="宋体" w:cs="宋体"/>
                <w:color w:val="000000"/>
                <w:spacing w:val="1"/>
                <w:sz w:val="24"/>
                <w:szCs w:val="24"/>
                <w:lang w:val="en-US" w:eastAsia="zh-CN"/>
              </w:rPr>
              <w:t xml:space="preserve">的功能</w:t>
            </w:r>
            <w:r>
              <w:rPr>
                <w:rFonts w:hint="eastAsia" w:ascii="宋体" w:hAnsi="宋体" w:eastAsia="宋体" w:cs="宋体"/>
                <w:color w:val="000000"/>
                <w:spacing w:val="1"/>
                <w:sz w:val="24"/>
                <w:szCs w:val="24"/>
              </w:rPr>
              <w:t xml:space="preserve">。成功演示</w:t>
            </w:r>
            <w:r>
              <w:rPr>
                <w:rFonts w:hint="eastAsia" w:ascii="宋体" w:hAnsi="宋体" w:eastAsia="宋体" w:cs="宋体"/>
                <w:color w:val="000000"/>
                <w:spacing w:val="1"/>
                <w:sz w:val="24"/>
                <w:szCs w:val="24"/>
                <w:lang w:val="en-US" w:eastAsia="zh-CN"/>
              </w:rPr>
              <w:t xml:space="preserve">以上功能</w:t>
            </w:r>
            <w:r>
              <w:rPr>
                <w:rFonts w:hint="eastAsia" w:ascii="宋体" w:hAnsi="宋体" w:eastAsia="宋体" w:cs="宋体"/>
                <w:color w:val="000000"/>
                <w:spacing w:val="1"/>
                <w:sz w:val="24"/>
                <w:szCs w:val="24"/>
              </w:rPr>
              <w:t xml:space="preserve">得</w:t>
            </w:r>
            <w:r>
              <w:rPr>
                <w:rFonts w:hint="eastAsia" w:ascii="宋体" w:hAnsi="宋体" w:eastAsia="宋体" w:cs="宋体"/>
                <w:color w:val="000000"/>
                <w:spacing w:val="1"/>
                <w:sz w:val="24"/>
                <w:szCs w:val="24"/>
                <w:lang w:val="en-US" w:eastAsia="zh-CN"/>
              </w:rPr>
              <w:t xml:space="preserve">2</w:t>
            </w:r>
            <w:r>
              <w:rPr>
                <w:rFonts w:hint="eastAsia" w:ascii="宋体" w:hAnsi="宋体" w:eastAsia="宋体" w:cs="宋体"/>
                <w:color w:val="000000"/>
                <w:spacing w:val="1"/>
                <w:sz w:val="24"/>
                <w:szCs w:val="24"/>
              </w:rPr>
              <w:t xml:space="preserve">分，未提供演示不得分</w:t>
            </w:r>
            <w:r>
              <w:rPr>
                <w:rFonts w:hint="eastAsia" w:ascii="宋体" w:hAnsi="宋体" w:eastAsia="宋体" w:cs="宋体"/>
                <w:color w:val="000000"/>
                <w:spacing w:val="1"/>
                <w:sz w:val="24"/>
                <w:szCs w:val="24"/>
                <w:lang w:eastAsia="zh-CN"/>
              </w:rPr>
              <w:t xml:space="preserve">。</w:t>
            </w:r>
            <w:r/>
          </w:p>
          <w:p>
            <w:pPr>
              <w:numPr>
                <w:ilvl w:val="0"/>
                <w:numId w:val="0"/>
              </w:numPr>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rPr>
              <w:t xml:space="preserve">视频演示三：</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lang w:bidi="ar"/>
              </w:rPr>
              <w:t xml:space="preserve">清单</w:t>
            </w:r>
            <w:r>
              <w:rPr>
                <w:rFonts w:hint="eastAsia" w:ascii="宋体" w:hAnsi="宋体" w:eastAsia="宋体" w:cs="宋体"/>
                <w:color w:val="000000"/>
                <w:sz w:val="24"/>
                <w:szCs w:val="24"/>
                <w:lang w:val="en-US" w:eastAsia="zh-CN" w:bidi="ar"/>
              </w:rPr>
              <w:t xml:space="preserve">11</w:t>
            </w:r>
            <w:r>
              <w:rPr>
                <w:rFonts w:hint="eastAsia" w:ascii="宋体" w:hAnsi="宋体" w:eastAsia="宋体" w:cs="宋体"/>
                <w:color w:val="auto"/>
                <w:sz w:val="24"/>
                <w:szCs w:val="24"/>
              </w:rPr>
              <w:t xml:space="preserve">课程云盒</w:t>
            </w:r>
            <w:r>
              <w:rPr>
                <w:rFonts w:hint="eastAsia" w:ascii="宋体" w:hAnsi="宋体" w:eastAsia="宋体" w:cs="宋体"/>
                <w:color w:val="000000"/>
                <w:sz w:val="24"/>
                <w:szCs w:val="24"/>
                <w:lang w:bidi="ar"/>
              </w:rPr>
              <w:t xml:space="preserve">演示</w:t>
            </w:r>
            <w:r/>
          </w:p>
          <w:p>
            <w:pPr>
              <w:rPr>
                <w:rFonts w:hint="eastAsia" w:ascii="宋体" w:hAnsi="宋体" w:eastAsia="宋体" w:cs="宋体"/>
                <w:color w:val="auto"/>
                <w:sz w:val="24"/>
                <w:szCs w:val="24"/>
              </w:rPr>
            </w:pP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auto"/>
                <w:sz w:val="24"/>
                <w:szCs w:val="24"/>
              </w:rPr>
              <w:t xml:space="preserve">投标人提供的产品“课程云盒”视频演示综合评分（每位投标人演示视频文件演示时间不超过</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分钟）：</w:t>
            </w:r>
            <w:r/>
          </w:p>
          <w:p>
            <w:pPr>
              <w:numPr>
                <w:ilvl w:val="0"/>
                <w:numId w:val="0"/>
              </w:numPr>
              <w:ind w:left="0" w:firstLine="0"/>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演示“课程云盒”非学科类课程备课平台，支持在线观看课程并提供相应的备课指导资料，支持将课程下载到本地进行访问，并支持课程的添加、删除，课程内容包含但不限于：在线教学课件1份、电子版学生操作单1份等。 以上功能，成功演示得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分，未提供演示不得分。</w:t>
            </w:r>
            <w:r/>
          </w:p>
        </w:tc>
        <w:tc>
          <w:tcPr>
            <w:shd w:val="clear" w:color="auto" w:fill="auto"/>
            <w:tcW w:w="850"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p>
        </w:tc>
        <w:tc>
          <w:tcPr>
            <w:shd w:val="clear" w:color="auto" w:fill="auto"/>
            <w:tcW w:w="763"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客观分</w:t>
            </w:r>
            <w:r/>
          </w:p>
        </w:tc>
      </w:tr>
      <w:tr>
        <w:trPr/>
        <w:tc>
          <w:tcPr>
            <w:shd w:val="clear" w:color="auto" w:fill="auto"/>
            <w:tcW w:w="554"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2.3</w:t>
            </w:r>
            <w:r/>
          </w:p>
        </w:tc>
        <w:tc>
          <w:tcPr>
            <w:shd w:val="clear" w:color="auto" w:fill="auto"/>
            <w:tcW w:w="607"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bidi="ar"/>
              </w:rPr>
              <w:t xml:space="preserve">产品</w:t>
            </w:r>
            <w:r>
              <w:rPr>
                <w:rFonts w:hint="eastAsia" w:ascii="宋体" w:hAnsi="宋体" w:eastAsia="宋体" w:cs="宋体"/>
                <w:color w:val="000000"/>
                <w:sz w:val="24"/>
                <w:szCs w:val="24"/>
                <w:highlight w:val="none"/>
                <w:lang w:val="en-US" w:eastAsia="zh-CN" w:bidi="ar"/>
              </w:rPr>
              <w:t xml:space="preserve">资质</w:t>
            </w:r>
            <w:r/>
          </w:p>
        </w:tc>
        <w:tc>
          <w:tcPr>
            <w:shd w:val="clear" w:color="auto" w:fill="auto"/>
            <w:tcW w:w="708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、所</w:t>
            </w:r>
            <w:r>
              <w:rPr>
                <w:rFonts w:hint="eastAsia" w:ascii="宋体" w:hAnsi="宋体" w:eastAsia="宋体" w:cs="宋体"/>
                <w:sz w:val="24"/>
                <w:szCs w:val="24"/>
                <w:highlight w:val="none"/>
              </w:rPr>
              <w:t xml:space="preserve">投智慧黑板</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通过低高温、恒湿、振动跌落、中性盐雾试验和绝缘电阻试验，试验后产品外观无损，功能正常</w:t>
            </w:r>
            <w:r>
              <w:rPr>
                <w:rFonts w:hint="eastAsia" w:ascii="宋体" w:hAnsi="宋体" w:cs="宋体"/>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000000"/>
                <w:sz w:val="24"/>
                <w:szCs w:val="24"/>
                <w:highlight w:val="none"/>
              </w:rPr>
              <w:t xml:space="preserve">未提供或</w:t>
            </w:r>
            <w:r>
              <w:rPr>
                <w:rFonts w:hint="eastAsia" w:ascii="宋体" w:hAnsi="宋体" w:eastAsia="宋体" w:cs="宋体"/>
                <w:color w:val="000000"/>
                <w:sz w:val="24"/>
                <w:szCs w:val="24"/>
                <w:highlight w:val="none"/>
                <w:lang w:val="en-US" w:eastAsia="zh-CN"/>
              </w:rPr>
              <w:t xml:space="preserve">提供不全</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sz w:val="24"/>
                <w:szCs w:val="24"/>
                <w:lang w:val="en-US" w:eastAsia="zh-CN"/>
              </w:rPr>
              <w:t xml:space="preserve">CMA</w:t>
            </w:r>
            <w:r>
              <w:rPr>
                <w:rFonts w:hint="eastAsia" w:ascii="宋体" w:hAnsi="宋体" w:eastAsia="宋体" w:cs="宋体"/>
                <w:color w:val="000000"/>
                <w:sz w:val="24"/>
                <w:szCs w:val="24"/>
              </w:rPr>
              <w:t xml:space="preserve">标识</w:t>
            </w:r>
            <w:r>
              <w:rPr>
                <w:rFonts w:hint="eastAsia" w:ascii="宋体" w:hAnsi="宋体" w:eastAsia="宋体" w:cs="宋体"/>
                <w:color w:val="auto"/>
                <w:sz w:val="24"/>
                <w:szCs w:val="24"/>
                <w:highlight w:val="none"/>
                <w:lang w:val="en-US" w:eastAsia="zh-CN"/>
              </w:rPr>
              <w:t xml:space="preserve">检测报告</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检测依据：GB/T 2423.3-2016《环境试验第2部分》）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、所投智慧黑板</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制造厂商提供MTBF≥30万小时可靠性实验</w:t>
            </w:r>
            <w:r>
              <w:rPr>
                <w:rFonts w:hint="eastAsia" w:ascii="宋体" w:hAnsi="宋体" w:cs="宋体"/>
                <w:sz w:val="24"/>
                <w:szCs w:val="24"/>
                <w:highlight w:val="none"/>
                <w:lang w:val="en-US" w:eastAsia="zh-CN"/>
              </w:rPr>
              <w:t xml:space="preserve">验证结论的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000000"/>
                <w:sz w:val="24"/>
                <w:szCs w:val="24"/>
                <w:highlight w:val="none"/>
              </w:rPr>
              <w:t xml:space="preserve">未提供或</w:t>
            </w:r>
            <w:r>
              <w:rPr>
                <w:rFonts w:hint="eastAsia" w:ascii="宋体" w:hAnsi="宋体" w:eastAsia="宋体" w:cs="宋体"/>
                <w:color w:val="000000"/>
                <w:sz w:val="24"/>
                <w:szCs w:val="24"/>
                <w:highlight w:val="none"/>
                <w:lang w:val="en-US" w:eastAsia="zh-CN"/>
              </w:rPr>
              <w:t xml:space="preserve">提供不全</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sz w:val="24"/>
                <w:szCs w:val="24"/>
                <w:lang w:val="en-US" w:eastAsia="zh-CN"/>
              </w:rPr>
              <w:t xml:space="preserve">CMA</w:t>
            </w:r>
            <w:r>
              <w:rPr>
                <w:rFonts w:hint="eastAsia" w:ascii="宋体" w:hAnsi="宋体" w:eastAsia="宋体" w:cs="宋体"/>
                <w:color w:val="000000"/>
                <w:sz w:val="24"/>
                <w:szCs w:val="24"/>
              </w:rPr>
              <w:t xml:space="preserve">标识</w:t>
            </w:r>
            <w:r>
              <w:rPr>
                <w:rFonts w:hint="eastAsia" w:ascii="宋体" w:hAnsi="宋体" w:eastAsia="宋体" w:cs="宋体"/>
                <w:color w:val="auto"/>
                <w:sz w:val="24"/>
                <w:szCs w:val="24"/>
                <w:highlight w:val="none"/>
                <w:lang w:val="en-US" w:eastAsia="zh-CN"/>
              </w:rPr>
              <w:t xml:space="preserve">检测报告</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检测依据：</w:t>
            </w:r>
            <w:r>
              <w:rPr>
                <w:rFonts w:hint="default" w:ascii="宋体" w:hAnsi="宋体" w:cs="宋体"/>
                <w:color w:val="000000"/>
                <w:sz w:val="24"/>
                <w:szCs w:val="24"/>
                <w:highlight w:val="none"/>
                <w:lang w:val="en-US" w:eastAsia="zh-CN"/>
              </w:rPr>
              <w:t xml:space="preserve">SJ</w:t>
            </w:r>
            <w:r>
              <w:rPr>
                <w:rFonts w:hint="eastAsia" w:ascii="宋体" w:hAnsi="宋体" w:eastAsia="宋体" w:cs="宋体"/>
                <w:color w:val="000000"/>
                <w:sz w:val="24"/>
                <w:szCs w:val="24"/>
                <w:highlight w:val="none"/>
                <w:lang w:eastAsia="zh-CN"/>
              </w:rPr>
              <w:t xml:space="preserve">/T </w:t>
            </w:r>
            <w:r>
              <w:rPr>
                <w:rFonts w:hint="default" w:ascii="宋体" w:hAnsi="宋体" w:cs="宋体"/>
                <w:color w:val="000000"/>
                <w:sz w:val="24"/>
                <w:szCs w:val="24"/>
                <w:highlight w:val="none"/>
                <w:lang w:val="en-US" w:eastAsia="zh-CN"/>
              </w:rPr>
              <w:t xml:space="preserve">11292</w:t>
            </w:r>
            <w:r>
              <w:rPr>
                <w:rFonts w:hint="eastAsia" w:ascii="宋体" w:hAnsi="宋体" w:eastAsia="宋体" w:cs="宋体"/>
                <w:color w:val="000000"/>
                <w:sz w:val="24"/>
                <w:szCs w:val="24"/>
                <w:highlight w:val="none"/>
                <w:lang w:eastAsia="zh-CN"/>
              </w:rPr>
              <w:t xml:space="preserve">-2016</w:t>
            </w:r>
            <w:r>
              <w:rPr>
                <w:rFonts w:hint="default"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《计算机用液晶显示器通用规范》</w:t>
            </w:r>
            <w:r>
              <w:rPr>
                <w:rFonts w:hint="eastAsia" w:ascii="宋体" w:hAnsi="宋体" w:eastAsia="宋体" w:cs="宋体"/>
                <w:color w:val="000000"/>
                <w:sz w:val="24"/>
                <w:szCs w:val="24"/>
                <w:highlight w:val="none"/>
                <w:lang w:eastAsia="zh-CN"/>
              </w:rPr>
              <w:t xml:space="preserve">）</w:t>
            </w:r>
            <w:r/>
          </w:p>
          <w:p>
            <w:pPr>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val="en-US" w:eastAsia="zh-CN"/>
              </w:rPr>
              <w:t xml:space="preserve">3、</w:t>
            </w:r>
            <w:r>
              <w:rPr>
                <w:rFonts w:hint="eastAsia" w:ascii="宋体" w:hAnsi="宋体" w:eastAsia="宋体" w:cs="宋体"/>
                <w:spacing w:val="1"/>
                <w:sz w:val="24"/>
                <w:szCs w:val="24"/>
                <w:highlight w:val="none"/>
              </w:rPr>
              <w:t xml:space="preserve">所投“</w:t>
            </w:r>
            <w:r>
              <w:rPr>
                <w:rFonts w:hint="eastAsia" w:ascii="宋体" w:hAnsi="宋体" w:eastAsia="宋体" w:cs="宋体"/>
                <w:sz w:val="24"/>
                <w:szCs w:val="24"/>
                <w:highlight w:val="none"/>
                <w:lang w:val="en-US" w:eastAsia="zh-CN"/>
              </w:rPr>
              <w:t xml:space="preserve">数字互联侧板</w:t>
            </w:r>
            <w:r>
              <w:rPr>
                <w:rFonts w:hint="eastAsia" w:ascii="宋体" w:hAnsi="宋体" w:eastAsia="宋体" w:cs="宋体"/>
                <w:spacing w:val="1"/>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spacing w:val="1"/>
                <w:sz w:val="24"/>
                <w:szCs w:val="24"/>
                <w:highlight w:val="none"/>
              </w:rPr>
              <w:t xml:space="preserve">板面符合 GB/T9286-2021标准，支持色漆和清漆漆膜的划格试验，脱漆面积不明显大于5%，达到</w:t>
            </w:r>
            <w:r>
              <w:rPr>
                <w:rFonts w:hint="eastAsia" w:ascii="宋体" w:hAnsi="宋体" w:eastAsia="宋体" w:cs="宋体"/>
                <w:sz w:val="24"/>
                <w:szCs w:val="24"/>
                <w:highlight w:val="none"/>
              </w:rPr>
              <w:t xml:space="preserve">0</w:t>
            </w:r>
            <w:r>
              <w:rPr>
                <w:rFonts w:hint="eastAsia" w:ascii="宋体" w:hAnsi="宋体" w:eastAsia="宋体" w:cs="宋体"/>
                <w:spacing w:val="1"/>
                <w:sz w:val="24"/>
                <w:szCs w:val="24"/>
                <w:highlight w:val="none"/>
              </w:rPr>
              <w:t xml:space="preserve">级标准</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000000"/>
                <w:sz w:val="24"/>
                <w:szCs w:val="24"/>
                <w:highlight w:val="none"/>
              </w:rPr>
              <w:t xml:space="preserve">未提供或</w:t>
            </w:r>
            <w:r>
              <w:rPr>
                <w:rFonts w:hint="eastAsia" w:ascii="宋体" w:hAnsi="宋体" w:eastAsia="宋体" w:cs="宋体"/>
                <w:color w:val="000000"/>
                <w:sz w:val="24"/>
                <w:szCs w:val="24"/>
                <w:highlight w:val="none"/>
                <w:lang w:val="en-US" w:eastAsia="zh-CN"/>
              </w:rPr>
              <w:t xml:space="preserve">提供不全</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lang w:val="en-US" w:eastAsia="zh-CN"/>
              </w:rPr>
              <w:t xml:space="preserve">提供具有</w:t>
            </w:r>
            <w:r>
              <w:rPr>
                <w:rFonts w:hint="eastAsia" w:ascii="宋体" w:hAnsi="宋体" w:eastAsia="宋体" w:cs="宋体"/>
                <w:sz w:val="24"/>
                <w:szCs w:val="24"/>
                <w:lang w:val="en-US" w:eastAsia="zh-CN"/>
              </w:rPr>
              <w:t xml:space="preserve">CMA</w:t>
            </w:r>
            <w:r>
              <w:rPr>
                <w:rFonts w:hint="eastAsia" w:ascii="宋体" w:hAnsi="宋体" w:eastAsia="宋体" w:cs="宋体"/>
                <w:color w:val="000000"/>
                <w:sz w:val="24"/>
                <w:szCs w:val="24"/>
              </w:rPr>
              <w:t xml:space="preserve">标识的</w:t>
            </w:r>
            <w:r>
              <w:rPr>
                <w:rFonts w:hint="eastAsia" w:ascii="宋体" w:hAnsi="宋体" w:eastAsia="宋体" w:cs="宋体"/>
                <w:color w:val="auto"/>
                <w:sz w:val="24"/>
                <w:szCs w:val="24"/>
                <w:highlight w:val="none"/>
                <w:lang w:val="en-US" w:eastAsia="zh-CN"/>
              </w:rPr>
              <w:t xml:space="preserve">检测报告</w:t>
            </w:r>
            <w:r>
              <w:rPr>
                <w:rFonts w:hint="eastAsia" w:ascii="宋体" w:hAnsi="宋体" w:eastAsia="宋体" w:cs="宋体"/>
                <w:color w:val="000000"/>
                <w:sz w:val="24"/>
                <w:szCs w:val="24"/>
                <w:highlight w:val="none"/>
              </w:rPr>
              <w:t xml:space="preserve">，检测依据：GB/T9286-2021《色漆和清漆划格试验》)</w:t>
            </w:r>
            <w:r>
              <w:rPr>
                <w:rFonts w:hint="eastAsia" w:ascii="宋体" w:hAnsi="宋体" w:eastAsia="宋体" w:cs="宋体"/>
                <w:color w:val="auto"/>
                <w:sz w:val="24"/>
                <w:szCs w:val="24"/>
                <w:highlight w:val="none"/>
                <w:lang w:eastAsia="zh-CN"/>
              </w:rPr>
              <w:t xml:space="preserve">；</w:t>
            </w:r>
            <w:r/>
          </w:p>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spacing w:val="1"/>
                <w:sz w:val="24"/>
                <w:szCs w:val="24"/>
                <w:highlight w:val="none"/>
                <w:lang w:val="en-US" w:eastAsia="zh-CN"/>
              </w:rPr>
              <w:t xml:space="preserve">4、</w:t>
            </w:r>
            <w:r>
              <w:rPr>
                <w:rFonts w:hint="eastAsia" w:ascii="宋体" w:hAnsi="宋体" w:eastAsia="宋体" w:cs="宋体"/>
                <w:spacing w:val="1"/>
                <w:sz w:val="24"/>
                <w:szCs w:val="24"/>
                <w:highlight w:val="none"/>
              </w:rPr>
              <w:t xml:space="preserve">所投“</w:t>
            </w:r>
            <w:r>
              <w:rPr>
                <w:rFonts w:hint="eastAsia" w:ascii="宋体" w:hAnsi="宋体" w:eastAsia="宋体" w:cs="宋体"/>
                <w:sz w:val="24"/>
                <w:szCs w:val="24"/>
                <w:highlight w:val="none"/>
                <w:lang w:val="en-US" w:eastAsia="zh-CN"/>
              </w:rPr>
              <w:t xml:space="preserve">数字互联侧板</w:t>
            </w:r>
            <w:r>
              <w:rPr>
                <w:rFonts w:hint="eastAsia" w:ascii="宋体" w:hAnsi="宋体" w:eastAsia="宋体" w:cs="宋体"/>
                <w:spacing w:val="1"/>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spacing w:val="1"/>
                <w:sz w:val="24"/>
                <w:szCs w:val="24"/>
                <w:highlight w:val="none"/>
              </w:rPr>
              <w:t xml:space="preserve">黑板侧板板面甲醛释放量达到ENF 级</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000000"/>
                <w:sz w:val="24"/>
                <w:szCs w:val="24"/>
                <w:highlight w:val="none"/>
              </w:rPr>
              <w:t xml:space="preserve">未提供或</w:t>
            </w:r>
            <w:r>
              <w:rPr>
                <w:rFonts w:hint="eastAsia" w:ascii="宋体" w:hAnsi="宋体" w:eastAsia="宋体" w:cs="宋体"/>
                <w:color w:val="000000"/>
                <w:sz w:val="24"/>
                <w:szCs w:val="24"/>
                <w:highlight w:val="none"/>
                <w:lang w:val="en-US" w:eastAsia="zh-CN"/>
              </w:rPr>
              <w:t xml:space="preserve">提供不全</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提供具有</w:t>
            </w:r>
            <w:r>
              <w:rPr>
                <w:rFonts w:hint="eastAsia" w:ascii="宋体" w:hAnsi="宋体" w:eastAsia="宋体" w:cs="宋体"/>
                <w:sz w:val="24"/>
                <w:szCs w:val="24"/>
                <w:lang w:val="en-US" w:eastAsia="zh-CN"/>
              </w:rPr>
              <w:t xml:space="preserve">CMA</w:t>
            </w:r>
            <w:r>
              <w:rPr>
                <w:rFonts w:hint="eastAsia" w:ascii="宋体" w:hAnsi="宋体" w:eastAsia="宋体" w:cs="宋体"/>
                <w:color w:val="000000"/>
                <w:sz w:val="24"/>
                <w:szCs w:val="24"/>
              </w:rPr>
              <w:t xml:space="preserve">标识的</w:t>
            </w:r>
            <w:r>
              <w:rPr>
                <w:rFonts w:hint="eastAsia" w:ascii="宋体" w:hAnsi="宋体" w:eastAsia="宋体" w:cs="宋体"/>
                <w:color w:val="auto"/>
                <w:sz w:val="24"/>
                <w:szCs w:val="24"/>
                <w:highlight w:val="none"/>
                <w:lang w:val="en-US" w:eastAsia="zh-CN"/>
              </w:rPr>
              <w:t xml:space="preserve">检测报告，</w:t>
            </w:r>
            <w:r>
              <w:rPr>
                <w:rFonts w:hint="eastAsia" w:ascii="宋体" w:hAnsi="宋体" w:eastAsia="宋体" w:cs="宋体"/>
                <w:color w:val="auto"/>
                <w:sz w:val="24"/>
                <w:szCs w:val="24"/>
                <w:highlight w:val="none"/>
                <w:lang w:eastAsia="zh-CN"/>
              </w:rPr>
              <w:t xml:space="preserve">检测依据：GB/T17657-2022《人造板及饰面人造板理化性能试验方法》，GB/T 39600-2021《人造板及其制品甲醛释放量分级》)</w:t>
            </w:r>
            <w:r>
              <w:rPr>
                <w:rFonts w:hint="eastAsia" w:ascii="宋体" w:hAnsi="宋体" w:eastAsia="宋体" w:cs="宋体"/>
                <w:sz w:val="24"/>
                <w:szCs w:val="24"/>
                <w:lang w:eastAsia="zh-CN"/>
              </w:rPr>
              <w:t xml:space="preserve">；</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en-US" w:eastAsia="zh-CN"/>
              </w:rPr>
              <w:t xml:space="preserve">智慧黑板(2)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平均无故障达到MTBF≥15万小时</w:t>
            </w:r>
            <w:r>
              <w:rPr>
                <w:rFonts w:hint="eastAsia" w:ascii="宋体" w:hAnsi="宋体" w:eastAsia="宋体" w:cs="宋体"/>
                <w:color w:val="000000"/>
                <w:sz w:val="24"/>
                <w:szCs w:val="24"/>
                <w:highlight w:val="none"/>
                <w:lang w:eastAsia="zh-CN"/>
              </w:rPr>
              <w:t xml:space="preserve">证书的</w:t>
            </w:r>
            <w:r>
              <w:rPr>
                <w:rFonts w:hint="eastAsia" w:ascii="宋体" w:hAnsi="宋体" w:eastAsia="宋体" w:cs="宋体"/>
                <w:color w:val="000000"/>
                <w:sz w:val="24"/>
                <w:szCs w:val="24"/>
                <w:highlight w:val="none"/>
              </w:rPr>
              <w:t xml:space="preserve">，满足得1分，未提供或</w:t>
            </w:r>
            <w:r>
              <w:rPr>
                <w:rFonts w:hint="eastAsia" w:ascii="宋体" w:hAnsi="宋体" w:eastAsia="宋体" w:cs="宋体"/>
                <w:color w:val="000000"/>
                <w:sz w:val="24"/>
                <w:szCs w:val="24"/>
                <w:highlight w:val="none"/>
                <w:lang w:val="en-US" w:eastAsia="zh-CN"/>
              </w:rPr>
              <w:t xml:space="preserve">提供不全</w:t>
            </w:r>
            <w:r>
              <w:rPr>
                <w:rFonts w:hint="eastAsia" w:ascii="宋体" w:hAnsi="宋体" w:eastAsia="宋体" w:cs="宋体"/>
                <w:color w:val="000000"/>
                <w:sz w:val="24"/>
                <w:szCs w:val="24"/>
                <w:highlight w:val="none"/>
              </w:rPr>
              <w:t xml:space="preserve">不得分（上</w:t>
            </w:r>
            <w:r>
              <w:rPr>
                <w:rFonts w:hint="eastAsia" w:ascii="宋体" w:hAnsi="宋体" w:eastAsia="宋体" w:cs="宋体"/>
                <w:color w:val="000000"/>
                <w:sz w:val="24"/>
                <w:szCs w:val="24"/>
                <w:highlight w:val="none"/>
                <w:lang w:val="en-US" w:eastAsia="zh-CN"/>
              </w:rPr>
              <w:t xml:space="preserve">传</w:t>
            </w:r>
            <w:r>
              <w:rPr>
                <w:rFonts w:hint="eastAsia" w:ascii="宋体" w:hAnsi="宋体" w:eastAsia="宋体" w:cs="宋体"/>
                <w:color w:val="000000"/>
                <w:sz w:val="24"/>
                <w:szCs w:val="24"/>
                <w:highlight w:val="none"/>
              </w:rPr>
              <w:t xml:space="preserve">MTBF证书扫描件）。</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所投</w:t>
            </w:r>
            <w:r>
              <w:rPr>
                <w:rFonts w:hint="eastAsia" w:ascii="宋体" w:hAnsi="宋体" w:eastAsia="宋体" w:cs="宋体"/>
                <w:i w:val="0"/>
                <w:iCs w:val="0"/>
                <w:color w:val="000000"/>
                <w:sz w:val="24"/>
                <w:szCs w:val="24"/>
                <w:highlight w:val="none"/>
                <w:u w:val="none"/>
                <w:lang w:val="en-US" w:eastAsia="zh-CN" w:bidi="ar-SA"/>
              </w:rPr>
              <w:t xml:space="preserve">内置OPS电脑（2）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平均无故障达到MTBF≥15万小时</w:t>
            </w:r>
            <w:r>
              <w:rPr>
                <w:rFonts w:hint="eastAsia" w:ascii="宋体" w:hAnsi="宋体" w:eastAsia="宋体" w:cs="宋体"/>
                <w:color w:val="000000"/>
                <w:sz w:val="24"/>
                <w:szCs w:val="24"/>
                <w:highlight w:val="none"/>
                <w:lang w:eastAsia="zh-CN"/>
              </w:rPr>
              <w:t xml:space="preserve">证书的</w:t>
            </w:r>
            <w:r>
              <w:rPr>
                <w:rFonts w:hint="eastAsia" w:ascii="宋体" w:hAnsi="宋体" w:eastAsia="宋体" w:cs="宋体"/>
                <w:color w:val="000000"/>
                <w:sz w:val="24"/>
                <w:szCs w:val="24"/>
                <w:highlight w:val="none"/>
              </w:rPr>
              <w:t xml:space="preserve">，满足得1分（上传MTBF证书扫描件）。</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所投“视频展台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”（项目清单1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平均无故障时间MTBF≥10万小时</w:t>
            </w:r>
            <w:r>
              <w:rPr>
                <w:rFonts w:hint="eastAsia" w:ascii="宋体" w:hAnsi="宋体" w:eastAsia="宋体" w:cs="宋体"/>
                <w:color w:val="000000"/>
                <w:sz w:val="24"/>
                <w:szCs w:val="24"/>
                <w:highlight w:val="none"/>
                <w:lang w:eastAsia="zh-CN"/>
              </w:rPr>
              <w:t xml:space="preserve">证书的</w:t>
            </w:r>
            <w:r>
              <w:rPr>
                <w:rFonts w:hint="eastAsia" w:ascii="宋体" w:hAnsi="宋体" w:eastAsia="宋体" w:cs="宋体"/>
                <w:color w:val="000000"/>
                <w:sz w:val="24"/>
                <w:szCs w:val="24"/>
                <w:highlight w:val="none"/>
              </w:rPr>
              <w:t xml:space="preserve">，满足得1分，未提供或</w:t>
            </w:r>
            <w:r>
              <w:rPr>
                <w:rFonts w:hint="eastAsia" w:ascii="宋体" w:hAnsi="宋体" w:eastAsia="宋体" w:cs="宋体"/>
                <w:color w:val="000000"/>
                <w:sz w:val="24"/>
                <w:szCs w:val="24"/>
                <w:highlight w:val="none"/>
                <w:lang w:val="en-US" w:eastAsia="zh-CN"/>
              </w:rPr>
              <w:t xml:space="preserve">提供不全</w:t>
            </w:r>
            <w:r>
              <w:rPr>
                <w:rFonts w:hint="eastAsia" w:ascii="宋体" w:hAnsi="宋体" w:eastAsia="宋体" w:cs="宋体"/>
                <w:color w:val="000000"/>
                <w:sz w:val="24"/>
                <w:szCs w:val="24"/>
                <w:highlight w:val="none"/>
              </w:rPr>
              <w:t xml:space="preserve">不得分（上传MTBF证书扫描件）。</w:t>
            </w:r>
            <w:r/>
          </w:p>
          <w:p>
            <w:pPr>
              <w:jc w:val="left"/>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rPr>
              <w:t xml:space="preserve">备注：所提供检测报告中“产品名称和检测内容”与评</w:t>
            </w:r>
            <w:r>
              <w:rPr>
                <w:rFonts w:hint="eastAsia" w:ascii="宋体" w:hAnsi="宋体" w:eastAsia="宋体" w:cs="宋体"/>
                <w:color w:val="000000"/>
                <w:sz w:val="24"/>
                <w:szCs w:val="24"/>
              </w:rPr>
              <w:t xml:space="preserve">分细则规定不同时，应提供符合上述要求内容（功能）的说明及关键信息，否则不予认可，合同签订时提供原件供采购人核验。</w:t>
            </w:r>
            <w:r/>
          </w:p>
        </w:tc>
        <w:tc>
          <w:tcPr>
            <w:shd w:val="clear" w:color="auto" w:fill="auto"/>
            <w:tcW w:w="850"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7</w:t>
            </w:r>
            <w:r/>
          </w:p>
        </w:tc>
        <w:tc>
          <w:tcPr>
            <w:shd w:val="clear" w:color="auto" w:fill="auto"/>
            <w:tcW w:w="763"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客观分</w:t>
            </w:r>
            <w:r/>
          </w:p>
        </w:tc>
      </w:tr>
      <w:tr>
        <w:trPr/>
        <w:tc>
          <w:tcPr>
            <w:tcW w:w="554"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p>
        </w:tc>
        <w:tc>
          <w:tcPr>
            <w:tcW w:w="607" w:type="dxa"/>
            <w:vAlign w:val="center"/>
            <w:textDirection w:val="lrTb"/>
            <w:noWrap w:val="false"/>
          </w:tcPr>
          <w:p>
            <w:pPr>
              <w:pStyle w:val="1002"/>
              <w:ind w:firstLine="0"/>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现场演示</w:t>
            </w:r>
            <w:r/>
          </w:p>
        </w:tc>
        <w:tc>
          <w:tcPr>
            <w:tcW w:w="7086" w:type="dxa"/>
            <w:vAlign w:val="center"/>
            <w:textDirection w:val="lrTb"/>
            <w:noWrap w:val="false"/>
          </w:tcPr>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投标人代表需携带身份证明材料以及</w:t>
            </w:r>
            <w:r>
              <w:rPr>
                <w:rFonts w:hint="eastAsia" w:ascii="宋体" w:hAnsi="宋体" w:eastAsia="宋体" w:cs="宋体"/>
                <w:color w:val="000000"/>
                <w:sz w:val="24"/>
                <w:szCs w:val="24"/>
                <w:lang w:val="en-US" w:eastAsia="zh-CN" w:bidi="ar"/>
              </w:rPr>
              <w:t xml:space="preserve">扩声设备（</w:t>
            </w:r>
            <w:r>
              <w:rPr>
                <w:rFonts w:hint="eastAsia" w:ascii="宋体" w:hAnsi="宋体" w:eastAsia="宋体" w:cs="宋体"/>
                <w:color w:val="000000"/>
                <w:sz w:val="24"/>
                <w:szCs w:val="24"/>
                <w:highlight w:val="none"/>
              </w:rPr>
              <w:t xml:space="preserve">项目清单1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highlight w:val="none"/>
                <w:lang w:val="en-US" w:eastAsia="zh-CN" w:bidi="ar-SA"/>
              </w:rPr>
              <w:t xml:space="preserve">，进行现场演示（演示时间不超过10分钟），演示环境自建。</w:t>
            </w:r>
            <w:r>
              <w:rPr>
                <w:rFonts w:hint="eastAsia" w:ascii="宋体" w:hAnsi="宋体" w:eastAsia="宋体" w:cs="宋体"/>
                <w:sz w:val="24"/>
                <w:szCs w:val="24"/>
              </w:rPr>
              <w:t xml:space="preserve">投标人代表于评标当天开标前到达南京市江宁区杨家圩路2号市民中心</w:t>
            </w:r>
            <w:r>
              <w:rPr>
                <w:rFonts w:hint="eastAsia" w:ascii="宋体" w:hAnsi="宋体" w:eastAsia="宋体" w:cs="宋体"/>
                <w:sz w:val="24"/>
                <w:szCs w:val="24"/>
                <w:highlight w:val="none"/>
              </w:rPr>
              <w:t xml:space="preserve">B区4楼开标室A401</w:t>
            </w:r>
            <w:r>
              <w:rPr>
                <w:rFonts w:hint="eastAsia" w:ascii="宋体" w:hAnsi="宋体" w:eastAsia="宋体" w:cs="宋体"/>
                <w:sz w:val="24"/>
                <w:szCs w:val="24"/>
              </w:rPr>
              <w:t xml:space="preserve">室等候演示</w:t>
            </w:r>
            <w:r>
              <w:rPr>
                <w:rFonts w:hint="eastAsia" w:ascii="宋体" w:hAnsi="宋体" w:eastAsia="宋体" w:cs="宋体"/>
                <w:sz w:val="24"/>
                <w:szCs w:val="24"/>
                <w:lang w:eastAsia="zh-CN"/>
              </w:rPr>
              <w:t xml:space="preserve">。</w:t>
            </w:r>
            <w:r/>
          </w:p>
          <w:p>
            <w:pPr>
              <w:pStyle w:val="959"/>
              <w:ind w:left="0" w:right="0"/>
              <w:jc w:val="both"/>
              <w:keepLines w:val="0"/>
              <w:keepNext w:val="0"/>
              <w:pageBreakBefore w:val="0"/>
              <w:spacing w:before="0" w:beforeAutospacing="0" w:after="0" w:afterAutospacing="0" w:line="300" w:lineRule="exac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演示内容包括以下内容：</w:t>
            </w:r>
            <w:r/>
          </w:p>
          <w:p>
            <w:pPr>
              <w:pStyle w:val="959"/>
              <w:ind w:left="0" w:right="0"/>
              <w:jc w:val="both"/>
              <w:keepLines w:val="0"/>
              <w:keepNext w:val="0"/>
              <w:pageBreakBefore w:val="0"/>
              <w:spacing w:before="0" w:beforeAutospacing="0" w:after="0" w:afterAutospacing="0" w:line="300" w:lineRule="exac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1、红外音频传输功能</w:t>
            </w:r>
            <w:r/>
          </w:p>
          <w:p>
            <w:pPr>
              <w:pStyle w:val="959"/>
              <w:ind w:left="0" w:right="0"/>
              <w:jc w:val="both"/>
              <w:keepLines w:val="0"/>
              <w:keepNext w:val="0"/>
              <w:pageBreakBefore w:val="0"/>
              <w:spacing w:before="0" w:beforeAutospacing="0" w:after="0" w:afterAutospacing="0" w:line="300" w:lineRule="exac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采用红外光线传输音频，支持即拿即用，设备离开一定覆盖范围可自动断开连接，无串频风险；红外传感器内嵌于音箱本体，无需单独安装，满足该项要求得2分，不满足或不完全满足不得分；</w:t>
            </w:r>
            <w:r/>
          </w:p>
          <w:p>
            <w:pPr>
              <w:pStyle w:val="959"/>
              <w:ind w:left="0" w:right="0"/>
              <w:jc w:val="both"/>
              <w:keepLines w:val="0"/>
              <w:keepNext w:val="0"/>
              <w:pageBreakBefore w:val="0"/>
              <w:spacing w:before="0" w:beforeAutospacing="0" w:after="0" w:afterAutospacing="0" w:line="300" w:lineRule="exac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2、红外线话筒充电接口</w:t>
            </w:r>
            <w:r/>
          </w:p>
          <w:p>
            <w:pPr>
              <w:pStyle w:val="959"/>
              <w:ind w:left="0" w:right="0"/>
              <w:jc w:val="both"/>
              <w:keepLines w:val="0"/>
              <w:keepNext w:val="0"/>
              <w:pageBreakBefore w:val="0"/>
              <w:spacing w:before="0" w:beforeAutospacing="0" w:after="0" w:afterAutospacing="0" w:line="300" w:lineRule="exac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红外线话筒配备磁吸式充电接口，充电时无需调整位置即可精准吸附，满足要求得2分，不满足或不完全满足不得分；</w:t>
            </w:r>
            <w:r/>
          </w:p>
          <w:p>
            <w:pPr>
              <w:pStyle w:val="959"/>
              <w:ind w:left="0" w:right="0"/>
              <w:jc w:val="both"/>
              <w:keepLines w:val="0"/>
              <w:keepNext w:val="0"/>
              <w:pageBreakBefore w:val="0"/>
              <w:spacing w:before="0" w:beforeAutospacing="0" w:after="0" w:afterAutospacing="0" w:line="300" w:lineRule="exac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3、红外线话筒智能休眠功能</w:t>
            </w:r>
            <w:r/>
          </w:p>
          <w:p>
            <w:pPr>
              <w:pStyle w:val="959"/>
              <w:ind w:left="0" w:right="0"/>
              <w:jc w:val="both"/>
              <w:keepLines w:val="0"/>
              <w:keepNext w:val="0"/>
              <w:pageBreakBefore w:val="0"/>
              <w:spacing w:before="0" w:beforeAutospacing="0" w:after="0" w:afterAutospacing="0" w:line="300" w:lineRule="exac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话筒具备智能休眠功能，静置3秒自动关闭红外发射并静音，再次拿取瞬间恢复工作状态，功能完全匹配得2分，不满足或不完全满足不得分。</w:t>
            </w:r>
            <w:r/>
          </w:p>
        </w:tc>
        <w:tc>
          <w:tcPr>
            <w:tcW w:w="850"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763"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客观分</w:t>
            </w:r>
            <w:r/>
          </w:p>
        </w:tc>
      </w:tr>
      <w:tr>
        <w:trPr/>
        <w:tc>
          <w:tcPr>
            <w:shd w:val="clear" w:color="auto" w:fill="auto"/>
            <w:tcW w:w="554"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2.5</w:t>
            </w:r>
            <w:r/>
          </w:p>
        </w:tc>
        <w:tc>
          <w:tcPr>
            <w:shd w:val="clear" w:color="auto" w:fill="auto"/>
            <w:tcW w:w="607"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图纸</w:t>
            </w:r>
            <w:r/>
          </w:p>
        </w:tc>
        <w:tc>
          <w:tcPr>
            <w:shd w:val="clear" w:color="auto" w:fill="auto"/>
            <w:tcW w:w="7086" w:type="dxa"/>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投标供应商根据南京市</w:t>
            </w:r>
            <w:r>
              <w:rPr>
                <w:rFonts w:hint="eastAsia" w:ascii="宋体" w:hAnsi="宋体" w:eastAsia="宋体" w:cs="宋体"/>
                <w:color w:val="000000"/>
                <w:sz w:val="24"/>
                <w:szCs w:val="24"/>
                <w:highlight w:val="none"/>
                <w:lang w:val="en-US" w:eastAsia="zh-CN" w:bidi="ar"/>
              </w:rPr>
              <w:t xml:space="preserve">上秦淮小学</w:t>
            </w:r>
            <w:r>
              <w:rPr>
                <w:rFonts w:hint="eastAsia" w:ascii="宋体" w:hAnsi="宋体" w:eastAsia="宋体" w:cs="宋体"/>
                <w:color w:val="000000"/>
                <w:sz w:val="24"/>
                <w:szCs w:val="24"/>
                <w:lang w:val="en-US" w:eastAsia="zh-CN" w:bidi="ar"/>
              </w:rPr>
              <w:t xml:space="preserve">现场勘察情况，设计南京市</w:t>
            </w:r>
            <w:r>
              <w:rPr>
                <w:rFonts w:hint="eastAsia" w:ascii="宋体" w:hAnsi="宋体" w:eastAsia="宋体" w:cs="宋体"/>
                <w:color w:val="000000"/>
                <w:sz w:val="24"/>
                <w:szCs w:val="24"/>
                <w:highlight w:val="none"/>
                <w:lang w:val="en-US" w:eastAsia="zh-CN" w:bidi="ar"/>
              </w:rPr>
              <w:t xml:space="preserve">上秦淮小学</w:t>
            </w:r>
            <w:r>
              <w:rPr>
                <w:rFonts w:hint="eastAsia" w:ascii="宋体" w:hAnsi="宋体" w:eastAsia="宋体" w:cs="宋体"/>
                <w:color w:val="000000"/>
                <w:sz w:val="24"/>
                <w:szCs w:val="24"/>
                <w:lang w:val="en-US" w:eastAsia="zh-CN" w:bidi="ar"/>
              </w:rPr>
              <w:t xml:space="preserve">图纸，评委根据图纸进行综合评分。图纸中应包括设备：智慧黑板（1）（</w:t>
            </w:r>
            <w:r>
              <w:rPr>
                <w:rFonts w:hint="eastAsia" w:ascii="宋体" w:hAnsi="宋体" w:eastAsia="宋体" w:cs="宋体"/>
                <w:color w:val="000000"/>
                <w:sz w:val="24"/>
                <w:szCs w:val="24"/>
                <w:highlight w:val="none"/>
              </w:rPr>
              <w:t xml:space="preserve">项目清单1</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双侧副板（1）</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highlight w:val="none"/>
              </w:rPr>
              <w:t xml:space="preserve">项目清单</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双侧副板（2）</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highlight w:val="none"/>
              </w:rPr>
              <w:t xml:space="preserve">项目清单</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lang w:val="en-US" w:eastAsia="zh-CN" w:bidi="ar"/>
              </w:rPr>
              <w:t xml:space="preserve">）、视频展台（1）（</w:t>
            </w:r>
            <w:r>
              <w:rPr>
                <w:rFonts w:hint="eastAsia" w:ascii="宋体" w:hAnsi="宋体" w:eastAsia="宋体" w:cs="宋体"/>
                <w:color w:val="000000"/>
                <w:sz w:val="24"/>
                <w:szCs w:val="24"/>
                <w:highlight w:val="none"/>
              </w:rPr>
              <w:t xml:space="preserve">项目清单</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lang w:val="en-US" w:eastAsia="zh-CN" w:bidi="ar"/>
              </w:rPr>
              <w:t xml:space="preserve">）、扩声设备（</w:t>
            </w:r>
            <w:r>
              <w:rPr>
                <w:rFonts w:hint="eastAsia" w:ascii="宋体" w:hAnsi="宋体" w:eastAsia="宋体" w:cs="宋体"/>
                <w:color w:val="000000"/>
                <w:sz w:val="24"/>
                <w:szCs w:val="24"/>
                <w:highlight w:val="none"/>
              </w:rPr>
              <w:t xml:space="preserve">项目清单1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lang w:val="en-US" w:eastAsia="zh-CN" w:bidi="ar"/>
              </w:rPr>
              <w:t xml:space="preserve">）、多媒体讲台（</w:t>
            </w:r>
            <w:r>
              <w:rPr>
                <w:rFonts w:hint="eastAsia" w:ascii="宋体" w:hAnsi="宋体" w:eastAsia="宋体" w:cs="宋体"/>
                <w:color w:val="000000"/>
                <w:sz w:val="24"/>
                <w:szCs w:val="24"/>
                <w:highlight w:val="none"/>
              </w:rPr>
              <w:t xml:space="preserve">项目清单1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lang w:val="en-US" w:eastAsia="zh-CN" w:bidi="ar"/>
              </w:rPr>
              <w:t xml:space="preserve">）及相关配件，以上各1套；包含（每项内容逐条阐述）：1.</w:t>
            </w:r>
            <w:r>
              <w:rPr>
                <w:rFonts w:hint="eastAsia" w:ascii="宋体" w:hAnsi="宋体" w:eastAsia="宋体" w:cs="宋体"/>
                <w:color w:val="000000"/>
                <w:sz w:val="24"/>
                <w:szCs w:val="24"/>
                <w:highlight w:val="none"/>
                <w:lang w:val="en-US" w:eastAsia="zh-CN"/>
              </w:rPr>
              <w:t xml:space="preserve">摆位图（需标注尺寸）、2.系统连接图</w:t>
            </w:r>
            <w:r>
              <w:rPr>
                <w:rFonts w:hint="eastAsia" w:ascii="宋体" w:hAnsi="宋体" w:eastAsia="宋体" w:cs="宋体"/>
                <w:color w:val="000000"/>
                <w:sz w:val="24"/>
                <w:szCs w:val="24"/>
                <w:lang w:val="en-US" w:eastAsia="zh-CN" w:bidi="ar"/>
              </w:rPr>
              <w:t xml:space="preserve">、3.效果图。</w:t>
            </w:r>
            <w:r/>
          </w:p>
          <w:p>
            <w:pPr>
              <w:numPr>
                <w:ilvl w:val="0"/>
                <w:numId w:val="13"/>
              </w:num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上述每有一项图纸设计深度、完整度、规范度高，系统结构先进合理，且符合学校需求的，该项得2分；</w:t>
            </w:r>
            <w:r/>
          </w:p>
          <w:p>
            <w:pPr>
              <w:numPr>
                <w:ilvl w:val="0"/>
                <w:numId w:val="0"/>
              </w:num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2、上述每有一项图纸设计深度、完整度、规范度较高，系统结构较为合理，该项得1.5分； </w:t>
            </w:r>
            <w:r/>
          </w:p>
          <w:p>
            <w:pPr>
              <w:numPr>
                <w:ilvl w:val="0"/>
                <w:numId w:val="0"/>
              </w:numPr>
              <w:jc w:val="lef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3、上述每有一项图纸设计深度、完整度较低、规范度较低，系统结构基本合理的，该项得0.5分；</w:t>
            </w:r>
            <w:r/>
          </w:p>
          <w:p>
            <w:pPr>
              <w:pStyle w:val="718"/>
              <w:ind w:left="0" w:firstLine="0"/>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highlight w:val="none"/>
                <w:lang w:val="en-US" w:eastAsia="zh-CN"/>
              </w:rPr>
              <w:t xml:space="preserve">上述每有一项</w:t>
            </w:r>
            <w:r>
              <w:rPr>
                <w:rFonts w:hint="eastAsia" w:ascii="宋体" w:hAnsi="宋体" w:eastAsia="宋体" w:cs="宋体"/>
                <w:color w:val="000000"/>
                <w:sz w:val="24"/>
                <w:szCs w:val="24"/>
                <w:lang w:val="en-US" w:eastAsia="zh-CN" w:bidi="ar"/>
              </w:rPr>
              <w:t xml:space="preserve">图纸设计深度</w:t>
            </w:r>
            <w:r>
              <w:rPr>
                <w:rFonts w:hint="eastAsia" w:ascii="宋体" w:hAnsi="宋体" w:eastAsia="宋体" w:cs="宋体"/>
                <w:color w:val="000000"/>
                <w:sz w:val="24"/>
                <w:szCs w:val="24"/>
                <w:highlight w:val="none"/>
                <w:lang w:val="en-US" w:eastAsia="zh-CN"/>
              </w:rPr>
              <w:t xml:space="preserve">，完整度、规范度、系统结构不合理或未提供该项不得分。</w:t>
            </w:r>
            <w:r/>
          </w:p>
        </w:tc>
        <w:tc>
          <w:tcPr>
            <w:tcW w:w="850"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763"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主观分</w:t>
            </w:r>
            <w:r/>
          </w:p>
        </w:tc>
      </w:tr>
      <w:tr>
        <w:trPr/>
        <w:tc>
          <w:tcPr>
            <w:tcW w:w="554"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p>
        </w:tc>
        <w:tc>
          <w:tcPr>
            <w:tcW w:w="607"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软件证书</w:t>
            </w:r>
            <w:r/>
          </w:p>
        </w:tc>
        <w:tc>
          <w:tcPr>
            <w:tcW w:w="7086" w:type="dxa"/>
            <w:vAlign w:val="center"/>
            <w:textDirection w:val="lrTb"/>
            <w:noWrap w:val="false"/>
          </w:tcPr>
          <w:p>
            <w:pPr>
              <w:numPr>
                <w:ilvl w:val="0"/>
                <w:numId w:val="0"/>
              </w:num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提供所投“智慧黑</w:t>
            </w:r>
            <w:r>
              <w:rPr>
                <w:rFonts w:hint="eastAsia" w:ascii="宋体" w:hAnsi="宋体" w:eastAsia="宋体" w:cs="宋体"/>
                <w:color w:val="000000"/>
                <w:sz w:val="24"/>
                <w:szCs w:val="24"/>
                <w:highlight w:val="none"/>
              </w:rPr>
              <w:t xml:space="preserve">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highlight w:val="none"/>
              </w:rPr>
              <w:t xml:space="preserve">清单1）具有软件名称包含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AI分析课堂分析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智能分析系统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等相关关键词的《计算机软件著作权登记证书》，满足得1分，未提供或不满足不得分；</w:t>
            </w:r>
            <w:r/>
          </w:p>
          <w:p>
            <w:pPr>
              <w:numPr>
                <w:ilvl w:val="0"/>
                <w:numId w:val="0"/>
              </w:num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提供所投“智慧黑板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highlight w:val="none"/>
              </w:rPr>
              <w:t xml:space="preserve">清单1）具有软件名称包含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虚拟仿真实验教学软件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相关关键词的《计算机软件著作权登记证书》，满足得1分，未提供或不满足不得分；</w:t>
            </w:r>
            <w:r/>
          </w:p>
          <w:p>
            <w:pPr>
              <w:numPr>
                <w:ilvl w:val="0"/>
                <w:numId w:val="0"/>
              </w:num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提供所投“视频展台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）具有软件名称包含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智慧移动教学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智能交互视频展台软件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等相关关键字的《计算机软件著作权登记证书》，满足得1分，未提供或不满足不得分</w:t>
            </w:r>
            <w:r>
              <w:rPr>
                <w:rFonts w:hint="eastAsia" w:ascii="宋体" w:hAnsi="宋体" w:eastAsia="宋体" w:cs="宋体"/>
                <w:color w:val="000000"/>
                <w:sz w:val="24"/>
                <w:szCs w:val="24"/>
                <w:highlight w:val="none"/>
                <w:lang w:eastAsia="zh-CN"/>
              </w:rPr>
              <w:t xml:space="preserve">；</w:t>
            </w:r>
            <w:r/>
          </w:p>
          <w:p>
            <w:pPr>
              <w:numPr>
                <w:ilvl w:val="0"/>
                <w:numId w:val="0"/>
              </w:num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pacing w:val="1"/>
                <w:sz w:val="24"/>
                <w:szCs w:val="24"/>
                <w:highlight w:val="none"/>
                <w:lang w:val="en-US" w:eastAsia="zh-CN"/>
              </w:rPr>
              <w:t xml:space="preserve">4、</w:t>
            </w:r>
            <w:r>
              <w:rPr>
                <w:rFonts w:hint="eastAsia" w:ascii="宋体" w:hAnsi="宋体" w:eastAsia="宋体" w:cs="宋体"/>
                <w:color w:val="000000"/>
                <w:spacing w:val="1"/>
                <w:sz w:val="24"/>
                <w:szCs w:val="24"/>
                <w:highlight w:val="none"/>
              </w:rPr>
              <w:t xml:space="preserve">提供所投产品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智慧黑板（2）”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项目</w:t>
            </w:r>
            <w:r>
              <w:rPr>
                <w:rFonts w:hint="eastAsia" w:ascii="宋体" w:hAnsi="宋体" w:eastAsia="宋体" w:cs="宋体"/>
                <w:color w:val="000000"/>
                <w:sz w:val="24"/>
                <w:szCs w:val="24"/>
                <w:highlight w:val="none"/>
              </w:rPr>
              <w:t xml:space="preserve">清单</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spacing w:val="1"/>
                <w:sz w:val="24"/>
                <w:szCs w:val="24"/>
                <w:highlight w:val="none"/>
              </w:rPr>
              <w:t xml:space="preserve">内置软件包</w:t>
            </w:r>
            <w:r>
              <w:rPr>
                <w:rFonts w:hint="eastAsia" w:ascii="宋体" w:hAnsi="宋体" w:eastAsia="宋体" w:cs="宋体"/>
                <w:color w:val="000000"/>
                <w:sz w:val="24"/>
                <w:szCs w:val="24"/>
                <w:highlight w:val="none"/>
                <w:lang w:val="en-US" w:eastAsia="zh-CN" w:bidi="ar-SA"/>
              </w:rPr>
              <w:t xml:space="preserve">含“自动点名软件”或“云考勤”等相关关键</w:t>
            </w:r>
            <w:r>
              <w:rPr>
                <w:rFonts w:hint="eastAsia" w:ascii="宋体" w:hAnsi="宋体" w:eastAsia="宋体" w:cs="宋体"/>
                <w:color w:val="000000"/>
                <w:sz w:val="24"/>
                <w:szCs w:val="24"/>
                <w:highlight w:val="none"/>
              </w:rPr>
              <w:t xml:space="preserve">字的《计算机软件著作权登记证书</w:t>
            </w:r>
            <w:r>
              <w:rPr>
                <w:rFonts w:hint="eastAsia" w:ascii="宋体" w:hAnsi="宋体" w:eastAsia="宋体" w:cs="宋体"/>
                <w:color w:val="000000"/>
                <w:sz w:val="24"/>
                <w:szCs w:val="24"/>
              </w:rPr>
              <w:t xml:space="preserve">》得2分，未提供</w:t>
            </w:r>
            <w:r>
              <w:rPr>
                <w:rFonts w:hint="eastAsia" w:ascii="宋体" w:hAnsi="宋体" w:eastAsia="宋体" w:cs="宋体"/>
                <w:color w:val="000000"/>
                <w:sz w:val="24"/>
                <w:szCs w:val="24"/>
                <w:highlight w:val="none"/>
              </w:rPr>
              <w:t xml:space="preserve">或不满足</w:t>
            </w:r>
            <w:r>
              <w:rPr>
                <w:rFonts w:hint="eastAsia" w:ascii="宋体" w:hAnsi="宋体" w:eastAsia="宋体" w:cs="宋体"/>
                <w:color w:val="000000"/>
                <w:sz w:val="24"/>
                <w:szCs w:val="24"/>
              </w:rPr>
              <w:t xml:space="preserve">不得分。</w:t>
            </w:r>
            <w:r/>
          </w:p>
          <w:p>
            <w:pPr>
              <w:numPr>
                <w:ilvl w:val="0"/>
                <w:numId w:val="0"/>
              </w:numPr>
              <w:jc w:val="left"/>
              <w:widowControl/>
              <w:rPr>
                <w:rFonts w:hint="eastAsia" w:ascii="宋体" w:hAnsi="宋体" w:eastAsia="宋体" w:cs="宋体"/>
                <w:sz w:val="24"/>
                <w:szCs w:val="24"/>
                <w:lang w:val="en-US"/>
              </w:rPr>
            </w:pPr>
            <w:r>
              <w:rPr>
                <w:rFonts w:hint="eastAsia" w:ascii="宋体" w:hAnsi="宋体" w:eastAsia="宋体" w:cs="宋体"/>
                <w:color w:val="000000"/>
                <w:sz w:val="24"/>
                <w:szCs w:val="24"/>
              </w:rPr>
              <w:t xml:space="preserve">备注：所提供证书登记注册的软件名称中“产品名称和检测内容”与评分细则规定不同时，应提供符合上述要求内容（功能）的说明及关键信息，否则不予认可，合同签订时提供原件供采购人核验。</w:t>
            </w:r>
            <w:r/>
          </w:p>
        </w:tc>
        <w:tc>
          <w:tcPr>
            <w:tcW w:w="850"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63"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客观分</w:t>
            </w:r>
            <w:r/>
          </w:p>
        </w:tc>
      </w:tr>
      <w:tr>
        <w:trPr>
          <w:trHeight w:val="225"/>
        </w:trPr>
        <w:tc>
          <w:tcPr>
            <w:gridSpan w:val="5"/>
            <w:tcW w:w="9860" w:type="dxa"/>
            <w:vAlign w:val="center"/>
            <w:textDirection w:val="lrTb"/>
            <w:noWrap w:val="false"/>
          </w:tcPr>
          <w:p>
            <w:pPr>
              <w:pStyle w:val="1002"/>
              <w:ind w:firstLine="0"/>
              <w:jc w:val="left"/>
              <w:keepLines w:val="0"/>
              <w:keepNext w:val="0"/>
              <w:pageBreakBefore w:val="0"/>
              <w:spacing w:line="30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3、服务</w:t>
            </w:r>
            <w:r/>
          </w:p>
        </w:tc>
      </w:tr>
      <w:tr>
        <w:trPr/>
        <w:tc>
          <w:tcPr>
            <w:tcW w:w="554"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3.1</w:t>
            </w:r>
            <w:r/>
          </w:p>
        </w:tc>
        <w:tc>
          <w:tcPr>
            <w:tcW w:w="607" w:type="dxa"/>
            <w:vAlign w:val="center"/>
            <w:textDirection w:val="lrTb"/>
            <w:noWrap w:val="false"/>
          </w:tcPr>
          <w:p>
            <w:pPr>
              <w:pStyle w:val="1002"/>
              <w:ind w:firstLine="0"/>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实施方案</w:t>
            </w:r>
            <w:r/>
          </w:p>
        </w:tc>
        <w:tc>
          <w:tcPr>
            <w:tcW w:w="7086" w:type="dxa"/>
            <w:vAlign w:val="center"/>
            <w:textDirection w:val="lrTb"/>
            <w:noWrap w:val="false"/>
          </w:tcPr>
          <w:p>
            <w:pPr>
              <w:spacing w:line="400" w:lineRule="exact"/>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评委根据投标人提供的本项目整体实施方案进行综合评分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包含（每项内容逐条阐述）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t xml:space="preserve">1.提高安装调试速度的具体措施、2.在管理过程中的创新措施、3.在此次项目中的安全管理措施、4.在此次项目中的风险管控措施：</w:t>
            </w:r>
            <w:r/>
          </w:p>
          <w:p>
            <w:pPr>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上述每</w:t>
            </w:r>
            <w:r>
              <w:rPr>
                <w:rFonts w:hint="eastAsia" w:ascii="宋体" w:hAnsi="宋体" w:eastAsia="宋体" w:cs="宋体"/>
                <w:color w:val="000000"/>
                <w:sz w:val="24"/>
                <w:szCs w:val="24"/>
                <w:lang w:val="en-US" w:eastAsia="zh-CN"/>
              </w:rPr>
              <w:t xml:space="preserve">有一</w:t>
            </w:r>
            <w:r>
              <w:rPr>
                <w:rFonts w:hint="eastAsia" w:ascii="宋体" w:hAnsi="宋体" w:eastAsia="宋体" w:cs="宋体"/>
                <w:color w:val="000000"/>
                <w:sz w:val="24"/>
                <w:szCs w:val="24"/>
              </w:rPr>
              <w:t xml:space="preserve">项内容全面、针对性强、可操作性强的，</w:t>
            </w:r>
            <w:r>
              <w:rPr>
                <w:rFonts w:hint="eastAsia" w:ascii="宋体" w:hAnsi="宋体" w:eastAsia="宋体" w:cs="宋体"/>
                <w:color w:val="000000"/>
                <w:sz w:val="24"/>
                <w:szCs w:val="24"/>
                <w:lang w:val="en-US" w:eastAsia="zh-CN"/>
              </w:rPr>
              <w:t xml:space="preserve">该项</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上述每</w:t>
            </w:r>
            <w:r>
              <w:rPr>
                <w:rFonts w:hint="eastAsia" w:ascii="宋体" w:hAnsi="宋体" w:eastAsia="宋体" w:cs="宋体"/>
                <w:color w:val="000000"/>
                <w:sz w:val="24"/>
                <w:szCs w:val="24"/>
                <w:lang w:val="en-US" w:eastAsia="zh-CN"/>
              </w:rPr>
              <w:t xml:space="preserve">有一</w:t>
            </w:r>
            <w:r>
              <w:rPr>
                <w:rFonts w:hint="eastAsia" w:ascii="宋体" w:hAnsi="宋体" w:eastAsia="宋体" w:cs="宋体"/>
                <w:color w:val="000000"/>
                <w:sz w:val="24"/>
                <w:szCs w:val="24"/>
              </w:rPr>
              <w:t xml:space="preserve">项内容较全面、针对性较强、可操作性较强的，</w:t>
            </w:r>
            <w:r>
              <w:rPr>
                <w:rFonts w:hint="eastAsia" w:ascii="宋体" w:hAnsi="宋体" w:eastAsia="宋体" w:cs="宋体"/>
                <w:color w:val="000000"/>
                <w:sz w:val="24"/>
                <w:szCs w:val="24"/>
                <w:lang w:val="en-US" w:eastAsia="zh-CN"/>
              </w:rPr>
              <w:t xml:space="preserve">该项</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w:t>
            </w:r>
            <w:r/>
          </w:p>
          <w:p>
            <w:pPr>
              <w:jc w:val="left"/>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上述每</w:t>
            </w:r>
            <w:r>
              <w:rPr>
                <w:rFonts w:hint="eastAsia" w:ascii="宋体" w:hAnsi="宋体" w:eastAsia="宋体" w:cs="宋体"/>
                <w:color w:val="000000"/>
                <w:sz w:val="24"/>
                <w:szCs w:val="24"/>
                <w:lang w:val="en-US" w:eastAsia="zh-CN"/>
              </w:rPr>
              <w:t xml:space="preserve">有一</w:t>
            </w:r>
            <w:r>
              <w:rPr>
                <w:rFonts w:hint="eastAsia" w:ascii="宋体" w:hAnsi="宋体" w:eastAsia="宋体" w:cs="宋体"/>
                <w:color w:val="000000"/>
                <w:sz w:val="24"/>
                <w:szCs w:val="24"/>
              </w:rPr>
              <w:t xml:space="preserve">项内容不可行或未提供方案的</w:t>
            </w:r>
            <w:r>
              <w:rPr>
                <w:rFonts w:hint="eastAsia" w:ascii="宋体" w:hAnsi="宋体" w:eastAsia="宋体" w:cs="宋体"/>
                <w:color w:val="000000"/>
                <w:sz w:val="24"/>
                <w:szCs w:val="24"/>
                <w:lang w:val="en-US" w:eastAsia="zh-CN"/>
              </w:rPr>
              <w:t xml:space="preserve">该项</w:t>
            </w:r>
            <w:r>
              <w:rPr>
                <w:rFonts w:hint="eastAsia" w:ascii="宋体" w:hAnsi="宋体" w:eastAsia="宋体" w:cs="宋体"/>
                <w:color w:val="000000"/>
                <w:sz w:val="24"/>
                <w:szCs w:val="24"/>
              </w:rPr>
              <w:t xml:space="preserve">不得分。</w:t>
            </w:r>
            <w:r/>
          </w:p>
        </w:tc>
        <w:tc>
          <w:tcPr>
            <w:tcW w:w="850"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p>
        </w:tc>
        <w:tc>
          <w:tcPr>
            <w:tcW w:w="763"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主观分</w:t>
            </w:r>
            <w:r/>
          </w:p>
        </w:tc>
      </w:tr>
      <w:tr>
        <w:trPr/>
        <w:tc>
          <w:tcPr>
            <w:tcW w:w="554"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p>
        </w:tc>
        <w:tc>
          <w:tcPr>
            <w:tcW w:w="607" w:type="dxa"/>
            <w:vAlign w:val="center"/>
            <w:textDirection w:val="lrTb"/>
            <w:noWrap w:val="false"/>
          </w:tcPr>
          <w:p>
            <w:pPr>
              <w:pStyle w:val="1002"/>
              <w:ind w:firstLine="0"/>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color w:val="000000"/>
                <w:spacing w:val="-2"/>
                <w:sz w:val="24"/>
                <w:szCs w:val="24"/>
              </w:rPr>
              <w:t xml:space="preserve">售后服务</w:t>
            </w:r>
            <w:r>
              <w:rPr>
                <w:rFonts w:hint="eastAsia" w:ascii="宋体" w:hAnsi="宋体" w:eastAsia="宋体" w:cs="宋体"/>
                <w:color w:val="000000"/>
                <w:spacing w:val="-2"/>
                <w:sz w:val="24"/>
                <w:szCs w:val="24"/>
                <w:lang w:val="en-US" w:eastAsia="zh-CN"/>
              </w:rPr>
              <w:t xml:space="preserve">方案</w:t>
            </w:r>
            <w:r/>
          </w:p>
        </w:tc>
        <w:tc>
          <w:tcPr>
            <w:tcW w:w="7086" w:type="dxa"/>
            <w:vAlign w:val="center"/>
            <w:textDirection w:val="lrTb"/>
            <w:noWrap w:val="false"/>
          </w:tcPr>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评委根据投标人提供的本项目整体售后服务方案进行综合评分，包含（每项内容逐条阐述）：1.服务体系、服务内容、2.故障解决方案、3.故障响应时间、4.专业技术人员保障及服务电话：</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1、上述每有一项内容全面、针对性强、可操作性强的，该项得1分；</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2、上述每有一项内容较全面、针对性较强、可操作性较强的，该项得0.5分；</w:t>
            </w:r>
            <w:r/>
          </w:p>
          <w:p>
            <w:pPr>
              <w:jc w:val="left"/>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color w:val="000000"/>
                <w:sz w:val="24"/>
                <w:szCs w:val="24"/>
                <w:lang w:val="en-US" w:eastAsia="zh-CN" w:bidi="ar"/>
              </w:rPr>
              <w:t xml:space="preserve">3、上述每有一项内容不可行或未提供方案的该项不得分。</w:t>
            </w:r>
            <w:r/>
          </w:p>
        </w:tc>
        <w:tc>
          <w:tcPr>
            <w:tcW w:w="850"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763"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主观分</w:t>
            </w:r>
            <w:r/>
          </w:p>
        </w:tc>
      </w:tr>
      <w:tr>
        <w:trPr>
          <w:trHeight w:val="192"/>
        </w:trPr>
        <w:tc>
          <w:tcPr>
            <w:gridSpan w:val="5"/>
            <w:tcW w:w="9860" w:type="dxa"/>
            <w:vAlign w:val="center"/>
            <w:textDirection w:val="lrTb"/>
            <w:noWrap w:val="false"/>
          </w:tcPr>
          <w:p>
            <w:pPr>
              <w:pStyle w:val="1002"/>
              <w:ind w:firstLine="0"/>
              <w:jc w:val="left"/>
              <w:keepLines w:val="0"/>
              <w:keepNext w:val="0"/>
              <w:pageBreakBefore w:val="0"/>
              <w:spacing w:line="3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4、业绩</w:t>
            </w:r>
            <w:r/>
          </w:p>
        </w:tc>
      </w:tr>
      <w:tr>
        <w:trPr/>
        <w:tc>
          <w:tcPr>
            <w:tcW w:w="554"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w:t>
            </w:r>
            <w:r/>
          </w:p>
        </w:tc>
        <w:tc>
          <w:tcPr>
            <w:tcW w:w="607"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投标人业绩</w:t>
            </w:r>
            <w:r/>
          </w:p>
        </w:tc>
        <w:tc>
          <w:tcPr>
            <w:tcW w:w="7086" w:type="dxa"/>
            <w:vAlign w:val="center"/>
            <w:textDirection w:val="lrTb"/>
            <w:noWrap w:val="false"/>
          </w:tcPr>
          <w:p>
            <w:pPr>
              <w:pStyle w:val="1002"/>
              <w:ind w:firstLine="0"/>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投标人提供202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年1月1日（以签订合同为准）以来，类似的集成项目案例（非厂家产品销售合同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至少包含多媒体设备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每个项目同时提供合同、</w:t>
            </w:r>
            <w:r>
              <w:rPr>
                <w:rFonts w:hint="eastAsia" w:ascii="宋体" w:hAnsi="宋体" w:eastAsia="宋体" w:cs="宋体"/>
                <w:color w:val="000000"/>
                <w:sz w:val="24"/>
                <w:szCs w:val="24"/>
                <w:lang w:val="en-US" w:eastAsia="zh-CN"/>
              </w:rPr>
              <w:t xml:space="preserve">验收材料</w:t>
            </w:r>
            <w:r>
              <w:rPr>
                <w:rFonts w:hint="eastAsia" w:ascii="宋体" w:hAnsi="宋体" w:eastAsia="宋体" w:cs="宋体"/>
                <w:color w:val="000000"/>
                <w:sz w:val="24"/>
                <w:szCs w:val="24"/>
              </w:rPr>
              <w:t xml:space="preserve">，缺一不可，每提供1个得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未提供或提供不全不得分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（上传证明文件扫描件）。</w:t>
            </w:r>
            <w:r/>
          </w:p>
        </w:tc>
        <w:tc>
          <w:tcPr>
            <w:tcW w:w="850"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763"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客观分</w:t>
            </w:r>
            <w:r/>
          </w:p>
        </w:tc>
      </w:tr>
      <w:tr>
        <w:trPr>
          <w:trHeight w:val="149"/>
        </w:trPr>
        <w:tc>
          <w:tcPr>
            <w:gridSpan w:val="5"/>
            <w:tcW w:w="9860" w:type="dxa"/>
            <w:vAlign w:val="center"/>
            <w:textDirection w:val="lrTb"/>
            <w:noWrap w:val="false"/>
          </w:tcPr>
          <w:p>
            <w:pPr>
              <w:pStyle w:val="1002"/>
              <w:ind w:firstLine="0"/>
              <w:jc w:val="left"/>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b/>
                <w:bCs/>
                <w:spacing w:val="-3"/>
                <w:sz w:val="24"/>
                <w:szCs w:val="24"/>
                <w:highlight w:val="none"/>
                <w:lang w:val="en-US" w:eastAsia="zh-CN" w:bidi="ar"/>
              </w:rPr>
              <w:t xml:space="preserve">节能环保</w:t>
            </w:r>
            <w:r/>
          </w:p>
        </w:tc>
      </w:tr>
      <w:tr>
        <w:trPr/>
        <w:tc>
          <w:tcPr>
            <w:tcW w:w="554" w:type="dxa"/>
            <w:vAlign w:val="center"/>
            <w:textDirection w:val="lrTb"/>
            <w:noWrap w:val="false"/>
          </w:tcPr>
          <w:p>
            <w:pPr>
              <w:jc w:val="center"/>
              <w:keepLines w:val="0"/>
              <w:keepNext w:val="0"/>
              <w:pageBreakBefore w:val="0"/>
              <w:spacing w:line="30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.1</w:t>
            </w:r>
            <w:r/>
          </w:p>
        </w:tc>
        <w:tc>
          <w:tcPr>
            <w:tcW w:w="607" w:type="dxa"/>
            <w:vAlign w:val="center"/>
            <w:textDirection w:val="lrTb"/>
            <w:noWrap w:val="false"/>
          </w:tcPr>
          <w:p>
            <w:pPr>
              <w:pStyle w:val="1002"/>
              <w:ind w:firstLine="0"/>
              <w:jc w:val="center"/>
              <w:keepLines w:val="0"/>
              <w:keepNext w:val="0"/>
              <w:pageBreakBefore w:val="0"/>
              <w:spacing w:line="300" w:lineRule="exact"/>
              <w:rPr>
                <w:rFonts w:hint="eastAsia" w:ascii="宋体" w:hAnsi="宋体" w:eastAsia="宋体" w:cs="宋体"/>
                <w:color w:val="000000"/>
                <w:spacing w:val="-1"/>
                <w:sz w:val="24"/>
                <w:szCs w:val="24"/>
                <w:highlight w:val="none"/>
              </w:rPr>
            </w:pPr>
            <w:r>
              <w:rPr>
                <w:rFonts w:hint="eastAsia" w:ascii="宋体" w:hAnsi="宋体" w:eastAsia="宋体" w:cs="宋体"/>
                <w:sz w:val="24"/>
                <w:szCs w:val="24"/>
                <w:highlight w:val="none"/>
              </w:rPr>
              <w:t xml:space="preserve">节能环保</w:t>
            </w:r>
            <w:r/>
          </w:p>
        </w:tc>
        <w:tc>
          <w:tcPr>
            <w:tcW w:w="7086" w:type="dxa"/>
            <w:vAlign w:val="center"/>
            <w:textDirection w:val="lrTb"/>
            <w:noWrap w:val="false"/>
          </w:tcPr>
          <w:p>
            <w:pP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产品属于财政部、国家发改委公布的《节能产品政府采购品目清单》（财库〔2019〕19号）范围内（政府强制采购产品除外）的，投标人提供国家确定的认证机构出具的、处于有效期之内的该节能产品认证证书的，</w:t>
            </w:r>
            <w:r>
              <w:rPr>
                <w:rFonts w:hint="eastAsia" w:ascii="宋体" w:hAnsi="宋体" w:eastAsia="宋体" w:cs="宋体"/>
                <w:sz w:val="24"/>
                <w:szCs w:val="24"/>
                <w:highlight w:val="none"/>
                <w:lang w:val="en-US" w:eastAsia="zh-CN"/>
              </w:rPr>
              <w:t xml:space="preserve">有一个得0.5分，最多</w:t>
            </w:r>
            <w:r>
              <w:rPr>
                <w:rFonts w:hint="eastAsia" w:ascii="宋体" w:hAnsi="宋体" w:eastAsia="宋体" w:cs="宋体"/>
                <w:sz w:val="24"/>
                <w:szCs w:val="24"/>
                <w:highlight w:val="none"/>
              </w:rPr>
              <w:t xml:space="preserve">得1分，投标产品属于政府强制采购节能产品或已在实质性要求中要求提供节能产品认证证书的，本项不得分。</w:t>
            </w:r>
            <w:r/>
          </w:p>
          <w:p>
            <w:pP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2、投标产品属于财政部、生态环境部公布的《环境标志产品品目清单》（财库〔2019〕18号）范围内的，投标人提供国家确定的认证机构出具的、处于有效期内的该环保产品认证证书的，</w:t>
            </w:r>
            <w:r>
              <w:rPr>
                <w:rFonts w:hint="eastAsia" w:ascii="宋体" w:hAnsi="宋体" w:eastAsia="宋体" w:cs="宋体"/>
                <w:sz w:val="24"/>
                <w:szCs w:val="24"/>
                <w:highlight w:val="none"/>
                <w:lang w:val="en-US" w:eastAsia="zh-CN"/>
              </w:rPr>
              <w:t xml:space="preserve">有一个得0.5分，最多</w:t>
            </w:r>
            <w:r>
              <w:rPr>
                <w:rFonts w:hint="eastAsia" w:ascii="宋体" w:hAnsi="宋体" w:eastAsia="宋体" w:cs="宋体"/>
                <w:sz w:val="24"/>
                <w:szCs w:val="24"/>
                <w:highlight w:val="none"/>
              </w:rPr>
              <w:t xml:space="preserve">得1分。</w:t>
            </w:r>
            <w:r/>
          </w:p>
          <w:p>
            <w:pPr>
              <w:keepLines w:val="0"/>
              <w:keepNext w:val="0"/>
              <w:pageBreakBefore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以上提供有效期内的证书原件，扫描上传。本项最多得2分，未提供不得分。</w:t>
            </w:r>
            <w:r/>
          </w:p>
        </w:tc>
        <w:tc>
          <w:tcPr>
            <w:tcW w:w="850" w:type="dxa"/>
            <w:vAlign w:val="center"/>
            <w:textDirection w:val="lrTb"/>
            <w:noWrap w:val="false"/>
          </w:tcPr>
          <w:p>
            <w:pPr>
              <w:jc w:val="center"/>
              <w:keepLines w:val="0"/>
              <w:keepNext w:val="0"/>
              <w:pageBreakBefore w:val="0"/>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763" w:type="dxa"/>
            <w:vAlign w:val="center"/>
            <w:textDirection w:val="lrTb"/>
            <w:noWrap w:val="false"/>
          </w:tcPr>
          <w:p>
            <w:pPr>
              <w:jc w:val="center"/>
              <w:keepLines w:val="0"/>
              <w:keepNext w:val="0"/>
              <w:pageBreakBefore w:val="0"/>
              <w:spacing w:line="30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客观分</w:t>
            </w:r>
            <w:r/>
          </w:p>
        </w:tc>
      </w:tr>
    </w:tbl>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hint="eastAsia" w:ascii="宋体" w:hAnsi="宋体"/>
          <w:b/>
          <w:color w:val="000000"/>
          <w:sz w:val="72"/>
          <w:szCs w:val="21"/>
        </w:rPr>
      </w:pPr>
      <w:r/>
      <w:bookmarkStart w:id="186" w:name="_Hlt26671244"/>
      <w:r/>
      <w:bookmarkEnd w:id="186"/>
      <w:r/>
      <w:bookmarkStart w:id="187" w:name="_Hlt26955039"/>
      <w:r/>
      <w:bookmarkEnd w:id="187"/>
      <w:r/>
      <w:bookmarkStart w:id="188" w:name="_Toc120614282"/>
      <w:r/>
      <w:bookmarkStart w:id="189" w:name="_Toc26554094"/>
      <w:r/>
      <w:bookmarkStart w:id="190"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default"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8"/>
      <w:r/>
      <w:bookmarkEnd w:id="189"/>
      <w:r/>
      <w:bookmarkEnd w:id="190"/>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十三、关于符合本国产品标准的声明函（如有）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08"/>
        <w:rPr>
          <w:rFonts w:ascii="宋体" w:hAnsi="宋体"/>
          <w:sz w:val="24"/>
        </w:rPr>
      </w:pPr>
      <w:r>
        <w:rPr>
          <w:rFonts w:ascii="宋体" w:hAnsi="宋体"/>
          <w:sz w:val="24"/>
        </w:rPr>
      </w:r>
      <w:r/>
    </w:p>
    <w:p>
      <w:pPr>
        <w:pStyle w:val="1008"/>
        <w:rPr>
          <w:rFonts w:ascii="宋体" w:hAnsi="宋体"/>
          <w:sz w:val="24"/>
        </w:rPr>
      </w:pPr>
      <w:r>
        <w:rPr>
          <w:rFonts w:ascii="宋体" w:hAnsi="宋体"/>
          <w:sz w:val="24"/>
        </w:rPr>
      </w:r>
      <w:r/>
    </w:p>
    <w:p>
      <w:pPr>
        <w:pStyle w:val="1008"/>
        <w:rPr>
          <w:rFonts w:ascii="宋体" w:hAnsi="宋体"/>
          <w:sz w:val="24"/>
        </w:rPr>
      </w:pPr>
      <w:r>
        <w:rPr>
          <w:rFonts w:ascii="宋体" w:hAnsi="宋体"/>
          <w:sz w:val="24"/>
        </w:rPr>
      </w:r>
      <w:r/>
    </w:p>
    <w:p>
      <w:pPr>
        <w:pStyle w:val="1008"/>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1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18"/>
        <w:rPr>
          <w:rFonts w:hint="eastAsia"/>
          <w:lang w:val="en-US" w:eastAsia="zh-CN"/>
        </w:rPr>
      </w:pPr>
      <w:r>
        <w:rPr>
          <w:rFonts w:hint="eastAsia"/>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color w:val="000000"/>
          <w:sz w:val="24"/>
          <w:szCs w:val="24"/>
        </w:rPr>
        <w:t xml:space="preserve">江宁分中心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95"/>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auto"/>
          <w:sz w:val="32"/>
          <w:szCs w:val="32"/>
          <w:u w:val="single"/>
          <w:lang w:eastAsia="zh-CN"/>
        </w:rPr>
      </w:pPr>
      <w:r>
        <w:rPr>
          <w:rFonts w:hint="eastAsia" w:ascii="黑体" w:hAnsi="黑体" w:eastAsia="黑体" w:cs="Times New Roman"/>
          <w:i/>
          <w:color w:val="auto"/>
          <w:sz w:val="32"/>
          <w:szCs w:val="32"/>
          <w:u w:val="single"/>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92"/>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1"/>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92"/>
        <w:ind w:firstLine="480"/>
        <w:spacing w:line="420" w:lineRule="exact"/>
        <w:rPr>
          <w:rFonts w:hint="eastAsia"/>
          <w:sz w:val="24"/>
          <w:szCs w:val="24"/>
        </w:rPr>
      </w:pPr>
      <w:r>
        <w:rPr>
          <w:rFonts w:hint="eastAsia"/>
          <w:sz w:val="24"/>
          <w:szCs w:val="24"/>
        </w:rPr>
      </w:r>
      <w:r/>
    </w:p>
    <w:p>
      <w:pPr>
        <w:pStyle w:val="992"/>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92"/>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992"/>
        <w:ind w:firstLine="480"/>
        <w:spacing w:line="480" w:lineRule="exact"/>
        <w:rPr>
          <w:rFonts w:hint="eastAsia"/>
          <w:sz w:val="24"/>
          <w:szCs w:val="24"/>
        </w:rPr>
      </w:pPr>
      <w:r>
        <w:rPr>
          <w:rFonts w:hint="eastAsia"/>
          <w:sz w:val="24"/>
          <w:szCs w:val="24"/>
        </w:rPr>
        <w:t xml:space="preserve">被授权人身份证号码：</w:t>
      </w:r>
      <w:r/>
    </w:p>
    <w:p>
      <w:pPr>
        <w:pStyle w:val="992"/>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92"/>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92"/>
        <w:ind w:firstLine="480"/>
        <w:spacing w:line="480" w:lineRule="exact"/>
        <w:rPr>
          <w:rFonts w:hint="eastAsia"/>
          <w:sz w:val="24"/>
          <w:szCs w:val="24"/>
          <w:u w:val="single"/>
        </w:rPr>
      </w:pPr>
      <w:r>
        <w:rPr>
          <w:rFonts w:hint="eastAsia"/>
          <w:sz w:val="24"/>
          <w:szCs w:val="24"/>
        </w:rPr>
        <w:t xml:space="preserve">单位地址：</w:t>
      </w:r>
      <w:r/>
    </w:p>
    <w:p>
      <w:pPr>
        <w:pStyle w:val="992"/>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91" w:name="_Hlt26671380"/>
      <w:r/>
      <w:bookmarkEnd w:id="191"/>
      <w:r/>
      <w:bookmarkStart w:id="192" w:name="_格式3__银行出具的资信证明"/>
      <w:r/>
      <w:bookmarkEnd w:id="192"/>
      <w:r/>
      <w:bookmarkStart w:id="193" w:name="_Hlt26955070"/>
      <w:r/>
      <w:bookmarkEnd w:id="193"/>
      <w:r/>
      <w:r/>
    </w:p>
    <w:p>
      <w:pPr>
        <w:pStyle w:val="722"/>
        <w:rPr>
          <w:rFonts w:hint="eastAsia"/>
          <w:i/>
          <w:sz w:val="24"/>
          <w:szCs w:val="24"/>
          <w:u w:val="single"/>
        </w:rPr>
      </w:pPr>
      <w:r>
        <w:rPr>
          <w:rFonts w:hint="eastAsia"/>
          <w:i/>
          <w:sz w:val="24"/>
          <w:szCs w:val="24"/>
          <w:u w:val="single"/>
        </w:rPr>
      </w:r>
      <w:r/>
    </w:p>
    <w:p>
      <w:pPr>
        <w:pStyle w:val="722"/>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718"/>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pStyle w:val="718"/>
        <w:rPr>
          <w:rFonts w:hint="eastAsia" w:ascii="宋体" w:hAnsi="宋体"/>
          <w:bCs/>
          <w:sz w:val="24"/>
        </w:rPr>
      </w:pPr>
      <w:r>
        <w:rPr>
          <w:rFonts w:hint="eastAsia" w:ascii="宋体" w:hAnsi="宋体"/>
          <w:bCs/>
          <w:sz w:val="24"/>
        </w:rPr>
      </w:r>
      <w:r/>
    </w:p>
    <w:p>
      <w:pPr>
        <w:rPr>
          <w:rFonts w:hint="eastAsia"/>
        </w:rPr>
      </w:pPr>
      <w:r>
        <w:rPr>
          <w:rFonts w:hint="eastAsia"/>
        </w:rPr>
      </w:r>
      <w:r/>
    </w:p>
    <w:p>
      <w:pPr>
        <w:rPr>
          <w:rFonts w:hint="eastAsia"/>
        </w:rPr>
      </w:pPr>
      <w:r>
        <w:rPr>
          <w:rFonts w:hint="eastAsia"/>
        </w:rPr>
      </w:r>
      <w:r/>
    </w:p>
    <w:p>
      <w:pPr>
        <w:pStyle w:val="1008"/>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010"/>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color w:val="000000"/>
          <w:sz w:val="24"/>
          <w:szCs w:val="24"/>
        </w:rPr>
        <w:t xml:space="preserve">江宁分中心</w:t>
      </w:r>
      <w:r/>
    </w:p>
    <w:p>
      <w:pPr>
        <w:pStyle w:val="101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010"/>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101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101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101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101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010"/>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010"/>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01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0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0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0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0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10"/>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1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10"/>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auto"/>
          <w:sz w:val="24"/>
          <w:szCs w:val="24"/>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lang w:val="zh-CN"/>
        </w:rPr>
        <w:t xml:space="preserve">报价</w:t>
      </w:r>
      <w:r>
        <w:rPr>
          <w:rFonts w:hint="eastAsia" w:ascii="宋体" w:hAnsi="宋体" w:eastAsia="宋体" w:cs="Times New Roman"/>
          <w:b/>
          <w:bCs/>
          <w:color w:val="auto"/>
          <w:sz w:val="24"/>
          <w:szCs w:val="24"/>
          <w:lang w:val="en-US" w:eastAsia="zh-CN"/>
        </w:rPr>
        <w:t xml:space="preserve">过低</w:t>
      </w:r>
      <w:r>
        <w:rPr>
          <w:rFonts w:hint="eastAsia" w:ascii="宋体" w:hAnsi="宋体" w:eastAsia="宋体" w:cs="Times New Roman"/>
          <w:b/>
          <w:bCs/>
          <w:color w:val="auto"/>
          <w:sz w:val="24"/>
          <w:szCs w:val="24"/>
          <w:lang w:val="zh-CN"/>
        </w:rPr>
        <w:t xml:space="preserve">，有可能影响</w:t>
      </w:r>
      <w:r>
        <w:rPr>
          <w:rFonts w:hint="eastAsia" w:ascii="宋体" w:hAnsi="宋体" w:eastAsia="宋体" w:cs="Times New Roman"/>
          <w:b/>
          <w:bCs/>
          <w:color w:val="auto"/>
          <w:sz w:val="24"/>
          <w:szCs w:val="24"/>
          <w:lang w:val="en-US" w:eastAsia="zh-CN"/>
        </w:rPr>
        <w:t xml:space="preserve">产品或服务</w:t>
      </w:r>
      <w:r>
        <w:rPr>
          <w:rFonts w:hint="eastAsia" w:ascii="宋体" w:hAnsi="宋体" w:eastAsia="宋体" w:cs="Times New Roman"/>
          <w:b/>
          <w:bCs/>
          <w:color w:val="auto"/>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auto"/>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auto"/>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auto"/>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auto"/>
          <w:sz w:val="24"/>
          <w:szCs w:val="24"/>
          <w:lang w:val="zh-CN"/>
        </w:rPr>
        <w:t xml:space="preserve">提供</w:t>
      </w:r>
      <w:r>
        <w:rPr>
          <w:rFonts w:hint="eastAsia" w:ascii="宋体" w:hAnsi="宋体" w:eastAsia="宋体" w:cs="Times New Roman"/>
          <w:b/>
          <w:bCs/>
          <w:color w:val="auto"/>
          <w:sz w:val="24"/>
          <w:szCs w:val="24"/>
          <w:lang w:val="en-US" w:eastAsia="zh-CN"/>
        </w:rPr>
        <w:t xml:space="preserve">项目具体成本测算等与报价合理性相关的书面</w:t>
      </w:r>
      <w:r>
        <w:rPr>
          <w:rFonts w:hint="eastAsia" w:ascii="宋体" w:hAnsi="宋体" w:eastAsia="宋体" w:cs="Times New Roman"/>
          <w:b/>
          <w:bCs/>
          <w:color w:val="auto"/>
          <w:sz w:val="24"/>
          <w:szCs w:val="24"/>
          <w:lang w:val="zh-CN"/>
        </w:rPr>
        <w:t xml:space="preserve">说明</w:t>
      </w:r>
      <w:r>
        <w:rPr>
          <w:rFonts w:hint="eastAsia" w:ascii="宋体" w:hAnsi="宋体" w:eastAsia="宋体" w:cs="Times New Roman"/>
          <w:b/>
          <w:bCs/>
          <w:color w:val="auto"/>
          <w:sz w:val="24"/>
          <w:szCs w:val="24"/>
          <w:lang w:val="en-US" w:eastAsia="zh-CN"/>
        </w:rPr>
        <w:t xml:space="preserve">及相关证明材料</w:t>
      </w:r>
      <w:r>
        <w:rPr>
          <w:rFonts w:hint="eastAsia" w:ascii="宋体" w:hAnsi="宋体" w:eastAsia="宋体" w:cs="Times New Roman"/>
          <w:b/>
          <w:bCs/>
          <w:color w:val="auto"/>
          <w:sz w:val="24"/>
          <w:szCs w:val="24"/>
          <w:lang w:val="zh-CN"/>
        </w:rPr>
        <w:t xml:space="preserve">。投标人</w:t>
      </w:r>
      <w:r>
        <w:rPr>
          <w:rFonts w:hint="eastAsia" w:ascii="宋体" w:hAnsi="宋体" w:eastAsia="宋体" w:cs="Times New Roman"/>
          <w:b/>
          <w:bCs/>
          <w:color w:val="auto"/>
          <w:sz w:val="24"/>
          <w:szCs w:val="24"/>
          <w:lang w:val="en-US" w:eastAsia="zh-CN"/>
        </w:rPr>
        <w:t xml:space="preserve">不提供书面说明及证明材料，或者书面说明、证明材料</w:t>
      </w:r>
      <w:r>
        <w:rPr>
          <w:rFonts w:hint="eastAsia" w:ascii="宋体" w:hAnsi="宋体" w:eastAsia="宋体" w:cs="Times New Roman"/>
          <w:b/>
          <w:bCs/>
          <w:color w:val="auto"/>
          <w:sz w:val="24"/>
          <w:szCs w:val="24"/>
          <w:lang w:val="zh-CN"/>
        </w:rPr>
        <w:t xml:space="preserve">不能证明其报价合理性的，将作为无效投标处理。</w:t>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1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pStyle w:val="718"/>
        <w:rPr>
          <w:rFonts w:hint="eastAsia"/>
          <w:lang w:val="en-US" w:eastAsia="zh-CN"/>
        </w:rPr>
      </w:pPr>
      <w:r>
        <w:rPr>
          <w:rFonts w:hint="eastAsia"/>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717"/>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default" w:ascii="宋体" w:hAnsi="宋体" w:eastAsia="宋体" w:cs="宋体"/>
                <w:sz w:val="21"/>
                <w:szCs w:val="21"/>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601"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18"/>
        <w:rPr>
          <w:rFonts w:hint="eastAsia"/>
          <w:lang w:val="en-US" w:eastAsia="zh-CN"/>
        </w:rPr>
      </w:pPr>
      <w:r>
        <w:rPr>
          <w:rFonts w:hint="eastAsia"/>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17"/>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21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73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7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739"/>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2.《投标分项报价表》中“投标总价”应当与《开标一览表》中“投标总报价”一致。</w:t>
      </w:r>
      <w:r/>
    </w:p>
    <w:p>
      <w:pPr>
        <w:pStyle w:val="739"/>
        <w:ind w:firstLine="482"/>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3.供应商所投产品须与“第四章-项目清单”中的产品一一对应，如有缺项、漏项或者超出单价上限，视为无效投标。</w:t>
      </w:r>
      <w:r/>
    </w:p>
    <w:p>
      <w:pPr>
        <w:pStyle w:val="73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hint="default" w:ascii="宋体" w:hAnsi="宋体"/>
          <w:sz w:val="24"/>
          <w:szCs w:val="24"/>
          <w:highlight w:val="none"/>
          <w:lang w:eastAsia="zh-CN"/>
        </w:rPr>
      </w:pPr>
      <w:r>
        <w:rPr>
          <w:rFonts w:hint="default" w:ascii="宋体" w:hAnsi="宋体"/>
          <w:sz w:val="24"/>
          <w:szCs w:val="24"/>
          <w:highlight w:val="none"/>
          <w:lang w:eastAsia="zh-CN"/>
        </w:rPr>
      </w:r>
      <w:r/>
    </w:p>
    <w:p>
      <w:pPr>
        <w:rPr>
          <w:rFonts w:hint="default" w:ascii="宋体" w:hAnsi="宋体"/>
          <w:sz w:val="24"/>
          <w:szCs w:val="24"/>
          <w:highlight w:val="none"/>
          <w:lang w:eastAsia="zh-CN"/>
        </w:rPr>
      </w:pPr>
      <w:r>
        <w:rPr>
          <w:rFonts w:hint="default" w:ascii="宋体" w:hAnsi="宋体"/>
          <w:sz w:val="24"/>
          <w:szCs w:val="24"/>
          <w:highlight w:val="none"/>
          <w:lang w:eastAsia="zh-CN"/>
        </w:rPr>
      </w:r>
      <w:r/>
    </w:p>
    <w:p>
      <w:pPr>
        <w:rPr>
          <w:rFonts w:hint="default" w:ascii="宋体" w:hAnsi="宋体"/>
          <w:sz w:val="24"/>
          <w:szCs w:val="24"/>
          <w:highlight w:val="none"/>
          <w:lang w:eastAsia="zh-CN"/>
        </w:rPr>
      </w:pPr>
      <w:r>
        <w:rPr>
          <w:rFonts w:hint="default"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739"/>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739"/>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39"/>
        <w:ind w:firstLine="480"/>
        <w:jc w:val="both"/>
        <w:spacing w:before="0" w:beforeAutospacing="0" w:after="0" w:afterAutospacing="0" w:line="360" w:lineRule="auto"/>
      </w:pPr>
      <w:r>
        <w:rPr>
          <w:rFonts w:hint="eastAsia"/>
        </w:rPr>
        <w:t xml:space="preserve">1.供应商应当对招标文件技术要求作出明确响应。</w:t>
      </w:r>
      <w:r/>
    </w:p>
    <w:p>
      <w:pPr>
        <w:pStyle w:val="739"/>
        <w:ind w:firstLine="480"/>
        <w:jc w:val="both"/>
        <w:spacing w:before="0" w:beforeAutospacing="0" w:after="0" w:afterAutospacing="0" w:line="312" w:lineRule="auto"/>
        <w:rPr>
          <w:color w:val="000000"/>
        </w:rPr>
      </w:pPr>
      <w:r>
        <w:rPr>
          <w:rFonts w:hint="eastAsia"/>
          <w:color w:val="000000"/>
        </w:rPr>
        <w:t xml:space="preserve">2.技术要求中</w:t>
      </w:r>
      <w:r>
        <w:rPr>
          <w:color w:val="000000"/>
        </w:rPr>
        <w:t xml:space="preserve">采购文件要求</w:t>
      </w:r>
      <w:r>
        <w:rPr>
          <w:rFonts w:hint="eastAsia"/>
          <w:color w:val="000000"/>
        </w:rPr>
        <w:t xml:space="preserve">投标时</w:t>
      </w:r>
      <w:r>
        <w:rPr>
          <w:color w:val="000000"/>
        </w:rPr>
        <w:t xml:space="preserve">提供证明材料</w:t>
      </w:r>
      <w:r>
        <w:rPr>
          <w:rFonts w:hint="eastAsia"/>
          <w:color w:val="000000"/>
        </w:rPr>
        <w:t xml:space="preserve">的</w:t>
      </w:r>
      <w:r>
        <w:rPr>
          <w:color w:val="000000"/>
        </w:rPr>
        <w:t xml:space="preserve">，供应商</w:t>
      </w:r>
      <w:r>
        <w:rPr>
          <w:rFonts w:hint="eastAsia"/>
          <w:color w:val="000000"/>
        </w:rPr>
        <w:t xml:space="preserve">应按要求在此表下方提供。要求签订合同时提供</w:t>
      </w:r>
      <w:r>
        <w:rPr>
          <w:color w:val="000000"/>
        </w:rPr>
        <w:t xml:space="preserve">证明材料</w:t>
      </w:r>
      <w:r>
        <w:rPr>
          <w:rFonts w:hint="eastAsia"/>
          <w:color w:val="000000"/>
        </w:rPr>
        <w:t xml:space="preserve">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39"/>
        <w:ind w:firstLine="482"/>
        <w:jc w:val="both"/>
        <w:spacing w:before="0" w:beforeAutospacing="0" w:after="0" w:afterAutospacing="0" w:line="312" w:lineRule="auto"/>
        <w:rPr>
          <w:rFonts w:hint="eastAsia"/>
          <w:lang w:eastAsia="zh-CN"/>
        </w:rPr>
      </w:pPr>
      <w:r>
        <w:rPr>
          <w:rFonts w:hint="eastAsia"/>
          <w:b/>
          <w:bCs/>
          <w:color w:val="000000"/>
        </w:rPr>
        <w:t xml:space="preserve">3</w:t>
      </w:r>
      <w:r>
        <w:rPr>
          <w:b/>
          <w:bCs/>
          <w:color w:val="000000"/>
        </w:rPr>
        <w:t xml:space="preserve">.供应商未对实质性要求作出明确响应的，或未按采购文件</w:t>
      </w:r>
      <w:r>
        <w:rPr>
          <w:rFonts w:hint="eastAsia"/>
          <w:b/>
          <w:bCs/>
          <w:color w:val="000000"/>
        </w:rPr>
        <w:t xml:space="preserve">实质性</w:t>
      </w:r>
      <w:r>
        <w:rPr>
          <w:b/>
          <w:bCs/>
          <w:color w:val="000000"/>
        </w:rPr>
        <w:t xml:space="preserve">要求提供证明材料的，作无效</w:t>
      </w:r>
      <w:r>
        <w:rPr>
          <w:rFonts w:hint="eastAsia"/>
          <w:b/>
          <w:bCs/>
          <w:color w:val="000000"/>
        </w:rPr>
        <w:t xml:space="preserve">投标</w:t>
      </w:r>
      <w:r>
        <w:rPr>
          <w:b/>
          <w:bCs/>
          <w:color w:val="000000"/>
        </w:rPr>
        <w:t xml:space="preserve">处理。</w:t>
      </w:r>
      <w:r/>
    </w:p>
    <w:p>
      <w:pPr>
        <w:pStyle w:val="739"/>
        <w:ind w:firstLine="480"/>
        <w:jc w:val="both"/>
        <w:spacing w:before="0" w:beforeAutospacing="0" w:after="0" w:afterAutospacing="0" w:line="360" w:lineRule="auto"/>
        <w:rPr>
          <w:color w:val="000000"/>
        </w:rPr>
      </w:pPr>
      <w:r>
        <w:rPr>
          <w:rFonts w:hint="eastAsia"/>
          <w:color w:val="000000"/>
          <w:lang w:val="en-US" w:eastAsia="zh-CN"/>
        </w:rPr>
        <w:t xml:space="preserve">4</w:t>
      </w:r>
      <w:r>
        <w:rPr>
          <w:rFonts w:hint="eastAsia"/>
          <w:color w:val="000000"/>
        </w:rPr>
        <w:t xml:space="preserve">.行数不够，可自行添加。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1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3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39"/>
        <w:ind w:firstLine="482"/>
        <w:jc w:val="both"/>
        <w:spacing w:before="0" w:beforeAutospacing="0" w:after="0" w:afterAutospacing="0" w:line="360" w:lineRule="auto"/>
        <w:rPr>
          <w:rFonts w:hint="default" w:ascii="宋体" w:hAnsi="宋体" w:eastAsia="宋体" w:cs="宋体"/>
          <w:b/>
          <w:bCs/>
          <w:color w:val="auto"/>
          <w:lang w:val="en-US" w:eastAsia="zh-CN"/>
        </w:rPr>
      </w:pPr>
      <w:r>
        <w:rPr>
          <w:rFonts w:hint="eastAsia" w:ascii="宋体" w:hAnsi="宋体" w:eastAsia="宋体" w:cs="宋体"/>
          <w:b/>
          <w:bCs/>
          <w:color w:val="auto"/>
          <w:lang w:val="en-US" w:eastAsia="zh-CN"/>
        </w:rPr>
        <w:t xml:space="preserve">1.供应商须对招标文件商务要求中的实质性要求（斜体下划线内容或打“★”内容）做出明确响应，否则视为无效投标。</w:t>
      </w:r>
      <w:r/>
    </w:p>
    <w:p>
      <w:pPr>
        <w:pStyle w:val="73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18"/>
        <w:rPr>
          <w:rFonts w:hint="eastAsia"/>
          <w:lang w:val="en-US" w:eastAsia="zh-CN"/>
        </w:rPr>
      </w:pPr>
      <w:r>
        <w:rPr>
          <w:rFonts w:hint="eastAsia"/>
          <w:lang w:val="en-US" w:eastAsia="zh-CN"/>
        </w:rPr>
      </w:r>
      <w:r/>
    </w:p>
    <w:p>
      <w:pPr>
        <w:pStyle w:val="990"/>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99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lang w:eastAsia="zh-CN"/>
        </w:rPr>
        <w:t xml:space="preserve">清单中列示的所有货物，投标人须在声明函中逐项列示并明确制造商的企业类型，如有缺失将按“不提供声明函”处理。</w:t>
      </w:r>
      <w:r>
        <w:rPr>
          <w:rFonts w:hint="eastAsia" w:ascii="宋体" w:hAnsi="宋体" w:eastAsia="宋体" w:cs="Times New Roman"/>
          <w:sz w:val="24"/>
          <w:szCs w:val="24"/>
          <w:lang w:eastAsia="zh-CN"/>
        </w:rPr>
        <w:t xml:space="preserve">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990"/>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08"/>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718"/>
        <w:rPr>
          <w:rFonts w:hint="eastAsia" w:ascii="黑体" w:hAnsi="黑体" w:eastAsia="黑体"/>
          <w:b/>
          <w:sz w:val="32"/>
          <w:szCs w:val="32"/>
        </w:rPr>
      </w:pPr>
      <w:r>
        <w:rPr>
          <w:rFonts w:hint="eastAsia" w:ascii="黑体" w:hAnsi="黑体" w:eastAsia="黑体"/>
          <w:b/>
          <w:sz w:val="32"/>
          <w:szCs w:val="32"/>
        </w:rPr>
      </w:r>
      <w:r/>
    </w:p>
    <w:p>
      <w:pPr>
        <w:rPr>
          <w:rFonts w:hint="eastAsia"/>
        </w:rPr>
      </w:pPr>
      <w:r>
        <w:rPr>
          <w:rFonts w:hint="eastAsia"/>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p>
    <w:p>
      <w:pPr>
        <w:pStyle w:val="7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w:t>
      </w:r>
      <w:r>
        <w:rPr>
          <w:rStyle w:val="743"/>
          <w:rFonts w:hint="eastAsia" w:ascii="宋体" w:hAnsi="宋体" w:eastAsia="宋体" w:cs="宋体"/>
          <w:i w:val="0"/>
          <w:iCs w:val="0"/>
          <w:caps w:val="0"/>
          <w:color w:val="auto"/>
          <w:spacing w:val="0"/>
          <w:sz w:val="24"/>
          <w:szCs w:val="24"/>
          <w:u w:val="single"/>
          <w:shd w:val="clear" w:color="auto" w:fill="ffffff"/>
          <w:vertAlign w:val="baseline"/>
        </w:rPr>
        <w:t xml:space="preserve">（产品名称1）</w:t>
      </w:r>
      <w:r>
        <w:rPr>
          <w:rStyle w:val="743"/>
          <w:rFonts w:hint="eastAsia" w:ascii="宋体" w:hAnsi="宋体" w:eastAsia="宋体" w:cs="宋体"/>
          <w:i w:val="0"/>
          <w:iCs w:val="0"/>
          <w:caps w:val="0"/>
          <w:color w:val="auto"/>
          <w:spacing w:val="0"/>
          <w:sz w:val="24"/>
          <w:szCs w:val="24"/>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u w:val="single"/>
          <w:shd w:val="clear" w:color="auto" w:fill="ffffff"/>
          <w:vertAlign w:val="baseline"/>
        </w:rPr>
        <w:t xml:space="preserve">生产厂为</w:t>
      </w:r>
      <w:r>
        <w:rPr>
          <w:rStyle w:val="743"/>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Style w:val="743"/>
          <w:rFonts w:hint="eastAsia" w:ascii="宋体" w:hAnsi="宋体" w:eastAsia="宋体" w:cs="宋体"/>
          <w:i w:val="0"/>
          <w:iCs w:val="0"/>
          <w:caps w:val="0"/>
          <w:color w:val="auto"/>
          <w:spacing w:val="0"/>
          <w:sz w:val="24"/>
          <w:szCs w:val="24"/>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743"/>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Style w:val="743"/>
          <w:rFonts w:hint="eastAsia" w:ascii="宋体" w:hAnsi="宋体" w:eastAsia="宋体" w:cs="宋体"/>
          <w:i w:val="0"/>
          <w:iCs w:val="0"/>
          <w:caps w:val="0"/>
          <w:strike w:val="0"/>
          <w:color w:val="auto"/>
          <w:spacing w:val="0"/>
          <w:sz w:val="24"/>
          <w:szCs w:val="24"/>
          <w:shd w:val="clear" w:color="auto" w:fill="ffffff"/>
          <w:vertAlign w:val="superscript"/>
        </w:rPr>
        <w:t xml:space="preserve">3</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Style w:val="743"/>
          <w:rFonts w:hint="eastAsia" w:ascii="宋体" w:hAnsi="宋体" w:eastAsia="宋体" w:cs="宋体"/>
          <w:i w:val="0"/>
          <w:iCs w:val="0"/>
          <w:caps w:val="0"/>
          <w:strike w:val="0"/>
          <w:color w:val="auto"/>
          <w:spacing w:val="0"/>
          <w:sz w:val="24"/>
          <w:szCs w:val="24"/>
          <w:shd w:val="clear" w:color="auto" w:fill="ffffff"/>
          <w:vertAlign w:val="superscript"/>
        </w:rPr>
        <w:t xml:space="preserve">4</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Style w:val="743"/>
          <w:rFonts w:hint="eastAsia" w:ascii="宋体" w:hAnsi="宋体" w:eastAsia="宋体" w:cs="宋体"/>
          <w:i w:val="0"/>
          <w:iCs w:val="0"/>
          <w:caps w:val="0"/>
          <w:strike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7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743"/>
          <w:rFonts w:hint="eastAsia" w:ascii="宋体" w:hAnsi="宋体" w:eastAsia="宋体" w:cs="宋体"/>
          <w:i w:val="0"/>
          <w:iCs w:val="0"/>
          <w:caps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auto"/>
          <w:spacing w:val="0"/>
          <w:sz w:val="24"/>
          <w:szCs w:val="24"/>
          <w:shd w:val="clear" w:color="auto" w:fill="ffffff"/>
          <w:vertAlign w:val="baseline"/>
        </w:rPr>
        <w:t xml:space="preserve">，生产厂为</w:t>
      </w:r>
      <w:r>
        <w:rPr>
          <w:rStyle w:val="743"/>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743"/>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43"/>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7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7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w:t>
      </w:r>
      <w:r>
        <w:rPr>
          <w:rStyle w:val="743"/>
          <w:vertAlign w:val="superscript"/>
        </w:rPr>
        <w:t xml:space="preserve">6</w:t>
      </w:r>
      <w:r/>
    </w:p>
    <w:p>
      <w:pPr>
        <w:pStyle w:val="7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739"/>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公司（单位）名称（盖章）：　        </w:t>
      </w:r>
      <w:r/>
    </w:p>
    <w:p>
      <w:pPr>
        <w:pStyle w:val="739"/>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rPr>
          <w:rFonts w:hint="eastAsia" w:ascii="宋体" w:hAnsi="宋体" w:eastAsia="宋体" w:cs="宋体"/>
          <w:i w:val="0"/>
          <w:iCs w:val="0"/>
          <w:caps w:val="0"/>
          <w:color w:val="auto"/>
          <w:spacing w:val="0"/>
          <w:sz w:val="28"/>
          <w:szCs w:val="28"/>
          <w:shd w:val="clear" w:color="auto" w:fill="ffffff"/>
          <w:vertAlign w:val="baseline"/>
        </w:rPr>
        <w:t xml:space="preserve">     </w:t>
      </w:r>
      <w:r/>
    </w:p>
    <w:p>
      <w:pPr>
        <w:pStyle w:val="739"/>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__________________</w:t>
      </w:r>
      <w:r/>
    </w:p>
    <w:p>
      <w:pPr>
        <w:pStyle w:val="7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1.产品如有型号，请在“产品名称”栏一并填写。</w:t>
      </w:r>
      <w:r/>
    </w:p>
    <w:p>
      <w:pPr>
        <w:pStyle w:val="7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2.生产厂名与厂址应与生产厂营业执照载明的相关信息保持一致。</w:t>
      </w:r>
      <w:r/>
    </w:p>
    <w:p>
      <w:pPr>
        <w:pStyle w:val="7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3.该产品的中国境内生产的组件成本占比相关要求实施前，“规定比例”栏可不填。</w:t>
      </w:r>
      <w:r/>
    </w:p>
    <w:p>
      <w:pPr>
        <w:pStyle w:val="7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4.该产品的关键组件要求实施前，“关键组件”栏可不填。</w:t>
      </w:r>
      <w:r/>
    </w:p>
    <w:p>
      <w:pPr>
        <w:pStyle w:val="7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5.该产品的关键工序要求实施前，“关键工序”栏可不填。</w:t>
      </w:r>
      <w:r/>
    </w:p>
    <w:p>
      <w:pPr>
        <w:pStyle w:val="739"/>
        <w:ind w:left="0" w:righ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hint="eastAsia" w:ascii="方正小标宋简体" w:hAnsi="方正小标宋简体" w:eastAsia="方正小标宋简体" w:cs="方正小标宋简体"/>
          <w:b w:val="0"/>
          <w:bCs w:val="0"/>
          <w:sz w:val="32"/>
          <w:szCs w:val="32"/>
        </w:rPr>
      </w:pPr>
      <w: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r/>
    </w:p>
    <w:p>
      <w:pPr>
        <w:pStyle w:val="929"/>
        <w:ind w:firstLine="0"/>
      </w:pPr>
      <w:r/>
      <w:bookmarkEnd w:id="181"/>
      <w:r/>
      <w:bookmarkEnd w:id="182"/>
      <w:r/>
      <w:bookmarkEnd w:id="183"/>
      <w:r/>
      <w:bookmarkEnd w:id="184"/>
      <w:r/>
      <w:bookmarkEnd w:id="185"/>
      <w:r/>
      <w:r/>
    </w:p>
    <w:p>
      <w:pPr>
        <w:ind w:firstLine="480"/>
        <w:spacing w:line="480" w:lineRule="exact"/>
        <w:rPr>
          <w:rFonts w:hint="eastAsia" w:ascii="宋体" w:hAnsi="宋体" w:cs="仿宋"/>
          <w:sz w:val="24"/>
          <w:szCs w:val="24"/>
          <w:lang w:val="zh-CN"/>
        </w:rPr>
      </w:pPr>
      <w:r>
        <w:rPr>
          <w:rFonts w:hint="eastAsia" w:ascii="宋体" w:hAnsi="宋体" w:cs="仿宋"/>
          <w:sz w:val="24"/>
          <w:szCs w:val="24"/>
          <w:lang w:val="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67"/>
        <w:rFonts w:ascii="宋体" w:hAnsi="宋体"/>
      </w:rPr>
      <w:framePr w:wrap="around" w:vAnchor="text" w:hAnchor="margin" w:xAlign="center" w:y="1"/>
    </w:pPr>
    <w:r>
      <w:rPr>
        <w:rFonts w:ascii="宋体" w:hAnsi="宋体"/>
      </w:rPr>
      <w:fldChar w:fldCharType="begin"/>
    </w:r>
    <w:r>
      <w:rPr>
        <w:rStyle w:val="967"/>
        <w:rFonts w:ascii="宋体" w:hAnsi="宋体"/>
      </w:rPr>
      <w:instrText xml:space="preserve">PAGE  </w:instrText>
    </w:r>
    <w:r>
      <w:rPr>
        <w:rFonts w:ascii="宋体" w:hAnsi="宋体"/>
      </w:rPr>
      <w:fldChar w:fldCharType="separate"/>
    </w:r>
    <w:r>
      <w:rPr>
        <w:rStyle w:val="967"/>
        <w:rFonts w:ascii="宋体" w:hAnsi="宋体"/>
      </w:rPr>
      <w:t xml:space="preserve">４９</w:t>
    </w:r>
    <w:r>
      <w:rPr>
        <w:rFonts w:ascii="宋体" w:hAnsi="宋体"/>
      </w:rPr>
      <w:fldChar w:fldCharType="end"/>
    </w:r>
    <w:r/>
  </w:p>
  <w:p>
    <w:pPr>
      <w:pStyle w:val="94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p>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1"/>
      <w:isLgl w:val="false"/>
      <w:suff w:val="nothing"/>
      <w:lvlText w:val=""/>
      <w:lvlJc w:val="left"/>
      <w:pPr>
        <w:ind w:left="0" w:firstLine="0"/>
      </w:pPr>
      <w:rPr>
        <w:rFonts w:hint="eastAsia"/>
      </w:rPr>
    </w:lvl>
    <w:lvl w:ilvl="6">
      <w:start w:val="1"/>
      <w:numFmt w:val="decimal"/>
      <w:pStyle w:val="902"/>
      <w:isLgl w:val="false"/>
      <w:suff w:val="nothing"/>
      <w:lvlText w:val=""/>
      <w:lvlJc w:val="left"/>
      <w:pPr>
        <w:ind w:left="0" w:firstLine="0"/>
      </w:pPr>
      <w:rPr>
        <w:rFonts w:hint="eastAsia"/>
      </w:rPr>
    </w:lvl>
    <w:lvl w:ilvl="7">
      <w:start w:val="1"/>
      <w:numFmt w:val="decimal"/>
      <w:pStyle w:val="903"/>
      <w:isLgl w:val="false"/>
      <w:suff w:val="nothing"/>
      <w:lvlText w:val=""/>
      <w:lvlJc w:val="left"/>
      <w:pPr>
        <w:ind w:left="0" w:firstLine="0"/>
      </w:pPr>
      <w:rPr>
        <w:rFonts w:hint="eastAsia"/>
      </w:rPr>
    </w:lvl>
    <w:lvl w:ilvl="8">
      <w:start w:val="1"/>
      <w:numFmt w:val="decimal"/>
      <w:pStyle w:val="904"/>
      <w:isLgl w:val="false"/>
      <w:suff w:val="nothing"/>
      <w:lvlText w:val=""/>
      <w:lvlJc w:val="left"/>
      <w:pPr>
        <w:ind w:left="0" w:firstLine="0"/>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2"/>
  </w:num>
  <w:num w:numId="3">
    <w:abstractNumId w:val="7"/>
  </w:num>
  <w:num w:numId="4">
    <w:abstractNumId w:val="10"/>
  </w:num>
  <w:num w:numId="5">
    <w:abstractNumId w:val="11"/>
  </w:num>
  <w:num w:numId="6">
    <w:abstractNumId w:val="6"/>
  </w:num>
  <w:num w:numId="7">
    <w:abstractNumId w:val="4"/>
  </w:num>
  <w:num w:numId="8">
    <w:abstractNumId w:val="2"/>
  </w:num>
  <w:num w:numId="9">
    <w:abstractNumId w:val="1"/>
  </w:num>
  <w:num w:numId="10">
    <w:abstractNumId w:val="9"/>
  </w:num>
  <w:num w:numId="11">
    <w:abstractNumId w:val="8"/>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7">
    <w:name w:val="Heading 1"/>
    <w:basedOn w:val="706"/>
    <w:next w:val="706"/>
    <w:link w:val="748"/>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9"/>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0"/>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1"/>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2"/>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3"/>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5"/>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6"/>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Body Text First Indent 2"/>
    <w:basedOn w:val="719"/>
    <w:next w:val="706"/>
    <w:uiPriority w:val="99"/>
    <w:unhideWhenUsed/>
    <w:qFormat/>
    <w:pPr>
      <w:ind w:firstLine="420"/>
    </w:pPr>
  </w:style>
  <w:style w:type="paragraph" w:styleId="719">
    <w:name w:val="Body Text Indent"/>
    <w:basedOn w:val="706"/>
    <w:next w:val="720"/>
    <w:uiPriority w:val="0"/>
    <w:qFormat/>
    <w:pPr>
      <w:ind w:left="420"/>
      <w:spacing w:after="120"/>
    </w:pPr>
    <w:rPr>
      <w:sz w:val="20"/>
    </w:rPr>
  </w:style>
  <w:style w:type="paragraph" w:styleId="720">
    <w:name w:val="envelope return"/>
    <w:basedOn w:val="706"/>
    <w:uiPriority w:val="0"/>
    <w:qFormat/>
    <w:rPr>
      <w:rFonts w:ascii="Arial" w:hAnsi="Arial" w:cs="宋体"/>
    </w:rPr>
  </w:style>
  <w:style w:type="paragraph" w:styleId="721">
    <w:name w:val="toc 7"/>
    <w:basedOn w:val="706"/>
    <w:next w:val="706"/>
    <w:uiPriority w:val="39"/>
    <w:unhideWhenUsed/>
    <w:qFormat/>
    <w:pPr>
      <w:ind w:left="1701" w:right="0" w:firstLine="0"/>
      <w:spacing w:after="57"/>
    </w:pPr>
  </w:style>
  <w:style w:type="paragraph" w:styleId="722">
    <w:name w:val="Normal Indent"/>
    <w:basedOn w:val="706"/>
    <w:uiPriority w:val="0"/>
    <w:qFormat/>
    <w:pPr>
      <w:ind w:firstLine="420"/>
    </w:pPr>
    <w:rPr>
      <w:szCs w:val="21"/>
    </w:rPr>
  </w:style>
  <w:style w:type="paragraph" w:styleId="723">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06"/>
    <w:uiPriority w:val="99"/>
    <w:semiHidden/>
    <w:unhideWhenUsed/>
    <w:qFormat/>
    <w:pPr>
      <w:jc w:val="left"/>
    </w:pPr>
  </w:style>
  <w:style w:type="paragraph" w:styleId="725">
    <w:name w:val="toc 5"/>
    <w:basedOn w:val="706"/>
    <w:next w:val="706"/>
    <w:uiPriority w:val="39"/>
    <w:unhideWhenUsed/>
    <w:qFormat/>
    <w:pPr>
      <w:ind w:left="1134" w:right="0" w:firstLine="0"/>
      <w:spacing w:after="57"/>
    </w:pPr>
  </w:style>
  <w:style w:type="paragraph" w:styleId="726">
    <w:name w:val="toc 3"/>
    <w:basedOn w:val="706"/>
    <w:next w:val="706"/>
    <w:uiPriority w:val="39"/>
    <w:unhideWhenUsed/>
    <w:qFormat/>
    <w:pPr>
      <w:ind w:left="567" w:right="0" w:firstLine="0"/>
      <w:spacing w:after="57"/>
    </w:pPr>
  </w:style>
  <w:style w:type="paragraph" w:styleId="727">
    <w:name w:val="toc 8"/>
    <w:basedOn w:val="706"/>
    <w:next w:val="706"/>
    <w:uiPriority w:val="39"/>
    <w:unhideWhenUsed/>
    <w:qFormat/>
    <w:pPr>
      <w:ind w:left="1984" w:right="0" w:firstLine="0"/>
      <w:spacing w:after="57"/>
    </w:pPr>
  </w:style>
  <w:style w:type="paragraph" w:styleId="728">
    <w:name w:val="endnote text"/>
    <w:basedOn w:val="706"/>
    <w:link w:val="893"/>
    <w:uiPriority w:val="99"/>
    <w:semiHidden/>
    <w:unhideWhenUsed/>
    <w:qFormat/>
    <w:pPr>
      <w:spacing w:after="0" w:line="240" w:lineRule="auto"/>
    </w:pPr>
    <w:rPr>
      <w:sz w:val="20"/>
    </w:rPr>
  </w:style>
  <w:style w:type="paragraph" w:styleId="729">
    <w:name w:val="Footer"/>
    <w:basedOn w:val="706"/>
    <w:link w:val="766"/>
    <w:uiPriority w:val="99"/>
    <w:unhideWhenUsed/>
    <w:qFormat/>
    <w:pPr>
      <w:spacing w:after="0" w:line="240" w:lineRule="auto"/>
      <w:tabs>
        <w:tab w:val="center" w:pos="7143" w:leader="none"/>
        <w:tab w:val="right" w:pos="14287" w:leader="none"/>
      </w:tabs>
    </w:pPr>
  </w:style>
  <w:style w:type="paragraph" w:styleId="730">
    <w:name w:val="Header"/>
    <w:basedOn w:val="706"/>
    <w:link w:val="764"/>
    <w:uiPriority w:val="99"/>
    <w:unhideWhenUsed/>
    <w:qFormat/>
    <w:pPr>
      <w:spacing w:after="0" w:line="240" w:lineRule="auto"/>
      <w:tabs>
        <w:tab w:val="center" w:pos="7143" w:leader="none"/>
        <w:tab w:val="right" w:pos="14287" w:leader="none"/>
      </w:tabs>
    </w:pPr>
  </w:style>
  <w:style w:type="paragraph" w:styleId="731">
    <w:name w:val="toc 1"/>
    <w:basedOn w:val="706"/>
    <w:next w:val="706"/>
    <w:uiPriority w:val="39"/>
    <w:unhideWhenUsed/>
    <w:qFormat/>
    <w:pPr>
      <w:ind w:left="0" w:right="0" w:firstLine="0"/>
      <w:spacing w:after="57"/>
    </w:pPr>
  </w:style>
  <w:style w:type="paragraph" w:styleId="732">
    <w:name w:val="toc 4"/>
    <w:basedOn w:val="706"/>
    <w:next w:val="706"/>
    <w:uiPriority w:val="39"/>
    <w:unhideWhenUsed/>
    <w:qFormat/>
    <w:pPr>
      <w:ind w:left="850" w:right="0" w:firstLine="0"/>
      <w:spacing w:after="57"/>
    </w:pPr>
  </w:style>
  <w:style w:type="paragraph" w:styleId="733">
    <w:name w:val="Subtitle"/>
    <w:basedOn w:val="706"/>
    <w:next w:val="706"/>
    <w:link w:val="759"/>
    <w:uiPriority w:val="11"/>
    <w:qFormat/>
    <w:pPr>
      <w:spacing w:before="200" w:after="200"/>
    </w:pPr>
    <w:rPr>
      <w:sz w:val="24"/>
      <w:szCs w:val="24"/>
    </w:rPr>
  </w:style>
  <w:style w:type="paragraph" w:styleId="734">
    <w:name w:val="footnote text"/>
    <w:basedOn w:val="706"/>
    <w:link w:val="892"/>
    <w:uiPriority w:val="99"/>
    <w:semiHidden/>
    <w:unhideWhenUsed/>
    <w:qFormat/>
    <w:pPr>
      <w:spacing w:after="40" w:line="240" w:lineRule="auto"/>
    </w:pPr>
    <w:rPr>
      <w:sz w:val="18"/>
    </w:rPr>
  </w:style>
  <w:style w:type="paragraph" w:styleId="735">
    <w:name w:val="toc 6"/>
    <w:basedOn w:val="706"/>
    <w:next w:val="706"/>
    <w:uiPriority w:val="39"/>
    <w:unhideWhenUsed/>
    <w:qFormat/>
    <w:pPr>
      <w:ind w:left="1417" w:right="0" w:firstLine="0"/>
      <w:spacing w:after="57"/>
    </w:pPr>
  </w:style>
  <w:style w:type="paragraph" w:styleId="736">
    <w:name w:val="table of figures"/>
    <w:basedOn w:val="706"/>
    <w:next w:val="706"/>
    <w:uiPriority w:val="99"/>
    <w:unhideWhenUsed/>
    <w:qFormat/>
    <w:pPr>
      <w:spacing w:after="0" w:afterAutospacing="0"/>
    </w:pPr>
  </w:style>
  <w:style w:type="paragraph" w:styleId="737">
    <w:name w:val="toc 2"/>
    <w:basedOn w:val="706"/>
    <w:next w:val="706"/>
    <w:uiPriority w:val="39"/>
    <w:unhideWhenUsed/>
    <w:qFormat/>
    <w:pPr>
      <w:ind w:left="283" w:right="0" w:firstLine="0"/>
      <w:spacing w:after="57"/>
    </w:pPr>
  </w:style>
  <w:style w:type="paragraph" w:styleId="738">
    <w:name w:val="toc 9"/>
    <w:basedOn w:val="706"/>
    <w:next w:val="706"/>
    <w:uiPriority w:val="39"/>
    <w:unhideWhenUsed/>
    <w:qFormat/>
    <w:pPr>
      <w:ind w:left="2268" w:right="0" w:firstLine="0"/>
      <w:spacing w:after="57"/>
    </w:pPr>
  </w:style>
  <w:style w:type="paragraph" w:styleId="739">
    <w:name w:val="Normal (Web)"/>
    <w:basedOn w:val="706"/>
    <w:uiPriority w:val="99"/>
    <w:qFormat/>
    <w:pPr>
      <w:jc w:val="left"/>
      <w:spacing w:before="100" w:beforeAutospacing="1" w:after="100" w:afterAutospacing="1"/>
      <w:widowControl/>
    </w:pPr>
    <w:rPr>
      <w:rFonts w:ascii="宋体" w:hAnsi="宋体" w:cs="宋体"/>
      <w:sz w:val="24"/>
      <w:szCs w:val="24"/>
    </w:rPr>
  </w:style>
  <w:style w:type="paragraph" w:styleId="740">
    <w:name w:val="Title"/>
    <w:basedOn w:val="706"/>
    <w:next w:val="706"/>
    <w:link w:val="758"/>
    <w:uiPriority w:val="10"/>
    <w:qFormat/>
    <w:pPr>
      <w:contextualSpacing/>
      <w:spacing w:before="300" w:after="200"/>
    </w:pPr>
    <w:rPr>
      <w:sz w:val="48"/>
      <w:szCs w:val="48"/>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Emphasis"/>
    <w:uiPriority w:val="0"/>
    <w:qFormat/>
    <w:rPr>
      <w:i/>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paragraph" w:styleId="746" w:customStyle="1">
    <w:name w:val="正文文本首行缩进 2"/>
    <w:basedOn w:val="747"/>
    <w:uiPriority w:val="0"/>
    <w:qFormat/>
    <w:pPr>
      <w:ind w:left="0" w:firstLine="420"/>
      <w:spacing w:after="0" w:line="360" w:lineRule="auto"/>
    </w:pPr>
    <w:rPr>
      <w:rFonts w:ascii="宋体" w:hAnsi="宋体"/>
      <w:sz w:val="20"/>
      <w:szCs w:val="20"/>
      <w:lang w:val="en-US" w:eastAsia="en-US"/>
    </w:rPr>
  </w:style>
  <w:style w:type="paragraph" w:styleId="747" w:customStyle="1">
    <w:name w:val="正文文本缩进1"/>
    <w:basedOn w:val="706"/>
    <w:next w:val="746"/>
    <w:uiPriority w:val="99"/>
    <w:unhideWhenUsed/>
    <w:qFormat/>
    <w:pPr>
      <w:ind w:left="420"/>
      <w:spacing w:after="120"/>
    </w:pPr>
  </w:style>
  <w:style w:type="character" w:styleId="748" w:customStyle="1">
    <w:name w:val="Heading 1 Char"/>
    <w:link w:val="707"/>
    <w:uiPriority w:val="9"/>
    <w:qFormat/>
    <w:rPr>
      <w:rFonts w:ascii="Arial" w:hAnsi="Arial" w:eastAsia="Arial" w:cs="Arial"/>
      <w:sz w:val="40"/>
      <w:szCs w:val="40"/>
    </w:rPr>
  </w:style>
  <w:style w:type="character" w:styleId="749" w:customStyle="1">
    <w:name w:val="Heading 2 Char"/>
    <w:link w:val="708"/>
    <w:uiPriority w:val="9"/>
    <w:qFormat/>
    <w:rPr>
      <w:rFonts w:ascii="Arial" w:hAnsi="Arial" w:eastAsia="Arial" w:cs="Arial"/>
      <w:sz w:val="34"/>
    </w:rPr>
  </w:style>
  <w:style w:type="character" w:styleId="750" w:customStyle="1">
    <w:name w:val="Heading 3 Char"/>
    <w:link w:val="709"/>
    <w:uiPriority w:val="9"/>
    <w:qFormat/>
    <w:rPr>
      <w:rFonts w:ascii="Arial" w:hAnsi="Arial" w:eastAsia="Arial" w:cs="Arial"/>
      <w:sz w:val="30"/>
      <w:szCs w:val="30"/>
    </w:rPr>
  </w:style>
  <w:style w:type="character" w:styleId="751" w:customStyle="1">
    <w:name w:val="Heading 4 Char"/>
    <w:link w:val="710"/>
    <w:uiPriority w:val="9"/>
    <w:qFormat/>
    <w:rPr>
      <w:rFonts w:ascii="Arial" w:hAnsi="Arial" w:eastAsia="Arial" w:cs="Arial"/>
      <w:b/>
      <w:bCs/>
      <w:sz w:val="26"/>
      <w:szCs w:val="26"/>
    </w:rPr>
  </w:style>
  <w:style w:type="character" w:styleId="752" w:customStyle="1">
    <w:name w:val="Heading 5 Char"/>
    <w:link w:val="711"/>
    <w:uiPriority w:val="9"/>
    <w:qFormat/>
    <w:rPr>
      <w:rFonts w:ascii="Arial" w:hAnsi="Arial" w:eastAsia="Arial" w:cs="Arial"/>
      <w:b/>
      <w:bCs/>
      <w:sz w:val="24"/>
      <w:szCs w:val="24"/>
    </w:rPr>
  </w:style>
  <w:style w:type="character" w:styleId="753" w:customStyle="1">
    <w:name w:val="Heading 6 Char"/>
    <w:link w:val="712"/>
    <w:uiPriority w:val="9"/>
    <w:qFormat/>
    <w:rPr>
      <w:rFonts w:ascii="Arial" w:hAnsi="Arial" w:eastAsia="Arial" w:cs="Arial"/>
      <w:b/>
      <w:bCs/>
      <w:sz w:val="22"/>
      <w:szCs w:val="22"/>
    </w:rPr>
  </w:style>
  <w:style w:type="character" w:styleId="754" w:customStyle="1">
    <w:name w:val="Heading 7 Char"/>
    <w:link w:val="713"/>
    <w:uiPriority w:val="9"/>
    <w:qFormat/>
    <w:rPr>
      <w:rFonts w:ascii="Arial" w:hAnsi="Arial" w:eastAsia="Arial" w:cs="Arial"/>
      <w:b/>
      <w:bCs/>
      <w:i/>
      <w:iCs/>
      <w:sz w:val="22"/>
      <w:szCs w:val="22"/>
    </w:rPr>
  </w:style>
  <w:style w:type="character" w:styleId="755" w:customStyle="1">
    <w:name w:val="Heading 8 Char"/>
    <w:link w:val="714"/>
    <w:uiPriority w:val="9"/>
    <w:qFormat/>
    <w:rPr>
      <w:rFonts w:ascii="Arial" w:hAnsi="Arial" w:eastAsia="Arial" w:cs="Arial"/>
      <w:i/>
      <w:iCs/>
      <w:sz w:val="22"/>
      <w:szCs w:val="22"/>
    </w:rPr>
  </w:style>
  <w:style w:type="character" w:styleId="756" w:customStyle="1">
    <w:name w:val="Heading 9 Char"/>
    <w:link w:val="715"/>
    <w:uiPriority w:val="9"/>
    <w:qFormat/>
    <w:rPr>
      <w:rFonts w:ascii="Arial" w:hAnsi="Arial" w:eastAsia="Arial" w:cs="Arial"/>
      <w:i/>
      <w:iCs/>
      <w:sz w:val="21"/>
      <w:szCs w:val="21"/>
    </w:r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40"/>
    <w:uiPriority w:val="10"/>
    <w:qFormat/>
    <w:rPr>
      <w:sz w:val="48"/>
      <w:szCs w:val="48"/>
    </w:rPr>
  </w:style>
  <w:style w:type="character" w:styleId="759" w:customStyle="1">
    <w:name w:val="Subtitle Char"/>
    <w:link w:val="733"/>
    <w:uiPriority w:val="11"/>
    <w:qFormat/>
    <w:rPr>
      <w:sz w:val="24"/>
      <w:szCs w:val="24"/>
    </w:rPr>
  </w:style>
  <w:style w:type="paragraph" w:styleId="760">
    <w:name w:val="Quote"/>
    <w:basedOn w:val="706"/>
    <w:next w:val="706"/>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6"/>
    <w:next w:val="706"/>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30"/>
    <w:uiPriority w:val="99"/>
    <w:qFormat/>
  </w:style>
  <w:style w:type="character" w:styleId="765" w:customStyle="1">
    <w:name w:val="Footer Char"/>
    <w:link w:val="729"/>
    <w:uiPriority w:val="99"/>
    <w:qFormat/>
  </w:style>
  <w:style w:type="character" w:styleId="766" w:customStyle="1">
    <w:name w:val="Caption Char"/>
    <w:link w:val="729"/>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4"/>
    <w:uiPriority w:val="99"/>
    <w:qFormat/>
    <w:rPr>
      <w:sz w:val="18"/>
    </w:rPr>
  </w:style>
  <w:style w:type="character" w:styleId="893" w:customStyle="1">
    <w:name w:val="Endnote Text Char"/>
    <w:link w:val="728"/>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06"/>
    <w:next w:val="706"/>
    <w:link w:val="908"/>
    <w:uiPriority w:val="0"/>
    <w:qFormat/>
    <w:pPr>
      <w:jc w:val="center"/>
      <w:keepNext/>
      <w:outlineLvl w:val="0"/>
    </w:pPr>
    <w:rPr>
      <w:rFonts w:ascii="楷体_GB2312" w:eastAsia="楷体_GB2312"/>
      <w:sz w:val="28"/>
      <w:szCs w:val="28"/>
      <w:lang w:val="en-US" w:eastAsia="en-US"/>
    </w:rPr>
  </w:style>
  <w:style w:type="paragraph" w:styleId="896" w:customStyle="1">
    <w:name w:val="标题 21"/>
    <w:basedOn w:val="706"/>
    <w:next w:val="897"/>
    <w:link w:val="909"/>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7" w:customStyle="1">
    <w:name w:val="正文缩进11"/>
    <w:basedOn w:val="706"/>
    <w:link w:val="910"/>
    <w:uiPriority w:val="0"/>
    <w:qFormat/>
    <w:pPr>
      <w:ind w:firstLine="420"/>
    </w:pPr>
    <w:rPr>
      <w:sz w:val="20"/>
      <w:szCs w:val="21"/>
      <w:lang w:val="en-US" w:eastAsia="en-US"/>
    </w:rPr>
  </w:style>
  <w:style w:type="paragraph" w:styleId="898" w:customStyle="1">
    <w:name w:val="标题 311"/>
    <w:basedOn w:val="706"/>
    <w:next w:val="897"/>
    <w:link w:val="911"/>
    <w:uiPriority w:val="0"/>
    <w:qFormat/>
    <w:pPr>
      <w:keepLines/>
      <w:keepNext/>
      <w:spacing w:before="260" w:after="260" w:line="416" w:lineRule="auto"/>
      <w:outlineLvl w:val="2"/>
    </w:pPr>
    <w:rPr>
      <w:b/>
      <w:bCs/>
      <w:sz w:val="32"/>
      <w:szCs w:val="32"/>
      <w:lang w:val="en-US" w:eastAsia="en-US"/>
    </w:rPr>
  </w:style>
  <w:style w:type="paragraph" w:styleId="899" w:customStyle="1">
    <w:name w:val="标题 41"/>
    <w:basedOn w:val="706"/>
    <w:next w:val="897"/>
    <w:link w:val="912"/>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900" w:customStyle="1">
    <w:name w:val="标题 51"/>
    <w:basedOn w:val="706"/>
    <w:next w:val="897"/>
    <w:link w:val="913"/>
    <w:uiPriority w:val="0"/>
    <w:qFormat/>
    <w:pPr>
      <w:keepNext/>
      <w:outlineLvl w:val="4"/>
    </w:pPr>
    <w:rPr>
      <w:rFonts w:ascii="宋体"/>
      <w:color w:val="000000"/>
      <w:sz w:val="28"/>
      <w:szCs w:val="28"/>
      <w:lang w:val="en-US" w:eastAsia="en-US"/>
    </w:rPr>
  </w:style>
  <w:style w:type="paragraph" w:styleId="901" w:customStyle="1">
    <w:name w:val="标题 61"/>
    <w:basedOn w:val="706"/>
    <w:next w:val="706"/>
    <w:link w:val="914"/>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2" w:customStyle="1">
    <w:name w:val="标题 71"/>
    <w:basedOn w:val="706"/>
    <w:next w:val="706"/>
    <w:link w:val="915"/>
    <w:uiPriority w:val="0"/>
    <w:qFormat/>
    <w:pPr>
      <w:numPr>
        <w:ilvl w:val="6"/>
        <w:numId w:val="1"/>
      </w:numPr>
      <w:keepLines/>
      <w:keepNext/>
      <w:spacing w:before="240" w:after="64" w:line="320" w:lineRule="auto"/>
      <w:outlineLvl w:val="6"/>
    </w:pPr>
    <w:rPr>
      <w:b/>
      <w:bCs/>
      <w:sz w:val="24"/>
      <w:szCs w:val="24"/>
      <w:lang w:val="en-US" w:eastAsia="en-US"/>
    </w:rPr>
  </w:style>
  <w:style w:type="paragraph" w:styleId="903" w:customStyle="1">
    <w:name w:val="标题 81"/>
    <w:basedOn w:val="706"/>
    <w:next w:val="706"/>
    <w:link w:val="916"/>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4" w:customStyle="1">
    <w:name w:val="标题 91"/>
    <w:basedOn w:val="706"/>
    <w:next w:val="706"/>
    <w:link w:val="917"/>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05" w:customStyle="1">
    <w:name w:val="默认段落字体1"/>
    <w:link w:val="706"/>
    <w:uiPriority w:val="1"/>
    <w:unhideWhenUsed/>
    <w:qFormat/>
  </w:style>
  <w:style w:type="table" w:styleId="906" w:customStyle="1">
    <w:name w:val="普通表格1"/>
    <w:uiPriority w:val="99"/>
    <w:unhideWhenUsed/>
    <w:qFormat/>
    <w:tblPr/>
  </w:style>
  <w:style w:type="paragraph" w:styleId="907" w:customStyle="1">
    <w:name w:val="正文文本首行缩进 21"/>
    <w:basedOn w:val="747"/>
    <w:uiPriority w:val="0"/>
    <w:qFormat/>
    <w:pPr>
      <w:ind w:left="0" w:firstLine="420"/>
      <w:spacing w:after="0" w:line="360" w:lineRule="auto"/>
    </w:pPr>
    <w:rPr>
      <w:rFonts w:ascii="宋体" w:hAnsi="宋体"/>
      <w:sz w:val="20"/>
      <w:szCs w:val="20"/>
      <w:lang w:eastAsia="en-US"/>
    </w:rPr>
  </w:style>
  <w:style w:type="character" w:styleId="908" w:customStyle="1">
    <w:name w:val="标题 1 Char"/>
    <w:link w:val="895"/>
    <w:uiPriority w:val="0"/>
    <w:qFormat/>
    <w:rPr>
      <w:rFonts w:ascii="楷体_GB2312" w:hAnsi="Times New Roman" w:eastAsia="楷体_GB2312" w:cs="Times New Roman"/>
      <w:sz w:val="28"/>
      <w:szCs w:val="28"/>
    </w:rPr>
  </w:style>
  <w:style w:type="character" w:styleId="909" w:customStyle="1">
    <w:name w:val="标题 2 Char"/>
    <w:link w:val="896"/>
    <w:uiPriority w:val="0"/>
    <w:qFormat/>
    <w:rPr>
      <w:rFonts w:ascii="Arial" w:hAnsi="Arial" w:eastAsia="幼圆" w:cs="Arial"/>
      <w:b/>
      <w:bCs/>
      <w:sz w:val="44"/>
      <w:szCs w:val="44"/>
    </w:rPr>
  </w:style>
  <w:style w:type="character" w:styleId="910" w:customStyle="1">
    <w:name w:val="正文缩进 Char"/>
    <w:link w:val="897"/>
    <w:uiPriority w:val="0"/>
    <w:qFormat/>
    <w:rPr>
      <w:szCs w:val="21"/>
    </w:rPr>
  </w:style>
  <w:style w:type="character" w:styleId="911" w:customStyle="1">
    <w:name w:val="标题 3 Char"/>
    <w:link w:val="898"/>
    <w:uiPriority w:val="0"/>
    <w:qFormat/>
    <w:rPr>
      <w:rFonts w:ascii="Times New Roman" w:hAnsi="Times New Roman" w:eastAsia="宋体" w:cs="Times New Roman"/>
      <w:b/>
      <w:bCs/>
      <w:sz w:val="32"/>
      <w:szCs w:val="32"/>
    </w:rPr>
  </w:style>
  <w:style w:type="character" w:styleId="912" w:customStyle="1">
    <w:name w:val="标题 4 Char"/>
    <w:link w:val="899"/>
    <w:uiPriority w:val="0"/>
    <w:qFormat/>
    <w:rPr>
      <w:rFonts w:ascii="Arial" w:hAnsi="Arial" w:eastAsia="黑体" w:cs="Arial"/>
      <w:b/>
      <w:bCs/>
      <w:sz w:val="28"/>
      <w:szCs w:val="28"/>
    </w:rPr>
  </w:style>
  <w:style w:type="character" w:styleId="913" w:customStyle="1">
    <w:name w:val="标题 5 Char"/>
    <w:link w:val="900"/>
    <w:uiPriority w:val="0"/>
    <w:qFormat/>
    <w:rPr>
      <w:rFonts w:ascii="宋体" w:hAnsi="Times New Roman" w:eastAsia="宋体" w:cs="Times New Roman"/>
      <w:color w:val="000000"/>
      <w:sz w:val="28"/>
      <w:szCs w:val="28"/>
    </w:rPr>
  </w:style>
  <w:style w:type="character" w:styleId="914" w:customStyle="1">
    <w:name w:val="标题 6 Char"/>
    <w:link w:val="901"/>
    <w:uiPriority w:val="0"/>
    <w:qFormat/>
    <w:rPr>
      <w:rFonts w:ascii="Arial" w:hAnsi="Arial" w:eastAsia="黑体" w:cs="Times New Roman"/>
      <w:b/>
      <w:bCs/>
      <w:sz w:val="24"/>
      <w:szCs w:val="24"/>
    </w:rPr>
  </w:style>
  <w:style w:type="character" w:styleId="915" w:customStyle="1">
    <w:name w:val="标题 7 Char"/>
    <w:link w:val="902"/>
    <w:uiPriority w:val="0"/>
    <w:qFormat/>
    <w:rPr>
      <w:rFonts w:ascii="Times New Roman" w:hAnsi="Times New Roman" w:eastAsia="宋体" w:cs="Times New Roman"/>
      <w:b/>
      <w:bCs/>
      <w:sz w:val="24"/>
      <w:szCs w:val="24"/>
    </w:rPr>
  </w:style>
  <w:style w:type="character" w:styleId="916" w:customStyle="1">
    <w:name w:val="标题 8 Char"/>
    <w:link w:val="903"/>
    <w:uiPriority w:val="0"/>
    <w:qFormat/>
    <w:rPr>
      <w:rFonts w:ascii="Arial" w:hAnsi="Arial" w:eastAsia="黑体" w:cs="Times New Roman"/>
      <w:sz w:val="24"/>
      <w:szCs w:val="24"/>
    </w:rPr>
  </w:style>
  <w:style w:type="character" w:styleId="917" w:customStyle="1">
    <w:name w:val="标题 9 Char"/>
    <w:link w:val="904"/>
    <w:uiPriority w:val="0"/>
    <w:qFormat/>
    <w:rPr>
      <w:rFonts w:ascii="Arial" w:hAnsi="Arial" w:eastAsia="黑体" w:cs="Times New Roman"/>
      <w:szCs w:val="21"/>
    </w:rPr>
  </w:style>
  <w:style w:type="paragraph" w:styleId="918" w:customStyle="1">
    <w:name w:val="列表 31"/>
    <w:basedOn w:val="706"/>
    <w:uiPriority w:val="0"/>
    <w:qFormat/>
    <w:pPr>
      <w:ind w:left="100" w:hanging="200"/>
    </w:pPr>
    <w:rPr>
      <w:rFonts w:ascii="Times New Roman" w:hAnsi="Times New Roman" w:eastAsia="宋体" w:cs="Times New Roman"/>
      <w:szCs w:val="21"/>
    </w:rPr>
  </w:style>
  <w:style w:type="paragraph" w:styleId="919" w:customStyle="1">
    <w:name w:val="目录 71"/>
    <w:basedOn w:val="706"/>
    <w:next w:val="706"/>
    <w:uiPriority w:val="0"/>
    <w:semiHidden/>
    <w:qFormat/>
    <w:pPr>
      <w:ind w:left="1260"/>
      <w:jc w:val="left"/>
    </w:pPr>
    <w:rPr>
      <w:rFonts w:ascii="Times New Roman" w:hAnsi="Times New Roman" w:eastAsia="宋体" w:cs="Times New Roman"/>
      <w:szCs w:val="21"/>
    </w:rPr>
  </w:style>
  <w:style w:type="paragraph" w:styleId="920" w:customStyle="1">
    <w:name w:val="文档结构图1"/>
    <w:basedOn w:val="706"/>
    <w:link w:val="921"/>
    <w:uiPriority w:val="0"/>
    <w:semiHidden/>
    <w:qFormat/>
    <w:pPr>
      <w:shd w:val="clear" w:color="auto" w:fill="000080"/>
    </w:pPr>
    <w:rPr>
      <w:sz w:val="20"/>
      <w:szCs w:val="21"/>
      <w:lang w:val="en-US" w:eastAsia="en-US"/>
    </w:rPr>
  </w:style>
  <w:style w:type="character" w:styleId="921" w:customStyle="1">
    <w:name w:val="文档结构图 Char"/>
    <w:link w:val="920"/>
    <w:uiPriority w:val="0"/>
    <w:semiHidden/>
    <w:qFormat/>
    <w:rPr>
      <w:rFonts w:ascii="Times New Roman" w:hAnsi="Times New Roman" w:eastAsia="宋体" w:cs="Times New Roman"/>
      <w:szCs w:val="21"/>
      <w:shd w:val="clear" w:color="auto" w:fill="000080"/>
    </w:rPr>
  </w:style>
  <w:style w:type="paragraph" w:styleId="922" w:customStyle="1">
    <w:name w:val="批注文字11"/>
    <w:basedOn w:val="706"/>
    <w:link w:val="923"/>
    <w:uiPriority w:val="99"/>
    <w:unhideWhenUsed/>
    <w:qFormat/>
    <w:pPr>
      <w:jc w:val="left"/>
    </w:pPr>
  </w:style>
  <w:style w:type="character" w:styleId="923" w:customStyle="1">
    <w:name w:val="批注文字 Char"/>
    <w:link w:val="922"/>
    <w:uiPriority w:val="99"/>
    <w:semiHidden/>
    <w:qFormat/>
  </w:style>
  <w:style w:type="paragraph" w:styleId="924" w:customStyle="1">
    <w:name w:val="正文文本 31"/>
    <w:basedOn w:val="706"/>
    <w:link w:val="925"/>
    <w:uiPriority w:val="0"/>
    <w:qFormat/>
    <w:rPr>
      <w:rFonts w:ascii="仿宋_GB2312" w:hAnsi="Arial" w:eastAsia="仿宋_GB2312"/>
      <w:sz w:val="32"/>
      <w:szCs w:val="32"/>
      <w:lang w:val="en-US" w:eastAsia="en-US"/>
    </w:rPr>
  </w:style>
  <w:style w:type="character" w:styleId="925" w:customStyle="1">
    <w:name w:val="正文文本 3 Char"/>
    <w:link w:val="924"/>
    <w:uiPriority w:val="0"/>
    <w:qFormat/>
    <w:rPr>
      <w:rFonts w:ascii="仿宋_GB2312" w:hAnsi="Arial" w:eastAsia="仿宋_GB2312" w:cs="Times New Roman"/>
      <w:sz w:val="32"/>
      <w:szCs w:val="32"/>
    </w:rPr>
  </w:style>
  <w:style w:type="paragraph" w:styleId="926" w:customStyle="1">
    <w:name w:val="正文文本11"/>
    <w:basedOn w:val="706"/>
    <w:link w:val="927"/>
    <w:uiPriority w:val="0"/>
    <w:qFormat/>
    <w:rPr>
      <w:rFonts w:ascii="楷体_GB2312" w:hAnsi="Arial" w:eastAsia="楷体_GB2312"/>
      <w:sz w:val="28"/>
      <w:szCs w:val="28"/>
      <w:lang w:val="en-US" w:eastAsia="en-US"/>
    </w:rPr>
  </w:style>
  <w:style w:type="character" w:styleId="927" w:customStyle="1">
    <w:name w:val="正文文本 Char"/>
    <w:link w:val="926"/>
    <w:uiPriority w:val="0"/>
    <w:qFormat/>
    <w:rPr>
      <w:rFonts w:ascii="楷体_GB2312" w:hAnsi="Arial" w:eastAsia="楷体_GB2312" w:cs="Times New Roman"/>
      <w:sz w:val="28"/>
      <w:szCs w:val="28"/>
    </w:rPr>
  </w:style>
  <w:style w:type="paragraph" w:styleId="928" w:customStyle="1">
    <w:name w:val="正文文本缩进2"/>
    <w:basedOn w:val="706"/>
    <w:next w:val="929"/>
    <w:link w:val="930"/>
    <w:uiPriority w:val="99"/>
    <w:unhideWhenUsed/>
    <w:qFormat/>
    <w:pPr>
      <w:ind w:left="420"/>
      <w:spacing w:after="120"/>
    </w:pPr>
  </w:style>
  <w:style w:type="paragraph" w:styleId="929" w:customStyle="1">
    <w:name w:val="正文首行缩进 21"/>
    <w:basedOn w:val="747"/>
    <w:link w:val="931"/>
    <w:uiPriority w:val="0"/>
    <w:qFormat/>
    <w:pPr>
      <w:ind w:left="0" w:firstLine="420"/>
      <w:spacing w:after="0" w:line="360" w:lineRule="auto"/>
    </w:pPr>
    <w:rPr>
      <w:rFonts w:ascii="宋体" w:hAnsi="宋体"/>
      <w:sz w:val="20"/>
      <w:szCs w:val="20"/>
      <w:lang w:val="en-US" w:eastAsia="en-US"/>
    </w:rPr>
  </w:style>
  <w:style w:type="character" w:styleId="930" w:customStyle="1">
    <w:name w:val="正文文本缩进 Char"/>
    <w:link w:val="928"/>
    <w:uiPriority w:val="99"/>
    <w:semiHidden/>
    <w:qFormat/>
  </w:style>
  <w:style w:type="character" w:styleId="931" w:customStyle="1">
    <w:name w:val="正文首行缩进 2 Char"/>
    <w:link w:val="929"/>
    <w:uiPriority w:val="0"/>
    <w:qFormat/>
    <w:rPr>
      <w:rFonts w:ascii="宋体" w:hAnsi="宋体" w:eastAsia="宋体" w:cs="Times New Roman"/>
      <w:szCs w:val="20"/>
    </w:rPr>
  </w:style>
  <w:style w:type="paragraph" w:styleId="932" w:customStyle="1">
    <w:name w:val="列表 21"/>
    <w:basedOn w:val="706"/>
    <w:uiPriority w:val="0"/>
    <w:qFormat/>
    <w:pPr>
      <w:ind w:left="100" w:hanging="200"/>
    </w:pPr>
    <w:rPr>
      <w:rFonts w:ascii="Times New Roman" w:hAnsi="Times New Roman" w:eastAsia="宋体" w:cs="Times New Roman"/>
      <w:szCs w:val="21"/>
    </w:rPr>
  </w:style>
  <w:style w:type="paragraph" w:styleId="933" w:customStyle="1">
    <w:name w:val="目录 51"/>
    <w:basedOn w:val="706"/>
    <w:next w:val="706"/>
    <w:uiPriority w:val="0"/>
    <w:semiHidden/>
    <w:qFormat/>
    <w:pPr>
      <w:ind w:left="840"/>
      <w:jc w:val="left"/>
    </w:pPr>
    <w:rPr>
      <w:rFonts w:ascii="Times New Roman" w:hAnsi="Times New Roman" w:eastAsia="宋体" w:cs="Times New Roman"/>
      <w:szCs w:val="21"/>
    </w:rPr>
  </w:style>
  <w:style w:type="paragraph" w:styleId="934" w:customStyle="1">
    <w:name w:val="目录 31"/>
    <w:basedOn w:val="706"/>
    <w:next w:val="706"/>
    <w:uiPriority w:val="0"/>
    <w:semiHidden/>
    <w:qFormat/>
    <w:pPr>
      <w:ind w:left="420"/>
      <w:jc w:val="left"/>
    </w:pPr>
    <w:rPr>
      <w:rFonts w:ascii="Times New Roman" w:hAnsi="Times New Roman" w:eastAsia="宋体" w:cs="Times New Roman"/>
      <w:i/>
      <w:iCs/>
      <w:szCs w:val="24"/>
    </w:rPr>
  </w:style>
  <w:style w:type="paragraph" w:styleId="935" w:customStyle="1">
    <w:name w:val="纯文本1"/>
    <w:basedOn w:val="706"/>
    <w:link w:val="936"/>
    <w:uiPriority w:val="0"/>
    <w:qFormat/>
    <w:rPr>
      <w:rFonts w:ascii="宋体" w:hAnsi="Courier New"/>
      <w:sz w:val="20"/>
      <w:szCs w:val="21"/>
      <w:lang w:val="en-US" w:eastAsia="en-US"/>
    </w:rPr>
  </w:style>
  <w:style w:type="character" w:styleId="936" w:customStyle="1">
    <w:name w:val="纯文本 Char"/>
    <w:link w:val="935"/>
    <w:uiPriority w:val="0"/>
    <w:qFormat/>
    <w:rPr>
      <w:rFonts w:ascii="宋体" w:hAnsi="Courier New" w:eastAsia="宋体" w:cs="Courier New"/>
      <w:szCs w:val="21"/>
    </w:rPr>
  </w:style>
  <w:style w:type="paragraph" w:styleId="937" w:customStyle="1">
    <w:name w:val="目录 81"/>
    <w:basedOn w:val="706"/>
    <w:next w:val="706"/>
    <w:uiPriority w:val="0"/>
    <w:semiHidden/>
    <w:qFormat/>
    <w:pPr>
      <w:ind w:left="1470"/>
      <w:jc w:val="left"/>
    </w:pPr>
    <w:rPr>
      <w:rFonts w:ascii="Times New Roman" w:hAnsi="Times New Roman" w:eastAsia="宋体" w:cs="Times New Roman"/>
      <w:szCs w:val="21"/>
    </w:rPr>
  </w:style>
  <w:style w:type="paragraph" w:styleId="938" w:customStyle="1">
    <w:name w:val="日期1"/>
    <w:basedOn w:val="706"/>
    <w:next w:val="706"/>
    <w:link w:val="939"/>
    <w:uiPriority w:val="0"/>
    <w:qFormat/>
    <w:rPr>
      <w:sz w:val="24"/>
      <w:szCs w:val="24"/>
      <w:lang w:val="en-US" w:eastAsia="en-US"/>
    </w:rPr>
  </w:style>
  <w:style w:type="character" w:styleId="939" w:customStyle="1">
    <w:name w:val="日期 Char"/>
    <w:link w:val="938"/>
    <w:uiPriority w:val="0"/>
    <w:qFormat/>
    <w:rPr>
      <w:rFonts w:ascii="Times New Roman" w:hAnsi="Times New Roman" w:eastAsia="宋体" w:cs="Times New Roman"/>
      <w:sz w:val="24"/>
      <w:szCs w:val="24"/>
    </w:rPr>
  </w:style>
  <w:style w:type="paragraph" w:styleId="940" w:customStyle="1">
    <w:name w:val="正文文本缩进 21"/>
    <w:basedOn w:val="706"/>
    <w:link w:val="941"/>
    <w:uiPriority w:val="0"/>
    <w:qFormat/>
    <w:pPr>
      <w:ind w:left="630" w:firstLine="645"/>
    </w:pPr>
    <w:rPr>
      <w:rFonts w:ascii="Arial" w:hAnsi="Arial" w:eastAsia="仿宋_GB2312"/>
      <w:sz w:val="32"/>
      <w:szCs w:val="32"/>
      <w:lang w:val="en-US" w:eastAsia="en-US"/>
    </w:rPr>
  </w:style>
  <w:style w:type="character" w:styleId="941" w:customStyle="1">
    <w:name w:val="正文文本缩进 2 Char"/>
    <w:link w:val="940"/>
    <w:uiPriority w:val="0"/>
    <w:qFormat/>
    <w:rPr>
      <w:rFonts w:ascii="Arial" w:hAnsi="Arial" w:eastAsia="仿宋_GB2312" w:cs="Arial"/>
      <w:sz w:val="32"/>
      <w:szCs w:val="32"/>
    </w:rPr>
  </w:style>
  <w:style w:type="paragraph" w:styleId="942" w:customStyle="1">
    <w:name w:val="批注框文本1"/>
    <w:basedOn w:val="706"/>
    <w:link w:val="943"/>
    <w:uiPriority w:val="0"/>
    <w:semiHidden/>
    <w:qFormat/>
    <w:rPr>
      <w:sz w:val="18"/>
      <w:szCs w:val="18"/>
      <w:lang w:val="en-US" w:eastAsia="en-US"/>
    </w:rPr>
  </w:style>
  <w:style w:type="character" w:styleId="943" w:customStyle="1">
    <w:name w:val="批注框文本 Char"/>
    <w:link w:val="942"/>
    <w:uiPriority w:val="0"/>
    <w:semiHidden/>
    <w:qFormat/>
    <w:rPr>
      <w:rFonts w:ascii="Times New Roman" w:hAnsi="Times New Roman" w:eastAsia="宋体" w:cs="Times New Roman"/>
      <w:sz w:val="18"/>
      <w:szCs w:val="18"/>
    </w:rPr>
  </w:style>
  <w:style w:type="paragraph" w:styleId="944" w:customStyle="1">
    <w:name w:val="页脚1"/>
    <w:basedOn w:val="706"/>
    <w:link w:val="945"/>
    <w:uiPriority w:val="0"/>
    <w:qFormat/>
    <w:pPr>
      <w:jc w:val="left"/>
      <w:tabs>
        <w:tab w:val="center" w:pos="4153" w:leader="none"/>
        <w:tab w:val="right" w:pos="8306" w:leader="none"/>
      </w:tabs>
    </w:pPr>
    <w:rPr>
      <w:sz w:val="18"/>
      <w:szCs w:val="18"/>
      <w:lang w:val="en-US" w:eastAsia="en-US"/>
    </w:rPr>
  </w:style>
  <w:style w:type="character" w:styleId="945" w:customStyle="1">
    <w:name w:val="页脚 Char"/>
    <w:link w:val="944"/>
    <w:uiPriority w:val="0"/>
    <w:qFormat/>
    <w:rPr>
      <w:rFonts w:ascii="Times New Roman" w:hAnsi="Times New Roman" w:eastAsia="宋体" w:cs="Times New Roman"/>
      <w:sz w:val="18"/>
      <w:szCs w:val="18"/>
    </w:rPr>
  </w:style>
  <w:style w:type="paragraph" w:styleId="946" w:customStyle="1">
    <w:name w:val="页眉1"/>
    <w:basedOn w:val="706"/>
    <w:link w:val="947"/>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47" w:customStyle="1">
    <w:name w:val="页眉 Char"/>
    <w:link w:val="946"/>
    <w:uiPriority w:val="0"/>
    <w:qFormat/>
    <w:rPr>
      <w:rFonts w:ascii="Times New Roman" w:hAnsi="Times New Roman" w:eastAsia="宋体" w:cs="Times New Roman"/>
      <w:sz w:val="18"/>
      <w:szCs w:val="18"/>
    </w:rPr>
  </w:style>
  <w:style w:type="paragraph" w:styleId="948" w:customStyle="1">
    <w:name w:val="目录 11"/>
    <w:basedOn w:val="706"/>
    <w:next w:val="70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9" w:customStyle="1">
    <w:name w:val="目录 41"/>
    <w:basedOn w:val="706"/>
    <w:next w:val="706"/>
    <w:uiPriority w:val="0"/>
    <w:semiHidden/>
    <w:qFormat/>
    <w:pPr>
      <w:ind w:left="630"/>
      <w:jc w:val="left"/>
    </w:pPr>
    <w:rPr>
      <w:rFonts w:ascii="Times New Roman" w:hAnsi="Times New Roman" w:eastAsia="宋体" w:cs="Times New Roman"/>
      <w:szCs w:val="21"/>
    </w:rPr>
  </w:style>
  <w:style w:type="paragraph" w:styleId="950" w:customStyle="1">
    <w:name w:val="列表1"/>
    <w:basedOn w:val="706"/>
    <w:uiPriority w:val="0"/>
    <w:qFormat/>
    <w:pPr>
      <w:ind w:left="200" w:hanging="200"/>
    </w:pPr>
    <w:rPr>
      <w:rFonts w:ascii="Times New Roman" w:hAnsi="Times New Roman" w:eastAsia="宋体" w:cs="Times New Roman"/>
      <w:szCs w:val="21"/>
    </w:rPr>
  </w:style>
  <w:style w:type="paragraph" w:styleId="951" w:customStyle="1">
    <w:name w:val="目录 61"/>
    <w:basedOn w:val="706"/>
    <w:next w:val="706"/>
    <w:uiPriority w:val="0"/>
    <w:semiHidden/>
    <w:qFormat/>
    <w:pPr>
      <w:ind w:left="1050"/>
      <w:jc w:val="left"/>
    </w:pPr>
    <w:rPr>
      <w:rFonts w:ascii="Times New Roman" w:hAnsi="Times New Roman" w:eastAsia="宋体" w:cs="Times New Roman"/>
      <w:szCs w:val="21"/>
    </w:rPr>
  </w:style>
  <w:style w:type="paragraph" w:styleId="952" w:customStyle="1">
    <w:name w:val="正文文本缩进 31"/>
    <w:basedOn w:val="706"/>
    <w:link w:val="953"/>
    <w:uiPriority w:val="0"/>
    <w:qFormat/>
    <w:pPr>
      <w:ind w:left="645" w:firstLine="645"/>
    </w:pPr>
    <w:rPr>
      <w:rFonts w:ascii="Arial" w:hAnsi="Arial" w:eastAsia="仿宋_GB2312"/>
      <w:color w:val="ffff00"/>
      <w:sz w:val="32"/>
      <w:szCs w:val="32"/>
      <w:lang w:val="en-US" w:eastAsia="en-US"/>
    </w:rPr>
  </w:style>
  <w:style w:type="character" w:styleId="953" w:customStyle="1">
    <w:name w:val="正文文本缩进 3 Char"/>
    <w:link w:val="952"/>
    <w:uiPriority w:val="0"/>
    <w:qFormat/>
    <w:rPr>
      <w:rFonts w:ascii="Arial" w:hAnsi="Arial" w:eastAsia="仿宋_GB2312" w:cs="Arial"/>
      <w:color w:val="ffff00"/>
      <w:sz w:val="32"/>
      <w:szCs w:val="32"/>
    </w:rPr>
  </w:style>
  <w:style w:type="paragraph" w:styleId="954" w:customStyle="1">
    <w:name w:val="图表目录1"/>
    <w:basedOn w:val="706"/>
    <w:next w:val="706"/>
    <w:uiPriority w:val="0"/>
    <w:semiHidden/>
    <w:qFormat/>
    <w:pPr>
      <w:ind w:left="840" w:hanging="420"/>
    </w:pPr>
    <w:rPr>
      <w:rFonts w:ascii="Times New Roman" w:hAnsi="Times New Roman" w:eastAsia="宋体" w:cs="Times New Roman"/>
      <w:szCs w:val="21"/>
    </w:rPr>
  </w:style>
  <w:style w:type="paragraph" w:styleId="955" w:customStyle="1">
    <w:name w:val="目录 21"/>
    <w:basedOn w:val="706"/>
    <w:next w:val="706"/>
    <w:uiPriority w:val="0"/>
    <w:semiHidden/>
    <w:qFormat/>
    <w:pPr>
      <w:ind w:left="210"/>
      <w:jc w:val="left"/>
    </w:pPr>
    <w:rPr>
      <w:rFonts w:ascii="Times New Roman" w:hAnsi="Times New Roman" w:eastAsia="宋体" w:cs="Times New Roman"/>
      <w:smallCaps/>
      <w:szCs w:val="24"/>
    </w:rPr>
  </w:style>
  <w:style w:type="paragraph" w:styleId="956" w:customStyle="1">
    <w:name w:val="目录 91"/>
    <w:basedOn w:val="706"/>
    <w:next w:val="706"/>
    <w:uiPriority w:val="0"/>
    <w:semiHidden/>
    <w:qFormat/>
    <w:pPr>
      <w:ind w:left="1680"/>
      <w:jc w:val="left"/>
    </w:pPr>
    <w:rPr>
      <w:rFonts w:ascii="Times New Roman" w:hAnsi="Times New Roman" w:eastAsia="宋体" w:cs="Times New Roman"/>
      <w:szCs w:val="21"/>
    </w:rPr>
  </w:style>
  <w:style w:type="paragraph" w:styleId="957" w:customStyle="1">
    <w:name w:val="正文文本 21"/>
    <w:basedOn w:val="706"/>
    <w:link w:val="958"/>
    <w:uiPriority w:val="0"/>
    <w:qFormat/>
    <w:pPr>
      <w:jc w:val="center"/>
      <w:widowControl/>
    </w:pPr>
    <w:rPr>
      <w:rFonts w:ascii="楷体_GB2312" w:eastAsia="楷体_GB2312"/>
      <w:sz w:val="28"/>
      <w:szCs w:val="28"/>
      <w:lang w:val="en-US" w:eastAsia="en-US"/>
    </w:rPr>
  </w:style>
  <w:style w:type="character" w:styleId="958" w:customStyle="1">
    <w:name w:val="正文文本 2 Char"/>
    <w:link w:val="957"/>
    <w:uiPriority w:val="0"/>
    <w:qFormat/>
    <w:rPr>
      <w:rFonts w:ascii="楷体_GB2312" w:hAnsi="Times New Roman" w:eastAsia="楷体_GB2312" w:cs="Times New Roman"/>
      <w:sz w:val="28"/>
      <w:szCs w:val="28"/>
    </w:rPr>
  </w:style>
  <w:style w:type="paragraph" w:styleId="959" w:customStyle="1">
    <w:name w:val="普通(网站)1"/>
    <w:basedOn w:val="706"/>
    <w:uiPriority w:val="99"/>
    <w:qFormat/>
    <w:pPr>
      <w:jc w:val="left"/>
      <w:spacing w:before="100" w:beforeAutospacing="1" w:after="100" w:afterAutospacing="1"/>
      <w:widowControl/>
    </w:pPr>
    <w:rPr>
      <w:rFonts w:ascii="宋体" w:hAnsi="宋体" w:eastAsia="宋体" w:cs="宋体"/>
      <w:sz w:val="24"/>
      <w:szCs w:val="24"/>
    </w:rPr>
  </w:style>
  <w:style w:type="paragraph" w:styleId="960" w:customStyle="1">
    <w:name w:val="索引 11"/>
    <w:basedOn w:val="706"/>
    <w:next w:val="706"/>
    <w:uiPriority w:val="0"/>
    <w:semiHidden/>
    <w:qFormat/>
    <w:pPr>
      <w:spacing w:line="240" w:lineRule="atLeast"/>
    </w:pPr>
    <w:rPr>
      <w:rFonts w:ascii="Times New Roman" w:hAnsi="Times New Roman" w:eastAsia="宋体" w:cs="Times New Roman"/>
      <w:b/>
      <w:bCs/>
      <w:szCs w:val="21"/>
    </w:rPr>
  </w:style>
  <w:style w:type="paragraph" w:styleId="961" w:customStyle="1">
    <w:name w:val="批注主题1"/>
    <w:basedOn w:val="922"/>
    <w:next w:val="922"/>
    <w:link w:val="962"/>
    <w:uiPriority w:val="0"/>
    <w:semiHidden/>
    <w:qFormat/>
    <w:rPr>
      <w:b/>
      <w:bCs/>
      <w:sz w:val="20"/>
      <w:szCs w:val="21"/>
      <w:lang w:val="en-US" w:eastAsia="en-US"/>
    </w:rPr>
  </w:style>
  <w:style w:type="character" w:styleId="962" w:customStyle="1">
    <w:name w:val="批注主题 Char"/>
    <w:link w:val="961"/>
    <w:uiPriority w:val="0"/>
    <w:semiHidden/>
    <w:qFormat/>
    <w:rPr>
      <w:rFonts w:ascii="Times New Roman" w:hAnsi="Times New Roman" w:eastAsia="宋体" w:cs="Times New Roman"/>
      <w:b/>
      <w:bCs/>
      <w:szCs w:val="21"/>
    </w:rPr>
  </w:style>
  <w:style w:type="paragraph" w:styleId="963" w:customStyle="1">
    <w:name w:val="正文首行缩进11"/>
    <w:basedOn w:val="706"/>
    <w:link w:val="964"/>
    <w:uiPriority w:val="0"/>
    <w:qFormat/>
    <w:pPr>
      <w:ind w:firstLine="200"/>
      <w:spacing w:line="360" w:lineRule="auto"/>
    </w:pPr>
    <w:rPr>
      <w:rFonts w:ascii="仿宋_GB2312" w:eastAsia="仿宋_GB2312"/>
      <w:sz w:val="30"/>
      <w:szCs w:val="30"/>
      <w:lang w:val="en-US" w:eastAsia="en-US"/>
    </w:rPr>
  </w:style>
  <w:style w:type="character" w:styleId="964" w:customStyle="1">
    <w:name w:val="正文首行缩进 Char"/>
    <w:link w:val="963"/>
    <w:uiPriority w:val="0"/>
    <w:qFormat/>
    <w:rPr>
      <w:rFonts w:ascii="仿宋_GB2312" w:hAnsi="Times New Roman" w:eastAsia="仿宋_GB2312" w:cs="Times New Roman"/>
      <w:sz w:val="30"/>
      <w:szCs w:val="30"/>
    </w:rPr>
  </w:style>
  <w:style w:type="table" w:styleId="965" w:customStyle="1">
    <w:name w:val="网格型1"/>
    <w:basedOn w:val="906"/>
    <w:uiPriority w:val="0"/>
    <w:qFormat/>
    <w:pPr>
      <w:jc w:val="both"/>
      <w:widowControl w:val="off"/>
    </w:pPr>
    <w:rPr>
      <w:rFonts w:ascii="Times New Roman" w:hAnsi="Times New Roman" w:eastAsia="宋体" w:cs="Times New Roman"/>
      <w:sz w:val="20"/>
      <w:szCs w:val="20"/>
    </w:rPr>
    <w:tblPr/>
  </w:style>
  <w:style w:type="character" w:styleId="966" w:customStyle="1">
    <w:name w:val="要点1"/>
    <w:link w:val="706"/>
    <w:uiPriority w:val="0"/>
    <w:qFormat/>
    <w:rPr>
      <w:b/>
      <w:bCs/>
    </w:rPr>
  </w:style>
  <w:style w:type="character" w:styleId="967" w:customStyle="1">
    <w:name w:val="页码1"/>
    <w:link w:val="706"/>
    <w:uiPriority w:val="0"/>
    <w:qFormat/>
  </w:style>
  <w:style w:type="character" w:styleId="968" w:customStyle="1">
    <w:name w:val="已访问的超链接1"/>
    <w:link w:val="706"/>
    <w:uiPriority w:val="0"/>
    <w:qFormat/>
    <w:rPr>
      <w:color w:val="800080"/>
      <w:u w:val="single"/>
    </w:rPr>
  </w:style>
  <w:style w:type="character" w:styleId="969" w:customStyle="1">
    <w:name w:val="超链接1"/>
    <w:link w:val="706"/>
    <w:uiPriority w:val="0"/>
    <w:qFormat/>
    <w:rPr>
      <w:color w:val="0000ff"/>
      <w:u w:val="single"/>
    </w:rPr>
  </w:style>
  <w:style w:type="character" w:styleId="970" w:customStyle="1">
    <w:name w:val="批注引用11"/>
    <w:link w:val="706"/>
    <w:uiPriority w:val="0"/>
    <w:semiHidden/>
    <w:qFormat/>
    <w:rPr>
      <w:sz w:val="21"/>
      <w:szCs w:val="21"/>
    </w:rPr>
  </w:style>
  <w:style w:type="character" w:styleId="971" w:customStyle="1">
    <w:name w:val="二级目录 Char"/>
    <w:link w:val="972"/>
    <w:uiPriority w:val="0"/>
    <w:qFormat/>
    <w:rPr>
      <w:b/>
      <w:sz w:val="30"/>
      <w:szCs w:val="28"/>
      <w:lang w:val="en-US" w:eastAsia="zh-CN" w:bidi="ar-SA"/>
    </w:rPr>
  </w:style>
  <w:style w:type="paragraph" w:styleId="972" w:customStyle="1">
    <w:name w:val="二级目录"/>
    <w:next w:val="706"/>
    <w:link w:val="97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3" w:customStyle="1">
    <w:name w:val="font01"/>
    <w:link w:val="706"/>
    <w:uiPriority w:val="0"/>
    <w:qFormat/>
    <w:rPr>
      <w:rFonts w:hint="eastAsia" w:ascii="宋体" w:hAnsi="宋体" w:eastAsia="宋体" w:cs="宋体"/>
      <w:color w:val="000000"/>
      <w:sz w:val="24"/>
      <w:szCs w:val="24"/>
      <w:u w:val="none"/>
    </w:rPr>
  </w:style>
  <w:style w:type="character" w:styleId="974" w:customStyle="1">
    <w:name w:val="列出段落 Char"/>
    <w:link w:val="975"/>
    <w:uiPriority w:val="0"/>
    <w:qFormat/>
    <w:rPr>
      <w:rFonts w:ascii="Calibri" w:hAnsi="Calibri"/>
      <w:sz w:val="24"/>
      <w:szCs w:val="24"/>
      <w:lang w:eastAsia="en-US" w:bidi="en-US"/>
    </w:rPr>
  </w:style>
  <w:style w:type="paragraph" w:styleId="975" w:customStyle="1">
    <w:name w:val="列出段落1"/>
    <w:basedOn w:val="706"/>
    <w:link w:val="974"/>
    <w:uiPriority w:val="0"/>
    <w:qFormat/>
    <w:pPr>
      <w:contextualSpacing/>
      <w:ind w:left="720"/>
      <w:jc w:val="left"/>
      <w:widowControl/>
    </w:pPr>
    <w:rPr>
      <w:rFonts w:ascii="Calibri" w:hAnsi="Calibri"/>
      <w:sz w:val="24"/>
      <w:szCs w:val="24"/>
      <w:lang w:val="en-US" w:eastAsia="en-US" w:bidi="en-US"/>
    </w:rPr>
  </w:style>
  <w:style w:type="character" w:styleId="976" w:customStyle="1">
    <w:name w:val="批注引用1"/>
    <w:link w:val="706"/>
    <w:uiPriority w:val="0"/>
    <w:semiHidden/>
    <w:qFormat/>
    <w:rPr>
      <w:sz w:val="21"/>
      <w:szCs w:val="22"/>
      <w:lang w:val="en-US" w:eastAsia="zh-CN" w:bidi="ar-SA"/>
    </w:rPr>
  </w:style>
  <w:style w:type="character" w:styleId="977" w:customStyle="1">
    <w:name w:val="font5 Char"/>
    <w:link w:val="706"/>
    <w:uiPriority w:val="0"/>
    <w:qFormat/>
    <w:rPr>
      <w:rFonts w:ascii="宋体" w:hAnsi="宋体" w:eastAsia="宋体"/>
      <w:sz w:val="28"/>
      <w:szCs w:val="28"/>
      <w:lang w:val="en-US" w:eastAsia="zh-CN" w:bidi="ar-SA"/>
    </w:rPr>
  </w:style>
  <w:style w:type="paragraph" w:styleId="978">
    <w:name w:val="List Paragraph"/>
    <w:basedOn w:val="706"/>
    <w:uiPriority w:val="34"/>
    <w:qFormat/>
    <w:pPr>
      <w:ind w:firstLine="420"/>
    </w:pPr>
    <w:rPr>
      <w:sz w:val="21"/>
      <w:szCs w:val="21"/>
    </w:rPr>
  </w:style>
  <w:style w:type="paragraph" w:styleId="97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0" w:customStyle="1">
    <w:name w:val="正文首行缩进1"/>
    <w:basedOn w:val="981"/>
    <w:uiPriority w:val="0"/>
    <w:qFormat/>
    <w:pPr>
      <w:ind w:firstLine="200"/>
      <w:spacing w:line="360" w:lineRule="auto"/>
    </w:pPr>
    <w:rPr>
      <w:rFonts w:ascii="仿宋_GB2312" w:hAnsi="Times New Roman" w:eastAsia="仿宋_GB2312"/>
      <w:sz w:val="30"/>
      <w:szCs w:val="30"/>
    </w:rPr>
  </w:style>
  <w:style w:type="paragraph" w:styleId="981" w:customStyle="1">
    <w:name w:val="正文文本1"/>
    <w:basedOn w:val="706"/>
    <w:next w:val="706"/>
    <w:uiPriority w:val="0"/>
    <w:semiHidden/>
    <w:qFormat/>
    <w:rPr>
      <w:rFonts w:ascii="Arial" w:hAnsi="Arial" w:eastAsia="Arial" w:cs="Arial"/>
      <w:sz w:val="21"/>
      <w:szCs w:val="21"/>
      <w:lang w:val="en-US" w:eastAsia="en-US" w:bidi="ar-SA"/>
    </w:rPr>
  </w:style>
  <w:style w:type="paragraph" w:styleId="982"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customStyle="1">
    <w:name w:val="标题1"/>
    <w:basedOn w:val="706"/>
    <w:next w:val="70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customStyle="1">
    <w:name w:val="font7"/>
    <w:basedOn w:val="70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6" w:customStyle="1">
    <w:name w:val="table_lines"/>
    <w:basedOn w:val="706"/>
    <w:uiPriority w:val="0"/>
    <w:qFormat/>
    <w:pPr>
      <w:jc w:val="left"/>
      <w:widowControl/>
    </w:pPr>
    <w:rPr>
      <w:rFonts w:ascii="Times New Roman" w:hAnsi="Times New Roman" w:eastAsia="宋体" w:cs="Times New Roman"/>
      <w:sz w:val="20"/>
      <w:szCs w:val="20"/>
      <w:lang w:val="de-DE" w:eastAsia="de-DE"/>
    </w:rPr>
  </w:style>
  <w:style w:type="paragraph" w:styleId="987"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8" w:customStyle="1">
    <w:name w:val="列出段落"/>
    <w:basedOn w:val="706"/>
    <w:uiPriority w:val="0"/>
    <w:qFormat/>
    <w:pPr>
      <w:contextualSpacing/>
      <w:ind w:left="720"/>
      <w:jc w:val="left"/>
      <w:widowControl/>
    </w:pPr>
    <w:rPr>
      <w:rFonts w:ascii="Calibri" w:hAnsi="Calibri" w:eastAsia="宋体" w:cs="Times New Roman"/>
      <w:sz w:val="24"/>
      <w:szCs w:val="24"/>
      <w:lang w:eastAsia="en-US" w:bidi="en-US"/>
    </w:rPr>
  </w:style>
  <w:style w:type="paragraph" w:styleId="98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0" w:customStyle="1">
    <w:name w:val="索引 41"/>
    <w:basedOn w:val="706"/>
    <w:next w:val="706"/>
    <w:uiPriority w:val="0"/>
    <w:semiHidden/>
    <w:qFormat/>
    <w:pPr>
      <w:ind w:left="1260"/>
    </w:pPr>
    <w:rPr>
      <w:rFonts w:ascii="Calibri" w:hAnsi="Calibri" w:eastAsia="Calibri" w:cs="宋体"/>
      <w:sz w:val="20"/>
      <w:lang w:val="zh-CN"/>
    </w:rPr>
  </w:style>
  <w:style w:type="paragraph" w:styleId="991" w:customStyle="1">
    <w:name w:val=" Char Char Char Char Char Char Char Char Char Char"/>
    <w:basedOn w:val="706"/>
    <w:uiPriority w:val="0"/>
    <w:qFormat/>
    <w:pPr>
      <w:spacing w:line="360" w:lineRule="auto"/>
    </w:pPr>
    <w:rPr>
      <w:rFonts w:ascii="Times New Roman" w:hAnsi="Times New Roman" w:eastAsia="宋体" w:cs="Times New Roman"/>
      <w:sz w:val="24"/>
      <w:szCs w:val="20"/>
    </w:rPr>
  </w:style>
  <w:style w:type="paragraph" w:styleId="992" w:customStyle="1">
    <w:name w:val="Char"/>
    <w:basedOn w:val="706"/>
    <w:uiPriority w:val="0"/>
    <w:qFormat/>
    <w:pPr>
      <w:ind w:firstLine="200"/>
      <w:tabs>
        <w:tab w:val="left" w:pos="360" w:leader="none"/>
      </w:tabs>
    </w:pPr>
    <w:rPr>
      <w:rFonts w:ascii="Times New Roman" w:hAnsi="Times New Roman" w:eastAsia="宋体" w:cs="Times New Roman"/>
      <w:sz w:val="28"/>
      <w:szCs w:val="30"/>
    </w:rPr>
  </w:style>
  <w:style w:type="paragraph" w:styleId="993" w:customStyle="1">
    <w:name w:val="批注文字1"/>
    <w:basedOn w:val="706"/>
    <w:uiPriority w:val="0"/>
    <w:unhideWhenUsed/>
    <w:qFormat/>
    <w:pPr>
      <w:jc w:val="left"/>
    </w:pPr>
  </w:style>
  <w:style w:type="paragraph" w:styleId="994" w:customStyle="1">
    <w:name w:val="Char Char Char Char Char Char Char Char"/>
    <w:basedOn w:val="706"/>
    <w:uiPriority w:val="0"/>
    <w:qFormat/>
    <w:pPr>
      <w:jc w:val="left"/>
      <w:spacing w:after="160" w:line="240" w:lineRule="exact"/>
      <w:widowControl/>
    </w:pPr>
    <w:rPr>
      <w:rFonts w:ascii="Verdana" w:hAnsi="Verdana" w:eastAsia="宋体" w:cs="Times New Roman"/>
      <w:sz w:val="20"/>
      <w:szCs w:val="20"/>
      <w:lang w:eastAsia="en-US"/>
    </w:rPr>
  </w:style>
  <w:style w:type="paragraph" w:styleId="995" w:customStyle="1">
    <w:name w:val="正文文本 211"/>
    <w:basedOn w:val="706"/>
    <w:uiPriority w:val="99"/>
    <w:qFormat/>
    <w:pPr>
      <w:jc w:val="center"/>
    </w:pPr>
    <w:rPr>
      <w:b/>
      <w:bCs/>
      <w:sz w:val="20"/>
      <w:szCs w:val="20"/>
    </w:rPr>
  </w:style>
  <w:style w:type="paragraph" w:styleId="996" w:customStyle="1">
    <w:name w:val="Table Paragraph"/>
    <w:basedOn w:val="706"/>
    <w:uiPriority w:val="1"/>
    <w:qFormat/>
    <w:pPr>
      <w:jc w:val="left"/>
    </w:pPr>
    <w:rPr>
      <w:rFonts w:ascii="宋体" w:hAnsi="宋体" w:eastAsia="宋体" w:cs="宋体"/>
      <w:sz w:val="22"/>
      <w:szCs w:val="22"/>
      <w:lang w:val="zh-CN" w:bidi="zh-CN"/>
    </w:rPr>
  </w:style>
  <w:style w:type="paragraph" w:styleId="997" w:customStyle="1">
    <w:name w:val="Body Text(ch)"/>
    <w:basedOn w:val="706"/>
    <w:next w:val="926"/>
    <w:uiPriority w:val="0"/>
    <w:qFormat/>
    <w:pPr>
      <w:spacing w:after="120"/>
    </w:pPr>
    <w:rPr>
      <w:rFonts w:ascii="宋体" w:hAnsi="Arial" w:eastAsia="宋体" w:cs="Times New Roman"/>
      <w:bCs/>
      <w:iCs/>
      <w:szCs w:val="24"/>
    </w:rPr>
  </w:style>
  <w:style w:type="paragraph" w:styleId="998" w:customStyle="1">
    <w:name w:val="样式1"/>
    <w:basedOn w:val="706"/>
    <w:uiPriority w:val="0"/>
    <w:qFormat/>
    <w:pPr>
      <w:numPr>
        <w:ilvl w:val="0"/>
        <w:numId w:val="3"/>
      </w:numPr>
    </w:pPr>
    <w:rPr>
      <w:rFonts w:ascii="宋体" w:hAnsi="宋体" w:eastAsia="宋体" w:cs="Times New Roman"/>
      <w:szCs w:val="21"/>
    </w:rPr>
  </w:style>
  <w:style w:type="paragraph" w:styleId="999"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0"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1" w:customStyle="1">
    <w:name w:val="font5"/>
    <w:basedOn w:val="70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2" w:customStyle="1">
    <w:name w:val="正文缩进1"/>
    <w:basedOn w:val="706"/>
    <w:uiPriority w:val="0"/>
    <w:qFormat/>
    <w:pPr>
      <w:ind w:firstLine="420"/>
    </w:pPr>
    <w:rPr>
      <w:sz w:val="20"/>
      <w:szCs w:val="21"/>
    </w:rPr>
  </w:style>
  <w:style w:type="paragraph" w:styleId="1003" w:customStyle="1">
    <w:name w:val=" Char"/>
    <w:basedOn w:val="920"/>
    <w:uiPriority w:val="0"/>
    <w:qFormat/>
    <w:rPr>
      <w:rFonts w:ascii="Tahoma" w:hAnsi="Tahoma"/>
      <w:sz w:val="24"/>
      <w:szCs w:val="24"/>
    </w:rPr>
  </w:style>
  <w:style w:type="paragraph" w:styleId="1004" w:customStyle="1">
    <w:name w:val="font6"/>
    <w:basedOn w:val="70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5" w:customStyle="1">
    <w:name w:val=" Char Char Char Char"/>
    <w:basedOn w:val="920"/>
    <w:uiPriority w:val="0"/>
    <w:qFormat/>
    <w:pPr>
      <w:spacing w:line="360" w:lineRule="auto"/>
    </w:pPr>
    <w:rPr>
      <w:rFonts w:ascii="Tahoma" w:hAnsi="Tahoma"/>
      <w:sz w:val="24"/>
      <w:szCs w:val="24"/>
    </w:rPr>
  </w:style>
  <w:style w:type="paragraph" w:styleId="1006"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customStyle="1">
    <w:name w:val="Char Char Char Char"/>
    <w:basedOn w:val="920"/>
    <w:uiPriority w:val="0"/>
    <w:qFormat/>
    <w:pPr>
      <w:spacing w:line="360" w:lineRule="auto"/>
    </w:pPr>
    <w:rPr>
      <w:rFonts w:ascii="Tahoma" w:hAnsi="Tahoma"/>
      <w:sz w:val="24"/>
      <w:szCs w:val="24"/>
    </w:rPr>
  </w:style>
  <w:style w:type="paragraph" w:styleId="1008" w:customStyle="1">
    <w:name w:val="正文文本12"/>
    <w:basedOn w:val="706"/>
    <w:uiPriority w:val="1"/>
    <w:qFormat/>
    <w:pPr>
      <w:ind w:left="120"/>
    </w:pPr>
    <w:rPr>
      <w:rFonts w:ascii="宋体" w:hAnsi="宋体" w:eastAsia="宋体" w:cs="宋体"/>
      <w:sz w:val="21"/>
      <w:szCs w:val="21"/>
      <w:lang w:val="zh-CN" w:eastAsia="zh-CN" w:bidi="zh-CN"/>
    </w:rPr>
  </w:style>
  <w:style w:type="paragraph" w:styleId="1009" w:customStyle="1">
    <w:name w:val=" Char Char Char Char Char Char Char Char"/>
    <w:basedOn w:val="706"/>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普通正文"/>
    <w:basedOn w:val="706"/>
    <w:uiPriority w:val="0"/>
    <w:qFormat/>
    <w:pPr>
      <w:ind w:firstLine="480"/>
      <w:jc w:val="left"/>
      <w:spacing w:before="120" w:after="120" w:line="360" w:lineRule="auto"/>
    </w:pPr>
    <w:rPr>
      <w:rFonts w:ascii="Arial" w:hAnsi="Arial" w:eastAsia="宋体" w:cs="Times New Roman"/>
      <w:sz w:val="24"/>
      <w:szCs w:val="24"/>
    </w:rPr>
  </w:style>
  <w:style w:type="paragraph" w:styleId="1011" w:customStyle="1">
    <w:name w:val="普通 (Web)"/>
    <w:basedOn w:val="706"/>
    <w:uiPriority w:val="0"/>
    <w:qFormat/>
    <w:pPr>
      <w:jc w:val="left"/>
      <w:spacing w:before="100" w:beforeAutospacing="1" w:after="100" w:afterAutospacing="1"/>
      <w:widowControl/>
    </w:pPr>
    <w:rPr>
      <w:rFonts w:ascii="宋体" w:hAnsi="宋体" w:eastAsia="宋体" w:cs="Times New Roman"/>
      <w:sz w:val="24"/>
      <w:szCs w:val="24"/>
    </w:rPr>
  </w:style>
  <w:style w:type="paragraph" w:styleId="1012" w:customStyle="1">
    <w:name w:val="table_1stline"/>
    <w:basedOn w:val="706"/>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3" w:customStyle="1">
    <w:name w:val="标题3"/>
    <w:basedOn w:val="706"/>
    <w:next w:val="706"/>
    <w:uiPriority w:val="0"/>
    <w:qFormat/>
    <w:pPr>
      <w:ind w:firstLine="624"/>
      <w:spacing w:line="590" w:lineRule="atLeast"/>
    </w:pPr>
    <w:rPr>
      <w:rFonts w:ascii="方正黑体_GBK" w:hAnsi="Times New Roman" w:eastAsia="方正黑体_GBK" w:cs="Times New Roman"/>
      <w:sz w:val="32"/>
      <w:szCs w:val="32"/>
    </w:rPr>
  </w:style>
  <w:style w:type="paragraph" w:styleId="1014"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标题 31"/>
    <w:basedOn w:val="706"/>
    <w:next w:val="1002"/>
    <w:uiPriority w:val="0"/>
    <w:qFormat/>
    <w:pPr>
      <w:keepLines/>
      <w:keepNext/>
      <w:spacing w:before="260" w:after="260" w:line="416" w:lineRule="auto"/>
      <w:outlineLvl w:val="2"/>
    </w:pPr>
    <w:rPr>
      <w:b/>
      <w:bCs/>
      <w:sz w:val="32"/>
      <w:szCs w:val="32"/>
    </w:rPr>
  </w:style>
  <w:style w:type="paragraph" w:styleId="1017" w:customStyle="1">
    <w:name w:val="4"/>
    <w:basedOn w:val="706"/>
    <w:next w:val="952"/>
    <w:uiPriority w:val="0"/>
    <w:qFormat/>
    <w:pPr>
      <w:ind w:firstLine="420"/>
      <w:spacing w:line="360" w:lineRule="auto"/>
    </w:pPr>
    <w:rPr>
      <w:rFonts w:ascii="Times New Roman" w:hAnsi="Times New Roman" w:eastAsia="宋体" w:cs="Times New Roman"/>
      <w:color w:val="ff0000"/>
      <w:sz w:val="24"/>
      <w:szCs w:val="24"/>
    </w:rPr>
  </w:style>
  <w:style w:type="paragraph" w:styleId="1018" w:customStyle="1">
    <w:name w:val="xl30"/>
    <w:basedOn w:val="706"/>
    <w:uiPriority w:val="0"/>
    <w:qFormat/>
    <w:pPr>
      <w:jc w:val="center"/>
      <w:spacing w:before="100" w:beforeAutospacing="1" w:after="100" w:afterAutospacing="1"/>
      <w:widowControl/>
    </w:pPr>
    <w:rPr>
      <w:rFonts w:ascii="宋体" w:hAnsi="宋体" w:eastAsia="宋体" w:cs="Times New Roman"/>
      <w:b/>
      <w:bCs/>
      <w:sz w:val="36"/>
      <w:szCs w:val="36"/>
    </w:rPr>
  </w:style>
  <w:style w:type="table" w:styleId="1019" w:customStyle="1">
    <w:name w:val="Table Normal"/>
    <w:uiPriority w:val="0"/>
    <w:qFormat/>
    <w:rPr>
      <w:lang w:val="en-US" w:eastAsia="zh-CN" w:bidi="ar-SA"/>
    </w:rPr>
    <w:tblPr/>
  </w:style>
  <w:style w:type="paragraph" w:styleId="1020" w:customStyle="1">
    <w:name w:val="List Paragraph1"/>
    <w:basedOn w:val="706"/>
    <w:uiPriority w:val="99"/>
    <w:qFormat/>
    <w:pPr>
      <w:ind w:firstLine="420"/>
    </w:pPr>
  </w:style>
  <w:style w:type="character" w:styleId="1021" w:customStyle="1">
    <w:name w:val="font11"/>
    <w:basedOn w:val="716"/>
    <w:uiPriority w:val="0"/>
    <w:qFormat/>
    <w:rPr>
      <w:rFonts w:hint="eastAsia" w:ascii="宋体" w:hAnsi="宋体" w:eastAsia="宋体" w:cs="宋体"/>
      <w:color w:val="000000"/>
      <w:sz w:val="22"/>
      <w:szCs w:val="22"/>
      <w:u w:val="none"/>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高嘉佳</cp:lastModifiedBy>
  <cp:revision>18</cp:revision>
  <dcterms:created xsi:type="dcterms:W3CDTF">2024-06-17T02:43:00Z</dcterms:created>
  <dcterms:modified xsi:type="dcterms:W3CDTF">2026-01-20T03:00:52Z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4A0E06C293164D4B89CFFC28D3D09927_13</vt:lpwstr>
  </property>
  <property fmtid="{D5CDD505-2E9C-101B-9397-08002B2CF9AE}" pid="4" name="KSOTemplateDocerSaveRecord">
    <vt:lpwstr>eyJoZGlkIjoiMzViNTVhMDU2NzI3ZGYzOWEzYjFmMmFmYjg3YzRmYzkiLCJ1c2VySWQiOiIxNzMwMTA5OTEzIn0=</vt:lpwstr>
  </property>
</Properties>
</file>