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r/>
    </w:p>
    <w:p>
      <w:pPr>
        <w:pStyle w:val="951"/>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951"/>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r/>
    </w:p>
    <w:p>
      <w:pPr>
        <w:pStyle w:val="95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5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5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6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rPr>
        <w:t xml:space="preserve">JSZC-320200-JZCG-G2025-0197</w:t>
      </w:r>
      <w:r>
        <w:rPr>
          <w:color w:val="000000" w:themeColor="text1"/>
          <w:highlight w:val="none"/>
        </w:rPr>
      </w:r>
      <w:r/>
    </w:p>
    <w:p>
      <w:pPr>
        <w:pStyle w:val="86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rPr>
        <w:t xml:space="preserve">无锡市中级人民法院物业服务</w:t>
      </w:r>
      <w:r>
        <w:rPr>
          <w:color w:val="000000" w:themeColor="text1"/>
          <w:highlight w:val="none"/>
        </w:rPr>
      </w:r>
      <w:r/>
    </w:p>
    <w:p>
      <w:pPr>
        <w:pStyle w:val="86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rPr>
        <w:t xml:space="preserve">无锡市中级人民法院</w:t>
      </w:r>
      <w:r>
        <w:rPr>
          <w:color w:val="000000" w:themeColor="text1"/>
          <w:highlight w:val="none"/>
        </w:rPr>
      </w:r>
      <w:r/>
    </w:p>
    <w:p>
      <w:pPr>
        <w:pStyle w:val="861"/>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95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5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5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51"/>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951"/>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二○二六年</w:t>
      </w:r>
      <w:r>
        <w:rPr>
          <w:rFonts w:hint="eastAsia" w:ascii="黑体" w:hAnsi="华文中宋" w:eastAsia="黑体"/>
          <w:bCs/>
          <w:color w:val="000000" w:themeColor="text1"/>
          <w:sz w:val="32"/>
          <w:szCs w:val="32"/>
          <w:highlight w:val="none"/>
        </w:rPr>
        <w:t xml:space="preserve">二</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951"/>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16938516"/>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479757206"/>
      <w:r>
        <w:rPr>
          <w:color w:val="000000" w:themeColor="text1"/>
          <w:highlight w:val="none"/>
        </w:rPr>
      </w:r>
      <w:bookmarkStart w:id="5" w:name="_Toc513029200"/>
      <w:r>
        <w:rPr>
          <w:rFonts w:hint="eastAsia" w:ascii="黑体" w:hAnsi="黑体" w:eastAsia="黑体"/>
          <w:color w:val="000000" w:themeColor="text1"/>
          <w:sz w:val="36"/>
          <w:szCs w:val="36"/>
          <w:highlight w:val="none"/>
        </w:rPr>
        <w:t xml:space="preserve">总  目  录</w:t>
      </w:r>
      <w:r>
        <w:rPr>
          <w:color w:val="000000" w:themeColor="text1"/>
          <w:highlight w:val="none"/>
        </w:rPr>
      </w:r>
      <w:r/>
    </w:p>
    <w:p>
      <w:pPr>
        <w:pStyle w:val="861"/>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color w:val="000000" w:themeColor="text1"/>
          <w:highlight w:val="none"/>
        </w:rPr>
      </w: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r/>
    </w:p>
    <w:p>
      <w:pPr>
        <w:pStyle w:val="861"/>
        <w:numPr>
          <w:ilvl w:val="0"/>
          <w:numId w:val="0"/>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color w:val="000000" w:themeColor="text1"/>
          <w:highlight w:val="none"/>
        </w:rPr>
      </w:r>
      <w:r/>
    </w:p>
    <w:p>
      <w:pPr>
        <w:pStyle w:val="861"/>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rPr>
        <w:t xml:space="preserve">无锡市中级人民法院</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rPr>
        <w:t xml:space="preserve">无锡市中级人民法院物业服务</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JSZC-320200-JZCG-G2025-0197</w:t>
      </w:r>
      <w:r>
        <w:rPr>
          <w:rFonts w:hint="eastAsia" w:ascii="宋体" w:hAnsi="宋体"/>
          <w:color w:val="000000" w:themeColor="text1"/>
          <w:sz w:val="24"/>
          <w:szCs w:val="24"/>
          <w:highlight w:val="none"/>
        </w:rPr>
        <w:t xml:space="preserve">）进行公开招标采购，欢迎符合条件的供应商投标。</w:t>
      </w:r>
      <w:r>
        <w:rPr>
          <w:color w:val="000000" w:themeColor="text1"/>
          <w:highlight w:val="none"/>
        </w:rPr>
      </w:r>
      <w:r/>
    </w:p>
    <w:p>
      <w:pPr>
        <w:pStyle w:val="86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pStyle w:val="86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无锡市中级人民法院物业服务</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2026</w:t>
      </w:r>
      <w:r>
        <w:rPr>
          <w:rFonts w:hint="eastAsia" w:ascii="宋体" w:hAnsi="宋体"/>
          <w:color w:val="000000" w:themeColor="text1"/>
          <w:sz w:val="24"/>
          <w:szCs w:val="24"/>
          <w:highlight w:val="none"/>
        </w:rPr>
        <w:t xml:space="preserve">年2月27日09点30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5393621"/>
      <w:r>
        <w:rPr>
          <w:color w:val="000000" w:themeColor="text1"/>
          <w:highlight w:val="none"/>
        </w:rPr>
      </w:r>
      <w:bookmarkStart w:id="7" w:name="_Toc28359079"/>
      <w:r>
        <w:rPr>
          <w:color w:val="000000" w:themeColor="text1"/>
          <w:highlight w:val="none"/>
        </w:rPr>
      </w:r>
      <w:bookmarkStart w:id="8" w:name="_Toc28359002"/>
      <w:r>
        <w:rPr>
          <w:color w:val="000000" w:themeColor="text1"/>
          <w:highlight w:val="none"/>
        </w:rPr>
      </w:r>
      <w:bookmarkStart w:id="9" w:name="_Toc35393790"/>
      <w:r>
        <w:rPr>
          <w:color w:val="000000" w:themeColor="text1"/>
          <w:highlight w:val="none"/>
        </w:rPr>
      </w:r>
      <w:bookmarkStart w:id="10" w:name="_Toc38985263"/>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rPr>
        <w:t xml:space="preserve">JSZC-320200-JZCG-G2025-0197</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rPr>
        <w:t xml:space="preserve">无锡市中级人民法院物业服务</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rPr>
        <w:t xml:space="preserve">270万元</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：270万元</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622"/>
      <w:r>
        <w:rPr>
          <w:color w:val="000000" w:themeColor="text1"/>
          <w:highlight w:val="none"/>
        </w:rPr>
      </w:r>
      <w:bookmarkStart w:id="13" w:name="_Toc28359080"/>
      <w:r>
        <w:rPr>
          <w:color w:val="000000" w:themeColor="text1"/>
          <w:highlight w:val="none"/>
        </w:rPr>
      </w:r>
      <w:bookmarkStart w:id="14" w:name="_Toc38985264"/>
      <w:r>
        <w:rPr>
          <w:color w:val="000000" w:themeColor="text1"/>
          <w:highlight w:val="none"/>
        </w:rPr>
      </w:r>
      <w:bookmarkStart w:id="15" w:name="_Toc35393791"/>
      <w:r>
        <w:rPr>
          <w:color w:val="000000" w:themeColor="text1"/>
          <w:highlight w:val="none"/>
        </w:rPr>
      </w:r>
      <w:bookmarkStart w:id="16" w:name="_Toc28359003"/>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8985265"/>
      <w:r>
        <w:rPr>
          <w:color w:val="000000" w:themeColor="text1"/>
          <w:highlight w:val="none"/>
        </w:rPr>
      </w:r>
      <w:bookmarkStart w:id="19" w:name="_Toc28359004"/>
      <w:r>
        <w:rPr>
          <w:color w:val="000000" w:themeColor="text1"/>
          <w:highlight w:val="none"/>
        </w:rPr>
      </w:r>
      <w:bookmarkStart w:id="20" w:name="_Toc35393792"/>
      <w:r>
        <w:rPr>
          <w:color w:val="000000" w:themeColor="text1"/>
          <w:highlight w:val="none"/>
        </w:rPr>
      </w:r>
      <w:bookmarkStart w:id="21" w:name="_Toc28359081"/>
      <w:r>
        <w:rPr>
          <w:rFonts w:hint="eastAsia" w:ascii="宋体" w:hAnsi="宋体"/>
          <w:color w:val="000000" w:themeColor="text1"/>
          <w:sz w:val="24"/>
          <w:szCs w:val="24"/>
          <w:highlight w:val="none"/>
        </w:rPr>
        <w:t xml:space="preserve">1.满足《中华人民共和国政府采购法》第二十二条规定；</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本项目专门面向中小企业</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861"/>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5393793"/>
      <w:r>
        <w:rPr>
          <w:color w:val="000000" w:themeColor="text1"/>
          <w:highlight w:val="none"/>
        </w:rPr>
      </w:r>
      <w:bookmarkStart w:id="25" w:name="_Toc35393624"/>
      <w:r>
        <w:rPr>
          <w:color w:val="000000" w:themeColor="text1"/>
          <w:highlight w:val="none"/>
        </w:rPr>
      </w:r>
      <w:bookmarkStart w:id="26" w:name="_Toc38985266"/>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color w:val="000000" w:themeColor="text1"/>
          <w:highlight w:val="none"/>
        </w:rPr>
      </w:r>
      <w:r/>
    </w:p>
    <w:p>
      <w:pPr>
        <w:pStyle w:val="861"/>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color w:val="000000" w:themeColor="text1"/>
          <w:highlight w:val="none"/>
        </w:rPr>
      </w:r>
      <w:r/>
    </w:p>
    <w:p>
      <w:pPr>
        <w:pStyle w:val="861"/>
        <w:ind w:firstLine="540"/>
        <w:spacing w:line="500" w:lineRule="exact"/>
        <w:rPr>
          <w:rStyle w:val="940"/>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http://jszfcg.jsczt.cn/</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color w:val="000000" w:themeColor="text1"/>
          <w:highlight w:val="none"/>
        </w:rPr>
      </w:r>
      <w:r/>
    </w:p>
    <w:p>
      <w:pPr>
        <w:pStyle w:val="861"/>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6年2月27日09点30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84"/>
      <w:r>
        <w:rPr>
          <w:color w:val="000000" w:themeColor="text1"/>
          <w:highlight w:val="none"/>
        </w:rPr>
      </w:r>
      <w:bookmarkStart w:id="28" w:name="_Toc35393625"/>
      <w:r>
        <w:rPr>
          <w:color w:val="000000" w:themeColor="text1"/>
          <w:highlight w:val="none"/>
        </w:rPr>
      </w:r>
      <w:bookmarkStart w:id="29" w:name="_Toc38985267"/>
      <w:r>
        <w:rPr>
          <w:color w:val="000000" w:themeColor="text1"/>
          <w:highlight w:val="none"/>
        </w:rPr>
      </w:r>
      <w:bookmarkStart w:id="30" w:name="_Toc35393794"/>
      <w:r>
        <w:rPr>
          <w:color w:val="000000" w:themeColor="text1"/>
          <w:highlight w:val="none"/>
        </w:rPr>
      </w:r>
      <w:bookmarkStart w:id="31" w:name="_Toc2835900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795"/>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28359085"/>
      <w:r>
        <w:rPr>
          <w:color w:val="000000" w:themeColor="text1"/>
          <w:highlight w:val="none"/>
        </w:rPr>
      </w:r>
      <w:bookmarkStart w:id="36" w:name="_Toc28359008"/>
      <w:r>
        <w:rPr>
          <w:color w:val="000000" w:themeColor="text1"/>
          <w:highlight w:val="none"/>
        </w:rPr>
      </w:r>
      <w:bookmarkStart w:id="37" w:name="_Toc38985269"/>
      <w:r>
        <w:rPr>
          <w:color w:val="000000" w:themeColor="text1"/>
          <w:highlight w:val="none"/>
        </w:rPr>
      </w:r>
      <w:bookmarkStart w:id="38" w:name="_Toc35393796"/>
      <w:r>
        <w:rPr>
          <w:color w:val="000000" w:themeColor="text1"/>
          <w:highlight w:val="none"/>
        </w:rPr>
      </w:r>
      <w:bookmarkStart w:id="39" w:name="_Toc35393627"/>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rPr>
        <w:t xml:space="preserve">无锡市中级人民法院</w:t>
      </w:r>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rPr>
        <w:t xml:space="preserve">无锡市中级人民法院崇宁路50号</w:t>
      </w:r>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rPr>
          <w:color w:val="000000" w:themeColor="text1"/>
          <w:highlight w:val="none"/>
        </w:rPr>
      </w:r>
      <w:bookmarkStart w:id="41" w:name="_Toc28359009"/>
      <w:r>
        <w:rPr>
          <w:rFonts w:hint="eastAsia" w:ascii="宋体" w:hAnsi="宋体" w:cs="宋体"/>
          <w:color w:val="000000" w:themeColor="text1"/>
          <w:sz w:val="24"/>
          <w:szCs w:val="24"/>
          <w:highlight w:val="none"/>
        </w:rPr>
        <w:t xml:space="preserve">见“项目联系方式”</w:t>
      </w:r>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color w:val="000000" w:themeColor="text1"/>
          <w:highlight w:val="none"/>
        </w:rPr>
      </w: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color w:val="000000" w:themeColor="text1"/>
          <w:highlight w:val="none"/>
        </w:rPr>
      </w: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color w:val="000000" w:themeColor="text1"/>
          <w:highlight w:val="none"/>
        </w:rPr>
      </w: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w:t>
      </w:r>
      <w:r>
        <w:rPr>
          <w:rFonts w:hint="eastAsia" w:ascii="宋体" w:hAnsi="宋体" w:cs="宋体"/>
          <w:color w:val="000000" w:themeColor="text1"/>
          <w:sz w:val="24"/>
          <w:szCs w:val="24"/>
          <w:highlight w:val="none"/>
        </w:rPr>
        <w:t xml:space="preserve">联系人姓名:李群松</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电话：0510-82226641</w:t>
      </w:r>
      <w:r>
        <w:rPr>
          <w:color w:val="000000" w:themeColor="text1"/>
          <w:highlight w:val="none"/>
        </w:rPr>
      </w:r>
      <w:r/>
    </w:p>
    <w:p>
      <w:pPr>
        <w:pStyle w:val="86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rPr>
        <w:t xml:space="preserve">受理人姓名:李群松</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电话：0510-82226641</w:t>
      </w:r>
      <w:r>
        <w:rPr>
          <w:color w:val="000000" w:themeColor="text1"/>
          <w:highlight w:val="none"/>
        </w:rPr>
      </w:r>
      <w:r/>
    </w:p>
    <w:p>
      <w:pPr>
        <w:pStyle w:val="86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rPr>
        <w:t xml:space="preserve">中心经办人姓名:吴冰梦；电话：0510-81827747</w:t>
      </w:r>
      <w:r>
        <w:rPr>
          <w:color w:val="000000" w:themeColor="text1"/>
          <w:highlight w:val="none"/>
        </w:rPr>
      </w:r>
      <w:r/>
    </w:p>
    <w:p>
      <w:pPr>
        <w:pStyle w:val="86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highlight w:val="none"/>
        </w:rPr>
      </w:r>
      <w:r/>
    </w:p>
    <w:p>
      <w:pPr>
        <w:pStyle w:val="86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rPr>
          <w:color w:val="000000" w:themeColor="text1"/>
          <w:highlight w:val="none"/>
        </w:rPr>
      </w:r>
      <w:r/>
    </w:p>
    <w:p>
      <w:pPr>
        <w:pStyle w:val="86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color w:val="000000" w:themeColor="text1"/>
          <w:highlight w:val="none"/>
        </w:rPr>
      </w:r>
      <w:r/>
    </w:p>
    <w:p>
      <w:pPr>
        <w:pStyle w:val="86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color w:val="000000" w:themeColor="text1"/>
          <w:highlight w:val="none"/>
        </w:rPr>
      </w:r>
      <w:r/>
    </w:p>
    <w:p>
      <w:pPr>
        <w:pStyle w:val="86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color w:val="000000" w:themeColor="text1"/>
          <w:highlight w:val="none"/>
        </w:rPr>
      </w:r>
      <w:r/>
    </w:p>
    <w:p>
      <w:pPr>
        <w:pStyle w:val="86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color w:val="000000" w:themeColor="text1"/>
          <w:highlight w:val="none"/>
        </w:rPr>
      </w:r>
      <w:r/>
    </w:p>
    <w:p>
      <w:pPr>
        <w:pStyle w:val="861"/>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color w:val="000000" w:themeColor="text1"/>
          <w:highlight w:val="none"/>
        </w:rPr>
      </w: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6938518"/>
      <w:r>
        <w:rPr>
          <w:color w:val="000000" w:themeColor="text1"/>
          <w:highlight w:val="none"/>
        </w:rPr>
      </w:r>
      <w:bookmarkStart w:id="44" w:name="_Toc120614213"/>
      <w:r>
        <w:rPr>
          <w:color w:val="000000" w:themeColor="text1"/>
          <w:highlight w:val="none"/>
        </w:rPr>
      </w:r>
      <w:bookmarkStart w:id="45" w:name="_Toc513029202"/>
      <w:r>
        <w:rPr>
          <w:color w:val="000000" w:themeColor="text1"/>
          <w:highlight w:val="none"/>
        </w:rPr>
      </w:r>
      <w:bookmarkStart w:id="46" w:name="_Toc20823274"/>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513029203"/>
      <w:r>
        <w:rPr>
          <w:color w:val="000000" w:themeColor="text1"/>
          <w:highlight w:val="none"/>
        </w:rPr>
      </w:r>
      <w:bookmarkStart w:id="48" w:name="_Toc20823275"/>
      <w:r>
        <w:rPr>
          <w:color w:val="000000" w:themeColor="text1"/>
          <w:highlight w:val="none"/>
        </w:rPr>
      </w:r>
      <w:bookmarkStart w:id="49" w:name="_Toc16938519"/>
      <w:r>
        <w:rPr>
          <w:color w:val="000000" w:themeColor="text1"/>
          <w:highlight w:val="none"/>
        </w:rPr>
      </w:r>
      <w:bookmarkStart w:id="50" w:name="_Toc120614214"/>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16938520"/>
      <w:r>
        <w:rPr>
          <w:color w:val="000000" w:themeColor="text1"/>
          <w:highlight w:val="none"/>
        </w:rPr>
      </w:r>
      <w:bookmarkStart w:id="54" w:name="_Toc20823276"/>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16938521"/>
      <w:r>
        <w:rPr>
          <w:color w:val="000000" w:themeColor="text1"/>
          <w:highlight w:val="none"/>
        </w:rPr>
      </w:r>
      <w:bookmarkStart w:id="56" w:name="_Toc513029205"/>
      <w:r>
        <w:rPr>
          <w:color w:val="000000" w:themeColor="text1"/>
          <w:highlight w:val="none"/>
        </w:rPr>
      </w:r>
      <w:bookmarkStart w:id="57" w:name="_Toc20823277"/>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16938522"/>
      <w:r>
        <w:rPr>
          <w:color w:val="000000" w:themeColor="text1"/>
          <w:highlight w:val="none"/>
        </w:rPr>
      </w:r>
      <w:bookmarkStart w:id="59" w:name="_Toc513029206"/>
      <w:r>
        <w:rPr>
          <w:color w:val="000000" w:themeColor="text1"/>
          <w:highlight w:val="none"/>
        </w:rPr>
      </w:r>
      <w:bookmarkStart w:id="60" w:name="_Toc20823278"/>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20823279"/>
      <w:r>
        <w:rPr>
          <w:color w:val="000000" w:themeColor="text1"/>
          <w:highlight w:val="none"/>
        </w:rPr>
      </w:r>
      <w:bookmarkStart w:id="62" w:name="_Toc462564067"/>
      <w:r>
        <w:rPr>
          <w:color w:val="000000" w:themeColor="text1"/>
          <w:highlight w:val="none"/>
        </w:rPr>
      </w:r>
      <w:bookmarkStart w:id="63" w:name="_Toc16938523"/>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6938525"/>
      <w:r>
        <w:rPr>
          <w:color w:val="000000" w:themeColor="text1"/>
          <w:highlight w:val="none"/>
        </w:rPr>
      </w:r>
      <w:bookmarkStart w:id="66" w:name="_Toc20823281"/>
      <w:r>
        <w:rPr>
          <w:color w:val="000000" w:themeColor="text1"/>
          <w:highlight w:val="none"/>
        </w:rPr>
      </w:r>
      <w:bookmarkStart w:id="67" w:name="_Toc513029209"/>
      <w:r>
        <w:rPr>
          <w:color w:val="000000" w:themeColor="text1"/>
          <w:highlight w:val="none"/>
        </w:rPr>
      </w:r>
      <w:bookmarkStart w:id="68" w:name="_Toc120614215"/>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513029210"/>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r/>
    </w:p>
    <w:p>
      <w:pPr>
        <w:pStyle w:val="861"/>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20823283"/>
      <w:r>
        <w:rPr>
          <w:color w:val="000000" w:themeColor="text1"/>
          <w:highlight w:val="none"/>
        </w:rPr>
      </w:r>
      <w:bookmarkStart w:id="73" w:name="_Toc462564070"/>
      <w:r>
        <w:rPr>
          <w:color w:val="000000" w:themeColor="text1"/>
          <w:highlight w:val="none"/>
        </w:rPr>
      </w:r>
      <w:bookmarkStart w:id="74" w:name="_Toc16938527"/>
      <w:r>
        <w:rPr>
          <w:color w:val="000000" w:themeColor="text1"/>
          <w:highlight w:val="none"/>
        </w:rPr>
      </w:r>
      <w:bookmarkStart w:id="75" w:name="_Toc513029211"/>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16938528"/>
      <w:r>
        <w:rPr>
          <w:color w:val="000000" w:themeColor="text1"/>
          <w:highlight w:val="none"/>
        </w:rPr>
      </w:r>
      <w:bookmarkStart w:id="77" w:name="_Toc462564071"/>
      <w:r>
        <w:rPr>
          <w:color w:val="000000" w:themeColor="text1"/>
          <w:highlight w:val="none"/>
        </w:rPr>
      </w:r>
      <w:bookmarkStart w:id="78" w:name="_Toc20823284"/>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color w:val="000000" w:themeColor="text1"/>
          <w:highlight w:val="none"/>
        </w:rPr>
      </w: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462564072"/>
      <w:r>
        <w:rPr>
          <w:color w:val="000000" w:themeColor="text1"/>
          <w:highlight w:val="none"/>
        </w:rPr>
      </w:r>
      <w:bookmarkStart w:id="81" w:name="_Toc120614216"/>
      <w:r>
        <w:rPr>
          <w:color w:val="000000" w:themeColor="text1"/>
          <w:highlight w:val="none"/>
        </w:rPr>
      </w:r>
      <w:bookmarkStart w:id="82" w:name="_Toc16938529"/>
      <w:r>
        <w:rPr>
          <w:color w:val="000000" w:themeColor="text1"/>
          <w:highlight w:val="none"/>
        </w:rPr>
      </w:r>
      <w:bookmarkStart w:id="83" w:name="_Toc513029213"/>
      <w:r>
        <w:rPr>
          <w:color w:val="000000" w:themeColor="text1"/>
          <w:highlight w:val="none"/>
        </w:rPr>
      </w:r>
      <w:bookmarkStart w:id="84" w:name="_Toc20823285"/>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20823286"/>
      <w:r>
        <w:rPr>
          <w:color w:val="000000" w:themeColor="text1"/>
          <w:highlight w:val="none"/>
        </w:rPr>
      </w:r>
      <w:bookmarkStart w:id="86" w:name="_Toc513029214"/>
      <w:r>
        <w:rPr>
          <w:color w:val="000000" w:themeColor="text1"/>
          <w:highlight w:val="none"/>
        </w:rPr>
      </w:r>
      <w:bookmarkStart w:id="87" w:name="_Toc16938530"/>
      <w:r>
        <w:rPr>
          <w:color w:val="000000" w:themeColor="text1"/>
          <w:highlight w:val="none"/>
        </w:rPr>
      </w:r>
      <w:bookmarkStart w:id="88" w:name="_Toc462564073"/>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462564074"/>
      <w:r>
        <w:rPr>
          <w:color w:val="000000" w:themeColor="text1"/>
          <w:highlight w:val="none"/>
        </w:rPr>
      </w:r>
      <w:bookmarkStart w:id="90" w:name="_Toc20823287"/>
      <w:r>
        <w:rPr>
          <w:color w:val="000000" w:themeColor="text1"/>
          <w:highlight w:val="none"/>
        </w:rPr>
      </w:r>
      <w:bookmarkStart w:id="91" w:name="_Toc513029215"/>
      <w:r>
        <w:rPr>
          <w:color w:val="000000" w:themeColor="text1"/>
          <w:highlight w:val="none"/>
        </w:rPr>
      </w:r>
      <w:bookmarkStart w:id="92" w:name="_Toc16938531"/>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pStyle w:val="86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668975"/>
      <w:r>
        <w:rPr>
          <w:color w:val="000000" w:themeColor="text1"/>
          <w:highlight w:val="none"/>
        </w:rPr>
      </w:r>
      <w:bookmarkEnd w:id="94"/>
      <w:r>
        <w:rPr>
          <w:color w:val="000000" w:themeColor="text1"/>
          <w:highlight w:val="none"/>
        </w:rPr>
      </w:r>
      <w:bookmarkStart w:id="95" w:name="_Hlt26954838"/>
      <w:r>
        <w:rPr>
          <w:color w:val="000000" w:themeColor="text1"/>
          <w:highlight w:val="none"/>
        </w:rPr>
      </w:r>
      <w:bookmarkEnd w:id="95"/>
      <w:r>
        <w:rPr>
          <w:color w:val="000000" w:themeColor="text1"/>
          <w:highlight w:val="none"/>
        </w:rPr>
      </w:r>
      <w:bookmarkStart w:id="96" w:name="_Toc49090509"/>
      <w:r>
        <w:rPr>
          <w:color w:val="000000" w:themeColor="text1"/>
          <w:highlight w:val="none"/>
        </w:rPr>
      </w:r>
      <w:bookmarkStart w:id="97" w:name="_Toc513029219"/>
      <w:r>
        <w:rPr>
          <w:color w:val="000000" w:themeColor="text1"/>
          <w:highlight w:val="none"/>
        </w:rPr>
      </w:r>
      <w:bookmarkStart w:id="98" w:name="_Toc14577357"/>
      <w:r>
        <w:rPr>
          <w:color w:val="000000" w:themeColor="text1"/>
          <w:highlight w:val="none"/>
        </w:rPr>
      </w:r>
      <w:bookmarkStart w:id="99" w:name="_Toc513029216"/>
      <w:r>
        <w:rPr>
          <w:color w:val="000000" w:themeColor="text1"/>
          <w:highlight w:val="none"/>
        </w:rPr>
      </w:r>
      <w:bookmarkStart w:id="100" w:name="_Toc49090507"/>
      <w:r>
        <w:rPr>
          <w:color w:val="000000" w:themeColor="text1"/>
          <w:highlight w:val="none"/>
        </w:rPr>
      </w:r>
      <w:bookmarkStart w:id="101" w:name="_Toc14577354"/>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11.1投标人应按照法律、法规、规章和规范性文件以及招标文件要求提交证明文件，证明其及投标标的符合招标文件规定。</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954844"/>
      <w:r>
        <w:rPr>
          <w:color w:val="000000" w:themeColor="text1"/>
          <w:highlight w:val="none"/>
        </w:rPr>
      </w:r>
      <w:bookmarkEnd w:id="108"/>
      <w:r>
        <w:rPr>
          <w:color w:val="000000" w:themeColor="text1"/>
          <w:highlight w:val="none"/>
        </w:rPr>
      </w:r>
      <w:bookmarkStart w:id="109" w:name="_Hlt26954842"/>
      <w:r>
        <w:rPr>
          <w:color w:val="000000" w:themeColor="text1"/>
          <w:highlight w:val="none"/>
        </w:rPr>
      </w:r>
      <w:bookmarkEnd w:id="109"/>
      <w:r>
        <w:rPr>
          <w:color w:val="000000" w:themeColor="text1"/>
          <w:highlight w:val="none"/>
        </w:rPr>
      </w:r>
      <w:bookmarkStart w:id="110" w:name="_Hlt26670482"/>
      <w:r>
        <w:rPr>
          <w:color w:val="000000" w:themeColor="text1"/>
          <w:highlight w:val="none"/>
        </w:rPr>
      </w:r>
      <w:bookmarkEnd w:id="110"/>
      <w:r>
        <w:rPr>
          <w:color w:val="000000" w:themeColor="text1"/>
          <w:highlight w:val="none"/>
        </w:rPr>
      </w:r>
      <w:bookmarkStart w:id="111" w:name="_Hlt26670425"/>
      <w:r>
        <w:rPr>
          <w:color w:val="000000" w:themeColor="text1"/>
          <w:highlight w:val="none"/>
        </w:rPr>
      </w:r>
      <w:bookmarkEnd w:id="111"/>
      <w:r>
        <w:rPr>
          <w:color w:val="000000" w:themeColor="text1"/>
          <w:highlight w:val="none"/>
        </w:rPr>
      </w:r>
      <w:bookmarkStart w:id="112" w:name="_Hlt26670403"/>
      <w:r>
        <w:rPr>
          <w:color w:val="000000" w:themeColor="text1"/>
          <w:highlight w:val="none"/>
        </w:rPr>
      </w:r>
      <w:bookmarkEnd w:id="112"/>
      <w:r>
        <w:rPr>
          <w:color w:val="000000" w:themeColor="text1"/>
          <w:highlight w:val="none"/>
        </w:rPr>
      </w:r>
      <w:bookmarkStart w:id="113" w:name="_Hlt26954846"/>
      <w:r>
        <w:rPr>
          <w:color w:val="000000" w:themeColor="text1"/>
          <w:highlight w:val="none"/>
        </w:rPr>
      </w:r>
      <w:bookmarkEnd w:id="113"/>
      <w:r>
        <w:rPr>
          <w:color w:val="000000" w:themeColor="text1"/>
          <w:highlight w:val="none"/>
        </w:rPr>
      </w:r>
      <w:bookmarkStart w:id="114" w:name="_Hlt26954731"/>
      <w:r>
        <w:rPr>
          <w:color w:val="000000" w:themeColor="text1"/>
          <w:highlight w:val="none"/>
        </w:rPr>
      </w:r>
      <w:bookmarkEnd w:id="114"/>
      <w:r>
        <w:rPr>
          <w:color w:val="000000" w:themeColor="text1"/>
          <w:highlight w:val="none"/>
        </w:rPr>
      </w:r>
      <w:bookmarkStart w:id="115" w:name="_Hlt26668983"/>
      <w:r>
        <w:rPr>
          <w:color w:val="000000" w:themeColor="text1"/>
          <w:highlight w:val="none"/>
        </w:rPr>
      </w:r>
      <w:bookmarkEnd w:id="115"/>
      <w:r>
        <w:rPr>
          <w:color w:val="000000" w:themeColor="text1"/>
          <w:highlight w:val="none"/>
        </w:rPr>
      </w:r>
      <w:bookmarkStart w:id="116" w:name="_Hlt26670486"/>
      <w:r>
        <w:rPr>
          <w:color w:val="000000" w:themeColor="text1"/>
          <w:highlight w:val="none"/>
        </w:rPr>
      </w:r>
      <w:bookmarkEnd w:id="116"/>
      <w:r>
        <w:rPr>
          <w:color w:val="000000" w:themeColor="text1"/>
          <w:highlight w:val="none"/>
        </w:rPr>
      </w:r>
      <w:bookmarkStart w:id="117" w:name="_Hlt26954848"/>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color w:val="000000" w:themeColor="text1"/>
          <w:highlight w:val="none"/>
        </w:rPr>
      </w:r>
      <w:r/>
    </w:p>
    <w:p>
      <w:pPr>
        <w:pStyle w:val="861"/>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850"/>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20823296"/>
      <w:r>
        <w:rPr>
          <w:color w:val="000000" w:themeColor="text1"/>
          <w:highlight w:val="none"/>
        </w:rPr>
      </w:r>
      <w:bookmarkStart w:id="126" w:name="_Toc120614217"/>
      <w:r>
        <w:rPr>
          <w:color w:val="000000" w:themeColor="text1"/>
          <w:highlight w:val="none"/>
        </w:rPr>
      </w:r>
      <w:bookmarkStart w:id="127" w:name="_Toc513029224"/>
      <w:r>
        <w:rPr>
          <w:color w:val="000000" w:themeColor="text1"/>
          <w:highlight w:val="none"/>
        </w:rPr>
      </w:r>
      <w:bookmarkStart w:id="128" w:name="_Toc16938540"/>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20823297"/>
      <w:r>
        <w:rPr>
          <w:color w:val="000000" w:themeColor="text1"/>
          <w:highlight w:val="none"/>
        </w:rPr>
      </w:r>
      <w:bookmarkStart w:id="130" w:name="_Toc462564084"/>
      <w:r>
        <w:rPr>
          <w:color w:val="000000" w:themeColor="text1"/>
          <w:highlight w:val="none"/>
        </w:rPr>
      </w:r>
      <w:bookmarkStart w:id="131" w:name="_Toc513029225"/>
      <w:r>
        <w:rPr>
          <w:color w:val="000000" w:themeColor="text1"/>
          <w:highlight w:val="none"/>
        </w:rPr>
      </w:r>
      <w:bookmarkStart w:id="132" w:name="_Toc16938541"/>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color w:val="000000" w:themeColor="text1"/>
          <w:highlight w:val="none"/>
        </w:rPr>
      </w:r>
      <w:r/>
    </w:p>
    <w:p>
      <w:pPr>
        <w:pStyle w:val="976"/>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20823298"/>
      <w:r>
        <w:rPr>
          <w:color w:val="000000" w:themeColor="text1"/>
          <w:highlight w:val="none"/>
        </w:rPr>
      </w:r>
      <w:bookmarkStart w:id="134" w:name="_Toc16938542"/>
      <w:r>
        <w:rPr>
          <w:color w:val="000000" w:themeColor="text1"/>
          <w:highlight w:val="none"/>
        </w:rPr>
      </w:r>
      <w:bookmarkStart w:id="135" w:name="_Toc513029226"/>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20823299"/>
      <w:r>
        <w:rPr>
          <w:color w:val="000000" w:themeColor="text1"/>
          <w:highlight w:val="none"/>
        </w:rPr>
      </w:r>
      <w:bookmarkStart w:id="138" w:name="_Toc513029227"/>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20823300"/>
      <w:r>
        <w:rPr>
          <w:color w:val="000000" w:themeColor="text1"/>
          <w:highlight w:val="none"/>
        </w:rPr>
      </w:r>
      <w:bookmarkStart w:id="140" w:name="_Toc513029228"/>
      <w:r>
        <w:rPr>
          <w:color w:val="000000" w:themeColor="text1"/>
          <w:highlight w:val="none"/>
        </w:rPr>
      </w:r>
      <w:bookmarkStart w:id="141" w:name="_Toc16938544"/>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20823301"/>
      <w:r>
        <w:rPr>
          <w:color w:val="000000" w:themeColor="text1"/>
          <w:highlight w:val="none"/>
        </w:rPr>
      </w:r>
      <w:bookmarkStart w:id="143" w:name="_Toc513029229"/>
      <w:r>
        <w:rPr>
          <w:color w:val="000000" w:themeColor="text1"/>
          <w:highlight w:val="none"/>
        </w:rPr>
      </w:r>
      <w:bookmarkStart w:id="144" w:name="_Toc16938545"/>
      <w:r>
        <w:rPr>
          <w:color w:val="000000" w:themeColor="text1"/>
          <w:highlight w:val="none"/>
        </w:rPr>
      </w:r>
      <w:bookmarkStart w:id="145" w:name="_Toc120614218"/>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513029230"/>
      <w:r>
        <w:rPr>
          <w:color w:val="000000" w:themeColor="text1"/>
          <w:highlight w:val="none"/>
        </w:rPr>
      </w:r>
      <w:bookmarkStart w:id="147" w:name="_Toc16938546"/>
      <w:r>
        <w:rPr>
          <w:color w:val="000000" w:themeColor="text1"/>
          <w:highlight w:val="none"/>
        </w:rPr>
      </w:r>
      <w:bookmarkStart w:id="148" w:name="_Toc20823302"/>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p>
    <w:p>
      <w:pPr>
        <w:pStyle w:val="861"/>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r/>
    </w:p>
    <w:p>
      <w:pPr>
        <w:pStyle w:val="86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20823303"/>
      <w:r>
        <w:rPr>
          <w:color w:val="000000" w:themeColor="text1"/>
          <w:highlight w:val="none"/>
        </w:rPr>
      </w:r>
      <w:bookmarkStart w:id="150" w:name="_Toc16938547"/>
      <w:r>
        <w:rPr>
          <w:color w:val="000000" w:themeColor="text1"/>
          <w:highlight w:val="none"/>
        </w:rPr>
      </w:r>
      <w:bookmarkStart w:id="151" w:name="_Toc513029231"/>
      <w:r>
        <w:rPr>
          <w:rFonts w:hint="eastAsia" w:ascii="宋体" w:hAnsi="宋体" w:eastAsia="宋体"/>
          <w:bCs w:val="0"/>
          <w:color w:val="000000" w:themeColor="text1"/>
          <w:highlight w:val="none"/>
        </w:rPr>
        <w:t xml:space="preserve">22.评标委员会</w:t>
      </w:r>
      <w:r>
        <w:rPr>
          <w:color w:val="000000" w:themeColor="text1"/>
          <w:highlight w:val="none"/>
        </w:rPr>
      </w:r>
      <w:r/>
    </w:p>
    <w:p>
      <w:pPr>
        <w:pStyle w:val="861"/>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513029232"/>
      <w:r>
        <w:rPr>
          <w:color w:val="000000" w:themeColor="text1"/>
          <w:highlight w:val="none"/>
        </w:rPr>
      </w:r>
      <w:bookmarkStart w:id="153" w:name="_Toc16938548"/>
      <w:r>
        <w:rPr>
          <w:color w:val="000000" w:themeColor="text1"/>
          <w:highlight w:val="none"/>
        </w:rPr>
      </w:r>
      <w:bookmarkStart w:id="154" w:name="_Toc20823304"/>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16938549"/>
      <w:r>
        <w:rPr>
          <w:color w:val="000000" w:themeColor="text1"/>
          <w:highlight w:val="none"/>
        </w:rPr>
      </w:r>
      <w:bookmarkStart w:id="156" w:name="_Toc513029233"/>
      <w:r>
        <w:rPr>
          <w:color w:val="000000" w:themeColor="text1"/>
          <w:highlight w:val="none"/>
        </w:rPr>
      </w:r>
      <w:bookmarkStart w:id="157" w:name="_Toc20823305"/>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color w:val="000000" w:themeColor="text1"/>
          <w:highlight w:val="none"/>
        </w:rPr>
      </w:r>
      <w:r/>
    </w:p>
    <w:p>
      <w:pPr>
        <w:pStyle w:val="861"/>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86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pStyle w:val="86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pStyle w:val="86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pStyle w:val="86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r/>
    </w:p>
    <w:p>
      <w:pPr>
        <w:pStyle w:val="86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r/>
    </w:p>
    <w:p>
      <w:pPr>
        <w:pStyle w:val="861"/>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20823306"/>
      <w:r>
        <w:rPr>
          <w:color w:val="000000" w:themeColor="text1"/>
          <w:highlight w:val="none"/>
        </w:rPr>
      </w:r>
      <w:bookmarkStart w:id="159" w:name="_Toc16938550"/>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如果项目或采购包存在有分项价格最高限价要求或单价最高限价（最高限制单价）要求时，有上述第（3）项情形的，应当启动异常低价投标（响应）审查程序。</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86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861"/>
        <w:ind w:firstLine="420"/>
        <w:spacing w:line="500" w:lineRule="exact"/>
        <w:rPr>
          <w:rFonts w:hint="eastAsia"/>
          <w:color w:val="000000" w:themeColor="text1"/>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color w:val="000000" w:themeColor="text1"/>
          <w:highlight w:val="none"/>
        </w:rPr>
      </w:r>
      <w:r/>
    </w:p>
    <w:p>
      <w:pPr>
        <w:pStyle w:val="861"/>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513029235"/>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rPr>
          <w:color w:val="000000" w:themeColor="text1"/>
          <w:highlight w:val="none"/>
        </w:rPr>
      </w: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r/>
    </w:p>
    <w:p>
      <w:pPr>
        <w:pStyle w:val="861"/>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color w:val="000000" w:themeColor="text1"/>
          <w:highlight w:val="none"/>
        </w:rPr>
      </w: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color w:val="000000" w:themeColor="text1"/>
          <w:highlight w:val="none"/>
        </w:rPr>
      </w:r>
      <w:r/>
    </w:p>
    <w:p>
      <w:pPr>
        <w:pStyle w:val="86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20823310"/>
      <w:r>
        <w:rPr>
          <w:color w:val="000000" w:themeColor="text1"/>
          <w:highlight w:val="none"/>
        </w:rPr>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000000" w:themeColor="text1"/>
          <w:highlight w:val="none"/>
        </w:rPr>
      </w:r>
      <w:r/>
    </w:p>
    <w:p>
      <w:pPr>
        <w:pStyle w:val="86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pStyle w:val="86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r/>
    </w:p>
    <w:p>
      <w:pPr>
        <w:pStyle w:val="861"/>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86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20823308"/>
      <w:r>
        <w:rPr>
          <w:color w:val="000000" w:themeColor="text1"/>
          <w:highlight w:val="none"/>
        </w:rPr>
      </w:r>
      <w:bookmarkStart w:id="171" w:name="_Toc16938552"/>
      <w:r>
        <w:rPr>
          <w:color w:val="000000" w:themeColor="text1"/>
          <w:highlight w:val="none"/>
        </w:rPr>
      </w:r>
      <w:bookmarkStart w:id="172" w:name="_Toc513029236"/>
      <w:r>
        <w:rPr>
          <w:rFonts w:hint="eastAsia"/>
          <w:color w:val="000000" w:themeColor="text1"/>
          <w:sz w:val="30"/>
          <w:szCs w:val="30"/>
          <w:highlight w:val="none"/>
        </w:rPr>
        <w:t xml:space="preserve">七、授予合同</w:t>
      </w:r>
      <w:bookmarkEnd w:id="169"/>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513029237"/>
      <w:r>
        <w:rPr>
          <w:color w:val="000000" w:themeColor="text1"/>
          <w:highlight w:val="none"/>
        </w:rPr>
      </w:r>
      <w:bookmarkStart w:id="175" w:name="_Toc20823309"/>
      <w:r>
        <w:rPr>
          <w:rFonts w:hint="eastAsia" w:ascii="宋体" w:hAnsi="宋体" w:eastAsia="宋体"/>
          <w:bCs w:val="0"/>
          <w:color w:val="000000" w:themeColor="text1"/>
          <w:highlight w:val="none"/>
        </w:rPr>
        <w:t xml:space="preserve">30.签订合同</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color w:val="000000" w:themeColor="text1"/>
          <w:highlight w:val="none"/>
        </w:rPr>
      </w:r>
      <w:r/>
    </w:p>
    <w:p>
      <w:pPr>
        <w:pStyle w:val="86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highlight w:val="none"/>
        </w:rPr>
      </w:r>
      <w:r/>
    </w:p>
    <w:p>
      <w:pPr>
        <w:pStyle w:val="86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513029242"/>
      <w:r>
        <w:rPr>
          <w:color w:val="000000" w:themeColor="text1"/>
          <w:highlight w:val="none"/>
        </w:rPr>
      </w:r>
      <w:bookmarkStart w:id="177" w:name="_Toc479757207"/>
      <w:r>
        <w:rPr>
          <w:color w:val="000000" w:themeColor="text1"/>
          <w:highlight w:val="none"/>
        </w:rPr>
      </w:r>
      <w:bookmarkStart w:id="178" w:name="_Toc16938558"/>
      <w:r>
        <w:rPr>
          <w:color w:val="000000" w:themeColor="text1"/>
          <w:highlight w:val="none"/>
        </w:rPr>
      </w:r>
      <w:bookmarkStart w:id="179" w:name="_Toc20823314"/>
      <w:r>
        <w:rPr>
          <w:color w:val="000000" w:themeColor="text1"/>
          <w:highlight w:val="none"/>
        </w:rPr>
      </w:r>
      <w:bookmarkStart w:id="180" w:name="_Toc120614221"/>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color w:val="000000" w:themeColor="text1"/>
          <w:highlight w:val="none"/>
        </w:rPr>
      </w:r>
      <w:r/>
    </w:p>
    <w:p>
      <w:pPr>
        <w:pStyle w:val="861"/>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513029243"/>
      <w:r>
        <w:rPr>
          <w:color w:val="000000" w:themeColor="text1"/>
          <w:highlight w:val="none"/>
        </w:rPr>
      </w:r>
      <w:bookmarkStart w:id="182" w:name="_Toc20823315"/>
      <w:r>
        <w:rPr>
          <w:color w:val="000000" w:themeColor="text1"/>
          <w:highlight w:val="none"/>
        </w:rPr>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rPr>
          <w:color w:val="000000" w:themeColor="text1"/>
          <w:highlight w:val="none"/>
        </w:rPr>
      </w:r>
      <w:r/>
    </w:p>
    <w:p>
      <w:pPr>
        <w:pStyle w:val="861"/>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color w:val="000000" w:themeColor="text1"/>
          <w:highlight w:val="none"/>
        </w:rPr>
      </w:r>
      <w:r/>
    </w:p>
    <w:p>
      <w:pPr>
        <w:pStyle w:val="90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color w:val="000000" w:themeColor="text1"/>
          <w:highlight w:val="none"/>
        </w:rPr>
      </w:r>
      <w:r/>
    </w:p>
    <w:p>
      <w:pPr>
        <w:pStyle w:val="90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color w:val="000000" w:themeColor="text1"/>
          <w:highlight w:val="none"/>
        </w:rPr>
      </w:r>
      <w:r/>
    </w:p>
    <w:p>
      <w:pPr>
        <w:pStyle w:val="90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color w:val="000000" w:themeColor="text1"/>
          <w:highlight w:val="none"/>
        </w:rPr>
      </w:r>
      <w:r/>
    </w:p>
    <w:p>
      <w:pPr>
        <w:pStyle w:val="900"/>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rPr>
          <w:color w:val="000000" w:themeColor="text1"/>
          <w:highlight w:val="none"/>
        </w:rPr>
      </w:r>
      <w:r/>
    </w:p>
    <w:p>
      <w:pPr>
        <w:pStyle w:val="861"/>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rPr>
          <w:color w:val="000000" w:themeColor="text1"/>
          <w:highlight w:val="none"/>
        </w:rPr>
      </w:r>
      <w:r/>
    </w:p>
    <w:p>
      <w:pPr>
        <w:pStyle w:val="861"/>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rPr>
          <w:color w:val="000000" w:themeColor="text1"/>
          <w:highlight w:val="none"/>
        </w:rPr>
      </w:r>
      <w:r/>
    </w:p>
    <w:p>
      <w:pPr>
        <w:pStyle w:val="861"/>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rPr>
          <w:color w:val="000000" w:themeColor="text1"/>
          <w:highlight w:val="none"/>
        </w:rPr>
      </w:r>
      <w:r/>
    </w:p>
    <w:p>
      <w:pPr>
        <w:pStyle w:val="861"/>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rPr>
          <w:color w:val="000000" w:themeColor="text1"/>
          <w:highlight w:val="none"/>
        </w:rPr>
      </w:r>
      <w:r/>
    </w:p>
    <w:p>
      <w:pPr>
        <w:pStyle w:val="861"/>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rPr>
          <w:color w:val="000000" w:themeColor="text1"/>
          <w:highlight w:val="none"/>
        </w:rPr>
      </w:r>
      <w:r/>
    </w:p>
    <w:p>
      <w:pPr>
        <w:pStyle w:val="861"/>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rPr>
          <w:color w:val="000000" w:themeColor="text1"/>
          <w:highlight w:val="none"/>
        </w:rPr>
      </w:r>
      <w:r/>
    </w:p>
    <w:p>
      <w:pPr>
        <w:pStyle w:val="861"/>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color w:val="000000" w:themeColor="text1"/>
          <w:highlight w:val="none"/>
        </w:rPr>
      </w:r>
      <w:r/>
    </w:p>
    <w:p>
      <w:pPr>
        <w:pStyle w:val="861"/>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color w:val="000000" w:themeColor="text1"/>
          <w:highlight w:val="none"/>
        </w:rPr>
      </w:r>
      <w:r/>
    </w:p>
    <w:p>
      <w:pPr>
        <w:pStyle w:val="861"/>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（一）在承接物业时，对物业工程技术档案资料、共用部位、设施设备等进行查验,并做好书面确认工作；对所有图、档、卡、册等资料应做好建档工作。</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rPr>
          <w:color w:val="000000" w:themeColor="text1"/>
          <w:highlight w:val="none"/>
        </w:rPr>
      </w:r>
      <w:r/>
    </w:p>
    <w:p>
      <w:pPr>
        <w:pStyle w:val="861"/>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rPr>
          <w:color w:val="000000" w:themeColor="text1"/>
          <w:highlight w:val="none"/>
        </w:rPr>
      </w:r>
      <w:r/>
    </w:p>
    <w:p>
      <w:pPr>
        <w:pStyle w:val="86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themeColor="text1"/>
          <w:sz w:val="24"/>
          <w:szCs w:val="24"/>
          <w:highlight w:val="none"/>
        </w:rPr>
        <w:t xml:space="preserve"> 或依照法律程序解除部分或全部合同。</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color w:val="000000" w:themeColor="text1"/>
          <w:highlight w:val="none"/>
        </w:rPr>
      </w:r>
      <w:r/>
    </w:p>
    <w:p>
      <w:pPr>
        <w:pStyle w:val="86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五、本合同终止时，乙方应移交管理权，撤出本项目，协助甲方作好服务的交接和善后工作，移交或配合甲方移交管理用房和管理的全部档案资料等。</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color w:val="000000" w:themeColor="text1"/>
          <w:highlight w:val="none"/>
        </w:rPr>
      </w:r>
      <w:r/>
    </w:p>
    <w:p>
      <w:pPr>
        <w:pStyle w:val="861"/>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rPr>
          <w:color w:val="000000" w:themeColor="text1"/>
          <w:highlight w:val="none"/>
        </w:rPr>
      </w:r>
      <w:r/>
    </w:p>
    <w:p>
      <w:pPr>
        <w:pStyle w:val="861"/>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rPr>
          <w:color w:val="000000" w:themeColor="text1"/>
          <w:highlight w:val="none"/>
        </w:rPr>
      </w:r>
      <w:r/>
    </w:p>
    <w:p>
      <w:pPr>
        <w:pStyle w:val="861"/>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rPr>
          <w:color w:val="000000" w:themeColor="text1"/>
          <w:highlight w:val="none"/>
        </w:rPr>
      </w:r>
      <w:r/>
    </w:p>
    <w:p>
      <w:pPr>
        <w:pStyle w:val="861"/>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rPr>
          <w:color w:val="000000" w:themeColor="text1"/>
          <w:highlight w:val="none"/>
        </w:rPr>
      </w:r>
      <w:r/>
    </w:p>
    <w:p>
      <w:pPr>
        <w:pStyle w:val="861"/>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rPr>
          <w:color w:val="000000" w:themeColor="text1"/>
          <w:highlight w:val="none"/>
        </w:rPr>
      </w:r>
      <w:r/>
    </w:p>
    <w:p>
      <w:pPr>
        <w:pStyle w:val="861"/>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rPr>
          <w:color w:val="000000" w:themeColor="text1"/>
          <w:highlight w:val="none"/>
        </w:rPr>
      </w:r>
      <w:r/>
    </w:p>
    <w:p>
      <w:pPr>
        <w:pStyle w:val="861"/>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20823346"/>
      <w:r>
        <w:rPr>
          <w:color w:val="000000" w:themeColor="text1"/>
          <w:highlight w:val="none"/>
        </w:rPr>
      </w:r>
      <w:bookmarkStart w:id="187" w:name="_Toc16938590"/>
      <w:r>
        <w:rPr>
          <w:color w:val="000000" w:themeColor="text1"/>
          <w:highlight w:val="none"/>
        </w:rPr>
      </w:r>
      <w:bookmarkStart w:id="188" w:name="_Toc120614244"/>
      <w:r>
        <w:rPr>
          <w:color w:val="000000" w:themeColor="text1"/>
          <w:highlight w:val="none"/>
        </w:rPr>
      </w:r>
      <w:bookmarkStart w:id="189" w:name="_Toc462564139"/>
      <w:r>
        <w:rPr>
          <w:color w:val="000000" w:themeColor="text1"/>
          <w:highlight w:val="none"/>
        </w:rPr>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p>
    <w:p>
      <w:pPr>
        <w:pStyle w:val="861"/>
        <w:ind w:firstLine="60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黑体" w:hAnsi="黑体" w:eastAsia="黑体"/>
          <w:color w:val="000000" w:themeColor="text1"/>
          <w:sz w:val="30"/>
          <w:szCs w:val="30"/>
          <w:highlight w:val="none"/>
        </w:rPr>
        <w:t xml:space="preserve">本项目属性：</w:t>
      </w:r>
      <w:r>
        <w:rPr>
          <w:rFonts w:hint="eastAsia" w:ascii="黑体" w:hAnsi="黑体" w:eastAsia="黑体"/>
          <w:color w:val="000000" w:themeColor="text1"/>
          <w:sz w:val="30"/>
          <w:szCs w:val="30"/>
          <w:highlight w:val="none"/>
        </w:rPr>
        <w:t xml:space="preserve">服务类项目</w:t>
      </w:r>
      <w:r>
        <w:rPr>
          <w:color w:val="000000" w:themeColor="text1"/>
          <w:highlight w:val="none"/>
        </w:rPr>
      </w:r>
      <w:r/>
    </w:p>
    <w:p>
      <w:pPr>
        <w:pStyle w:val="861"/>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rPr>
          <w:color w:val="000000" w:themeColor="text1"/>
          <w:highlight w:val="none"/>
        </w:rPr>
      </w: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物业管理</w:t>
      </w:r>
      <w:r>
        <w:rPr>
          <w:color w:val="000000" w:themeColor="text1"/>
          <w:highlight w:val="none"/>
        </w:rPr>
      </w:r>
      <w:r/>
    </w:p>
    <w:p>
      <w:pPr>
        <w:pStyle w:val="861"/>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color w:val="000000" w:themeColor="text1"/>
          <w:highlight w:val="none"/>
        </w:rPr>
      </w:r>
      <w:r/>
    </w:p>
    <w:p>
      <w:pPr>
        <w:pStyle w:val="861"/>
        <w:ind w:firstLine="48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1.项目基本情况</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1.1物业情况</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70"/>
        <w:gridCol w:w="5399"/>
      </w:tblGrid>
      <w:tr>
        <w:trPr>
          <w:trHeight w:val="454"/>
        </w:trPr>
        <w:tc>
          <w:tcPr>
            <w:tcMar>
              <w:left w:w="108" w:type="dxa"/>
              <w:top w:w="0" w:type="dxa"/>
              <w:right w:w="108" w:type="dxa"/>
              <w:bottom w:w="0" w:type="dxa"/>
            </w:tcMar>
            <w:tcW w:w="3845"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物业名称</w:t>
            </w:r>
            <w:r>
              <w:rPr>
                <w:color w:val="000000" w:themeColor="text1"/>
                <w:highlight w:val="none"/>
              </w:rPr>
            </w:r>
            <w:r/>
          </w:p>
        </w:tc>
        <w:tc>
          <w:tcPr>
            <w:tcMar>
              <w:left w:w="108" w:type="dxa"/>
              <w:top w:w="0" w:type="dxa"/>
              <w:right w:w="108" w:type="dxa"/>
              <w:bottom w:w="0" w:type="dxa"/>
            </w:tcMar>
            <w:tcW w:w="550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物业地址</w:t>
            </w:r>
            <w:r>
              <w:rPr>
                <w:color w:val="000000" w:themeColor="text1"/>
                <w:highlight w:val="none"/>
              </w:rPr>
            </w:r>
            <w:r/>
          </w:p>
        </w:tc>
      </w:tr>
      <w:tr>
        <w:trPr>
          <w:trHeight w:val="454"/>
        </w:trPr>
        <w:tc>
          <w:tcPr>
            <w:tcMar>
              <w:left w:w="108" w:type="dxa"/>
              <w:top w:w="0" w:type="dxa"/>
              <w:right w:w="108" w:type="dxa"/>
              <w:bottom w:w="0" w:type="dxa"/>
            </w:tcMar>
            <w:tcW w:w="3845"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市法院院内办公楼</w:t>
            </w:r>
            <w:r>
              <w:rPr>
                <w:color w:val="000000" w:themeColor="text1"/>
                <w:highlight w:val="none"/>
              </w:rPr>
            </w:r>
            <w:r/>
          </w:p>
        </w:tc>
        <w:tc>
          <w:tcPr>
            <w:tcMar>
              <w:left w:w="108" w:type="dxa"/>
              <w:top w:w="0" w:type="dxa"/>
              <w:right w:w="108" w:type="dxa"/>
              <w:bottom w:w="0" w:type="dxa"/>
            </w:tcMar>
            <w:tcW w:w="550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无锡市梁溪区崇宁路50号</w:t>
            </w:r>
            <w:r>
              <w:rPr>
                <w:color w:val="000000" w:themeColor="text1"/>
                <w:highlight w:val="none"/>
              </w:rPr>
            </w:r>
            <w:r/>
          </w:p>
        </w:tc>
      </w:tr>
      <w:tr>
        <w:trPr>
          <w:trHeight w:val="454"/>
        </w:trPr>
        <w:tc>
          <w:tcPr>
            <w:tcMar>
              <w:left w:w="108" w:type="dxa"/>
              <w:top w:w="0" w:type="dxa"/>
              <w:right w:w="108" w:type="dxa"/>
              <w:bottom w:w="0" w:type="dxa"/>
            </w:tcMar>
            <w:tcW w:w="3845"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钱桥法庭办公楼</w:t>
            </w:r>
            <w:r>
              <w:rPr>
                <w:color w:val="000000" w:themeColor="text1"/>
                <w:highlight w:val="none"/>
              </w:rPr>
            </w:r>
            <w:r/>
          </w:p>
        </w:tc>
        <w:tc>
          <w:tcPr>
            <w:tcMar>
              <w:left w:w="108" w:type="dxa"/>
              <w:top w:w="0" w:type="dxa"/>
              <w:right w:w="108" w:type="dxa"/>
              <w:bottom w:w="0" w:type="dxa"/>
            </w:tcMar>
            <w:tcW w:w="550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无锡市惠山区钱姚路567号</w:t>
            </w:r>
            <w:r>
              <w:rPr>
                <w:color w:val="000000" w:themeColor="text1"/>
                <w:highlight w:val="none"/>
              </w:rPr>
            </w:r>
            <w:r/>
          </w:p>
        </w:tc>
      </w:tr>
      <w:tr>
        <w:trPr>
          <w:trHeight w:val="454"/>
        </w:trPr>
        <w:tc>
          <w:tcPr>
            <w:tcMar>
              <w:left w:w="108" w:type="dxa"/>
              <w:top w:w="0" w:type="dxa"/>
              <w:right w:w="108" w:type="dxa"/>
              <w:bottom w:w="0" w:type="dxa"/>
            </w:tcMar>
            <w:tcW w:w="3845"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法警基地办公楼</w:t>
            </w:r>
            <w:r>
              <w:rPr>
                <w:color w:val="000000" w:themeColor="text1"/>
                <w:highlight w:val="none"/>
              </w:rPr>
            </w:r>
            <w:r/>
          </w:p>
        </w:tc>
        <w:tc>
          <w:tcPr>
            <w:tcMar>
              <w:left w:w="108" w:type="dxa"/>
              <w:top w:w="0" w:type="dxa"/>
              <w:right w:w="108" w:type="dxa"/>
              <w:bottom w:w="0" w:type="dxa"/>
            </w:tcMar>
            <w:tcW w:w="550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无锡市滨湖区钱荣路183号</w:t>
            </w:r>
            <w:r>
              <w:rPr>
                <w:color w:val="000000" w:themeColor="text1"/>
                <w:highlight w:val="none"/>
              </w:rPr>
            </w:r>
            <w:r/>
          </w:p>
        </w:tc>
      </w:tr>
    </w:tbl>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 采购人提供供应商使用的场地、设施、设备、材料等。</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1.2.1采购人可提供的办公室</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1248"/>
        <w:gridCol w:w="1287"/>
        <w:gridCol w:w="4191"/>
      </w:tblGrid>
      <w:tr>
        <w:trPr/>
        <w:tc>
          <w:tcPr>
            <w:tcMar>
              <w:left w:w="108" w:type="dxa"/>
              <w:top w:w="0" w:type="dxa"/>
              <w:right w:w="108" w:type="dxa"/>
              <w:bottom w:w="0" w:type="dxa"/>
            </w:tcMar>
            <w:tcW w:w="856"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序号</w:t>
            </w:r>
            <w:r>
              <w:rPr>
                <w:color w:val="000000" w:themeColor="text1"/>
                <w:highlight w:val="none"/>
              </w:rPr>
            </w:r>
            <w:r/>
          </w:p>
        </w:tc>
        <w:tc>
          <w:tcPr>
            <w:tcMar>
              <w:left w:w="108" w:type="dxa"/>
              <w:top w:w="0" w:type="dxa"/>
              <w:right w:w="108" w:type="dxa"/>
              <w:bottom w:w="0" w:type="dxa"/>
            </w:tcMar>
            <w:tcW w:w="124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数量</w:t>
            </w:r>
            <w:r>
              <w:rPr>
                <w:color w:val="000000" w:themeColor="text1"/>
                <w:highlight w:val="none"/>
              </w:rPr>
            </w:r>
            <w:r/>
          </w:p>
        </w:tc>
        <w:tc>
          <w:tcPr>
            <w:tcMar>
              <w:left w:w="108" w:type="dxa"/>
              <w:top w:w="0" w:type="dxa"/>
              <w:right w:w="108" w:type="dxa"/>
              <w:bottom w:w="0" w:type="dxa"/>
            </w:tcMar>
            <w:tcW w:w="128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面积㎡</w:t>
            </w:r>
            <w:r>
              <w:rPr>
                <w:color w:val="000000" w:themeColor="text1"/>
                <w:highlight w:val="none"/>
              </w:rPr>
            </w:r>
            <w:r/>
          </w:p>
        </w:tc>
        <w:tc>
          <w:tcPr>
            <w:tcMar>
              <w:left w:w="108" w:type="dxa"/>
              <w:top w:w="0" w:type="dxa"/>
              <w:right w:w="108" w:type="dxa"/>
              <w:bottom w:w="0" w:type="dxa"/>
            </w:tcMar>
            <w:tcW w:w="4191"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办公室内可用设施设备清单</w:t>
            </w:r>
            <w:r>
              <w:rPr>
                <w:color w:val="000000" w:themeColor="text1"/>
                <w:highlight w:val="none"/>
              </w:rPr>
            </w:r>
            <w:r/>
          </w:p>
        </w:tc>
      </w:tr>
      <w:tr>
        <w:trPr/>
        <w:tc>
          <w:tcPr>
            <w:tcMar>
              <w:left w:w="108" w:type="dxa"/>
              <w:top w:w="0" w:type="dxa"/>
              <w:right w:w="108" w:type="dxa"/>
              <w:bottom w:w="0" w:type="dxa"/>
            </w:tcMar>
            <w:tcW w:w="856"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24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物业用房</w:t>
            </w:r>
            <w:r>
              <w:rPr>
                <w:color w:val="000000" w:themeColor="text1"/>
                <w:highlight w:val="none"/>
              </w:rPr>
            </w:r>
            <w:r/>
          </w:p>
        </w:tc>
        <w:tc>
          <w:tcPr>
            <w:shd w:val="clear" w:color="ffffff" w:fill="ffffff"/>
            <w:tcMar>
              <w:left w:w="108" w:type="dxa"/>
              <w:top w:w="0" w:type="dxa"/>
              <w:right w:w="108" w:type="dxa"/>
              <w:bottom w:w="0" w:type="dxa"/>
            </w:tcMar>
            <w:tcW w:w="128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100</w:t>
            </w:r>
            <w:r>
              <w:rPr>
                <w:color w:val="000000" w:themeColor="text1"/>
                <w:highlight w:val="none"/>
              </w:rPr>
            </w:r>
            <w:r/>
          </w:p>
        </w:tc>
        <w:tc>
          <w:tcPr>
            <w:tcMar>
              <w:left w:w="108" w:type="dxa"/>
              <w:top w:w="0" w:type="dxa"/>
              <w:right w:w="108" w:type="dxa"/>
              <w:bottom w:w="0" w:type="dxa"/>
            </w:tcMar>
            <w:tcW w:w="4191"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无</w:t>
            </w:r>
            <w:r>
              <w:rPr>
                <w:color w:val="000000" w:themeColor="text1"/>
                <w:highlight w:val="none"/>
              </w:rPr>
            </w:r>
            <w:r/>
          </w:p>
        </w:tc>
      </w:tr>
      <w:tr>
        <w:trPr/>
        <w:tc>
          <w:tcPr>
            <w:tcMar>
              <w:left w:w="108" w:type="dxa"/>
              <w:top w:w="0" w:type="dxa"/>
              <w:right w:w="108" w:type="dxa"/>
              <w:bottom w:w="0" w:type="dxa"/>
            </w:tcMar>
            <w:tcW w:w="856"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2</w:t>
            </w:r>
            <w:r>
              <w:rPr>
                <w:color w:val="000000" w:themeColor="text1"/>
                <w:highlight w:val="none"/>
              </w:rPr>
            </w:r>
            <w:r/>
          </w:p>
        </w:tc>
        <w:tc>
          <w:tcPr>
            <w:tcMar>
              <w:left w:w="108" w:type="dxa"/>
              <w:top w:w="0" w:type="dxa"/>
              <w:right w:w="108" w:type="dxa"/>
              <w:bottom w:w="0" w:type="dxa"/>
            </w:tcMar>
            <w:tcW w:w="124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仓库</w:t>
            </w:r>
            <w:r>
              <w:rPr>
                <w:color w:val="000000" w:themeColor="text1"/>
                <w:highlight w:val="none"/>
              </w:rPr>
            </w:r>
            <w:r/>
          </w:p>
        </w:tc>
        <w:tc>
          <w:tcPr>
            <w:shd w:val="clear" w:color="ffffff" w:fill="ffffff"/>
            <w:tcMar>
              <w:left w:w="108" w:type="dxa"/>
              <w:top w:w="0" w:type="dxa"/>
              <w:right w:w="108" w:type="dxa"/>
              <w:bottom w:w="0" w:type="dxa"/>
            </w:tcMar>
            <w:tcW w:w="128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50</w:t>
            </w:r>
            <w:r>
              <w:rPr>
                <w:color w:val="000000" w:themeColor="text1"/>
                <w:highlight w:val="none"/>
              </w:rPr>
            </w:r>
            <w:r/>
          </w:p>
        </w:tc>
        <w:tc>
          <w:tcPr>
            <w:tcMar>
              <w:left w:w="108" w:type="dxa"/>
              <w:top w:w="0" w:type="dxa"/>
              <w:right w:w="108" w:type="dxa"/>
              <w:bottom w:w="0" w:type="dxa"/>
            </w:tcMar>
            <w:tcW w:w="4191"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无</w:t>
            </w:r>
            <w:r>
              <w:rPr>
                <w:color w:val="000000" w:themeColor="text1"/>
                <w:highlight w:val="none"/>
              </w:rPr>
            </w:r>
            <w:r/>
          </w:p>
        </w:tc>
      </w:tr>
    </w:tbl>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1.2.2采购人可提供的物业管理服务设备</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994"/>
        <w:gridCol w:w="1070"/>
        <w:gridCol w:w="1834"/>
        <w:gridCol w:w="2607"/>
      </w:tblGrid>
      <w:tr>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序号</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名称</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数量</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用途</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主要技术指标</w:t>
            </w:r>
            <w:r>
              <w:rPr>
                <w:color w:val="000000" w:themeColor="text1"/>
                <w:highlight w:val="none"/>
              </w:rPr>
            </w:r>
            <w:r/>
          </w:p>
        </w:tc>
      </w:tr>
      <w:tr>
        <w:trPr>
          <w:trHeight w:val="312"/>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洗地机</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2</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升降机</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3</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高压冲洗机</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2</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4</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洗车机</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5</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空压机</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6</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吸尘器</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45"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7</w:t>
            </w:r>
            <w:r>
              <w:rPr>
                <w:color w:val="000000" w:themeColor="text1"/>
                <w:highlight w:val="none"/>
              </w:rPr>
            </w:r>
            <w:r/>
          </w:p>
        </w:tc>
        <w:tc>
          <w:tcPr>
            <w:tcMar>
              <w:left w:w="108" w:type="dxa"/>
              <w:top w:w="0" w:type="dxa"/>
              <w:right w:w="108" w:type="dxa"/>
              <w:bottom w:w="0" w:type="dxa"/>
            </w:tcMar>
            <w:tcW w:w="99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污水泵</w:t>
            </w:r>
            <w:r>
              <w:rPr>
                <w:color w:val="000000" w:themeColor="text1"/>
                <w:highlight w:val="none"/>
              </w:rPr>
            </w:r>
            <w:r/>
          </w:p>
        </w:tc>
        <w:tc>
          <w:tcPr>
            <w:tcMar>
              <w:left w:w="108" w:type="dxa"/>
              <w:top w:w="0" w:type="dxa"/>
              <w:right w:w="108" w:type="dxa"/>
              <w:bottom w:w="0" w:type="dxa"/>
            </w:tcMar>
            <w:tcW w:w="10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4</w:t>
            </w:r>
            <w:r>
              <w:rPr>
                <w:color w:val="000000" w:themeColor="text1"/>
                <w:highlight w:val="none"/>
              </w:rPr>
            </w:r>
            <w:r/>
          </w:p>
        </w:tc>
        <w:tc>
          <w:tcPr>
            <w:tcMar>
              <w:left w:w="108" w:type="dxa"/>
              <w:top w:w="0" w:type="dxa"/>
              <w:right w:w="108" w:type="dxa"/>
              <w:bottom w:w="0" w:type="dxa"/>
            </w:tcMar>
            <w:tcW w:w="183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07"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bl>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1.2.3采购人可提供的零星维修材料、低值易耗品</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038"/>
        <w:gridCol w:w="1104"/>
        <w:gridCol w:w="5262"/>
      </w:tblGrid>
      <w:tr>
        <w:trPr/>
        <w:tc>
          <w:tcPr>
            <w:gridSpan w:val="4"/>
            <w:tcMar>
              <w:left w:w="108" w:type="dxa"/>
              <w:top w:w="0" w:type="dxa"/>
              <w:right w:w="108" w:type="dxa"/>
              <w:bottom w:w="0" w:type="dxa"/>
            </w:tcMar>
            <w:tcW w:w="8274" w:type="dxa"/>
            <w:vAlign w:val="top"/>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零星维修材料</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序号</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名称</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数量</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用途</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插座</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2</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开关</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3</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水龙头</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rHeight w:val="90"/>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4</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水暖配件</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5</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油漆</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6</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灯具类</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7</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各类水管</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8</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各类水阀</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gridSpan w:val="4"/>
            <w:tcMar>
              <w:left w:w="108" w:type="dxa"/>
              <w:top w:w="0" w:type="dxa"/>
              <w:right w:w="108" w:type="dxa"/>
              <w:bottom w:w="0" w:type="dxa"/>
            </w:tcMar>
            <w:tcW w:w="8274" w:type="dxa"/>
            <w:vAlign w:val="top"/>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低值易耗品</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序号</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名称</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数量</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用途</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垃圾袋</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2</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洗手液</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3</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擦手纸</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4</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袋装/盒装抽纸</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5</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卷筒纸</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6</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理发耗材</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7</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洗衣耗材</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8</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沐浴耗材</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r>
        <w:trPr/>
        <w:tc>
          <w:tcPr>
            <w:tcMar>
              <w:left w:w="108" w:type="dxa"/>
              <w:top w:w="0" w:type="dxa"/>
              <w:right w:w="108" w:type="dxa"/>
              <w:bottom w:w="0" w:type="dxa"/>
            </w:tcMar>
            <w:tcW w:w="870"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9</w:t>
            </w:r>
            <w:r>
              <w:rPr>
                <w:color w:val="000000" w:themeColor="text1"/>
                <w:highlight w:val="none"/>
              </w:rPr>
            </w:r>
            <w:r/>
          </w:p>
        </w:tc>
        <w:tc>
          <w:tcPr>
            <w:tcMar>
              <w:left w:w="108" w:type="dxa"/>
              <w:top w:w="0" w:type="dxa"/>
              <w:right w:w="108" w:type="dxa"/>
              <w:bottom w:w="0" w:type="dxa"/>
            </w:tcMar>
            <w:tcW w:w="1038"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洗车机配件及耗材</w:t>
            </w:r>
            <w:r>
              <w:rPr>
                <w:color w:val="000000" w:themeColor="text1"/>
                <w:highlight w:val="none"/>
              </w:rPr>
            </w:r>
            <w:r/>
          </w:p>
        </w:tc>
        <w:tc>
          <w:tcPr>
            <w:tcMar>
              <w:left w:w="108" w:type="dxa"/>
              <w:top w:w="0" w:type="dxa"/>
              <w:right w:w="108" w:type="dxa"/>
              <w:bottom w:w="0" w:type="dxa"/>
            </w:tcMar>
            <w:tcW w:w="1104"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若干</w:t>
            </w:r>
            <w:r>
              <w:rPr>
                <w:color w:val="000000" w:themeColor="text1"/>
                <w:highlight w:val="none"/>
              </w:rPr>
            </w:r>
            <w:r/>
          </w:p>
        </w:tc>
        <w:tc>
          <w:tcPr>
            <w:tcMar>
              <w:left w:w="108" w:type="dxa"/>
              <w:top w:w="0" w:type="dxa"/>
              <w:right w:w="108" w:type="dxa"/>
              <w:bottom w:w="0" w:type="dxa"/>
            </w:tcMar>
            <w:tcW w:w="5262" w:type="dxa"/>
            <w:vAlign w:val="top"/>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w:t>
            </w:r>
            <w:r>
              <w:rPr>
                <w:color w:val="000000" w:themeColor="text1"/>
                <w:highlight w:val="none"/>
              </w:rPr>
            </w:r>
            <w:r/>
          </w:p>
        </w:tc>
      </w:tr>
    </w:tbl>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除以上所列场地、设施、设备、材料外，与物业管理服务有关的其他场地、设施、设备、材料均由供应商承担。</w:t>
      </w:r>
      <w:r>
        <w:rPr>
          <w:color w:val="000000" w:themeColor="text1"/>
          <w:highlight w:val="none"/>
        </w:rPr>
      </w:r>
      <w:r/>
    </w:p>
    <w:p>
      <w:pPr>
        <w:pStyle w:val="861"/>
        <w:numPr>
          <w:ilvl w:val="0"/>
          <w:numId w:val="0"/>
        </w:numPr>
        <w:spacing w:line="85" w:lineRule="atLeast"/>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物业服务范围</w:t>
      </w:r>
      <w:r>
        <w:rPr>
          <w:color w:val="000000" w:themeColor="text1"/>
          <w:highlight w:val="none"/>
        </w:rPr>
      </w:r>
      <w:r/>
    </w:p>
    <w:p>
      <w:pPr>
        <w:pStyle w:val="861"/>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2.1建筑1：市法院本部办公楼</w:t>
      </w:r>
      <w:r>
        <w:rPr>
          <w:color w:val="000000" w:themeColor="text1"/>
          <w:highlight w:val="none"/>
        </w:rPr>
      </w:r>
      <w:r/>
    </w:p>
    <w:p>
      <w:pPr>
        <w:pStyle w:val="861"/>
        <w:numPr>
          <w:ilvl w:val="0"/>
          <w:numId w:val="0"/>
        </w:num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物业管理（建筑物）</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4"/>
        <w:gridCol w:w="1614"/>
        <w:gridCol w:w="3542"/>
        <w:gridCol w:w="2589"/>
      </w:tblGrid>
      <w:tr>
        <w:trPr>
          <w:trHeight w:val="454"/>
        </w:trPr>
        <w:tc>
          <w:tcPr>
            <w:gridSpan w:val="2"/>
            <w:tcMar>
              <w:left w:w="108" w:type="dxa"/>
              <w:top w:w="0" w:type="dxa"/>
              <w:right w:w="108" w:type="dxa"/>
              <w:bottom w:w="0" w:type="dxa"/>
            </w:tcMar>
            <w:tcW w:w="3038"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名称</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明细</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服务内容及标准</w:t>
            </w:r>
            <w:r>
              <w:rPr>
                <w:color w:val="000000" w:themeColor="text1"/>
                <w:highlight w:val="none"/>
              </w:rPr>
            </w:r>
            <w:r/>
          </w:p>
        </w:tc>
      </w:tr>
      <w:tr>
        <w:trPr>
          <w:trHeight w:val="454"/>
        </w:trPr>
        <w:tc>
          <w:tcPr>
            <w:gridSpan w:val="2"/>
            <w:tcMar>
              <w:left w:w="108" w:type="dxa"/>
              <w:top w:w="0" w:type="dxa"/>
              <w:right w:w="108" w:type="dxa"/>
              <w:bottom w:w="0" w:type="dxa"/>
            </w:tcMar>
            <w:tcW w:w="3038"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建筑1名称</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市法院本部办公楼</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r>
      <w:tr>
        <w:trPr>
          <w:trHeight w:val="454"/>
        </w:trPr>
        <w:tc>
          <w:tcPr>
            <w:tcMar>
              <w:left w:w="108" w:type="dxa"/>
              <w:top w:w="0" w:type="dxa"/>
              <w:right w:w="108" w:type="dxa"/>
              <w:bottom w:w="0" w:type="dxa"/>
            </w:tcMar>
            <w:tcW w:w="1424"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总面积</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建筑面积（㎡）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43322.11</w:t>
            </w: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见“3.1基本服务”“3.7其他服务”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需保洁面积（㎡）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47814.11</w:t>
            </w: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门窗</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门窗总数量（个）及总面积（㎡）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管理区域内所有门窗</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地面</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地面各材质及总面积（㎡）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管理区域内所有地面</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内墙饰面</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内墙饰面各材质及总面积（㎡）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管理区域内所有内墙饰面</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顶面</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顶面各材质及总面积（㎡）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管理区域内所有顶面</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外墙</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外墙各材质及总面积（㎡）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管理区域内所有外墙</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室内设施说明</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会议室内会议桌、会议椅、电子屏、话筒等所有设备（不含维护）</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见“3.2房屋维护服务”“3.4保洁服务”“3.6会议服务”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会议室数量（个）及总面积（㎡）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17个，1580㎡</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见“3.4保洁服务”“3.6会议服务”</w:t>
            </w:r>
            <w:r>
              <w:rPr>
                <w:color w:val="000000" w:themeColor="text1"/>
                <w:highlight w:val="none"/>
              </w:rPr>
            </w:r>
            <w:r/>
          </w:p>
        </w:tc>
      </w:tr>
      <w:tr>
        <w:trPr>
          <w:trHeight w:val="454"/>
        </w:trPr>
        <w:tc>
          <w:tcPr>
            <w:tcMar>
              <w:left w:w="108" w:type="dxa"/>
              <w:top w:w="0" w:type="dxa"/>
              <w:right w:w="108" w:type="dxa"/>
              <w:bottom w:w="0" w:type="dxa"/>
            </w:tcMar>
            <w:tcW w:w="1424"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报告厅</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室内设施说明</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报告厅内会议桌、会议椅、投影机、话筒等所有设备（不含维护）</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见“3.4保洁服务”“3.6会议服务”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报告厅数量（个）及总面积（㎡）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2个，1200㎡</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见“3.4保洁服务”“3.6会议服务”</w:t>
            </w:r>
            <w:r>
              <w:rPr>
                <w:color w:val="000000" w:themeColor="text1"/>
                <w:highlight w:val="none"/>
              </w:rPr>
            </w:r>
            <w:r/>
          </w:p>
        </w:tc>
      </w:tr>
      <w:tr>
        <w:trPr>
          <w:trHeight w:val="454"/>
        </w:trPr>
        <w:tc>
          <w:tcPr>
            <w:tcMar>
              <w:left w:w="108" w:type="dxa"/>
              <w:top w:w="0" w:type="dxa"/>
              <w:right w:w="108" w:type="dxa"/>
              <w:bottom w:w="0" w:type="dxa"/>
            </w:tcMar>
            <w:tcW w:w="142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卫生间</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卫生间数量（个）及总面积（㎡）</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160个，4800㎡</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垃圾存放点</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各垃圾存放点位置、面积（㎡）及数量（个）</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垃圾站1处，50㎡</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424"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车位数</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地下车位数</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245</w:t>
            </w:r>
            <w:r>
              <w:rPr>
                <w:rFonts w:ascii="宋体" w:hAnsi="宋体" w:cs="宋体"/>
                <w:color w:val="000000" w:themeColor="text1"/>
                <w:highlight w:val="none"/>
              </w:rPr>
              <w:t xml:space="preserve">个</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地面车位数</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41</w:t>
            </w:r>
            <w:r>
              <w:rPr>
                <w:rFonts w:ascii="宋体" w:hAnsi="宋体" w:cs="宋体"/>
                <w:color w:val="000000" w:themeColor="text1"/>
                <w:highlight w:val="none"/>
              </w:rPr>
              <w:t xml:space="preserve">个</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Mar>
              <w:left w:w="108" w:type="dxa"/>
              <w:top w:w="0" w:type="dxa"/>
              <w:right w:w="108" w:type="dxa"/>
              <w:bottom w:w="0" w:type="dxa"/>
            </w:tcMar>
            <w:tcW w:w="1424"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车行/人行口</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车行口</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1个</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人行口</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1个</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Mar>
              <w:left w:w="108" w:type="dxa"/>
              <w:top w:w="0" w:type="dxa"/>
              <w:right w:w="108" w:type="dxa"/>
              <w:bottom w:w="0" w:type="dxa"/>
            </w:tcMar>
            <w:tcW w:w="1424"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设施设备（可另行附表）</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给排水系统</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管理区域内所有给排水系统</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照明系统</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管理区域内所有照明系统</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供配电系统</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高压配电间2个，干式变压器2台</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智能楼宇系统</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智能建设管理系统1套</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机械车位</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245个可移动升降机械车位，综合楼78个双层升降机械车位，审判楼167个三层升降机械车位</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r>
        <w:trPr>
          <w:trHeight w:val="454"/>
        </w:trPr>
        <w:tc>
          <w:tcPr>
            <w:tcW w:w="1424" w:type="dxa"/>
            <w:vAlign w:val="top"/>
            <w:vMerge w:val="continue"/>
            <w:textDirection w:val="lrTb"/>
            <w:noWrap w:val="false"/>
          </w:tcPr>
          <w:p>
            <w:pPr>
              <w:pStyle w:val="861"/>
            </w:pPr>
            <w:r/>
            <w:r/>
          </w:p>
        </w:tc>
        <w:tc>
          <w:tcPr>
            <w:tcMar>
              <w:left w:w="108" w:type="dxa"/>
              <w:top w:w="0" w:type="dxa"/>
              <w:right w:w="108" w:type="dxa"/>
              <w:bottom w:w="0" w:type="dxa"/>
            </w:tcMar>
            <w:tcW w:w="1614"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景观池</w:t>
            </w:r>
            <w:r>
              <w:rPr>
                <w:color w:val="000000" w:themeColor="text1"/>
                <w:highlight w:val="none"/>
              </w:rPr>
            </w:r>
            <w:r/>
          </w:p>
        </w:tc>
        <w:tc>
          <w:tcPr>
            <w:tcMar>
              <w:left w:w="108" w:type="dxa"/>
              <w:top w:w="0" w:type="dxa"/>
              <w:right w:w="108" w:type="dxa"/>
              <w:bottom w:w="0" w:type="dxa"/>
            </w:tcMar>
            <w:tcW w:w="3542"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2个</w:t>
            </w:r>
            <w:r>
              <w:rPr>
                <w:color w:val="000000" w:themeColor="text1"/>
                <w:highlight w:val="none"/>
              </w:rPr>
            </w:r>
            <w:r/>
          </w:p>
        </w:tc>
        <w:tc>
          <w:tcPr>
            <w:tcMar>
              <w:left w:w="108" w:type="dxa"/>
              <w:top w:w="0" w:type="dxa"/>
              <w:right w:w="108" w:type="dxa"/>
              <w:bottom w:w="0" w:type="dxa"/>
            </w:tcMar>
            <w:tcW w:w="258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bl>
    <w:p>
      <w:pPr>
        <w:pStyle w:val="861"/>
        <w:numPr>
          <w:ilvl w:val="0"/>
          <w:numId w:val="0"/>
        </w:num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物业管理（室外）</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4"/>
        <w:gridCol w:w="3296"/>
        <w:gridCol w:w="3979"/>
      </w:tblGrid>
      <w:tr>
        <w:trPr>
          <w:trHeight w:val="454"/>
        </w:trPr>
        <w:tc>
          <w:tcPr>
            <w:tcMar>
              <w:left w:w="108" w:type="dxa"/>
              <w:top w:w="0" w:type="dxa"/>
              <w:right w:w="108" w:type="dxa"/>
              <w:bottom w:w="0" w:type="dxa"/>
            </w:tcMar>
            <w:tcW w:w="192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名称</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明细</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服务内容及标准</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室外面积</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6492㎡</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绿化</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2000㎡</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见“3.4保洁服务”“3.5绿化服务”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广场</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4492㎡</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路灯、草坪灯、音箱</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管理区域内所有路灯、音箱</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消防栓</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管理区域内所有消防栓，约260个</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垃圾箱</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管理区域内所有垃圾箱</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室外配电箱</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管理区域内所有室外配电箱</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门前三包</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露台</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300㎡</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指示牌、显示屏</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管理区域内所有指示牌、显示屏</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bl>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2.2建筑2：钱桥法庭办公楼</w:t>
      </w:r>
      <w:r>
        <w:rPr>
          <w:color w:val="000000" w:themeColor="text1"/>
          <w:highlight w:val="none"/>
        </w:rPr>
      </w:r>
      <w:r/>
    </w:p>
    <w:p>
      <w:pPr>
        <w:pStyle w:val="861"/>
        <w:numPr>
          <w:ilvl w:val="0"/>
          <w:numId w:val="0"/>
        </w:num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物业管理（建筑物）</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1616"/>
        <w:gridCol w:w="3535"/>
        <w:gridCol w:w="2592"/>
      </w:tblGrid>
      <w:tr>
        <w:trPr>
          <w:trHeight w:val="454"/>
        </w:trPr>
        <w:tc>
          <w:tcPr>
            <w:gridSpan w:val="2"/>
            <w:tcMar>
              <w:left w:w="108" w:type="dxa"/>
              <w:top w:w="0" w:type="dxa"/>
              <w:right w:w="108" w:type="dxa"/>
              <w:bottom w:w="0" w:type="dxa"/>
            </w:tcMar>
            <w:tcW w:w="3091"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名称</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明细</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服务内容及标准</w:t>
            </w:r>
            <w:r>
              <w:rPr>
                <w:color w:val="000000" w:themeColor="text1"/>
                <w:highlight w:val="none"/>
              </w:rPr>
            </w:r>
            <w:r/>
          </w:p>
        </w:tc>
      </w:tr>
      <w:tr>
        <w:trPr>
          <w:trHeight w:val="454"/>
        </w:trPr>
        <w:tc>
          <w:tcPr>
            <w:gridSpan w:val="2"/>
            <w:tcMar>
              <w:left w:w="108" w:type="dxa"/>
              <w:top w:w="0" w:type="dxa"/>
              <w:right w:w="108" w:type="dxa"/>
              <w:bottom w:w="0" w:type="dxa"/>
            </w:tcMar>
            <w:tcW w:w="309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建筑2名称</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钱桥法庭办公楼</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总面积</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建筑面积（㎡）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2154</w:t>
            </w: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需保洁面积（㎡）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2154</w:t>
            </w: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门窗</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门窗总数量（个）及总面积（㎡）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管理区域内所有门窗</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地面</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地面各材质及总面积（㎡）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管理区域内所有地面</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内墙饰面</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内墙饰面各材质及总面积（㎡）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管理区域内所有内墙饰面</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顶面</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顶面各材质及总面积（㎡）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管理区域内所有顶面</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外墙</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外墙各材质及总面积（㎡）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管理区域内所有外墙</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室内设施说明</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会议室内会议桌、会议椅、电子屏、话筒等所有设备（不含维护）</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见“3.2房屋维护服务”“3.4保洁服务”“3.6会议服务”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会议室数量（个）及总面积（㎡）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4个，800㎡</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见“3.4保洁服务”“3.6会议服务”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报告厅</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室内设施说明</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报告厅内会议桌、会议椅、投影机、话筒等所有设备（不含维护）</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见“3.4保洁服务”“3.6会议服务”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卫生间</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卫生间数量（个）及总面积（㎡）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4个，120㎡</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车行/人行口</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车行口</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1个</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人行口</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1个</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设施设备（可另行附表）</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给排水系统</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管理区域内所有给排水系统</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照明系统</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管理区域内所有照明系统</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bl>
    <w:p>
      <w:pPr>
        <w:pStyle w:val="861"/>
        <w:ind w:left="72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pStyle w:val="861"/>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2.3建筑3：法警基地办公楼</w:t>
      </w:r>
      <w:r>
        <w:rPr>
          <w:color w:val="000000" w:themeColor="text1"/>
          <w:highlight w:val="none"/>
        </w:rPr>
      </w:r>
      <w:r/>
    </w:p>
    <w:p>
      <w:pPr>
        <w:pStyle w:val="861"/>
        <w:numPr>
          <w:ilvl w:val="0"/>
          <w:numId w:val="0"/>
        </w:num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物业管理（建筑物）</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1616"/>
        <w:gridCol w:w="3535"/>
        <w:gridCol w:w="2592"/>
      </w:tblGrid>
      <w:tr>
        <w:trPr>
          <w:trHeight w:val="454"/>
        </w:trPr>
        <w:tc>
          <w:tcPr>
            <w:gridSpan w:val="2"/>
            <w:tcMar>
              <w:left w:w="108" w:type="dxa"/>
              <w:top w:w="0" w:type="dxa"/>
              <w:right w:w="108" w:type="dxa"/>
              <w:bottom w:w="0" w:type="dxa"/>
            </w:tcMar>
            <w:tcW w:w="3091"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名称</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明细</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服务内容及标准</w:t>
            </w:r>
            <w:r>
              <w:rPr>
                <w:color w:val="000000" w:themeColor="text1"/>
                <w:highlight w:val="none"/>
              </w:rPr>
            </w:r>
            <w:r/>
          </w:p>
        </w:tc>
      </w:tr>
      <w:tr>
        <w:trPr>
          <w:trHeight w:val="454"/>
        </w:trPr>
        <w:tc>
          <w:tcPr>
            <w:gridSpan w:val="2"/>
            <w:tcMar>
              <w:left w:w="108" w:type="dxa"/>
              <w:top w:w="0" w:type="dxa"/>
              <w:right w:w="108" w:type="dxa"/>
              <w:bottom w:w="0" w:type="dxa"/>
            </w:tcMar>
            <w:tcW w:w="309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建筑3名称</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法警基地办公楼</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总面积</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建筑面积（㎡）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6596</w:t>
            </w: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见“3.1基本服务”“3.7其他服务”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需保洁面积（㎡）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9356</w:t>
            </w:r>
            <w:r>
              <w:rPr>
                <w:rFonts w:ascii="宋体" w:hAnsi="宋体" w:cs="宋体"/>
                <w:color w:val="000000" w:themeColor="text1"/>
                <w:spacing w:val="-1"/>
                <w:highlight w:val="none"/>
              </w:rPr>
              <w:t xml:space="preserve">㎡</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门窗</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门窗总数量（个）及总面积（㎡）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管理区域内所有门窗</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地面</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地面各材质及总面积（㎡）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管理区域内所有地面</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内墙饰面</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内墙饰面各材质及总面积（㎡）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管理区域内所有内墙饰面</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顶面</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顶面各材质及总面积（㎡）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管理区域内所有顶面</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外墙</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外墙各材质及总面积（㎡）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管理区域内所有外墙</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室内设施说明</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会议室内会议桌、会议椅、电子屏、话筒等所有设备（不含维护）</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见“3.2房屋维护服务”“3.4保洁服务”“3.6会议服务”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会议室数量（个）及总面积（㎡）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2个，1000㎡</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见“3.4保洁服务”“3.6会议服务”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报告厅</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室内设施说明</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报告厅内会议桌、会议椅、投影机、话筒等所有设备（不含维护）</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见“3.4保洁服务”“3.6会议服务”</w:t>
            </w:r>
            <w:r>
              <w:rPr>
                <w:color w:val="000000" w:themeColor="text1"/>
                <w:highlight w:val="none"/>
              </w:rPr>
            </w:r>
            <w:r/>
          </w:p>
        </w:tc>
      </w:tr>
      <w:tr>
        <w:trPr>
          <w:trHeight w:val="454"/>
        </w:trPr>
        <w:tc>
          <w:tcPr>
            <w:tcMar>
              <w:left w:w="108" w:type="dxa"/>
              <w:top w:w="0" w:type="dxa"/>
              <w:right w:w="108" w:type="dxa"/>
              <w:bottom w:w="0" w:type="dxa"/>
            </w:tcMar>
            <w:tcW w:w="1451"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卫生间</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卫生间数量（个）及总面积（㎡）</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6个，180㎡</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车行/人行口</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车行口</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1个</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人行口</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1个</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见“3.1基本服务”</w:t>
            </w:r>
            <w:r>
              <w:rPr>
                <w:color w:val="000000" w:themeColor="text1"/>
                <w:highlight w:val="none"/>
              </w:rPr>
            </w:r>
            <w:r/>
          </w:p>
        </w:tc>
      </w:tr>
      <w:tr>
        <w:trPr>
          <w:trHeight w:val="454"/>
        </w:trPr>
        <w:tc>
          <w:tcPr>
            <w:tcMar>
              <w:left w:w="108" w:type="dxa"/>
              <w:top w:w="0" w:type="dxa"/>
              <w:right w:w="108" w:type="dxa"/>
              <w:bottom w:w="0" w:type="dxa"/>
            </w:tcMar>
            <w:tcW w:w="1451" w:type="dxa"/>
            <w:vAlign w:val="center"/>
            <w:vMerge w:val="restart"/>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设施设备（可另行附表）</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给排水系统</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管理区域内所有给排水系统</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r>
        <w:trPr>
          <w:trHeight w:val="454"/>
        </w:trPr>
        <w:tc>
          <w:tcPr>
            <w:tcW w:w="1426" w:type="dxa"/>
            <w:vAlign w:val="top"/>
            <w:vMerge w:val="continue"/>
            <w:textDirection w:val="lrTb"/>
            <w:noWrap w:val="false"/>
          </w:tcPr>
          <w:p>
            <w:pPr>
              <w:pStyle w:val="861"/>
            </w:pPr>
            <w:r/>
            <w:r/>
          </w:p>
        </w:tc>
        <w:tc>
          <w:tcPr>
            <w:tcMar>
              <w:left w:w="108" w:type="dxa"/>
              <w:top w:w="0" w:type="dxa"/>
              <w:right w:w="108" w:type="dxa"/>
              <w:bottom w:w="0" w:type="dxa"/>
            </w:tcMar>
            <w:tcW w:w="1640"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照明系统</w:t>
            </w:r>
            <w:r>
              <w:rPr>
                <w:color w:val="000000" w:themeColor="text1"/>
                <w:highlight w:val="none"/>
              </w:rPr>
            </w:r>
            <w:r/>
          </w:p>
        </w:tc>
        <w:tc>
          <w:tcPr>
            <w:tcMar>
              <w:left w:w="108" w:type="dxa"/>
              <w:top w:w="0" w:type="dxa"/>
              <w:right w:w="108" w:type="dxa"/>
              <w:bottom w:w="0" w:type="dxa"/>
            </w:tcMar>
            <w:tcW w:w="362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管理区域内所有照明系统</w:t>
            </w:r>
            <w:r>
              <w:rPr>
                <w:color w:val="000000" w:themeColor="text1"/>
                <w:highlight w:val="none"/>
              </w:rPr>
            </w:r>
            <w:r/>
          </w:p>
        </w:tc>
        <w:tc>
          <w:tcPr>
            <w:tcMar>
              <w:left w:w="108" w:type="dxa"/>
              <w:top w:w="0" w:type="dxa"/>
              <w:right w:w="108" w:type="dxa"/>
              <w:bottom w:w="0" w:type="dxa"/>
            </w:tcMar>
            <w:tcW w:w="2637"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见“3.3公用设施设备维护服务”</w:t>
            </w:r>
            <w:r>
              <w:rPr>
                <w:color w:val="000000" w:themeColor="text1"/>
                <w:highlight w:val="none"/>
              </w:rPr>
            </w:r>
            <w:r/>
          </w:p>
        </w:tc>
      </w:tr>
    </w:tbl>
    <w:p>
      <w:pPr>
        <w:pStyle w:val="861"/>
        <w:numPr>
          <w:ilvl w:val="0"/>
          <w:numId w:val="0"/>
        </w:num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物业管理（室外）</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4"/>
        <w:gridCol w:w="3296"/>
        <w:gridCol w:w="3979"/>
      </w:tblGrid>
      <w:tr>
        <w:trPr>
          <w:trHeight w:val="454"/>
        </w:trPr>
        <w:tc>
          <w:tcPr>
            <w:tcMar>
              <w:left w:w="108" w:type="dxa"/>
              <w:top w:w="0" w:type="dxa"/>
              <w:right w:w="108" w:type="dxa"/>
              <w:bottom w:w="0" w:type="dxa"/>
            </w:tcMar>
            <w:tcW w:w="192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名称</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明细</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服务内容及标准</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室外面积</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2760㎡</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绿化</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0㎡</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见“3.4保洁服务”“3.5绿化服务”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广场</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2760㎡</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路灯、草坪灯、音箱</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管理区域内所有路灯、音箱</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消防栓</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管理区域内所有消防栓，约260个</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垃圾箱</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管理区域内所有垃圾箱</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室外配电箱</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管理区域内所有室外配电箱</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门前三包</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w:t>
            </w:r>
            <w:r>
              <w:rPr>
                <w:color w:val="000000" w:themeColor="text1"/>
                <w:highlight w:val="none"/>
              </w:rPr>
            </w:r>
            <w:r/>
          </w:p>
        </w:tc>
      </w:tr>
      <w:tr>
        <w:trPr>
          <w:trHeight w:val="454"/>
        </w:trPr>
        <w:tc>
          <w:tcPr>
            <w:tcMar>
              <w:left w:w="108" w:type="dxa"/>
              <w:top w:w="0" w:type="dxa"/>
              <w:right w:w="108" w:type="dxa"/>
              <w:bottom w:w="0" w:type="dxa"/>
            </w:tcMar>
            <w:tcW w:w="192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指示牌、显示屏</w:t>
            </w:r>
            <w:r>
              <w:rPr>
                <w:color w:val="000000" w:themeColor="text1"/>
                <w:highlight w:val="none"/>
              </w:rPr>
            </w:r>
            <w:r/>
          </w:p>
        </w:tc>
        <w:tc>
          <w:tcPr>
            <w:tcMar>
              <w:left w:w="108" w:type="dxa"/>
              <w:top w:w="0" w:type="dxa"/>
              <w:right w:w="108" w:type="dxa"/>
              <w:bottom w:w="0" w:type="dxa"/>
            </w:tcMar>
            <w:tcW w:w="3369"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管理区域内所有指示牌、显示屏</w:t>
            </w:r>
            <w:r>
              <w:rPr>
                <w:color w:val="000000" w:themeColor="text1"/>
                <w:highlight w:val="none"/>
              </w:rPr>
            </w:r>
            <w:r/>
          </w:p>
        </w:tc>
        <w:tc>
          <w:tcPr>
            <w:tcMar>
              <w:left w:w="108" w:type="dxa"/>
              <w:top w:w="0" w:type="dxa"/>
              <w:right w:w="108" w:type="dxa"/>
              <w:bottom w:w="0" w:type="dxa"/>
            </w:tcMar>
            <w:tcW w:w="4056"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见“3.4保洁服务”“3.3公用设施设备维护服务”</w:t>
            </w:r>
            <w:r>
              <w:rPr>
                <w:color w:val="000000" w:themeColor="text1"/>
                <w:highlight w:val="none"/>
              </w:rPr>
            </w:r>
            <w:r/>
          </w:p>
        </w:tc>
      </w:tr>
    </w:tbl>
    <w:p>
      <w:pPr>
        <w:pStyle w:val="861"/>
        <w:ind w:firstLine="48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3.物业管理服务内容及标准</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3.1</w:t>
      </w:r>
      <w:r>
        <w:rPr>
          <w:rFonts w:ascii="宋体" w:hAnsi="宋体" w:cs="宋体"/>
          <w:b/>
          <w:color w:val="000000" w:themeColor="text1"/>
          <w:highlight w:val="none"/>
        </w:rPr>
        <w:t xml:space="preserve">基本服务</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2181"/>
        <w:gridCol w:w="5969"/>
      </w:tblGrid>
      <w:tr>
        <w:trPr>
          <w:trHeight w:val="454"/>
        </w:trPr>
        <w:tc>
          <w:tcPr>
            <w:tcMar>
              <w:left w:w="108" w:type="dxa"/>
              <w:top w:w="0" w:type="dxa"/>
              <w:right w:w="108" w:type="dxa"/>
              <w:bottom w:w="0" w:type="dxa"/>
            </w:tcMar>
            <w:tcW w:w="1034"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序号</w:t>
            </w:r>
            <w:r>
              <w:rPr>
                <w:color w:val="000000" w:themeColor="text1"/>
                <w:highlight w:val="none"/>
              </w:rPr>
            </w:r>
            <w:r/>
          </w:p>
        </w:tc>
        <w:tc>
          <w:tcPr>
            <w:tcMar>
              <w:left w:w="108" w:type="dxa"/>
              <w:top w:w="0" w:type="dxa"/>
              <w:right w:w="108" w:type="dxa"/>
              <w:bottom w:w="0" w:type="dxa"/>
            </w:tcMar>
            <w:tcW w:w="2225"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服务标准</w:t>
            </w:r>
            <w:r>
              <w:rPr>
                <w:color w:val="000000" w:themeColor="text1"/>
                <w:highlight w:val="none"/>
              </w:rPr>
            </w:r>
            <w:r/>
          </w:p>
        </w:tc>
      </w:tr>
      <w:tr>
        <w:trPr>
          <w:trHeight w:val="454"/>
        </w:trPr>
        <w:tc>
          <w:tcPr>
            <w:tcMar>
              <w:left w:w="108" w:type="dxa"/>
              <w:top w:w="0" w:type="dxa"/>
              <w:right w:w="108" w:type="dxa"/>
              <w:bottom w:w="0" w:type="dxa"/>
            </w:tcMar>
            <w:tcW w:w="1034"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w:t>
            </w:r>
            <w:r>
              <w:rPr>
                <w:color w:val="000000" w:themeColor="text1"/>
                <w:highlight w:val="none"/>
              </w:rPr>
            </w:r>
            <w:r/>
          </w:p>
        </w:tc>
        <w:tc>
          <w:tcPr>
            <w:tcMar>
              <w:left w:w="108" w:type="dxa"/>
              <w:top w:w="0" w:type="dxa"/>
              <w:right w:w="108" w:type="dxa"/>
              <w:bottom w:w="0" w:type="dxa"/>
            </w:tcMar>
            <w:tcW w:w="222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目标与责任</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）结合采购人要求及物业服务实际情况，制定年度管理目标，明确责任分工，并制定配套实施方案。</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2</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服务人员要求</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）每季度至少开展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次岗位技能、职业素质、服务知识、客户文化、绿色节能环保等教育培训，并进行适当形式的考核。</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）根据采购人要求对服务人员进行从业资格审查，审查结果向采购人报备。</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ascii="Calibri" w:hAnsi="Calibri" w:eastAsia="Calibri" w:cs="Calibri"/>
                <w:color w:val="000000" w:themeColor="text1"/>
                <w:highlight w:val="none"/>
              </w:rPr>
              <w:t xml:space="preserve">20%</w:t>
            </w:r>
            <w:r>
              <w:rPr>
                <w:rFonts w:ascii="宋体" w:hAnsi="宋体" w:cs="宋体"/>
                <w:color w:val="000000" w:themeColor="text1"/>
                <w:highlight w:val="none"/>
              </w:rPr>
              <w:t xml:space="preserve">。本项目服务人员不得在其他项目兼职。</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hint="eastAsia" w:ascii="Calibri" w:hAnsi="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）着装分类统一，佩戴标识。仪容整洁、姿态端正、举止文明。用语文明礼貌，态度温和耐心。</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3</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保密和思想政治教育</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）建立保密管理制度。制度内容应当包括但不限于：</w:t>
            </w:r>
            <w:r>
              <w:rPr>
                <w:rFonts w:ascii="Calibri" w:hAnsi="Calibri" w:eastAsia="Calibri" w:cs="Calibri"/>
                <w:color w:val="000000" w:themeColor="text1"/>
                <w:highlight w:val="none"/>
              </w:rPr>
              <w:t xml:space="preserve">①</w:t>
            </w:r>
            <w:r>
              <w:rPr>
                <w:rFonts w:ascii="宋体" w:hAnsi="宋体" w:cs="宋体"/>
                <w:color w:val="000000" w:themeColor="text1"/>
                <w:highlight w:val="none"/>
              </w:rPr>
              <w:t xml:space="preserve">明确重点要害岗位保密职责。</w:t>
            </w:r>
            <w:r>
              <w:rPr>
                <w:rFonts w:ascii="Calibri" w:hAnsi="Calibri" w:eastAsia="Calibri" w:cs="Calibri"/>
                <w:color w:val="000000" w:themeColor="text1"/>
                <w:highlight w:val="none"/>
              </w:rPr>
              <w:t xml:space="preserve">②</w:t>
            </w:r>
            <w:r>
              <w:rPr>
                <w:rFonts w:ascii="宋体" w:hAnsi="宋体" w:cs="宋体"/>
                <w:color w:val="000000" w:themeColor="text1"/>
                <w:highlight w:val="none"/>
              </w:rPr>
              <w:t xml:space="preserve">对涉密工作岗位的保密要求。</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）根据采购人要求与涉密工作岗位的服务人员签订保密协议。保密协议应当向采购人报备。</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）每季度至少开展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次对服务人员进行保密、思想政治教育的培训，增强服务人员保密意识和思想政治意识。新入职员工应当接受保密、思想政治教育培训，进行必要的人员经历审查，合格后签订保密协议方可上岗。</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）发现服务人员违法违规或重大过失，及时报告采购人，并采取必要补救措施。</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4</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档案管理</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）建立物业信息，准确、及时地对文件资料和服务记录进行归档保存，并确保其物理安全。</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）档案和记录齐全，包括但不限于：</w:t>
            </w:r>
            <w:r>
              <w:rPr>
                <w:rFonts w:ascii="Calibri" w:hAnsi="Calibri" w:eastAsia="Calibri" w:cs="Calibri"/>
                <w:color w:val="000000" w:themeColor="text1"/>
                <w:highlight w:val="none"/>
              </w:rPr>
              <w:t xml:space="preserve">①</w:t>
            </w:r>
            <w:r>
              <w:rPr>
                <w:rFonts w:ascii="宋体" w:hAnsi="宋体" w:cs="宋体"/>
                <w:color w:val="000000" w:themeColor="text1"/>
                <w:highlight w:val="none"/>
              </w:rPr>
              <w:t xml:space="preserve">采购人建议与投诉等。教育培训和考核记录。保密、思想政治教育培训记录。</w:t>
            </w:r>
            <w:r>
              <w:rPr>
                <w:rFonts w:ascii="Calibri" w:hAnsi="Calibri" w:eastAsia="Calibri" w:cs="Calibri"/>
                <w:color w:val="000000" w:themeColor="text1"/>
                <w:highlight w:val="none"/>
              </w:rPr>
              <w:t xml:space="preserve">②</w:t>
            </w:r>
            <w:r>
              <w:rPr>
                <w:rFonts w:ascii="宋体" w:hAnsi="宋体" w:cs="宋体"/>
                <w:color w:val="000000" w:themeColor="text1"/>
                <w:highlight w:val="none"/>
              </w:rPr>
              <w:t xml:space="preserve">房屋维护服务：房屋台账、使用说明、房屋装修、维保记录等。</w:t>
            </w:r>
            <w:r>
              <w:rPr>
                <w:rFonts w:ascii="Calibri" w:hAnsi="Calibri" w:eastAsia="Calibri" w:cs="Calibri"/>
                <w:color w:val="000000" w:themeColor="text1"/>
                <w:highlight w:val="none"/>
              </w:rPr>
              <w:t xml:space="preserve">③</w:t>
            </w:r>
            <w:r>
              <w:rPr>
                <w:rFonts w:ascii="宋体" w:hAnsi="宋体" w:cs="宋体"/>
                <w:color w:val="000000" w:themeColor="text1"/>
                <w:highlight w:val="none"/>
              </w:rPr>
              <w:t xml:space="preserve">公用设施设备维护服务：设备台账、设备卡、使用说明、维保记录、巡查记录、设施设备安全运行、设施设备定期巡检、维护保养、维修档案等。</w:t>
            </w:r>
            <w:r>
              <w:rPr>
                <w:rFonts w:ascii="Calibri" w:hAnsi="Calibri" w:eastAsia="Calibri" w:cs="Calibri"/>
                <w:color w:val="000000" w:themeColor="text1"/>
                <w:highlight w:val="none"/>
              </w:rPr>
              <w:t xml:space="preserve">④</w:t>
            </w:r>
            <w:r>
              <w:rPr>
                <w:rFonts w:ascii="宋体" w:hAnsi="宋体" w:cs="宋体"/>
                <w:color w:val="000000" w:themeColor="text1"/>
                <w:highlight w:val="none"/>
              </w:rPr>
              <w:t xml:space="preserve">保安服务：监控记录、突发事件演习与处置记录等。</w:t>
            </w:r>
            <w:r>
              <w:rPr>
                <w:rFonts w:ascii="Calibri" w:hAnsi="Calibri" w:eastAsia="Calibri" w:cs="Calibri"/>
                <w:color w:val="000000" w:themeColor="text1"/>
                <w:highlight w:val="none"/>
              </w:rPr>
              <w:t xml:space="preserve">⑤</w:t>
            </w:r>
            <w:r>
              <w:rPr>
                <w:rFonts w:ascii="宋体" w:hAnsi="宋体" w:cs="宋体"/>
                <w:color w:val="000000" w:themeColor="text1"/>
                <w:highlight w:val="none"/>
              </w:rPr>
              <w:t xml:space="preserve">保洁服务：工作日志、清洁检查表、用品清单、客户反馈表等。</w:t>
            </w:r>
            <w:r>
              <w:rPr>
                <w:rFonts w:ascii="Calibri" w:hAnsi="Calibri" w:eastAsia="Calibri" w:cs="Calibri"/>
                <w:color w:val="000000" w:themeColor="text1"/>
                <w:highlight w:val="none"/>
              </w:rPr>
              <w:t xml:space="preserve">⑥</w:t>
            </w:r>
            <w:r>
              <w:rPr>
                <w:rFonts w:ascii="宋体" w:hAnsi="宋体" w:cs="宋体"/>
                <w:color w:val="000000" w:themeColor="text1"/>
                <w:highlight w:val="none"/>
              </w:rPr>
              <w:t xml:space="preserve">绿化服务：绿化总平面图、清洁整改记录、消杀记录等。</w:t>
            </w:r>
            <w:r>
              <w:rPr>
                <w:rFonts w:ascii="Calibri" w:hAnsi="Calibri" w:eastAsia="Calibri" w:cs="Calibri"/>
                <w:color w:val="000000" w:themeColor="text1"/>
                <w:highlight w:val="none"/>
              </w:rPr>
              <w:t xml:space="preserve">⑦</w:t>
            </w:r>
            <w:r>
              <w:rPr>
                <w:rFonts w:ascii="宋体" w:hAnsi="宋体" w:cs="宋体"/>
                <w:color w:val="000000" w:themeColor="text1"/>
                <w:highlight w:val="none"/>
              </w:rPr>
              <w:t xml:space="preserve">其他：客户信息、财务明细、合同协议、信报信息登记、大件物品进出登记等。</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）遵守采购人的信息、档案资料保密要求，未经许可，不得将建筑物平面图等资料转作其他用途或向其他单位、个人提供。</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）履约结束后，相关资料交还采购人，采购人按政府采购相关规定存档。</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5</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服务改进</w:t>
            </w:r>
            <w:r>
              <w:rPr>
                <w:color w:val="000000" w:themeColor="text1"/>
                <w:highlight w:val="none"/>
              </w:rPr>
            </w:r>
            <w:r/>
          </w:p>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）明确负责人，定期对物业服务过程进行自查，结合反馈意见与评价结果采取改进措施，持续提升管理与服务水平。</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）对不合格服务进行控制，对不合格服务的原因进行识别和分析，及时采取纠正措施，消除不合格的原因，防止不合格再发生。</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）需整改问题及时整改完成。</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6</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重大活动后勤保障</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）制订流程。配合采购人制订重大活动后勤保障工作流程，需对任务进行详细了解，并根据工作安排制定详细的后勤保障计划。</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悬挂彩带、彩旗、横幅等装饰物应整齐规范</w:t>
            </w:r>
            <w:r>
              <w:rPr>
                <w:rFonts w:ascii="Calibri" w:hAnsi="Calibri" w:eastAsia="Calibri" w:cs="Calibri"/>
                <w:color w:val="000000" w:themeColor="text1"/>
                <w:highlight w:val="none"/>
              </w:rPr>
              <w:t xml:space="preserve">(</w:t>
            </w:r>
            <w:r>
              <w:rPr>
                <w:rFonts w:ascii="宋体" w:hAnsi="宋体" w:cs="宋体"/>
                <w:color w:val="000000" w:themeColor="text1"/>
                <w:highlight w:val="none"/>
              </w:rPr>
              <w:t xml:space="preserve">需</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米以上高空作业</w:t>
            </w:r>
            <w:r>
              <w:rPr>
                <w:rFonts w:ascii="Calibri" w:hAnsi="Calibri" w:eastAsia="Calibri" w:cs="Calibri"/>
                <w:color w:val="000000" w:themeColor="text1"/>
                <w:highlight w:val="none"/>
              </w:rPr>
              <w:t xml:space="preserve">)</w:t>
            </w:r>
            <w:r>
              <w:rPr>
                <w:rFonts w:ascii="宋体" w:hAnsi="宋体" w:cs="宋体"/>
                <w:color w:val="000000" w:themeColor="text1"/>
                <w:highlight w:val="none"/>
              </w:rPr>
              <w:t xml:space="preserve">，营造庄重热烈的氛围。根据活动实际需求，合理配置人员岗位，明确职责分工，确保各环节衔接顺畅。活动现场保持通讯畅通，遇突发情况迅速响应、妥善处置，保障活动全过程安全有序。活动结束后及时撤除临时设施，恢复现场原貌，并做好总结评估，积累经验。</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）收尾工作。对现场进行检查，做好清理工作。</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7</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应急保障预案</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）重点区域及安全隐患排查。结合项目的实际情况，对重点部位及危险隐患进行排查，并建立清单</w:t>
            </w:r>
            <w:r>
              <w:rPr>
                <w:rFonts w:ascii="Calibri" w:hAnsi="Calibri" w:eastAsia="Calibri" w:cs="Calibri"/>
                <w:color w:val="000000" w:themeColor="text1"/>
                <w:highlight w:val="none"/>
              </w:rPr>
              <w:t xml:space="preserve">/</w:t>
            </w:r>
            <w:r>
              <w:rPr>
                <w:rFonts w:ascii="宋体" w:hAnsi="宋体" w:cs="宋体"/>
                <w:color w:val="000000" w:themeColor="text1"/>
                <w:highlight w:val="none"/>
              </w:rPr>
              <w:t xml:space="preserve">台账；应当对危险隐患进行风险分析，制定相应措施进行控制或整改并定期监控；随着设施设备、服务内容的变化，及时更新清单</w:t>
            </w:r>
            <w:r>
              <w:rPr>
                <w:rFonts w:ascii="Calibri" w:hAnsi="Calibri" w:eastAsia="Calibri" w:cs="Calibri"/>
                <w:color w:val="000000" w:themeColor="text1"/>
                <w:highlight w:val="none"/>
              </w:rPr>
              <w:t xml:space="preserve">/</w:t>
            </w:r>
            <w:r>
              <w:rPr>
                <w:rFonts w:ascii="宋体" w:hAnsi="宋体" w:cs="宋体"/>
                <w:color w:val="000000" w:themeColor="text1"/>
                <w:highlight w:val="none"/>
              </w:rPr>
              <w:t xml:space="preserve">台账，使风险隐患始终处于受控状态。</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）应急物资的管理。根据专项预案中的应对需要、必要的应急物资，建立清单或台账，并由专人定期对应急物资进行检查，如有应急物资不足，及时通知采购人购置齐全，确保能够随时正常使用。</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8</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服务方案及工作制度</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）制定工作制度，主要包括：人员录用制度、档案管理制度、物业服务管理制度、公用设施设备相关管理制度等。</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）制定项目实施方案，主要包括：交接方案、人员培训方案、人员稳定性方案、保密方案等。</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）制定物业服务方案，主要包括：房屋维护服务方案、公用设施设备维护服务方案、绿化服务方案、保洁服务方案、会议服务方案等。</w:t>
            </w:r>
            <w:r>
              <w:rPr>
                <w:color w:val="000000" w:themeColor="text1"/>
                <w:highlight w:val="none"/>
              </w:rPr>
            </w:r>
            <w:r/>
          </w:p>
        </w:tc>
      </w:tr>
      <w:tr>
        <w:trPr>
          <w:trHeight w:val="454"/>
        </w:trPr>
        <w:tc>
          <w:tcPr>
            <w:tcMar>
              <w:left w:w="108" w:type="dxa"/>
              <w:top w:w="0" w:type="dxa"/>
              <w:right w:w="108" w:type="dxa"/>
              <w:bottom w:w="0" w:type="dxa"/>
            </w:tcMar>
            <w:tcW w:w="1034"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9</w:t>
            </w:r>
            <w:r>
              <w:rPr>
                <w:color w:val="000000" w:themeColor="text1"/>
                <w:highlight w:val="none"/>
              </w:rPr>
            </w:r>
            <w:r/>
          </w:p>
        </w:tc>
        <w:tc>
          <w:tcPr>
            <w:tcMar>
              <w:left w:w="108" w:type="dxa"/>
              <w:top w:w="0" w:type="dxa"/>
              <w:right w:w="108" w:type="dxa"/>
              <w:bottom w:w="0" w:type="dxa"/>
            </w:tcMar>
            <w:tcW w:w="222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信报服务</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）对邮件、包裹和挂号信等进行正确分类、安全检查和防疫卫生检查。</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）及时投送或通知收件人领取。</w:t>
            </w:r>
            <w:r>
              <w:rPr>
                <w:color w:val="000000" w:themeColor="text1"/>
                <w:highlight w:val="none"/>
              </w:rPr>
            </w:r>
            <w:r/>
          </w:p>
        </w:tc>
      </w:tr>
      <w:tr>
        <w:trPr>
          <w:trHeight w:val="454"/>
        </w:trPr>
        <w:tc>
          <w:tcPr>
            <w:tcW w:w="1019" w:type="dxa"/>
            <w:vAlign w:val="top"/>
            <w:vMerge w:val="continue"/>
            <w:textDirection w:val="lrTb"/>
            <w:noWrap w:val="false"/>
          </w:tcPr>
          <w:p>
            <w:pPr>
              <w:pStyle w:val="861"/>
            </w:pPr>
            <w:r/>
            <w:r/>
          </w:p>
        </w:tc>
        <w:tc>
          <w:tcPr>
            <w:tcW w:w="2181" w:type="dxa"/>
            <w:vAlign w:val="top"/>
            <w:vMerge w:val="continue"/>
            <w:textDirection w:val="lrTb"/>
            <w:noWrap w:val="false"/>
          </w:tcPr>
          <w:p>
            <w:pPr>
              <w:pStyle w:val="861"/>
            </w:p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）大件物品出入向采购人报告，待采购人确认无误后放行。</w:t>
            </w:r>
            <w:r>
              <w:rPr>
                <w:color w:val="000000" w:themeColor="text1"/>
                <w:highlight w:val="none"/>
              </w:rPr>
            </w:r>
            <w:r/>
          </w:p>
        </w:tc>
      </w:tr>
      <w:tr>
        <w:trPr>
          <w:trHeight w:val="454"/>
        </w:trPr>
        <w:tc>
          <w:tcPr>
            <w:tcMar>
              <w:left w:w="108" w:type="dxa"/>
              <w:top w:w="0" w:type="dxa"/>
              <w:right w:w="108" w:type="dxa"/>
              <w:bottom w:w="0" w:type="dxa"/>
            </w:tcMar>
            <w:tcW w:w="1034"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10</w:t>
            </w:r>
            <w:r>
              <w:rPr>
                <w:color w:val="000000" w:themeColor="text1"/>
                <w:highlight w:val="none"/>
              </w:rPr>
            </w:r>
            <w:r/>
          </w:p>
        </w:tc>
        <w:tc>
          <w:tcPr>
            <w:tcMar>
              <w:left w:w="108" w:type="dxa"/>
              <w:top w:w="0" w:type="dxa"/>
              <w:right w:w="108" w:type="dxa"/>
              <w:bottom w:w="0" w:type="dxa"/>
            </w:tcMar>
            <w:tcW w:w="222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服务热线及紧急维修</w:t>
            </w:r>
            <w:r>
              <w:rPr>
                <w:color w:val="000000" w:themeColor="text1"/>
                <w:highlight w:val="none"/>
              </w:rPr>
            </w:r>
            <w:r/>
          </w:p>
        </w:tc>
        <w:tc>
          <w:tcPr>
            <w:tcMar>
              <w:left w:w="108" w:type="dxa"/>
              <w:top w:w="0" w:type="dxa"/>
              <w:right w:w="108" w:type="dxa"/>
              <w:bottom w:w="0" w:type="dxa"/>
            </w:tcMar>
            <w:tcW w:w="6095"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hint="eastAsia" w:ascii="Calibri" w:hAnsi="Calibri" w:cs="Calibri"/>
                <w:color w:val="000000" w:themeColor="text1"/>
                <w:highlight w:val="none"/>
              </w:rPr>
              <w:t xml:space="preserve">1</w:t>
            </w:r>
            <w:r>
              <w:rPr>
                <w:rFonts w:ascii="宋体" w:hAnsi="宋体" w:cs="宋体"/>
                <w:color w:val="000000" w:themeColor="text1"/>
                <w:highlight w:val="none"/>
              </w:rPr>
              <w:t xml:space="preserve">）紧急维修应当</w:t>
            </w:r>
            <w:r>
              <w:rPr>
                <w:rFonts w:ascii="Calibri" w:hAnsi="Calibri" w:eastAsia="Calibri" w:cs="Calibri"/>
                <w:color w:val="000000" w:themeColor="text1"/>
                <w:highlight w:val="none"/>
              </w:rPr>
              <w:t xml:space="preserve">15</w:t>
            </w:r>
            <w:r>
              <w:rPr>
                <w:rFonts w:ascii="宋体" w:hAnsi="宋体" w:cs="宋体"/>
                <w:color w:val="000000" w:themeColor="text1"/>
                <w:highlight w:val="none"/>
              </w:rPr>
              <w:t xml:space="preserve">分钟内到达现场，不间断维修直至修复。</w:t>
            </w:r>
            <w:r>
              <w:rPr>
                <w:color w:val="000000" w:themeColor="text1"/>
                <w:highlight w:val="none"/>
              </w:rPr>
            </w:r>
            <w:r/>
          </w:p>
        </w:tc>
      </w:tr>
    </w:tbl>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3.2</w:t>
      </w:r>
      <w:r>
        <w:rPr>
          <w:rFonts w:ascii="宋体" w:hAnsi="宋体" w:cs="宋体"/>
          <w:b/>
          <w:color w:val="000000" w:themeColor="text1"/>
          <w:highlight w:val="none"/>
        </w:rPr>
        <w:t xml:space="preserve">房屋维护服务</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2191"/>
        <w:gridCol w:w="5955"/>
      </w:tblGrid>
      <w:tr>
        <w:trPr>
          <w:trHeight w:val="454"/>
        </w:trPr>
        <w:tc>
          <w:tcPr>
            <w:tcMar>
              <w:left w:w="108" w:type="dxa"/>
              <w:top w:w="0" w:type="dxa"/>
              <w:right w:w="108" w:type="dxa"/>
              <w:bottom w:w="0" w:type="dxa"/>
            </w:tcMar>
            <w:tcW w:w="1040"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序号</w:t>
            </w:r>
            <w:r>
              <w:rPr>
                <w:color w:val="000000" w:themeColor="text1"/>
                <w:highlight w:val="none"/>
              </w:rPr>
            </w:r>
            <w:r/>
          </w:p>
        </w:tc>
        <w:tc>
          <w:tcPr>
            <w:tcMar>
              <w:left w:w="108" w:type="dxa"/>
              <w:top w:w="0" w:type="dxa"/>
              <w:right w:w="108" w:type="dxa"/>
              <w:bottom w:w="0" w:type="dxa"/>
            </w:tcMar>
            <w:tcW w:w="2235"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w:t>
            </w:r>
            <w:r>
              <w:rPr>
                <w:color w:val="000000" w:themeColor="text1"/>
                <w:highlight w:val="none"/>
              </w:rPr>
            </w:r>
            <w:r/>
          </w:p>
        </w:tc>
        <w:tc>
          <w:tcPr>
            <w:tcMar>
              <w:left w:w="108" w:type="dxa"/>
              <w:top w:w="0" w:type="dxa"/>
              <w:right w:w="108" w:type="dxa"/>
              <w:bottom w:w="0" w:type="dxa"/>
            </w:tcMar>
            <w:tcW w:w="6079"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服务标准</w:t>
            </w:r>
            <w:r>
              <w:rPr>
                <w:color w:val="000000" w:themeColor="text1"/>
                <w:highlight w:val="none"/>
              </w:rPr>
            </w:r>
            <w:r/>
          </w:p>
        </w:tc>
      </w:tr>
      <w:tr>
        <w:trPr>
          <w:trHeight w:val="454"/>
        </w:trPr>
        <w:tc>
          <w:tcPr>
            <w:tcMar>
              <w:left w:w="108" w:type="dxa"/>
              <w:top w:w="0" w:type="dxa"/>
              <w:right w:w="108" w:type="dxa"/>
              <w:bottom w:w="0" w:type="dxa"/>
            </w:tcMar>
            <w:tcW w:w="1040"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w:t>
            </w:r>
            <w:r>
              <w:rPr>
                <w:color w:val="000000" w:themeColor="text1"/>
                <w:highlight w:val="none"/>
              </w:rPr>
            </w:r>
            <w:r/>
          </w:p>
        </w:tc>
        <w:tc>
          <w:tcPr>
            <w:tcMar>
              <w:left w:w="108" w:type="dxa"/>
              <w:top w:w="0" w:type="dxa"/>
              <w:right w:w="108" w:type="dxa"/>
              <w:bottom w:w="0" w:type="dxa"/>
            </w:tcMar>
            <w:tcW w:w="223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主体结构、围护结构、部品部件</w:t>
            </w:r>
            <w:r>
              <w:rPr>
                <w:color w:val="000000" w:themeColor="text1"/>
                <w:highlight w:val="none"/>
              </w:r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）每季度至少开展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次房屋结构安全巡视，发现外观有变形、开裂等现象，及时建议采购人申请房屋安全鉴定，并采取必要的避险和防护措施。</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）每季度至少开展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次外墙贴饰面、幕墙玻璃、雨棚、散水、空调室外机支撑构件等检查，发现破损，及时向采购人报告，按采购人要求出具维修方案，待采购人同意后按维修方案实施维修。</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）每半月至少开展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次公用部位的门、窗、楼梯、通风道、室内地面、墙面、吊顶和室外屋面等巡查，发现破损，及时向采购人报告，按采购人要求出具维修方案，待采购人同意后按维修方案实施维修。</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）每年强降雨天气前后、雨雪季节检查屋面防水和雨落管等，发现破损，及时向采购人报告，按采购人要求出具维修方案，待采购人同意后按维修方案实施维修。</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）办公楼外观完好，建筑装饰面无脱落、无破损、无污渍，玻璃幕墙清洁明亮、无破损。</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6</w:t>
            </w:r>
            <w:r>
              <w:rPr>
                <w:rFonts w:ascii="宋体" w:hAnsi="宋体" w:cs="宋体"/>
                <w:color w:val="000000" w:themeColor="text1"/>
                <w:highlight w:val="none"/>
              </w:rPr>
              <w:t xml:space="preserve">）通道、楼梯、门窗等设施的完好和正常使用。</w:t>
            </w:r>
            <w:r>
              <w:rPr>
                <w:color w:val="000000" w:themeColor="text1"/>
                <w:highlight w:val="none"/>
              </w:rPr>
            </w:r>
            <w:r/>
          </w:p>
        </w:tc>
      </w:tr>
      <w:tr>
        <w:trPr>
          <w:trHeight w:val="454"/>
        </w:trPr>
        <w:tc>
          <w:tcPr>
            <w:tcMar>
              <w:left w:w="108" w:type="dxa"/>
              <w:top w:w="0" w:type="dxa"/>
              <w:right w:w="108" w:type="dxa"/>
              <w:bottom w:w="0" w:type="dxa"/>
            </w:tcMar>
            <w:tcW w:w="1040"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2</w:t>
            </w:r>
            <w:r>
              <w:rPr>
                <w:color w:val="000000" w:themeColor="text1"/>
                <w:highlight w:val="none"/>
              </w:rPr>
            </w:r>
            <w:r/>
          </w:p>
        </w:tc>
        <w:tc>
          <w:tcPr>
            <w:tcMar>
              <w:left w:w="108" w:type="dxa"/>
              <w:top w:w="0" w:type="dxa"/>
              <w:right w:w="108" w:type="dxa"/>
              <w:bottom w:w="0" w:type="dxa"/>
            </w:tcMar>
            <w:tcW w:w="223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其他设施</w:t>
            </w:r>
            <w:r>
              <w:rPr>
                <w:color w:val="000000" w:themeColor="text1"/>
                <w:highlight w:val="none"/>
              </w:r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）每半月至少开展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次大门、围墙、道路、场地、管井、沟渠等巡查，每半月至少检查</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次雨污水管井、化粪池等巡查，发现破损，及时向采购人报告，按采购人要求出具维修方案，待采购人同意后按维修方案实施维修。</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）每年至少开展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次防雷装置检测，发现失效，及时向采购人报告，按采购人要求出具维修方案，待采购人同意后按维修方案实施维修。</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）路面状态良好，地漏通畅不堵塞。</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）接到采购人家具报修服务后，及时通知家具供货商对保修期内的家具进行维修，及时对保修期外的家具进行维修。</w:t>
            </w:r>
            <w:r>
              <w:rPr>
                <w:color w:val="000000" w:themeColor="text1"/>
                <w:highlight w:val="none"/>
              </w:rPr>
            </w:r>
            <w:r/>
          </w:p>
        </w:tc>
      </w:tr>
      <w:tr>
        <w:trPr>
          <w:trHeight w:val="454"/>
        </w:trPr>
        <w:tc>
          <w:tcPr>
            <w:tcMar>
              <w:left w:w="108" w:type="dxa"/>
              <w:top w:w="0" w:type="dxa"/>
              <w:right w:w="108" w:type="dxa"/>
              <w:bottom w:w="0" w:type="dxa"/>
            </w:tcMar>
            <w:tcW w:w="1040"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3</w:t>
            </w:r>
            <w:r>
              <w:rPr>
                <w:color w:val="000000" w:themeColor="text1"/>
                <w:highlight w:val="none"/>
              </w:rPr>
            </w:r>
            <w:r/>
          </w:p>
        </w:tc>
        <w:tc>
          <w:tcPr>
            <w:tcMar>
              <w:left w:w="108" w:type="dxa"/>
              <w:top w:w="0" w:type="dxa"/>
              <w:right w:w="108" w:type="dxa"/>
              <w:bottom w:w="0" w:type="dxa"/>
            </w:tcMar>
            <w:tcW w:w="223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装饰装修监督管理</w:t>
            </w:r>
            <w:r>
              <w:rPr>
                <w:color w:val="000000" w:themeColor="text1"/>
                <w:highlight w:val="none"/>
              </w:r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）装饰装修前，供应商应当与采购人或采购人委托的装修企业签订装饰装修管理服务协议，告知装饰装修须知，并对装饰装修过程进行管理服务。</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）根据协议内容，做好装修垃圾临时堆放、清运等。</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）受采购人委托对房屋内装修进行严格的监督管理，发现问题及时上报，确保不因装修而危及大楼结构安全、人身安全和影响正常办公秩序。</w:t>
            </w:r>
            <w:r>
              <w:rPr>
                <w:color w:val="000000" w:themeColor="text1"/>
                <w:highlight w:val="none"/>
              </w:rPr>
            </w:r>
            <w:r/>
          </w:p>
        </w:tc>
      </w:tr>
      <w:tr>
        <w:trPr>
          <w:trHeight w:val="454"/>
        </w:trPr>
        <w:tc>
          <w:tcPr>
            <w:tcMar>
              <w:left w:w="108" w:type="dxa"/>
              <w:top w:w="0" w:type="dxa"/>
              <w:right w:w="108" w:type="dxa"/>
              <w:bottom w:w="0" w:type="dxa"/>
            </w:tcMar>
            <w:tcW w:w="1040"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4</w:t>
            </w:r>
            <w:r>
              <w:rPr>
                <w:color w:val="000000" w:themeColor="text1"/>
                <w:highlight w:val="none"/>
              </w:rPr>
            </w:r>
            <w:r/>
          </w:p>
        </w:tc>
        <w:tc>
          <w:tcPr>
            <w:tcMar>
              <w:left w:w="108" w:type="dxa"/>
              <w:top w:w="0" w:type="dxa"/>
              <w:right w:w="108" w:type="dxa"/>
              <w:bottom w:w="0" w:type="dxa"/>
            </w:tcMar>
            <w:tcW w:w="223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标识标牌</w:t>
            </w:r>
            <w:r>
              <w:rPr>
                <w:color w:val="000000" w:themeColor="text1"/>
                <w:highlight w:val="none"/>
              </w:r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）标识标牌符合《公共信息图形符号 第</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部分：通用符号》（</w:t>
            </w:r>
            <w:r>
              <w:rPr>
                <w:rFonts w:ascii="Calibri" w:hAnsi="Calibri" w:eastAsia="Calibri" w:cs="Calibri"/>
                <w:color w:val="000000" w:themeColor="text1"/>
                <w:highlight w:val="none"/>
              </w:rPr>
              <w:t xml:space="preserve">GB/T 10001.1</w:t>
            </w:r>
            <w:r>
              <w:rPr>
                <w:rFonts w:ascii="宋体" w:hAnsi="宋体" w:cs="宋体"/>
                <w:color w:val="000000" w:themeColor="text1"/>
                <w:highlight w:val="none"/>
              </w:rPr>
              <w:t xml:space="preserve">）的相关要求，消防与安全标识符合《安全标志及其使用导则》（</w:t>
            </w:r>
            <w:r>
              <w:rPr>
                <w:rFonts w:ascii="Calibri" w:hAnsi="Calibri" w:eastAsia="Calibri" w:cs="Calibri"/>
                <w:color w:val="000000" w:themeColor="text1"/>
                <w:highlight w:val="none"/>
              </w:rPr>
              <w:t xml:space="preserve">GB2894</w:t>
            </w:r>
            <w:r>
              <w:rPr>
                <w:rFonts w:ascii="宋体" w:hAnsi="宋体" w:cs="宋体"/>
                <w:color w:val="000000" w:themeColor="text1"/>
                <w:highlight w:val="none"/>
              </w:rPr>
              <w:t xml:space="preserve">）、《消防安全标志　第</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部分：标志》（</w:t>
            </w:r>
            <w:r>
              <w:rPr>
                <w:rFonts w:ascii="Calibri" w:hAnsi="Calibri" w:eastAsia="Calibri" w:cs="Calibri"/>
                <w:color w:val="000000" w:themeColor="text1"/>
                <w:highlight w:val="none"/>
              </w:rPr>
              <w:t xml:space="preserve">GB13495.1</w:t>
            </w:r>
            <w:r>
              <w:rPr>
                <w:rFonts w:ascii="宋体" w:hAnsi="宋体" w:cs="宋体"/>
                <w:color w:val="000000" w:themeColor="text1"/>
                <w:highlight w:val="none"/>
              </w:rPr>
              <w:t xml:space="preserve">）的相关要求。</w:t>
            </w:r>
            <w:r>
              <w:rPr>
                <w:color w:val="000000" w:themeColor="text1"/>
                <w:highlight w:val="none"/>
              </w:rPr>
            </w:r>
            <w:r/>
          </w:p>
        </w:tc>
      </w:tr>
      <w:tr>
        <w:trPr>
          <w:trHeight w:val="454"/>
        </w:trPr>
        <w:tc>
          <w:tcPr>
            <w:tcW w:w="1023" w:type="dxa"/>
            <w:vAlign w:val="top"/>
            <w:vMerge w:val="continue"/>
            <w:textDirection w:val="lrTb"/>
            <w:noWrap w:val="false"/>
          </w:tcPr>
          <w:p>
            <w:pPr>
              <w:pStyle w:val="861"/>
            </w:pPr>
            <w:r/>
            <w:r/>
          </w:p>
        </w:tc>
        <w:tc>
          <w:tcPr>
            <w:tcW w:w="2191" w:type="dxa"/>
            <w:vAlign w:val="top"/>
            <w:vMerge w:val="continue"/>
            <w:textDirection w:val="lrTb"/>
            <w:noWrap w:val="false"/>
          </w:tcPr>
          <w:p>
            <w:pPr>
              <w:pStyle w:val="861"/>
            </w:pPr>
            <w:r/>
            <w:r/>
          </w:p>
        </w:tc>
        <w:tc>
          <w:tcPr>
            <w:tcMar>
              <w:left w:w="108" w:type="dxa"/>
              <w:top w:w="0" w:type="dxa"/>
              <w:right w:w="108" w:type="dxa"/>
              <w:bottom w:w="0" w:type="dxa"/>
            </w:tcMar>
            <w:tcW w:w="6079"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）每月至少检查</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次标识标牌和消防与安全标识。应当规范清晰、路线指引正确、安装稳固。</w:t>
            </w:r>
            <w:r>
              <w:rPr>
                <w:color w:val="000000" w:themeColor="text1"/>
                <w:highlight w:val="none"/>
              </w:rPr>
            </w:r>
            <w:r/>
          </w:p>
        </w:tc>
      </w:tr>
    </w:tbl>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3.3</w:t>
      </w:r>
      <w:r>
        <w:rPr>
          <w:rFonts w:ascii="宋体" w:hAnsi="宋体" w:cs="宋体"/>
          <w:b/>
          <w:color w:val="000000" w:themeColor="text1"/>
          <w:highlight w:val="none"/>
        </w:rPr>
        <w:t xml:space="preserve">公用设施设备维护服务</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
        <w:gridCol w:w="1070"/>
        <w:gridCol w:w="7670"/>
      </w:tblGrid>
      <w:tr>
        <w:trPr>
          <w:trHeight w:val="454"/>
        </w:trPr>
        <w:tc>
          <w:tcPr>
            <w:tcMar>
              <w:left w:w="108" w:type="dxa"/>
              <w:top w:w="0" w:type="dxa"/>
              <w:right w:w="108" w:type="dxa"/>
              <w:bottom w:w="0" w:type="dxa"/>
            </w:tcMar>
            <w:tcW w:w="433"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序号</w:t>
            </w:r>
            <w:r>
              <w:rPr>
                <w:color w:val="000000" w:themeColor="text1"/>
                <w:highlight w:val="none"/>
              </w:rPr>
            </w:r>
            <w:r/>
          </w:p>
        </w:tc>
        <w:tc>
          <w:tcPr>
            <w:tcMar>
              <w:left w:w="108" w:type="dxa"/>
              <w:top w:w="0" w:type="dxa"/>
              <w:right w:w="108" w:type="dxa"/>
              <w:bottom w:w="0" w:type="dxa"/>
            </w:tcMar>
            <w:tcW w:w="1098"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w:t>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服务标准</w:t>
            </w:r>
            <w:r>
              <w:rPr>
                <w:color w:val="000000" w:themeColor="text1"/>
                <w:highlight w:val="none"/>
              </w:rPr>
            </w:r>
            <w:r/>
          </w:p>
        </w:tc>
      </w:tr>
      <w:tr>
        <w:trPr>
          <w:trHeight w:val="454"/>
        </w:trPr>
        <w:tc>
          <w:tcPr>
            <w:tcMar>
              <w:left w:w="108" w:type="dxa"/>
              <w:top w:w="0" w:type="dxa"/>
              <w:right w:w="108" w:type="dxa"/>
              <w:bottom w:w="0" w:type="dxa"/>
            </w:tcMar>
            <w:tcW w:w="433"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w:t>
            </w:r>
            <w:r>
              <w:rPr>
                <w:color w:val="000000" w:themeColor="text1"/>
                <w:highlight w:val="none"/>
              </w:rPr>
            </w:r>
            <w:r/>
          </w:p>
        </w:tc>
        <w:tc>
          <w:tcPr>
            <w:tcMar>
              <w:left w:w="108" w:type="dxa"/>
              <w:top w:w="0" w:type="dxa"/>
              <w:right w:w="108" w:type="dxa"/>
              <w:bottom w:w="0" w:type="dxa"/>
            </w:tcMar>
            <w:tcW w:w="1098"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基本要求</w:t>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）重大节假日及恶劣天气前后，组织系统巡检</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）具备设施设备安全、稳定运行的环境和场所（含有限空间），温湿度、照度、粉尘和烟雾浓度等符合相关安全规范。</w:t>
            </w:r>
            <w:r>
              <w:rPr>
                <w:color w:val="000000" w:themeColor="text1"/>
                <w:highlight w:val="none"/>
              </w:rPr>
            </w:r>
            <w:r/>
          </w:p>
        </w:tc>
      </w:tr>
      <w:tr>
        <w:trPr>
          <w:trHeight w:val="90"/>
        </w:trPr>
        <w:tc>
          <w:tcPr>
            <w:tcMar>
              <w:left w:w="108" w:type="dxa"/>
              <w:top w:w="0" w:type="dxa"/>
              <w:right w:w="108" w:type="dxa"/>
              <w:bottom w:w="0" w:type="dxa"/>
            </w:tcMar>
            <w:tcW w:w="433"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2</w:t>
            </w:r>
            <w:r>
              <w:rPr>
                <w:color w:val="000000" w:themeColor="text1"/>
                <w:highlight w:val="none"/>
              </w:rPr>
            </w:r>
            <w:r/>
          </w:p>
        </w:tc>
        <w:tc>
          <w:tcPr>
            <w:tcMar>
              <w:left w:w="108" w:type="dxa"/>
              <w:top w:w="0" w:type="dxa"/>
              <w:right w:w="108" w:type="dxa"/>
              <w:bottom w:w="0" w:type="dxa"/>
            </w:tcMar>
            <w:tcW w:w="1098"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设施设备</w:t>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color w:val="000000" w:themeColor="text1"/>
                <w:highlight w:val="none"/>
              </w:rPr>
            </w:r>
            <w:r/>
          </w:p>
        </w:tc>
      </w:tr>
      <w:tr>
        <w:trPr>
          <w:trHeight w:val="445"/>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）设备机房门窗、锁具应当完好、有效。</w:t>
            </w:r>
            <w:r>
              <w:rPr>
                <w:color w:val="000000" w:themeColor="text1"/>
                <w:highlight w:val="none"/>
              </w:rPr>
            </w:r>
            <w:r/>
          </w:p>
        </w:tc>
      </w:tr>
      <w:tr>
        <w:trPr>
          <w:trHeight w:val="483"/>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）每半月至少开展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次清洁，整洁有序、无杂物、无积尘、无鼠、无虫害，温湿度符合设备运行要求。</w:t>
            </w:r>
            <w:r>
              <w:rPr>
                <w:color w:val="000000" w:themeColor="text1"/>
                <w:highlight w:val="none"/>
              </w:rPr>
            </w:r>
            <w:r/>
          </w:p>
        </w:tc>
      </w:tr>
      <w:tr>
        <w:trPr>
          <w:trHeight w:val="481"/>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）按各设备机房国家标准规范规定维护</w:t>
            </w:r>
            <w:r>
              <w:rPr>
                <w:rFonts w:ascii="Calibri" w:hAnsi="Calibri" w:eastAsia="Calibri" w:cs="Calibri"/>
                <w:color w:val="000000" w:themeColor="text1"/>
                <w:highlight w:val="none"/>
              </w:rPr>
              <w:t xml:space="preserve">/</w:t>
            </w:r>
            <w:r>
              <w:rPr>
                <w:rFonts w:ascii="宋体" w:hAnsi="宋体" w:cs="宋体"/>
                <w:color w:val="000000" w:themeColor="text1"/>
                <w:highlight w:val="none"/>
              </w:rPr>
              <w:t xml:space="preserve">保管消防、通风、应急照明，防止小动物进入。</w:t>
            </w:r>
            <w:r>
              <w:rPr>
                <w:color w:val="000000" w:themeColor="text1"/>
                <w:highlight w:val="none"/>
              </w:rPr>
            </w:r>
            <w:r/>
          </w:p>
        </w:tc>
      </w:tr>
      <w:tr>
        <w:trPr>
          <w:trHeight w:val="493"/>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）安全防护用具配置齐全，检验合格。</w:t>
            </w:r>
            <w:r>
              <w:rPr>
                <w:color w:val="000000" w:themeColor="text1"/>
                <w:highlight w:val="none"/>
              </w:rPr>
            </w:r>
            <w:r/>
          </w:p>
        </w:tc>
      </w:tr>
      <w:tr>
        <w:trPr>
          <w:trHeight w:val="481"/>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6</w:t>
            </w:r>
            <w:r>
              <w:rPr>
                <w:rFonts w:ascii="宋体" w:hAnsi="宋体" w:cs="宋体"/>
                <w:color w:val="000000" w:themeColor="text1"/>
                <w:highlight w:val="none"/>
              </w:rPr>
              <w:t xml:space="preserve">）应急设施设备用品应当齐全、完备，可随时启用。</w:t>
            </w:r>
            <w:r>
              <w:rPr>
                <w:color w:val="000000" w:themeColor="text1"/>
                <w:highlight w:val="none"/>
              </w:rPr>
            </w:r>
            <w:r/>
          </w:p>
        </w:tc>
      </w:tr>
      <w:tr>
        <w:trPr>
          <w:trHeight w:val="481"/>
        </w:trPr>
        <w:tc>
          <w:tcPr>
            <w:tcW w:w="433" w:type="dxa"/>
            <w:vAlign w:val="top"/>
            <w:vMerge w:val="restart"/>
            <w:textDirection w:val="lrTb"/>
            <w:noWrap w:val="false"/>
          </w:tcPr>
          <w:p>
            <w:pPr>
              <w:pStyle w:val="861"/>
              <w:rPr>
                <w:color w:val="000000" w:themeColor="text1"/>
                <w:highlight w:val="none"/>
              </w:rPr>
            </w:pPr>
            <w:r>
              <w:rPr>
                <w:color w:val="000000" w:themeColor="text1"/>
                <w:highlight w:val="none"/>
              </w:rPr>
            </w:r>
            <w:r>
              <w:rPr>
                <w:color w:val="000000" w:themeColor="text1"/>
                <w:highlight w:val="none"/>
              </w:rPr>
            </w:r>
            <w:r/>
          </w:p>
        </w:tc>
        <w:tc>
          <w:tcPr>
            <w:tcW w:w="1098" w:type="dxa"/>
            <w:vAlign w:val="top"/>
            <w:vMerge w:val="restart"/>
            <w:textDirection w:val="lrTb"/>
            <w:noWrap w:val="false"/>
          </w:tcPr>
          <w:p>
            <w:pPr>
              <w:pStyle w:val="861"/>
              <w:rPr>
                <w:color w:val="000000" w:themeColor="text1"/>
                <w:highlight w:val="none"/>
              </w:rPr>
            </w:pPr>
            <w:r>
              <w:rPr>
                <w:color w:val="000000" w:themeColor="text1"/>
                <w:highlight w:val="none"/>
              </w:rPr>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hint="eastAsia" w:ascii="Calibri" w:hAnsi="Calibri" w:cs="Calibri"/>
                <w:color w:val="000000" w:themeColor="text1"/>
                <w:highlight w:val="none"/>
              </w:rPr>
              <w:t xml:space="preserve">7</w:t>
            </w:r>
            <w:r>
              <w:rPr>
                <w:rFonts w:ascii="宋体" w:hAnsi="宋体" w:cs="宋体"/>
                <w:color w:val="000000" w:themeColor="text1"/>
                <w:highlight w:val="none"/>
              </w:rPr>
              <w:t xml:space="preserve">）</w:t>
            </w:r>
            <w:r>
              <w:rPr>
                <w:rFonts w:hint="eastAsia" w:ascii="宋体" w:hAnsi="宋体" w:cs="宋体"/>
                <w:color w:val="000000" w:themeColor="text1"/>
                <w:highlight w:val="none"/>
              </w:rPr>
              <w:t xml:space="preserve">空调设备（VRV和水系统）开启关闭及冷热模式切换，简单的故障排除。</w:t>
            </w:r>
            <w:r>
              <w:rPr>
                <w:color w:val="000000" w:themeColor="text1"/>
                <w:highlight w:val="none"/>
              </w:rPr>
            </w:r>
            <w:r/>
          </w:p>
        </w:tc>
      </w:tr>
      <w:tr>
        <w:trPr>
          <w:trHeight w:val="481"/>
        </w:trPr>
        <w:tc>
          <w:tcPr>
            <w:tcW w:w="433" w:type="dxa"/>
            <w:vAlign w:val="top"/>
            <w:vMerge w:val="continue"/>
            <w:textDirection w:val="lrTb"/>
            <w:noWrap w:val="false"/>
          </w:tcPr>
          <w:p>
            <w:pPr>
              <w:pStyle w:val="861"/>
            </w:pPr>
            <w:r/>
            <w:r/>
          </w:p>
        </w:tc>
        <w:tc>
          <w:tcPr>
            <w:tcW w:w="1098"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（8）计划、安排、监督生活水箱清洗，对清洗全过程进行跟踪，及清洗结果的记录，反馈。</w:t>
            </w:r>
            <w:r>
              <w:rPr>
                <w:color w:val="000000" w:themeColor="text1"/>
                <w:highlight w:val="none"/>
              </w:rPr>
            </w:r>
            <w:r/>
          </w:p>
        </w:tc>
      </w:tr>
      <w:tr>
        <w:trPr>
          <w:trHeight w:val="481"/>
        </w:trPr>
        <w:tc>
          <w:tcPr>
            <w:tcW w:w="433" w:type="dxa"/>
            <w:vAlign w:val="top"/>
            <w:vMerge w:val="continue"/>
            <w:textDirection w:val="lrTb"/>
            <w:noWrap w:val="false"/>
          </w:tcPr>
          <w:p>
            <w:pPr>
              <w:pStyle w:val="861"/>
            </w:pPr>
            <w:r/>
            <w:r/>
          </w:p>
        </w:tc>
        <w:tc>
          <w:tcPr>
            <w:tcW w:w="1098"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（9）机械升降车位日常巡查、操作、指挥倒车入库、故障保修、故障处理、安全管控。</w:t>
            </w:r>
            <w:r>
              <w:rPr>
                <w:color w:val="000000" w:themeColor="text1"/>
                <w:highlight w:val="none"/>
              </w:rPr>
            </w:r>
            <w:r/>
          </w:p>
        </w:tc>
      </w:tr>
      <w:tr>
        <w:trPr>
          <w:trHeight w:val="454"/>
        </w:trPr>
        <w:tc>
          <w:tcPr>
            <w:tcMar>
              <w:left w:w="108" w:type="dxa"/>
              <w:top w:w="0" w:type="dxa"/>
              <w:right w:w="108" w:type="dxa"/>
              <w:bottom w:w="0" w:type="dxa"/>
            </w:tcMar>
            <w:tcW w:w="433"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3</w:t>
            </w:r>
            <w:r>
              <w:rPr>
                <w:color w:val="000000" w:themeColor="text1"/>
                <w:highlight w:val="none"/>
              </w:rPr>
            </w:r>
            <w:r/>
          </w:p>
        </w:tc>
        <w:tc>
          <w:tcPr>
            <w:tcMar>
              <w:left w:w="108" w:type="dxa"/>
              <w:top w:w="0" w:type="dxa"/>
              <w:right w:w="108" w:type="dxa"/>
              <w:bottom w:w="0" w:type="dxa"/>
            </w:tcMar>
            <w:tcW w:w="1098"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给排水系统</w:t>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）生活饮用水卫生符合《生活饮用水卫生标准》（</w:t>
            </w:r>
            <w:r>
              <w:rPr>
                <w:rFonts w:ascii="Calibri" w:hAnsi="Calibri" w:eastAsia="Calibri" w:cs="Calibri"/>
                <w:color w:val="000000" w:themeColor="text1"/>
                <w:highlight w:val="none"/>
              </w:rPr>
              <w:t xml:space="preserve">GB5749</w:t>
            </w:r>
            <w:r>
              <w:rPr>
                <w:rFonts w:ascii="宋体" w:hAnsi="宋体" w:cs="宋体"/>
                <w:color w:val="000000" w:themeColor="text1"/>
                <w:highlight w:val="none"/>
              </w:rPr>
              <w:t xml:space="preserve">）的相关要求。</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）二次供水卫生符合《二次供水设施卫生规范》（</w:t>
            </w:r>
            <w:r>
              <w:rPr>
                <w:rFonts w:ascii="Calibri" w:hAnsi="Calibri" w:eastAsia="Calibri" w:cs="Calibri"/>
                <w:color w:val="000000" w:themeColor="text1"/>
                <w:highlight w:val="none"/>
              </w:rPr>
              <w:t xml:space="preserve">GB17051</w:t>
            </w:r>
            <w:r>
              <w:rPr>
                <w:rFonts w:ascii="宋体" w:hAnsi="宋体" w:cs="宋体"/>
                <w:color w:val="000000" w:themeColor="text1"/>
                <w:highlight w:val="none"/>
              </w:rPr>
              <w:t xml:space="preserve">）的相关要求。</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）设施设备、阀门、管道等运行正常，无跑、冒、滴、漏现象。</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）有水泵房、水箱间的，每日至少巡视</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次。每年至少养护</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次水泵。</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）遇供水单位限水、停水，按规定时间通知采购人。</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6</w:t>
            </w:r>
            <w:r>
              <w:rPr>
                <w:rFonts w:ascii="宋体" w:hAnsi="宋体" w:cs="宋体"/>
                <w:color w:val="000000" w:themeColor="text1"/>
                <w:highlight w:val="none"/>
              </w:rPr>
              <w:t xml:space="preserve">）每季度至少开展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次对排水管进行疏通、清污，保证室内外排水系统通畅。</w:t>
            </w:r>
            <w:r>
              <w:rPr>
                <w:color w:val="000000" w:themeColor="text1"/>
                <w:highlight w:val="none"/>
              </w:rPr>
            </w:r>
            <w:r/>
          </w:p>
        </w:tc>
      </w:tr>
      <w:tr>
        <w:trPr>
          <w:trHeight w:val="454"/>
        </w:trPr>
        <w:tc>
          <w:tcPr>
            <w:tcMar>
              <w:left w:w="108" w:type="dxa"/>
              <w:top w:w="0" w:type="dxa"/>
              <w:right w:w="108" w:type="dxa"/>
              <w:bottom w:w="0" w:type="dxa"/>
            </w:tcMar>
            <w:tcW w:w="433"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4</w:t>
            </w:r>
            <w:r>
              <w:rPr>
                <w:color w:val="000000" w:themeColor="text1"/>
                <w:highlight w:val="none"/>
              </w:rPr>
            </w:r>
            <w:r/>
          </w:p>
        </w:tc>
        <w:tc>
          <w:tcPr>
            <w:tcMar>
              <w:left w:w="108" w:type="dxa"/>
              <w:top w:w="0" w:type="dxa"/>
              <w:right w:w="108" w:type="dxa"/>
              <w:bottom w:w="0" w:type="dxa"/>
            </w:tcMar>
            <w:tcW w:w="1098"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供配电系统</w:t>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）建立</w:t>
            </w:r>
            <w:r>
              <w:rPr>
                <w:rFonts w:ascii="Calibri" w:hAnsi="Calibri" w:eastAsia="Calibri" w:cs="Calibri"/>
                <w:color w:val="000000" w:themeColor="text1"/>
                <w:highlight w:val="none"/>
              </w:rPr>
              <w:t xml:space="preserve">24</w:t>
            </w:r>
            <w:r>
              <w:rPr>
                <w:rFonts w:ascii="宋体" w:hAnsi="宋体" w:cs="宋体"/>
                <w:color w:val="000000" w:themeColor="text1"/>
                <w:highlight w:val="none"/>
              </w:rPr>
              <w:t xml:space="preserve">小时运行值班监控制度。</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）对供电范围内的电气设备定期巡视维护，加强高低压配电柜、配电箱、控制柜及线路等重点部位监测。</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）公共使用的照明、指示灯具线路、开关、接地等保持完好，确保用电安全。</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）发生非计划性停电的，应当在事件发生后及时通知采购人，快速恢复或启用应急电源，并做好应急事件上报及处理工作。</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）复杂故障涉及供电部门维修处置的及时与供电部门联系，并向采购人报告。</w:t>
            </w:r>
            <w:r>
              <w:rPr>
                <w:color w:val="000000" w:themeColor="text1"/>
                <w:highlight w:val="none"/>
              </w:rPr>
            </w:r>
            <w:r/>
          </w:p>
        </w:tc>
      </w:tr>
      <w:tr>
        <w:trPr>
          <w:trHeight w:val="454"/>
        </w:trPr>
        <w:tc>
          <w:tcPr>
            <w:tcMar>
              <w:left w:w="108" w:type="dxa"/>
              <w:top w:w="0" w:type="dxa"/>
              <w:right w:w="108" w:type="dxa"/>
              <w:bottom w:w="0" w:type="dxa"/>
            </w:tcMar>
            <w:tcW w:w="433"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5</w:t>
            </w:r>
            <w:r>
              <w:rPr>
                <w:color w:val="000000" w:themeColor="text1"/>
                <w:highlight w:val="none"/>
              </w:rPr>
            </w:r>
            <w:r/>
          </w:p>
        </w:tc>
        <w:tc>
          <w:tcPr>
            <w:tcMar>
              <w:left w:w="108" w:type="dxa"/>
              <w:top w:w="0" w:type="dxa"/>
              <w:right w:w="108" w:type="dxa"/>
              <w:bottom w:w="0" w:type="dxa"/>
            </w:tcMar>
            <w:tcW w:w="1098"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照明系统</w:t>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）外观整洁无缺损、无松落。</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）更换的照明灯具应当选用节能环保产品，亮度与更换前保持一致。</w:t>
            </w:r>
            <w:r>
              <w:rPr>
                <w:color w:val="000000" w:themeColor="text1"/>
                <w:highlight w:val="none"/>
              </w:rPr>
            </w:r>
            <w:r/>
          </w:p>
        </w:tc>
      </w:tr>
      <w:tr>
        <w:trPr>
          <w:trHeight w:val="454"/>
        </w:trPr>
        <w:tc>
          <w:tcPr>
            <w:tcW w:w="429" w:type="dxa"/>
            <w:vAlign w:val="top"/>
            <w:vMerge w:val="continue"/>
            <w:textDirection w:val="lrTb"/>
            <w:noWrap w:val="false"/>
          </w:tcPr>
          <w:p>
            <w:pPr>
              <w:pStyle w:val="861"/>
            </w:pPr>
            <w:r/>
            <w:r/>
          </w:p>
        </w:tc>
        <w:tc>
          <w:tcPr>
            <w:tcW w:w="1070" w:type="dxa"/>
            <w:vAlign w:val="top"/>
            <w:vMerge w:val="continue"/>
            <w:textDirection w:val="lrTb"/>
            <w:noWrap w:val="false"/>
          </w:tcPr>
          <w:p>
            <w:pPr>
              <w:pStyle w:val="861"/>
            </w:p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）每周至少开展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次公共区域照明设备巡视。</w:t>
            </w:r>
            <w:r>
              <w:rPr>
                <w:color w:val="000000" w:themeColor="text1"/>
                <w:highlight w:val="none"/>
              </w:rPr>
            </w:r>
            <w:r/>
          </w:p>
        </w:tc>
      </w:tr>
      <w:tr>
        <w:trPr>
          <w:trHeight w:val="454"/>
        </w:trPr>
        <w:tc>
          <w:tcPr>
            <w:tcW w:w="433" w:type="dxa"/>
            <w:vAlign w:val="center"/>
            <w:vMerge w:val="restart"/>
            <w:textDirection w:val="lrTb"/>
            <w:noWrap w:val="false"/>
          </w:tcPr>
          <w:p>
            <w:pPr>
              <w:pStyle w:val="861"/>
              <w:jc w:val="center"/>
              <w:spacing w:line="71"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6</w:t>
            </w:r>
            <w:r>
              <w:rPr>
                <w:color w:val="000000" w:themeColor="text1"/>
                <w:highlight w:val="none"/>
              </w:rPr>
            </w:r>
            <w:r/>
          </w:p>
        </w:tc>
        <w:tc>
          <w:tcPr>
            <w:tcW w:w="1098" w:type="dxa"/>
            <w:vAlign w:val="center"/>
            <w:vMerge w:val="restart"/>
            <w:textDirection w:val="lrTb"/>
            <w:noWrap w:val="false"/>
          </w:tcPr>
          <w:p>
            <w:pPr>
              <w:pStyle w:val="861"/>
              <w:jc w:val="center"/>
              <w:spacing w:line="71"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智能楼宇系统（IBMS）</w:t>
            </w:r>
            <w:r>
              <w:rPr>
                <w:color w:val="000000" w:themeColor="text1"/>
                <w:highlight w:val="none"/>
              </w:rPr>
            </w:r>
            <w:r/>
          </w:p>
        </w:tc>
        <w:tc>
          <w:tcPr>
            <w:tcMar>
              <w:left w:w="108" w:type="dxa"/>
              <w:top w:w="0" w:type="dxa"/>
              <w:right w:w="108" w:type="dxa"/>
              <w:bottom w:w="0" w:type="dxa"/>
            </w:tcMar>
            <w:tcW w:w="7638" w:type="dxa"/>
            <w:vAlign w:val="center"/>
            <w:textDirection w:val="lrTb"/>
            <w:noWrap w:val="false"/>
          </w:tcPr>
          <w:p>
            <w:pPr>
              <w:pStyle w:val="861"/>
              <w:ind w:firstLine="210"/>
              <w:spacing w:line="71"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（1）每日对智能楼宇核心子系统（楼宇自控、视频监控、门禁、消防联动、停车场管理、能耗监测、智能照明等）进行功能巡检，记录运行参数，确保无异常告警。</w:t>
            </w:r>
            <w:r>
              <w:rPr>
                <w:color w:val="000000" w:themeColor="text1"/>
                <w:highlight w:val="none"/>
              </w:rPr>
            </w:r>
            <w:r/>
          </w:p>
        </w:tc>
      </w:tr>
      <w:tr>
        <w:trPr>
          <w:trHeight w:val="454"/>
        </w:trPr>
        <w:tc>
          <w:tcPr>
            <w:tcW w:w="433" w:type="dxa"/>
            <w:vAlign w:val="top"/>
            <w:vMerge w:val="continue"/>
            <w:textDirection w:val="lrTb"/>
            <w:noWrap w:val="false"/>
          </w:tcPr>
          <w:p>
            <w:pPr>
              <w:pStyle w:val="861"/>
            </w:pPr>
            <w:r/>
            <w:r/>
          </w:p>
        </w:tc>
        <w:tc>
          <w:tcPr>
            <w:tcW w:w="1098" w:type="dxa"/>
            <w:vAlign w:val="top"/>
            <w:vMerge w:val="continue"/>
            <w:textDirection w:val="lrTb"/>
            <w:noWrap w:val="false"/>
          </w:tcPr>
          <w:p>
            <w:pPr>
              <w:pStyle w:val="861"/>
            </w:pPr>
            <w:r/>
            <w:r/>
          </w:p>
        </w:tc>
        <w:tc>
          <w:tcPr>
            <w:tcW w:w="5951" w:type="dxa"/>
            <w:vAlign w:val="center"/>
            <w:textDirection w:val="lrTb"/>
            <w:noWrap w:val="false"/>
          </w:tcPr>
          <w:p>
            <w:pPr>
              <w:pStyle w:val="861"/>
              <w:ind w:firstLine="210"/>
              <w:spacing w:line="71"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（2）建立分级响应机制：一般故障（如单扇门禁失灵）30小时内响应；严重故障（如智能系统瘫痪、大面积监控失效）30分钟内响应、24小时内恢复；重大故障（如消防联动异常）立即上报并协调厂家紧急抢修。</w:t>
            </w:r>
            <w:r>
              <w:rPr>
                <w:color w:val="000000" w:themeColor="text1"/>
                <w:highlight w:val="none"/>
              </w:rPr>
            </w:r>
            <w:r/>
          </w:p>
        </w:tc>
      </w:tr>
      <w:tr>
        <w:trPr>
          <w:trHeight w:val="454"/>
        </w:trPr>
        <w:tc>
          <w:tcPr>
            <w:tcW w:w="433" w:type="dxa"/>
            <w:vAlign w:val="top"/>
            <w:vMerge w:val="continue"/>
            <w:textDirection w:val="lrTb"/>
            <w:noWrap w:val="false"/>
          </w:tcPr>
          <w:p>
            <w:pPr>
              <w:pStyle w:val="861"/>
            </w:pPr>
            <w:r/>
            <w:r/>
          </w:p>
        </w:tc>
        <w:tc>
          <w:tcPr>
            <w:tcW w:w="1098" w:type="dxa"/>
            <w:vAlign w:val="top"/>
            <w:vMerge w:val="continue"/>
            <w:textDirection w:val="lrTb"/>
            <w:noWrap w:val="false"/>
          </w:tcPr>
          <w:p>
            <w:pPr>
              <w:pStyle w:val="861"/>
            </w:pPr>
            <w:r/>
            <w:r/>
          </w:p>
        </w:tc>
        <w:tc>
          <w:tcPr>
            <w:tcW w:w="5951" w:type="dxa"/>
            <w:vAlign w:val="center"/>
            <w:textDirection w:val="lrTb"/>
            <w:noWrap w:val="false"/>
          </w:tcPr>
          <w:p>
            <w:pPr>
              <w:pStyle w:val="861"/>
              <w:ind w:firstLine="210"/>
              <w:spacing w:line="71" w:lineRule="atLeast"/>
              <w:rPr>
                <w:rFonts w:ascii="Wingdings 2" w:hAnsi="Wingdings 2" w:eastAsia="Wingdings 2" w:cs="Wingdings 2"/>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（3）智能楼宇系统数据（含人员通行、能耗、监控录像等）实行分级管理，设置严格的访问权限，禁止泄露隐私数据。</w:t>
            </w:r>
            <w:r>
              <w:rPr>
                <w:color w:val="000000" w:themeColor="text1"/>
                <w:highlight w:val="none"/>
              </w:rPr>
            </w:r>
            <w:r/>
          </w:p>
        </w:tc>
      </w:tr>
    </w:tbl>
    <w:p>
      <w:pPr>
        <w:pStyle w:val="861"/>
        <w:ind w:firstLine="420"/>
        <w:rPr>
          <w:color w:val="000000" w:themeColor="text1"/>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3.4</w:t>
      </w:r>
      <w:r>
        <w:rPr>
          <w:rFonts w:ascii="宋体" w:hAnsi="宋体" w:cs="宋体"/>
          <w:b/>
          <w:color w:val="000000" w:themeColor="text1"/>
          <w:highlight w:val="none"/>
        </w:rPr>
        <w:t xml:space="preserve">保洁服务</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219"/>
        <w:gridCol w:w="5938"/>
      </w:tblGrid>
      <w:tr>
        <w:trPr>
          <w:trHeight w:val="454"/>
        </w:trPr>
        <w:tc>
          <w:tcPr>
            <w:tcMar>
              <w:left w:w="108" w:type="dxa"/>
              <w:top w:w="0" w:type="dxa"/>
              <w:right w:w="108" w:type="dxa"/>
              <w:bottom w:w="0" w:type="dxa"/>
            </w:tcMar>
            <w:tcW w:w="1027"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序号</w:t>
            </w:r>
            <w:r>
              <w:rPr>
                <w:color w:val="000000" w:themeColor="text1"/>
                <w:highlight w:val="none"/>
              </w:rPr>
            </w:r>
            <w:r/>
          </w:p>
        </w:tc>
        <w:tc>
          <w:tcPr>
            <w:tcMar>
              <w:left w:w="108" w:type="dxa"/>
              <w:top w:w="0" w:type="dxa"/>
              <w:right w:w="108" w:type="dxa"/>
              <w:bottom w:w="0" w:type="dxa"/>
            </w:tcMar>
            <w:tcW w:w="2265"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w:t>
            </w:r>
            <w:r>
              <w:rPr>
                <w:color w:val="000000" w:themeColor="text1"/>
                <w:highlight w:val="none"/>
              </w:rPr>
            </w:r>
            <w:r/>
          </w:p>
        </w:tc>
        <w:tc>
          <w:tcPr>
            <w:tcMar>
              <w:left w:w="108" w:type="dxa"/>
              <w:top w:w="0" w:type="dxa"/>
              <w:right w:w="108" w:type="dxa"/>
              <w:bottom w:w="0" w:type="dxa"/>
            </w:tcMar>
            <w:tcW w:w="6062"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服务标准</w:t>
            </w:r>
            <w:r>
              <w:rPr>
                <w:color w:val="000000" w:themeColor="text1"/>
                <w:highlight w:val="none"/>
              </w:rPr>
            </w:r>
            <w:r/>
          </w:p>
        </w:tc>
      </w:tr>
      <w:tr>
        <w:trPr>
          <w:trHeight w:val="454"/>
        </w:trPr>
        <w:tc>
          <w:tcPr>
            <w:tcMar>
              <w:left w:w="108" w:type="dxa"/>
              <w:top w:w="0" w:type="dxa"/>
              <w:right w:w="108" w:type="dxa"/>
              <w:bottom w:w="0" w:type="dxa"/>
            </w:tcMar>
            <w:tcW w:w="1027"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w:t>
            </w:r>
            <w:r>
              <w:rPr>
                <w:color w:val="000000" w:themeColor="text1"/>
                <w:highlight w:val="none"/>
              </w:rPr>
            </w:r>
            <w:r/>
          </w:p>
        </w:tc>
        <w:tc>
          <w:tcPr>
            <w:tcMar>
              <w:left w:w="108" w:type="dxa"/>
              <w:top w:w="0" w:type="dxa"/>
              <w:right w:w="108" w:type="dxa"/>
              <w:bottom w:w="0" w:type="dxa"/>
            </w:tcMar>
            <w:tcW w:w="226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基本要求</w:t>
            </w:r>
            <w:r>
              <w:rPr>
                <w:color w:val="000000" w:themeColor="text1"/>
                <w:highlight w:val="none"/>
              </w:r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）建立保洁服务的工作制度及工作计划，并按照执行。</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）做好保洁服务工作记录，记录填写规范、保存完好。</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）作业时采取安全防护措施，防止对作业人员或他人造成伤害。相关耗材的环保、安全性等应当符合国家相关规定要求。</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）进入保密区域时，有采购人相关人员全程在场。</w:t>
            </w:r>
            <w:r>
              <w:rPr>
                <w:color w:val="000000" w:themeColor="text1"/>
                <w:highlight w:val="none"/>
              </w:rPr>
            </w:r>
            <w:r/>
          </w:p>
        </w:tc>
      </w:tr>
      <w:tr>
        <w:trPr>
          <w:trHeight w:val="1507"/>
        </w:trPr>
        <w:tc>
          <w:tcPr>
            <w:tcMar>
              <w:left w:w="108" w:type="dxa"/>
              <w:top w:w="0" w:type="dxa"/>
              <w:right w:w="108" w:type="dxa"/>
              <w:bottom w:w="0" w:type="dxa"/>
            </w:tcMar>
            <w:tcW w:w="1027"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2</w:t>
            </w:r>
            <w:r>
              <w:rPr>
                <w:color w:val="000000" w:themeColor="text1"/>
                <w:highlight w:val="none"/>
              </w:rPr>
            </w:r>
            <w:r/>
          </w:p>
        </w:tc>
        <w:tc>
          <w:tcPr>
            <w:tcMar>
              <w:left w:w="108" w:type="dxa"/>
              <w:top w:w="0" w:type="dxa"/>
              <w:right w:w="108" w:type="dxa"/>
              <w:bottom w:w="0" w:type="dxa"/>
            </w:tcMar>
            <w:tcW w:w="226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办公用房区域保洁</w:t>
            </w:r>
            <w:r>
              <w:rPr>
                <w:color w:val="000000" w:themeColor="text1"/>
                <w:highlight w:val="none"/>
              </w:r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）大厅、楼内公共通道：</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①公共通道保持干净，无异味、无杂物、无积水，每日至少开展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②门窗玻璃干净无尘，透光性好，每周至少开展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p>
            <w:pPr>
              <w:pStyle w:val="861"/>
              <w:ind w:firstLine="210"/>
              <w:spacing w:line="71"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③指示牌干净，无污渍，每日至少开展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p>
            <w:pPr>
              <w:pStyle w:val="861"/>
              <w:ind w:firstLine="210"/>
              <w:spacing w:line="71"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④对办公区大楼门厅内外定期进行清洁保养（需登高作业）</w:t>
            </w:r>
            <w:r>
              <w:rPr>
                <w:color w:val="000000" w:themeColor="text1"/>
                <w:highlight w:val="none"/>
              </w:rPr>
            </w:r>
            <w:r/>
          </w:p>
        </w:tc>
      </w:tr>
      <w:tr>
        <w:trPr>
          <w:trHeight w:val="1095"/>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）电器、消防等设施设备：</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①配电箱、设备机房、会议室音视频设备、消防栓及开关插座等保持表面干净，无尘无污迹，每月至少开展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②监控摄像头、门禁系统等表面光亮，无尘、无斑点，每月至少开展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）楼梯及楼梯间保持干净、无异味、无杂物、无积水，每日至少开展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）开水间保持干净、无异味、无杂物、无积水，每日至少开展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）作业工具间：</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①保持干净，无异味、无杂物、无积水，每日至少开展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②作业工具摆放整齐有序，表面干净无渍，每日消毒。</w:t>
            </w:r>
            <w:r>
              <w:rPr>
                <w:color w:val="000000" w:themeColor="text1"/>
                <w:highlight w:val="none"/>
              </w:rPr>
            </w:r>
            <w:r/>
          </w:p>
        </w:tc>
      </w:tr>
      <w:tr>
        <w:trPr>
          <w:trHeight w:val="1095"/>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6</w:t>
            </w:r>
            <w:r>
              <w:rPr>
                <w:rFonts w:ascii="宋体" w:hAnsi="宋体" w:cs="宋体"/>
                <w:color w:val="000000" w:themeColor="text1"/>
                <w:highlight w:val="none"/>
              </w:rPr>
              <w:t xml:space="preserve">）公共卫生间：</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①保持干净，无异味，垃圾无溢出，每日至少开展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②及时补充厕纸等必要用品。</w:t>
            </w:r>
            <w:r>
              <w:rPr>
                <w:color w:val="000000" w:themeColor="text1"/>
                <w:highlight w:val="none"/>
              </w:rPr>
            </w:r>
            <w:r/>
          </w:p>
        </w:tc>
      </w:tr>
      <w:tr>
        <w:trPr>
          <w:trHeight w:val="1107"/>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7</w:t>
            </w:r>
            <w:r>
              <w:rPr>
                <w:rFonts w:ascii="宋体" w:hAnsi="宋体" w:cs="宋体"/>
                <w:color w:val="000000" w:themeColor="text1"/>
                <w:highlight w:val="none"/>
              </w:rPr>
              <w:t xml:space="preserve">）电梯轿厢：</w:t>
            </w:r>
            <w:r>
              <w:rPr>
                <w:color w:val="000000" w:themeColor="text1"/>
                <w:highlight w:val="none"/>
              </w:rPr>
            </w:r>
            <w:r/>
          </w:p>
          <w:p>
            <w:pPr>
              <w:pStyle w:val="861"/>
              <w:ind w:left="315"/>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①保持干净，无污渍、无粘贴物、无异味，每日至少开展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p>
            <w:pPr>
              <w:pStyle w:val="861"/>
              <w:ind w:left="315"/>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②灯具、操作指示板明亮。</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8</w:t>
            </w:r>
            <w:r>
              <w:rPr>
                <w:rFonts w:ascii="宋体" w:hAnsi="宋体" w:cs="宋体"/>
                <w:color w:val="000000" w:themeColor="text1"/>
                <w:highlight w:val="none"/>
              </w:rPr>
              <w:t xml:space="preserve">）平台、屋顶、天沟保持干净，有杂物及时清扫，每月至少开展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9</w:t>
            </w:r>
            <w:r>
              <w:rPr>
                <w:rFonts w:ascii="宋体" w:hAnsi="宋体" w:cs="宋体"/>
                <w:color w:val="000000" w:themeColor="text1"/>
                <w:highlight w:val="none"/>
              </w:rPr>
              <w:t xml:space="preserve">）石材地面、内墙做好养护工作，每季度开展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次清洁作业。（各类材质地面、内墙服务管理标准详见</w:t>
            </w:r>
            <w:r>
              <w:rPr>
                <w:rFonts w:ascii="Calibri" w:hAnsi="Calibri" w:eastAsia="Calibri" w:cs="Calibri"/>
                <w:color w:val="000000" w:themeColor="text1"/>
                <w:highlight w:val="none"/>
              </w:rPr>
              <w:t xml:space="preserve">3.4.1</w:t>
            </w:r>
            <w:r>
              <w:rPr>
                <w:rFonts w:ascii="宋体" w:hAnsi="宋体" w:cs="宋体"/>
                <w:color w:val="000000" w:themeColor="text1"/>
                <w:highlight w:val="none"/>
              </w:rPr>
              <w:t xml:space="preserve">）</w:t>
            </w:r>
            <w:r>
              <w:rPr>
                <w:color w:val="000000" w:themeColor="text1"/>
                <w:highlight w:val="none"/>
              </w:rPr>
            </w:r>
            <w:r/>
          </w:p>
        </w:tc>
      </w:tr>
      <w:tr>
        <w:trPr>
          <w:trHeight w:val="588"/>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10</w:t>
            </w:r>
            <w:r>
              <w:rPr>
                <w:rFonts w:ascii="宋体" w:hAnsi="宋体" w:cs="宋体"/>
                <w:color w:val="000000" w:themeColor="text1"/>
                <w:highlight w:val="none"/>
              </w:rPr>
              <w:t xml:space="preserve">）地毯干净、无油渍、无污渍、无褪色，每月至少开展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Mar>
              <w:left w:w="108" w:type="dxa"/>
              <w:top w:w="0" w:type="dxa"/>
              <w:right w:w="108" w:type="dxa"/>
              <w:bottom w:w="0" w:type="dxa"/>
            </w:tcMar>
            <w:tcW w:w="1027"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3</w:t>
            </w:r>
            <w:r>
              <w:rPr>
                <w:color w:val="000000" w:themeColor="text1"/>
                <w:highlight w:val="none"/>
              </w:rPr>
            </w:r>
            <w:r/>
          </w:p>
        </w:tc>
        <w:tc>
          <w:tcPr>
            <w:tcMar>
              <w:left w:w="108" w:type="dxa"/>
              <w:top w:w="0" w:type="dxa"/>
              <w:right w:w="108" w:type="dxa"/>
              <w:bottom w:w="0" w:type="dxa"/>
            </w:tcMar>
            <w:tcW w:w="226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公共场地区域保洁</w:t>
            </w:r>
            <w:r>
              <w:rPr>
                <w:color w:val="000000" w:themeColor="text1"/>
                <w:highlight w:val="none"/>
              </w:r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）每日清扫道路地面、停车场等公共区域</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次，保持干净、无杂物、无积水。</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）雪、冰冻等恶劣天气时及时清扫积水、积雪，并采取安全防护措施。</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）各种路标、宣传栏等保持干净，每月至少开展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）清洁室外照明设备，每月至少开展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）绿地内无杂物、无改变用途和破坏、践踏、占用现象，每天至少开展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次巡查。</w:t>
            </w:r>
            <w:r>
              <w:rPr>
                <w:color w:val="000000" w:themeColor="text1"/>
                <w:highlight w:val="none"/>
              </w:rPr>
            </w:r>
            <w:r/>
          </w:p>
        </w:tc>
      </w:tr>
      <w:tr>
        <w:trPr>
          <w:trHeight w:val="520"/>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6</w:t>
            </w:r>
            <w:r>
              <w:rPr>
                <w:rFonts w:ascii="宋体" w:hAnsi="宋体" w:cs="宋体"/>
                <w:color w:val="000000" w:themeColor="text1"/>
                <w:highlight w:val="none"/>
              </w:rPr>
              <w:t xml:space="preserve">）办公区外立面定期清洗、</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米以上外窗玻璃擦拭，每年至少开展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次清洗。（各类材质外立面服务标准详见</w:t>
            </w:r>
            <w:r>
              <w:rPr>
                <w:rFonts w:ascii="Calibri" w:hAnsi="Calibri" w:eastAsia="Calibri" w:cs="Calibri"/>
                <w:color w:val="000000" w:themeColor="text1"/>
                <w:highlight w:val="none"/>
              </w:rPr>
              <w:t xml:space="preserve">3.4.1</w:t>
            </w:r>
            <w:r>
              <w:rPr>
                <w:rFonts w:ascii="宋体" w:hAnsi="宋体" w:cs="宋体"/>
                <w:color w:val="000000" w:themeColor="text1"/>
                <w:highlight w:val="none"/>
              </w:rPr>
              <w:t xml:space="preserve">）</w:t>
            </w:r>
            <w:r>
              <w:rPr>
                <w:color w:val="000000" w:themeColor="text1"/>
                <w:highlight w:val="none"/>
              </w:rPr>
            </w:r>
            <w:r/>
          </w:p>
        </w:tc>
      </w:tr>
      <w:tr>
        <w:trPr>
          <w:trHeight w:val="454"/>
        </w:trPr>
        <w:tc>
          <w:tcPr>
            <w:tcMar>
              <w:left w:w="108" w:type="dxa"/>
              <w:top w:w="0" w:type="dxa"/>
              <w:right w:w="108" w:type="dxa"/>
              <w:bottom w:w="0" w:type="dxa"/>
            </w:tcMar>
            <w:tcW w:w="1027"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4</w:t>
            </w:r>
            <w:r>
              <w:rPr>
                <w:color w:val="000000" w:themeColor="text1"/>
                <w:highlight w:val="none"/>
              </w:rPr>
            </w:r>
            <w:r/>
          </w:p>
        </w:tc>
        <w:tc>
          <w:tcPr>
            <w:tcMar>
              <w:left w:w="108" w:type="dxa"/>
              <w:top w:w="0" w:type="dxa"/>
              <w:right w:w="108" w:type="dxa"/>
              <w:bottom w:w="0" w:type="dxa"/>
            </w:tcMar>
            <w:tcW w:w="226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垃圾处理</w:t>
            </w:r>
            <w:r>
              <w:rPr>
                <w:color w:val="000000" w:themeColor="text1"/>
                <w:highlight w:val="none"/>
              </w:r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）在指定位置摆放分类垃圾桶，并在显著处张贴垃圾分类标识。分类垃圾桶和垃圾分类标识根据所在城市的要求设置。</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）桶身表面干净无污渍，每日开展至少</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）垃圾中转房保持整洁，无明显异味，每日至少开展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）化粪池清掏，无明显异味，每半年至少开展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次清洁作业。</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）每个工作日内要对楼层产生的垃圾，进行清理分类，并运至垃圾集中堆放点。</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6</w:t>
            </w:r>
            <w:r>
              <w:rPr>
                <w:rFonts w:ascii="宋体" w:hAnsi="宋体" w:cs="宋体"/>
                <w:color w:val="000000" w:themeColor="text1"/>
                <w:highlight w:val="none"/>
              </w:rPr>
              <w:t xml:space="preserve">）垃圾装袋，日产日清。</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7</w:t>
            </w:r>
            <w:r>
              <w:rPr>
                <w:rFonts w:ascii="宋体" w:hAnsi="宋体" w:cs="宋体"/>
                <w:color w:val="000000" w:themeColor="text1"/>
                <w:highlight w:val="none"/>
              </w:rPr>
              <w:t xml:space="preserve">）建立垃圾清运台账，交由规范的渠道回收处理。</w:t>
            </w:r>
            <w:r>
              <w:rPr>
                <w:color w:val="000000" w:themeColor="text1"/>
                <w:highlight w:val="none"/>
              </w:rPr>
            </w:r>
            <w:r/>
          </w:p>
        </w:tc>
      </w:tr>
      <w:tr>
        <w:trPr>
          <w:trHeight w:val="454"/>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8</w:t>
            </w:r>
            <w:r>
              <w:rPr>
                <w:rFonts w:ascii="宋体" w:hAnsi="宋体" w:cs="宋体"/>
                <w:color w:val="000000" w:themeColor="text1"/>
                <w:highlight w:val="none"/>
              </w:rPr>
              <w:t xml:space="preserve">）做好垃圾分类管理的宣传工作，督促并引导全员参与垃圾分类投放。</w:t>
            </w:r>
            <w:r>
              <w:rPr>
                <w:color w:val="000000" w:themeColor="text1"/>
                <w:highlight w:val="none"/>
              </w:rPr>
            </w:r>
            <w:r/>
          </w:p>
        </w:tc>
      </w:tr>
      <w:tr>
        <w:trPr>
          <w:trHeight w:val="597"/>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9</w:t>
            </w:r>
            <w:r>
              <w:rPr>
                <w:rFonts w:ascii="宋体" w:hAnsi="宋体" w:cs="宋体"/>
                <w:color w:val="000000" w:themeColor="text1"/>
                <w:highlight w:val="none"/>
              </w:rPr>
              <w:t xml:space="preserve">）垃圾分类投放管理工作的执行标准，按所在城市的要求执行。</w:t>
            </w:r>
            <w:r>
              <w:rPr>
                <w:color w:val="000000" w:themeColor="text1"/>
                <w:highlight w:val="none"/>
              </w:rPr>
            </w:r>
            <w:r/>
          </w:p>
        </w:tc>
      </w:tr>
      <w:tr>
        <w:trPr>
          <w:trHeight w:val="532"/>
        </w:trPr>
        <w:tc>
          <w:tcPr>
            <w:tcMar>
              <w:left w:w="108" w:type="dxa"/>
              <w:top w:w="0" w:type="dxa"/>
              <w:right w:w="108" w:type="dxa"/>
              <w:bottom w:w="0" w:type="dxa"/>
            </w:tcMar>
            <w:tcW w:w="1027"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5</w:t>
            </w:r>
            <w:r>
              <w:rPr>
                <w:color w:val="000000" w:themeColor="text1"/>
                <w:highlight w:val="none"/>
              </w:rPr>
            </w:r>
            <w:r/>
          </w:p>
        </w:tc>
        <w:tc>
          <w:tcPr>
            <w:tcMar>
              <w:left w:w="108" w:type="dxa"/>
              <w:top w:w="0" w:type="dxa"/>
              <w:right w:w="108" w:type="dxa"/>
              <w:bottom w:w="0" w:type="dxa"/>
            </w:tcMar>
            <w:tcW w:w="2265"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卫生消毒</w:t>
            </w:r>
            <w:r>
              <w:rPr>
                <w:color w:val="000000" w:themeColor="text1"/>
                <w:highlight w:val="none"/>
              </w:r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）办公用房区域、公共场所区域和周围环境预防性卫生消毒，消毒后及时通风，每周至少开展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次作业。</w:t>
            </w:r>
            <w:r>
              <w:rPr>
                <w:color w:val="000000" w:themeColor="text1"/>
                <w:highlight w:val="none"/>
              </w:rPr>
            </w:r>
            <w:r/>
          </w:p>
        </w:tc>
      </w:tr>
      <w:tr>
        <w:trPr>
          <w:trHeight w:val="418"/>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）采取综合措施消灭老鼠、蟑螂，控制室内外蚊虫滋生，达到基本无蝇，每季度至少开展</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次作业。</w:t>
            </w:r>
            <w:r>
              <w:rPr>
                <w:color w:val="000000" w:themeColor="text1"/>
                <w:highlight w:val="none"/>
              </w:rPr>
            </w:r>
            <w:r/>
          </w:p>
        </w:tc>
      </w:tr>
      <w:tr>
        <w:trPr>
          <w:trHeight w:val="536"/>
        </w:trPr>
        <w:tc>
          <w:tcPr>
            <w:tcW w:w="1012" w:type="dxa"/>
            <w:vAlign w:val="top"/>
            <w:vMerge w:val="continue"/>
            <w:textDirection w:val="lrTb"/>
            <w:noWrap w:val="false"/>
          </w:tcPr>
          <w:p>
            <w:pPr>
              <w:pStyle w:val="861"/>
            </w:pPr>
            <w:r/>
            <w:r/>
          </w:p>
        </w:tc>
        <w:tc>
          <w:tcPr>
            <w:tcW w:w="2219" w:type="dxa"/>
            <w:vAlign w:val="top"/>
            <w:vMerge w:val="continue"/>
            <w:textDirection w:val="lrTb"/>
            <w:noWrap w:val="false"/>
          </w:tcPr>
          <w:p>
            <w:pPr>
              <w:pStyle w:val="861"/>
            </w:pPr>
            <w:r/>
            <w:r/>
          </w:p>
        </w:tc>
        <w:tc>
          <w:tcPr>
            <w:tcMar>
              <w:left w:w="108" w:type="dxa"/>
              <w:top w:w="0" w:type="dxa"/>
              <w:right w:w="108" w:type="dxa"/>
              <w:bottom w:w="0" w:type="dxa"/>
            </w:tcMar>
            <w:tcW w:w="6062"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）发生公共卫生事件时，邀请专业单位开展消毒、检测等工作。</w:t>
            </w:r>
            <w:r>
              <w:rPr>
                <w:color w:val="000000" w:themeColor="text1"/>
                <w:highlight w:val="none"/>
              </w:rPr>
            </w:r>
            <w:r/>
          </w:p>
        </w:tc>
      </w:tr>
    </w:tbl>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3.4.1</w:t>
      </w:r>
      <w:r>
        <w:rPr>
          <w:rFonts w:ascii="宋体" w:hAnsi="宋体" w:cs="宋体"/>
          <w:b/>
          <w:color w:val="000000" w:themeColor="text1"/>
          <w:highlight w:val="none"/>
        </w:rPr>
        <w:t xml:space="preserve">具体清洁要求</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2124"/>
        <w:gridCol w:w="5993"/>
      </w:tblGrid>
      <w:tr>
        <w:trPr>
          <w:trHeight w:val="454"/>
        </w:trPr>
        <w:tc>
          <w:tcPr>
            <w:tcMar>
              <w:left w:w="108" w:type="dxa"/>
              <w:top w:w="0" w:type="dxa"/>
              <w:right w:w="108" w:type="dxa"/>
              <w:bottom w:w="0" w:type="dxa"/>
            </w:tcMar>
            <w:tcW w:w="106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序号</w:t>
            </w:r>
            <w:r>
              <w:rPr>
                <w:color w:val="000000" w:themeColor="text1"/>
                <w:highlight w:val="none"/>
              </w:rPr>
            </w:r>
            <w:r/>
          </w:p>
        </w:tc>
        <w:tc>
          <w:tcPr>
            <w:tcMar>
              <w:left w:w="108" w:type="dxa"/>
              <w:top w:w="0" w:type="dxa"/>
              <w:right w:w="108" w:type="dxa"/>
              <w:bottom w:w="0" w:type="dxa"/>
            </w:tcMar>
            <w:tcW w:w="216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材质</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清洁要求</w:t>
            </w:r>
            <w:r>
              <w:rPr>
                <w:color w:val="000000" w:themeColor="text1"/>
                <w:highlight w:val="none"/>
              </w:rPr>
            </w:r>
            <w:r/>
          </w:p>
        </w:tc>
      </w:tr>
      <w:tr>
        <w:trPr>
          <w:trHeight w:val="454"/>
        </w:trPr>
        <w:tc>
          <w:tcPr>
            <w:tcMar>
              <w:left w:w="108" w:type="dxa"/>
              <w:top w:w="0" w:type="dxa"/>
              <w:right w:w="108" w:type="dxa"/>
              <w:bottom w:w="0" w:type="dxa"/>
            </w:tcMar>
            <w:tcW w:w="1068" w:type="dxa"/>
            <w:vAlign w:val="center"/>
            <w:vMerge w:val="restart"/>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w:t>
            </w:r>
            <w:r>
              <w:rPr>
                <w:color w:val="000000" w:themeColor="text1"/>
                <w:highlight w:val="none"/>
              </w:rPr>
            </w:r>
            <w:r/>
          </w:p>
        </w:tc>
        <w:tc>
          <w:tcPr>
            <w:tcMar>
              <w:left w:w="108" w:type="dxa"/>
              <w:top w:w="0" w:type="dxa"/>
              <w:right w:w="108" w:type="dxa"/>
              <w:bottom w:w="0" w:type="dxa"/>
            </w:tcMar>
            <w:tcW w:w="2167" w:type="dxa"/>
            <w:vAlign w:val="center"/>
            <w:vMerge w:val="restart"/>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环氧地坪地面</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）清理垃圾：清理地面上的垃圾和杂物。</w:t>
            </w:r>
            <w:r>
              <w:rPr>
                <w:color w:val="000000" w:themeColor="text1"/>
                <w:highlight w:val="none"/>
              </w:rPr>
            </w:r>
            <w:r/>
          </w:p>
        </w:tc>
      </w:tr>
      <w:tr>
        <w:trPr>
          <w:trHeight w:val="454"/>
        </w:trPr>
        <w:tc>
          <w:tcPr>
            <w:tcW w:w="1052" w:type="dxa"/>
            <w:vAlign w:val="top"/>
            <w:vMerge w:val="continue"/>
            <w:textDirection w:val="lrTb"/>
            <w:noWrap w:val="false"/>
          </w:tcPr>
          <w:p>
            <w:pPr>
              <w:pStyle w:val="861"/>
            </w:pPr>
            <w:r/>
            <w:r/>
          </w:p>
        </w:tc>
        <w:tc>
          <w:tcPr>
            <w:tcW w:w="2124" w:type="dxa"/>
            <w:vAlign w:val="top"/>
            <w:vMerge w:val="continue"/>
            <w:textDirection w:val="lrTb"/>
            <w:noWrap w:val="false"/>
          </w:tcPr>
          <w:p>
            <w:pPr>
              <w:pStyle w:val="861"/>
            </w:p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）清洗地面：用专业的清洁剂或去污剂清洗地面。清洁剂和去污剂的选取要根据污垢的性质而定。环氧地坪一般使用弱酸性或弱碱性的清洁剂，避免使用酸性或碱性强的清洁剂。</w:t>
            </w:r>
            <w:r>
              <w:rPr>
                <w:color w:val="000000" w:themeColor="text1"/>
                <w:highlight w:val="none"/>
              </w:rPr>
            </w:r>
            <w:r/>
          </w:p>
        </w:tc>
      </w:tr>
      <w:tr>
        <w:trPr>
          <w:trHeight w:val="454"/>
        </w:trPr>
        <w:tc>
          <w:tcPr>
            <w:tcW w:w="1052" w:type="dxa"/>
            <w:vAlign w:val="top"/>
            <w:vMerge w:val="continue"/>
            <w:textDirection w:val="lrTb"/>
            <w:noWrap w:val="false"/>
          </w:tcPr>
          <w:p>
            <w:pPr>
              <w:pStyle w:val="861"/>
            </w:pPr>
            <w:r/>
            <w:r/>
          </w:p>
        </w:tc>
        <w:tc>
          <w:tcPr>
            <w:tcW w:w="2124" w:type="dxa"/>
            <w:vAlign w:val="top"/>
            <w:vMerge w:val="continue"/>
            <w:textDirection w:val="lrTb"/>
            <w:noWrap w:val="false"/>
          </w:tcPr>
          <w:p>
            <w:pPr>
              <w:pStyle w:val="861"/>
            </w:p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）滚刷或颗粒机进行深层清洗：对于顽固沉积物，需要使用滚刷或颗粒机进行深层清洗。</w:t>
            </w:r>
            <w:r>
              <w:rPr>
                <w:color w:val="000000" w:themeColor="text1"/>
                <w:highlight w:val="none"/>
              </w:rPr>
            </w:r>
            <w:r/>
          </w:p>
        </w:tc>
      </w:tr>
      <w:tr>
        <w:trPr>
          <w:trHeight w:val="454"/>
        </w:trPr>
        <w:tc>
          <w:tcPr>
            <w:tcW w:w="1052" w:type="dxa"/>
            <w:vAlign w:val="top"/>
            <w:vMerge w:val="continue"/>
            <w:textDirection w:val="lrTb"/>
            <w:noWrap w:val="false"/>
          </w:tcPr>
          <w:p>
            <w:pPr>
              <w:pStyle w:val="861"/>
            </w:pPr>
            <w:r/>
            <w:r/>
          </w:p>
        </w:tc>
        <w:tc>
          <w:tcPr>
            <w:tcW w:w="2124" w:type="dxa"/>
            <w:vAlign w:val="top"/>
            <w:vMerge w:val="continue"/>
            <w:textDirection w:val="lrTb"/>
            <w:noWrap w:val="false"/>
          </w:tcPr>
          <w:p>
            <w:pPr>
              <w:pStyle w:val="861"/>
            </w:p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）浸泡：将清洁剂或去污剂浸泡在环氧地坪上，加强去除污渍的效果。</w:t>
            </w:r>
            <w:r>
              <w:rPr>
                <w:color w:val="000000" w:themeColor="text1"/>
                <w:highlight w:val="none"/>
              </w:rPr>
            </w:r>
            <w:r/>
          </w:p>
        </w:tc>
      </w:tr>
      <w:tr>
        <w:trPr>
          <w:trHeight w:val="454"/>
        </w:trPr>
        <w:tc>
          <w:tcPr>
            <w:tcW w:w="1052" w:type="dxa"/>
            <w:vAlign w:val="top"/>
            <w:vMerge w:val="continue"/>
            <w:textDirection w:val="lrTb"/>
            <w:noWrap w:val="false"/>
          </w:tcPr>
          <w:p>
            <w:pPr>
              <w:pStyle w:val="861"/>
            </w:pPr>
            <w:r/>
            <w:r/>
          </w:p>
        </w:tc>
        <w:tc>
          <w:tcPr>
            <w:tcW w:w="2124" w:type="dxa"/>
            <w:vAlign w:val="top"/>
            <w:vMerge w:val="continue"/>
            <w:textDirection w:val="lrTb"/>
            <w:noWrap w:val="false"/>
          </w:tcPr>
          <w:p>
            <w:pPr>
              <w:pStyle w:val="861"/>
            </w:p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）冲洗：用清水将地面冲洗干净，以去除残留的清洁剂或去污剂。</w:t>
            </w:r>
            <w:r>
              <w:rPr>
                <w:color w:val="000000" w:themeColor="text1"/>
                <w:highlight w:val="none"/>
              </w:rPr>
            </w:r>
            <w:r/>
          </w:p>
        </w:tc>
      </w:tr>
      <w:tr>
        <w:trPr>
          <w:trHeight w:val="454"/>
        </w:trPr>
        <w:tc>
          <w:tcPr>
            <w:tcMar>
              <w:left w:w="108" w:type="dxa"/>
              <w:top w:w="0" w:type="dxa"/>
              <w:right w:w="108" w:type="dxa"/>
              <w:bottom w:w="0" w:type="dxa"/>
            </w:tcMar>
            <w:tcW w:w="106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2</w:t>
            </w:r>
            <w:r>
              <w:rPr>
                <w:color w:val="000000" w:themeColor="text1"/>
                <w:highlight w:val="none"/>
              </w:rPr>
            </w:r>
            <w:r/>
          </w:p>
        </w:tc>
        <w:tc>
          <w:tcPr>
            <w:tcMar>
              <w:left w:w="108" w:type="dxa"/>
              <w:top w:w="0" w:type="dxa"/>
              <w:right w:w="108" w:type="dxa"/>
              <w:bottom w:w="0" w:type="dxa"/>
            </w:tcMar>
            <w:tcW w:w="2167"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耐磨漆地面</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）日常清洁：使用软质拖把或地板清洁机，配合清水和中性清洁剂进行清洁。避免使用酸性或碱性清洁剂，以免损坏地面表面。定期清理地面上的污渍和杂物，保持地面干净整洁。</w:t>
            </w:r>
            <w:r>
              <w:rPr>
                <w:color w:val="000000" w:themeColor="text1"/>
                <w:highlight w:val="none"/>
              </w:rPr>
            </w:r>
            <w:r/>
          </w:p>
        </w:tc>
      </w:tr>
      <w:tr>
        <w:trPr>
          <w:trHeight w:val="454"/>
        </w:trPr>
        <w:tc>
          <w:tcPr>
            <w:tcMar>
              <w:left w:w="108" w:type="dxa"/>
              <w:top w:w="0" w:type="dxa"/>
              <w:right w:w="108" w:type="dxa"/>
              <w:bottom w:w="0" w:type="dxa"/>
            </w:tcMar>
            <w:tcW w:w="1068" w:type="dxa"/>
            <w:vAlign w:val="center"/>
            <w:vMerge w:val="restart"/>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3</w:t>
            </w:r>
            <w:r>
              <w:rPr>
                <w:color w:val="000000" w:themeColor="text1"/>
                <w:highlight w:val="none"/>
              </w:rPr>
            </w:r>
            <w:r/>
          </w:p>
        </w:tc>
        <w:tc>
          <w:tcPr>
            <w:tcMar>
              <w:left w:w="108" w:type="dxa"/>
              <w:top w:w="0" w:type="dxa"/>
              <w:right w:w="108" w:type="dxa"/>
              <w:bottom w:w="0" w:type="dxa"/>
            </w:tcMar>
            <w:tcW w:w="2167" w:type="dxa"/>
            <w:vAlign w:val="center"/>
            <w:vMerge w:val="restart"/>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瓷砖地面</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）日常清洁：推尘，保持地面干净无杂物。</w:t>
            </w:r>
            <w:r>
              <w:rPr>
                <w:color w:val="000000" w:themeColor="text1"/>
                <w:highlight w:val="none"/>
              </w:rPr>
            </w:r>
            <w:r/>
          </w:p>
        </w:tc>
      </w:tr>
      <w:tr>
        <w:trPr>
          <w:trHeight w:val="454"/>
        </w:trPr>
        <w:tc>
          <w:tcPr>
            <w:tcW w:w="1052" w:type="dxa"/>
            <w:vAlign w:val="top"/>
            <w:vMerge w:val="continue"/>
            <w:textDirection w:val="lrTb"/>
            <w:noWrap w:val="false"/>
          </w:tcPr>
          <w:p>
            <w:pPr>
              <w:pStyle w:val="861"/>
            </w:pPr>
            <w:r/>
            <w:r/>
          </w:p>
        </w:tc>
        <w:tc>
          <w:tcPr>
            <w:tcW w:w="2124" w:type="dxa"/>
            <w:vAlign w:val="top"/>
            <w:vMerge w:val="continue"/>
            <w:textDirection w:val="lrTb"/>
            <w:noWrap w:val="false"/>
          </w:tcPr>
          <w:p>
            <w:pPr>
              <w:pStyle w:val="861"/>
            </w:p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）深度清洁：使用洗洁精或肥皂水清理。</w:t>
            </w:r>
            <w:r>
              <w:rPr>
                <w:color w:val="000000" w:themeColor="text1"/>
                <w:highlight w:val="none"/>
              </w:rPr>
            </w:r>
            <w:r/>
          </w:p>
        </w:tc>
      </w:tr>
      <w:tr>
        <w:trPr>
          <w:trHeight w:val="454"/>
        </w:trPr>
        <w:tc>
          <w:tcPr>
            <w:tcMar>
              <w:left w:w="108" w:type="dxa"/>
              <w:top w:w="0" w:type="dxa"/>
              <w:right w:w="108" w:type="dxa"/>
              <w:bottom w:w="0" w:type="dxa"/>
            </w:tcMar>
            <w:tcW w:w="1068" w:type="dxa"/>
            <w:vAlign w:val="center"/>
            <w:vMerge w:val="restart"/>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4</w:t>
            </w:r>
            <w:r>
              <w:rPr>
                <w:color w:val="000000" w:themeColor="text1"/>
                <w:highlight w:val="none"/>
              </w:rPr>
            </w:r>
            <w:r/>
          </w:p>
        </w:tc>
        <w:tc>
          <w:tcPr>
            <w:tcMar>
              <w:left w:w="108" w:type="dxa"/>
              <w:top w:w="0" w:type="dxa"/>
              <w:right w:w="108" w:type="dxa"/>
              <w:bottom w:w="0" w:type="dxa"/>
            </w:tcMar>
            <w:tcW w:w="2167" w:type="dxa"/>
            <w:vAlign w:val="center"/>
            <w:vMerge w:val="restart"/>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水磨石地面</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）日常清洁：推尘，保持地面干净无杂物。</w:t>
            </w:r>
            <w:r>
              <w:rPr>
                <w:color w:val="000000" w:themeColor="text1"/>
                <w:highlight w:val="none"/>
              </w:rPr>
            </w:r>
            <w:r/>
          </w:p>
        </w:tc>
      </w:tr>
      <w:tr>
        <w:trPr>
          <w:trHeight w:val="454"/>
        </w:trPr>
        <w:tc>
          <w:tcPr>
            <w:tcW w:w="1052" w:type="dxa"/>
            <w:vAlign w:val="top"/>
            <w:vMerge w:val="continue"/>
            <w:textDirection w:val="lrTb"/>
            <w:noWrap w:val="false"/>
          </w:tcPr>
          <w:p>
            <w:pPr>
              <w:pStyle w:val="861"/>
            </w:pPr>
            <w:r/>
            <w:r/>
          </w:p>
        </w:tc>
        <w:tc>
          <w:tcPr>
            <w:tcW w:w="2124" w:type="dxa"/>
            <w:vAlign w:val="top"/>
            <w:vMerge w:val="continue"/>
            <w:textDirection w:val="lrTb"/>
            <w:noWrap w:val="false"/>
          </w:tcPr>
          <w:p>
            <w:pPr>
              <w:pStyle w:val="861"/>
            </w:p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）深度清洁：使用洗洁精或肥皂水清理。</w:t>
            </w:r>
            <w:r>
              <w:rPr>
                <w:color w:val="000000" w:themeColor="text1"/>
                <w:highlight w:val="none"/>
              </w:rPr>
            </w:r>
            <w:r/>
          </w:p>
        </w:tc>
      </w:tr>
      <w:tr>
        <w:trPr>
          <w:trHeight w:val="454"/>
        </w:trPr>
        <w:tc>
          <w:tcPr>
            <w:tcMar>
              <w:left w:w="108" w:type="dxa"/>
              <w:top w:w="0" w:type="dxa"/>
              <w:right w:w="108" w:type="dxa"/>
              <w:bottom w:w="0" w:type="dxa"/>
            </w:tcMar>
            <w:tcW w:w="1068" w:type="dxa"/>
            <w:vAlign w:val="center"/>
            <w:vMerge w:val="restart"/>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5</w:t>
            </w:r>
            <w:r>
              <w:rPr>
                <w:color w:val="000000" w:themeColor="text1"/>
                <w:highlight w:val="none"/>
              </w:rPr>
            </w:r>
            <w:r/>
          </w:p>
        </w:tc>
        <w:tc>
          <w:tcPr>
            <w:tcMar>
              <w:left w:w="108" w:type="dxa"/>
              <w:top w:w="0" w:type="dxa"/>
              <w:right w:w="108" w:type="dxa"/>
              <w:bottom w:w="0" w:type="dxa"/>
            </w:tcMar>
            <w:tcW w:w="2167" w:type="dxa"/>
            <w:vAlign w:val="center"/>
            <w:vMerge w:val="restart"/>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地毯地面</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）日常用吸尘机除尘，局部脏污用湿布配中性清洁液重点清洁。</w:t>
            </w:r>
            <w:r>
              <w:rPr>
                <w:color w:val="000000" w:themeColor="text1"/>
                <w:highlight w:val="none"/>
              </w:rPr>
            </w:r>
            <w:r/>
          </w:p>
        </w:tc>
      </w:tr>
      <w:tr>
        <w:trPr>
          <w:trHeight w:val="454"/>
        </w:trPr>
        <w:tc>
          <w:tcPr>
            <w:tcW w:w="1052" w:type="dxa"/>
            <w:vAlign w:val="top"/>
            <w:vMerge w:val="continue"/>
            <w:textDirection w:val="lrTb"/>
            <w:noWrap w:val="false"/>
          </w:tcPr>
          <w:p>
            <w:pPr>
              <w:pStyle w:val="861"/>
            </w:pPr>
            <w:r/>
            <w:r/>
          </w:p>
        </w:tc>
        <w:tc>
          <w:tcPr>
            <w:tcW w:w="2124" w:type="dxa"/>
            <w:vAlign w:val="top"/>
            <w:vMerge w:val="continue"/>
            <w:textDirection w:val="lrTb"/>
            <w:noWrap w:val="false"/>
          </w:tcPr>
          <w:p>
            <w:pPr>
              <w:pStyle w:val="861"/>
            </w:p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）用地毯清洗机进行整体清洗，除螨。</w:t>
            </w:r>
            <w:r>
              <w:rPr>
                <w:color w:val="000000" w:themeColor="text1"/>
                <w:highlight w:val="none"/>
              </w:rPr>
            </w:r>
            <w:r/>
          </w:p>
        </w:tc>
      </w:tr>
      <w:tr>
        <w:trPr>
          <w:trHeight w:val="454"/>
        </w:trPr>
        <w:tc>
          <w:tcPr>
            <w:tcMar>
              <w:left w:w="108" w:type="dxa"/>
              <w:top w:w="0" w:type="dxa"/>
              <w:right w:w="108" w:type="dxa"/>
              <w:bottom w:w="0" w:type="dxa"/>
            </w:tcMar>
            <w:tcW w:w="106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6</w:t>
            </w:r>
            <w:r>
              <w:rPr>
                <w:color w:val="000000" w:themeColor="text1"/>
                <w:highlight w:val="none"/>
              </w:rPr>
            </w:r>
            <w:r/>
          </w:p>
        </w:tc>
        <w:tc>
          <w:tcPr>
            <w:tcMar>
              <w:left w:w="108" w:type="dxa"/>
              <w:top w:w="0" w:type="dxa"/>
              <w:right w:w="108" w:type="dxa"/>
              <w:bottom w:w="0" w:type="dxa"/>
            </w:tcMar>
            <w:tcW w:w="2167"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乳胶漆内墙</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有污渍时用半干布擦拭。</w:t>
            </w:r>
            <w:r>
              <w:rPr>
                <w:color w:val="000000" w:themeColor="text1"/>
                <w:highlight w:val="none"/>
              </w:rPr>
            </w:r>
            <w:r/>
          </w:p>
        </w:tc>
      </w:tr>
      <w:tr>
        <w:trPr>
          <w:trHeight w:val="454"/>
        </w:trPr>
        <w:tc>
          <w:tcPr>
            <w:tcMar>
              <w:left w:w="108" w:type="dxa"/>
              <w:top w:w="0" w:type="dxa"/>
              <w:right w:w="108" w:type="dxa"/>
              <w:bottom w:w="0" w:type="dxa"/>
            </w:tcMar>
            <w:tcW w:w="106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7</w:t>
            </w:r>
            <w:r>
              <w:rPr>
                <w:color w:val="000000" w:themeColor="text1"/>
                <w:highlight w:val="none"/>
              </w:rPr>
            </w:r>
            <w:r/>
          </w:p>
        </w:tc>
        <w:tc>
          <w:tcPr>
            <w:tcMar>
              <w:left w:w="108" w:type="dxa"/>
              <w:top w:w="0" w:type="dxa"/>
              <w:right w:w="108" w:type="dxa"/>
              <w:bottom w:w="0" w:type="dxa"/>
            </w:tcMar>
            <w:tcW w:w="2167"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木饰面内墙</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有污渍时用中性清洁剂、半干布擦拭。</w:t>
            </w:r>
            <w:r>
              <w:rPr>
                <w:color w:val="000000" w:themeColor="text1"/>
                <w:highlight w:val="none"/>
              </w:rPr>
            </w:r>
            <w:r/>
          </w:p>
        </w:tc>
      </w:tr>
      <w:tr>
        <w:trPr>
          <w:trHeight w:val="454"/>
        </w:trPr>
        <w:tc>
          <w:tcPr>
            <w:tcMar>
              <w:left w:w="108" w:type="dxa"/>
              <w:top w:w="0" w:type="dxa"/>
              <w:right w:w="108" w:type="dxa"/>
              <w:bottom w:w="0" w:type="dxa"/>
            </w:tcMar>
            <w:tcW w:w="1068"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8</w:t>
            </w:r>
            <w:r>
              <w:rPr>
                <w:color w:val="000000" w:themeColor="text1"/>
                <w:highlight w:val="none"/>
              </w:rPr>
            </w:r>
            <w:r/>
          </w:p>
        </w:tc>
        <w:tc>
          <w:tcPr>
            <w:tcMar>
              <w:left w:w="108" w:type="dxa"/>
              <w:top w:w="0" w:type="dxa"/>
              <w:right w:w="108" w:type="dxa"/>
              <w:bottom w:w="0" w:type="dxa"/>
            </w:tcMar>
            <w:tcW w:w="2167" w:type="dxa"/>
            <w:vAlign w:val="center"/>
            <w:textDirection w:val="lrTb"/>
            <w:noWrap w:val="false"/>
          </w:tcPr>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石材内墙</w:t>
            </w:r>
            <w:r>
              <w:rPr>
                <w:color w:val="000000" w:themeColor="text1"/>
                <w:highlight w:val="none"/>
              </w:rPr>
            </w:r>
            <w:r/>
          </w:p>
        </w:tc>
        <w:tc>
          <w:tcPr>
            <w:tcMar>
              <w:left w:w="108" w:type="dxa"/>
              <w:top w:w="0" w:type="dxa"/>
              <w:right w:w="108" w:type="dxa"/>
              <w:bottom w:w="0" w:type="dxa"/>
            </w:tcMar>
            <w:tcW w:w="61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有污渍时用半干布擦拭。</w:t>
            </w:r>
            <w:r>
              <w:rPr>
                <w:color w:val="000000" w:themeColor="text1"/>
                <w:highlight w:val="none"/>
              </w:rPr>
            </w:r>
            <w:r/>
          </w:p>
        </w:tc>
      </w:tr>
    </w:tbl>
    <w:p>
      <w:pPr>
        <w:pStyle w:val="861"/>
        <w:ind w:firstLine="42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注：根据物业用材情况选择清洁要求</w:t>
      </w:r>
      <w:r>
        <w:rPr>
          <w:color w:val="000000" w:themeColor="text1"/>
          <w:highlight w:val="none"/>
        </w:rPr>
      </w: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3.5</w:t>
      </w:r>
      <w:r>
        <w:rPr>
          <w:rFonts w:ascii="宋体" w:hAnsi="宋体" w:cs="宋体"/>
          <w:b/>
          <w:color w:val="000000" w:themeColor="text1"/>
          <w:highlight w:val="none"/>
        </w:rPr>
        <w:t xml:space="preserve">绿化服务</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2221"/>
        <w:gridCol w:w="5923"/>
      </w:tblGrid>
      <w:tr>
        <w:trPr>
          <w:trHeight w:val="454"/>
        </w:trPr>
        <w:tc>
          <w:tcPr>
            <w:tcMar>
              <w:left w:w="108" w:type="dxa"/>
              <w:top w:w="0" w:type="dxa"/>
              <w:right w:w="108" w:type="dxa"/>
              <w:bottom w:w="0" w:type="dxa"/>
            </w:tcMar>
            <w:tcW w:w="1041"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序号</w:t>
            </w:r>
            <w:r>
              <w:rPr>
                <w:color w:val="000000" w:themeColor="text1"/>
                <w:highlight w:val="none"/>
              </w:rPr>
            </w:r>
            <w:r/>
          </w:p>
        </w:tc>
        <w:tc>
          <w:tcPr>
            <w:tcMar>
              <w:left w:w="108" w:type="dxa"/>
              <w:top w:w="0" w:type="dxa"/>
              <w:right w:w="108" w:type="dxa"/>
              <w:bottom w:w="0" w:type="dxa"/>
            </w:tcMar>
            <w:tcW w:w="2266"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w:t>
            </w:r>
            <w:r>
              <w:rPr>
                <w:color w:val="000000" w:themeColor="text1"/>
                <w:highlight w:val="none"/>
              </w:rPr>
            </w:r>
            <w:r/>
          </w:p>
        </w:tc>
        <w:tc>
          <w:tcPr>
            <w:tcMar>
              <w:left w:w="108" w:type="dxa"/>
              <w:top w:w="0" w:type="dxa"/>
              <w:right w:w="108" w:type="dxa"/>
              <w:bottom w:w="0" w:type="dxa"/>
            </w:tcMar>
            <w:tcW w:w="6047"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服务标准</w:t>
            </w:r>
            <w:r>
              <w:rPr>
                <w:color w:val="000000" w:themeColor="text1"/>
                <w:highlight w:val="none"/>
              </w:rPr>
            </w:r>
            <w:r/>
          </w:p>
        </w:tc>
      </w:tr>
      <w:tr>
        <w:trPr>
          <w:trHeight w:val="454"/>
        </w:trPr>
        <w:tc>
          <w:tcPr>
            <w:tcMar>
              <w:left w:w="108" w:type="dxa"/>
              <w:top w:w="0" w:type="dxa"/>
              <w:right w:w="108" w:type="dxa"/>
              <w:bottom w:w="0" w:type="dxa"/>
            </w:tcMar>
            <w:tcW w:w="1041"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w:t>
            </w:r>
            <w:r>
              <w:rPr>
                <w:color w:val="000000" w:themeColor="text1"/>
                <w:highlight w:val="none"/>
              </w:rPr>
            </w:r>
            <w:r/>
          </w:p>
        </w:tc>
        <w:tc>
          <w:tcPr>
            <w:tcMar>
              <w:left w:w="108" w:type="dxa"/>
              <w:top w:w="0" w:type="dxa"/>
              <w:right w:w="108" w:type="dxa"/>
              <w:bottom w:w="0" w:type="dxa"/>
            </w:tcMar>
            <w:tcW w:w="2266"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基本要求</w:t>
            </w:r>
            <w:r>
              <w:rPr>
                <w:color w:val="000000" w:themeColor="text1"/>
                <w:highlight w:val="none"/>
              </w:r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）制定绿化服务的工作制度及工作计划，并按照执行。</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）做好绿化服务工作记录，填写规范。</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）作业时采取安全防护措施，防止对作业人员或他人造成伤害。</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）相关耗材的环保、安全性应当符合规定要求。</w:t>
            </w:r>
            <w:r>
              <w:rPr>
                <w:color w:val="000000" w:themeColor="text1"/>
                <w:highlight w:val="none"/>
              </w:rPr>
            </w:r>
            <w:r/>
          </w:p>
        </w:tc>
      </w:tr>
      <w:tr>
        <w:trPr>
          <w:trHeight w:val="454"/>
        </w:trPr>
        <w:tc>
          <w:tcPr>
            <w:tcMar>
              <w:left w:w="108" w:type="dxa"/>
              <w:top w:w="0" w:type="dxa"/>
              <w:right w:w="108" w:type="dxa"/>
              <w:bottom w:w="0" w:type="dxa"/>
            </w:tcMar>
            <w:tcW w:w="1041" w:type="dxa"/>
            <w:vAlign w:val="center"/>
            <w:vMerge w:val="restart"/>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2</w:t>
            </w:r>
            <w:r>
              <w:rPr>
                <w:color w:val="000000" w:themeColor="text1"/>
                <w:highlight w:val="none"/>
              </w:rPr>
            </w:r>
            <w:r/>
          </w:p>
        </w:tc>
        <w:tc>
          <w:tcPr>
            <w:tcMar>
              <w:left w:w="108" w:type="dxa"/>
              <w:top w:w="0" w:type="dxa"/>
              <w:right w:w="108" w:type="dxa"/>
              <w:bottom w:w="0" w:type="dxa"/>
            </w:tcMar>
            <w:tcW w:w="2266" w:type="dxa"/>
            <w:vAlign w:val="center"/>
            <w:vMerge w:val="restart"/>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室外绿化养护</w:t>
            </w:r>
            <w:r>
              <w:rPr>
                <w:color w:val="000000" w:themeColor="text1"/>
                <w:highlight w:val="none"/>
              </w:r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）根据生长环境、植物特性进行除草、灌溉、施肥、整形修剪、防治病虫害等。</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2</w:t>
            </w:r>
            <w:r>
              <w:rPr>
                <w:rFonts w:ascii="宋体" w:hAnsi="宋体" w:cs="宋体"/>
                <w:color w:val="000000" w:themeColor="text1"/>
                <w:highlight w:val="none"/>
              </w:rPr>
              <w:t xml:space="preserve">）根据生长情况修剪绿地，绿地内无枯草、无杂物，无干枯坏死和病虫侵害，基本无裸露土地。</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3</w:t>
            </w:r>
            <w:r>
              <w:rPr>
                <w:rFonts w:ascii="宋体" w:hAnsi="宋体" w:cs="宋体"/>
                <w:color w:val="000000" w:themeColor="text1"/>
                <w:highlight w:val="none"/>
              </w:rPr>
              <w:t xml:space="preserve">）定期修剪树木、花卉等，灌乔木生长正常、造型美观自然、花枝新鲜，无枯叶、无病虫、无死树缺株。</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4</w:t>
            </w:r>
            <w:r>
              <w:rPr>
                <w:rFonts w:ascii="宋体" w:hAnsi="宋体" w:cs="宋体"/>
                <w:color w:val="000000" w:themeColor="text1"/>
                <w:highlight w:val="none"/>
              </w:rPr>
              <w:t xml:space="preserve">）绿篱生长造型正常，颜色正常，修剪及时，基本无死株和干死株，有虫株率在</w:t>
            </w:r>
            <w:r>
              <w:rPr>
                <w:rFonts w:ascii="Calibri" w:hAnsi="Calibri" w:eastAsia="Calibri" w:cs="Calibri"/>
                <w:color w:val="000000" w:themeColor="text1"/>
                <w:highlight w:val="none"/>
              </w:rPr>
              <w:t xml:space="preserve">10%</w:t>
            </w:r>
            <w:r>
              <w:rPr>
                <w:rFonts w:ascii="宋体" w:hAnsi="宋体" w:cs="宋体"/>
                <w:color w:val="000000" w:themeColor="text1"/>
                <w:highlight w:val="none"/>
              </w:rPr>
              <w:t xml:space="preserve">以下。</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）清除花坛和花景的花蒂、黄叶、杂草、垃圾，做好病虫害防治。</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6</w:t>
            </w:r>
            <w:r>
              <w:rPr>
                <w:rFonts w:ascii="宋体" w:hAnsi="宋体" w:cs="宋体"/>
                <w:color w:val="000000" w:themeColor="text1"/>
                <w:highlight w:val="none"/>
              </w:rPr>
              <w:t xml:space="preserve">）水池水面定期清理，无枯枝落叶、水质清洁。</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7</w:t>
            </w:r>
            <w:r>
              <w:rPr>
                <w:rFonts w:ascii="宋体" w:hAnsi="宋体" w:cs="宋体"/>
                <w:color w:val="000000" w:themeColor="text1"/>
                <w:highlight w:val="none"/>
              </w:rPr>
              <w:t xml:space="preserve">）根据病虫害发生规律实施综合治理，通常在病虫率高时，以药剂杀死病虫，以确保植物良好生长。产生垃圾的主要区域和路段做到日产日清。</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8</w:t>
            </w:r>
            <w:r>
              <w:rPr>
                <w:rFonts w:ascii="宋体" w:hAnsi="宋体" w:cs="宋体"/>
                <w:color w:val="000000" w:themeColor="text1"/>
                <w:highlight w:val="none"/>
              </w:rPr>
              <w:t xml:space="preserve">）雨雪、冰冻等恶劣天气来临前，专人巡查，对绿植做好预防措施，排除安全隐患。</w:t>
            </w:r>
            <w:r>
              <w:rPr>
                <w:color w:val="000000" w:themeColor="text1"/>
                <w:highlight w:val="none"/>
              </w:rPr>
            </w:r>
            <w:r/>
          </w:p>
        </w:tc>
      </w:tr>
      <w:tr>
        <w:trPr>
          <w:trHeight w:val="454"/>
        </w:trPr>
        <w:tc>
          <w:tcPr>
            <w:tcW w:w="1025" w:type="dxa"/>
            <w:vAlign w:val="top"/>
            <w:vMerge w:val="continue"/>
            <w:textDirection w:val="lrTb"/>
            <w:noWrap w:val="false"/>
          </w:tcPr>
          <w:p>
            <w:pPr>
              <w:pStyle w:val="861"/>
            </w:pPr>
            <w:r/>
            <w:r/>
          </w:p>
        </w:tc>
        <w:tc>
          <w:tcPr>
            <w:tcW w:w="2221" w:type="dxa"/>
            <w:vAlign w:val="top"/>
            <w:vMerge w:val="continue"/>
            <w:textDirection w:val="lrTb"/>
            <w:noWrap w:val="false"/>
          </w:tcPr>
          <w:p>
            <w:pPr>
              <w:pStyle w:val="861"/>
            </w:pPr>
            <w:r/>
            <w:r/>
          </w:p>
        </w:tc>
        <w:tc>
          <w:tcPr>
            <w:tcMar>
              <w:left w:w="108" w:type="dxa"/>
              <w:top w:w="0" w:type="dxa"/>
              <w:right w:w="108" w:type="dxa"/>
              <w:bottom w:w="0" w:type="dxa"/>
            </w:tcMar>
            <w:tcW w:w="6047"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9</w:t>
            </w:r>
            <w:r>
              <w:rPr>
                <w:rFonts w:ascii="宋体" w:hAnsi="宋体" w:cs="宋体"/>
                <w:color w:val="000000" w:themeColor="text1"/>
                <w:highlight w:val="none"/>
              </w:rPr>
              <w:t xml:space="preserve">）恶劣天气后，及时清除倒树断枝，疏通道路，尽快恢复原状。</w:t>
            </w:r>
            <w:r>
              <w:rPr>
                <w:color w:val="000000" w:themeColor="text1"/>
                <w:highlight w:val="none"/>
              </w:rPr>
            </w:r>
            <w:r/>
          </w:p>
        </w:tc>
      </w:tr>
    </w:tbl>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3.6</w:t>
      </w:r>
      <w:r>
        <w:rPr>
          <w:rFonts w:ascii="宋体" w:hAnsi="宋体" w:cs="宋体"/>
          <w:b/>
          <w:color w:val="000000" w:themeColor="text1"/>
          <w:highlight w:val="none"/>
        </w:rPr>
        <w:t xml:space="preserve">会议服务</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2212"/>
        <w:gridCol w:w="5919"/>
      </w:tblGrid>
      <w:tr>
        <w:trPr>
          <w:trHeight w:val="454"/>
        </w:trPr>
        <w:tc>
          <w:tcPr>
            <w:tcMar>
              <w:left w:w="108" w:type="dxa"/>
              <w:top w:w="0" w:type="dxa"/>
              <w:right w:w="108" w:type="dxa"/>
              <w:bottom w:w="0" w:type="dxa"/>
            </w:tcMar>
            <w:tcW w:w="1053"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序号</w:t>
            </w:r>
            <w:r>
              <w:rPr>
                <w:color w:val="000000" w:themeColor="text1"/>
                <w:highlight w:val="none"/>
              </w:rPr>
            </w:r>
            <w:r/>
          </w:p>
        </w:tc>
        <w:tc>
          <w:tcPr>
            <w:tcMar>
              <w:left w:w="108" w:type="dxa"/>
              <w:top w:w="0" w:type="dxa"/>
              <w:right w:w="108" w:type="dxa"/>
              <w:bottom w:w="0" w:type="dxa"/>
            </w:tcMar>
            <w:tcW w:w="2255"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服务内容</w:t>
            </w:r>
            <w:r>
              <w:rPr>
                <w:color w:val="000000" w:themeColor="text1"/>
                <w:highlight w:val="none"/>
              </w:rPr>
            </w:r>
            <w:r/>
          </w:p>
        </w:tc>
        <w:tc>
          <w:tcPr>
            <w:tcMar>
              <w:left w:w="108" w:type="dxa"/>
              <w:top w:w="0" w:type="dxa"/>
              <w:right w:w="108" w:type="dxa"/>
              <w:bottom w:w="0" w:type="dxa"/>
            </w:tcMar>
            <w:tcW w:w="6046"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服务标准</w:t>
            </w:r>
            <w:r>
              <w:rPr>
                <w:color w:val="000000" w:themeColor="text1"/>
                <w:highlight w:val="none"/>
              </w:rPr>
            </w:r>
            <w:r/>
          </w:p>
        </w:tc>
      </w:tr>
      <w:tr>
        <w:trPr>
          <w:trHeight w:val="454"/>
        </w:trPr>
        <w:tc>
          <w:tcPr>
            <w:tcMar>
              <w:left w:w="108" w:type="dxa"/>
              <w:top w:w="0" w:type="dxa"/>
              <w:right w:w="108" w:type="dxa"/>
              <w:bottom w:w="0" w:type="dxa"/>
            </w:tcMar>
            <w:tcW w:w="1053"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w:t>
            </w:r>
            <w:r>
              <w:rPr>
                <w:color w:val="000000" w:themeColor="text1"/>
                <w:highlight w:val="none"/>
              </w:rPr>
            </w:r>
            <w:r/>
          </w:p>
        </w:tc>
        <w:tc>
          <w:tcPr>
            <w:tcMar>
              <w:left w:w="108" w:type="dxa"/>
              <w:top w:w="0" w:type="dxa"/>
              <w:right w:w="108" w:type="dxa"/>
              <w:bottom w:w="0" w:type="dxa"/>
            </w:tcMar>
            <w:tcW w:w="225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会议受理</w:t>
            </w:r>
            <w:r>
              <w:rPr>
                <w:color w:val="000000" w:themeColor="text1"/>
                <w:highlight w:val="none"/>
              </w:rPr>
            </w:r>
            <w:r/>
          </w:p>
        </w:tc>
        <w:tc>
          <w:tcPr>
            <w:tcMar>
              <w:left w:w="108" w:type="dxa"/>
              <w:top w:w="0" w:type="dxa"/>
              <w:right w:w="108" w:type="dxa"/>
              <w:bottom w:w="0" w:type="dxa"/>
            </w:tcMar>
            <w:tcW w:w="6046"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接受会议预订，记录会议需求。</w:t>
            </w:r>
            <w:r>
              <w:rPr>
                <w:color w:val="000000" w:themeColor="text1"/>
                <w:highlight w:val="none"/>
              </w:rPr>
            </w:r>
            <w:r/>
          </w:p>
        </w:tc>
      </w:tr>
      <w:tr>
        <w:trPr>
          <w:trHeight w:val="454"/>
        </w:trPr>
        <w:tc>
          <w:tcPr>
            <w:tcMar>
              <w:left w:w="108" w:type="dxa"/>
              <w:top w:w="0" w:type="dxa"/>
              <w:right w:w="108" w:type="dxa"/>
              <w:bottom w:w="0" w:type="dxa"/>
            </w:tcMar>
            <w:tcW w:w="1053"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2</w:t>
            </w:r>
            <w:r>
              <w:rPr>
                <w:color w:val="000000" w:themeColor="text1"/>
                <w:highlight w:val="none"/>
              </w:rPr>
            </w:r>
            <w:r/>
          </w:p>
        </w:tc>
        <w:tc>
          <w:tcPr>
            <w:tcMar>
              <w:left w:w="108" w:type="dxa"/>
              <w:top w:w="0" w:type="dxa"/>
              <w:right w:w="108" w:type="dxa"/>
              <w:bottom w:w="0" w:type="dxa"/>
            </w:tcMar>
            <w:tcW w:w="225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会前准备</w:t>
            </w:r>
            <w:r>
              <w:rPr>
                <w:color w:val="000000" w:themeColor="text1"/>
                <w:highlight w:val="none"/>
              </w:rPr>
            </w:r>
            <w:r/>
          </w:p>
        </w:tc>
        <w:tc>
          <w:tcPr>
            <w:tcMar>
              <w:left w:w="108" w:type="dxa"/>
              <w:top w:w="0" w:type="dxa"/>
              <w:right w:w="108" w:type="dxa"/>
              <w:bottom w:w="0" w:type="dxa"/>
            </w:tcMar>
            <w:tcW w:w="6046"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根据会议需求、场地大小、用途，明确会议桌椅、物品、设备、文具等摆放规定，音、视频设施保障措施。</w:t>
            </w:r>
            <w:r>
              <w:rPr>
                <w:color w:val="000000" w:themeColor="text1"/>
                <w:highlight w:val="none"/>
              </w:rPr>
            </w:r>
            <w:r/>
          </w:p>
        </w:tc>
      </w:tr>
      <w:tr>
        <w:trPr>
          <w:trHeight w:val="454"/>
        </w:trPr>
        <w:tc>
          <w:tcPr>
            <w:tcMar>
              <w:left w:w="108" w:type="dxa"/>
              <w:top w:w="0" w:type="dxa"/>
              <w:right w:w="108" w:type="dxa"/>
              <w:bottom w:w="0" w:type="dxa"/>
            </w:tcMar>
            <w:tcW w:w="1053"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3</w:t>
            </w:r>
            <w:r>
              <w:rPr>
                <w:color w:val="000000" w:themeColor="text1"/>
                <w:highlight w:val="none"/>
              </w:rPr>
            </w:r>
            <w:r/>
          </w:p>
        </w:tc>
        <w:tc>
          <w:tcPr>
            <w:tcMar>
              <w:left w:w="108" w:type="dxa"/>
              <w:top w:w="0" w:type="dxa"/>
              <w:right w:w="108" w:type="dxa"/>
              <w:bottom w:w="0" w:type="dxa"/>
            </w:tcMar>
            <w:tcW w:w="225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引导服务</w:t>
            </w:r>
            <w:r>
              <w:rPr>
                <w:color w:val="000000" w:themeColor="text1"/>
                <w:highlight w:val="none"/>
              </w:rPr>
            </w:r>
            <w:r/>
          </w:p>
        </w:tc>
        <w:tc>
          <w:tcPr>
            <w:tcMar>
              <w:left w:w="108" w:type="dxa"/>
              <w:top w:w="0" w:type="dxa"/>
              <w:right w:w="108" w:type="dxa"/>
              <w:bottom w:w="0" w:type="dxa"/>
            </w:tcMar>
            <w:tcW w:w="6046"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做好引导牌并放置在指定位置，引导人员引导手势规范，语言标准。</w:t>
            </w:r>
            <w:r>
              <w:rPr>
                <w:color w:val="000000" w:themeColor="text1"/>
                <w:highlight w:val="none"/>
              </w:rPr>
            </w:r>
            <w:r/>
          </w:p>
        </w:tc>
      </w:tr>
      <w:tr>
        <w:trPr>
          <w:trHeight w:val="454"/>
        </w:trPr>
        <w:tc>
          <w:tcPr>
            <w:tcMar>
              <w:left w:w="108" w:type="dxa"/>
              <w:top w:w="0" w:type="dxa"/>
              <w:right w:w="108" w:type="dxa"/>
              <w:bottom w:w="0" w:type="dxa"/>
            </w:tcMar>
            <w:tcW w:w="1053"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4</w:t>
            </w:r>
            <w:r>
              <w:rPr>
                <w:color w:val="000000" w:themeColor="text1"/>
                <w:highlight w:val="none"/>
              </w:rPr>
            </w:r>
            <w:r/>
          </w:p>
        </w:tc>
        <w:tc>
          <w:tcPr>
            <w:tcMar>
              <w:left w:w="108" w:type="dxa"/>
              <w:top w:w="0" w:type="dxa"/>
              <w:right w:w="108" w:type="dxa"/>
              <w:bottom w:w="0" w:type="dxa"/>
            </w:tcMar>
            <w:tcW w:w="225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会中服务</w:t>
            </w:r>
            <w:r>
              <w:rPr>
                <w:color w:val="000000" w:themeColor="text1"/>
                <w:highlight w:val="none"/>
              </w:rPr>
            </w:r>
            <w:r/>
          </w:p>
        </w:tc>
        <w:tc>
          <w:tcPr>
            <w:tcMar>
              <w:left w:w="108" w:type="dxa"/>
              <w:top w:w="0" w:type="dxa"/>
              <w:right w:w="108" w:type="dxa"/>
              <w:bottom w:w="0" w:type="dxa"/>
            </w:tcMar>
            <w:tcW w:w="6046"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会议期间按要求加水。</w:t>
            </w:r>
            <w:r>
              <w:rPr>
                <w:color w:val="000000" w:themeColor="text1"/>
                <w:highlight w:val="none"/>
              </w:rPr>
            </w:r>
            <w:r/>
          </w:p>
        </w:tc>
      </w:tr>
      <w:tr>
        <w:trPr>
          <w:trHeight w:val="454"/>
        </w:trPr>
        <w:tc>
          <w:tcPr>
            <w:tcMar>
              <w:left w:w="108" w:type="dxa"/>
              <w:top w:w="0" w:type="dxa"/>
              <w:right w:w="108" w:type="dxa"/>
              <w:bottom w:w="0" w:type="dxa"/>
            </w:tcMar>
            <w:tcW w:w="1053" w:type="dxa"/>
            <w:vAlign w:val="center"/>
            <w:textDirection w:val="lrTb"/>
            <w:noWrap w:val="false"/>
          </w:tcPr>
          <w:p>
            <w:pPr>
              <w:pStyle w:val="861"/>
              <w:jc w:val="center"/>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5</w:t>
            </w:r>
            <w:r>
              <w:rPr>
                <w:color w:val="000000" w:themeColor="text1"/>
                <w:highlight w:val="none"/>
              </w:rPr>
            </w:r>
            <w:r/>
          </w:p>
        </w:tc>
        <w:tc>
          <w:tcPr>
            <w:tcMar>
              <w:left w:w="108" w:type="dxa"/>
              <w:top w:w="0" w:type="dxa"/>
              <w:right w:w="108" w:type="dxa"/>
              <w:bottom w:w="0" w:type="dxa"/>
            </w:tcMar>
            <w:tcW w:w="2255" w:type="dxa"/>
            <w:vAlign w:val="center"/>
            <w:textDirection w:val="lrTb"/>
            <w:noWrap w:val="false"/>
          </w:tcPr>
          <w:p>
            <w:pPr>
              <w:pStyle w:val="861"/>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会后整理</w:t>
            </w:r>
            <w:r>
              <w:rPr>
                <w:color w:val="000000" w:themeColor="text1"/>
                <w:highlight w:val="none"/>
              </w:rPr>
            </w:r>
            <w:r/>
          </w:p>
        </w:tc>
        <w:tc>
          <w:tcPr>
            <w:tcMar>
              <w:left w:w="108" w:type="dxa"/>
              <w:top w:w="0" w:type="dxa"/>
              <w:right w:w="108" w:type="dxa"/>
              <w:bottom w:w="0" w:type="dxa"/>
            </w:tcMar>
            <w:tcW w:w="6046" w:type="dxa"/>
            <w:vAlign w:val="center"/>
            <w:textDirection w:val="lrTb"/>
            <w:noWrap w:val="false"/>
          </w:tcPr>
          <w:p>
            <w:pPr>
              <w:pStyle w:val="861"/>
              <w:ind w:firstLine="210"/>
              <w:spacing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对会议现场进行检查，做好会场清扫工作。</w:t>
            </w:r>
            <w:r>
              <w:rPr>
                <w:color w:val="000000" w:themeColor="text1"/>
                <w:highlight w:val="none"/>
              </w:rPr>
            </w:r>
            <w:r/>
          </w:p>
        </w:tc>
      </w:tr>
    </w:tbl>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 </w:t>
      </w:r>
      <w:r>
        <w:rPr>
          <w:color w:val="000000" w:themeColor="text1"/>
          <w:highlight w:val="none"/>
        </w:rPr>
      </w:r>
      <w:r/>
    </w:p>
    <w:p>
      <w:pPr>
        <w:pStyle w:val="861"/>
        <w:ind w:firstLine="422"/>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themeColor="text1"/>
          <w:highlight w:val="none"/>
        </w:rPr>
        <w:t xml:space="preserve">3.7  </w:t>
      </w:r>
      <w:r>
        <w:rPr>
          <w:rFonts w:ascii="宋体" w:hAnsi="宋体" w:cs="宋体"/>
          <w:b/>
          <w:color w:val="000000" w:themeColor="text1"/>
          <w:highlight w:val="none"/>
        </w:rPr>
        <w:t xml:space="preserve">其他服务</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973"/>
        <w:gridCol w:w="5819"/>
      </w:tblGrid>
      <w:tr>
        <w:trPr>
          <w:trHeight w:val="391"/>
        </w:trPr>
        <w:tc>
          <w:tcPr>
            <w:tcMar>
              <w:left w:w="108" w:type="dxa"/>
              <w:top w:w="0" w:type="dxa"/>
              <w:right w:w="108" w:type="dxa"/>
              <w:bottom w:w="0" w:type="dxa"/>
            </w:tcMar>
            <w:tcW w:w="715"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序号</w:t>
            </w:r>
            <w:r>
              <w:rPr>
                <w:color w:val="000000" w:themeColor="text1"/>
                <w:highlight w:val="none"/>
              </w:rPr>
            </w:r>
            <w:r/>
          </w:p>
        </w:tc>
        <w:tc>
          <w:tcPr>
            <w:tcMar>
              <w:left w:w="108" w:type="dxa"/>
              <w:top w:w="0" w:type="dxa"/>
              <w:right w:w="108" w:type="dxa"/>
              <w:bottom w:w="0" w:type="dxa"/>
            </w:tcMar>
            <w:tcW w:w="1973"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服务内容</w:t>
            </w:r>
            <w:r>
              <w:rPr>
                <w:color w:val="000000" w:themeColor="text1"/>
                <w:highlight w:val="none"/>
              </w:rPr>
            </w:r>
            <w:r/>
          </w:p>
        </w:tc>
        <w:tc>
          <w:tcPr>
            <w:tcMar>
              <w:left w:w="108" w:type="dxa"/>
              <w:top w:w="0" w:type="dxa"/>
              <w:right w:w="108" w:type="dxa"/>
              <w:bottom w:w="0" w:type="dxa"/>
            </w:tcMar>
            <w:tcW w:w="5819"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服务标准</w:t>
            </w:r>
            <w:r>
              <w:rPr>
                <w:color w:val="000000" w:themeColor="text1"/>
                <w:highlight w:val="none"/>
              </w:rPr>
            </w:r>
            <w:r/>
          </w:p>
        </w:tc>
      </w:tr>
      <w:tr>
        <w:trPr/>
        <w:tc>
          <w:tcPr>
            <w:tcMar>
              <w:left w:w="108" w:type="dxa"/>
              <w:top w:w="0" w:type="dxa"/>
              <w:right w:w="108" w:type="dxa"/>
              <w:bottom w:w="0" w:type="dxa"/>
            </w:tcMar>
            <w:tcW w:w="715"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1</w:t>
            </w:r>
            <w:r>
              <w:rPr>
                <w:color w:val="000000" w:themeColor="text1"/>
                <w:highlight w:val="none"/>
              </w:rPr>
            </w:r>
            <w:r/>
          </w:p>
        </w:tc>
        <w:tc>
          <w:tcPr>
            <w:tcMar>
              <w:left w:w="108" w:type="dxa"/>
              <w:top w:w="0" w:type="dxa"/>
              <w:right w:w="108" w:type="dxa"/>
              <w:bottom w:w="0" w:type="dxa"/>
            </w:tcMar>
            <w:tcW w:w="1973" w:type="dxa"/>
            <w:vAlign w:val="center"/>
            <w:textDirection w:val="lrTb"/>
            <w:noWrap w:val="false"/>
          </w:tcPr>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洗烫服务</w:t>
            </w:r>
            <w:r>
              <w:rPr>
                <w:color w:val="000000" w:themeColor="text1"/>
                <w:highlight w:val="none"/>
              </w:rPr>
            </w:r>
            <w:r/>
          </w:p>
        </w:tc>
        <w:tc>
          <w:tcPr>
            <w:tcMar>
              <w:left w:w="108" w:type="dxa"/>
              <w:top w:w="0" w:type="dxa"/>
              <w:right w:w="108" w:type="dxa"/>
              <w:bottom w:w="0" w:type="dxa"/>
            </w:tcMar>
            <w:tcW w:w="5819" w:type="dxa"/>
            <w:vAlign w:val="center"/>
            <w:textDirection w:val="lrTb"/>
            <w:noWrap w:val="false"/>
          </w:tcPr>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做好洗涤用料的领取手续，按量下料、节约用料、用水、用电，做好每日清洁工作，保持洗衣房整洁卫生。</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按衣物类别要求熨烫平整、保持挺括、烫迹分明、不留极光和水迹；无因洗涤造成的变形、变色、串色、脱色、织物发硬、起毛、划伤、破损现象。</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严格遵守操作规程和分类洗涤制度，做到被褥与服装分开，有色与无色分开。</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做好登记、收交等手续，收发被服当面清点签名，发现破损被服，应标注注明，防止差错、遗漏和丢失。</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熟练掌握各类设备性能、严格执行操作规程，爱护机械设备，定期维修保养，确保洗衣质量，防止发生事故。</w:t>
            </w:r>
            <w:r>
              <w:rPr>
                <w:color w:val="000000" w:themeColor="text1"/>
                <w:highlight w:val="none"/>
              </w:rPr>
            </w:r>
            <w:r/>
          </w:p>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 </w:t>
            </w:r>
            <w:r>
              <w:rPr>
                <w:color w:val="000000" w:themeColor="text1"/>
                <w:highlight w:val="none"/>
              </w:rPr>
            </w:r>
            <w:r/>
          </w:p>
        </w:tc>
      </w:tr>
      <w:tr>
        <w:trPr/>
        <w:tc>
          <w:tcPr>
            <w:tcMar>
              <w:left w:w="108" w:type="dxa"/>
              <w:top w:w="0" w:type="dxa"/>
              <w:right w:w="108" w:type="dxa"/>
              <w:bottom w:w="0" w:type="dxa"/>
            </w:tcMar>
            <w:tcW w:w="715"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2</w:t>
            </w:r>
            <w:r>
              <w:rPr>
                <w:color w:val="000000" w:themeColor="text1"/>
                <w:highlight w:val="none"/>
              </w:rPr>
            </w:r>
            <w:r/>
          </w:p>
        </w:tc>
        <w:tc>
          <w:tcPr>
            <w:tcMar>
              <w:left w:w="108" w:type="dxa"/>
              <w:top w:w="0" w:type="dxa"/>
              <w:right w:w="108" w:type="dxa"/>
              <w:bottom w:w="0" w:type="dxa"/>
            </w:tcMar>
            <w:tcW w:w="1973"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洗车服务</w:t>
            </w:r>
            <w:r>
              <w:rPr>
                <w:color w:val="000000" w:themeColor="text1"/>
                <w:highlight w:val="none"/>
              </w:rPr>
            </w:r>
            <w:r/>
          </w:p>
        </w:tc>
        <w:tc>
          <w:tcPr>
            <w:tcMar>
              <w:left w:w="108" w:type="dxa"/>
              <w:top w:w="0" w:type="dxa"/>
              <w:right w:w="108" w:type="dxa"/>
              <w:bottom w:w="0" w:type="dxa"/>
            </w:tcMar>
            <w:tcW w:w="5819" w:type="dxa"/>
            <w:vAlign w:val="center"/>
            <w:textDirection w:val="lrTb"/>
            <w:noWrap w:val="false"/>
          </w:tcPr>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节约原则：机关单位应本着节约用水的原则，合理安排洗车时间和方式，避免浪费。</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环保原则：洗车过程中应使用环保型洗车设备和洗涤剂，减少对环境的污染。洗车服务供应商需要办理环境保护许可证，确保洗车排放达到法律法规规定的排放要求。</w:t>
            </w:r>
            <w:r>
              <w:rPr>
                <w:color w:val="000000" w:themeColor="text1"/>
                <w:highlight w:val="none"/>
              </w:rPr>
            </w:r>
            <w:r/>
          </w:p>
          <w:p>
            <w:pPr>
              <w:pStyle w:val="861"/>
              <w:ind w:firstLine="210"/>
              <w:spacing w:line="85" w:lineRule="atLeast"/>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规范原则：</w:t>
            </w:r>
            <w:r>
              <w:rPr>
                <w:rFonts w:ascii="宋体" w:hAnsi="宋体" w:cs="宋体"/>
                <w:color w:val="000000" w:themeColor="text1"/>
                <w:highlight w:val="none"/>
              </w:rPr>
              <w:t xml:space="preserve">洗车工</w:t>
            </w:r>
            <w:r>
              <w:rPr>
                <w:rFonts w:hint="eastAsia" w:ascii="宋体" w:hAnsi="宋体" w:cs="宋体"/>
                <w:color w:val="000000" w:themeColor="text1"/>
                <w:highlight w:val="none"/>
              </w:rPr>
              <w:t xml:space="preserve">维护停车秩序</w:t>
            </w:r>
            <w:r>
              <w:rPr>
                <w:rFonts w:ascii="宋体" w:hAnsi="宋体" w:cs="宋体"/>
                <w:color w:val="000000" w:themeColor="text1"/>
                <w:highlight w:val="none"/>
              </w:rPr>
              <w:t xml:space="preserve">持证上岗，应按照规范流程进行，确保洗车质量和效率，能够及时处理设备机电故障</w:t>
            </w:r>
            <w:r>
              <w:rPr>
                <w:rFonts w:hint="eastAsia" w:ascii="宋体" w:hAnsi="宋体" w:cs="宋体"/>
                <w:color w:val="000000" w:themeColor="text1"/>
                <w:highlight w:val="none"/>
              </w:rPr>
              <w:t xml:space="preserve">。</w:t>
            </w:r>
            <w:r>
              <w:rPr>
                <w:color w:val="000000" w:themeColor="text1"/>
                <w:highlight w:val="none"/>
              </w:rPr>
            </w:r>
            <w:r/>
          </w:p>
        </w:tc>
      </w:tr>
      <w:tr>
        <w:trPr/>
        <w:tc>
          <w:tcPr>
            <w:tcMar>
              <w:left w:w="108" w:type="dxa"/>
              <w:top w:w="0" w:type="dxa"/>
              <w:right w:w="108" w:type="dxa"/>
              <w:bottom w:w="0" w:type="dxa"/>
            </w:tcMar>
            <w:tcW w:w="715"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3</w:t>
            </w:r>
            <w:r>
              <w:rPr>
                <w:color w:val="000000" w:themeColor="text1"/>
                <w:highlight w:val="none"/>
              </w:rPr>
            </w:r>
            <w:r/>
          </w:p>
        </w:tc>
        <w:tc>
          <w:tcPr>
            <w:tcMar>
              <w:left w:w="108" w:type="dxa"/>
              <w:top w:w="0" w:type="dxa"/>
              <w:right w:w="108" w:type="dxa"/>
              <w:bottom w:w="0" w:type="dxa"/>
            </w:tcMar>
            <w:tcW w:w="1973"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理发服务</w:t>
            </w:r>
            <w:r>
              <w:rPr>
                <w:color w:val="000000" w:themeColor="text1"/>
                <w:highlight w:val="none"/>
              </w:rPr>
            </w:r>
            <w:r/>
          </w:p>
        </w:tc>
        <w:tc>
          <w:tcPr>
            <w:tcMar>
              <w:left w:w="108" w:type="dxa"/>
              <w:top w:w="0" w:type="dxa"/>
              <w:right w:w="108" w:type="dxa"/>
              <w:bottom w:w="0" w:type="dxa"/>
            </w:tcMar>
            <w:tcW w:w="5819" w:type="dxa"/>
            <w:vAlign w:val="center"/>
            <w:textDirection w:val="lrTb"/>
            <w:noWrap w:val="false"/>
          </w:tcPr>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着装与仪表：理发服务人员应穿着整洁的制服或工作服，保持良好的个人卫生，仪表端庄。</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语言与微笑：使用规范、礼貌的语言，保持微笑服务，态度热情洋溢。</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服务流程：</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接待：主动迎接顾客，询问需求，提供适当的建议。</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咨询：根据顾客需求，详细介绍服务项目及时间等。</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理发：按照顾客要求及专业标准进行操作，确保理发质量。</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送别：理发完成后，感谢顾客光临，并提醒顾客带好随身物品。</w:t>
            </w:r>
            <w:r>
              <w:rPr>
                <w:color w:val="000000" w:themeColor="text1"/>
                <w:highlight w:val="none"/>
              </w:rPr>
            </w:r>
            <w:r/>
          </w:p>
          <w:p>
            <w:pPr>
              <w:pStyle w:val="861"/>
              <w:ind w:firstLine="21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服务细节：</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在服务过程中，保持整洁的仪表，避免不当行为。</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提供“来有迎声、问有答声、错有歉声、夸有谢声、去有送声”的五声服务。</w:t>
            </w:r>
            <w:r>
              <w:rPr>
                <w:color w:val="000000" w:themeColor="text1"/>
                <w:highlight w:val="none"/>
              </w:rPr>
            </w:r>
            <w:r/>
          </w:p>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做到“眼到、口到、意到”的三到服务，关注需求，提供贴心服务。</w:t>
            </w:r>
            <w:r>
              <w:rPr>
                <w:color w:val="000000" w:themeColor="text1"/>
                <w:highlight w:val="none"/>
              </w:rPr>
            </w:r>
            <w:r/>
          </w:p>
        </w:tc>
      </w:tr>
      <w:tr>
        <w:trPr/>
        <w:tc>
          <w:tcPr>
            <w:tcMar>
              <w:left w:w="108" w:type="dxa"/>
              <w:top w:w="0" w:type="dxa"/>
              <w:right w:w="108" w:type="dxa"/>
              <w:bottom w:w="0" w:type="dxa"/>
            </w:tcMar>
            <w:tcW w:w="715"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4</w:t>
            </w:r>
            <w:r>
              <w:rPr>
                <w:color w:val="000000" w:themeColor="text1"/>
                <w:highlight w:val="none"/>
              </w:rPr>
            </w:r>
            <w:r/>
          </w:p>
        </w:tc>
        <w:tc>
          <w:tcPr>
            <w:tcMar>
              <w:left w:w="108" w:type="dxa"/>
              <w:top w:w="0" w:type="dxa"/>
              <w:right w:w="108" w:type="dxa"/>
              <w:bottom w:w="0" w:type="dxa"/>
            </w:tcMar>
            <w:tcW w:w="1973"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法警基地保障</w:t>
            </w:r>
            <w:r>
              <w:rPr>
                <w:color w:val="000000" w:themeColor="text1"/>
                <w:highlight w:val="none"/>
              </w:rPr>
            </w:r>
            <w:r/>
          </w:p>
        </w:tc>
        <w:tc>
          <w:tcPr>
            <w:tcMar>
              <w:left w:w="108" w:type="dxa"/>
              <w:top w:w="0" w:type="dxa"/>
              <w:right w:w="108" w:type="dxa"/>
              <w:bottom w:w="0" w:type="dxa"/>
            </w:tcMar>
            <w:tcW w:w="5819" w:type="dxa"/>
            <w:vAlign w:val="center"/>
            <w:textDirection w:val="lrTb"/>
            <w:noWrap w:val="false"/>
          </w:tcPr>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000000" w:themeColor="text1"/>
                <w:highlight w:val="none"/>
              </w:rPr>
              <w:t xml:space="preserve">着装与仪表：理发服务人员应穿着整洁的制服或工作服，保持良好的个人卫生，仪表端庄。</w:t>
            </w:r>
            <w:r>
              <w:rPr>
                <w:color w:val="000000" w:themeColor="text1"/>
                <w:highlight w:val="none"/>
              </w:rPr>
            </w:r>
            <w:r/>
          </w:p>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000000" w:themeColor="text1"/>
                <w:highlight w:val="none"/>
              </w:rPr>
              <w:t xml:space="preserve">服务细节：</w:t>
            </w:r>
            <w:r>
              <w:rPr>
                <w:color w:val="000000" w:themeColor="text1"/>
                <w:highlight w:val="none"/>
              </w:rPr>
            </w:r>
            <w:r/>
          </w:p>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24</w:t>
            </w:r>
            <w:r>
              <w:rPr>
                <w:rFonts w:ascii="Wingdings 2" w:hAnsi="Wingdings 2" w:eastAsia="Wingdings 2" w:cs="Wingdings 2"/>
                <w:color w:val="000000" w:themeColor="text1"/>
                <w:highlight w:val="none"/>
              </w:rPr>
              <w:t xml:space="preserve">小时秩序维护服务，值岗期间服从命令，听从指挥，坚守工作岗位，发现问题及时处理以及汇报。</w:t>
            </w:r>
            <w:r>
              <w:rPr>
                <w:color w:val="000000" w:themeColor="text1"/>
                <w:highlight w:val="none"/>
              </w:rPr>
            </w:r>
            <w:r/>
          </w:p>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000000" w:themeColor="text1"/>
                <w:highlight w:val="none"/>
              </w:rPr>
              <w:t xml:space="preserve">每日清扫道路地面、停车场等公共区域，保持干净、无杂物、无积水。</w:t>
            </w:r>
            <w:r>
              <w:rPr>
                <w:color w:val="000000" w:themeColor="text1"/>
                <w:highlight w:val="none"/>
              </w:rPr>
            </w:r>
            <w:r/>
          </w:p>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000000" w:themeColor="text1"/>
                <w:highlight w:val="none"/>
              </w:rPr>
              <w:t xml:space="preserve">定期修剪树木、花卉等，灌乔木生长正常、造型美观自然、花枝新鲜，无枯叶、无病虫、无死树缺株。</w:t>
            </w:r>
            <w:r>
              <w:rPr>
                <w:color w:val="000000" w:themeColor="text1"/>
                <w:highlight w:val="none"/>
              </w:rPr>
            </w:r>
            <w:r/>
          </w:p>
          <w:p>
            <w:pPr>
              <w:pStyle w:val="861"/>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000000" w:themeColor="text1"/>
                <w:highlight w:val="none"/>
              </w:rPr>
              <w:t xml:space="preserve">按各设备机房国家标准规范规定维护保管消防、通风、应急照明，防止小动物进入。</w:t>
            </w:r>
            <w:r>
              <w:rPr>
                <w:color w:val="000000" w:themeColor="text1"/>
                <w:highlight w:val="none"/>
              </w:rPr>
            </w:r>
            <w:r/>
          </w:p>
        </w:tc>
      </w:tr>
    </w:tbl>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p>
      <w:pPr>
        <w:pStyle w:val="861"/>
        <w:ind w:firstLine="48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4.供应商履行合同所需的设备</w:t>
      </w:r>
      <w:r>
        <w:rPr>
          <w:color w:val="000000" w:themeColor="text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9"/>
        <w:gridCol w:w="2680"/>
        <w:gridCol w:w="3559"/>
        <w:gridCol w:w="1000"/>
        <w:gridCol w:w="905"/>
      </w:tblGrid>
      <w:tr>
        <w:trPr>
          <w:trHeight w:val="462"/>
        </w:trPr>
        <w:tc>
          <w:tcPr>
            <w:tcMar>
              <w:left w:w="0" w:type="dxa"/>
              <w:top w:w="0" w:type="dxa"/>
              <w:right w:w="0" w:type="dxa"/>
              <w:bottom w:w="0" w:type="dxa"/>
            </w:tcMar>
            <w:tcW w:w="849" w:type="dxa"/>
            <w:vAlign w:val="top"/>
            <w:textDirection w:val="lrTb"/>
            <w:noWrap w:val="false"/>
          </w:tcPr>
          <w:p>
            <w:pPr>
              <w:pStyle w:val="861"/>
              <w:jc w:val="center"/>
              <w:spacing w:before="9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序号</w:t>
            </w:r>
            <w:r>
              <w:rPr>
                <w:color w:val="000000" w:themeColor="text1"/>
                <w:highlight w:val="none"/>
              </w:rPr>
            </w:r>
            <w:r/>
          </w:p>
        </w:tc>
        <w:tc>
          <w:tcPr>
            <w:tcMar>
              <w:left w:w="0" w:type="dxa"/>
              <w:top w:w="0" w:type="dxa"/>
              <w:right w:w="0" w:type="dxa"/>
              <w:bottom w:w="0" w:type="dxa"/>
            </w:tcMar>
            <w:tcW w:w="2803" w:type="dxa"/>
            <w:vAlign w:val="top"/>
            <w:textDirection w:val="lrTb"/>
            <w:noWrap w:val="false"/>
          </w:tcPr>
          <w:p>
            <w:pPr>
              <w:pStyle w:val="861"/>
              <w:jc w:val="center"/>
              <w:spacing w:before="9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用途</w:t>
            </w:r>
            <w:r>
              <w:rPr>
                <w:color w:val="000000" w:themeColor="text1"/>
                <w:highlight w:val="none"/>
              </w:rPr>
            </w:r>
            <w:r/>
          </w:p>
        </w:tc>
        <w:tc>
          <w:tcPr>
            <w:tcMar>
              <w:left w:w="0" w:type="dxa"/>
              <w:top w:w="0" w:type="dxa"/>
              <w:right w:w="0" w:type="dxa"/>
              <w:bottom w:w="0" w:type="dxa"/>
            </w:tcMar>
            <w:tcW w:w="3726" w:type="dxa"/>
            <w:vAlign w:val="top"/>
            <w:textDirection w:val="lrTb"/>
            <w:noWrap w:val="false"/>
          </w:tcPr>
          <w:p>
            <w:pPr>
              <w:pStyle w:val="861"/>
              <w:jc w:val="center"/>
              <w:spacing w:before="9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作业设备名称</w:t>
            </w:r>
            <w:r>
              <w:rPr>
                <w:color w:val="000000" w:themeColor="text1"/>
                <w:highlight w:val="none"/>
              </w:rPr>
            </w:r>
            <w:r/>
          </w:p>
        </w:tc>
        <w:tc>
          <w:tcPr>
            <w:tcMar>
              <w:left w:w="0" w:type="dxa"/>
              <w:top w:w="0" w:type="dxa"/>
              <w:right w:w="0" w:type="dxa"/>
              <w:bottom w:w="0" w:type="dxa"/>
            </w:tcMar>
            <w:tcW w:w="1038" w:type="dxa"/>
            <w:vAlign w:val="top"/>
            <w:textDirection w:val="lrTb"/>
            <w:noWrap w:val="false"/>
          </w:tcPr>
          <w:p>
            <w:pPr>
              <w:pStyle w:val="861"/>
              <w:jc w:val="center"/>
              <w:spacing w:before="9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数量</w:t>
            </w:r>
            <w:r>
              <w:rPr>
                <w:color w:val="000000" w:themeColor="text1"/>
                <w:highlight w:val="none"/>
              </w:rPr>
            </w:r>
            <w:r/>
          </w:p>
        </w:tc>
        <w:tc>
          <w:tcPr>
            <w:tcMar>
              <w:left w:w="0" w:type="dxa"/>
              <w:top w:w="0" w:type="dxa"/>
              <w:right w:w="0" w:type="dxa"/>
              <w:bottom w:w="0" w:type="dxa"/>
            </w:tcMar>
            <w:tcW w:w="938" w:type="dxa"/>
            <w:vAlign w:val="top"/>
            <w:textDirection w:val="lrTb"/>
            <w:noWrap w:val="false"/>
          </w:tcPr>
          <w:p>
            <w:pPr>
              <w:pStyle w:val="861"/>
              <w:jc w:val="center"/>
              <w:spacing w:before="9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单位</w:t>
            </w:r>
            <w:r>
              <w:rPr>
                <w:color w:val="000000" w:themeColor="text1"/>
                <w:highlight w:val="none"/>
              </w:rPr>
            </w:r>
            <w:r/>
          </w:p>
        </w:tc>
      </w:tr>
      <w:tr>
        <w:trPr>
          <w:trHeight w:val="457"/>
        </w:trPr>
        <w:tc>
          <w:tcPr>
            <w:tcMar>
              <w:left w:w="0" w:type="dxa"/>
              <w:top w:w="0" w:type="dxa"/>
              <w:right w:w="0" w:type="dxa"/>
              <w:bottom w:w="0" w:type="dxa"/>
            </w:tcMar>
            <w:tcW w:w="849" w:type="dxa"/>
            <w:vAlign w:val="top"/>
            <w:textDirection w:val="lrTb"/>
            <w:noWrap w:val="false"/>
          </w:tcPr>
          <w:p>
            <w:pPr>
              <w:pStyle w:val="861"/>
              <w:jc w:val="center"/>
              <w:spacing w:before="13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w:t>
            </w:r>
            <w:r>
              <w:rPr>
                <w:color w:val="000000" w:themeColor="text1"/>
                <w:highlight w:val="none"/>
              </w:rPr>
            </w:r>
            <w:r/>
          </w:p>
        </w:tc>
        <w:tc>
          <w:tcPr>
            <w:tcMar>
              <w:left w:w="0" w:type="dxa"/>
              <w:top w:w="0" w:type="dxa"/>
              <w:right w:w="0" w:type="dxa"/>
              <w:bottom w:w="0" w:type="dxa"/>
            </w:tcMar>
            <w:tcW w:w="2803" w:type="dxa"/>
            <w:vAlign w:val="top"/>
            <w:textDirection w:val="lrTb"/>
            <w:noWrap w:val="false"/>
          </w:tcPr>
          <w:p>
            <w:pPr>
              <w:pStyle w:val="861"/>
              <w:jc w:val="center"/>
              <w:spacing w:before="93"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2"/>
                <w:highlight w:val="none"/>
              </w:rPr>
              <w:t xml:space="preserve">物业服务</w:t>
            </w:r>
            <w:r>
              <w:rPr>
                <w:color w:val="000000" w:themeColor="text1"/>
                <w:highlight w:val="none"/>
              </w:rPr>
            </w:r>
            <w:r/>
          </w:p>
        </w:tc>
        <w:tc>
          <w:tcPr>
            <w:tcMar>
              <w:left w:w="0" w:type="dxa"/>
              <w:top w:w="0" w:type="dxa"/>
              <w:right w:w="0" w:type="dxa"/>
              <w:bottom w:w="0" w:type="dxa"/>
            </w:tcMar>
            <w:tcW w:w="3726" w:type="dxa"/>
            <w:vAlign w:val="top"/>
            <w:textDirection w:val="lrTb"/>
            <w:noWrap w:val="false"/>
          </w:tcPr>
          <w:p>
            <w:pPr>
              <w:pStyle w:val="861"/>
              <w:jc w:val="center"/>
              <w:spacing w:before="93"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9"/>
                <w:highlight w:val="none"/>
              </w:rPr>
              <w:t xml:space="preserve">对讲机</w:t>
            </w:r>
            <w:r>
              <w:rPr>
                <w:color w:val="000000" w:themeColor="text1"/>
                <w:highlight w:val="none"/>
              </w:rPr>
            </w:r>
            <w:r/>
          </w:p>
        </w:tc>
        <w:tc>
          <w:tcPr>
            <w:tcMar>
              <w:left w:w="0" w:type="dxa"/>
              <w:top w:w="0" w:type="dxa"/>
              <w:right w:w="0" w:type="dxa"/>
              <w:bottom w:w="0" w:type="dxa"/>
            </w:tcMar>
            <w:tcW w:w="1038" w:type="dxa"/>
            <w:vAlign w:val="top"/>
            <w:textDirection w:val="lrTb"/>
            <w:noWrap w:val="false"/>
          </w:tcPr>
          <w:p>
            <w:pPr>
              <w:pStyle w:val="861"/>
              <w:jc w:val="center"/>
              <w:spacing w:before="13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4"/>
                <w:highlight w:val="none"/>
              </w:rPr>
              <w:t xml:space="preserve">5</w:t>
            </w:r>
            <w:r>
              <w:rPr>
                <w:color w:val="000000" w:themeColor="text1"/>
                <w:highlight w:val="none"/>
              </w:rPr>
            </w:r>
            <w:r/>
          </w:p>
        </w:tc>
        <w:tc>
          <w:tcPr>
            <w:tcMar>
              <w:left w:w="0" w:type="dxa"/>
              <w:top w:w="0" w:type="dxa"/>
              <w:right w:w="0" w:type="dxa"/>
              <w:bottom w:w="0" w:type="dxa"/>
            </w:tcMar>
            <w:tcW w:w="938" w:type="dxa"/>
            <w:vAlign w:val="top"/>
            <w:textDirection w:val="lrTb"/>
            <w:noWrap w:val="false"/>
          </w:tcPr>
          <w:p>
            <w:pPr>
              <w:pStyle w:val="861"/>
              <w:jc w:val="center"/>
              <w:spacing w:before="94"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套</w:t>
            </w:r>
            <w:r>
              <w:rPr>
                <w:color w:val="000000" w:themeColor="text1"/>
                <w:highlight w:val="none"/>
              </w:rPr>
            </w:r>
            <w:r/>
          </w:p>
        </w:tc>
      </w:tr>
    </w:tbl>
    <w:p>
      <w:pPr>
        <w:pStyle w:val="861"/>
        <w:spacing w:line="94"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8"/>
          <w:highlight w:val="none"/>
        </w:rPr>
        <w:t xml:space="preserve">注：</w:t>
      </w:r>
      <w:r>
        <w:rPr>
          <w:rFonts w:ascii="宋体" w:hAnsi="宋体" w:cs="宋体"/>
          <w:color w:val="000000" w:themeColor="text1"/>
          <w:spacing w:val="-25"/>
          <w:highlight w:val="none"/>
        </w:rPr>
        <w:t xml:space="preserve"> </w:t>
      </w:r>
      <w:r>
        <w:rPr>
          <w:rFonts w:ascii="宋体" w:hAnsi="宋体" w:cs="宋体"/>
          <w:color w:val="000000" w:themeColor="text1"/>
          <w:spacing w:val="-8"/>
          <w:highlight w:val="none"/>
        </w:rPr>
        <w:t xml:space="preserve">采购人已无偿提供的作业设备，</w:t>
      </w:r>
      <w:r>
        <w:rPr>
          <w:rFonts w:ascii="宋体" w:hAnsi="宋体" w:cs="宋体"/>
          <w:color w:val="000000" w:themeColor="text1"/>
          <w:spacing w:val="-22"/>
          <w:highlight w:val="none"/>
        </w:rPr>
        <w:t xml:space="preserve"> 不在</w:t>
      </w:r>
      <w:r>
        <w:rPr>
          <w:rFonts w:ascii="宋体" w:hAnsi="宋体" w:cs="宋体"/>
          <w:color w:val="000000" w:themeColor="text1"/>
          <w:spacing w:val="-8"/>
          <w:highlight w:val="none"/>
        </w:rPr>
        <w:t xml:space="preserve">此重复要求。</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除上述1.2所列场地、设施、设备、材料外，与物业管理服务有关的其他场地、设施、设备、材料均由供应商承担。</w:t>
      </w:r>
      <w:r>
        <w:rPr>
          <w:color w:val="000000" w:themeColor="text1"/>
          <w:highlight w:val="none"/>
        </w:rPr>
      </w:r>
      <w:r/>
    </w:p>
    <w:p>
      <w:pPr>
        <w:pStyle w:val="861"/>
        <w:ind w:firstLine="482"/>
        <w:spacing w:line="85" w:lineRule="atLeast"/>
        <w:rPr>
          <w:rFonts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t xml:space="preserve">5.</w:t>
      </w:r>
      <w:r>
        <w:rPr>
          <w:rFonts w:ascii="宋体" w:hAnsi="宋体" w:cs="宋体"/>
          <w:b/>
          <w:color w:val="000000" w:themeColor="text1"/>
          <w:highlight w:val="none"/>
        </w:rPr>
        <w:t xml:space="preserve">物业管理服务人员需求</w:t>
      </w:r>
      <w:r>
        <w:rPr>
          <w:rFonts w:ascii="宋体" w:hAnsi="宋体" w:cs="宋体"/>
          <w:b/>
          <w:color w:val="000000" w:themeColor="text1"/>
          <w:highlight w:val="none"/>
        </w:rPr>
        <w:tab/>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本项目是否允许配置按国家规定可不缴纳社保的人员（是/否）：</w:t>
      </w:r>
      <w:r>
        <w:rPr>
          <w:rFonts w:ascii="宋体" w:hAnsi="宋体" w:cs="宋体"/>
          <w:color w:val="000000" w:themeColor="text1"/>
          <w:sz w:val="24"/>
          <w:highlight w:val="none"/>
          <w:u w:val="single"/>
        </w:rPr>
        <w:t xml:space="preserve"> </w:t>
      </w:r>
      <w:r>
        <w:rPr>
          <w:rFonts w:hint="eastAsia" w:ascii="宋体" w:hAnsi="宋体"/>
          <w:color w:val="000000" w:themeColor="text1"/>
          <w:sz w:val="24"/>
          <w:highlight w:val="none"/>
          <w:u w:val="single"/>
        </w:rPr>
        <w:t xml:space="preserve">是</w:t>
      </w:r>
      <w:r>
        <w:rPr>
          <w:rFonts w:ascii="宋体" w:hAnsi="宋体" w:cs="宋体"/>
          <w:color w:val="000000" w:themeColor="text1"/>
          <w:sz w:val="24"/>
          <w:highlight w:val="none"/>
          <w:u w:val="single"/>
        </w:rPr>
        <w:t xml:space="preserve">   </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如允许配置，则该类人员最多不超过</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16</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w:t>
      </w:r>
      <w:r>
        <w:rPr>
          <w:rFonts w:hint="eastAsia" w:ascii="宋体" w:hAnsi="宋体" w:cs="宋体"/>
          <w:color w:val="000000" w:themeColor="text1"/>
          <w:sz w:val="24"/>
          <w:highlight w:val="none"/>
        </w:rPr>
        <w:t xml:space="preserve">，</w:t>
      </w:r>
      <w:r>
        <w:rPr>
          <w:rFonts w:hint="eastAsia" w:ascii="宋体" w:hAnsi="宋体" w:cs="宋体"/>
          <w:b/>
          <w:bCs/>
          <w:color w:val="000000" w:themeColor="text1"/>
          <w:sz w:val="24"/>
          <w:highlight w:val="none"/>
        </w:rPr>
        <w:t xml:space="preserve">投标人如有配置该类人员的，则投标文件中必须提供该类人员相关证明材料（证明该人员是属于按国家规定可不缴纳社保的人员），否则投标文件无效。</w:t>
      </w:r>
      <w:r>
        <w:rPr>
          <w:color w:val="000000" w:themeColor="text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27"/>
        <w:gridCol w:w="2666"/>
        <w:gridCol w:w="1542"/>
        <w:gridCol w:w="2276"/>
      </w:tblGrid>
      <w:tr>
        <w:trPr>
          <w:trHeight w:val="454"/>
        </w:trPr>
        <w:tc>
          <w:tcPr>
            <w:tcMar>
              <w:left w:w="0" w:type="dxa"/>
              <w:top w:w="0" w:type="dxa"/>
              <w:right w:w="0" w:type="dxa"/>
              <w:bottom w:w="0" w:type="dxa"/>
            </w:tcMar>
            <w:tcW w:w="1827"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类别</w:t>
            </w:r>
            <w:r>
              <w:rPr>
                <w:color w:val="000000" w:themeColor="text1"/>
                <w:highlight w:val="none"/>
              </w:rPr>
            </w:r>
            <w:r/>
          </w:p>
        </w:tc>
        <w:tc>
          <w:tcPr>
            <w:tcMar>
              <w:left w:w="0" w:type="dxa"/>
              <w:top w:w="0" w:type="dxa"/>
              <w:right w:w="0" w:type="dxa"/>
              <w:bottom w:w="0" w:type="dxa"/>
            </w:tcMar>
            <w:tcW w:w="2666"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岗位</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rFonts w:hint="eastAsia"/>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岗位</w:t>
            </w:r>
            <w:r>
              <w:rPr>
                <w:rStyle w:val="940"/>
                <w:rFonts w:hint="eastAsia"/>
                <w:b/>
                <w:color w:val="000000" w:themeColor="text1"/>
                <w:highlight w:val="none"/>
              </w:rPr>
              <w:t xml:space="preserve">人数</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1"/>
                <w:highlight w:val="none"/>
              </w:rPr>
              <w:t xml:space="preserve">备注</w:t>
            </w:r>
            <w:r>
              <w:rPr>
                <w:color w:val="000000" w:themeColor="text1"/>
                <w:highlight w:val="none"/>
              </w:rPr>
            </w:r>
            <w:r/>
          </w:p>
        </w:tc>
      </w:tr>
      <w:tr>
        <w:trPr>
          <w:trHeight w:val="454"/>
        </w:trPr>
        <w:tc>
          <w:tcPr>
            <w:tcMar>
              <w:left w:w="0" w:type="dxa"/>
              <w:top w:w="0" w:type="dxa"/>
              <w:right w:w="0" w:type="dxa"/>
              <w:bottom w:w="0" w:type="dxa"/>
            </w:tcMar>
            <w:tcW w:w="1827"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管理</w:t>
            </w:r>
            <w:r>
              <w:rPr>
                <w:color w:val="000000" w:themeColor="text1"/>
                <w:highlight w:val="none"/>
              </w:r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项目经理</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需持证上岗</w:t>
            </w:r>
            <w:r>
              <w:rPr>
                <w:color w:val="000000" w:themeColor="text1"/>
                <w:highlight w:val="none"/>
              </w:rPr>
            </w:r>
            <w:r/>
          </w:p>
        </w:tc>
      </w:tr>
      <w:tr>
        <w:trPr>
          <w:trHeight w:val="454"/>
        </w:trPr>
        <w:tc>
          <w:tcPr>
            <w:tcMar>
              <w:left w:w="0" w:type="dxa"/>
              <w:top w:w="0" w:type="dxa"/>
              <w:right w:w="0" w:type="dxa"/>
              <w:bottom w:w="0" w:type="dxa"/>
            </w:tcMar>
            <w:tcW w:w="1827" w:type="dxa"/>
            <w:vAlign w:val="center"/>
            <w:vMerge w:val="restart"/>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保洁服务</w:t>
            </w:r>
            <w:r>
              <w:rPr>
                <w:color w:val="000000" w:themeColor="text1"/>
                <w:highlight w:val="none"/>
              </w:r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保洁主管</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tc>
      </w:tr>
      <w:tr>
        <w:trPr>
          <w:trHeight w:val="454"/>
        </w:trPr>
        <w:tc>
          <w:tcPr>
            <w:tcW w:w="1827" w:type="dxa"/>
            <w:vAlign w:val="top"/>
            <w:vMerge w:val="continue"/>
            <w:textDirection w:val="lrTb"/>
            <w:noWrap w:val="false"/>
          </w:tcPr>
          <w:p>
            <w:pPr>
              <w:pStyle w:val="861"/>
            </w:p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保洁</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24</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tc>
      </w:tr>
      <w:tr>
        <w:trPr>
          <w:trHeight w:val="454"/>
        </w:trPr>
        <w:tc>
          <w:tcPr>
            <w:tcMar>
              <w:left w:w="0" w:type="dxa"/>
              <w:top w:w="0" w:type="dxa"/>
              <w:right w:w="0" w:type="dxa"/>
              <w:bottom w:w="0" w:type="dxa"/>
            </w:tcMar>
            <w:tcW w:w="1827"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绿化服务</w:t>
            </w:r>
            <w:r>
              <w:rPr>
                <w:color w:val="000000" w:themeColor="text1"/>
                <w:highlight w:val="none"/>
              </w:r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绿化工</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含绿化工具及绿化耗材</w:t>
            </w:r>
            <w:r>
              <w:rPr>
                <w:color w:val="000000" w:themeColor="text1"/>
                <w:highlight w:val="none"/>
              </w:rPr>
            </w:r>
            <w:r/>
          </w:p>
        </w:tc>
      </w:tr>
      <w:tr>
        <w:trPr>
          <w:trHeight w:val="454"/>
        </w:trPr>
        <w:tc>
          <w:tcPr>
            <w:tcMar>
              <w:left w:w="0" w:type="dxa"/>
              <w:top w:w="0" w:type="dxa"/>
              <w:right w:w="0" w:type="dxa"/>
              <w:bottom w:w="0" w:type="dxa"/>
            </w:tcMar>
            <w:tcW w:w="1827" w:type="dxa"/>
            <w:vAlign w:val="center"/>
            <w:vMerge w:val="restart"/>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工程服务</w:t>
            </w:r>
            <w:r>
              <w:rPr>
                <w:color w:val="000000" w:themeColor="text1"/>
                <w:highlight w:val="none"/>
              </w:r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工程主管</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需持证上岗</w:t>
            </w:r>
            <w:r>
              <w:rPr>
                <w:color w:val="000000" w:themeColor="text1"/>
                <w:highlight w:val="none"/>
              </w:rPr>
            </w:r>
            <w:r/>
          </w:p>
        </w:tc>
      </w:tr>
      <w:tr>
        <w:trPr>
          <w:trHeight w:val="454"/>
        </w:trPr>
        <w:tc>
          <w:tcPr>
            <w:tcW w:w="1827" w:type="dxa"/>
            <w:vAlign w:val="top"/>
            <w:vMerge w:val="continue"/>
            <w:textDirection w:val="lrTb"/>
            <w:noWrap w:val="false"/>
          </w:tcPr>
          <w:p>
            <w:pPr>
              <w:pStyle w:val="861"/>
            </w:p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综合维修工</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3</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需持证上岗</w:t>
            </w:r>
            <w:r>
              <w:rPr>
                <w:color w:val="000000" w:themeColor="text1"/>
                <w:highlight w:val="none"/>
              </w:rPr>
            </w:r>
            <w:r/>
          </w:p>
        </w:tc>
      </w:tr>
      <w:tr>
        <w:trPr>
          <w:trHeight w:val="454"/>
        </w:trPr>
        <w:tc>
          <w:tcPr>
            <w:tcW w:w="1827" w:type="dxa"/>
            <w:vAlign w:val="top"/>
            <w:vMerge w:val="continue"/>
            <w:textDirection w:val="lrTb"/>
            <w:noWrap w:val="false"/>
          </w:tcPr>
          <w:p>
            <w:pPr>
              <w:pStyle w:val="861"/>
            </w:p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配电房值班电工</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8</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2个配电房</w:t>
            </w:r>
            <w:r>
              <w:rPr>
                <w:rFonts w:hint="eastAsia" w:ascii="宋体" w:hAnsi="宋体" w:cs="宋体"/>
                <w:color w:val="000000" w:themeColor="text1"/>
                <w:highlight w:val="none"/>
              </w:rPr>
              <w:t xml:space="preserve">，需持证上岗</w:t>
            </w:r>
            <w:r>
              <w:rPr>
                <w:color w:val="000000" w:themeColor="text1"/>
                <w:highlight w:val="none"/>
              </w:rPr>
            </w:r>
            <w:r/>
          </w:p>
        </w:tc>
      </w:tr>
      <w:tr>
        <w:trPr>
          <w:trHeight w:val="454"/>
        </w:trPr>
        <w:tc>
          <w:tcPr>
            <w:tcMar>
              <w:left w:w="0" w:type="dxa"/>
              <w:top w:w="0" w:type="dxa"/>
              <w:right w:w="0" w:type="dxa"/>
              <w:bottom w:w="0" w:type="dxa"/>
            </w:tcMar>
            <w:tcW w:w="1827"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会议服务</w:t>
            </w:r>
            <w:r>
              <w:rPr>
                <w:color w:val="000000" w:themeColor="text1"/>
                <w:highlight w:val="none"/>
              </w:r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前台及会务</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3</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r>
      <w:tr>
        <w:trPr>
          <w:trHeight w:val="454"/>
        </w:trPr>
        <w:tc>
          <w:tcPr>
            <w:tcMar>
              <w:left w:w="0" w:type="dxa"/>
              <w:top w:w="0" w:type="dxa"/>
              <w:right w:w="0" w:type="dxa"/>
              <w:bottom w:w="0" w:type="dxa"/>
            </w:tcMar>
            <w:tcW w:w="1827" w:type="dxa"/>
            <w:vAlign w:val="center"/>
            <w:vMerge w:val="restart"/>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
                <w:highlight w:val="none"/>
              </w:rPr>
              <w:t xml:space="preserve">其他服务</w:t>
            </w:r>
            <w:r>
              <w:rPr>
                <w:color w:val="000000" w:themeColor="text1"/>
                <w:highlight w:val="none"/>
              </w:r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洗车岗</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r>
      <w:tr>
        <w:trPr>
          <w:trHeight w:val="454"/>
        </w:trPr>
        <w:tc>
          <w:tcPr>
            <w:tcW w:w="1827" w:type="dxa"/>
            <w:vAlign w:val="top"/>
            <w:vMerge w:val="continue"/>
            <w:textDirection w:val="lrTb"/>
            <w:noWrap w:val="false"/>
          </w:tcPr>
          <w:p>
            <w:pPr>
              <w:pStyle w:val="861"/>
            </w:p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理发岗</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1</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干警理发服务</w:t>
            </w:r>
            <w:r>
              <w:rPr>
                <w:color w:val="000000" w:themeColor="text1"/>
                <w:highlight w:val="none"/>
              </w:rPr>
            </w:r>
            <w:r/>
          </w:p>
        </w:tc>
      </w:tr>
      <w:tr>
        <w:trPr>
          <w:trHeight w:val="454"/>
        </w:trPr>
        <w:tc>
          <w:tcPr>
            <w:tcW w:w="1827" w:type="dxa"/>
            <w:vAlign w:val="top"/>
            <w:vMerge w:val="continue"/>
            <w:textDirection w:val="lrTb"/>
            <w:noWrap w:val="false"/>
          </w:tcPr>
          <w:p>
            <w:pPr>
              <w:pStyle w:val="861"/>
            </w:p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洗烫岗</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r>
      <w:tr>
        <w:trPr>
          <w:trHeight w:val="454"/>
        </w:trPr>
        <w:tc>
          <w:tcPr>
            <w:tcW w:w="1827" w:type="dxa"/>
            <w:vAlign w:val="top"/>
            <w:vMerge w:val="continue"/>
            <w:textDirection w:val="lrTb"/>
            <w:noWrap w:val="false"/>
          </w:tcPr>
          <w:p>
            <w:pPr>
              <w:pStyle w:val="861"/>
            </w:pPr>
            <w:r/>
            <w:r/>
          </w:p>
        </w:tc>
        <w:tc>
          <w:tcPr>
            <w:tcMar>
              <w:left w:w="0" w:type="dxa"/>
              <w:top w:w="0" w:type="dxa"/>
              <w:right w:w="0" w:type="dxa"/>
              <w:bottom w:w="0" w:type="dxa"/>
            </w:tcMar>
            <w:tcW w:w="266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法警基地保障</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24小时双人双岗</w:t>
            </w:r>
            <w:r>
              <w:rPr>
                <w:color w:val="000000" w:themeColor="text1"/>
                <w:highlight w:val="none"/>
              </w:rPr>
            </w:r>
            <w:r/>
          </w:p>
        </w:tc>
      </w:tr>
      <w:tr>
        <w:trPr>
          <w:trHeight w:val="454"/>
        </w:trPr>
        <w:tc>
          <w:tcPr>
            <w:gridSpan w:val="2"/>
            <w:tcMar>
              <w:left w:w="0" w:type="dxa"/>
              <w:top w:w="0" w:type="dxa"/>
              <w:right w:w="0" w:type="dxa"/>
              <w:bottom w:w="0" w:type="dxa"/>
            </w:tcMar>
            <w:tcW w:w="4493" w:type="dxa"/>
            <w:vAlign w:val="center"/>
            <w:textDirection w:val="lrTb"/>
            <w:noWrap w:val="false"/>
          </w:tcPr>
          <w:p>
            <w:pPr>
              <w:pStyle w:val="861"/>
              <w:ind w:left="414" w:firstLine="474"/>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2"/>
                <w:highlight w:val="none"/>
              </w:rPr>
              <w:t xml:space="preserve">岗位总</w:t>
            </w:r>
            <w:r>
              <w:rPr>
                <w:rFonts w:hint="eastAsia" w:ascii="宋体" w:hAnsi="宋体" w:cs="宋体"/>
                <w:b/>
                <w:color w:val="000000" w:themeColor="text1"/>
                <w:spacing w:val="-2"/>
                <w:highlight w:val="none"/>
              </w:rPr>
              <w:t xml:space="preserve">人</w:t>
            </w:r>
            <w:r>
              <w:rPr>
                <w:rFonts w:ascii="宋体" w:hAnsi="宋体" w:cs="宋体"/>
                <w:b/>
                <w:color w:val="000000" w:themeColor="text1"/>
                <w:spacing w:val="-2"/>
                <w:highlight w:val="none"/>
              </w:rPr>
              <w:t xml:space="preserve">数</w:t>
            </w:r>
            <w:r>
              <w:rPr>
                <w:color w:val="000000" w:themeColor="text1"/>
                <w:highlight w:val="none"/>
              </w:rPr>
            </w:r>
            <w:r/>
          </w:p>
        </w:tc>
        <w:tc>
          <w:tcPr>
            <w:tcMar>
              <w:left w:w="0" w:type="dxa"/>
              <w:top w:w="0" w:type="dxa"/>
              <w:right w:w="0" w:type="dxa"/>
              <w:bottom w:w="0" w:type="dxa"/>
            </w:tcMar>
            <w:tcW w:w="1542" w:type="dxa"/>
            <w:vAlign w:val="center"/>
            <w:textDirection w:val="lrTb"/>
            <w:noWrap w:val="false"/>
          </w:tcPr>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48</w:t>
            </w:r>
            <w:r>
              <w:rPr>
                <w:color w:val="000000" w:themeColor="text1"/>
                <w:highlight w:val="none"/>
              </w:rPr>
            </w:r>
            <w:r/>
          </w:p>
        </w:tc>
        <w:tc>
          <w:tcPr>
            <w:tcMar>
              <w:left w:w="0" w:type="dxa"/>
              <w:top w:w="0" w:type="dxa"/>
              <w:right w:w="0" w:type="dxa"/>
              <w:bottom w:w="0" w:type="dxa"/>
            </w:tcMar>
            <w:tcW w:w="2276" w:type="dxa"/>
            <w:vAlign w:val="center"/>
            <w:textDirection w:val="lrTb"/>
            <w:noWrap w:val="false"/>
          </w:tcPr>
          <w:p>
            <w:pPr>
              <w:pStyle w:val="861"/>
              <w:ind w:left="420" w:firstLine="480"/>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 </w:t>
            </w:r>
            <w:r>
              <w:rPr>
                <w:color w:val="000000" w:themeColor="text1"/>
                <w:highlight w:val="none"/>
              </w:rPr>
            </w:r>
            <w:r/>
          </w:p>
        </w:tc>
      </w:tr>
    </w:tbl>
    <w:p>
      <w:pPr>
        <w:pStyle w:val="861"/>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61"/>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除投标人如配备按国家规定可不缴纳社保的人员，并按要求提供证明外，</w:t>
      </w:r>
      <w:r>
        <w:rPr>
          <w:rFonts w:ascii="宋体" w:hAnsi="宋体" w:cs="宋体"/>
          <w:color w:val="000000" w:themeColor="text1"/>
          <w:sz w:val="24"/>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照国家相关法律法规，合理确定服务人员工资标准、工作时间，充分考虑法定和临时加班等因素，应该自行为服务人员办理必需的保险，有关人员伤亡及第三者责任险均应当考虑在报价因素中。</w:t>
      </w:r>
      <w:r>
        <w:rPr>
          <w:color w:val="000000" w:themeColor="text1"/>
          <w:highlight w:val="none"/>
        </w:rPr>
      </w:r>
      <w:r/>
    </w:p>
    <w:p>
      <w:pPr>
        <w:pStyle w:val="861"/>
        <w:ind w:firstLine="480"/>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t xml:space="preserve">中标人员工的用餐、住宿、交通、通信等由中标人自行解决。</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5.2其他要求</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（1）进驻的物业公司人员，要求统一着装，干净、整洁，应根据不同的工种配发工服和工号牌，仪容仪表要符合规定标准，讲究礼仪、仪表，态度热情，服务到位，发型要统一；</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（2）在进驻前应向院方提供所有工作人员的个人身份证供查验，并将复印件备案；</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）男员工不准留胡须、蓄长发；女员工不准浓妆艳抹或佩戴过分的饰物，头发染色不能过艳。所有员工白天工作时间不能着大衣和背心或袒胸、露怀工作； </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）不准带朋友或亲戚进入工作场所，不准在业主办公区域内抽烟、吃零食、闲谈和干私活等，工作中使用语言要文明，举止要大方；</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）在业主临时召开的大型会议、接待等公务活动时，如上述岗位原配置的人数不能满足需要，物业公司应随时从其公司内抽调具备相应服务能力和素质的人员加强力量，以保证正常业务的开展；</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）中标单位必须按照国家及无锡市的有关规定给上述人员支付工资和缴纳正常的社会保险等。</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5.3安全生产</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推进物业服务融入治理体系；开展宣传教育，巩固群防群控严密防线；做好环境卫生管理及消杀、生活垃圾清运。</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须建立以</w:t>
      </w:r>
      <w:r>
        <w:rPr>
          <w:rFonts w:hint="eastAsia" w:ascii="宋体" w:hAnsi="宋体" w:cs="宋体"/>
          <w:color w:val="000000" w:themeColor="text1"/>
          <w:sz w:val="24"/>
          <w:highlight w:val="none"/>
        </w:rPr>
        <w:t xml:space="preserve">项目经理</w:t>
      </w:r>
      <w:r>
        <w:rPr>
          <w:rFonts w:ascii="宋体" w:hAnsi="宋体" w:cs="宋体"/>
          <w:color w:val="000000" w:themeColor="text1"/>
          <w:sz w:val="24"/>
          <w:highlight w:val="none"/>
        </w:rPr>
        <w:t xml:space="preserve">为组长的物业公司安全生产领导小组，协调开展物业管理区域设施设备及公共空间等相关的安全生产管理工作，并指定安全生产管理负责人负责具体工作的落实。在</w:t>
      </w:r>
      <w:r>
        <w:rPr>
          <w:rFonts w:hint="eastAsia" w:ascii="宋体" w:hAnsi="宋体" w:cs="宋体"/>
          <w:color w:val="000000" w:themeColor="text1"/>
          <w:sz w:val="24"/>
          <w:highlight w:val="none"/>
        </w:rPr>
        <w:t xml:space="preserve">采购人</w:t>
      </w:r>
      <w:r>
        <w:rPr>
          <w:rFonts w:ascii="宋体" w:hAnsi="宋体" w:cs="宋体"/>
          <w:color w:val="000000" w:themeColor="text1"/>
          <w:sz w:val="24"/>
          <w:highlight w:val="none"/>
        </w:rPr>
        <w:t xml:space="preserve">的监督和管理下，全面负责物业管理区域设施设备及公共空间的安全管理以及管理区域和服务范畴的安全生产管理工作。</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对本院办公区及其他公共区域的辅助用房、楼宇内的空房源的安全管理，定期开展安全检查、如实记录存在隐患台账并采取措施进行整改；对大楼的用电安全的检查及管理；对外来人员及外来施工人员的安全管理；对办公楼内的各类施工全过程的现场监管及安全管理；配合招标方定期对设备用房进行安全检查和各项安全生产管理工作，记录到工作台账内。</w:t>
      </w:r>
      <w:r>
        <w:rPr>
          <w:color w:val="000000" w:themeColor="text1"/>
          <w:highlight w:val="none"/>
        </w:rPr>
      </w:r>
      <w:r/>
    </w:p>
    <w:p>
      <w:pPr>
        <w:pStyle w:val="873"/>
        <w:rPr>
          <w:rFonts w:hint="eastAsia" w:ascii="宋体" w:hAnsi="宋体" w:cs="宋体"/>
          <w:b/>
          <w:color w:val="000000" w:themeColor="text1"/>
          <w:sz w:val="21"/>
          <w:highlight w:val="none"/>
        </w:rPr>
      </w:pPr>
      <w:r>
        <w:rPr>
          <w:rFonts w:hint="eastAsia" w:ascii="宋体" w:hAnsi="宋体" w:cs="宋体"/>
          <w:b/>
          <w:color w:val="000000" w:themeColor="text1"/>
          <w:sz w:val="21"/>
          <w:highlight w:val="none"/>
        </w:rPr>
      </w:r>
      <w:r>
        <w:rPr>
          <w:color w:val="000000" w:themeColor="text1"/>
          <w:highlight w:val="none"/>
        </w:rPr>
      </w:r>
      <w:r/>
    </w:p>
    <w:p>
      <w:pPr>
        <w:pStyle w:val="861"/>
        <w:rPr>
          <w:rFonts w:hint="eastAsia" w:ascii="仿宋" w:hAnsi="仿宋" w:eastAsia="仿宋" w:cs="仿宋"/>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6.</w:t>
      </w:r>
      <w:r>
        <w:rPr>
          <w:rFonts w:hint="eastAsia" w:ascii="仿宋" w:hAnsi="仿宋" w:eastAsia="仿宋" w:cs="仿宋"/>
          <w:b/>
          <w:color w:val="000000" w:themeColor="text1"/>
          <w:sz w:val="28"/>
          <w:highlight w:val="none"/>
        </w:rPr>
        <w:t xml:space="preserve">履约验收要求</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6.1履约验收主体：</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采购方无锡市中级人民法院</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6.2履约验收时间：</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考核自合同签订之日起至合同终止日止，乙方（履约方）完成全部履约内容后，需向甲方（采购方）提交书面验收申请及完整的验收资料，验收资料包括但不限于履约报告、成果文件、质量证明、费用结算资料等</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6.3履约验收方式：</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成果验证：通过台账核查、问卷回访、试运行评估等，验证服务流程、时效及满意度达标情况。</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6.4履约验收程序：</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 现场验收实施：小组按方案核查保洁、设施维护等服务，填写记录表，现场反馈问题并由乙方签字确认。</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 问题整改与复核：乙方按要求整改服务短板，甲方联合业主代表复核，仍不合格则追究违约责任。</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 出具验收报告：验收合格后出具报告，双方各执一份作为结算依据，结果向业主公示2个工作日。</w:t>
      </w:r>
      <w:r>
        <w:rPr>
          <w:color w:val="000000" w:themeColor="text1"/>
          <w:highlight w:val="none"/>
        </w:rPr>
      </w:r>
      <w:r/>
    </w:p>
    <w:p>
      <w:pPr>
        <w:pStyle w:val="861"/>
        <w:ind w:firstLine="24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 验收归档：甲方整理验收报告、服务台账等文件归档，供业主查询及后续核查。</w:t>
      </w:r>
      <w:r>
        <w:rPr>
          <w:color w:val="000000" w:themeColor="text1"/>
          <w:highlight w:val="none"/>
        </w:rPr>
      </w:r>
      <w:r/>
    </w:p>
    <w:p>
      <w:pPr>
        <w:pStyle w:val="861"/>
        <w:ind w:firstLine="240"/>
        <w:spacing w:line="360" w:lineRule="auto"/>
        <w:rPr>
          <w:color w:val="000000" w:themeColor="text1"/>
          <w:highlight w:val="none"/>
        </w:rPr>
      </w:pPr>
      <w:r>
        <w:rPr>
          <w:rFonts w:hint="eastAsia" w:ascii="宋体" w:hAnsi="宋体"/>
          <w:color w:val="000000" w:themeColor="text1"/>
          <w:sz w:val="24"/>
          <w:szCs w:val="24"/>
          <w:highlight w:val="none"/>
        </w:rPr>
        <w:t xml:space="preserve">6.5履约验收内容和标准：详见《物业管理服务质量月度考核表》</w:t>
      </w:r>
      <w:r>
        <w:rPr>
          <w:color w:val="000000" w:themeColor="text1"/>
          <w:highlight w:val="none"/>
        </w:rPr>
      </w:r>
      <w:r/>
    </w:p>
    <w:p>
      <w:pPr>
        <w:pStyle w:val="861"/>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物业管理服务质量</w:t>
      </w:r>
      <w:r>
        <w:rPr>
          <w:rFonts w:hint="eastAsia" w:ascii="宋体" w:hAnsi="宋体" w:cs="宋体"/>
          <w:b/>
          <w:color w:val="000000" w:themeColor="text1"/>
          <w:highlight w:val="none"/>
        </w:rPr>
        <w:t xml:space="preserve">月度</w:t>
      </w:r>
      <w:r>
        <w:rPr>
          <w:rFonts w:ascii="宋体" w:hAnsi="宋体" w:cs="宋体"/>
          <w:b/>
          <w:color w:val="000000" w:themeColor="text1"/>
          <w:highlight w:val="none"/>
        </w:rPr>
        <w:t xml:space="preserve">考核表</w:t>
      </w:r>
      <w:r>
        <w:rPr>
          <w:color w:val="000000" w:themeColor="text1"/>
          <w:highlight w:val="none"/>
        </w:rPr>
      </w:r>
      <w:r/>
    </w:p>
    <w:p>
      <w:pPr>
        <w:pStyle w:val="861"/>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w:t>
      </w:r>
      <w:r>
        <w:rPr>
          <w:rFonts w:ascii="Calibri" w:hAnsi="Calibri" w:eastAsia="Calibri" w:cs="Calibri"/>
          <w:color w:val="000000" w:themeColor="text1"/>
          <w:highlight w:val="none"/>
        </w:rPr>
        <w:t xml:space="preserve">1</w:t>
      </w:r>
      <w:r>
        <w:rPr>
          <w:rFonts w:ascii="宋体" w:hAnsi="宋体" w:cs="宋体"/>
          <w:color w:val="000000" w:themeColor="text1"/>
          <w:highlight w:val="none"/>
        </w:rPr>
        <w:t xml:space="preserve">）考核内容</w:t>
      </w:r>
      <w:r>
        <w:rPr>
          <w:color w:val="000000" w:themeColor="text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9"/>
        <w:gridCol w:w="975"/>
      </w:tblGrid>
      <w:tr>
        <w:trPr>
          <w:trHeight w:val="97"/>
        </w:trPr>
        <w:tc>
          <w:tcPr>
            <w:shd w:val="clear" w:color="bfbfbf" w:fill="bfbfbf"/>
            <w:tcMar>
              <w:left w:w="108" w:type="dxa"/>
              <w:top w:w="0" w:type="dxa"/>
              <w:right w:w="108" w:type="dxa"/>
              <w:bottom w:w="0" w:type="dxa"/>
            </w:tcMar>
            <w:tcW w:w="7489" w:type="dxa"/>
            <w:vAlign w:val="bottom"/>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质量考核内容</w:t>
            </w:r>
            <w:r>
              <w:rPr>
                <w:color w:val="000000" w:themeColor="text1"/>
                <w:highlight w:val="none"/>
              </w:rPr>
            </w:r>
            <w:r/>
          </w:p>
        </w:tc>
        <w:tc>
          <w:tcPr>
            <w:shd w:val="clear" w:color="bfbfbf" w:fill="bfbfbf"/>
            <w:tcMar>
              <w:left w:w="108" w:type="dxa"/>
              <w:top w:w="0" w:type="dxa"/>
              <w:right w:w="108" w:type="dxa"/>
              <w:bottom w:w="0" w:type="dxa"/>
            </w:tcMar>
            <w:tcW w:w="975" w:type="dxa"/>
            <w:vAlign w:val="bottom"/>
            <w:textDirection w:val="lrTb"/>
            <w:noWrap w:val="false"/>
          </w:tcPr>
          <w:p>
            <w:pPr>
              <w:pStyle w:val="861"/>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总分</w:t>
            </w:r>
            <w:r>
              <w:rPr>
                <w:color w:val="000000" w:themeColor="text1"/>
                <w:highlight w:val="none"/>
              </w:rPr>
            </w:r>
            <w:r/>
          </w:p>
        </w:tc>
      </w:tr>
      <w:tr>
        <w:trPr/>
        <w:tc>
          <w:tcPr>
            <w:tcMar>
              <w:left w:w="108" w:type="dxa"/>
              <w:top w:w="0" w:type="dxa"/>
              <w:right w:w="108" w:type="dxa"/>
              <w:bottom w:w="0" w:type="dxa"/>
            </w:tcMar>
            <w:tcW w:w="7489" w:type="dxa"/>
            <w:vAlign w:val="center"/>
            <w:textDirection w:val="lrTb"/>
            <w:noWrap w:val="false"/>
          </w:tcPr>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严格按要求对责任区域进行卫生保洁、垃圾清运，做到垃圾日产日清</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及时制止有损环境卫生和违反管理制度的行为</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发现可疑人员或异常情况及时汇报上级领导</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遵守工作纪律、劳动时间，爱护公物</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负责个人使用的清洁工具、用品的维护、保管</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单位门口无久积落叶，无白色垃圾，无烟头，无明显泥沙污垢和积水</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绿化带无大片树叶，纸屑，垃圾等杂物</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楼道、楼梯、楼梯扶手无明显灰尘及杂物，壁面、顶面无蛛网、积尘，无乱张贴</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每月检查清理一次露天平台排水沟，保持雨水排泄畅通</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下雨天及时清理楼道口、楼梯、主干道积水</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台盆镜面整洁，无积水，洗手液及纸巾摆放整齐</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大小便池无明显异味，不堵塞，保持干净</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垃圾桶身无污渍，周围无散落垃圾</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物业服务人员制服应干净，整齐，扣好纽扣，不得敞开、卷起袖管及裤管</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无迟到早退，不无故旷工</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保安严格做好</w:t>
            </w:r>
            <w:r>
              <w:rPr>
                <w:rFonts w:ascii="Calibri" w:hAnsi="Calibri" w:eastAsia="Calibri" w:cs="Calibri"/>
                <w:color w:val="000000" w:themeColor="text1"/>
                <w:highlight w:val="none"/>
              </w:rPr>
              <w:t xml:space="preserve">24</w:t>
            </w:r>
            <w:r>
              <w:rPr>
                <w:rFonts w:ascii="宋体" w:hAnsi="宋体" w:cs="宋体"/>
                <w:color w:val="000000" w:themeColor="text1"/>
                <w:highlight w:val="none"/>
              </w:rPr>
              <w:t xml:space="preserve">小时门卫秩序，做好来访登记，车辆管理工作</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配电房做好</w:t>
            </w:r>
            <w:r>
              <w:rPr>
                <w:rFonts w:ascii="Calibri" w:hAnsi="Calibri" w:eastAsia="Calibri" w:cs="Calibri"/>
                <w:color w:val="000000" w:themeColor="text1"/>
                <w:highlight w:val="none"/>
              </w:rPr>
              <w:t xml:space="preserve">24</w:t>
            </w:r>
            <w:r>
              <w:rPr>
                <w:rFonts w:ascii="宋体" w:hAnsi="宋体" w:cs="宋体"/>
                <w:color w:val="000000" w:themeColor="text1"/>
                <w:highlight w:val="none"/>
              </w:rPr>
              <w:t xml:space="preserve">小时值守、巡查与登记工作</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及时做好服务范围内的工程维修</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每月做好洗烫登记、收交等手续，按衣物类别要求熨烫</w:t>
            </w:r>
            <w:r>
              <w:rPr>
                <w:color w:val="000000" w:themeColor="text1"/>
                <w:highlight w:val="none"/>
              </w:rPr>
            </w:r>
            <w:r/>
          </w:p>
          <w:p>
            <w:pPr>
              <w:pStyle w:val="861"/>
              <w:numPr>
                <w:ilvl w:val="0"/>
                <w:numId w:val="0"/>
              </w:numPr>
              <w:spacing w:line="85" w:lineRule="atLeast"/>
              <w:tabs>
                <w:tab w:val="left" w:pos="68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理发按照顾客要求及专业标准进行操作</w:t>
            </w:r>
            <w:r>
              <w:rPr>
                <w:color w:val="000000" w:themeColor="text1"/>
                <w:highlight w:val="none"/>
              </w:rPr>
            </w:r>
            <w:r/>
          </w:p>
        </w:tc>
        <w:tc>
          <w:tcPr>
            <w:tcMar>
              <w:left w:w="108" w:type="dxa"/>
              <w:top w:w="0" w:type="dxa"/>
              <w:right w:w="108" w:type="dxa"/>
              <w:bottom w:w="0" w:type="dxa"/>
            </w:tcMar>
            <w:tcW w:w="975" w:type="dxa"/>
            <w:vAlign w:val="center"/>
            <w:textDirection w:val="lrTb"/>
            <w:noWrap w:val="false"/>
          </w:tcPr>
          <w:p>
            <w:pPr>
              <w:pStyle w:val="86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100</w:t>
            </w:r>
            <w:r>
              <w:rPr>
                <w:rFonts w:ascii="宋体" w:hAnsi="宋体" w:cs="宋体"/>
                <w:color w:val="000000" w:themeColor="text1"/>
                <w:highlight w:val="none"/>
              </w:rPr>
              <w:t xml:space="preserve">（每项满分</w:t>
            </w:r>
            <w:r>
              <w:rPr>
                <w:rFonts w:ascii="Calibri" w:hAnsi="Calibri" w:eastAsia="Calibri" w:cs="Calibri"/>
                <w:color w:val="000000" w:themeColor="text1"/>
                <w:highlight w:val="none"/>
              </w:rPr>
              <w:t xml:space="preserve">5</w:t>
            </w:r>
            <w:r>
              <w:rPr>
                <w:rFonts w:ascii="宋体" w:hAnsi="宋体" w:cs="宋体"/>
                <w:color w:val="000000" w:themeColor="text1"/>
                <w:highlight w:val="none"/>
              </w:rPr>
              <w:t xml:space="preserve">分）</w:t>
            </w:r>
            <w:r>
              <w:rPr>
                <w:color w:val="000000" w:themeColor="text1"/>
                <w:highlight w:val="none"/>
              </w:rPr>
            </w:r>
            <w:r/>
          </w:p>
        </w:tc>
      </w:tr>
    </w:tbl>
    <w:p>
      <w:pPr>
        <w:pStyle w:val="861"/>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p>
      <w:pPr>
        <w:pStyle w:val="861"/>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（2）其他管理服务</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①物业管理服务应达到的各项指标：</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A.杜绝火灾责任事故，杜绝刑事案件，杜绝安全事故；</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B.特殊岗位上岗证持有率100%；</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C.环境卫生、清洁率达99%；</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D.智能化系统运行正常率99%；</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E.维修、报修及时率100%，返修率小于1%；</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F.服务有效投诉少于1%，处理率100%；</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G.满意率95%以上。</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②有关说明：</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.所有人员遵守相关保密工作制度。</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.人员变动备案：物业服务人员保持相对稳定，特殊情况有变化，提前告知采购单位，并征得采购单位同意后实施，</w:t>
      </w:r>
      <w:r>
        <w:rPr>
          <w:rFonts w:hint="eastAsia" w:ascii="宋体" w:hAnsi="宋体" w:cs="宋体"/>
          <w:color w:val="000000" w:themeColor="text1"/>
          <w:sz w:val="24"/>
          <w:highlight w:val="none"/>
        </w:rPr>
        <w:t xml:space="preserve">涉及本项目评分项的相关岗位人员，变更后的人员资质水平不得低于投标时响应的人员配备情况。</w:t>
      </w:r>
      <w:r>
        <w:rPr>
          <w:rFonts w:ascii="宋体" w:hAnsi="宋体" w:cs="宋体"/>
          <w:color w:val="000000" w:themeColor="text1"/>
          <w:sz w:val="24"/>
          <w:highlight w:val="none"/>
        </w:rPr>
        <w:t xml:space="preserve">人员到位相互对接时间不少于一周，新到人员档案信息及时备案至采购单位。</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.管理服务人员上岗时统一着装，服装样式体现岗位特色和方便不同岗位操作，并经采购单位认可。</w:t>
      </w:r>
      <w:r>
        <w:rPr>
          <w:color w:val="000000" w:themeColor="text1"/>
          <w:highlight w:val="none"/>
        </w:rPr>
      </w:r>
      <w:r/>
    </w:p>
    <w:p>
      <w:pPr>
        <w:pStyle w:val="861"/>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.物业管理执行国务院《物业管理条例》《江苏省物业管理条例》等，</w:t>
      </w:r>
      <w:r>
        <w:rPr>
          <w:rFonts w:hint="eastAsia" w:ascii="宋体" w:hAnsi="宋体" w:cs="宋体"/>
          <w:color w:val="000000" w:themeColor="text1"/>
          <w:sz w:val="24"/>
          <w:highlight w:val="none"/>
        </w:rPr>
        <w:t xml:space="preserve">中标方要严格履行投标文件的承诺和与采购方签订的物业管理合同的约定，如发现管理服务达不到规定要求，中标方管理服务水平下降，投诉多等现象或管理服务中发生重大失误的，如中标供应商累计二次考核低于85分（不含）或一次考核低于60分，采购人有权依法追究其违约责任，中标供应商需承担相应的责任。</w:t>
      </w:r>
      <w:r>
        <w:rPr>
          <w:rFonts w:ascii="Calibri" w:hAnsi="Calibri" w:eastAsia="Calibri" w:cs="Calibri"/>
          <w:color w:val="000000" w:themeColor="text1"/>
          <w:sz w:val="24"/>
          <w:highlight w:val="none"/>
        </w:rPr>
        <w:t xml:space="preserve"> </w:t>
      </w:r>
      <w:r>
        <w:rPr>
          <w:color w:val="000000" w:themeColor="text1"/>
          <w:highlight w:val="none"/>
        </w:rPr>
      </w: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61"/>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6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61"/>
        <w:ind w:firstLine="0"/>
        <w:spacing w:line="360" w:lineRule="auto"/>
        <w:rPr>
          <w:rFonts w:ascii="宋体" w:hAnsi="宋体"/>
          <w:b/>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第二部分  有关说明</w:t>
      </w:r>
      <w:r>
        <w:rPr>
          <w:color w:val="000000" w:themeColor="text1"/>
          <w:highlight w:val="none"/>
        </w:rPr>
      </w:r>
      <w:r/>
    </w:p>
    <w:p>
      <w:pPr>
        <w:pStyle w:val="861"/>
        <w:numPr>
          <w:ilvl w:val="1"/>
          <w:numId w:val="0"/>
        </w:numPr>
        <w:ind w:left="0" w:firstLine="480"/>
        <w:spacing w:line="360" w:lineRule="auto"/>
        <w:tabs>
          <w:tab w:val="left" w:pos="780" w:leader="none"/>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投标人报价时应充分考虑服务期内所有可能影响到报价的因素，包括最低工资标准及社保基数的政策性调整、一旦投标结束最终中标，总价固定，不予调整。</w:t>
      </w:r>
      <w:r>
        <w:rPr>
          <w:color w:val="000000" w:themeColor="text1"/>
          <w:highlight w:val="none"/>
        </w:rPr>
      </w:r>
      <w:r/>
    </w:p>
    <w:p>
      <w:pPr>
        <w:pStyle w:val="861"/>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rPr>
          <w:color w:val="000000" w:themeColor="text1"/>
          <w:highlight w:val="none"/>
        </w:rPr>
      </w:r>
      <w:r/>
    </w:p>
    <w:p>
      <w:pPr>
        <w:pStyle w:val="861"/>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rPr>
          <w:color w:val="000000" w:themeColor="text1"/>
          <w:highlight w:val="none"/>
        </w:rPr>
      </w:r>
      <w:r/>
    </w:p>
    <w:p>
      <w:pPr>
        <w:pStyle w:val="861"/>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rPr>
          <w:color w:val="000000" w:themeColor="text1"/>
          <w:highlight w:val="none"/>
        </w:rPr>
      </w: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服务期限：</w:t>
      </w:r>
      <w:r>
        <w:rPr>
          <w:rFonts w:hint="eastAsia" w:ascii="宋体" w:hAnsi="宋体"/>
          <w:bCs/>
          <w:color w:val="000000" w:themeColor="text1"/>
          <w:sz w:val="24"/>
          <w:szCs w:val="24"/>
          <w:highlight w:val="none"/>
        </w:rPr>
        <w:t xml:space="preserve">自合同签订生效之日起一年。</w:t>
      </w:r>
      <w:r>
        <w:rPr>
          <w:color w:val="000000" w:themeColor="text1"/>
          <w:highlight w:val="none"/>
        </w:rPr>
      </w: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付款方式：按月支付服务费。</w:t>
      </w:r>
      <w:r>
        <w:rPr>
          <w:color w:val="000000" w:themeColor="text1"/>
          <w:highlight w:val="none"/>
        </w:rPr>
      </w: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color w:val="000000" w:themeColor="text1"/>
          <w:highlight w:val="none"/>
        </w:rPr>
      </w: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highlight w:val="none"/>
        </w:rPr>
      </w: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861"/>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000000" w:themeColor="text1"/>
          <w:highlight w:val="none"/>
        </w:rPr>
      </w:r>
      <w:r/>
    </w:p>
    <w:p>
      <w:pPr>
        <w:pStyle w:val="861"/>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color w:val="000000" w:themeColor="text1"/>
          <w:highlight w:val="none"/>
        </w:rPr>
      </w:r>
      <w:r/>
    </w:p>
    <w:p>
      <w:pPr>
        <w:pStyle w:val="861"/>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r/>
    </w:p>
    <w:p>
      <w:pPr>
        <w:pStyle w:val="861"/>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r/>
    </w:p>
    <w:p>
      <w:pPr>
        <w:pStyle w:val="861"/>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pStyle w:val="861"/>
        <w:numPr>
          <w:ilvl w:val="1"/>
          <w:numId w:val="0"/>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color w:val="000000" w:themeColor="text1"/>
          <w:highlight w:val="none"/>
        </w:rPr>
      </w:r>
      <w:r/>
    </w:p>
    <w:p>
      <w:pPr>
        <w:pStyle w:val="861"/>
        <w:numPr>
          <w:ilvl w:val="1"/>
          <w:numId w:val="0"/>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color w:val="000000" w:themeColor="text1"/>
          <w:highlight w:val="none"/>
        </w:rPr>
      </w:r>
      <w:r/>
    </w:p>
    <w:p>
      <w:pPr>
        <w:pStyle w:val="861"/>
        <w:numPr>
          <w:ilvl w:val="1"/>
          <w:numId w:val="0"/>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61"/>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rPr>
          <w:color w:val="000000" w:themeColor="text1"/>
          <w:highlight w:val="none"/>
        </w:rPr>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11.</w:t>
      </w: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r/>
    </w:p>
    <w:p>
      <w:pPr>
        <w:pStyle w:val="86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w:t>
      </w: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color w:val="000000" w:themeColor="text1"/>
          <w:highlight w:val="none"/>
        </w:rPr>
      </w:r>
      <w:r/>
    </w:p>
    <w:p>
      <w:pPr>
        <w:pStyle w:val="86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color w:val="000000" w:themeColor="text1"/>
          <w:highlight w:val="none"/>
        </w:rPr>
      </w:r>
      <w:r/>
    </w:p>
    <w:p>
      <w:pPr>
        <w:pStyle w:val="951"/>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color w:val="000000" w:themeColor="text1"/>
          <w:highlight w:val="none"/>
        </w:rPr>
      </w:r>
      <w:r/>
    </w:p>
    <w:p>
      <w:pPr>
        <w:pStyle w:val="951"/>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color w:val="000000" w:themeColor="text1"/>
          <w:highlight w:val="none"/>
        </w:rPr>
      </w:r>
      <w:r/>
    </w:p>
    <w:p>
      <w:pPr>
        <w:pStyle w:val="951"/>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color w:val="000000" w:themeColor="text1"/>
          <w:highlight w:val="none"/>
        </w:rPr>
      </w:r>
      <w:r/>
    </w:p>
    <w:p>
      <w:pPr>
        <w:pStyle w:val="951"/>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color w:val="000000" w:themeColor="text1"/>
          <w:highlight w:val="none"/>
        </w:rPr>
      </w:r>
      <w:r/>
    </w:p>
    <w:p>
      <w:pPr>
        <w:pStyle w:val="951"/>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r>
      <w:r/>
    </w:p>
    <w:p>
      <w:pPr>
        <w:pStyle w:val="951"/>
        <w:spacing w:before="0" w:after="0" w:line="500" w:lineRule="exact"/>
        <w:rPr>
          <w:rFonts w:hint="eastAsia" w:cs="Arial"/>
          <w:b/>
          <w:bCs/>
          <w:color w:val="000000" w:themeColor="text1"/>
          <w:sz w:val="30"/>
          <w:szCs w:val="30"/>
          <w:highlight w:val="none"/>
        </w:rPr>
      </w:pPr>
      <w:r>
        <w:rPr>
          <w:rFonts w:hint="eastAsia" w:cs="Arial"/>
          <w:b/>
          <w:color w:val="000000" w:themeColor="text1"/>
          <w:sz w:val="30"/>
          <w:szCs w:val="30"/>
          <w:highlight w:val="none"/>
        </w:rPr>
      </w:r>
      <w:r>
        <w:rPr>
          <w:rFonts w:hint="eastAsia" w:cs="Arial"/>
          <w:b/>
          <w:color w:val="000000" w:themeColor="text1"/>
          <w:sz w:val="30"/>
          <w:szCs w:val="30"/>
          <w:highlight w:val="none"/>
        </w:rPr>
        <w:t xml:space="preserve">第二部分  评标标准</w:t>
      </w:r>
      <w:r>
        <w:rPr>
          <w:rFonts w:hint="eastAsia" w:cs="Arial"/>
          <w:b/>
          <w:bCs/>
          <w:color w:val="000000" w:themeColor="text1"/>
          <w:sz w:val="30"/>
          <w:szCs w:val="30"/>
          <w:highlight w:val="none"/>
        </w:rPr>
      </w:r>
      <w:r/>
    </w:p>
    <w:p>
      <w:pPr>
        <w:pStyle w:val="951"/>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color w:val="000000" w:themeColor="text1"/>
          <w:highlight w:val="none"/>
        </w:rPr>
      </w:r>
      <w:r/>
    </w:p>
    <w:p>
      <w:pPr>
        <w:pStyle w:val="861"/>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w:t>
      </w:r>
      <w:r>
        <w:rPr>
          <w:rFonts w:hint="eastAsia" w:ascii="宋体" w:hAnsi="宋体"/>
          <w:b/>
          <w:bCs/>
          <w:color w:val="000000" w:themeColor="text1"/>
          <w:sz w:val="24"/>
          <w:szCs w:val="24"/>
          <w:highlight w:val="none"/>
        </w:rPr>
        <w:t xml:space="preserve">本项目或采购包“落实政府采购政策需满足的资格要求”中的“中小企业政策”如为专门面向中小企业的，本项目或采购包不再享受小微型企业价格扣除政策。</w:t>
      </w:r>
      <w:r>
        <w:rPr>
          <w:color w:val="000000" w:themeColor="text1"/>
          <w:highlight w:val="none"/>
        </w:rPr>
      </w: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color w:val="000000" w:themeColor="text1"/>
          <w:highlight w:val="none"/>
        </w:rPr>
      </w: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highlight w:val="none"/>
        </w:rPr>
      </w: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r/>
    </w:p>
    <w:p>
      <w:pPr>
        <w:pStyle w:val="86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rPr>
          <w:color w:val="000000" w:themeColor="text1"/>
          <w:highlight w:val="none"/>
        </w:rPr>
      </w: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color w:val="000000" w:themeColor="text1"/>
          <w:highlight w:val="none"/>
        </w:rPr>
      </w:r>
      <w:r/>
    </w:p>
    <w:p>
      <w:pPr>
        <w:pStyle w:val="86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861"/>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861"/>
        <w:spacing w:line="500" w:lineRule="exact"/>
        <w:rPr>
          <w:rFonts w:hint="eastAsia" w:ascii="宋体" w:hAnsi="宋体"/>
          <w:b/>
          <w:bCs/>
          <w:color w:val="000000" w:themeColor="text1"/>
          <w:sz w:val="28"/>
          <w:szCs w:val="28"/>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r>
      <w:r/>
    </w:p>
    <w:p>
      <w:pPr>
        <w:spacing w:line="500" w:lineRule="exact"/>
        <w:rPr>
          <w:rFonts w:hint="eastAsia" w:ascii="宋体" w:hAnsi="宋体"/>
          <w:b/>
          <w:bCs/>
          <w:color w:val="000000" w:themeColor="text1"/>
          <w:sz w:val="28"/>
          <w:szCs w:val="28"/>
          <w:highlight w:val="none"/>
        </w:rPr>
      </w:pPr>
      <w:r>
        <w:rPr>
          <w:rFonts w:hint="eastAsia" w:ascii="宋体" w:hAnsi="宋体"/>
          <w:b/>
          <w:color w:val="000000" w:themeColor="text1"/>
          <w:sz w:val="28"/>
          <w:szCs w:val="28"/>
          <w:highlight w:val="none"/>
        </w:rPr>
        <w:t xml:space="preserve">二、评分标准</w:t>
      </w:r>
      <w:r>
        <w:rPr>
          <w:rFonts w:ascii="宋体" w:hAnsi="宋体"/>
          <w:color w:val="000000" w:themeColor="text1"/>
          <w:sz w:val="24"/>
          <w:highlight w:val="none"/>
        </w:rPr>
      </w: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价格（20分）：</w:t>
      </w:r>
      <w:r>
        <w:rPr>
          <w:color w:val="000000" w:themeColor="text1"/>
          <w:highlight w:val="none"/>
        </w:rPr>
      </w:r>
      <w:r/>
    </w:p>
    <w:p>
      <w:pPr>
        <w:pStyle w:val="861"/>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highlight w:val="none"/>
        </w:rPr>
      </w:r>
      <w:r/>
    </w:p>
    <w:p>
      <w:pPr>
        <w:pStyle w:val="861"/>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color w:val="000000" w:themeColor="text1"/>
          <w:highlight w:val="none"/>
        </w:rPr>
      </w:r>
      <w:r/>
    </w:p>
    <w:p>
      <w:pPr>
        <w:pStyle w:val="86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rPr>
          <w:color w:val="000000" w:themeColor="text1"/>
          <w:highlight w:val="none"/>
        </w:rPr>
      </w: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人员配置情况（12分）：</w:t>
      </w:r>
      <w:r>
        <w:rPr>
          <w:rFonts w:hint="eastAsia" w:ascii="宋体" w:hAnsi="宋体"/>
          <w:bCs/>
          <w:color w:val="000000" w:themeColor="text1"/>
          <w:sz w:val="24"/>
          <w:szCs w:val="24"/>
          <w:highlight w:val="none"/>
        </w:rPr>
        <w:t xml:space="preserve">考察投标人为本项目配备的重点人员配置情况，人员以填列的《项目人员配置考察表》为准（格式见附件），并按评分标准要求提供相应证明材料及表格要求提供所填人员相关证明，否则不得分。以下人员不得兼任。</w:t>
      </w:r>
      <w:r>
        <w:rPr>
          <w:color w:val="000000" w:themeColor="text1"/>
          <w:highlight w:val="none"/>
        </w:rPr>
      </w:r>
      <w:r/>
    </w:p>
    <w:p>
      <w:pPr>
        <w:pStyle w:val="86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.1项目</w:t>
      </w:r>
      <w:r>
        <w:rPr>
          <w:rFonts w:hint="eastAsia" w:ascii="宋体" w:hAnsi="宋体" w:cs="宋体"/>
          <w:color w:val="000000" w:themeColor="text1"/>
          <w:sz w:val="24"/>
          <w:highlight w:val="none"/>
        </w:rPr>
        <w:t xml:space="preserve">经理</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拟派项目经理具有</w:t>
      </w:r>
      <w:r>
        <w:rPr>
          <w:rFonts w:hint="eastAsia" w:ascii="宋体" w:hAnsi="宋体" w:cs="宋体"/>
          <w:color w:val="000000" w:themeColor="text1"/>
          <w:sz w:val="24"/>
          <w:szCs w:val="24"/>
          <w:highlight w:val="none"/>
        </w:rPr>
        <w:t xml:space="preserve">本科（含）及</w:t>
      </w:r>
      <w:r>
        <w:rPr>
          <w:rFonts w:hint="eastAsia" w:ascii="宋体" w:hAnsi="宋体"/>
          <w:bCs/>
          <w:color w:val="000000" w:themeColor="text1"/>
          <w:sz w:val="24"/>
          <w:szCs w:val="24"/>
          <w:highlight w:val="none"/>
        </w:rPr>
        <w:t xml:space="preserve">以上学历的得1分，</w:t>
      </w:r>
      <w:r>
        <w:rPr>
          <w:rFonts w:hint="eastAsia" w:ascii="宋体" w:hAnsi="宋体"/>
          <w:bCs/>
          <w:color w:val="000000" w:themeColor="text1"/>
          <w:sz w:val="24"/>
          <w:highlight w:val="none"/>
        </w:rPr>
        <w:t xml:space="preserve">需提供有效的学历证书扫描件，否则不得分。</w:t>
      </w:r>
      <w:r>
        <w:rPr>
          <w:rFonts w:hint="eastAsia" w:ascii="宋体" w:hAnsi="宋体" w:cs="宋体"/>
          <w:color w:val="000000" w:themeColor="text1"/>
          <w:sz w:val="24"/>
          <w:highlight w:val="none"/>
        </w:rPr>
        <w:t xml:space="preserve">具有有效的物业管理师三级/高级工及以上职业资格证书（技能等级证书）的</w:t>
      </w:r>
      <w:r>
        <w:rPr>
          <w:rFonts w:ascii="宋体" w:hAnsi="宋体" w:cs="宋体"/>
          <w:color w:val="000000" w:themeColor="text1"/>
          <w:sz w:val="24"/>
          <w:highlight w:val="none"/>
        </w:rPr>
        <w:t xml:space="preserve">得1分；</w:t>
      </w:r>
      <w:r>
        <w:rPr>
          <w:rFonts w:hint="eastAsia" w:ascii="宋体" w:hAnsi="宋体"/>
          <w:color w:val="000000" w:themeColor="text1"/>
          <w:sz w:val="24"/>
          <w:highlight w:val="none"/>
        </w:rPr>
        <w:t xml:space="preserve">具有</w:t>
      </w:r>
      <w:r>
        <w:rPr>
          <w:rFonts w:hint="eastAsia" w:ascii="宋体" w:hAnsi="宋体"/>
          <w:bCs/>
          <w:color w:val="000000" w:themeColor="text1"/>
          <w:sz w:val="24"/>
          <w:szCs w:val="24"/>
          <w:highlight w:val="none"/>
        </w:rPr>
        <w:t xml:space="preserve">有效的特种作业操作证（作业类别：高处作业）的</w:t>
      </w:r>
      <w:r>
        <w:rPr>
          <w:rFonts w:hint="eastAsia" w:ascii="宋体" w:hAnsi="宋体"/>
          <w:color w:val="000000" w:themeColor="text1"/>
          <w:sz w:val="24"/>
          <w:highlight w:val="none"/>
        </w:rPr>
        <w:t xml:space="preserve">得1分</w:t>
      </w:r>
      <w:r>
        <w:rPr>
          <w:rFonts w:ascii="宋体" w:hAnsi="宋体" w:cs="宋体"/>
          <w:color w:val="000000" w:themeColor="text1"/>
          <w:sz w:val="24"/>
          <w:highlight w:val="none"/>
        </w:rPr>
        <w:t xml:space="preserve">，</w:t>
      </w:r>
      <w:r>
        <w:rPr>
          <w:rFonts w:hint="eastAsia" w:ascii="宋体" w:cs="宋体"/>
          <w:color w:val="000000" w:themeColor="text1"/>
          <w:sz w:val="24"/>
          <w:highlight w:val="none"/>
        </w:rPr>
        <w:t xml:space="preserve">具有有效的智能楼宇管理员四级/中级工及以上职业资格证书（技能等级证书）得1分，</w:t>
      </w:r>
      <w:r>
        <w:rPr>
          <w:rFonts w:hint="eastAsia" w:ascii="宋体" w:hAnsi="宋体" w:cs="宋体"/>
          <w:color w:val="000000" w:themeColor="text1"/>
          <w:sz w:val="24"/>
          <w:highlight w:val="none"/>
        </w:rPr>
        <w:t xml:space="preserve">需提供有效的证书扫描件，否则不得分。</w:t>
      </w:r>
      <w:r>
        <w:rPr>
          <w:rFonts w:ascii="宋体" w:hAnsi="宋体" w:cs="宋体"/>
          <w:color w:val="000000" w:themeColor="text1"/>
          <w:sz w:val="24"/>
          <w:highlight w:val="none"/>
        </w:rPr>
        <w:t xml:space="preserve">本项最高得</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分。</w:t>
      </w:r>
      <w:r>
        <w:rPr>
          <w:color w:val="000000" w:themeColor="text1"/>
          <w:highlight w:val="none"/>
        </w:rPr>
      </w:r>
      <w:r/>
    </w:p>
    <w:p>
      <w:pPr>
        <w:pStyle w:val="861"/>
        <w:ind w:firstLine="480"/>
        <w:spacing w:line="499" w:lineRule="atLeast"/>
        <w:tabs>
          <w:tab w:val="left" w:pos="945" w:leader="none"/>
          <w:tab w:val="left" w:pos="1155" w:leader="none"/>
        </w:tabs>
        <w:rPr>
          <w:rFonts w:hint="eastAsia" w:ascii="宋体" w:hAnsi="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.2工程主管（</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具有有效的</w:t>
      </w:r>
      <w:r>
        <w:rPr>
          <w:rFonts w:hint="eastAsia" w:ascii="宋体" w:hAnsi="宋体"/>
          <w:color w:val="000000" w:themeColor="text1"/>
          <w:sz w:val="24"/>
          <w:highlight w:val="none"/>
        </w:rPr>
        <w:t xml:space="preserve">电工职业资格证书三级/高级工（含）及以上</w:t>
      </w:r>
      <w:r>
        <w:rPr>
          <w:rFonts w:hint="eastAsia" w:ascii="宋体" w:hAnsi="宋体" w:cs="宋体"/>
          <w:color w:val="000000" w:themeColor="text1"/>
          <w:sz w:val="24"/>
          <w:highlight w:val="none"/>
        </w:rPr>
        <w:t xml:space="preserve">的得1分，</w:t>
      </w:r>
      <w:r>
        <w:rPr>
          <w:rFonts w:hint="eastAsia" w:ascii="宋体" w:cs="宋体"/>
          <w:color w:val="000000" w:themeColor="text1"/>
          <w:sz w:val="24"/>
          <w:highlight w:val="none"/>
        </w:rPr>
        <w:t xml:space="preserve">具有有效的智能楼宇管理员四级/中级工及以上职业资格证书（技能等级证书）得1分，</w:t>
      </w:r>
      <w:r>
        <w:rPr>
          <w:rFonts w:hint="eastAsia" w:ascii="宋体" w:hAnsi="宋体"/>
          <w:color w:val="000000" w:themeColor="text1"/>
          <w:sz w:val="24"/>
          <w:highlight w:val="none"/>
        </w:rPr>
        <w:t xml:space="preserve">具有</w:t>
      </w:r>
      <w:r>
        <w:rPr>
          <w:rFonts w:hint="eastAsia" w:ascii="宋体" w:hAnsi="宋体"/>
          <w:bCs/>
          <w:color w:val="000000" w:themeColor="text1"/>
          <w:sz w:val="24"/>
          <w:szCs w:val="24"/>
          <w:highlight w:val="none"/>
        </w:rPr>
        <w:t xml:space="preserve">有效的特种作业操作证（作业类别：高处作业）的</w:t>
      </w:r>
      <w:r>
        <w:rPr>
          <w:rFonts w:hint="eastAsia" w:ascii="宋体" w:hAnsi="宋体"/>
          <w:color w:val="000000" w:themeColor="text1"/>
          <w:sz w:val="24"/>
          <w:highlight w:val="none"/>
        </w:rPr>
        <w:t xml:space="preserve">得1分，</w:t>
      </w:r>
      <w:r>
        <w:rPr>
          <w:rFonts w:hint="eastAsia" w:ascii="宋体" w:hAnsi="宋体"/>
          <w:bCs/>
          <w:color w:val="000000" w:themeColor="text1"/>
          <w:sz w:val="24"/>
          <w:szCs w:val="24"/>
          <w:highlight w:val="none"/>
        </w:rPr>
        <w:t xml:space="preserve">具有有效的四级/中级工及以上有害生物防制员职业资格证书（技能等级证书）的得1分，需提供有效的证书扫描件，否则不得分，本项最高得4分。</w:t>
      </w:r>
      <w:r>
        <w:rPr>
          <w:color w:val="000000" w:themeColor="text1"/>
          <w:highlight w:val="none"/>
        </w:rPr>
      </w:r>
      <w:r/>
    </w:p>
    <w:p>
      <w:pPr>
        <w:pStyle w:val="861"/>
        <w:ind w:firstLine="480"/>
        <w:spacing w:line="499" w:lineRule="atLeast"/>
        <w:tabs>
          <w:tab w:val="left" w:pos="945" w:leader="none"/>
          <w:tab w:val="left" w:pos="1155" w:leader="none"/>
        </w:tabs>
        <w:rPr>
          <w:rFonts w:ascii="宋体" w:hAnsi="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其他服务人员（</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除项目经理、工程主管外，拟派其他服务人员</w:t>
      </w:r>
      <w:r>
        <w:rPr>
          <w:rFonts w:hint="eastAsia" w:ascii="宋体" w:hAnsi="宋体"/>
          <w:bCs/>
          <w:color w:val="000000" w:themeColor="text1"/>
          <w:sz w:val="24"/>
          <w:szCs w:val="24"/>
          <w:highlight w:val="none"/>
        </w:rPr>
        <w:t xml:space="preserve">具有有效的</w:t>
      </w:r>
      <w:r>
        <w:rPr>
          <w:rFonts w:hint="eastAsia" w:ascii="宋体" w:hAnsi="宋体" w:cs="宋体"/>
          <w:color w:val="000000" w:themeColor="text1"/>
          <w:sz w:val="24"/>
          <w:szCs w:val="24"/>
          <w:highlight w:val="none"/>
        </w:rPr>
        <w:t xml:space="preserve">特种作业操作证（操作项目：高压电工作业）</w:t>
      </w:r>
      <w:r>
        <w:rPr>
          <w:rFonts w:hint="eastAsia" w:ascii="宋体" w:hAnsi="宋体"/>
          <w:bCs/>
          <w:color w:val="000000" w:themeColor="text1"/>
          <w:sz w:val="24"/>
          <w:szCs w:val="24"/>
          <w:highlight w:val="none"/>
        </w:rPr>
        <w:t xml:space="preserve">的每有一人得1分，最高得2分。具有特种作业操作证（操作项目：低压电工作业）的每有一人得1分，最高得2分。需提供有效的证书扫描件，否则不得分，</w:t>
      </w:r>
      <w:r>
        <w:rPr>
          <w:rFonts w:ascii="宋体" w:hAnsi="宋体" w:cs="宋体"/>
          <w:color w:val="000000" w:themeColor="text1"/>
          <w:sz w:val="24"/>
          <w:highlight w:val="none"/>
        </w:rPr>
        <w:t xml:space="preserve">本项最高得</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w:t>
      </w:r>
      <w:r>
        <w:rPr>
          <w:rFonts w:hint="eastAsia" w:ascii="宋体" w:hAnsi="宋体"/>
          <w:color w:val="000000" w:themeColor="text1"/>
          <w:sz w:val="24"/>
          <w:highlight w:val="none"/>
        </w:rPr>
        <w:t xml:space="preserve"> 同一人提供上述多种证书得不重复得分。</w:t>
      </w:r>
      <w:r>
        <w:rPr>
          <w:color w:val="000000" w:themeColor="text1"/>
          <w:highlight w:val="none"/>
        </w:rPr>
      </w: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投标人评价（8分）：</w:t>
      </w:r>
      <w:r>
        <w:rPr>
          <w:color w:val="000000" w:themeColor="text1"/>
          <w:highlight w:val="none"/>
        </w:rPr>
      </w:r>
      <w:r/>
    </w:p>
    <w:p>
      <w:pPr>
        <w:pStyle w:val="861"/>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.1业绩（</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分）：</w:t>
      </w:r>
      <w:r>
        <w:rPr>
          <w:rFonts w:hint="eastAsia" w:ascii="宋体" w:hAnsi="宋体" w:cs="宋体"/>
          <w:color w:val="000000" w:themeColor="text1"/>
          <w:sz w:val="24"/>
          <w:szCs w:val="24"/>
          <w:highlight w:val="none"/>
        </w:rPr>
        <w:t xml:space="preserve">投标人自2022年1月1日以来（以合同签订日期为准）具有与本项目同类物业管理服务案例的，每提供一份有效合同得1分，最高不超过3分；合同扫描件上传至投标系统中，否则不得分。同一物业管理案例不重复得分</w:t>
      </w:r>
      <w:r>
        <w:rPr>
          <w:rFonts w:ascii="宋体" w:hAnsi="宋体" w:cs="宋体"/>
          <w:color w:val="000000" w:themeColor="text1"/>
          <w:sz w:val="24"/>
          <w:highlight w:val="none"/>
        </w:rPr>
        <w:t xml:space="preserve">。</w:t>
      </w:r>
      <w:r>
        <w:rPr>
          <w:color w:val="000000" w:themeColor="text1"/>
          <w:highlight w:val="none"/>
        </w:rPr>
      </w:r>
      <w:r/>
    </w:p>
    <w:p>
      <w:pPr>
        <w:pStyle w:val="861"/>
        <w:ind w:firstLine="480"/>
        <w:spacing w:line="85" w:lineRule="atLeast"/>
        <w:tabs>
          <w:tab w:val="left" w:pos="945" w:leader="none"/>
          <w:tab w:val="left" w:pos="115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.2</w:t>
      </w:r>
      <w:r>
        <w:rPr>
          <w:rFonts w:hint="eastAsia" w:ascii="宋体" w:hAnsi="宋体"/>
          <w:bCs/>
          <w:color w:val="000000" w:themeColor="text1"/>
          <w:sz w:val="24"/>
          <w:szCs w:val="24"/>
          <w:highlight w:val="none"/>
        </w:rPr>
        <w:t xml:space="preserve"> 荣誉（2分）：投标人自2022年1月1日（以获奖日期为准）以来，获得过政府部门颁发的与物业管理有关的荣誉或奖励的得2分；须提供相应有效获奖证明，本项最高得2分。</w:t>
      </w:r>
      <w:r>
        <w:rPr>
          <w:color w:val="000000" w:themeColor="text1"/>
          <w:highlight w:val="none"/>
        </w:rPr>
      </w:r>
      <w:r/>
    </w:p>
    <w:p>
      <w:pPr>
        <w:pStyle w:val="861"/>
        <w:ind w:firstLine="480"/>
        <w:spacing w:line="85" w:lineRule="atLeast"/>
        <w:tabs>
          <w:tab w:val="left" w:pos="945" w:leader="none"/>
          <w:tab w:val="left" w:pos="1155" w:leader="none"/>
        </w:tabs>
        <w:rPr>
          <w:rFonts w:hint="eastAsia" w:ascii="宋体" w:hAnsi="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.3认证证书（3分）：</w:t>
      </w:r>
      <w:r>
        <w:rPr>
          <w:rFonts w:hint="eastAsia" w:ascii="宋体" w:hAnsi="宋体" w:cs="宋体"/>
          <w:color w:val="000000" w:themeColor="text1"/>
          <w:sz w:val="24"/>
          <w:szCs w:val="24"/>
          <w:highlight w:val="none"/>
        </w:rPr>
        <w:t xml:space="preserve">投标人具有效期内的质量管理体系认证证书得1分，环境管理体系认证证书得1分，职业安全健康管理体系认证证书得1分，投标时需提供相关证书扫描件，否则不得分，本项最高得3分。</w:t>
      </w:r>
      <w:r>
        <w:rPr>
          <w:color w:val="000000" w:themeColor="text1"/>
          <w:highlight w:val="none"/>
        </w:rPr>
      </w:r>
      <w:r/>
    </w:p>
    <w:p>
      <w:pPr>
        <w:pStyle w:val="861"/>
        <w:numPr>
          <w:ilvl w:val="4"/>
          <w:numId w:val="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项目方案（60分）：</w:t>
      </w:r>
      <w:r>
        <w:rPr>
          <w:rFonts w:hint="eastAsia" w:ascii="宋体" w:hAnsi="宋体"/>
          <w:bCs/>
          <w:color w:val="000000" w:themeColor="text1"/>
          <w:sz w:val="24"/>
          <w:highlight w:val="none"/>
        </w:rPr>
        <w:t xml:space="preserve">在响应采购文件需求的基础上针对下列各部分进行</w:t>
      </w:r>
      <w:r>
        <w:rPr>
          <w:rFonts w:hint="eastAsia" w:ascii="宋体" w:hAnsi="宋体"/>
          <w:bCs/>
          <w:color w:val="000000" w:themeColor="text1"/>
          <w:sz w:val="24"/>
          <w:szCs w:val="24"/>
          <w:highlight w:val="none"/>
        </w:rPr>
        <w:t xml:space="preserve">评价，要求体现科学合理性、条理性、可行性、完善性、针对性，无方案不得分。投标人编制服务方案时请</w:t>
      </w:r>
      <w:r>
        <w:rPr>
          <w:rFonts w:hint="eastAsia" w:ascii="宋体" w:hAnsi="宋体"/>
          <w:color w:val="000000" w:themeColor="text1"/>
          <w:sz w:val="24"/>
          <w:szCs w:val="24"/>
          <w:highlight w:val="none"/>
        </w:rPr>
        <w:t xml:space="preserve">按以下顺序编制，以便评审。</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4.1  目标及整体设想（4分）：①物业管理服务的目标；②物业管理服务的整体设想。</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4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4.2  综合管理服务体系（4分）：①本项目拟采取的管理服务体系；②管理机制。</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4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4.3  岗前培训及阶段性培训管理（4分）：①物业管理服务的岗前培训目标、计划、方案、内容等；②物业管理服务的阶段性培训管理。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4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4.4  日常管理标准及措施（5分）：①日常管理的标准、措施；②服务质量保障措施。</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5分；方案较完整，科学合理性较强，设计较清晰详细，能够符合本项目需求，能够提供上述1-2项方案的，得3分；方案完整性、科学合理性、设计的清晰详细程度等只能基本满足要求，能够提供上述1-2项方案的，得2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4.5  管理规章制度（5分）：①日常管理制度；②物业考核制度；③自我约束制度；④自我约束制度；⑤信息反馈及处理制度等。</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5项全部方案的得5分；方案较完整，科学合理性较强，设计较清晰详细，能够符合本项目需求，能够提供上述3-5项方案的，得3分；方案完整性、科学合理性、设计的清晰详细程度等只能基本满足要求，能够提供上述1-5项方案的，得2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4.6  物资装备的配备及维保使用方案（5分）：①物业管理服务方面涉及的物资装备方案；②物业管理服务涉及物资维保使用方案。</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5分；方案较完整，科学合理性较强，设计较清晰详细，能够符合本项目需求，能够提供上述1-2项方案的，得3分；方案完整性、科学合理性、设计的清晰详细程度等只能基本满足要求，能够提供上述1-2项方案的，得2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4.7  管理重点难点和措施（5分）：①针对投标项目后期物业管理服务中的可能存在的重点、难点进行调研分析；②针对上述该项目重点、难点制定计划与实施方案；</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5分；方案较完整，科学合理性较强，设计较清晰详细，能够符合本项目需求，能够提供上述1-2项方案的，得3分；方案完整性、科学合理性、设计的清晰详细程度等只能基本满足要求，能够提供上述1-2项方案的，得2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4.8  与采购人以及其他单位、部门的综合协调方案（4分）：①与采购人、物业管理行政主管部门的协调；②与其他单位、部门的协调</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4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4.9  正式接管前具体措施（4分）：①物业管理服务正式接管前的工作内容；②物业管理服务正式接管前的注意事项；③物业管理服务正式接管前的具体措施。</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3项全部方案的，得4分；方案较完整，科学合理性较强，设计较清晰详细，能够符合本项目需求，能够提供上述2-3项方案的，得2分；方案完整性、科学合理性、设计的清晰详细程度等只能基本满足要求，能够提供上述1-3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4.10  特殊情况应急预案及措施（6分）：①物业管理服务中应对自然灾害等突发事件的应急预案及措施；②物业管理服务中应对安全事故等突发事件的应急预案及措施；③物业管理服务中应对公共卫生安全事件等的应急预案及措施.</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3项全部方案的，得6分；方案较完整，科学合理性较强，设计较清晰详细，能够符合本项目需求，能够提供上述2-3项方案的，得4分；方案完整性、科学合理性、设计的清晰详细程度等只能基本满足要求，能够提供上述1-3项方案的，得2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4.11  过失及意外保障措施（4分）：①物业管理活动中可能发生的风险分析；②过失及意外保障措施。</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4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4.12  档案资料管理（3分）：根据投标人对物业的档案资料管理方案，①物业档案资料建立与收集方案；②档案资料管理措施。</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3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4.13  服务响应时间（3分）：根据投标人对物业管理服务的响应时间有详细方案，如：①物业管理服务响应时间（包括但不限于综合管理）②公共区域清洁、公用设施设备日常运行、保养、维修服务等响应时间。</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3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r/>
    </w:p>
    <w:p>
      <w:pPr>
        <w:pStyle w:val="861"/>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4.14 特色与创新（4分）：根据投标人对物业管理服务的特色与创新方案，如：①物业管理特色服务方案②物业管理创新服务方案。</w:t>
      </w:r>
      <w:r>
        <w:rPr>
          <w:color w:val="000000" w:themeColor="text1"/>
          <w:highlight w:val="none"/>
        </w:rPr>
      </w:r>
      <w:r/>
    </w:p>
    <w:p>
      <w:pPr>
        <w:pStyle w:val="861"/>
        <w:ind w:firstLine="480"/>
        <w:jc w:val="left"/>
        <w:spacing w:line="500" w:lineRule="exact"/>
        <w:tabs>
          <w:tab w:val="left" w:pos="525" w:leader="none"/>
          <w:tab w:val="left" w:pos="945" w:leader="none"/>
          <w:tab w:val="left" w:pos="1155" w:leader="none"/>
          <w:tab w:val="left" w:pos="3823" w:leader="none"/>
        </w:tabs>
        <w:rPr>
          <w:rFonts w:hint="eastAsia" w:ascii="黑体" w:hAnsi="黑体" w:eastAsia="黑体"/>
          <w:color w:val="000000" w:themeColor="text1"/>
          <w:sz w:val="36"/>
          <w:szCs w:val="36"/>
          <w:highlight w:val="none"/>
        </w:rPr>
      </w:pPr>
      <w:r>
        <w:rPr>
          <w:rFonts w:hint="eastAsia" w:ascii="宋体" w:hAnsi="宋体"/>
          <w:bCs/>
          <w:color w:val="000000" w:themeColor="text1"/>
          <w:sz w:val="24"/>
          <w:highlight w:val="none"/>
        </w:rPr>
        <w:t xml:space="preserve">方案完整，科学合理，设计清晰详细，完全符合本项目需求，且能够提供上述2项全部方案的，得4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rFonts w:hint="eastAsia" w:ascii="宋体" w:hAnsi="宋体"/>
          <w:bCs/>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color w:val="000000" w:themeColor="text1"/>
          <w:highlight w:val="none"/>
        </w:rPr>
      </w:r>
      <w:r/>
    </w:p>
    <w:p>
      <w:pPr>
        <w:pStyle w:val="951"/>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955039"/>
      <w:r>
        <w:rPr>
          <w:color w:val="000000" w:themeColor="text1"/>
          <w:highlight w:val="none"/>
        </w:rPr>
      </w:r>
      <w:bookmarkEnd w:id="196"/>
      <w:r>
        <w:rPr>
          <w:color w:val="000000" w:themeColor="text1"/>
          <w:highlight w:val="none"/>
        </w:rPr>
      </w:r>
      <w:bookmarkStart w:id="197" w:name="_Hlt26671244"/>
      <w:r>
        <w:rPr>
          <w:color w:val="000000" w:themeColor="text1"/>
          <w:highlight w:val="none"/>
        </w:rPr>
      </w:r>
      <w:bookmarkEnd w:id="197"/>
      <w:r>
        <w:rPr>
          <w:color w:val="000000" w:themeColor="text1"/>
          <w:highlight w:val="none"/>
        </w:rPr>
      </w:r>
      <w:bookmarkStart w:id="198" w:name="_Toc26554094"/>
      <w:r>
        <w:rPr>
          <w:color w:val="000000" w:themeColor="text1"/>
          <w:highlight w:val="none"/>
        </w:rPr>
      </w:r>
      <w:bookmarkStart w:id="199" w:name="_Toc49090576"/>
      <w:r>
        <w:rPr>
          <w:color w:val="000000" w:themeColor="text1"/>
          <w:highlight w:val="none"/>
        </w:rPr>
      </w:r>
      <w:bookmarkStart w:id="200" w:name="_Toc120614282"/>
      <w:r>
        <w:rPr>
          <w:rFonts w:hint="eastAsia" w:cs="Arial"/>
          <w:b/>
          <w:color w:val="000000" w:themeColor="text1"/>
          <w:sz w:val="30"/>
          <w:szCs w:val="30"/>
          <w:highlight w:val="none"/>
        </w:rPr>
        <w:t xml:space="preserve">第一部分  投标文件内容</w:t>
      </w:r>
      <w:r>
        <w:rPr>
          <w:color w:val="000000" w:themeColor="text1"/>
          <w:highlight w:val="none"/>
        </w:rPr>
      </w:r>
      <w:r/>
    </w:p>
    <w:p>
      <w:pPr>
        <w:pStyle w:val="951"/>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51"/>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W w:w="6104" w:type="dxa"/>
            <w:vAlign w:val="center"/>
            <w:textDirection w:val="lrTb"/>
            <w:noWrap w:val="false"/>
          </w:tcPr>
          <w:p>
            <w:pPr>
              <w:pStyle w:val="951"/>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2449" w:type="dxa"/>
            <w:vAlign w:val="center"/>
            <w:textDirection w:val="lrTb"/>
            <w:noWrap w:val="false"/>
          </w:tcPr>
          <w:p>
            <w:pPr>
              <w:pStyle w:val="951"/>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r/>
          </w:p>
        </w:tc>
      </w:tr>
      <w:tr>
        <w:trPr>
          <w:trHeight w:val="1335"/>
        </w:trPr>
        <w:tc>
          <w:tcPr>
            <w:tcW w:w="719" w:type="dxa"/>
            <w:vAlign w:val="center"/>
            <w:textDirection w:val="lrTb"/>
            <w:noWrap w:val="false"/>
          </w:tcPr>
          <w:p>
            <w:pPr>
              <w:pStyle w:val="95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104" w:type="dxa"/>
            <w:vAlign w:val="center"/>
            <w:textDirection w:val="lrTb"/>
            <w:noWrap w:val="false"/>
          </w:tcPr>
          <w:p>
            <w:pPr>
              <w:pStyle w:val="95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000000" w:themeColor="text1"/>
                <w:highlight w:val="none"/>
              </w:rPr>
            </w:r>
            <w:r/>
          </w:p>
        </w:tc>
        <w:tc>
          <w:tcPr>
            <w:tcW w:w="2449" w:type="dxa"/>
            <w:vAlign w:val="center"/>
            <w:vMerge w:val="restart"/>
            <w:textDirection w:val="lrTb"/>
            <w:noWrap w:val="false"/>
          </w:tcPr>
          <w:p>
            <w:pPr>
              <w:pStyle w:val="951"/>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r/>
          </w:p>
        </w:tc>
      </w:tr>
      <w:tr>
        <w:trPr>
          <w:trHeight w:val="812"/>
        </w:trPr>
        <w:tc>
          <w:tcPr>
            <w:tcW w:w="719" w:type="dxa"/>
            <w:vAlign w:val="center"/>
            <w:textDirection w:val="lrTb"/>
            <w:noWrap w:val="false"/>
          </w:tcPr>
          <w:p>
            <w:pPr>
              <w:pStyle w:val="95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104" w:type="dxa"/>
            <w:vAlign w:val="center"/>
            <w:textDirection w:val="lrTb"/>
            <w:noWrap w:val="false"/>
          </w:tcPr>
          <w:p>
            <w:pPr>
              <w:pStyle w:val="95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r/>
          </w:p>
        </w:tc>
        <w:tc>
          <w:tcPr>
            <w:tcW w:w="2449" w:type="dxa"/>
            <w:vAlign w:val="center"/>
            <w:vMerge w:val="continue"/>
            <w:textDirection w:val="lrTb"/>
            <w:noWrap w:val="false"/>
          </w:tcPr>
          <w:p>
            <w:pPr>
              <w:pStyle w:val="951"/>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5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104" w:type="dxa"/>
            <w:vAlign w:val="center"/>
            <w:textDirection w:val="lrTb"/>
            <w:noWrap w:val="false"/>
          </w:tcPr>
          <w:p>
            <w:pPr>
              <w:pStyle w:val="95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40"/>
                <w:rFonts w:hint="eastAsia" w:ascii="宋体" w:hAnsi="宋体" w:cs="宋体"/>
                <w:color w:val="000000" w:themeColor="text1"/>
                <w:sz w:val="24"/>
                <w:szCs w:val="24"/>
                <w:highlight w:val="none"/>
              </w:rPr>
              <w:t xml:space="preserve">。</w:t>
            </w:r>
            <w:r>
              <w:rPr>
                <w:color w:val="000000" w:themeColor="text1"/>
                <w:highlight w:val="none"/>
              </w:rPr>
            </w:r>
            <w:r/>
          </w:p>
        </w:tc>
        <w:tc>
          <w:tcPr>
            <w:tcW w:w="2449" w:type="dxa"/>
            <w:vAlign w:val="center"/>
            <w:vMerge w:val="continue"/>
            <w:textDirection w:val="lrTb"/>
            <w:noWrap w:val="false"/>
          </w:tcPr>
          <w:p>
            <w:pPr>
              <w:pStyle w:val="951"/>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5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104" w:type="dxa"/>
            <w:vAlign w:val="center"/>
            <w:textDirection w:val="lrTb"/>
            <w:noWrap w:val="false"/>
          </w:tcPr>
          <w:p>
            <w:pPr>
              <w:pStyle w:val="95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51"/>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5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104" w:type="dxa"/>
            <w:vAlign w:val="center"/>
            <w:textDirection w:val="lrTb"/>
            <w:noWrap w:val="false"/>
          </w:tcPr>
          <w:p>
            <w:pPr>
              <w:pStyle w:val="95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51"/>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5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104" w:type="dxa"/>
            <w:vAlign w:val="center"/>
            <w:textDirection w:val="lrTb"/>
            <w:noWrap w:val="false"/>
          </w:tcPr>
          <w:p>
            <w:pPr>
              <w:pStyle w:val="95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r/>
          </w:p>
        </w:tc>
        <w:tc>
          <w:tcPr>
            <w:tcW w:w="2449" w:type="dxa"/>
            <w:vAlign w:val="center"/>
            <w:vMerge w:val="continue"/>
            <w:textDirection w:val="lrTb"/>
            <w:noWrap w:val="false"/>
          </w:tcPr>
          <w:p>
            <w:pPr>
              <w:pStyle w:val="95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5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104" w:type="dxa"/>
            <w:vAlign w:val="center"/>
            <w:textDirection w:val="lrTb"/>
            <w:noWrap w:val="false"/>
          </w:tcPr>
          <w:p>
            <w:pPr>
              <w:pStyle w:val="951"/>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color w:val="000000" w:themeColor="text1"/>
                <w:highlight w:val="none"/>
              </w:rPr>
            </w:r>
            <w:r/>
          </w:p>
        </w:tc>
        <w:tc>
          <w:tcPr>
            <w:tcW w:w="2449" w:type="dxa"/>
            <w:vAlign w:val="center"/>
            <w:textDirection w:val="lrTb"/>
            <w:noWrap w:val="false"/>
          </w:tcPr>
          <w:p>
            <w:pPr>
              <w:pStyle w:val="951"/>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color w:val="000000" w:themeColor="text1"/>
                <w:highlight w:val="none"/>
              </w:rPr>
            </w:r>
            <w:r/>
          </w:p>
        </w:tc>
      </w:tr>
      <w:tr>
        <w:trPr>
          <w:trHeight w:val="726"/>
        </w:trPr>
        <w:tc>
          <w:tcPr>
            <w:tcW w:w="719" w:type="dxa"/>
            <w:vAlign w:val="center"/>
            <w:textDirection w:val="lrTb"/>
            <w:noWrap w:val="false"/>
          </w:tcPr>
          <w:p>
            <w:pPr>
              <w:pStyle w:val="951"/>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r/>
          </w:p>
        </w:tc>
        <w:tc>
          <w:tcPr>
            <w:tcW w:w="6104" w:type="dxa"/>
            <w:vAlign w:val="center"/>
            <w:textDirection w:val="lrTb"/>
            <w:noWrap w:val="false"/>
          </w:tcPr>
          <w:p>
            <w:pPr>
              <w:pStyle w:val="951"/>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color w:val="000000" w:themeColor="text1"/>
                <w:highlight w:val="none"/>
              </w:rPr>
            </w:r>
            <w:r/>
          </w:p>
        </w:tc>
        <w:tc>
          <w:tcPr>
            <w:tcW w:w="2449" w:type="dxa"/>
            <w:vAlign w:val="center"/>
            <w:textDirection w:val="lrTb"/>
            <w:noWrap w:val="false"/>
          </w:tcPr>
          <w:p>
            <w:pPr>
              <w:pStyle w:val="951"/>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color w:val="000000" w:themeColor="text1"/>
                <w:highlight w:val="none"/>
              </w:rPr>
            </w:r>
            <w:r/>
          </w:p>
        </w:tc>
      </w:tr>
      <w:tr>
        <w:trPr>
          <w:trHeight w:val="632"/>
        </w:trPr>
        <w:tc>
          <w:tcPr>
            <w:tcW w:w="719" w:type="dxa"/>
            <w:vAlign w:val="center"/>
            <w:textDirection w:val="lrTb"/>
            <w:noWrap w:val="false"/>
          </w:tcPr>
          <w:p>
            <w:pPr>
              <w:pStyle w:val="951"/>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r/>
          </w:p>
        </w:tc>
        <w:tc>
          <w:tcPr>
            <w:gridSpan w:val="2"/>
            <w:tcW w:w="8553" w:type="dxa"/>
            <w:vAlign w:val="center"/>
            <w:textDirection w:val="lrTb"/>
            <w:noWrap w:val="false"/>
          </w:tcPr>
          <w:p>
            <w:pPr>
              <w:pStyle w:val="951"/>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color w:val="000000" w:themeColor="text1"/>
                <w:highlight w:val="none"/>
              </w:rPr>
            </w:r>
            <w:r/>
          </w:p>
        </w:tc>
      </w:tr>
    </w:tbl>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000000" w:themeColor="text1"/>
          <w:highlight w:val="none"/>
        </w:rPr>
      </w: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color w:val="000000" w:themeColor="text1"/>
          <w:highlight w:val="none"/>
        </w:rPr>
      </w: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000000" w:themeColor="text1"/>
          <w:highlight w:val="none"/>
        </w:rPr>
      </w:r>
      <w:r/>
    </w:p>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color w:val="000000" w:themeColor="text1"/>
          <w:highlight w:val="none"/>
        </w:rPr>
      </w:r>
      <w:r/>
    </w:p>
    <w:p>
      <w:pPr>
        <w:pStyle w:val="861"/>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color w:val="000000" w:themeColor="text1"/>
          <w:highlight w:val="none"/>
        </w:rPr>
      </w:r>
      <w:r/>
    </w:p>
    <w:p>
      <w:pPr>
        <w:pStyle w:val="861"/>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51"/>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r/>
          </w:p>
        </w:tc>
        <w:tc>
          <w:tcPr>
            <w:tcW w:w="6095" w:type="dxa"/>
            <w:vAlign w:val="center"/>
            <w:textDirection w:val="lrTb"/>
            <w:noWrap w:val="false"/>
          </w:tcPr>
          <w:p>
            <w:pPr>
              <w:pStyle w:val="951"/>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1979" w:type="dxa"/>
            <w:vAlign w:val="center"/>
            <w:textDirection w:val="lrTb"/>
            <w:noWrap w:val="false"/>
          </w:tcPr>
          <w:p>
            <w:pPr>
              <w:pStyle w:val="951"/>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r/>
          </w:p>
        </w:tc>
      </w:tr>
      <w:tr>
        <w:trPr>
          <w:trHeight w:val="567"/>
        </w:trPr>
        <w:tc>
          <w:tcPr>
            <w:tcW w:w="823" w:type="dxa"/>
            <w:vAlign w:val="center"/>
            <w:textDirection w:val="lrTb"/>
            <w:noWrap w:val="false"/>
          </w:tcPr>
          <w:p>
            <w:pPr>
              <w:pStyle w:val="951"/>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r/>
          </w:p>
        </w:tc>
        <w:tc>
          <w:tcPr>
            <w:tcW w:w="6095" w:type="dxa"/>
            <w:vAlign w:val="center"/>
            <w:textDirection w:val="lrTb"/>
            <w:noWrap w:val="false"/>
          </w:tcPr>
          <w:p>
            <w:pPr>
              <w:pStyle w:val="951"/>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color w:val="000000" w:themeColor="text1"/>
                <w:highlight w:val="none"/>
              </w:rPr>
            </w:r>
            <w:r/>
          </w:p>
        </w:tc>
        <w:tc>
          <w:tcPr>
            <w:tcW w:w="1979" w:type="dxa"/>
            <w:vAlign w:val="center"/>
            <w:vMerge w:val="restart"/>
            <w:textDirection w:val="lrTb"/>
            <w:noWrap w:val="false"/>
          </w:tcPr>
          <w:p>
            <w:pPr>
              <w:pStyle w:val="95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color w:val="000000" w:themeColor="text1"/>
                <w:highlight w:val="none"/>
              </w:rPr>
            </w:r>
            <w:r/>
          </w:p>
        </w:tc>
      </w:tr>
      <w:tr>
        <w:trPr>
          <w:trHeight w:val="567"/>
        </w:trPr>
        <w:tc>
          <w:tcPr>
            <w:tcW w:w="823" w:type="dxa"/>
            <w:vAlign w:val="center"/>
            <w:textDirection w:val="lrTb"/>
            <w:noWrap w:val="false"/>
          </w:tcPr>
          <w:p>
            <w:pPr>
              <w:pStyle w:val="951"/>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r/>
          </w:p>
        </w:tc>
        <w:tc>
          <w:tcPr>
            <w:tcW w:w="6095" w:type="dxa"/>
            <w:vAlign w:val="center"/>
            <w:textDirection w:val="lrTb"/>
            <w:noWrap w:val="false"/>
          </w:tcPr>
          <w:p>
            <w:pPr>
              <w:pStyle w:val="951"/>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color w:val="000000" w:themeColor="text1"/>
                <w:highlight w:val="none"/>
              </w:rPr>
            </w:r>
            <w:r/>
          </w:p>
        </w:tc>
        <w:tc>
          <w:tcPr>
            <w:tcW w:w="1979" w:type="dxa"/>
            <w:vAlign w:val="center"/>
            <w:vMerge w:val="continue"/>
            <w:textDirection w:val="lrTb"/>
            <w:noWrap w:val="false"/>
          </w:tcPr>
          <w:p>
            <w:pPr>
              <w:pStyle w:val="951"/>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5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6095" w:type="dxa"/>
            <w:vAlign w:val="center"/>
            <w:textDirection w:val="lrTb"/>
            <w:noWrap w:val="false"/>
          </w:tcPr>
          <w:p>
            <w:pPr>
              <w:pStyle w:val="951"/>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color w:val="000000" w:themeColor="text1"/>
                <w:highlight w:val="none"/>
              </w:rPr>
            </w:r>
            <w:r/>
          </w:p>
        </w:tc>
        <w:tc>
          <w:tcPr>
            <w:tcW w:w="1979" w:type="dxa"/>
            <w:vAlign w:val="center"/>
            <w:vMerge w:val="restart"/>
            <w:textDirection w:val="lrTb"/>
            <w:noWrap w:val="false"/>
          </w:tcPr>
          <w:p>
            <w:pPr>
              <w:pStyle w:val="95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color w:val="000000" w:themeColor="text1"/>
                <w:highlight w:val="none"/>
              </w:rPr>
            </w:r>
            <w:r/>
          </w:p>
        </w:tc>
      </w:tr>
      <w:tr>
        <w:trPr>
          <w:trHeight w:val="567"/>
        </w:trPr>
        <w:tc>
          <w:tcPr>
            <w:tcW w:w="823" w:type="dxa"/>
            <w:vAlign w:val="center"/>
            <w:textDirection w:val="lrTb"/>
            <w:noWrap w:val="false"/>
          </w:tcPr>
          <w:p>
            <w:pPr>
              <w:pStyle w:val="95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6095" w:type="dxa"/>
            <w:vAlign w:val="center"/>
            <w:textDirection w:val="lrTb"/>
            <w:noWrap w:val="false"/>
          </w:tcPr>
          <w:p>
            <w:pPr>
              <w:pStyle w:val="951"/>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color w:val="000000" w:themeColor="text1"/>
                <w:highlight w:val="none"/>
              </w:rPr>
            </w:r>
            <w:r/>
          </w:p>
        </w:tc>
        <w:tc>
          <w:tcPr>
            <w:tcW w:w="1979" w:type="dxa"/>
            <w:vAlign w:val="center"/>
            <w:vMerge w:val="continue"/>
            <w:textDirection w:val="lrTb"/>
            <w:noWrap w:val="false"/>
          </w:tcPr>
          <w:p>
            <w:pPr>
              <w:pStyle w:val="951"/>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5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r/>
          </w:p>
        </w:tc>
        <w:tc>
          <w:tcPr>
            <w:tcW w:w="6095" w:type="dxa"/>
            <w:vAlign w:val="center"/>
            <w:textDirection w:val="lrTb"/>
            <w:noWrap w:val="false"/>
          </w:tcPr>
          <w:p>
            <w:pPr>
              <w:pStyle w:val="951"/>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color w:val="000000" w:themeColor="text1"/>
                <w:highlight w:val="none"/>
              </w:rPr>
            </w:r>
            <w:r/>
          </w:p>
        </w:tc>
        <w:tc>
          <w:tcPr>
            <w:tcW w:w="1979" w:type="dxa"/>
            <w:vAlign w:val="center"/>
            <w:vMerge w:val="restart"/>
            <w:textDirection w:val="lrTb"/>
            <w:noWrap w:val="false"/>
          </w:tcPr>
          <w:p>
            <w:pPr>
              <w:pStyle w:val="95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color w:val="000000" w:themeColor="text1"/>
                <w:highlight w:val="none"/>
              </w:rPr>
            </w:r>
            <w:r/>
          </w:p>
        </w:tc>
      </w:tr>
      <w:tr>
        <w:trPr>
          <w:trHeight w:val="567"/>
        </w:trPr>
        <w:tc>
          <w:tcPr>
            <w:tcW w:w="823" w:type="dxa"/>
            <w:vAlign w:val="center"/>
            <w:textDirection w:val="lrTb"/>
            <w:noWrap w:val="false"/>
          </w:tcPr>
          <w:p>
            <w:pPr>
              <w:pStyle w:val="95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r/>
          </w:p>
        </w:tc>
        <w:tc>
          <w:tcPr>
            <w:tcW w:w="6095" w:type="dxa"/>
            <w:vAlign w:val="center"/>
            <w:textDirection w:val="lrTb"/>
            <w:noWrap w:val="false"/>
          </w:tcPr>
          <w:p>
            <w:pPr>
              <w:pStyle w:val="951"/>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color w:val="000000" w:themeColor="text1"/>
                <w:highlight w:val="none"/>
              </w:rPr>
            </w:r>
            <w:r/>
          </w:p>
        </w:tc>
        <w:tc>
          <w:tcPr>
            <w:tcW w:w="1979" w:type="dxa"/>
            <w:vAlign w:val="center"/>
            <w:vMerge w:val="continue"/>
            <w:textDirection w:val="lrTb"/>
            <w:noWrap w:val="false"/>
          </w:tcPr>
          <w:p>
            <w:pPr>
              <w:pStyle w:val="951"/>
              <w:ind w:firstLine="0"/>
              <w:jc w:val="center"/>
              <w:spacing w:before="0" w:after="0" w:line="240" w:lineRule="auto"/>
              <w:rPr>
                <w:rFonts w:hint="eastAsia" w:cs="Arial"/>
              </w:rPr>
            </w:pPr>
            <w:r>
              <w:rPr>
                <w:rFonts w:hint="eastAsia" w:cs="Arial"/>
              </w:rPr>
            </w:r>
            <w:r/>
          </w:p>
        </w:tc>
      </w:tr>
    </w:tbl>
    <w:p>
      <w:pPr>
        <w:pStyle w:val="86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r/>
    </w:p>
    <w:p>
      <w:pPr>
        <w:pStyle w:val="861"/>
        <w:numPr>
          <w:ilvl w:val="0"/>
          <w:numId w:val="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color w:val="000000" w:themeColor="text1"/>
          <w:highlight w:val="none"/>
        </w:rPr>
      </w:r>
      <w:r/>
    </w:p>
    <w:p>
      <w:pPr>
        <w:pStyle w:val="861"/>
        <w:numPr>
          <w:ilvl w:val="0"/>
          <w:numId w:val="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r/>
    </w:p>
    <w:p>
      <w:pPr>
        <w:pStyle w:val="861"/>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pStyle w:val="861"/>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r/>
    </w:p>
    <w:p>
      <w:pPr>
        <w:pStyle w:val="861"/>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r/>
    </w:p>
    <w:p>
      <w:pPr>
        <w:pStyle w:val="861"/>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r/>
    </w:p>
    <w:p>
      <w:pPr>
        <w:pStyle w:val="861"/>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color w:val="000000" w:themeColor="text1"/>
          <w:highlight w:val="none"/>
        </w:rPr>
      </w:r>
      <w:r/>
    </w:p>
    <w:p>
      <w:pPr>
        <w:pStyle w:val="951"/>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61"/>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color w:val="000000" w:themeColor="text1"/>
          <w:highlight w:val="none"/>
        </w:rPr>
      </w: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6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6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rPr>
        <w:t xml:space="preserve">JSZC-320200-JZCG-G2025-0197</w:t>
      </w:r>
      <w:r>
        <w:rPr>
          <w:color w:val="000000" w:themeColor="text1"/>
          <w:highlight w:val="none"/>
        </w:rPr>
      </w:r>
      <w:r/>
    </w:p>
    <w:p>
      <w:pPr>
        <w:pStyle w:val="86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rPr>
        <w:t xml:space="preserve">无锡市中级人民法院物业服务</w:t>
      </w:r>
      <w:r>
        <w:rPr>
          <w:color w:val="000000" w:themeColor="text1"/>
          <w:highlight w:val="none"/>
        </w:rPr>
      </w:r>
      <w:r/>
    </w:p>
    <w:p>
      <w:pPr>
        <w:pStyle w:val="86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color w:val="000000" w:themeColor="text1"/>
          <w:highlight w:val="none"/>
        </w:rPr>
      </w:r>
      <w:r/>
    </w:p>
    <w:p>
      <w:pPr>
        <w:pStyle w:val="861"/>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color w:val="000000" w:themeColor="text1"/>
          <w:highlight w:val="none"/>
        </w:rPr>
      </w:r>
      <w:r/>
    </w:p>
    <w:p>
      <w:pPr>
        <w:pStyle w:val="861"/>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color w:val="000000" w:themeColor="text1"/>
          <w:highlight w:val="none"/>
        </w:rPr>
      </w:r>
      <w:r/>
    </w:p>
    <w:p>
      <w:pPr>
        <w:pStyle w:val="861"/>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color w:val="000000" w:themeColor="text1"/>
          <w:highlight w:val="none"/>
        </w:rPr>
      </w:r>
      <w:r/>
    </w:p>
    <w:p>
      <w:pPr>
        <w:pStyle w:val="94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rPr>
        <w:t xml:space="preserve">JSZC-320200-JZCG-G2025-0197</w:t>
      </w:r>
      <w:r>
        <w:rPr>
          <w:rFonts w:hint="eastAsia" w:ascii="宋体" w:hAnsi="宋体"/>
          <w:bCs/>
          <w:color w:val="000000" w:themeColor="text1"/>
          <w:sz w:val="24"/>
          <w:szCs w:val="24"/>
          <w:highlight w:val="none"/>
        </w:rPr>
        <w:t xml:space="preserve">项目，兹授权：</w:t>
      </w:r>
      <w:r>
        <w:rPr>
          <w:color w:val="000000" w:themeColor="text1"/>
          <w:highlight w:val="none"/>
        </w:rPr>
      </w:r>
      <w:r/>
    </w:p>
    <w:p>
      <w:pPr>
        <w:pStyle w:val="94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4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4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color w:val="000000" w:themeColor="text1"/>
          <w:highlight w:val="none"/>
        </w:rPr>
      </w:r>
      <w:r/>
    </w:p>
    <w:p>
      <w:pPr>
        <w:pStyle w:val="949"/>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color w:val="000000" w:themeColor="text1"/>
          <w:highlight w:val="none"/>
        </w:rPr>
      </w:r>
      <w:r/>
    </w:p>
    <w:p>
      <w:pPr>
        <w:pStyle w:val="94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color w:val="000000" w:themeColor="text1"/>
          <w:highlight w:val="none"/>
        </w:rPr>
      </w:r>
      <w:r/>
    </w:p>
    <w:p>
      <w:pPr>
        <w:pStyle w:val="949"/>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color w:val="000000" w:themeColor="text1"/>
          <w:highlight w:val="none"/>
        </w:rPr>
      </w:r>
      <w:r/>
    </w:p>
    <w:p>
      <w:pPr>
        <w:pStyle w:val="949"/>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color w:val="000000" w:themeColor="text1"/>
          <w:highlight w:val="none"/>
        </w:rPr>
      </w:r>
      <w:r/>
    </w:p>
    <w:p>
      <w:pPr>
        <w:pStyle w:val="949"/>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r/>
    </w:p>
    <w:p>
      <w:pPr>
        <w:pStyle w:val="949"/>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r/>
    </w:p>
    <w:p>
      <w:pPr>
        <w:pStyle w:val="949"/>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color w:val="000000" w:themeColor="text1"/>
          <w:highlight w:val="none"/>
        </w:rPr>
      </w:r>
      <w:r/>
    </w:p>
    <w:p>
      <w:pPr>
        <w:pStyle w:val="949"/>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color w:val="000000" w:themeColor="text1"/>
          <w:highlight w:val="none"/>
        </w:rPr>
      </w:r>
      <w:r/>
    </w:p>
    <w:p>
      <w:pPr>
        <w:pStyle w:val="949"/>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r/>
    </w:p>
    <w:p>
      <w:pPr>
        <w:pStyle w:val="949"/>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highlight w:val="none"/>
        </w:rPr>
      </w:r>
      <w:r/>
    </w:p>
    <w:p>
      <w:pPr>
        <w:pStyle w:val="949"/>
        <w:numPr>
          <w:ilvl w:val="0"/>
          <w:numId w:val="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color w:val="000000" w:themeColor="text1"/>
          <w:highlight w:val="none"/>
        </w:rPr>
      </w:r>
      <w:r/>
    </w:p>
    <w:p>
      <w:pPr>
        <w:pStyle w:val="949"/>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r/>
    </w:p>
    <w:p>
      <w:pPr>
        <w:pStyle w:val="861"/>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color w:val="000000" w:themeColor="text1"/>
          <w:highlight w:val="none"/>
        </w:rPr>
      </w:r>
      <w:r/>
    </w:p>
    <w:p>
      <w:pPr>
        <w:pStyle w:val="861"/>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6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color w:val="000000" w:themeColor="text1"/>
          <w:highlight w:val="none"/>
        </w:rPr>
      </w:r>
      <w:r/>
    </w:p>
    <w:p>
      <w:pPr>
        <w:pStyle w:val="86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rPr>
        <w:t xml:space="preserve">JSZC-320200-JZCG-G2025-0197</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color w:val="000000" w:themeColor="text1"/>
          <w:highlight w:val="none"/>
        </w:rPr>
      </w: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61"/>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color w:val="000000" w:themeColor="text1"/>
          <w:highlight w:val="none"/>
        </w:rPr>
      </w:r>
      <w:r/>
    </w:p>
    <w:p>
      <w:pPr>
        <w:pStyle w:val="861"/>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6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61"/>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rPr>
          <w:color w:val="000000" w:themeColor="text1"/>
          <w:highlight w:val="none"/>
        </w:rPr>
      </w:r>
      <w:r/>
    </w:p>
    <w:p>
      <w:pPr>
        <w:pStyle w:val="861"/>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6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86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r/>
    </w:p>
    <w:p>
      <w:pPr>
        <w:pStyle w:val="86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color w:val="000000" w:themeColor="text1"/>
          <w:highlight w:val="none"/>
        </w:rPr>
      </w:r>
      <w:r/>
    </w:p>
    <w:p>
      <w:pPr>
        <w:pStyle w:val="86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61"/>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61"/>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pStyle w:val="86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pStyle w:val="861"/>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pStyle w:val="861"/>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color w:val="000000" w:themeColor="text1"/>
          <w:highlight w:val="none"/>
        </w:rPr>
      </w:r>
      <w:r/>
    </w:p>
    <w:p>
      <w:pPr>
        <w:pStyle w:val="861"/>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r/>
    </w:p>
    <w:p>
      <w:pPr>
        <w:pStyle w:val="861"/>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r/>
    </w:p>
    <w:p>
      <w:pPr>
        <w:pStyle w:val="861"/>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86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6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pStyle w:val="86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6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color w:val="000000" w:themeColor="text1"/>
          <w:highlight w:val="none"/>
        </w:rPr>
      </w:r>
      <w:r/>
    </w:p>
    <w:p>
      <w:pPr>
        <w:pStyle w:val="861"/>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61"/>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r/>
    </w:p>
    <w:p>
      <w:pPr>
        <w:pStyle w:val="861"/>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color w:val="000000" w:themeColor="text1"/>
          <w:highlight w:val="none"/>
        </w:rPr>
      </w:r>
      <w:r/>
    </w:p>
    <w:p>
      <w:pPr>
        <w:pStyle w:val="861"/>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6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rPr>
        <w:t xml:space="preserve">JSZC-320200-JZCG-G2025-0197</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r/>
    </w:p>
    <w:p>
      <w:pPr>
        <w:pStyle w:val="861"/>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8"/>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pStyle w:val="861"/>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pStyle w:val="861"/>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6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61"/>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61"/>
        <w:spacing w:line="4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61"/>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color w:val="000000" w:themeColor="text1"/>
          <w:highlight w:val="none"/>
        </w:rPr>
      </w:r>
      <w:r/>
    </w:p>
    <w:p>
      <w:pPr>
        <w:pStyle w:val="861"/>
        <w:ind w:firstLine="602"/>
        <w:rPr>
          <w:rFonts w:hint="eastAsia"/>
          <w:b/>
          <w:color w:val="000000" w:themeColor="text1"/>
          <w:sz w:val="30"/>
          <w:szCs w:val="30"/>
          <w:highlight w:val="none"/>
        </w:rPr>
        <w:outlineLvl w:val="0"/>
      </w:pPr>
      <w:r>
        <w:rPr>
          <w:rFonts w:hint="eastAsia"/>
          <w:b/>
          <w:color w:val="000000" w:themeColor="text1"/>
          <w:sz w:val="30"/>
          <w:szCs w:val="30"/>
          <w:highlight w:val="none"/>
        </w:rPr>
      </w:r>
      <w:r>
        <w:rPr>
          <w:color w:val="000000" w:themeColor="text1"/>
          <w:highlight w:val="none"/>
        </w:rPr>
      </w:r>
      <w:r/>
    </w:p>
    <w:p>
      <w:pPr>
        <w:pStyle w:val="861"/>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r/>
    </w:p>
    <w:p>
      <w:pPr>
        <w:pStyle w:val="861"/>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rPr>
        <w:t xml:space="preserve">JSZC-320200-JZCG-G2025-0197</w:t>
      </w:r>
      <w:r>
        <w:rPr>
          <w:rFonts w:hint="eastAsia" w:ascii="宋体" w:hAnsi="宋体"/>
          <w:color w:val="000000" w:themeColor="text1"/>
          <w:sz w:val="24"/>
          <w:szCs w:val="24"/>
          <w:highlight w:val="none"/>
        </w:rPr>
        <w:t xml:space="preserve">在此对服务保障做如下承诺：</w:t>
      </w:r>
      <w:r>
        <w:rPr>
          <w:color w:val="000000" w:themeColor="text1"/>
          <w:highlight w:val="none"/>
        </w:rPr>
      </w:r>
      <w:r/>
    </w:p>
    <w:p>
      <w:pPr>
        <w:pStyle w:val="861"/>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rPr>
          <w:color w:val="000000" w:themeColor="text1"/>
          <w:highlight w:val="none"/>
        </w:rPr>
      </w: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rPr>
          <w:color w:val="000000" w:themeColor="text1"/>
          <w:highlight w:val="none"/>
        </w:rPr>
      </w: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color w:val="000000" w:themeColor="text1"/>
          <w:highlight w:val="none"/>
        </w:rPr>
      </w: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p>
      <w:pPr>
        <w:pStyle w:val="86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p>
      <w:pPr>
        <w:pStyle w:val="861"/>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p>
      <w:pPr>
        <w:pStyle w:val="861"/>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861"/>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color w:val="000000" w:themeColor="text1"/>
          <w:highlight w:val="none"/>
        </w:rPr>
      </w:r>
      <w:r/>
    </w:p>
    <w:p>
      <w:pPr>
        <w:pStyle w:val="861"/>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61"/>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rPr>
          <w:color w:val="000000" w:themeColor="text1"/>
          <w:highlight w:val="none"/>
        </w:rPr>
      </w:r>
      <w:r/>
    </w:p>
    <w:p>
      <w:pPr>
        <w:pStyle w:val="86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61"/>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rPr>
          <w:color w:val="000000" w:themeColor="text1"/>
          <w:highlight w:val="none"/>
        </w:rPr>
      </w:r>
      <w:r/>
    </w:p>
    <w:p>
      <w:pPr>
        <w:pStyle w:val="86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color w:val="000000" w:themeColor="text1"/>
          <w:highlight w:val="none"/>
        </w:rPr>
      </w:r>
      <w:r/>
    </w:p>
    <w:p>
      <w:pPr>
        <w:pStyle w:val="861"/>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r/>
    </w:p>
    <w:p>
      <w:pPr>
        <w:pStyle w:val="861"/>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color w:val="000000" w:themeColor="text1"/>
          <w:highlight w:val="none"/>
        </w:rPr>
      </w:r>
      <w:r/>
    </w:p>
    <w:p>
      <w:pPr>
        <w:pStyle w:val="861"/>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6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color w:val="000000" w:themeColor="text1"/>
          <w:highlight w:val="none"/>
        </w:rPr>
      </w:r>
      <w:r/>
    </w:p>
    <w:p>
      <w:pPr>
        <w:pStyle w:val="86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6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JSZC-320200-JZCG-G2025-0197</w:t>
      </w:r>
      <w:r>
        <w:rPr>
          <w:color w:val="000000" w:themeColor="text1"/>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highlight w:val="none"/>
              </w:rPr>
            </w:r>
            <w:r/>
          </w:p>
        </w:tc>
        <w:tc>
          <w:tcPr>
            <w:tcW w:w="3188"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小写</w:t>
            </w:r>
            <w:r>
              <w:rPr>
                <w:rFonts w:ascii="宋体" w:hAnsi="宋体"/>
                <w:b/>
                <w:bCs/>
                <w:color w:val="000000" w:themeColor="text1"/>
                <w:sz w:val="24"/>
                <w:szCs w:val="24"/>
                <w:highlight w:val="none"/>
              </w:rPr>
              <w:t xml:space="preserve">)</w:t>
            </w:r>
            <w:r>
              <w:rPr>
                <w:color w:val="000000" w:themeColor="text1"/>
                <w:highlight w:val="none"/>
              </w:rPr>
            </w:r>
            <w:r/>
          </w:p>
        </w:tc>
      </w:tr>
      <w:tr>
        <w:trPr>
          <w:cantSplit/>
          <w:trHeight w:val="1630"/>
        </w:trPr>
        <w:tc>
          <w:tcPr>
            <w:tcW w:w="5697" w:type="dxa"/>
            <w:vAlign w:val="center"/>
            <w:textDirection w:val="lrTb"/>
            <w:noWrap w:val="false"/>
          </w:tcPr>
          <w:p>
            <w:pPr>
              <w:pStyle w:val="977"/>
              <w:jc w:val="center"/>
              <w:spacing w:line="400" w:lineRule="exact"/>
              <w:rPr>
                <w:rFonts w:hint="eastAsia" w:hAnsi="宋体"/>
                <w:bCs/>
                <w:color w:val="000000" w:themeColor="text1"/>
                <w:szCs w:val="24"/>
                <w:highlight w:val="none"/>
              </w:rPr>
            </w:pPr>
            <w:r>
              <w:rPr>
                <w:rFonts w:hint="eastAsia" w:hAnsi="宋体"/>
                <w:bCs/>
                <w:color w:val="000000" w:themeColor="text1"/>
                <w:szCs w:val="24"/>
                <w:highlight w:val="none"/>
              </w:rPr>
              <w:t xml:space="preserve">无锡市中级人民法院物业服务</w:t>
            </w:r>
            <w:r>
              <w:rPr>
                <w:color w:val="000000" w:themeColor="text1"/>
                <w:highlight w:val="none"/>
              </w:rPr>
            </w:r>
            <w:r/>
          </w:p>
        </w:tc>
        <w:tc>
          <w:tcPr>
            <w:tcW w:w="3188" w:type="dxa"/>
            <w:vAlign w:val="center"/>
            <w:textDirection w:val="lrTb"/>
            <w:noWrap w:val="false"/>
          </w:tcPr>
          <w:p>
            <w:pPr>
              <w:pStyle w:val="977"/>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r/>
          </w:p>
        </w:tc>
      </w:tr>
      <w:tr>
        <w:trPr>
          <w:cantSplit/>
          <w:trHeight w:val="780"/>
        </w:trPr>
        <w:tc>
          <w:tcPr>
            <w:gridSpan w:val="2"/>
            <w:tcW w:w="8885" w:type="dxa"/>
            <w:vAlign w:val="center"/>
            <w:textDirection w:val="lrTb"/>
            <w:noWrap w:val="false"/>
          </w:tcPr>
          <w:p>
            <w:pPr>
              <w:pStyle w:val="861"/>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color w:val="000000" w:themeColor="text1"/>
                <w:highlight w:val="none"/>
              </w:rPr>
            </w:r>
            <w:r/>
          </w:p>
        </w:tc>
      </w:tr>
    </w:tbl>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r/>
    </w:p>
    <w:p>
      <w:pPr>
        <w:pStyle w:val="861"/>
        <w:spacing w:line="360" w:lineRule="auto"/>
        <w:rPr>
          <w:rFonts w:ascii="宋体" w:hAnsi="宋体"/>
          <w:bCs/>
          <w:color w:val="000000" w:themeColor="text1"/>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Start w:id="202" w:name="_Toc120614284"/>
      <w:r>
        <w:rPr>
          <w:color w:val="000000" w:themeColor="text1"/>
          <w:highlight w:val="none"/>
        </w:rPr>
      </w:r>
      <w:r/>
    </w:p>
    <w:p>
      <w:pPr>
        <w:pStyle w:val="861"/>
        <w:jc w:val="center"/>
        <w:spacing w:line="400" w:lineRule="exact"/>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分项报价表</w:t>
      </w:r>
      <w:r>
        <w:rPr>
          <w:color w:val="000000" w:themeColor="text1"/>
          <w:highlight w:val="none"/>
        </w:rPr>
      </w: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JSZC-320200-JZCG-G2025-0197</w:t>
      </w:r>
      <w:r>
        <w:rPr>
          <w:color w:val="000000" w:themeColor="text1"/>
          <w:highlight w:val="none"/>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rPr>
                <w:color w:val="000000" w:themeColor="text1"/>
                <w:highlight w:val="none"/>
              </w:rPr>
            </w:r>
            <w:r/>
          </w:p>
        </w:tc>
        <w:tc>
          <w:tcPr>
            <w:tcW w:w="3575"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rPr>
                <w:color w:val="000000" w:themeColor="text1"/>
                <w:highlight w:val="none"/>
              </w:rPr>
            </w:r>
            <w:r/>
          </w:p>
        </w:tc>
        <w:tc>
          <w:tcPr>
            <w:tcW w:w="1465"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color w:val="000000" w:themeColor="text1"/>
                <w:highlight w:val="none"/>
              </w:rPr>
            </w:r>
            <w:r/>
          </w:p>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rPr>
                <w:color w:val="000000" w:themeColor="text1"/>
                <w:highlight w:val="none"/>
              </w:rPr>
            </w:r>
            <w:r/>
          </w:p>
        </w:tc>
        <w:tc>
          <w:tcPr>
            <w:tcW w:w="1418"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color w:val="000000" w:themeColor="text1"/>
                <w:highlight w:val="none"/>
              </w:rPr>
            </w:r>
            <w:r/>
          </w:p>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rPr>
                <w:color w:val="000000" w:themeColor="text1"/>
                <w:highlight w:val="none"/>
              </w:rPr>
            </w:r>
            <w:r/>
          </w:p>
        </w:tc>
        <w:tc>
          <w:tcPr>
            <w:tcW w:w="1842"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（2）</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交通费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通讯费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培训费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员工餐费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（7）</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其他费用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b/>
                <w:color w:val="000000" w:themeColor="text1"/>
                <w:highlight w:val="none"/>
              </w:rPr>
              <w:t xml:space="preserve">服装费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保洁工具</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（2）</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3575" w:type="dxa"/>
            <w:vAlign w:val="center"/>
            <w:textDirection w:val="lrTb"/>
            <w:noWrap w:val="false"/>
          </w:tcPr>
          <w:p>
            <w:pPr>
              <w:pStyle w:val="861"/>
              <w:rPr>
                <w:rFonts w:hint="eastAsia" w:ascii="宋体" w:hAnsi="宋体"/>
                <w:color w:val="000000" w:themeColor="text1"/>
                <w:highlight w:val="none"/>
              </w:rPr>
            </w:pPr>
            <w:r>
              <w:rPr>
                <w:rFonts w:hint="eastAsia" w:ascii="宋体" w:hAnsi="宋体"/>
                <w:color w:val="000000" w:themeColor="text1"/>
                <w:highlight w:val="none"/>
              </w:rPr>
              <w:t xml:space="preserve">其他费用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5</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rPr>
                <w:color w:val="000000" w:themeColor="text1"/>
                <w:highlight w:val="none"/>
              </w:rPr>
            </w: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6</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9</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ascii="宋体" w:hAnsi="宋体"/>
                <w:b/>
                <w:color w:val="000000" w:themeColor="text1"/>
                <w:highlight w:val="none"/>
              </w:rPr>
            </w:pPr>
            <w:r>
              <w:rPr>
                <w:rFonts w:hint="eastAsia" w:ascii="宋体" w:hAnsi="宋体"/>
                <w:b/>
                <w:color w:val="000000" w:themeColor="text1"/>
                <w:highlight w:val="none"/>
              </w:rPr>
              <w:t xml:space="preserve">10</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61"/>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tc>
        <w:tc>
          <w:tcPr>
            <w:tcW w:w="3575" w:type="dxa"/>
            <w:vAlign w:val="center"/>
            <w:textDirection w:val="lrTb"/>
            <w:noWrap w:val="false"/>
          </w:tcPr>
          <w:p>
            <w:pPr>
              <w:pStyle w:val="861"/>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rPr>
                <w:color w:val="000000" w:themeColor="text1"/>
                <w:highlight w:val="none"/>
              </w:rPr>
            </w:r>
            <w:r/>
          </w:p>
        </w:tc>
        <w:tc>
          <w:tcPr>
            <w:tcW w:w="1465"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418"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bl>
    <w:p>
      <w:pPr>
        <w:pStyle w:val="861"/>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61"/>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color w:val="000000" w:themeColor="text1"/>
          <w:highlight w:val="none"/>
        </w:rPr>
      </w:r>
      <w:r/>
    </w:p>
    <w:p>
      <w:pPr>
        <w:pStyle w:val="861"/>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color w:val="000000" w:themeColor="text1"/>
          <w:highlight w:val="none"/>
        </w:rPr>
      </w:r>
      <w:r/>
    </w:p>
    <w:p>
      <w:pPr>
        <w:pStyle w:val="861"/>
        <w:ind w:firstLine="420"/>
        <w:rPr>
          <w:rFonts w:ascii="宋体" w:hAnsi="Calibri"/>
          <w:bCs/>
          <w:color w:val="000000" w:themeColor="text1"/>
          <w:highlight w:val="none"/>
        </w:rPr>
        <w:outlineLvl w:val="0"/>
      </w:pPr>
      <w:r>
        <w:rPr>
          <w:rFonts w:hint="eastAsia" w:ascii="宋体" w:hAnsi="宋体"/>
          <w:bCs/>
          <w:color w:val="000000" w:themeColor="text1"/>
          <w:highlight w:val="none"/>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color w:val="000000" w:themeColor="text1"/>
          <w:highlight w:val="none"/>
        </w:rPr>
      </w:r>
      <w:r/>
    </w:p>
    <w:p>
      <w:pPr>
        <w:pStyle w:val="861"/>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rPr>
          <w:color w:val="000000" w:themeColor="text1"/>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color w:val="000000" w:themeColor="text1"/>
                <w:highlight w:val="none"/>
              </w:rPr>
            </w:r>
            <w:r/>
          </w:p>
        </w:tc>
        <w:tc>
          <w:tcPr>
            <w:tcW w:w="1985"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rPr>
                <w:color w:val="000000" w:themeColor="text1"/>
                <w:highlight w:val="none"/>
              </w:rPr>
            </w: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rPr>
                <w:color w:val="000000" w:themeColor="text1"/>
                <w:highlight w:val="none"/>
              </w:rPr>
            </w:r>
            <w:r/>
          </w:p>
        </w:tc>
        <w:tc>
          <w:tcPr>
            <w:tcW w:w="141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rPr>
                <w:color w:val="000000" w:themeColor="text1"/>
                <w:highlight w:val="none"/>
              </w:rPr>
            </w: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color w:val="000000" w:themeColor="text1"/>
                <w:highlight w:val="none"/>
              </w:rPr>
            </w: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color w:val="000000" w:themeColor="text1"/>
                <w:highlight w:val="none"/>
              </w:rPr>
            </w: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color w:val="000000" w:themeColor="text1"/>
                <w:highlight w:val="none"/>
              </w:rPr>
            </w: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color w:val="000000" w:themeColor="text1"/>
                <w:highlight w:val="none"/>
              </w:rPr>
            </w: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color w:val="000000" w:themeColor="text1"/>
                <w:highlight w:val="none"/>
              </w:rPr>
            </w:r>
            <w:r/>
          </w:p>
        </w:tc>
        <w:tc>
          <w:tcPr>
            <w:tcW w:w="184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rPr>
                <w:color w:val="000000" w:themeColor="text1"/>
                <w:highlight w:val="none"/>
              </w:rPr>
            </w:r>
            <w:r/>
          </w:p>
        </w:tc>
        <w:tc>
          <w:tcPr>
            <w:tcW w:w="1985"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rPr>
                <w:color w:val="000000" w:themeColor="text1"/>
                <w:highlight w:val="none"/>
              </w:rPr>
            </w:r>
            <w:r/>
          </w:p>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top"/>
            <w:textDirection w:val="lrTb"/>
            <w:noWrap w:val="false"/>
          </w:tcPr>
          <w:p>
            <w:pPr>
              <w:pStyle w:val="861"/>
              <w:rPr>
                <w:color w:val="000000" w:themeColor="text1"/>
                <w:highlight w:val="none"/>
              </w:rPr>
            </w:pPr>
            <w:r>
              <w:rPr>
                <w:color w:val="000000" w:themeColor="text1"/>
                <w:highlight w:val="none"/>
              </w:rPr>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r/>
          </w:p>
        </w:tc>
      </w:tr>
      <w:tr>
        <w:trPr/>
        <w:tc>
          <w:tcPr>
            <w:tcW w:w="681"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tcW w:w="681"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rPr>
                <w:color w:val="000000" w:themeColor="text1"/>
                <w:highlight w:val="none"/>
              </w:rPr>
            </w:r>
            <w:r/>
          </w:p>
        </w:tc>
        <w:tc>
          <w:tcPr>
            <w:tcW w:w="1985"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rPr>
                <w:color w:val="000000" w:themeColor="text1"/>
                <w:highlight w:val="none"/>
              </w:rPr>
            </w: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tcW w:w="681" w:type="dxa"/>
            <w:vAlign w:val="center"/>
            <w:textDirection w:val="lrTb"/>
            <w:noWrap w:val="false"/>
          </w:tcPr>
          <w:p>
            <w:pPr>
              <w:pStyle w:val="86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top"/>
            <w:textDirection w:val="lrTb"/>
            <w:noWrap w:val="false"/>
          </w:tcPr>
          <w:p>
            <w:pPr>
              <w:pStyle w:val="861"/>
              <w:rPr>
                <w:color w:val="000000" w:themeColor="text1"/>
                <w:highlight w:val="none"/>
              </w:rPr>
            </w:pPr>
            <w:r>
              <w:rPr>
                <w:rFonts w:hint="eastAsia" w:ascii="宋体" w:hAnsi="宋体"/>
                <w:color w:val="000000" w:themeColor="text1"/>
                <w:sz w:val="18"/>
                <w:szCs w:val="18"/>
                <w:highlight w:val="none"/>
              </w:rPr>
              <w:t xml:space="preserve">按人员配置总数计算</w:t>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tcW w:w="68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color w:val="000000" w:themeColor="text1"/>
                <w:highlight w:val="none"/>
              </w:rPr>
            </w:r>
            <w:r/>
          </w:p>
        </w:tc>
        <w:tc>
          <w:tcPr>
            <w:tcW w:w="198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gridSpan w:val="2"/>
            <w:tcW w:w="2666"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41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84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bl>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rPr>
        <w:t xml:space="preserve">以上人员费用须包括工资、社保等内容，须符合国家</w:t>
      </w:r>
      <w:r>
        <w:rPr>
          <w:rFonts w:hint="eastAsia" w:ascii="宋体" w:hAnsi="宋体"/>
          <w:bCs/>
          <w:color w:val="000000" w:themeColor="text1"/>
          <w:highlight w:val="none"/>
        </w:rPr>
        <w:t xml:space="preserve">、省、市相关政策规定；</w:t>
      </w:r>
      <w:r>
        <w:rPr>
          <w:rFonts w:hint="eastAsia" w:ascii="宋体" w:hAnsi="宋体"/>
          <w:bCs/>
          <w:color w:val="000000" w:themeColor="text1"/>
          <w:highlight w:val="none"/>
        </w:rPr>
        <w:t xml:space="preserve">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rPr>
          <w:color w:val="000000" w:themeColor="text1"/>
          <w:highlight w:val="none"/>
        </w:rPr>
      </w:r>
      <w:r/>
    </w:p>
    <w:p>
      <w:pPr>
        <w:pStyle w:val="861"/>
        <w:ind w:firstLine="405"/>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color w:val="000000" w:themeColor="text1"/>
          <w:highlight w:val="none"/>
        </w:rPr>
      </w:r>
      <w:r/>
    </w:p>
    <w:p>
      <w:pPr>
        <w:pStyle w:val="861"/>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rPr>
          <w:color w:val="000000" w:themeColor="text1"/>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color w:val="000000" w:themeColor="text1"/>
                <w:highlight w:val="none"/>
              </w:rPr>
            </w:r>
            <w:r/>
          </w:p>
        </w:tc>
        <w:tc>
          <w:tcPr>
            <w:tcW w:w="992"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rPr>
                <w:color w:val="000000" w:themeColor="text1"/>
                <w:highlight w:val="none"/>
              </w:rPr>
            </w:r>
            <w:r/>
          </w:p>
        </w:tc>
        <w:tc>
          <w:tcPr>
            <w:tcW w:w="709"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rPr>
                <w:color w:val="000000" w:themeColor="text1"/>
                <w:highlight w:val="none"/>
              </w:rPr>
            </w:r>
            <w:r/>
          </w:p>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rPr>
                <w:color w:val="000000" w:themeColor="text1"/>
                <w:highlight w:val="none"/>
              </w:rPr>
            </w:r>
            <w:r/>
          </w:p>
        </w:tc>
        <w:tc>
          <w:tcPr>
            <w:tcW w:w="709"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rPr>
                <w:color w:val="000000" w:themeColor="text1"/>
                <w:highlight w:val="none"/>
              </w:rPr>
            </w:r>
            <w:r/>
          </w:p>
        </w:tc>
        <w:tc>
          <w:tcPr>
            <w:tcW w:w="850"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rPr>
                <w:color w:val="000000" w:themeColor="text1"/>
                <w:highlight w:val="none"/>
              </w:rPr>
            </w: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color w:val="000000" w:themeColor="text1"/>
                <w:highlight w:val="none"/>
              </w:rPr>
            </w:r>
            <w:r/>
          </w:p>
        </w:tc>
        <w:tc>
          <w:tcPr>
            <w:tcW w:w="1276"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color w:val="000000" w:themeColor="text1"/>
                <w:highlight w:val="none"/>
              </w:rPr>
            </w: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color w:val="000000" w:themeColor="text1"/>
                <w:highlight w:val="none"/>
              </w:rPr>
            </w:r>
            <w:r/>
          </w:p>
        </w:tc>
        <w:tc>
          <w:tcPr>
            <w:tcW w:w="1276"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color w:val="000000" w:themeColor="text1"/>
                <w:highlight w:val="none"/>
              </w:rPr>
            </w:r>
            <w:r/>
          </w:p>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color w:val="000000" w:themeColor="text1"/>
                <w:highlight w:val="none"/>
              </w:rPr>
            </w:r>
            <w:r/>
          </w:p>
        </w:tc>
        <w:tc>
          <w:tcPr>
            <w:tcW w:w="1134" w:type="dxa"/>
            <w:vAlign w:val="center"/>
            <w:textDirection w:val="lrTb"/>
            <w:noWrap w:val="false"/>
          </w:tcPr>
          <w:p>
            <w:pPr>
              <w:pStyle w:val="861"/>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rPr>
                <w:color w:val="000000" w:themeColor="text1"/>
                <w:highlight w:val="none"/>
              </w:rPr>
            </w: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r/>
          </w:p>
        </w:tc>
        <w:tc>
          <w:tcPr>
            <w:tcW w:w="709"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rPr>
                <w:color w:val="000000" w:themeColor="text1"/>
                <w:highlight w:val="none"/>
              </w:rPr>
            </w: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85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85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gridSpan w:val="6"/>
            <w:tcW w:w="521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color w:val="000000" w:themeColor="text1"/>
                <w:highlight w:val="none"/>
              </w:rPr>
            </w: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276"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bl>
    <w:p>
      <w:pPr>
        <w:pStyle w:val="861"/>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rPr>
          <w:color w:val="000000" w:themeColor="text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color w:val="000000" w:themeColor="text1"/>
                <w:highlight w:val="none"/>
              </w:rPr>
            </w:r>
            <w:r/>
          </w:p>
        </w:tc>
        <w:tc>
          <w:tcPr>
            <w:tcW w:w="851"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rPr>
                <w:color w:val="000000" w:themeColor="text1"/>
                <w:highlight w:val="none"/>
              </w:rPr>
            </w:r>
            <w:r/>
          </w:p>
        </w:tc>
        <w:tc>
          <w:tcPr>
            <w:tcW w:w="708"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rPr>
                <w:color w:val="000000" w:themeColor="text1"/>
                <w:highlight w:val="none"/>
              </w:rPr>
            </w:r>
            <w:r/>
          </w:p>
        </w:tc>
        <w:tc>
          <w:tcPr>
            <w:tcW w:w="993"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color w:val="000000" w:themeColor="text1"/>
                <w:highlight w:val="none"/>
              </w:rPr>
            </w:r>
            <w:r/>
          </w:p>
        </w:tc>
        <w:tc>
          <w:tcPr>
            <w:tcW w:w="99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rPr>
                <w:color w:val="000000" w:themeColor="text1"/>
                <w:highlight w:val="none"/>
              </w:rPr>
            </w:r>
            <w:r/>
          </w:p>
        </w:tc>
        <w:tc>
          <w:tcPr>
            <w:tcW w:w="709"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rPr>
                <w:color w:val="000000" w:themeColor="text1"/>
                <w:highlight w:val="none"/>
              </w:rPr>
            </w:r>
            <w:r/>
          </w:p>
        </w:tc>
        <w:tc>
          <w:tcPr>
            <w:tcW w:w="1275"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rPr>
                <w:color w:val="000000" w:themeColor="text1"/>
                <w:highlight w:val="none"/>
              </w:rPr>
            </w:r>
            <w:r/>
          </w:p>
        </w:tc>
        <w:tc>
          <w:tcPr>
            <w:tcW w:w="1560"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rPr>
                <w:color w:val="000000" w:themeColor="text1"/>
                <w:highlight w:val="none"/>
              </w:rPr>
            </w:r>
            <w:r/>
          </w:p>
        </w:tc>
        <w:tc>
          <w:tcPr>
            <w:tcW w:w="1134"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rPr>
                <w:color w:val="000000" w:themeColor="text1"/>
                <w:highlight w:val="none"/>
              </w:rPr>
            </w: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85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708"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993"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27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56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tcW w:w="817" w:type="dxa"/>
            <w:vAlign w:val="center"/>
            <w:textDirection w:val="lrTb"/>
            <w:noWrap w:val="false"/>
          </w:tcPr>
          <w:p>
            <w:pPr>
              <w:pStyle w:val="861"/>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rPr>
                <w:color w:val="000000" w:themeColor="text1"/>
                <w:highlight w:val="none"/>
              </w:rPr>
            </w:r>
            <w:r/>
          </w:p>
        </w:tc>
        <w:tc>
          <w:tcPr>
            <w:tcW w:w="851"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708"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993"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992"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709"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27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56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r>
        <w:trPr/>
        <w:tc>
          <w:tcPr>
            <w:gridSpan w:val="6"/>
            <w:tcW w:w="507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color w:val="000000" w:themeColor="text1"/>
                <w:highlight w:val="none"/>
              </w:rPr>
            </w:r>
            <w:r/>
          </w:p>
        </w:tc>
        <w:tc>
          <w:tcPr>
            <w:tcW w:w="1275"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560"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c>
          <w:tcPr>
            <w:tcW w:w="1134"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rPr>
                <w:color w:val="000000" w:themeColor="text1"/>
                <w:highlight w:val="none"/>
              </w:rPr>
            </w:r>
            <w:r/>
          </w:p>
        </w:tc>
      </w:tr>
    </w:tbl>
    <w:p>
      <w:pPr>
        <w:pStyle w:val="861"/>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rPr>
          <w:color w:val="000000" w:themeColor="text1"/>
          <w:highlight w:val="none"/>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rPr>
                <w:color w:val="000000" w:themeColor="text1"/>
                <w:highlight w:val="none"/>
              </w:rPr>
            </w:r>
            <w:r/>
          </w:p>
        </w:tc>
        <w:tc>
          <w:tcPr>
            <w:tcW w:w="3023"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rPr>
                <w:color w:val="000000" w:themeColor="text1"/>
                <w:highlight w:val="none"/>
              </w:rPr>
            </w:r>
            <w:r/>
          </w:p>
        </w:tc>
        <w:tc>
          <w:tcPr>
            <w:tcW w:w="1214"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rPr>
                <w:color w:val="000000" w:themeColor="text1"/>
                <w:highlight w:val="none"/>
              </w:rPr>
            </w:r>
            <w:r/>
          </w:p>
        </w:tc>
        <w:tc>
          <w:tcPr>
            <w:tcW w:w="1442"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color w:val="000000" w:themeColor="text1"/>
                <w:highlight w:val="none"/>
              </w:rPr>
            </w:r>
            <w:r/>
          </w:p>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rPr>
                <w:color w:val="000000" w:themeColor="text1"/>
                <w:highlight w:val="none"/>
              </w:rPr>
            </w:r>
            <w:r/>
          </w:p>
        </w:tc>
        <w:tc>
          <w:tcPr>
            <w:tcW w:w="1413" w:type="dxa"/>
            <w:vAlign w:val="center"/>
            <w:textDirection w:val="lrTb"/>
            <w:noWrap w:val="false"/>
          </w:tcPr>
          <w:p>
            <w:pPr>
              <w:pStyle w:val="861"/>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rPr>
                <w:color w:val="000000" w:themeColor="text1"/>
                <w:highlight w:val="none"/>
              </w:rPr>
            </w:r>
            <w:r/>
          </w:p>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rPr>
                <w:color w:val="000000" w:themeColor="text1"/>
                <w:highlight w:val="none"/>
              </w:rPr>
            </w:r>
            <w:r/>
          </w:p>
        </w:tc>
        <w:tc>
          <w:tcPr>
            <w:tcW w:w="988" w:type="dxa"/>
            <w:vAlign w:val="center"/>
            <w:textDirection w:val="lrTb"/>
            <w:noWrap w:val="false"/>
          </w:tcPr>
          <w:p>
            <w:pPr>
              <w:pStyle w:val="861"/>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rPr>
                <w:color w:val="000000" w:themeColor="text1"/>
                <w:highlight w:val="none"/>
              </w:rPr>
            </w:r>
            <w:r/>
          </w:p>
        </w:tc>
      </w:tr>
      <w:tr>
        <w:trPr/>
        <w:tc>
          <w:tcPr>
            <w:tcW w:w="867" w:type="dxa"/>
            <w:vAlign w:val="center"/>
            <w:textDirection w:val="lrTb"/>
            <w:noWrap w:val="false"/>
          </w:tcPr>
          <w:p>
            <w:pPr>
              <w:pStyle w:val="86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3023" w:type="dxa"/>
            <w:vAlign w:val="center"/>
            <w:textDirection w:val="lrTb"/>
            <w:noWrap w:val="false"/>
          </w:tcPr>
          <w:p>
            <w:pPr>
              <w:pStyle w:val="861"/>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rPr>
                <w:color w:val="000000" w:themeColor="text1"/>
                <w:highlight w:val="none"/>
              </w:rPr>
            </w:r>
            <w:r/>
          </w:p>
        </w:tc>
        <w:tc>
          <w:tcPr>
            <w:tcW w:w="1214"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1442"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1413"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988"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r>
      <w:tr>
        <w:trPr/>
        <w:tc>
          <w:tcPr>
            <w:tcW w:w="867" w:type="dxa"/>
            <w:vAlign w:val="center"/>
            <w:textDirection w:val="lrTb"/>
            <w:noWrap w:val="false"/>
          </w:tcPr>
          <w:p>
            <w:pPr>
              <w:pStyle w:val="861"/>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rPr>
                <w:color w:val="000000" w:themeColor="text1"/>
                <w:highlight w:val="none"/>
              </w:rPr>
            </w:r>
            <w:r/>
          </w:p>
        </w:tc>
        <w:tc>
          <w:tcPr>
            <w:tcW w:w="3023" w:type="dxa"/>
            <w:vAlign w:val="center"/>
            <w:textDirection w:val="lrTb"/>
            <w:noWrap w:val="false"/>
          </w:tcPr>
          <w:p>
            <w:pPr>
              <w:pStyle w:val="861"/>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rPr>
                <w:color w:val="000000" w:themeColor="text1"/>
                <w:highlight w:val="none"/>
              </w:rPr>
            </w:r>
            <w:r/>
          </w:p>
        </w:tc>
        <w:tc>
          <w:tcPr>
            <w:tcW w:w="1214"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1442"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1413"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988"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r>
      <w:tr>
        <w:trPr/>
        <w:tc>
          <w:tcPr>
            <w:gridSpan w:val="3"/>
            <w:tcW w:w="5104" w:type="dxa"/>
            <w:vAlign w:val="center"/>
            <w:textDirection w:val="lrTb"/>
            <w:noWrap w:val="false"/>
          </w:tcPr>
          <w:p>
            <w:pPr>
              <w:pStyle w:val="86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rPr>
                <w:color w:val="000000" w:themeColor="text1"/>
                <w:highlight w:val="none"/>
              </w:rPr>
            </w:r>
            <w:r/>
          </w:p>
        </w:tc>
        <w:tc>
          <w:tcPr>
            <w:tcW w:w="1442"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1413"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c>
          <w:tcPr>
            <w:tcW w:w="988" w:type="dxa"/>
            <w:vAlign w:val="center"/>
            <w:textDirection w:val="lrTb"/>
            <w:noWrap w:val="false"/>
          </w:tcPr>
          <w:p>
            <w:pPr>
              <w:pStyle w:val="861"/>
              <w:jc w:val="center"/>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r/>
          </w:p>
        </w:tc>
      </w:tr>
    </w:tbl>
    <w:p>
      <w:pPr>
        <w:pStyle w:val="861"/>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rPr>
          <w:color w:val="000000" w:themeColor="text1"/>
          <w:highlight w:val="none"/>
        </w:rPr>
      </w:r>
      <w:r/>
    </w:p>
    <w:p>
      <w:pPr>
        <w:pStyle w:val="861"/>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color w:val="000000" w:themeColor="text1"/>
          <w:highlight w:val="none"/>
        </w:rPr>
      </w:r>
      <w:r/>
    </w:p>
    <w:p>
      <w:pPr>
        <w:pStyle w:val="861"/>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61"/>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pStyle w:val="86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6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6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JSZC-320200-JZCG-G2025-0197</w:t>
      </w:r>
      <w:r>
        <w:rPr>
          <w:color w:val="000000" w:themeColor="text1"/>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pStyle w:val="861"/>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61"/>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pStyle w:val="861"/>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2"/>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pStyle w:val="86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rPr>
          <w:color w:val="000000" w:themeColor="text1"/>
          <w:highlight w:val="none"/>
        </w:rPr>
      </w:r>
      <w:r/>
    </w:p>
    <w:p>
      <w:pPr>
        <w:pStyle w:val="861"/>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rPr>
          <w:color w:val="000000" w:themeColor="text1"/>
          <w:highlight w:val="none"/>
        </w:rPr>
      </w:r>
      <w:r/>
    </w:p>
    <w:p>
      <w:pPr>
        <w:pStyle w:val="86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r/>
    </w:p>
    <w:p>
      <w:pPr>
        <w:pStyle w:val="861"/>
        <w:rPr>
          <w:color w:val="000000" w:themeColor="text1"/>
          <w:highlight w:val="none"/>
        </w:rPr>
      </w:pPr>
      <w:r>
        <w:rPr>
          <w:color w:val="000000" w:themeColor="text1"/>
          <w:highlight w:val="none"/>
        </w:rPr>
      </w:r>
      <w:r>
        <w:rPr>
          <w:color w:val="000000" w:themeColor="text1"/>
          <w:highlight w:val="none"/>
        </w:rPr>
      </w:r>
      <w:r/>
    </w:p>
    <w:p>
      <w:pPr>
        <w:pStyle w:val="861"/>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rPr>
          <w:color w:val="000000" w:themeColor="text1"/>
          <w:highlight w:val="none"/>
        </w:rPr>
      </w:r>
      <w:r/>
    </w:p>
    <w:p>
      <w:pPr>
        <w:pStyle w:val="861"/>
        <w:ind w:firstLine="420"/>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rPr>
          <w:color w:val="000000" w:themeColor="text1"/>
          <w:highlight w:val="none"/>
        </w:rPr>
      </w:r>
      <w:r/>
    </w:p>
    <w:p>
      <w:pPr>
        <w:pStyle w:val="861"/>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rPr>
          <w:color w:val="000000" w:themeColor="text1"/>
          <w:highlight w:val="none"/>
        </w:rPr>
      </w:r>
      <w:r/>
    </w:p>
    <w:p>
      <w:pPr>
        <w:pStyle w:val="861"/>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61"/>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JSZC-320200-JZCG-G2025-0197</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序号</w:t>
            </w:r>
            <w:r>
              <w:rPr>
                <w:color w:val="000000" w:themeColor="text1"/>
                <w:highlight w:val="none"/>
              </w:rPr>
            </w:r>
            <w:r/>
          </w:p>
        </w:tc>
        <w:tc>
          <w:tcPr>
            <w:tcW w:w="1098"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姓名</w:t>
            </w:r>
            <w:r>
              <w:rPr>
                <w:color w:val="000000" w:themeColor="text1"/>
                <w:highlight w:val="none"/>
              </w:rPr>
            </w:r>
            <w:r/>
          </w:p>
        </w:tc>
        <w:tc>
          <w:tcPr>
            <w:tcW w:w="744"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性别</w:t>
            </w:r>
            <w:r>
              <w:rPr>
                <w:color w:val="000000" w:themeColor="text1"/>
                <w:highlight w:val="none"/>
              </w:rPr>
            </w:r>
            <w:r/>
          </w:p>
        </w:tc>
        <w:tc>
          <w:tcPr>
            <w:tcW w:w="709"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年龄</w:t>
            </w:r>
            <w:r>
              <w:rPr>
                <w:color w:val="000000" w:themeColor="text1"/>
                <w:highlight w:val="none"/>
              </w:rPr>
            </w:r>
            <w:r/>
          </w:p>
        </w:tc>
        <w:tc>
          <w:tcPr>
            <w:tcW w:w="834"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学历</w:t>
            </w:r>
            <w:r>
              <w:rPr>
                <w:color w:val="000000" w:themeColor="text1"/>
                <w:highlight w:val="none"/>
              </w:rPr>
            </w:r>
            <w:r/>
          </w:p>
        </w:tc>
        <w:tc>
          <w:tcPr>
            <w:tcW w:w="1276"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岗位职责</w:t>
            </w:r>
            <w:r>
              <w:rPr>
                <w:color w:val="000000" w:themeColor="text1"/>
                <w:highlight w:val="none"/>
              </w:rPr>
            </w:r>
            <w:r/>
          </w:p>
        </w:tc>
        <w:tc>
          <w:tcPr>
            <w:tcW w:w="1285" w:type="dxa"/>
            <w:vAlign w:val="center"/>
            <w:textDirection w:val="lrTb"/>
            <w:noWrap w:val="false"/>
          </w:tcPr>
          <w:p>
            <w:pPr>
              <w:pStyle w:val="861"/>
              <w:jc w:val="center"/>
              <w:rPr>
                <w:b/>
                <w:color w:val="000000" w:themeColor="text1"/>
                <w:sz w:val="24"/>
                <w:highlight w:val="none"/>
              </w:rPr>
            </w:pPr>
            <w:r>
              <w:rPr>
                <w:rFonts w:hint="eastAsia"/>
                <w:b/>
                <w:color w:val="000000" w:themeColor="text1"/>
                <w:sz w:val="24"/>
                <w:highlight w:val="none"/>
              </w:rPr>
              <w:t xml:space="preserve">人员证书名称</w:t>
            </w:r>
            <w:r>
              <w:rPr>
                <w:color w:val="000000" w:themeColor="text1"/>
                <w:highlight w:val="none"/>
              </w:rPr>
            </w:r>
            <w:r/>
          </w:p>
        </w:tc>
        <w:tc>
          <w:tcPr>
            <w:tcW w:w="1833"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人员经验描述</w:t>
            </w:r>
            <w:r>
              <w:rPr>
                <w:color w:val="000000" w:themeColor="text1"/>
                <w:highlight w:val="none"/>
              </w:rPr>
            </w:r>
            <w:r/>
          </w:p>
          <w:p>
            <w:pPr>
              <w:pStyle w:val="861"/>
              <w:jc w:val="center"/>
              <w:rPr>
                <w:rFonts w:hint="eastAsia"/>
                <w:b/>
                <w:color w:val="000000" w:themeColor="text1"/>
                <w:sz w:val="24"/>
                <w:highlight w:val="none"/>
              </w:rPr>
            </w:pPr>
            <w:r>
              <w:rPr>
                <w:rFonts w:hint="eastAsia"/>
                <w:b/>
                <w:color w:val="000000" w:themeColor="text1"/>
                <w:sz w:val="24"/>
                <w:highlight w:val="none"/>
              </w:rPr>
              <w:t xml:space="preserve">（如有要求）</w:t>
            </w:r>
            <w:r>
              <w:rPr>
                <w:color w:val="000000" w:themeColor="text1"/>
                <w:highlight w:val="none"/>
              </w:rPr>
            </w:r>
            <w:r/>
          </w:p>
        </w:tc>
        <w:tc>
          <w:tcPr>
            <w:tcW w:w="992" w:type="dxa"/>
            <w:vAlign w:val="center"/>
            <w:textDirection w:val="lrTb"/>
            <w:noWrap w:val="false"/>
          </w:tcPr>
          <w:p>
            <w:pPr>
              <w:pStyle w:val="861"/>
              <w:jc w:val="center"/>
              <w:rPr>
                <w:rFonts w:hint="eastAsia"/>
                <w:b/>
                <w:color w:val="000000" w:themeColor="text1"/>
                <w:sz w:val="24"/>
                <w:highlight w:val="none"/>
              </w:rPr>
            </w:pPr>
            <w:r>
              <w:rPr>
                <w:rFonts w:hint="eastAsia"/>
                <w:b/>
                <w:color w:val="000000" w:themeColor="text1"/>
                <w:sz w:val="24"/>
                <w:highlight w:val="none"/>
              </w:rPr>
              <w:t xml:space="preserve">备注</w:t>
            </w:r>
            <w:r>
              <w:rPr>
                <w:color w:val="000000" w:themeColor="text1"/>
                <w:highlight w:val="none"/>
              </w:rPr>
            </w: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834" w:type="dxa"/>
            <w:vAlign w:val="center"/>
            <w:textDirection w:val="lrTb"/>
            <w:noWrap w:val="false"/>
          </w:tcPr>
          <w:p>
            <w:pPr>
              <w:pStyle w:val="861"/>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834" w:type="dxa"/>
            <w:vAlign w:val="center"/>
            <w:textDirection w:val="lrTb"/>
            <w:noWrap w:val="false"/>
          </w:tcPr>
          <w:p>
            <w:pPr>
              <w:pStyle w:val="861"/>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834" w:type="dxa"/>
            <w:vAlign w:val="center"/>
            <w:textDirection w:val="lrTb"/>
            <w:noWrap w:val="false"/>
          </w:tcPr>
          <w:p>
            <w:pPr>
              <w:pStyle w:val="861"/>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t xml:space="preserve">……</w:t>
            </w:r>
            <w:r>
              <w:rPr>
                <w:color w:val="000000" w:themeColor="text1"/>
                <w:highlight w:val="none"/>
              </w:rPr>
            </w: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83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66"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098" w:type="dxa"/>
            <w:vAlign w:val="top"/>
            <w:textDirection w:val="lrTb"/>
            <w:noWrap w:val="false"/>
          </w:tcPr>
          <w:p>
            <w:pPr>
              <w:pStyle w:val="86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4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09"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834"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285"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833"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861"/>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bl>
    <w:p>
      <w:pPr>
        <w:pStyle w:val="861"/>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61"/>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p>
      <w:pPr>
        <w:pStyle w:val="861"/>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rPr>
          <w:color w:val="000000" w:themeColor="text1"/>
          <w:highlight w:val="none"/>
        </w:rPr>
      </w:r>
      <w:r/>
    </w:p>
    <w:p>
      <w:pPr>
        <w:pStyle w:val="861"/>
        <w:rPr>
          <w:rFonts w:hint="eastAsia"/>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rPr>
        <w:t xml:space="preserve"> 上表内容须提供投标人近一年中任意一个月份(不含投标当月)经社保部门确认的社保缴纳名单复印件</w:t>
      </w:r>
      <w:r>
        <w:rPr>
          <w:rFonts w:hint="eastAsia" w:ascii="宋体" w:hAnsi="宋体"/>
          <w:bCs/>
          <w:color w:val="000000" w:themeColor="text1"/>
          <w:highlight w:val="none"/>
        </w:rPr>
        <w:t xml:space="preserve">；</w:t>
      </w:r>
      <w:r>
        <w:rPr>
          <w:rFonts w:hint="eastAsia" w:ascii="宋体" w:hAnsi="宋体"/>
          <w:bCs/>
          <w:color w:val="000000" w:themeColor="text1"/>
          <w:highlight w:val="none"/>
        </w:rPr>
        <w:t xml:space="preserve">若上表中所填报人员有属于“按国家规定可不缴纳社保的人员”的，则该类人员须提供相关证明材料复印件。</w:t>
      </w:r>
      <w:r>
        <w:rPr>
          <w:color w:val="000000" w:themeColor="text1"/>
          <w:highlight w:val="none"/>
        </w:rPr>
      </w:r>
      <w:r/>
    </w:p>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rPr>
          <w:color w:val="000000" w:themeColor="text1"/>
          <w:highlight w:val="none"/>
        </w:rPr>
      </w:r>
      <w:r/>
    </w:p>
    <w:p>
      <w:pPr>
        <w:pStyle w:val="861"/>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rPr>
          <w:color w:val="000000" w:themeColor="text1"/>
          <w:highlight w:val="none"/>
        </w:rPr>
      </w: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howcard Gothic">
    <w:panose1 w:val="040209040201020206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５１</w:t>
    </w:r>
    <w:r>
      <w:rPr>
        <w:rFonts w:ascii="宋体" w:hAnsi="宋体"/>
      </w:rPr>
      <w:fldChar w:fldCharType="end"/>
    </w:r>
    <w:r>
      <w:rPr>
        <w:rStyle w:val="936"/>
        <w:rFonts w:ascii="宋体" w:hAnsi="宋体"/>
      </w:rPr>
    </w:r>
    <w:r/>
  </w:p>
  <w:p>
    <w:pPr>
      <w:pStyle w:val="909"/>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73"/>
    <w:link w:val="861"/>
    <w:qFormat/>
    <w:pPr>
      <w:jc w:val="both"/>
      <w:widowControl w:val="off"/>
    </w:pPr>
    <w:rPr>
      <w:rFonts w:ascii="Times New Roman" w:hAnsi="Times New Roman"/>
      <w:sz w:val="21"/>
      <w:szCs w:val="21"/>
      <w:lang w:val="en-US" w:eastAsia="zh-CN" w:bidi="ar-SA"/>
    </w:rPr>
  </w:style>
  <w:style w:type="paragraph" w:styleId="862">
    <w:name w:val="标题 1"/>
    <w:basedOn w:val="861"/>
    <w:next w:val="861"/>
    <w:link w:val="874"/>
    <w:qFormat/>
    <w:pPr>
      <w:jc w:val="center"/>
      <w:keepNext/>
      <w:outlineLvl w:val="0"/>
    </w:pPr>
    <w:rPr>
      <w:rFonts w:ascii="楷体_GB2312" w:eastAsia="楷体_GB2312"/>
      <w:sz w:val="28"/>
      <w:szCs w:val="28"/>
    </w:rPr>
  </w:style>
  <w:style w:type="paragraph" w:styleId="863">
    <w:name w:val="标题 2"/>
    <w:basedOn w:val="861"/>
    <w:next w:val="876"/>
    <w:link w:val="875"/>
    <w:qFormat/>
    <w:pPr>
      <w:jc w:val="center"/>
      <w:keepLines/>
      <w:keepNext/>
      <w:spacing w:before="260" w:after="260" w:line="416" w:lineRule="auto"/>
      <w:outlineLvl w:val="1"/>
    </w:pPr>
    <w:rPr>
      <w:rFonts w:ascii="Arial" w:hAnsi="Arial" w:eastAsia="幼圆"/>
      <w:b/>
      <w:bCs/>
      <w:sz w:val="44"/>
      <w:szCs w:val="44"/>
    </w:rPr>
  </w:style>
  <w:style w:type="paragraph" w:styleId="864">
    <w:name w:val="标题 3"/>
    <w:basedOn w:val="861"/>
    <w:next w:val="876"/>
    <w:link w:val="878"/>
    <w:qFormat/>
    <w:pPr>
      <w:keepLines/>
      <w:keepNext/>
      <w:spacing w:before="260" w:after="260" w:line="416" w:lineRule="auto"/>
      <w:outlineLvl w:val="2"/>
    </w:pPr>
    <w:rPr>
      <w:b/>
      <w:bCs/>
      <w:sz w:val="32"/>
      <w:szCs w:val="32"/>
    </w:rPr>
  </w:style>
  <w:style w:type="paragraph" w:styleId="865">
    <w:name w:val="标题 4"/>
    <w:basedOn w:val="861"/>
    <w:next w:val="876"/>
    <w:link w:val="879"/>
    <w:qFormat/>
    <w:pPr>
      <w:keepLines/>
      <w:keepNext/>
      <w:spacing w:before="280" w:after="290" w:line="376" w:lineRule="auto"/>
      <w:outlineLvl w:val="3"/>
    </w:pPr>
    <w:rPr>
      <w:rFonts w:ascii="Arial" w:hAnsi="Arial" w:eastAsia="黑体"/>
      <w:b/>
      <w:bCs/>
      <w:sz w:val="28"/>
      <w:szCs w:val="28"/>
    </w:rPr>
  </w:style>
  <w:style w:type="paragraph" w:styleId="866">
    <w:name w:val="标题 5"/>
    <w:basedOn w:val="861"/>
    <w:next w:val="876"/>
    <w:link w:val="880"/>
    <w:qFormat/>
    <w:pPr>
      <w:keepNext/>
      <w:outlineLvl w:val="4"/>
    </w:pPr>
    <w:rPr>
      <w:rFonts w:ascii="宋体"/>
      <w:color w:val="000000"/>
      <w:sz w:val="28"/>
      <w:szCs w:val="28"/>
    </w:rPr>
  </w:style>
  <w:style w:type="paragraph" w:styleId="867">
    <w:name w:val="标题 6"/>
    <w:basedOn w:val="861"/>
    <w:next w:val="861"/>
    <w:link w:val="881"/>
    <w:qFormat/>
    <w:pPr>
      <w:numPr>
        <w:ilvl w:val="5"/>
        <w:numId w:val="0"/>
      </w:numPr>
      <w:keepLines/>
      <w:keepNext/>
      <w:spacing w:before="240" w:after="64" w:line="320" w:lineRule="auto"/>
      <w:outlineLvl w:val="5"/>
    </w:pPr>
    <w:rPr>
      <w:rFonts w:ascii="Arial" w:hAnsi="Arial" w:eastAsia="黑体"/>
      <w:b/>
      <w:bCs/>
      <w:sz w:val="24"/>
      <w:szCs w:val="24"/>
    </w:rPr>
  </w:style>
  <w:style w:type="paragraph" w:styleId="868">
    <w:name w:val="标题 7"/>
    <w:basedOn w:val="861"/>
    <w:next w:val="861"/>
    <w:link w:val="882"/>
    <w:qFormat/>
    <w:pPr>
      <w:numPr>
        <w:ilvl w:val="6"/>
        <w:numId w:val="0"/>
      </w:numPr>
      <w:keepLines/>
      <w:keepNext/>
      <w:spacing w:before="240" w:after="64" w:line="320" w:lineRule="auto"/>
      <w:outlineLvl w:val="6"/>
    </w:pPr>
    <w:rPr>
      <w:b/>
      <w:bCs/>
      <w:sz w:val="24"/>
      <w:szCs w:val="24"/>
    </w:rPr>
  </w:style>
  <w:style w:type="paragraph" w:styleId="869">
    <w:name w:val="标题 8"/>
    <w:basedOn w:val="861"/>
    <w:next w:val="861"/>
    <w:link w:val="883"/>
    <w:qFormat/>
    <w:pPr>
      <w:numPr>
        <w:ilvl w:val="7"/>
        <w:numId w:val="0"/>
      </w:numPr>
      <w:keepLines/>
      <w:keepNext/>
      <w:spacing w:before="240" w:after="64" w:line="320" w:lineRule="auto"/>
      <w:outlineLvl w:val="7"/>
    </w:pPr>
    <w:rPr>
      <w:rFonts w:ascii="Arial" w:hAnsi="Arial" w:eastAsia="黑体"/>
      <w:sz w:val="24"/>
      <w:szCs w:val="24"/>
    </w:rPr>
  </w:style>
  <w:style w:type="paragraph" w:styleId="870">
    <w:name w:val="标题 9"/>
    <w:basedOn w:val="861"/>
    <w:next w:val="861"/>
    <w:link w:val="884"/>
    <w:qFormat/>
    <w:pPr>
      <w:numPr>
        <w:ilvl w:val="8"/>
        <w:numId w:val="0"/>
      </w:numPr>
      <w:keepLines/>
      <w:keepNext/>
      <w:spacing w:before="240" w:after="64" w:line="320" w:lineRule="auto"/>
      <w:outlineLvl w:val="8"/>
    </w:pPr>
    <w:rPr>
      <w:rFonts w:ascii="Arial" w:hAnsi="Arial" w:eastAsia="黑体"/>
      <w:sz w:val="20"/>
    </w:rPr>
  </w:style>
  <w:style w:type="character" w:styleId="871">
    <w:name w:val="默认段落字体"/>
    <w:next w:val="871"/>
    <w:link w:val="861"/>
    <w:uiPriority w:val="1"/>
    <w:unhideWhenUsed/>
  </w:style>
  <w:style w:type="table" w:styleId="872">
    <w:name w:val="普通表格"/>
    <w:next w:val="872"/>
    <w:link w:val="861"/>
    <w:uiPriority w:val="99"/>
    <w:unhideWhenUsed/>
    <w:tblPr/>
  </w:style>
  <w:style w:type="paragraph" w:styleId="873">
    <w:name w:val="正文文本11"/>
    <w:basedOn w:val="861"/>
    <w:next w:val="873"/>
    <w:link w:val="861"/>
    <w:qFormat/>
    <w:rPr>
      <w:sz w:val="18"/>
      <w:szCs w:val="20"/>
    </w:rPr>
  </w:style>
  <w:style w:type="character" w:styleId="874">
    <w:name w:val="标题 1 Char"/>
    <w:next w:val="874"/>
    <w:link w:val="862"/>
    <w:rPr>
      <w:rFonts w:ascii="楷体_GB2312" w:hAnsi="Times New Roman" w:eastAsia="楷体_GB2312" w:cs="Times New Roman"/>
      <w:sz w:val="28"/>
      <w:szCs w:val="28"/>
    </w:rPr>
  </w:style>
  <w:style w:type="character" w:styleId="875">
    <w:name w:val="标题 2 Char"/>
    <w:next w:val="875"/>
    <w:link w:val="863"/>
    <w:rPr>
      <w:rFonts w:ascii="Arial" w:hAnsi="Arial" w:eastAsia="幼圆" w:cs="Arial"/>
      <w:b/>
      <w:bCs/>
      <w:sz w:val="44"/>
      <w:szCs w:val="44"/>
    </w:rPr>
  </w:style>
  <w:style w:type="paragraph" w:styleId="876">
    <w:name w:val="正文缩进"/>
    <w:basedOn w:val="861"/>
    <w:next w:val="876"/>
    <w:link w:val="877"/>
    <w:pPr>
      <w:ind w:firstLine="420"/>
    </w:pPr>
    <w:rPr>
      <w:sz w:val="20"/>
    </w:rPr>
  </w:style>
  <w:style w:type="character" w:styleId="877">
    <w:name w:val="正文缩进 Char"/>
    <w:next w:val="877"/>
    <w:link w:val="876"/>
    <w:rPr>
      <w:rFonts w:ascii="Times New Roman" w:hAnsi="Times New Roman" w:eastAsia="宋体" w:cs="Times New Roman"/>
      <w:szCs w:val="21"/>
    </w:rPr>
  </w:style>
  <w:style w:type="character" w:styleId="878">
    <w:name w:val="标题 3 Char"/>
    <w:next w:val="878"/>
    <w:link w:val="864"/>
    <w:rPr>
      <w:rFonts w:ascii="Times New Roman" w:hAnsi="Times New Roman" w:eastAsia="宋体" w:cs="Times New Roman"/>
      <w:b/>
      <w:bCs/>
      <w:sz w:val="32"/>
      <w:szCs w:val="32"/>
    </w:rPr>
  </w:style>
  <w:style w:type="character" w:styleId="879">
    <w:name w:val="标题 4 Char"/>
    <w:next w:val="879"/>
    <w:link w:val="865"/>
    <w:rPr>
      <w:rFonts w:ascii="Arial" w:hAnsi="Arial" w:eastAsia="黑体" w:cs="Arial"/>
      <w:b/>
      <w:bCs/>
      <w:sz w:val="28"/>
      <w:szCs w:val="28"/>
    </w:rPr>
  </w:style>
  <w:style w:type="character" w:styleId="880">
    <w:name w:val="标题 5 Char"/>
    <w:next w:val="880"/>
    <w:link w:val="866"/>
    <w:rPr>
      <w:rFonts w:ascii="宋体" w:hAnsi="Times New Roman" w:eastAsia="宋体" w:cs="Times New Roman"/>
      <w:color w:val="000000"/>
      <w:sz w:val="28"/>
      <w:szCs w:val="28"/>
    </w:rPr>
  </w:style>
  <w:style w:type="character" w:styleId="881">
    <w:name w:val="标题 6 Char"/>
    <w:next w:val="881"/>
    <w:link w:val="867"/>
    <w:rPr>
      <w:rFonts w:ascii="Arial" w:hAnsi="Arial" w:eastAsia="黑体" w:cs="Times New Roman"/>
      <w:b/>
      <w:bCs/>
      <w:sz w:val="24"/>
      <w:szCs w:val="24"/>
    </w:rPr>
  </w:style>
  <w:style w:type="character" w:styleId="882">
    <w:name w:val="标题 7 Char"/>
    <w:next w:val="882"/>
    <w:link w:val="868"/>
    <w:rPr>
      <w:rFonts w:ascii="Times New Roman" w:hAnsi="Times New Roman" w:eastAsia="宋体" w:cs="Times New Roman"/>
      <w:b/>
      <w:bCs/>
      <w:sz w:val="24"/>
      <w:szCs w:val="24"/>
    </w:rPr>
  </w:style>
  <w:style w:type="character" w:styleId="883">
    <w:name w:val="标题 8 Char"/>
    <w:next w:val="883"/>
    <w:link w:val="869"/>
    <w:rPr>
      <w:rFonts w:ascii="Arial" w:hAnsi="Arial" w:eastAsia="黑体" w:cs="Times New Roman"/>
      <w:sz w:val="24"/>
      <w:szCs w:val="24"/>
    </w:rPr>
  </w:style>
  <w:style w:type="character" w:styleId="884">
    <w:name w:val="标题 9 Char"/>
    <w:next w:val="884"/>
    <w:link w:val="870"/>
    <w:rPr>
      <w:rFonts w:ascii="Arial" w:hAnsi="Arial" w:eastAsia="黑体" w:cs="Times New Roman"/>
      <w:szCs w:val="21"/>
    </w:rPr>
  </w:style>
  <w:style w:type="paragraph" w:styleId="885">
    <w:name w:val="列表 3"/>
    <w:basedOn w:val="861"/>
    <w:next w:val="885"/>
    <w:link w:val="861"/>
    <w:pPr>
      <w:ind w:left="100" w:hanging="200"/>
    </w:pPr>
  </w:style>
  <w:style w:type="paragraph" w:styleId="886">
    <w:name w:val="目录 7"/>
    <w:basedOn w:val="861"/>
    <w:next w:val="861"/>
    <w:link w:val="861"/>
    <w:semiHidden/>
    <w:pPr>
      <w:ind w:left="1260"/>
      <w:jc w:val="left"/>
    </w:pPr>
  </w:style>
  <w:style w:type="paragraph" w:styleId="887">
    <w:name w:val="文档结构图"/>
    <w:basedOn w:val="861"/>
    <w:next w:val="887"/>
    <w:link w:val="888"/>
    <w:semiHidden/>
    <w:pPr>
      <w:shd w:val="clear" w:color="auto" w:fill="000080"/>
    </w:pPr>
    <w:rPr>
      <w:sz w:val="20"/>
    </w:rPr>
  </w:style>
  <w:style w:type="character" w:styleId="888">
    <w:name w:val="文档结构图 Char"/>
    <w:next w:val="888"/>
    <w:link w:val="887"/>
    <w:semiHidden/>
    <w:rPr>
      <w:rFonts w:ascii="Times New Roman" w:hAnsi="Times New Roman" w:eastAsia="宋体" w:cs="Times New Roman"/>
      <w:szCs w:val="21"/>
      <w:shd w:val="clear" w:color="auto" w:fill="000080"/>
    </w:rPr>
  </w:style>
  <w:style w:type="paragraph" w:styleId="889">
    <w:name w:val="批注文字"/>
    <w:basedOn w:val="861"/>
    <w:next w:val="889"/>
    <w:link w:val="890"/>
    <w:semiHidden/>
    <w:pPr>
      <w:jc w:val="left"/>
    </w:pPr>
    <w:rPr>
      <w:sz w:val="20"/>
    </w:rPr>
  </w:style>
  <w:style w:type="character" w:styleId="890">
    <w:name w:val="批注文字 Char"/>
    <w:next w:val="890"/>
    <w:link w:val="889"/>
    <w:semiHidden/>
    <w:rPr>
      <w:rFonts w:ascii="Times New Roman" w:hAnsi="Times New Roman" w:eastAsia="宋体" w:cs="Times New Roman"/>
      <w:szCs w:val="21"/>
    </w:rPr>
  </w:style>
  <w:style w:type="paragraph" w:styleId="891">
    <w:name w:val="正文文本 3"/>
    <w:basedOn w:val="861"/>
    <w:next w:val="891"/>
    <w:link w:val="892"/>
    <w:rPr>
      <w:rFonts w:ascii="仿宋_GB2312" w:hAnsi="Arial" w:eastAsia="仿宋_GB2312"/>
      <w:sz w:val="32"/>
      <w:szCs w:val="32"/>
    </w:rPr>
  </w:style>
  <w:style w:type="character" w:styleId="892">
    <w:name w:val="正文文本 3 Char"/>
    <w:next w:val="892"/>
    <w:link w:val="891"/>
    <w:rPr>
      <w:rFonts w:ascii="仿宋_GB2312" w:hAnsi="Arial" w:eastAsia="仿宋_GB2312" w:cs="Times New Roman"/>
      <w:sz w:val="32"/>
      <w:szCs w:val="32"/>
    </w:rPr>
  </w:style>
  <w:style w:type="paragraph" w:styleId="893">
    <w:name w:val="正文文本"/>
    <w:basedOn w:val="861"/>
    <w:next w:val="893"/>
    <w:link w:val="894"/>
    <w:rPr>
      <w:rFonts w:ascii="楷体_GB2312" w:hAnsi="Arial" w:eastAsia="楷体_GB2312"/>
      <w:sz w:val="28"/>
      <w:szCs w:val="28"/>
    </w:rPr>
  </w:style>
  <w:style w:type="character" w:styleId="894">
    <w:name w:val="正文文本 Char"/>
    <w:next w:val="894"/>
    <w:link w:val="893"/>
    <w:rPr>
      <w:rFonts w:ascii="楷体_GB2312" w:hAnsi="Arial" w:eastAsia="楷体_GB2312" w:cs="Times New Roman"/>
      <w:sz w:val="28"/>
      <w:szCs w:val="28"/>
    </w:rPr>
  </w:style>
  <w:style w:type="paragraph" w:styleId="895">
    <w:name w:val="正文文本缩进"/>
    <w:basedOn w:val="861"/>
    <w:next w:val="895"/>
    <w:link w:val="896"/>
    <w:pPr>
      <w:ind w:firstLine="645"/>
    </w:pPr>
    <w:rPr>
      <w:rFonts w:ascii="楷体_GB2312" w:eastAsia="楷体_GB2312"/>
      <w:sz w:val="32"/>
      <w:szCs w:val="32"/>
    </w:rPr>
  </w:style>
  <w:style w:type="character" w:styleId="896">
    <w:name w:val="正文文本缩进 Char"/>
    <w:next w:val="896"/>
    <w:link w:val="895"/>
    <w:rPr>
      <w:rFonts w:ascii="楷体_GB2312" w:hAnsi="Times New Roman" w:eastAsia="楷体_GB2312" w:cs="Times New Roman"/>
      <w:sz w:val="32"/>
      <w:szCs w:val="32"/>
    </w:rPr>
  </w:style>
  <w:style w:type="paragraph" w:styleId="897">
    <w:name w:val="列表 2"/>
    <w:basedOn w:val="861"/>
    <w:next w:val="897"/>
    <w:link w:val="861"/>
    <w:pPr>
      <w:ind w:left="100" w:hanging="200"/>
    </w:pPr>
  </w:style>
  <w:style w:type="paragraph" w:styleId="898">
    <w:name w:val="目录 5"/>
    <w:basedOn w:val="861"/>
    <w:next w:val="861"/>
    <w:link w:val="861"/>
    <w:semiHidden/>
    <w:pPr>
      <w:ind w:left="840"/>
      <w:jc w:val="left"/>
    </w:pPr>
  </w:style>
  <w:style w:type="paragraph" w:styleId="899">
    <w:name w:val="目录 3"/>
    <w:basedOn w:val="861"/>
    <w:next w:val="861"/>
    <w:link w:val="861"/>
    <w:semiHidden/>
    <w:pPr>
      <w:ind w:left="420"/>
      <w:jc w:val="left"/>
    </w:pPr>
    <w:rPr>
      <w:i/>
      <w:iCs/>
      <w:szCs w:val="24"/>
    </w:rPr>
  </w:style>
  <w:style w:type="paragraph" w:styleId="900">
    <w:name w:val="纯文本"/>
    <w:basedOn w:val="861"/>
    <w:next w:val="900"/>
    <w:link w:val="901"/>
    <w:rPr>
      <w:rFonts w:ascii="宋体" w:hAnsi="Courier New"/>
      <w:sz w:val="20"/>
    </w:rPr>
  </w:style>
  <w:style w:type="character" w:styleId="901">
    <w:name w:val="纯文本 Char"/>
    <w:next w:val="901"/>
    <w:link w:val="900"/>
    <w:rPr>
      <w:rFonts w:ascii="宋体" w:hAnsi="Courier New" w:eastAsia="宋体" w:cs="Courier New"/>
      <w:szCs w:val="21"/>
    </w:rPr>
  </w:style>
  <w:style w:type="paragraph" w:styleId="902">
    <w:name w:val="目录 8"/>
    <w:basedOn w:val="861"/>
    <w:next w:val="861"/>
    <w:link w:val="861"/>
    <w:semiHidden/>
    <w:pPr>
      <w:ind w:left="1470"/>
      <w:jc w:val="left"/>
    </w:pPr>
  </w:style>
  <w:style w:type="paragraph" w:styleId="903">
    <w:name w:val="日期"/>
    <w:basedOn w:val="861"/>
    <w:next w:val="861"/>
    <w:link w:val="904"/>
    <w:rPr>
      <w:sz w:val="24"/>
      <w:szCs w:val="24"/>
    </w:rPr>
  </w:style>
  <w:style w:type="character" w:styleId="904">
    <w:name w:val="日期 Char"/>
    <w:next w:val="904"/>
    <w:link w:val="903"/>
    <w:rPr>
      <w:rFonts w:ascii="Times New Roman" w:hAnsi="Times New Roman" w:eastAsia="宋体" w:cs="Times New Roman"/>
      <w:sz w:val="24"/>
      <w:szCs w:val="24"/>
    </w:rPr>
  </w:style>
  <w:style w:type="paragraph" w:styleId="905">
    <w:name w:val="正文文本缩进 2"/>
    <w:basedOn w:val="861"/>
    <w:next w:val="905"/>
    <w:link w:val="906"/>
    <w:pPr>
      <w:ind w:left="630" w:firstLine="645"/>
    </w:pPr>
    <w:rPr>
      <w:rFonts w:ascii="Arial" w:hAnsi="Arial" w:eastAsia="仿宋_GB2312"/>
      <w:sz w:val="32"/>
      <w:szCs w:val="32"/>
    </w:rPr>
  </w:style>
  <w:style w:type="character" w:styleId="906">
    <w:name w:val="正文文本缩进 2 Char"/>
    <w:next w:val="906"/>
    <w:link w:val="905"/>
    <w:rPr>
      <w:rFonts w:ascii="Arial" w:hAnsi="Arial" w:eastAsia="仿宋_GB2312" w:cs="Arial"/>
      <w:sz w:val="32"/>
      <w:szCs w:val="32"/>
    </w:rPr>
  </w:style>
  <w:style w:type="paragraph" w:styleId="907">
    <w:name w:val="批注框文本"/>
    <w:basedOn w:val="861"/>
    <w:next w:val="907"/>
    <w:link w:val="908"/>
    <w:semiHidden/>
    <w:rPr>
      <w:sz w:val="18"/>
      <w:szCs w:val="18"/>
    </w:rPr>
  </w:style>
  <w:style w:type="character" w:styleId="908">
    <w:name w:val="批注框文本 Char"/>
    <w:next w:val="908"/>
    <w:link w:val="907"/>
    <w:semiHidden/>
    <w:rPr>
      <w:rFonts w:ascii="Times New Roman" w:hAnsi="Times New Roman" w:eastAsia="宋体" w:cs="Times New Roman"/>
      <w:sz w:val="18"/>
      <w:szCs w:val="18"/>
    </w:rPr>
  </w:style>
  <w:style w:type="paragraph" w:styleId="909">
    <w:name w:val="页脚"/>
    <w:basedOn w:val="861"/>
    <w:next w:val="909"/>
    <w:link w:val="910"/>
    <w:pPr>
      <w:jc w:val="left"/>
      <w:tabs>
        <w:tab w:val="center" w:pos="4153" w:leader="none"/>
        <w:tab w:val="right" w:pos="8306" w:leader="none"/>
      </w:tabs>
    </w:pPr>
    <w:rPr>
      <w:sz w:val="18"/>
      <w:szCs w:val="18"/>
    </w:rPr>
  </w:style>
  <w:style w:type="character" w:styleId="910">
    <w:name w:val="页脚 Char"/>
    <w:next w:val="910"/>
    <w:link w:val="909"/>
    <w:rPr>
      <w:rFonts w:ascii="Times New Roman" w:hAnsi="Times New Roman" w:eastAsia="宋体" w:cs="Times New Roman"/>
      <w:sz w:val="18"/>
      <w:szCs w:val="18"/>
    </w:rPr>
  </w:style>
  <w:style w:type="paragraph" w:styleId="911">
    <w:name w:val="页眉"/>
    <w:basedOn w:val="861"/>
    <w:next w:val="911"/>
    <w:link w:val="912"/>
    <w:uiPriority w:val="99"/>
    <w:qFormat/>
    <w:pPr>
      <w:jc w:val="center"/>
      <w:tabs>
        <w:tab w:val="center" w:pos="4153" w:leader="none"/>
        <w:tab w:val="right" w:pos="8306" w:leader="none"/>
      </w:tabs>
      <w:pBdr>
        <w:bottom w:val="single" w:color="000000" w:sz="6" w:space="1"/>
      </w:pBdr>
    </w:pPr>
    <w:rPr>
      <w:sz w:val="18"/>
      <w:szCs w:val="18"/>
    </w:rPr>
  </w:style>
  <w:style w:type="character" w:styleId="912">
    <w:name w:val="页眉 Char"/>
    <w:next w:val="912"/>
    <w:link w:val="911"/>
    <w:uiPriority w:val="99"/>
    <w:qFormat/>
    <w:rPr>
      <w:rFonts w:ascii="Times New Roman" w:hAnsi="Times New Roman" w:eastAsia="宋体" w:cs="Times New Roman"/>
      <w:sz w:val="18"/>
      <w:szCs w:val="18"/>
    </w:rPr>
  </w:style>
  <w:style w:type="paragraph" w:styleId="913">
    <w:name w:val="目录 1"/>
    <w:basedOn w:val="861"/>
    <w:next w:val="861"/>
    <w:link w:val="861"/>
    <w:semiHidden/>
    <w:pPr>
      <w:jc w:val="left"/>
      <w:spacing w:before="120" w:after="120" w:line="400" w:lineRule="exact"/>
      <w:tabs>
        <w:tab w:val="right" w:pos="8720" w:leader="dot"/>
      </w:tabs>
    </w:pPr>
    <w:rPr>
      <w:rFonts w:ascii="宋体" w:hAnsi="宋体"/>
      <w:caps/>
      <w:sz w:val="24"/>
      <w:szCs w:val="24"/>
    </w:rPr>
  </w:style>
  <w:style w:type="paragraph" w:styleId="914">
    <w:name w:val="目录 4"/>
    <w:basedOn w:val="861"/>
    <w:next w:val="861"/>
    <w:link w:val="861"/>
    <w:semiHidden/>
    <w:pPr>
      <w:ind w:left="630"/>
      <w:jc w:val="left"/>
    </w:pPr>
  </w:style>
  <w:style w:type="paragraph" w:styleId="915">
    <w:name w:val="列表"/>
    <w:basedOn w:val="861"/>
    <w:next w:val="915"/>
    <w:link w:val="861"/>
    <w:pPr>
      <w:ind w:left="200" w:hanging="200"/>
    </w:pPr>
  </w:style>
  <w:style w:type="paragraph" w:styleId="916">
    <w:name w:val="目录 6"/>
    <w:basedOn w:val="861"/>
    <w:next w:val="861"/>
    <w:link w:val="861"/>
    <w:semiHidden/>
    <w:pPr>
      <w:ind w:left="1050"/>
      <w:jc w:val="left"/>
    </w:pPr>
  </w:style>
  <w:style w:type="paragraph" w:styleId="917">
    <w:name w:val="正文文本缩进 3"/>
    <w:basedOn w:val="861"/>
    <w:next w:val="917"/>
    <w:link w:val="918"/>
    <w:pPr>
      <w:ind w:left="645" w:firstLine="645"/>
    </w:pPr>
    <w:rPr>
      <w:rFonts w:ascii="Arial" w:hAnsi="Arial" w:eastAsia="仿宋_GB2312"/>
      <w:color w:val="ffff00"/>
      <w:sz w:val="32"/>
      <w:szCs w:val="32"/>
    </w:rPr>
  </w:style>
  <w:style w:type="character" w:styleId="918">
    <w:name w:val="正文文本缩进 3 Char"/>
    <w:next w:val="918"/>
    <w:link w:val="917"/>
    <w:rPr>
      <w:rFonts w:ascii="Arial" w:hAnsi="Arial" w:eastAsia="仿宋_GB2312" w:cs="Arial"/>
      <w:color w:val="ffff00"/>
      <w:sz w:val="32"/>
      <w:szCs w:val="32"/>
    </w:rPr>
  </w:style>
  <w:style w:type="paragraph" w:styleId="919">
    <w:name w:val="图表目录"/>
    <w:basedOn w:val="861"/>
    <w:next w:val="861"/>
    <w:link w:val="861"/>
    <w:semiHidden/>
    <w:pPr>
      <w:ind w:left="840" w:hanging="420"/>
    </w:pPr>
  </w:style>
  <w:style w:type="paragraph" w:styleId="920">
    <w:name w:val="目录 2"/>
    <w:basedOn w:val="861"/>
    <w:next w:val="861"/>
    <w:link w:val="861"/>
    <w:semiHidden/>
    <w:pPr>
      <w:ind w:left="210"/>
      <w:jc w:val="left"/>
    </w:pPr>
    <w:rPr>
      <w:smallCaps/>
      <w:szCs w:val="24"/>
    </w:rPr>
  </w:style>
  <w:style w:type="paragraph" w:styleId="921">
    <w:name w:val="目录 9"/>
    <w:basedOn w:val="861"/>
    <w:next w:val="861"/>
    <w:link w:val="861"/>
    <w:semiHidden/>
    <w:pPr>
      <w:ind w:left="1680"/>
      <w:jc w:val="left"/>
    </w:pPr>
  </w:style>
  <w:style w:type="paragraph" w:styleId="922">
    <w:name w:val="正文文本 2"/>
    <w:basedOn w:val="861"/>
    <w:next w:val="922"/>
    <w:link w:val="923"/>
    <w:pPr>
      <w:jc w:val="center"/>
      <w:widowControl/>
    </w:pPr>
    <w:rPr>
      <w:rFonts w:ascii="楷体_GB2312" w:eastAsia="楷体_GB2312"/>
      <w:sz w:val="28"/>
      <w:szCs w:val="28"/>
    </w:rPr>
  </w:style>
  <w:style w:type="character" w:styleId="923">
    <w:name w:val="正文文本 2 Char"/>
    <w:next w:val="923"/>
    <w:link w:val="922"/>
    <w:rPr>
      <w:rFonts w:ascii="楷体_GB2312" w:hAnsi="Times New Roman" w:eastAsia="楷体_GB2312" w:cs="Times New Roman"/>
      <w:sz w:val="28"/>
      <w:szCs w:val="28"/>
    </w:rPr>
  </w:style>
  <w:style w:type="paragraph" w:styleId="924">
    <w:name w:val="HTML 预设格式"/>
    <w:basedOn w:val="861"/>
    <w:next w:val="924"/>
    <w:link w:val="925"/>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25">
    <w:name w:val="HTML 预设格式 Char"/>
    <w:basedOn w:val="871"/>
    <w:next w:val="925"/>
    <w:link w:val="924"/>
    <w:uiPriority w:val="99"/>
    <w:semiHidden/>
    <w:rPr>
      <w:rFonts w:ascii="宋体" w:hAnsi="宋体" w:cs="宋体"/>
      <w:sz w:val="24"/>
      <w:szCs w:val="24"/>
    </w:rPr>
  </w:style>
  <w:style w:type="paragraph" w:styleId="926">
    <w:name w:val="普通(网站)"/>
    <w:basedOn w:val="861"/>
    <w:next w:val="926"/>
    <w:link w:val="861"/>
    <w:uiPriority w:val="99"/>
    <w:pPr>
      <w:jc w:val="left"/>
      <w:spacing w:before="100" w:beforeAutospacing="1" w:after="100" w:afterAutospacing="1"/>
      <w:widowControl/>
    </w:pPr>
    <w:rPr>
      <w:rFonts w:ascii="宋体" w:hAnsi="宋体" w:cs="宋体"/>
      <w:sz w:val="24"/>
      <w:szCs w:val="24"/>
    </w:rPr>
  </w:style>
  <w:style w:type="paragraph" w:styleId="927">
    <w:name w:val="索引 1"/>
    <w:basedOn w:val="861"/>
    <w:next w:val="861"/>
    <w:link w:val="861"/>
    <w:semiHidden/>
    <w:pPr>
      <w:spacing w:line="240" w:lineRule="atLeast"/>
    </w:pPr>
    <w:rPr>
      <w:b/>
      <w:bCs/>
    </w:rPr>
  </w:style>
  <w:style w:type="paragraph" w:styleId="928">
    <w:name w:val="批注主题"/>
    <w:basedOn w:val="889"/>
    <w:next w:val="889"/>
    <w:link w:val="929"/>
    <w:semiHidden/>
    <w:rPr>
      <w:b/>
      <w:bCs/>
    </w:rPr>
  </w:style>
  <w:style w:type="character" w:styleId="929">
    <w:name w:val="批注主题 Char"/>
    <w:next w:val="929"/>
    <w:link w:val="928"/>
    <w:semiHidden/>
    <w:rPr>
      <w:rFonts w:ascii="Times New Roman" w:hAnsi="Times New Roman" w:eastAsia="宋体" w:cs="Times New Roman"/>
      <w:b/>
      <w:bCs/>
      <w:szCs w:val="21"/>
    </w:rPr>
  </w:style>
  <w:style w:type="paragraph" w:styleId="930">
    <w:name w:val="正文首行缩进"/>
    <w:basedOn w:val="861"/>
    <w:next w:val="930"/>
    <w:link w:val="931"/>
    <w:pPr>
      <w:ind w:firstLine="200"/>
      <w:spacing w:line="360" w:lineRule="auto"/>
    </w:pPr>
    <w:rPr>
      <w:rFonts w:ascii="仿宋_GB2312" w:eastAsia="仿宋_GB2312"/>
      <w:sz w:val="30"/>
      <w:szCs w:val="30"/>
    </w:rPr>
  </w:style>
  <w:style w:type="character" w:styleId="931">
    <w:name w:val="正文首行缩进 Char"/>
    <w:next w:val="931"/>
    <w:link w:val="930"/>
    <w:rPr>
      <w:rFonts w:ascii="仿宋_GB2312" w:hAnsi="Times New Roman" w:eastAsia="仿宋_GB2312" w:cs="Times New Roman"/>
      <w:sz w:val="30"/>
      <w:szCs w:val="30"/>
    </w:rPr>
  </w:style>
  <w:style w:type="paragraph" w:styleId="932">
    <w:name w:val="正文首行缩进 2"/>
    <w:basedOn w:val="895"/>
    <w:next w:val="932"/>
    <w:link w:val="933"/>
    <w:pPr>
      <w:ind w:firstLine="420"/>
      <w:spacing w:line="360" w:lineRule="auto"/>
    </w:pPr>
    <w:rPr>
      <w:rFonts w:ascii="宋体" w:hAnsi="宋体" w:eastAsia="宋体"/>
      <w:szCs w:val="20"/>
    </w:rPr>
  </w:style>
  <w:style w:type="character" w:styleId="933">
    <w:name w:val="正文首行缩进 2 Char"/>
    <w:next w:val="933"/>
    <w:link w:val="932"/>
    <w:rPr>
      <w:rFonts w:ascii="宋体" w:hAnsi="宋体" w:eastAsia="宋体" w:cs="Times New Roman"/>
      <w:sz w:val="32"/>
      <w:szCs w:val="20"/>
    </w:rPr>
  </w:style>
  <w:style w:type="table" w:styleId="934">
    <w:name w:val="网格型"/>
    <w:basedOn w:val="872"/>
    <w:next w:val="934"/>
    <w:link w:val="861"/>
    <w:pPr>
      <w:jc w:val="both"/>
      <w:widowControl w:val="off"/>
    </w:pPr>
    <w:rPr>
      <w:rFonts w:ascii="Times New Roman" w:hAnsi="Times New Roman" w:eastAsia="宋体" w:cs="Times New Roman"/>
      <w:sz w:val="20"/>
      <w:szCs w:val="20"/>
    </w:rPr>
    <w:tblPr/>
  </w:style>
  <w:style w:type="character" w:styleId="935">
    <w:name w:val="要点"/>
    <w:next w:val="935"/>
    <w:link w:val="861"/>
    <w:qFormat/>
    <w:rPr>
      <w:b/>
      <w:bCs/>
    </w:rPr>
  </w:style>
  <w:style w:type="character" w:styleId="936">
    <w:name w:val="页码"/>
    <w:next w:val="936"/>
    <w:link w:val="861"/>
  </w:style>
  <w:style w:type="character" w:styleId="937">
    <w:name w:val="已访问的超链接"/>
    <w:next w:val="937"/>
    <w:link w:val="861"/>
    <w:rPr>
      <w:color w:val="800080"/>
      <w:u w:val="single"/>
    </w:rPr>
  </w:style>
  <w:style w:type="character" w:styleId="938">
    <w:name w:val="HTML 打字机"/>
    <w:next w:val="938"/>
    <w:link w:val="861"/>
    <w:uiPriority w:val="99"/>
    <w:rPr>
      <w:rFonts w:ascii="宋体" w:hAnsi="宋体" w:eastAsia="宋体" w:cs="宋体"/>
      <w:sz w:val="24"/>
      <w:szCs w:val="24"/>
    </w:rPr>
  </w:style>
  <w:style w:type="character" w:styleId="939">
    <w:name w:val="超链接"/>
    <w:next w:val="939"/>
    <w:link w:val="861"/>
    <w:rPr>
      <w:color w:val="0000ff"/>
      <w:u w:val="single"/>
    </w:rPr>
  </w:style>
  <w:style w:type="character" w:styleId="940">
    <w:name w:val="批注引用"/>
    <w:next w:val="940"/>
    <w:link w:val="861"/>
    <w:semiHidden/>
    <w:rPr>
      <w:sz w:val="21"/>
      <w:szCs w:val="21"/>
    </w:rPr>
  </w:style>
  <w:style w:type="character" w:styleId="941">
    <w:name w:val="font5 Char"/>
    <w:next w:val="941"/>
    <w:link w:val="861"/>
    <w:rPr>
      <w:rFonts w:ascii="宋体" w:hAnsi="宋体" w:eastAsia="宋体"/>
      <w:sz w:val="28"/>
      <w:szCs w:val="28"/>
      <w:lang w:val="en-US" w:eastAsia="zh-CN" w:bidi="ar-SA"/>
    </w:rPr>
  </w:style>
  <w:style w:type="character" w:styleId="942">
    <w:name w:val="二级目录 Char"/>
    <w:next w:val="942"/>
    <w:link w:val="943"/>
    <w:rPr>
      <w:b/>
      <w:sz w:val="30"/>
      <w:szCs w:val="28"/>
      <w:lang w:val="en-US" w:eastAsia="zh-CN" w:bidi="ar-SA"/>
    </w:rPr>
  </w:style>
  <w:style w:type="paragraph" w:styleId="943">
    <w:name w:val="二级目录"/>
    <w:next w:val="861"/>
    <w:link w:val="942"/>
    <w:pPr>
      <w:numPr>
        <w:ilvl w:val="0"/>
        <w:numId w:val="0"/>
      </w:numPr>
      <w:tabs>
        <w:tab w:val="left" w:pos="907" w:leader="none"/>
        <w:tab w:val="left" w:pos="1145" w:leader="none"/>
      </w:tabs>
      <w:outlineLvl w:val="1"/>
    </w:pPr>
    <w:rPr>
      <w:b/>
      <w:sz w:val="30"/>
      <w:szCs w:val="28"/>
      <w:lang w:val="en-US" w:eastAsia="zh-CN" w:bidi="ar-SA"/>
    </w:rPr>
  </w:style>
  <w:style w:type="character" w:styleId="944">
    <w:name w:val="列出段落 Char,Bullet List Char,numbered Char,FooterText Char,List Paragraph1 Char,Paragraphe de liste1 Char"/>
    <w:next w:val="944"/>
    <w:link w:val="945"/>
    <w:rPr>
      <w:rFonts w:ascii="Calibri" w:hAnsi="Calibri"/>
      <w:sz w:val="24"/>
      <w:szCs w:val="24"/>
      <w:lang w:eastAsia="en-US" w:bidi="en-US"/>
    </w:rPr>
  </w:style>
  <w:style w:type="paragraph" w:styleId="945">
    <w:name w:val="列出段落1"/>
    <w:basedOn w:val="861"/>
    <w:next w:val="945"/>
    <w:link w:val="944"/>
    <w:qFormat/>
    <w:pPr>
      <w:contextualSpacing/>
      <w:ind w:left="720"/>
      <w:jc w:val="left"/>
      <w:widowControl/>
    </w:pPr>
    <w:rPr>
      <w:rFonts w:ascii="Calibri" w:hAnsi="Calibri"/>
      <w:sz w:val="24"/>
      <w:szCs w:val="24"/>
      <w:lang w:eastAsia="en-US" w:bidi="en-US"/>
    </w:rPr>
  </w:style>
  <w:style w:type="paragraph" w:styleId="946">
    <w:name w:val="Body Text(ch)"/>
    <w:basedOn w:val="861"/>
    <w:next w:val="893"/>
    <w:link w:val="861"/>
    <w:pPr>
      <w:spacing w:after="120"/>
    </w:pPr>
    <w:rPr>
      <w:rFonts w:ascii="宋体" w:hAnsi="Arial"/>
      <w:bCs/>
      <w:iCs/>
      <w:szCs w:val="24"/>
    </w:rPr>
  </w:style>
  <w:style w:type="paragraph" w:styleId="947">
    <w:name w:val="xl27"/>
    <w:basedOn w:val="861"/>
    <w:next w:val="947"/>
    <w:link w:val="8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name w:val="xl26"/>
    <w:basedOn w:val="861"/>
    <w:next w:val="948"/>
    <w:link w:val="8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9">
    <w:name w:val="Char"/>
    <w:basedOn w:val="861"/>
    <w:next w:val="949"/>
    <w:link w:val="861"/>
    <w:pPr>
      <w:ind w:firstLine="200"/>
      <w:tabs>
        <w:tab w:val="left" w:pos="360" w:leader="none"/>
      </w:tabs>
    </w:pPr>
    <w:rPr>
      <w:sz w:val="28"/>
      <w:szCs w:val="30"/>
    </w:rPr>
  </w:style>
  <w:style w:type="paragraph" w:styleId="950">
    <w:name w:val=" Char"/>
    <w:basedOn w:val="887"/>
    <w:next w:val="950"/>
    <w:link w:val="861"/>
    <w:rPr>
      <w:rFonts w:ascii="Tahoma" w:hAnsi="Tahoma"/>
      <w:sz w:val="24"/>
      <w:szCs w:val="24"/>
    </w:rPr>
  </w:style>
  <w:style w:type="paragraph" w:styleId="951">
    <w:name w:val="普通正文"/>
    <w:basedOn w:val="861"/>
    <w:next w:val="951"/>
    <w:link w:val="861"/>
    <w:pPr>
      <w:ind w:firstLine="480"/>
      <w:jc w:val="left"/>
      <w:spacing w:before="120" w:after="120" w:line="360" w:lineRule="auto"/>
    </w:pPr>
    <w:rPr>
      <w:rFonts w:ascii="Arial" w:hAnsi="Arial"/>
      <w:sz w:val="24"/>
      <w:szCs w:val="24"/>
    </w:rPr>
  </w:style>
  <w:style w:type="paragraph" w:styleId="952">
    <w:name w:val="table_lines"/>
    <w:basedOn w:val="861"/>
    <w:next w:val="952"/>
    <w:link w:val="861"/>
    <w:pPr>
      <w:jc w:val="left"/>
      <w:widowControl/>
    </w:pPr>
    <w:rPr>
      <w:sz w:val="20"/>
      <w:szCs w:val="20"/>
      <w:lang w:val="de-DE" w:eastAsia="de-DE"/>
    </w:rPr>
  </w:style>
  <w:style w:type="paragraph" w:styleId="953">
    <w:name w:val="附录1"/>
    <w:next w:val="953"/>
    <w:link w:val="861"/>
    <w:pPr>
      <w:numPr>
        <w:ilvl w:val="0"/>
        <w:numId w:val="0"/>
      </w:numPr>
      <w:spacing w:before="240" w:line="600" w:lineRule="atLeast"/>
      <w:tabs>
        <w:tab w:val="left" w:pos="907" w:leader="none"/>
      </w:tabs>
    </w:pPr>
    <w:rPr>
      <w:rFonts w:ascii="Times New Roman" w:hAnsi="Times New Roman"/>
      <w:b/>
      <w:i/>
      <w:sz w:val="28"/>
      <w:lang w:val="en-US" w:eastAsia="zh-CN" w:bidi="ar-SA"/>
    </w:rPr>
  </w:style>
  <w:style w:type="paragraph" w:styleId="954">
    <w:name w:val="font7"/>
    <w:basedOn w:val="861"/>
    <w:next w:val="954"/>
    <w:link w:val="861"/>
    <w:pPr>
      <w:jc w:val="left"/>
      <w:spacing w:before="100" w:beforeAutospacing="1" w:after="100" w:afterAutospacing="1"/>
      <w:widowControl/>
    </w:pPr>
    <w:rPr>
      <w:rFonts w:hint="eastAsia" w:ascii="宋体" w:hAnsi="宋体"/>
      <w:sz w:val="18"/>
      <w:szCs w:val="18"/>
    </w:rPr>
  </w:style>
  <w:style w:type="paragraph" w:styleId="955">
    <w:name w:val=" Char Char Char Char"/>
    <w:basedOn w:val="887"/>
    <w:next w:val="955"/>
    <w:link w:val="861"/>
    <w:pPr>
      <w:spacing w:line="360" w:lineRule="auto"/>
    </w:pPr>
    <w:rPr>
      <w:rFonts w:ascii="Tahoma" w:hAnsi="Tahoma"/>
      <w:sz w:val="24"/>
      <w:szCs w:val="24"/>
    </w:rPr>
  </w:style>
  <w:style w:type="paragraph" w:styleId="956">
    <w:name w:val="列出段落"/>
    <w:basedOn w:val="861"/>
    <w:next w:val="956"/>
    <w:link w:val="861"/>
    <w:uiPriority w:val="99"/>
    <w:qFormat/>
    <w:pPr>
      <w:contextualSpacing/>
      <w:ind w:left="720"/>
      <w:jc w:val="left"/>
      <w:widowControl/>
    </w:pPr>
    <w:rPr>
      <w:rFonts w:ascii="Calibri" w:hAnsi="Calibri"/>
      <w:sz w:val="24"/>
      <w:szCs w:val="24"/>
      <w:lang w:eastAsia="en-US" w:bidi="en-US"/>
    </w:rPr>
  </w:style>
  <w:style w:type="paragraph" w:styleId="957">
    <w:name w:val="4"/>
    <w:basedOn w:val="861"/>
    <w:next w:val="917"/>
    <w:link w:val="861"/>
    <w:pPr>
      <w:ind w:firstLine="420"/>
      <w:spacing w:line="360" w:lineRule="auto"/>
    </w:pPr>
    <w:rPr>
      <w:color w:val="ff0000"/>
      <w:sz w:val="24"/>
      <w:szCs w:val="24"/>
    </w:rPr>
  </w:style>
  <w:style w:type="paragraph" w:styleId="958">
    <w:name w:val="普通 (Web)"/>
    <w:basedOn w:val="861"/>
    <w:next w:val="958"/>
    <w:link w:val="861"/>
    <w:pPr>
      <w:jc w:val="left"/>
      <w:spacing w:before="100" w:beforeAutospacing="1" w:after="100" w:afterAutospacing="1"/>
      <w:widowControl/>
    </w:pPr>
    <w:rPr>
      <w:rFonts w:ascii="宋体" w:hAnsi="宋体"/>
      <w:sz w:val="24"/>
      <w:szCs w:val="24"/>
    </w:rPr>
  </w:style>
  <w:style w:type="paragraph" w:styleId="959">
    <w:name w:val=" Char Char Char Char Char Char Char Char Char Char"/>
    <w:basedOn w:val="861"/>
    <w:next w:val="959"/>
    <w:link w:val="861"/>
    <w:pPr>
      <w:spacing w:line="360" w:lineRule="auto"/>
    </w:pPr>
    <w:rPr>
      <w:sz w:val="24"/>
      <w:szCs w:val="20"/>
    </w:rPr>
  </w:style>
  <w:style w:type="paragraph" w:styleId="960">
    <w:name w:val="样式1"/>
    <w:basedOn w:val="861"/>
    <w:next w:val="960"/>
    <w:link w:val="861"/>
    <w:pPr>
      <w:numPr>
        <w:ilvl w:val="0"/>
        <w:numId w:val="0"/>
      </w:numPr>
      <w:tabs>
        <w:tab w:val="left" w:pos="709" w:leader="none"/>
      </w:tabs>
    </w:pPr>
    <w:rPr>
      <w:rFonts w:ascii="宋体" w:hAnsi="宋体"/>
    </w:rPr>
  </w:style>
  <w:style w:type="paragraph" w:styleId="961">
    <w:name w:val="font6"/>
    <w:basedOn w:val="861"/>
    <w:next w:val="961"/>
    <w:link w:val="861"/>
    <w:pPr>
      <w:jc w:val="left"/>
      <w:spacing w:before="100" w:beforeAutospacing="1" w:after="100" w:afterAutospacing="1"/>
      <w:widowControl/>
    </w:pPr>
    <w:rPr>
      <w:rFonts w:hint="eastAsia" w:ascii="宋体" w:hAnsi="宋体"/>
      <w:sz w:val="28"/>
      <w:szCs w:val="28"/>
      <w:u w:val="single"/>
    </w:rPr>
  </w:style>
  <w:style w:type="paragraph" w:styleId="962">
    <w:name w:val="xl25"/>
    <w:basedOn w:val="861"/>
    <w:next w:val="962"/>
    <w:link w:val="8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1"/>
    <w:next w:val="861"/>
    <w:link w:val="8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4">
    <w:name w:val="标题3"/>
    <w:basedOn w:val="861"/>
    <w:next w:val="861"/>
    <w:link w:val="861"/>
    <w:pPr>
      <w:ind w:firstLine="624"/>
      <w:spacing w:line="590" w:lineRule="atLeast"/>
    </w:pPr>
    <w:rPr>
      <w:rFonts w:ascii="方正黑体_GBK" w:eastAsia="方正黑体_GBK"/>
      <w:sz w:val="32"/>
      <w:szCs w:val="32"/>
    </w:rPr>
  </w:style>
  <w:style w:type="paragraph" w:styleId="965">
    <w:name w:val="xl24"/>
    <w:basedOn w:val="861"/>
    <w:next w:val="965"/>
    <w:link w:val="8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9"/>
    <w:basedOn w:val="861"/>
    <w:next w:val="966"/>
    <w:link w:val="8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name w:val="Char Char Char Char Char Char Char Char"/>
    <w:basedOn w:val="861"/>
    <w:next w:val="967"/>
    <w:link w:val="861"/>
    <w:pPr>
      <w:jc w:val="left"/>
      <w:spacing w:after="160" w:line="240" w:lineRule="exact"/>
      <w:widowControl/>
    </w:pPr>
    <w:rPr>
      <w:rFonts w:ascii="Verdana" w:hAnsi="Verdana"/>
      <w:sz w:val="20"/>
      <w:szCs w:val="20"/>
      <w:lang w:eastAsia="en-US"/>
    </w:rPr>
  </w:style>
  <w:style w:type="paragraph" w:styleId="968">
    <w:name w:val="xl28"/>
    <w:basedOn w:val="861"/>
    <w:next w:val="968"/>
    <w:link w:val="8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name w:val=" Char Char Char Char Char Char Char Char"/>
    <w:basedOn w:val="861"/>
    <w:next w:val="969"/>
    <w:link w:val="861"/>
    <w:pPr>
      <w:jc w:val="left"/>
      <w:spacing w:after="160" w:line="240" w:lineRule="exact"/>
      <w:widowControl/>
    </w:pPr>
    <w:rPr>
      <w:rFonts w:ascii="Verdana" w:hAnsi="Verdana"/>
      <w:sz w:val="20"/>
      <w:szCs w:val="20"/>
      <w:lang w:eastAsia="en-US"/>
    </w:rPr>
  </w:style>
  <w:style w:type="paragraph" w:styleId="970">
    <w:name w:val="xl30"/>
    <w:basedOn w:val="861"/>
    <w:next w:val="970"/>
    <w:link w:val="861"/>
    <w:pPr>
      <w:jc w:val="center"/>
      <w:spacing w:before="100" w:beforeAutospacing="1" w:after="100" w:afterAutospacing="1"/>
      <w:widowControl/>
    </w:pPr>
    <w:rPr>
      <w:rFonts w:ascii="宋体" w:hAnsi="宋体"/>
      <w:b/>
      <w:bCs/>
      <w:sz w:val="36"/>
      <w:szCs w:val="36"/>
    </w:rPr>
  </w:style>
  <w:style w:type="paragraph" w:styleId="971">
    <w:name w:val="Char Char Char Char"/>
    <w:basedOn w:val="887"/>
    <w:next w:val="971"/>
    <w:link w:val="861"/>
    <w:pPr>
      <w:spacing w:line="360" w:lineRule="auto"/>
    </w:pPr>
    <w:rPr>
      <w:rFonts w:ascii="Tahoma" w:hAnsi="Tahoma"/>
      <w:sz w:val="24"/>
      <w:szCs w:val="24"/>
    </w:rPr>
  </w:style>
  <w:style w:type="paragraph" w:styleId="972">
    <w:name w:val="table_1stline"/>
    <w:basedOn w:val="861"/>
    <w:next w:val="972"/>
    <w:link w:val="861"/>
    <w:pPr>
      <w:jc w:val="left"/>
      <w:spacing w:before="120"/>
      <w:widowControl/>
    </w:pPr>
    <w:rPr>
      <w:bCs/>
      <w:sz w:val="20"/>
      <w:szCs w:val="20"/>
      <w:lang w:val="de-DE" w:eastAsia="de-DE"/>
    </w:rPr>
  </w:style>
  <w:style w:type="paragraph" w:styleId="973">
    <w:name w:val="font5"/>
    <w:basedOn w:val="861"/>
    <w:next w:val="973"/>
    <w:link w:val="861"/>
    <w:pPr>
      <w:jc w:val="left"/>
      <w:spacing w:before="100" w:beforeAutospacing="1" w:after="100" w:afterAutospacing="1"/>
      <w:widowControl/>
    </w:pPr>
    <w:rPr>
      <w:rFonts w:hint="eastAsia" w:ascii="宋体" w:hAnsi="宋体"/>
      <w:sz w:val="28"/>
      <w:szCs w:val="28"/>
    </w:rPr>
  </w:style>
  <w:style w:type="paragraph" w:styleId="974">
    <w:name w:val="标题1"/>
    <w:basedOn w:val="861"/>
    <w:next w:val="861"/>
    <w:link w:val="861"/>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name w:val="修订"/>
    <w:next w:val="975"/>
    <w:link w:val="861"/>
    <w:uiPriority w:val="99"/>
    <w:semiHidden/>
    <w:rPr>
      <w:rFonts w:ascii="Times New Roman" w:hAnsi="Times New Roman"/>
      <w:sz w:val="21"/>
      <w:szCs w:val="21"/>
      <w:lang w:val="en-US" w:eastAsia="zh-CN" w:bidi="ar-SA"/>
    </w:rPr>
  </w:style>
  <w:style w:type="paragraph" w:styleId="976">
    <w:name w:val="无间隔"/>
    <w:next w:val="976"/>
    <w:link w:val="861"/>
    <w:uiPriority w:val="99"/>
    <w:qFormat/>
    <w:pPr>
      <w:jc w:val="both"/>
      <w:widowControl w:val="off"/>
    </w:pPr>
    <w:rPr>
      <w:rFonts w:ascii="Times New Roman" w:hAnsi="Times New Roman"/>
      <w:sz w:val="21"/>
      <w:szCs w:val="21"/>
      <w:lang w:val="en-US" w:eastAsia="zh-CN" w:bidi="ar-SA"/>
    </w:rPr>
  </w:style>
  <w:style w:type="paragraph" w:styleId="977">
    <w:name w:val="普通文字"/>
    <w:basedOn w:val="861"/>
    <w:next w:val="861"/>
    <w:link w:val="861"/>
    <w:uiPriority w:val="99"/>
    <w:rPr>
      <w:rFonts w:ascii="宋体" w:hAnsi="Times New Roman" w:eastAsia="宋体" w:cs="Times New Roman"/>
      <w:sz w:val="24"/>
      <w:szCs w:val="20"/>
      <w:u w:val="none"/>
    </w:rPr>
  </w:style>
  <w:style w:type="paragraph" w:styleId="978">
    <w:name w:val="目录 111"/>
    <w:basedOn w:val="861"/>
    <w:next w:val="861"/>
    <w:link w:val="861"/>
    <w:uiPriority w:val="39"/>
    <w:unhideWhenUsed/>
    <w:qFormat/>
    <w:pPr>
      <w:jc w:val="left"/>
      <w:spacing w:after="100" w:line="259" w:lineRule="auto"/>
      <w:widowControl/>
    </w:pPr>
    <w:rPr>
      <w:rFonts w:ascii="Calibri" w:hAnsi="Calibri" w:eastAsia="宋体"/>
      <w:sz w:val="22"/>
      <w:szCs w:val="22"/>
    </w:rPr>
  </w:style>
  <w:style w:type="character" w:styleId="979" w:default="1">
    <w:name w:val="Default Paragraph Font"/>
    <w:uiPriority w:val="1"/>
    <w:semiHidden/>
    <w:unhideWhenUsed/>
  </w:style>
  <w:style w:type="numbering" w:styleId="980" w:default="1">
    <w:name w:val="No List"/>
    <w:uiPriority w:val="99"/>
    <w:semiHidden/>
    <w:unhideWhenUsed/>
  </w:style>
  <w:style w:type="table" w:styleId="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10</cp:revision>
  <dcterms:created xsi:type="dcterms:W3CDTF">2025-12-26T08:12:00Z</dcterms:created>
  <dcterms:modified xsi:type="dcterms:W3CDTF">2026-02-10T02:27:15Z</dcterms:modified>
</cp:coreProperties>
</file>