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6"/>
        <w:rPr>
          <w:rFonts w:hint="eastAsia"/>
          <w:b/>
          <w:bCs/>
          <w:sz w:val="32"/>
        </w:rPr>
      </w:pPr>
      <w:r>
        <w:rPr>
          <w:rFonts w:hint="eastAsia"/>
          <w:b/>
          <w:bCs/>
          <w:sz w:val="32"/>
        </w:rPr>
        <w:t xml:space="preserve">                 2</w:t>
      </w:r>
      <w:r>
        <w:rPr>
          <w:rFonts w:hint="eastAsia"/>
          <w:b/>
          <w:bCs/>
          <w:sz w:val="32"/>
        </w:rPr>
        <w:t xml:space="preserve">月</w:t>
      </w:r>
      <w:r>
        <w:rPr>
          <w:rFonts w:hint="eastAsia"/>
          <w:b/>
          <w:bCs/>
          <w:sz w:val="32"/>
        </w:rPr>
        <w:t xml:space="preserve">更正稿</w:t>
      </w:r>
      <w:r>
        <w:rPr>
          <w:rFonts w:hint="eastAsia"/>
          <w:b/>
          <w:bCs/>
          <w:sz w:val="32"/>
        </w:rPr>
        <w:t xml:space="preserve">（</w:t>
      </w:r>
      <w:r>
        <w:rPr>
          <w:rFonts w:hint="eastAsia"/>
          <w:b/>
          <w:bCs/>
          <w:sz w:val="32"/>
        </w:rPr>
        <w:t xml:space="preserve">二</w:t>
      </w:r>
      <w:r>
        <w:rPr>
          <w:rFonts w:hint="eastAsia"/>
          <w:b/>
          <w:bCs/>
          <w:sz w:val="32"/>
        </w:rPr>
        <w:t xml:space="preserve">）</w:t>
      </w:r>
      <w:r/>
    </w:p>
    <w:p>
      <w:pPr>
        <w:pStyle w:val="976"/>
        <w:ind w:firstLine="0"/>
        <w:rPr>
          <w:rFonts w:hint="eastAsia"/>
          <w:b/>
          <w:bCs/>
          <w:sz w:val="32"/>
        </w:rPr>
      </w:pPr>
      <w:r>
        <w:rPr>
          <w:rFonts w:hint="eastAsia"/>
          <w:b/>
          <w:bCs/>
          <w:sz w:val="32"/>
        </w:rPr>
        <w:t xml:space="preserve">项目名称：徐医附院医保基金智能监管系统与使用系统采购项目</w:t>
      </w:r>
      <w:r>
        <w:rPr>
          <w:rFonts w:hint="eastAsia"/>
          <w:b/>
          <w:bCs/>
          <w:sz w:val="32"/>
        </w:rPr>
      </w:r>
      <w:r/>
    </w:p>
    <w:p>
      <w:pPr>
        <w:pStyle w:val="889"/>
        <w:rPr>
          <w:b/>
          <w:sz w:val="30"/>
          <w:szCs w:val="30"/>
        </w:rPr>
      </w:pPr>
      <w:r>
        <w:rPr>
          <w:rFonts w:hint="eastAsia"/>
          <w:b/>
          <w:bCs/>
          <w:sz w:val="32"/>
        </w:rPr>
        <w:t xml:space="preserve">项目编号：JSZC-320000-SCZX-G2025-0755</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6"/>
        <w:ind w:firstLine="0"/>
        <w:jc w:val="center"/>
        <w:rPr>
          <w:rFonts w:hint="eastAsia"/>
          <w:b/>
          <w:bCs/>
          <w:sz w:val="32"/>
        </w:rPr>
      </w:pPr>
      <w:r>
        <w:rPr>
          <w:rFonts w:hint="eastAsia"/>
          <w:b/>
          <w:bCs/>
          <w:sz w:val="32"/>
        </w:rPr>
        <w:t xml:space="preserve">2026年2月</w:t>
      </w:r>
      <w:r>
        <w:rPr>
          <w:rFonts w:hint="eastAsia"/>
          <w:b/>
          <w:bCs/>
          <w:sz w:val="32"/>
        </w:rPr>
      </w:r>
      <w:r/>
    </w:p>
    <w:p>
      <w:pPr>
        <w:pStyle w:val="976"/>
        <w:ind w:firstLine="0"/>
        <w:rPr>
          <w:rFonts w:hint="eastAsia"/>
          <w:u w:val="single"/>
        </w:rPr>
      </w:pPr>
      <w:r>
        <w:rPr>
          <w:rFonts w:hint="eastAsia"/>
        </w:rPr>
        <w:t xml:space="preserve">                        </w:t>
      </w:r>
      <w:r>
        <w:rPr>
          <w:rFonts w:hint="eastAsia"/>
          <w:u w:val="single"/>
        </w:rPr>
      </w:r>
      <w:r/>
    </w:p>
    <w:p>
      <w:pPr>
        <w:pStyle w:val="976"/>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89"/>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……………………………………19</w:t>
      </w:r>
      <w:r>
        <w:rPr>
          <w:rFonts w:hint="eastAsia" w:ascii="黑体" w:hAnsi="Showcard Gothic" w:eastAsia="黑体"/>
          <w:sz w:val="36"/>
        </w:rPr>
      </w:r>
      <w:r/>
    </w:p>
    <w:p>
      <w:pPr>
        <w:pStyle w:val="889"/>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rPr>
          <w:rFonts w:hint="eastAsia" w:ascii="黑体" w:hAnsi="Showcard Gothic" w:eastAsia="黑体"/>
          <w:sz w:val="36"/>
        </w:rPr>
      </w:r>
      <w:r/>
    </w:p>
    <w:p>
      <w:pPr>
        <w:pStyle w:val="889"/>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………………………29</w:t>
      </w:r>
      <w:r>
        <w:rPr>
          <w:rFonts w:hint="eastAsia" w:ascii="黑体" w:hAnsi="Showcard Gothic" w:eastAsia="黑体"/>
          <w:sz w:val="36"/>
        </w:rPr>
      </w:r>
      <w:r/>
    </w:p>
    <w:p>
      <w:pPr>
        <w:pStyle w:val="889"/>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………………………………33</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受徐州医科大学附属医院的委托，江苏省政府采购中心就徐医附院医保基金智能监管系统与使用系统采购项目(JSZC-320000-SCZX-G2025-0755)项目进行公开招标采购，欢迎符合条件的供应商投标。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徐医附院医保基金智能监管系统与使用系统采购项目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2025</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 月 28 </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hint="eastAsia" w:ascii="宋体" w:hAnsi="宋体"/>
          <w:sz w:val="24"/>
          <w:szCs w:val="24"/>
        </w:rPr>
      </w:pPr>
      <w:r>
        <w:rPr>
          <w:rFonts w:hint="eastAsia" w:ascii="宋体" w:hAnsi="宋体"/>
          <w:sz w:val="24"/>
          <w:szCs w:val="24"/>
        </w:rPr>
        <w:t xml:space="preserve">1.项目编号：JSZC-320000-SCZX-G2025-0755</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2.项目名称：徐医附院医保基金智能监管系统与使用系统采购项目</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85</w:t>
            </w:r>
            <w:r>
              <w:rPr>
                <w:rFonts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rHeight w:val="761"/>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ascii="宋体" w:hAnsi="宋体"/>
              </w:rPr>
              <w:t xml:space="preserve">是</w:t>
            </w:r>
            <w:r>
              <w:rPr>
                <w:rFonts w:ascii="宋体" w:hAnsi="宋体"/>
              </w:rPr>
            </w:r>
            <w:r/>
          </w:p>
        </w:tc>
        <w:tc>
          <w:tcPr>
            <w:tcW w:w="3135" w:type="dxa"/>
            <w:vAlign w:val="top"/>
            <w:textDirection w:val="lrTb"/>
            <w:noWrap w:val="false"/>
          </w:tcPr>
          <w:p>
            <w:pPr>
              <w:pStyle w:val="889"/>
              <w:jc w:val="center"/>
              <w:spacing w:line="400" w:lineRule="exact"/>
              <w:rPr>
                <w:rFonts w:ascii="宋体" w:hAnsi="宋体"/>
              </w:rPr>
            </w:pPr>
            <w:r>
              <w:rPr>
                <w:rFonts w:hint="eastAsia" w:ascii="宋体" w:hAnsi="宋体"/>
              </w:rPr>
              <w:t xml:space="preserve">85</w:t>
            </w:r>
            <w:r/>
          </w:p>
        </w:tc>
      </w:tr>
    </w:tbl>
    <w:p>
      <w:pPr>
        <w:pStyle w:val="889"/>
        <w:ind w:firstLine="480"/>
        <w:spacing w:line="400" w:lineRule="exact"/>
        <w:rPr>
          <w:rFonts w:ascii="宋体" w:hAnsi="宋体"/>
          <w:sz w:val="24"/>
          <w:szCs w:val="24"/>
        </w:rPr>
      </w:pPr>
      <w:r>
        <w:rPr>
          <w:rFonts w:hint="eastAsia" w:ascii="宋体" w:hAnsi="宋体"/>
          <w:sz w:val="24"/>
          <w:szCs w:val="24"/>
        </w:rPr>
        <w:t xml:space="preserve">5.采购需求（简介）：</w:t>
      </w:r>
      <w:r>
        <w:rPr>
          <w:rFonts w:ascii="宋体" w:hAnsi="宋体"/>
          <w:sz w:val="24"/>
          <w:szCs w:val="24"/>
        </w:rPr>
      </w:r>
      <w:r/>
    </w:p>
    <w:p>
      <w:pPr>
        <w:pStyle w:val="889"/>
        <w:ind w:firstLine="480"/>
        <w:rPr>
          <w:rFonts w:ascii="宋体" w:hAnsi="宋体"/>
          <w:sz w:val="24"/>
          <w:szCs w:val="24"/>
          <w:u w:val="single"/>
        </w:rPr>
      </w:pPr>
      <w:r>
        <w:rPr>
          <w:rFonts w:hint="eastAsia" w:ascii="宋体" w:hAnsi="宋体" w:cs="宋体"/>
          <w:sz w:val="24"/>
        </w:rPr>
        <w:t xml:space="preserve">为了加强医保基金监管力度，对照国家、省、市医保及医院自定义分析规则要求，进行过程管控院内收费过程进行规则限制，按要求实现分类实现规则管控，包括强管控、提醒管控等措施。并按要求实现各分极析统计报表。</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6.合同履行期限：在项目合同签订后的3个月内完成系统调研、实施、培训、数据准备和系统上线工作。</w:t>
      </w:r>
      <w:r>
        <w:rPr>
          <w:rFonts w:ascii="宋体" w:hAnsi="宋体"/>
          <w:sz w:val="24"/>
          <w:szCs w:val="24"/>
          <w:u w:val="single"/>
        </w:rPr>
      </w:r>
      <w:r/>
    </w:p>
    <w:p>
      <w:pPr>
        <w:pStyle w:val="892"/>
        <w:ind w:firstLine="498"/>
        <w:spacing w:before="145" w:after="145" w:line="400" w:lineRule="exact"/>
      </w:pPr>
      <w:r/>
      <w:bookmarkStart w:id="12" w:name="_Toc35393791"/>
      <w:r/>
      <w:bookmarkStart w:id="13" w:name="_Toc28359003"/>
      <w:r/>
      <w:bookmarkStart w:id="14" w:name="_Toc38985264"/>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889"/>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 月  28</w:t>
      </w:r>
      <w:r>
        <w:rPr>
          <w:rFonts w:hint="eastAsia" w:ascii="宋体" w:hAnsi="宋体"/>
          <w:bCs/>
          <w:sz w:val="24"/>
          <w:szCs w:val="24"/>
          <w:u w:val="single"/>
          <w:lang w:val="en-US" w:eastAsia="zh-CN"/>
        </w:rPr>
        <w:t xml:space="preserve">  </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sz w:val="32"/>
          <w:szCs w:val="32"/>
        </w:rPr>
        <w:outlineLvl w:val="2"/>
      </w:pPr>
      <w:r/>
      <w:bookmarkStart w:id="27" w:name="_Toc35393794"/>
      <w:r/>
      <w:bookmarkStart w:id="28" w:name="_Toc28359007"/>
      <w:r/>
      <w:bookmarkStart w:id="29" w:name="_Toc35393625"/>
      <w:r/>
      <w:bookmarkStart w:id="30" w:name="_Toc28359084"/>
      <w:r/>
      <w:bookmarkStart w:id="31" w:name="_Toc3898526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89"/>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92"/>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28359085"/>
      <w:r/>
      <w:bookmarkStart w:id="36" w:name="_Toc38985269"/>
      <w:r/>
      <w:bookmarkStart w:id="37" w:name="_Toc28359008"/>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bookmarkStart w:id="40" w:name="_Toc28359086"/>
      <w:r/>
      <w:bookmarkStart w:id="41" w:name="_Toc28359009"/>
      <w:r>
        <w:rPr>
          <w:rFonts w:hint="eastAsia" w:ascii="宋体" w:hAnsi="宋体"/>
          <w:sz w:val="24"/>
          <w:szCs w:val="24"/>
        </w:rPr>
        <w:t xml:space="preserve">名 称：</w:t>
      </w:r>
      <w:r>
        <w:rPr>
          <w:rFonts w:hint="eastAsia" w:ascii="宋体" w:hAnsi="宋体"/>
          <w:sz w:val="24"/>
          <w:szCs w:val="24"/>
          <w:u w:val="single"/>
        </w:rPr>
        <w:t xml:space="preserve">徐州医科大学附属医院</w:t>
      </w:r>
      <w:r>
        <w:rPr>
          <w:rFonts w:ascii="宋体" w:hAnsi="宋体"/>
          <w:sz w:val="24"/>
          <w:szCs w:val="24"/>
        </w:rPr>
      </w:r>
      <w:r/>
    </w:p>
    <w:p>
      <w:pPr>
        <w:pStyle w:val="889"/>
        <w:ind w:left="1079" w:hanging="30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徐州市淮海西路99号</w:t>
      </w:r>
      <w:r>
        <w:rPr>
          <w:rFonts w:hint="eastAsia"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陈一霈</w:t>
      </w:r>
      <w:r>
        <w:rPr>
          <w:rFonts w:ascii="宋体" w:hAnsi="宋体"/>
          <w:sz w:val="24"/>
          <w:szCs w:val="24"/>
        </w:rPr>
      </w:r>
      <w:r/>
    </w:p>
    <w:p>
      <w:pPr>
        <w:pStyle w:val="889"/>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0516-85806002</w:t>
      </w:r>
      <w:r>
        <w:rPr>
          <w:rFonts w:hint="eastAsia"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唐雪菲 郑荔     </w:t>
      </w:r>
      <w:r>
        <w:rPr>
          <w:rFonts w:ascii="宋体" w:hAnsi="宋体"/>
          <w:sz w:val="24"/>
          <w:szCs w:val="24"/>
        </w:rPr>
      </w:r>
      <w:r/>
    </w:p>
    <w:p>
      <w:pPr>
        <w:pStyle w:val="889"/>
        <w:ind w:firstLine="72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025-83668562 83668535    </w:t>
      </w:r>
      <w:r>
        <w:rPr>
          <w:rFonts w:hint="eastAsia" w:ascii="宋体" w:hAnsi="宋体"/>
          <w:sz w:val="24"/>
          <w:szCs w:val="24"/>
          <w:u w:val="single"/>
        </w:rPr>
      </w:r>
      <w:r/>
    </w:p>
    <w:p>
      <w:pPr>
        <w:pStyle w:val="892"/>
        <w:ind w:firstLine="498"/>
        <w:spacing w:before="145" w:after="145" w:line="400" w:lineRule="exact"/>
      </w:pPr>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3"/>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92"/>
        <w:ind w:firstLine="498"/>
        <w:spacing w:before="145" w:after="145" w:line="400" w:lineRule="exact"/>
        <w:rPr>
          <w:rFonts w:hint="eastAsia"/>
        </w:rPr>
      </w:pPr>
      <w:r/>
      <w:bookmarkStart w:id="47" w:name="_Toc16938519"/>
      <w:r/>
      <w:bookmarkStart w:id="48" w:name="_Toc120614214"/>
      <w:r/>
      <w:bookmarkStart w:id="49" w:name="_Toc20823275"/>
      <w:r/>
      <w:bookmarkStart w:id="50" w:name="_Toc513029203"/>
      <w:r>
        <w:rPr>
          <w:rFonts w:hint="eastAsia"/>
        </w:rPr>
        <w:t xml:space="preserve">一、总则</w:t>
      </w:r>
      <w:bookmarkEnd w:id="47"/>
      <w:r/>
      <w:bookmarkEnd w:id="48"/>
      <w:r/>
      <w:bookmarkEnd w:id="49"/>
      <w:r/>
      <w:bookmarkEnd w:id="50"/>
      <w:r>
        <w:rPr>
          <w:rFonts w:hint="eastAsia"/>
        </w:rPr>
      </w:r>
      <w:r/>
    </w:p>
    <w:p>
      <w:pPr>
        <w:pStyle w:val="893"/>
        <w:ind w:firstLine="420"/>
        <w:spacing w:before="0" w:after="0" w:line="400" w:lineRule="exact"/>
        <w:rPr>
          <w:rFonts w:hint="eastAsia"/>
          <w:b w:val="0"/>
          <w:bCs w:val="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0"/>
        <w:spacing w:before="0" w:after="0" w:line="400" w:lineRule="exact"/>
        <w:rPr>
          <w:rFonts w:eastAsia="黑体"/>
          <w:b w:val="0"/>
          <w:bCs w:val="0"/>
          <w:lang w:val="en-US" w:eastAsia="zh-CN"/>
        </w:rPr>
      </w:pPr>
      <w:r/>
      <w:bookmarkStart w:id="59" w:name="_Toc513029206"/>
      <w:r/>
      <w:bookmarkStart w:id="60" w:name="_Toc16938522"/>
      <w:r/>
      <w:bookmarkStart w:id="61" w:name="_Toc20823278"/>
      <w:r>
        <w:rPr>
          <w:rFonts w:hint="eastAsia"/>
          <w:b w:val="0"/>
          <w:bCs w:val="0"/>
        </w:rPr>
        <w:t xml:space="preserve">3、适用法律</w:t>
      </w:r>
      <w:bookmarkEnd w:id="59"/>
      <w:r/>
      <w:bookmarkEnd w:id="60"/>
      <w:r/>
      <w:bookmarkEnd w:id="61"/>
      <w:r>
        <w:rPr>
          <w:rFonts w:hint="eastAsia"/>
          <w:b w:val="0"/>
          <w:bCs w:val="0"/>
          <w:lang w:val="en-US" w:eastAsia="zh-CN"/>
        </w:rPr>
        <w:t xml:space="preserve">和标准</w:t>
      </w:r>
      <w:r>
        <w:rPr>
          <w:rFonts w:eastAsia="黑体"/>
          <w:b w:val="0"/>
          <w:bCs w:val="0"/>
          <w:lang w:val="en-US" w:eastAsia="zh-CN"/>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rPr>
          <w:rFonts w:hint="eastAsia" w:ascii="方正魏碑_GBK" w:hAnsi="方正魏碑_GBK" w:eastAsia="方正魏碑_GBK" w:cs="方正魏碑_GBK"/>
          <w:color w:val="000000"/>
          <w:sz w:val="24"/>
          <w:szCs w:val="21"/>
          <w:lang w:val="en-US" w:eastAsia="zh-CN"/>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bookmarkStart w:id="62" w:name="_Toc16938523"/>
      <w:r/>
      <w:bookmarkStart w:id="63" w:name="_Toc513029207"/>
      <w:r/>
      <w:bookmarkStart w:id="64" w:name="_Toc20823279"/>
      <w:r/>
      <w:bookmarkStart w:id="65" w:name="_Toc462564067"/>
      <w:r>
        <w:rPr>
          <w:rFonts w:hint="eastAsia"/>
          <w:b w:val="0"/>
          <w:bCs w:val="0"/>
        </w:rPr>
        <w:t xml:space="preserve">4、投标费用</w:t>
      </w:r>
      <w:bookmarkEnd w:id="62"/>
      <w:r/>
      <w:bookmarkEnd w:id="63"/>
      <w:r/>
      <w:bookmarkEnd w:id="64"/>
      <w:r/>
      <w:bookmarkEnd w:id="65"/>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Pr>
          <w:rFonts w:hint="eastAsia"/>
        </w:rPr>
      </w:r>
      <w:r/>
    </w:p>
    <w:p>
      <w:pPr>
        <w:pStyle w:val="893"/>
        <w:ind w:firstLine="420"/>
        <w:spacing w:before="0" w:after="0" w:line="400" w:lineRule="exact"/>
        <w:rPr>
          <w:rFonts w:hint="eastAsia"/>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3" w:name="_Toc513029212"/>
      <w:r/>
      <w:bookmarkStart w:id="74" w:name="_Toc462564071"/>
      <w:r/>
      <w:bookmarkStart w:id="75" w:name="_Toc20823284"/>
      <w:r/>
      <w:bookmarkStart w:id="76" w:name="_Toc16938528"/>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7" w:name="_Toc20823285"/>
      <w:r/>
      <w:bookmarkStart w:id="78" w:name="_Toc16938529"/>
      <w:r/>
      <w:bookmarkStart w:id="79" w:name="_Toc513029213"/>
      <w:r/>
      <w:bookmarkStart w:id="80" w:name="_Toc120614216"/>
      <w:r/>
      <w:bookmarkStart w:id="81" w:name="_Toc462564072"/>
      <w:r>
        <w:rPr>
          <w:rFonts w:hint="eastAsia"/>
        </w:rPr>
        <w:t xml:space="preserve">三、投标文件的编制</w:t>
      </w:r>
      <w:bookmarkEnd w:id="77"/>
      <w:r/>
      <w:bookmarkEnd w:id="78"/>
      <w:r/>
      <w:bookmarkEnd w:id="79"/>
      <w:r/>
      <w:bookmarkEnd w:id="80"/>
      <w:r/>
      <w:bookmarkEnd w:id="81"/>
      <w:r>
        <w:rPr>
          <w:rFonts w:hint="eastAsia"/>
        </w:rPr>
      </w:r>
      <w:r/>
    </w:p>
    <w:p>
      <w:pPr>
        <w:pStyle w:val="893"/>
        <w:ind w:firstLine="560"/>
        <w:spacing w:before="0" w:after="0" w:line="400" w:lineRule="exact"/>
        <w:rPr>
          <w:rFonts w:hint="eastAsia"/>
          <w:bCs w:val="0"/>
        </w:rPr>
      </w:pPr>
      <w:r/>
      <w:bookmarkStart w:id="82" w:name="_Toc16938530"/>
      <w:r/>
      <w:bookmarkStart w:id="83" w:name="_Toc513029214"/>
      <w:r/>
      <w:bookmarkStart w:id="84" w:name="_Toc20823286"/>
      <w:r/>
      <w:bookmarkStart w:id="85" w:name="_Toc462564073"/>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6" w:name="_Toc513029215"/>
      <w:r/>
      <w:bookmarkStart w:id="87" w:name="_Toc462564074"/>
      <w:r/>
      <w:bookmarkStart w:id="88" w:name="_Toc20823287"/>
      <w:r/>
      <w:bookmarkStart w:id="89" w:name="_Toc16938531"/>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0" w:name="_Hlt26954838"/>
      <w:r/>
      <w:bookmarkEnd w:id="90"/>
      <w:r/>
      <w:bookmarkStart w:id="91" w:name="_Hlt26668975"/>
      <w:r/>
      <w:bookmarkEnd w:id="91"/>
      <w:r/>
      <w:bookmarkStart w:id="92" w:name="_Hlt26670360"/>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rPr>
          <w:rFonts w:hint="eastAsia"/>
          <w:b w:val="0"/>
          <w:bCs w:val="0"/>
        </w:rPr>
      </w:r>
      <w:r/>
    </w:p>
    <w:p>
      <w:pPr>
        <w:pStyle w:val="889"/>
        <w:spacing w:line="400" w:lineRule="exact"/>
        <w:rPr>
          <w:rFonts w:hint="eastAsia" w:ascii="宋体" w:hAnsi="宋体"/>
          <w:sz w:val="24"/>
          <w:szCs w:val="24"/>
        </w:rPr>
      </w:pPr>
      <w:r/>
      <w:bookmarkEnd w:id="96"/>
      <w:r/>
      <w:bookmarkEnd w:id="97"/>
      <w:r/>
      <w:bookmarkEnd w:id="98"/>
      <w:r/>
      <w:bookmarkStart w:id="99" w:name="_Toc49090508"/>
      <w:r/>
      <w:bookmarkStart w:id="100"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0"/>
      <w:r/>
      <w:bookmarkStart w:id="101" w:name="_Hlt26670373"/>
      <w:r/>
      <w:bookmarkEnd w:id="101"/>
      <w:r>
        <w:rPr>
          <w:rFonts w:hint="eastAsia"/>
          <w:b w:val="0"/>
          <w:bCs w:val="0"/>
        </w:rPr>
        <w:t xml:space="preserve">表</w:t>
      </w:r>
      <w:bookmarkEnd w:id="99"/>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4" w:name="_Hlt26954844"/>
      <w:r/>
      <w:bookmarkEnd w:id="104"/>
      <w:r/>
      <w:bookmarkStart w:id="105" w:name="_Hlt26670425"/>
      <w:r/>
      <w:bookmarkEnd w:id="105"/>
      <w:r/>
      <w:bookmarkStart w:id="106" w:name="_Hlt26668983"/>
      <w:r/>
      <w:bookmarkEnd w:id="106"/>
      <w:r/>
      <w:bookmarkStart w:id="107" w:name="_Hlt26670486"/>
      <w:r/>
      <w:bookmarkEnd w:id="107"/>
      <w:r/>
      <w:bookmarkStart w:id="108" w:name="_Hlt26954842"/>
      <w:r/>
      <w:bookmarkEnd w:id="108"/>
      <w:r/>
      <w:bookmarkStart w:id="109" w:name="_Hlt26670403"/>
      <w:r/>
      <w:bookmarkEnd w:id="109"/>
      <w:r/>
      <w:bookmarkStart w:id="110" w:name="_Hlt26954848"/>
      <w:r/>
      <w:bookmarkEnd w:id="110"/>
      <w:r/>
      <w:bookmarkStart w:id="111" w:name="_Hlt26954731"/>
      <w:r/>
      <w:bookmarkEnd w:id="111"/>
      <w:r/>
      <w:bookmarkStart w:id="112" w:name="_Hlt26954846"/>
      <w:r/>
      <w:bookmarkEnd w:id="112"/>
      <w:r/>
      <w:bookmarkStart w:id="113" w:name="_Hlt26670482"/>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4" w:name="_Toc49090510"/>
      <w:r/>
      <w:bookmarkStart w:id="115"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4"/>
      <w:r/>
      <w:bookmarkEnd w:id="115"/>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45" w:after="145" w:line="400" w:lineRule="exact"/>
        <w:rPr>
          <w:rFonts w:hint="eastAsia"/>
        </w:rPr>
      </w:pPr>
      <w:r/>
      <w:bookmarkStart w:id="121" w:name="_Hlt26954739"/>
      <w:r/>
      <w:bookmarkEnd w:id="121"/>
      <w:r/>
      <w:bookmarkStart w:id="122" w:name="_Hlt26954852"/>
      <w:r/>
      <w:bookmarkEnd w:id="122"/>
      <w:r/>
      <w:bookmarkStart w:id="123" w:name="_Toc20823296"/>
      <w:r/>
      <w:bookmarkStart w:id="124" w:name="_Toc120614217"/>
      <w:r/>
      <w:bookmarkStart w:id="125" w:name="_Toc513029224"/>
      <w:r/>
      <w:bookmarkStart w:id="126" w:name="_Toc16938540"/>
      <w:r>
        <w:rPr>
          <w:rFonts w:hint="eastAsia"/>
        </w:rPr>
        <w:t xml:space="preserve">四、投标文件的递交</w:t>
      </w:r>
      <w:bookmarkEnd w:id="123"/>
      <w:r/>
      <w:bookmarkEnd w:id="124"/>
      <w:r/>
      <w:bookmarkEnd w:id="125"/>
      <w:r/>
      <w:bookmarkEnd w:id="126"/>
      <w:r>
        <w:rPr>
          <w:rFonts w:hint="eastAsia"/>
        </w:rPr>
      </w:r>
      <w:r/>
    </w:p>
    <w:p>
      <w:pPr>
        <w:pStyle w:val="893"/>
        <w:ind w:firstLine="560"/>
        <w:spacing w:before="0" w:after="0" w:line="400" w:lineRule="exact"/>
        <w:rPr>
          <w:rFonts w:hint="eastAsia" w:ascii="黑体"/>
          <w:b w:val="0"/>
          <w:bCs w:val="0"/>
        </w:rPr>
      </w:pPr>
      <w:r/>
      <w:bookmarkStart w:id="127" w:name="_Toc513029225"/>
      <w:r/>
      <w:bookmarkStart w:id="128" w:name="_Toc462564084"/>
      <w:r/>
      <w:bookmarkStart w:id="129" w:name="_Toc16938541"/>
      <w:r/>
      <w:bookmarkStart w:id="130"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16938542"/>
      <w:r/>
      <w:bookmarkStart w:id="132" w:name="_Toc20823298"/>
      <w:r/>
      <w:bookmarkStart w:id="133" w:name="_Toc513029226"/>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4" w:name="_Toc20823299"/>
      <w:r/>
      <w:bookmarkStart w:id="135" w:name="_Toc513029227"/>
      <w:r/>
      <w:bookmarkStart w:id="136" w:name="_Toc16938543"/>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7" w:name="_Toc513029228"/>
      <w:r/>
      <w:bookmarkStart w:id="138" w:name="_Toc16938544"/>
      <w:r/>
      <w:bookmarkStart w:id="139" w:name="_Toc20823300"/>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0" w:name="_Toc513029229"/>
      <w:r/>
      <w:bookmarkStart w:id="141" w:name="_Toc16938545"/>
      <w:r/>
      <w:bookmarkStart w:id="142" w:name="_Toc120614218"/>
      <w:r/>
      <w:bookmarkStart w:id="143" w:name="_Toc20823301"/>
      <w:r>
        <w:rPr>
          <w:rFonts w:hint="eastAsia"/>
        </w:rPr>
        <w:t xml:space="preserve">五、开标与评标</w:t>
      </w:r>
      <w:bookmarkEnd w:id="140"/>
      <w:r/>
      <w:bookmarkEnd w:id="141"/>
      <w:r/>
      <w:bookmarkEnd w:id="142"/>
      <w:r/>
      <w:bookmarkEnd w:id="143"/>
      <w:r>
        <w:rPr>
          <w:rFonts w:hint="eastAsia"/>
        </w:rPr>
      </w:r>
      <w:r/>
    </w:p>
    <w:p>
      <w:pPr>
        <w:pStyle w:val="893"/>
        <w:ind w:firstLine="420"/>
        <w:spacing w:before="0" w:after="0" w:line="400" w:lineRule="exact"/>
        <w:rPr>
          <w:rFonts w:hint="eastAsia"/>
          <w:b w:val="0"/>
          <w:bCs w:val="0"/>
        </w:rPr>
      </w:pPr>
      <w:r/>
      <w:bookmarkStart w:id="144" w:name="_Toc20823302"/>
      <w:r/>
      <w:bookmarkStart w:id="145" w:name="_Toc513029230"/>
      <w:r/>
      <w:bookmarkStart w:id="146" w:name="_Toc16938546"/>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7" w:name="_Toc20823303"/>
      <w:r/>
      <w:bookmarkStart w:id="148" w:name="_Toc16938547"/>
      <w:r/>
      <w:bookmarkStart w:id="149"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7"/>
      <w:r/>
      <w:bookmarkEnd w:id="148"/>
      <w:r/>
      <w:bookmarkEnd w:id="14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0" w:name="_Toc16938548"/>
      <w:r/>
      <w:bookmarkStart w:id="151" w:name="_Toc20823304"/>
      <w:r/>
      <w:bookmarkStart w:id="152" w:name="_Toc513029232"/>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3" w:name="_Toc513029233"/>
      <w:r/>
      <w:bookmarkStart w:id="154" w:name="_Toc20823305"/>
      <w:r/>
      <w:bookmarkStart w:id="155"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hint="eastAsia" w:ascii="宋体" w:hAnsi="宋体" w:cs="宋体"/>
          <w:sz w:val="24"/>
          <w:szCs w:val="24"/>
        </w:rPr>
      </w:pPr>
      <w:r/>
      <w:bookmarkStart w:id="156" w:name="_Toc16938550"/>
      <w:r/>
      <w:bookmarkStart w:id="157" w:name="_Toc20823306"/>
      <w:r/>
      <w:bookmarkStart w:id="158"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hint="eastAsia" w:ascii="宋体" w:hAnsi="宋体" w:cs="宋体"/>
          <w:sz w:val="24"/>
          <w:szCs w:val="24"/>
        </w:rPr>
        <w:t xml:space="preserve">复相关信息，并安排专人与采购中心及评标委员会联系。</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（1）投标报价低于采购项目预算50%的，即投标报价＜采购项目预算×50%；</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rPr>
          <w:rFonts w:hint="eastAsia" w:ascii="宋体" w:hAnsi="宋体" w:cs="宋体"/>
          <w:sz w:val="24"/>
          <w:szCs w:val="24"/>
        </w:rPr>
      </w:r>
      <w:r/>
    </w:p>
    <w:p>
      <w:pPr>
        <w:pStyle w:val="889"/>
        <w:ind w:firstLine="420"/>
        <w:spacing w:line="400" w:lineRule="exact"/>
        <w:rPr>
          <w:rFonts w:hint="eastAsia" w:ascii="宋体" w:hAnsi="宋体" w:cs="宋体"/>
          <w:sz w:val="24"/>
          <w:szCs w:val="24"/>
        </w:rPr>
      </w:pPr>
      <w:r>
        <w:rPr>
          <w:rFonts w:hint="eastAsia" w:ascii="宋体" w:hAnsi="宋体" w:cs="宋体"/>
          <w:sz w:val="24"/>
          <w:szCs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s="宋体"/>
          <w:sz w:val="24"/>
          <w:szCs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59" w:name="_Toc20823307"/>
      <w:r/>
      <w:bookmarkStart w:id="160" w:name="_Toc16938551"/>
      <w:r/>
      <w:bookmarkStart w:id="161" w:name="_Toc513029235"/>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25.1.9 投标文件含有采购人不能接受的附加条件的。</w:t>
      </w:r>
      <w:r>
        <w:rPr>
          <w:rFonts w:hint="eastAsia" w:ascii="宋体" w:hAnsi="宋体" w:cs="宋体"/>
          <w:bCs/>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893"/>
        <w:ind w:firstLine="600"/>
        <w:spacing w:before="0" w:after="0" w:line="400" w:lineRule="exact"/>
        <w:rPr>
          <w:rFonts w:hint="eastAsia" w:ascii="黑体" w:hAnsi="宋体"/>
          <w:b w:val="0"/>
          <w:sz w:val="30"/>
          <w:szCs w:val="30"/>
        </w:rPr>
      </w:pPr>
      <w:r/>
      <w:bookmarkStart w:id="163" w:name="_Toc513029238"/>
      <w:r/>
      <w:bookmarkStart w:id="164" w:name="_Toc20823310"/>
      <w:r/>
      <w:bookmarkStart w:id="165"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3"/>
      <w:r>
        <w:rPr>
          <w:rFonts w:hint="eastAsia" w:ascii="黑体" w:hAnsi="宋体"/>
          <w:b w:val="0"/>
          <w:sz w:val="30"/>
          <w:szCs w:val="30"/>
        </w:rPr>
        <w:t xml:space="preserve">确定</w:t>
      </w:r>
      <w:bookmarkEnd w:id="164"/>
      <w:r/>
      <w:bookmarkEnd w:id="165"/>
      <w:r>
        <w:rPr>
          <w:rFonts w:hint="eastAsia" w:ascii="黑体" w:hAnsi="宋体"/>
          <w:b w:val="0"/>
          <w:sz w:val="30"/>
          <w:szCs w:val="30"/>
        </w:rPr>
        <w:t xml:space="preserve">中标单位</w:t>
      </w:r>
      <w:r>
        <w:rPr>
          <w:rFonts w:hint="eastAsia" w:ascii="黑体" w:hAnsi="宋体"/>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6"/>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45" w:after="145" w:line="400" w:lineRule="exact"/>
        <w:rPr>
          <w:rFonts w:hint="eastAsia"/>
        </w:rPr>
      </w:pPr>
      <w:r/>
      <w:bookmarkStart w:id="167" w:name="_Toc120614220"/>
      <w:r/>
      <w:bookmarkStart w:id="168" w:name="_Toc20823308"/>
      <w:r/>
      <w:bookmarkStart w:id="169" w:name="_Toc16938552"/>
      <w:r/>
      <w:bookmarkStart w:id="170" w:name="_Toc513029236"/>
      <w:r>
        <w:rPr>
          <w:rFonts w:hint="eastAsia"/>
        </w:rPr>
        <w:t xml:space="preserve">七、授予合同</w:t>
      </w:r>
      <w:bookmarkEnd w:id="167"/>
      <w:r>
        <w:rPr>
          <w:rFonts w:hint="eastAsia"/>
        </w:rPr>
      </w:r>
      <w:r/>
    </w:p>
    <w:p>
      <w:pPr>
        <w:pStyle w:val="893"/>
        <w:ind w:firstLine="600"/>
        <w:spacing w:before="0" w:after="0" w:line="400" w:lineRule="exact"/>
        <w:rPr>
          <w:rFonts w:hint="eastAsia" w:ascii="黑体" w:hAnsi="宋体"/>
          <w:b w:val="0"/>
          <w:sz w:val="30"/>
          <w:szCs w:val="30"/>
        </w:rPr>
      </w:pPr>
      <w:r/>
      <w:bookmarkEnd w:id="168"/>
      <w:r/>
      <w:bookmarkEnd w:id="169"/>
      <w:r/>
      <w:bookmarkEnd w:id="170"/>
      <w:r/>
      <w:bookmarkStart w:id="171" w:name="_Toc20823309"/>
      <w:r/>
      <w:bookmarkStart w:id="172" w:name="_Toc16938553"/>
      <w:r/>
      <w:bookmarkStart w:id="173"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b w:val="0"/>
          <w:sz w:val="30"/>
          <w:szCs w:val="30"/>
        </w:rPr>
      </w:pPr>
      <w:r/>
      <w:bookmarkEnd w:id="171"/>
      <w:r/>
      <w:bookmarkEnd w:id="172"/>
      <w:r/>
      <w:bookmarkEnd w:id="173"/>
      <w:r/>
      <w:bookmarkStart w:id="174" w:name="_Toc120614221"/>
      <w:r/>
      <w:bookmarkStart w:id="175" w:name="_Toc479757207"/>
      <w:r/>
      <w:bookmarkStart w:id="176" w:name="_Toc20823314"/>
      <w:r/>
      <w:bookmarkStart w:id="177" w:name="_Toc513029242"/>
      <w:r/>
      <w:bookmarkStart w:id="178" w:name="_Toc16938558"/>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3"/>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rPr>
          <w:rFonts w:ascii="黑体" w:eastAsia="黑体"/>
          <w:bCs/>
          <w:sz w:val="44"/>
        </w:rPr>
      </w:r>
      <w:r/>
    </w:p>
    <w:p>
      <w:pPr>
        <w:pStyle w:val="890"/>
        <w:rPr>
          <w:rFonts w:hint="eastAsia" w:ascii="黑体" w:eastAsia="黑体"/>
          <w:bCs/>
          <w:sz w:val="44"/>
        </w:rPr>
      </w:pPr>
      <w:r>
        <w:rPr>
          <w:rFonts w:hint="eastAsia" w:ascii="黑体" w:eastAsia="黑体"/>
          <w:bCs/>
          <w:sz w:val="44"/>
        </w:rPr>
      </w:r>
      <w:r/>
    </w:p>
    <w:p>
      <w:pPr>
        <w:pStyle w:val="890"/>
        <w:jc w:val="both"/>
        <w:rPr>
          <w:rFonts w:ascii="黑体" w:eastAsia="黑体"/>
          <w:bCs/>
          <w:sz w:val="44"/>
        </w:rPr>
      </w:pPr>
      <w:r>
        <w:rPr>
          <w:rFonts w:ascii="黑体" w:eastAsia="黑体"/>
          <w:bCs/>
          <w:sz w:val="44"/>
        </w:rPr>
      </w:r>
      <w:r/>
    </w:p>
    <w:p>
      <w:pPr>
        <w:pStyle w:val="890"/>
        <w:jc w:val="both"/>
        <w:rPr>
          <w:rFonts w:ascii="黑体" w:eastAsia="黑体"/>
          <w:bCs/>
          <w:sz w:val="44"/>
        </w:rPr>
      </w:pPr>
      <w:r>
        <w:rPr>
          <w:rFonts w:ascii="黑体" w:eastAsia="黑体"/>
          <w:bCs/>
          <w:sz w:val="44"/>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79" w:name="_Toc16938559"/>
      <w:r/>
      <w:bookmarkStart w:id="180" w:name="_Toc513029243"/>
      <w:r/>
      <w:bookmarkStart w:id="181" w:name="_Toc20823315"/>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rPr>
          <w:rFonts w:ascii="宋体" w:hAnsi="宋体" w:cs="Courier New"/>
          <w:sz w:val="24"/>
          <w:szCs w:val="24"/>
        </w:rPr>
      </w:r>
      <w:r/>
    </w:p>
    <w:p>
      <w:pPr>
        <w:pStyle w:val="889"/>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rPr>
          <w:rFonts w:ascii="宋体" w:hAnsi="宋体" w:cs="Courier New"/>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b/>
          <w:bCs/>
          <w:sz w:val="24"/>
          <w:szCs w:val="24"/>
        </w:rPr>
        <w:t xml:space="preserve">软件部分的知识产权由乙方原来开发的</w:t>
      </w:r>
      <w:r>
        <w:rPr>
          <w:rFonts w:hAnsi="宋体"/>
          <w:b/>
          <w:bCs/>
          <w:sz w:val="24"/>
          <w:szCs w:val="24"/>
        </w:rPr>
        <w:t xml:space="preserve">，</w:t>
      </w:r>
      <w:r>
        <w:rPr>
          <w:rFonts w:hint="eastAsia" w:hAnsi="宋体"/>
          <w:b/>
          <w:bCs/>
          <w:sz w:val="24"/>
          <w:szCs w:val="24"/>
        </w:rPr>
        <w:t xml:space="preserve">归公司所有；与甲方</w:t>
      </w:r>
      <w:r>
        <w:rPr>
          <w:rFonts w:hAnsi="宋体"/>
          <w:b/>
          <w:bCs/>
          <w:sz w:val="24"/>
          <w:szCs w:val="24"/>
        </w:rPr>
        <w:t xml:space="preserve">共同开发的</w:t>
      </w:r>
      <w:r>
        <w:rPr>
          <w:rFonts w:hint="eastAsia" w:hAnsi="宋体"/>
          <w:b/>
          <w:bCs/>
          <w:sz w:val="24"/>
          <w:szCs w:val="24"/>
        </w:rPr>
        <w:t xml:space="preserve">，甲乙双方</w:t>
      </w:r>
      <w:r>
        <w:rPr>
          <w:rFonts w:hAnsi="宋体"/>
          <w:b/>
          <w:bCs/>
          <w:sz w:val="24"/>
          <w:szCs w:val="24"/>
        </w:rPr>
        <w:t xml:space="preserve">共同拥有。</w:t>
      </w:r>
      <w:r>
        <w:rPr>
          <w:rFonts w:hint="eastAsia" w:hAnsi="宋体"/>
          <w:sz w:val="24"/>
          <w:szCs w:val="24"/>
        </w:rPr>
      </w:r>
      <w:r/>
    </w:p>
    <w:p>
      <w:pPr>
        <w:pStyle w:val="92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6.1 乙方交纳人民币</w:t>
      </w:r>
      <w:r>
        <w:rPr>
          <w:rFonts w:hAnsi="宋体"/>
          <w:b w:val="0"/>
          <w:bCs w:val="0"/>
          <w:sz w:val="24"/>
          <w:szCs w:val="24"/>
          <w:u w:val="single"/>
        </w:rPr>
        <w:t xml:space="preserve">_</w:t>
      </w:r>
      <w:r>
        <w:rPr>
          <w:rFonts w:hint="eastAsia" w:hAnsi="宋体"/>
          <w:b w:val="0"/>
          <w:bCs w:val="0"/>
          <w:sz w:val="24"/>
          <w:szCs w:val="24"/>
          <w:u w:val="single"/>
        </w:rPr>
        <w:t xml:space="preserve">60000</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6.2.1履约保证金退还方式：原路退回。</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6.2.2履约保证金退还时间：验收合格7个工作日内。</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6.2.3履约保证金退还条件：项目完成上线，1个月内运行良好。</w:t>
      </w:r>
      <w:r>
        <w:rPr>
          <w:rFonts w:hint="eastAsia" w:hAnsi="宋体"/>
          <w:sz w:val="24"/>
          <w:szCs w:val="24"/>
        </w:rPr>
      </w:r>
      <w:r/>
    </w:p>
    <w:p>
      <w:pPr>
        <w:pStyle w:val="927"/>
        <w:ind w:left="408" w:hanging="408"/>
        <w:spacing w:before="120" w:after="120"/>
        <w:rPr>
          <w:rFonts w:hAnsi="宋体"/>
          <w:sz w:val="24"/>
          <w:szCs w:val="24"/>
        </w:rPr>
      </w:pPr>
      <w:r>
        <w:rPr>
          <w:rFonts w:hint="eastAsia" w:hAnsi="宋体"/>
          <w:sz w:val="24"/>
          <w:szCs w:val="24"/>
        </w:rPr>
        <w:t xml:space="preserve">6.2.4履约保证金不予退还的情形：项目无法完成上线，达不到验收标准。</w:t>
      </w:r>
      <w:r>
        <w:rPr>
          <w:rFonts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7"/>
        <w:jc w:val="center"/>
        <w:spacing w:before="120" w:after="120" w:line="0" w:lineRule="atLeast"/>
      </w:pPr>
      <w:r>
        <w:rPr>
          <w:rFonts w:hint="eastAsia"/>
        </w:rPr>
        <w:t xml:space="preserve">                                         </w:t>
      </w:r>
      <w:r/>
    </w:p>
    <w:p>
      <w:pPr>
        <w:pStyle w:val="927"/>
        <w:jc w:val="right"/>
        <w:spacing w:before="120" w:after="120" w:line="0" w:lineRule="atLeast"/>
        <w:rPr>
          <w:sz w:val="24"/>
          <w:szCs w:val="24"/>
        </w:rPr>
      </w:pPr>
      <w:r>
        <w:rPr>
          <w:rFonts w:hint="eastAsia"/>
          <w:sz w:val="24"/>
          <w:szCs w:val="24"/>
        </w:rPr>
        <w:t xml:space="preserve"> </w:t>
      </w:r>
      <w:r>
        <w:rPr>
          <w:sz w:val="24"/>
          <w:szCs w:val="24"/>
        </w:rPr>
      </w:r>
      <w:r/>
    </w:p>
    <w:p>
      <w:pPr>
        <w:pStyle w:val="92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Pr>
          <w:rFonts w:hint="eastAsia" w:hAnsi="宋体"/>
          <w:sz w:val="24"/>
          <w:szCs w:val="24"/>
        </w:rPr>
      </w:r>
      <w:r/>
    </w:p>
    <w:p>
      <w:pPr>
        <w:pStyle w:val="889"/>
        <w:spacing w:line="0" w:lineRule="atLeast"/>
        <w:rPr>
          <w:rFonts w:ascii="宋体" w:hAnsi="宋体"/>
          <w:b/>
          <w:sz w:val="24"/>
          <w:szCs w:val="24"/>
        </w:rPr>
      </w:pPr>
      <w:r/>
      <w:bookmarkStart w:id="189" w:name="_Toc26554093"/>
      <w:r/>
      <w:bookmarkStart w:id="190" w:name="_Toc49090575"/>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545"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89"/>
              <w:jc w:val="left"/>
              <w:spacing w:line="0" w:lineRule="atLeast"/>
              <w:tabs>
                <w:tab w:val="left" w:pos="2020" w:leader="none"/>
              </w:tabs>
              <w:rPr>
                <w:rFonts w:ascii="宋体" w:hAnsi="宋体"/>
                <w:sz w:val="24"/>
                <w:szCs w:val="24"/>
              </w:rPr>
            </w:pPr>
            <w:r>
              <w:rPr>
                <w:rFonts w:hint="eastAsia"/>
                <w:sz w:val="24"/>
                <w:szCs w:val="24"/>
              </w:rPr>
              <w:t xml:space="preserve">徐医附院医保基金智能监管系统与使用系统采购项目</w:t>
            </w:r>
            <w:r>
              <w:rPr>
                <w:rFonts w:ascii="宋体" w:hAnsi="宋体"/>
                <w:sz w:val="24"/>
                <w:szCs w:val="24"/>
              </w:rPr>
              <w:tab/>
            </w:r>
            <w:r>
              <w:rPr>
                <w:rFonts w:ascii="宋体" w:hAnsi="宋体"/>
                <w:sz w:val="24"/>
                <w:szCs w:val="24"/>
              </w:rPr>
            </w:r>
            <w:r/>
          </w:p>
        </w:tc>
        <w:tc>
          <w:tcPr>
            <w:tcW w:w="2852"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89"/>
        <w:spacing w:line="0" w:lineRule="atLeast"/>
        <w:rPr>
          <w:rFonts w:hint="eastAsia" w:ascii="宋体" w:hAnsi="宋体"/>
          <w:b/>
          <w:sz w:val="24"/>
          <w:szCs w:val="24"/>
        </w:rPr>
      </w:pPr>
      <w:r>
        <w:rPr>
          <w:rFonts w:hint="eastAsia" w:ascii="宋体" w:hAnsi="宋体"/>
          <w:b/>
          <w:sz w:val="24"/>
          <w:szCs w:val="24"/>
        </w:rPr>
      </w:r>
      <w:r/>
    </w:p>
    <w:p>
      <w:pPr>
        <w:pStyle w:val="889"/>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rPr>
          <w:rFonts w:ascii="宋体" w:hAnsi="宋体"/>
          <w:b/>
          <w:sz w:val="24"/>
          <w:szCs w:val="24"/>
        </w:rPr>
      </w:r>
      <w:r/>
    </w:p>
    <w:p>
      <w:pPr>
        <w:pStyle w:val="889"/>
        <w:rPr>
          <w:rFonts w:hint="eastAsia" w:ascii="宋体" w:hAnsi="宋体" w:cs="宋体"/>
          <w:b/>
          <w:bCs/>
          <w:sz w:val="22"/>
          <w:szCs w:val="22"/>
        </w:rPr>
      </w:pPr>
      <w:r>
        <w:rPr>
          <w:rFonts w:hint="eastAsia" w:ascii="宋体" w:hAnsi="宋体" w:cs="宋体"/>
          <w:b/>
          <w:bCs/>
          <w:sz w:val="24"/>
          <w:szCs w:val="24"/>
        </w:rPr>
        <w:t xml:space="preserve">软件功能技术要求</w:t>
      </w:r>
      <w:r>
        <w:rPr>
          <w:rFonts w:hint="eastAsia" w:ascii="宋体" w:hAnsi="宋体" w:cs="宋体"/>
          <w:b/>
          <w:bCs/>
          <w:sz w:val="22"/>
          <w:szCs w:val="22"/>
        </w:rPr>
      </w:r>
      <w:r/>
    </w:p>
    <w:tbl>
      <w:tblPr>
        <w:tblW w:w="8623" w:type="dxa"/>
        <w:tblInd w:w="-12" w:type="dxa"/>
        <w:tblLayout w:type="fixed"/>
        <w:tblCellMar>
          <w:left w:w="108" w:type="dxa"/>
          <w:top w:w="0" w:type="dxa"/>
          <w:right w:w="108" w:type="dxa"/>
          <w:bottom w:w="0" w:type="dxa"/>
        </w:tblCellMar>
        <w:tblLook w:val="04A0" w:firstRow="1" w:lastRow="0" w:firstColumn="1" w:lastColumn="0" w:noHBand="0" w:noVBand="1"/>
      </w:tblPr>
      <w:tblGrid>
        <w:gridCol w:w="826"/>
        <w:gridCol w:w="1504"/>
        <w:gridCol w:w="1793"/>
        <w:gridCol w:w="4500"/>
      </w:tblGrid>
      <w:tr>
        <w:trPr>
          <w:trHeight w:val="66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大类</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系统功能模块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详细技术要求</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none" w:color="000000" w:sz="0" w:space="0"/>
              <w:right w:val="single" w:color="000000" w:sz="4" w:space="0"/>
            </w:tcBorders>
            <w:tcW w:w="1504" w:type="dxa"/>
            <w:vAlign w:val="center"/>
            <w:vMerge w:val="restart"/>
            <w:textDirection w:val="lrTb"/>
            <w:noWrap/>
          </w:tcPr>
          <w:p>
            <w:pPr>
              <w:pStyle w:val="889"/>
              <w:jc w:val="center"/>
              <w:widowControl/>
              <w:rPr>
                <w:rFonts w:hint="eastAsia" w:ascii="宋体" w:hAnsi="宋体" w:cs="宋体"/>
                <w:sz w:val="24"/>
              </w:rPr>
            </w:pPr>
            <w:r>
              <w:rPr>
                <w:rFonts w:hint="eastAsia" w:ascii="宋体" w:hAnsi="宋体" w:cs="宋体"/>
                <w:sz w:val="24"/>
              </w:rPr>
              <w:t xml:space="preserve">智能审核</w:t>
            </w: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t xml:space="preserve">（提供包含“医保智能审核/控费”，类似内容的软件著作权</w:t>
            </w: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t xml:space="preserve">证书）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住院医嘱实时审核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在医生诊疗过程中，结合医嘱信息、医保管理规定，调用常规医保合规性审核能力，将审核前置到医生端，实时提示违规。提供独立客户端展示疑似违规类型、说明、依据、涉及金额。提供申诉意见填写等处理方式。</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住院计费实时审核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HIS可在医护人员计费场景下，通过实时调用医保审核能力接口，自动对计费项目进行实时审核，如重复收费、超标准收费等，筛查出可疑违规项目后及时提醒医护人员进行处理，解决物价收费问题。</w:t>
            </w:r>
            <w:r>
              <w:rPr>
                <w:rFonts w:hint="eastAsia" w:ascii="宋体" w:hAnsi="宋体" w:cs="宋体"/>
                <w:sz w:val="24"/>
              </w:rPr>
            </w:r>
            <w:r/>
          </w:p>
        </w:tc>
      </w:tr>
      <w:tr>
        <w:trPr>
          <w:trHeight w:val="211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每日审核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每天定时从HIS中获取在院患者费用信息和全病历信息，调用基于全病历内涵的AI医保审核能力进行全方位审核，筛选出当前在院全部就诊数据的违规疑点，质检规则包括：医保超限用药、无指征检查检验、无医嘱收费，各种漏收费，在管理端展示问题病例列表，分数据权限给科主任、医保审核人员等。支持按病例展示疑似违规列表，包括患者电子病历信息、疑似规则类型、说明、涉及金额、依据和解释。医保工作人员可以给医生推送提醒待办并可以补充略过原因。</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预结算审核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结合完整病例数据，在进行患者办理出院预结算时对费用明细进行智能审核，给出疑似违规数据，包括违规信息及违规明细，让操作人员了解患者本次结算的全部违规，及违规产生的原因，提醒工作人员及时进行及时处理。</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住院疑似违规分析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按照患者维度展示智审结果，包括患者列表和智审详情，智审详情需要展示所有的智审明细，患者列表支持多维度查询。</w:t>
            </w:r>
            <w:r>
              <w:rPr>
                <w:rFonts w:hint="eastAsia" w:ascii="宋体" w:hAnsi="宋体" w:cs="宋体"/>
                <w:sz w:val="24"/>
              </w:rPr>
            </w:r>
            <w:r/>
          </w:p>
        </w:tc>
      </w:tr>
      <w:tr>
        <w:trPr>
          <w:trHeight w:val="79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住院违规总览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医保办审核人员对系统判定违规的数据进行门诊/住院的单独统计，并对历史半年的数据进行趋势分析，且可查看违规数量TOP10的规则数量。</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住院科室疑似违规统计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按科室维度统计违规次数、违规金额，计算同比及环比分析结果。</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住院医生疑似违规统计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按医生维度统计违规次数、违规金额，计算同比及环比分析结果。</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住院项目疑似违规统计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分析疑似违规诊疗项目的使用情况，统计药品、医疗服务、耗材的使用数量、金额、人次等，以及各科室的使用详情。</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住院疑似违规类型统计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按规则类型-科室-医生-规则维度，展示疑似违规数据，可进行报表下钻，方便用户快速查看和分析疑似违规数据。</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门诊处方实时审核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在医师开具门诊处方时自动对处方进行实时审核，如：限儿童、限性别、限价格、中药饮片或配方颗粒不予支付、中药饮片单味拒付、限就诊方式、超限用药等，筛查出可疑违规项目后及时通过客户端提醒医师进行处理，提供申诉意见填写等处理方式。</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门诊疑似违规分析</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按照门诊患者维度展示智审结果，包括患者列表和智审详情，智审详情需要展示所有的智审明细，患者列表支持多维度查询。</w:t>
            </w:r>
            <w:r>
              <w:rPr>
                <w:rFonts w:hint="eastAsia" w:ascii="宋体" w:hAnsi="宋体" w:cs="宋体"/>
                <w:sz w:val="24"/>
              </w:rPr>
            </w:r>
            <w:r/>
          </w:p>
        </w:tc>
      </w:tr>
      <w:tr>
        <w:trPr>
          <w:trHeight w:val="79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门诊违规总览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医保办审核人员对系统判定门诊患者违规的数据进行的单独统计，并对历史半年的数据进行趋势分析，且可查看违规数量TOP10的规则数量。</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门诊科室疑似违规统计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按科室维度统计违门诊患者规次数、违规金额，计算同比及环比分析结果。</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门诊医生疑似违规统计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按医生维度统计门诊患者违规次数、违规金额，计算同比及环比分析结果。</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门诊项目疑似违规统计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分析门诊患者疑似违规诊疗项目的使用情况，统计药品、医疗服务、耗材的使用数量、金额、人次等，以及各科室的使用详情。</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门诊疑似违规类型统计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jc w:val="left"/>
              <w:widowControl/>
              <w:rPr>
                <w:rFonts w:hint="eastAsia" w:ascii="宋体" w:hAnsi="宋体" w:cs="宋体"/>
                <w:sz w:val="24"/>
              </w:rPr>
            </w:pPr>
            <w:r>
              <w:rPr>
                <w:rFonts w:hint="eastAsia" w:ascii="宋体" w:hAnsi="宋体" w:cs="宋体"/>
                <w:sz w:val="24"/>
              </w:rPr>
              <w:t xml:space="preserve">按规则类型-科室-医生-规则维度，展示门诊患者疑似违规数据，可进行报表下钻，方便用户快速查看和分析疑似违规数据。</w:t>
            </w:r>
            <w:r>
              <w:rPr>
                <w:rFonts w:hint="eastAsia" w:ascii="宋体" w:hAnsi="宋体" w:cs="宋体"/>
                <w:sz w:val="24"/>
              </w:rPr>
            </w:r>
            <w:r/>
          </w:p>
        </w:tc>
      </w:tr>
      <w:tr>
        <w:trPr>
          <w:trHeight w:val="79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医保药品/耗材目录管理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药品/耗材信息管理可以查询当地医保药品目录的基本信息，包括药品编码，药品名称，收费类别，收费项目等级，限制支付条件，其中药品名称和限制支付条件支持模糊查询。</w:t>
            </w:r>
            <w:r>
              <w:rPr>
                <w:rFonts w:hint="eastAsia" w:ascii="宋体" w:hAnsi="宋体" w:cs="宋体"/>
                <w:sz w:val="24"/>
              </w:rPr>
            </w:r>
            <w:r/>
          </w:p>
        </w:tc>
      </w:tr>
      <w:tr>
        <w:trPr>
          <w:trHeight w:val="79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19</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医保诊疗目录管理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诊疗项目信息管理可以查询当地医保诊疗项目的基本信息，包括项目编码，项目名称，收费类别，收费项目等级，限制支付条件，其中项目名称和限制支付条件支持模糊查询。</w:t>
            </w:r>
            <w:r>
              <w:rPr>
                <w:rFonts w:hint="eastAsia" w:ascii="宋体" w:hAnsi="宋体" w:cs="宋体"/>
                <w:sz w:val="24"/>
              </w:rPr>
            </w:r>
            <w:r/>
          </w:p>
        </w:tc>
      </w:tr>
      <w:tr>
        <w:trPr>
          <w:trHeight w:val="79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20</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飞检案例库管理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建立飞检案例库，展示案例来源、通报日期、单位及其具体违规行为、金额，为智能审核提供参考依据，飞检案例数不少于3000个。</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规则库查看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规则库查看，查看本系统支持的规则库，包括规则名称，规则编码，监控类型，解释说明。</w:t>
            </w:r>
            <w:r>
              <w:rPr>
                <w:rFonts w:hint="eastAsia" w:ascii="宋体" w:hAnsi="宋体" w:cs="宋体"/>
                <w:sz w:val="24"/>
              </w:rPr>
            </w:r>
            <w:r/>
          </w:p>
        </w:tc>
      </w:tr>
      <w:tr>
        <w:trPr>
          <w:trHeight w:val="1417"/>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审核规则配置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支持对规则库进行更新维护。对各自的审核规则可以灵活维护其严重程度、适用场景、覆盖范围、是否启用等。开放不同科室与人员的权限对规则进行维护。如财务处、医务处、医保办、药剂科、医学工程处等。</w:t>
            </w:r>
            <w:r>
              <w:rPr>
                <w:rFonts w:hint="eastAsia" w:ascii="宋体" w:hAnsi="宋体" w:cs="宋体"/>
                <w:sz w:val="24"/>
              </w:rPr>
            </w:r>
            <w:r/>
          </w:p>
        </w:tc>
      </w:tr>
      <w:tr>
        <w:trPr>
          <w:trHeight w:val="46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Borders>
              <w:top w:val="none" w:color="000000" w:sz="0" w:space="0"/>
              <w:left w:val="single" w:color="000000" w:sz="4" w:space="0"/>
              <w:bottom w:val="single" w:color="000000" w:sz="4"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自定义规则组合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支持对已有规则进行组合成不同的合理判断逻辑编辑，实现不同类型的判断逻辑的自定义编排，同时支持调用模型资源库的数据去辅助判断；支持规则通过病历选择验证，支持规则维护的日志记录留痕查看。</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24</w:t>
            </w:r>
            <w:r>
              <w:rPr>
                <w:rFonts w:hint="eastAsia" w:ascii="宋体" w:hAnsi="宋体" w:cs="宋体"/>
                <w:sz w:val="24"/>
              </w:rPr>
            </w:r>
            <w:r/>
          </w:p>
        </w:tc>
        <w:tc>
          <w:tcPr>
            <w:tcBorders>
              <w:top w:val="single" w:color="000000" w:sz="4" w:space="0"/>
              <w:left w:val="single" w:color="000000" w:sz="4" w:space="0"/>
              <w:bottom w:val="none" w:color="000000" w:sz="0" w:space="0"/>
              <w:right w:val="single" w:color="000000" w:sz="4" w:space="0"/>
            </w:tcBorders>
            <w:tcW w:w="1504" w:type="dxa"/>
            <w:vAlign w:val="center"/>
            <w:vMerge w:val="restart"/>
            <w:textDirection w:val="lrTb"/>
            <w:noWrap/>
          </w:tcPr>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t xml:space="preserve">AI能力</w:t>
            </w:r>
            <w:r>
              <w:rPr>
                <w:rFonts w:hint="eastAsia" w:ascii="宋体" w:hAnsi="宋体" w:cs="宋体"/>
                <w:sz w:val="24"/>
              </w:rPr>
            </w:r>
            <w:r/>
          </w:p>
          <w:p>
            <w:pPr>
              <w:pStyle w:val="889"/>
              <w:jc w:val="center"/>
              <w:widowControl/>
              <w:rPr>
                <w:rFonts w:hint="eastAsia" w:ascii="宋体" w:hAnsi="宋体" w:cs="宋体"/>
                <w:sz w:val="24"/>
              </w:rPr>
            </w:pPr>
            <w:r>
              <w:rPr>
                <w:rFonts w:hint="eastAsia" w:ascii="宋体" w:hAnsi="宋体" w:cs="宋体"/>
                <w:sz w:val="24"/>
              </w:rPr>
              <w:t xml:space="preserve">（提供“医学AI能力”类似内容的软件著作证书。同时在AI审核管控上具备病历理解能力、疾病推理能力、疾病知识库等相关检验检测报告）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三目录审核能力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三目录审核能力：基于费用明细/医嘱结合当地医保目录管理规定，进行医保合规性审核。主要检出医保三目录相关的医保限定条件（如限人群、限支付天数、限科室、限保险类型、限中药饮片不予支付）和物价管理规定（如重复收费、超标准收费）。</w:t>
            </w:r>
            <w:r>
              <w:rPr>
                <w:rFonts w:hint="eastAsia" w:ascii="宋体" w:hAnsi="宋体" w:cs="宋体"/>
                <w:sz w:val="24"/>
              </w:rPr>
            </w:r>
            <w:r/>
          </w:p>
        </w:tc>
      </w:tr>
      <w:tr>
        <w:trPr>
          <w:trHeight w:val="1056"/>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25</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医保审核能力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AI医保审核能力：区别于传统基于结算清单和费用明细等进行医保审核，构建基于入院记录、病程、医嘱、检查、检验、手术记录等全病历的医保审核，包括限适应症、无指征用药、无指征检查检验等。</w:t>
            </w:r>
            <w:r>
              <w:rPr>
                <w:rFonts w:hint="eastAsia" w:ascii="宋体" w:hAnsi="宋体" w:cs="宋体"/>
                <w:sz w:val="24"/>
              </w:rPr>
            </w:r>
            <w:r/>
          </w:p>
        </w:tc>
      </w:tr>
      <w:tr>
        <w:trPr>
          <w:trHeight w:val="305"/>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26</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入组审核能力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根据诊断、手术名称等综合判断入组按病种收付费医保结算模式是否符合。</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27</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门特鉴定审核能力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根据门诊特种病鉴定标准对申请的患者进行智能初步审核，判断是否相符。</w:t>
            </w:r>
            <w:r>
              <w:rPr>
                <w:rFonts w:hint="eastAsia" w:ascii="宋体" w:hAnsi="宋体" w:cs="宋体"/>
                <w:sz w:val="24"/>
              </w:rPr>
            </w:r>
            <w:r/>
          </w:p>
        </w:tc>
      </w:tr>
      <w:tr>
        <w:trPr>
          <w:trHeight w:val="17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28</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临床智能问答助手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临床智能问答助手：用户可在操作系统界面通过预设的快捷浮窗入口触发系统内全局唤醒功能，随即以侧边栏形式灵动呼核心交互界面。侧边栏内部集成了一套专业、权威且持续更新的丰富医保知识库，显著区别于基础信息查询。基于此深厚知识储备，系统不仅能胜任对各类医保政策、规则和实务问题的智能问答，精准理解用户自然语言提问并提供专业解答，还支持用户快速调取常用的医保相关快捷功能入口，显著提升操作效率。</w:t>
            </w:r>
            <w:r>
              <w:rPr>
                <w:rFonts w:hint="eastAsia" w:ascii="宋体" w:hAnsi="宋体" w:cs="宋体"/>
                <w:sz w:val="24"/>
              </w:rPr>
            </w:r>
            <w:r/>
          </w:p>
        </w:tc>
      </w:tr>
      <w:tr>
        <w:trPr>
          <w:trHeight w:val="200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29</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预判申诉场景，提供智能建议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预判申诉场景，提供智能建议：对于系统识别出的不合规或高风险项目，特别是那些可能因规则复杂性、病历记录不充分或其他非主观原因导致拒付的情形，系统将进一步提供专业的“医保申诉相关建议”。该建议包括但不限于：指导医护人员应补充哪些必要的病历记录内容或检查结果来满足医保支付条件（如更详细的主诉描述、关键的体征记录、必要的会诊记录、特定的检验报告值、治疗失败证明等）</w:t>
            </w:r>
            <w:r>
              <w:rPr>
                <w:rFonts w:hint="eastAsia" w:ascii="宋体" w:hAnsi="宋体" w:cs="宋体"/>
                <w:sz w:val="24"/>
              </w:rPr>
            </w:r>
            <w:r/>
          </w:p>
        </w:tc>
      </w:tr>
      <w:tr>
        <w:trPr>
          <w:trHeight w:val="2662"/>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30</w:t>
            </w:r>
            <w:r>
              <w:rPr>
                <w:rFonts w:hint="eastAsia" w:ascii="宋体" w:hAnsi="宋体" w:cs="宋体"/>
                <w:sz w:val="24"/>
              </w:rPr>
            </w:r>
            <w:r/>
          </w:p>
        </w:tc>
        <w:tc>
          <w:tcPr>
            <w:tcBorders>
              <w:top w:val="none" w:color="000000" w:sz="0" w:space="0"/>
              <w:left w:val="single" w:color="000000" w:sz="4" w:space="0"/>
              <w:bottom w:val="none" w:color="000000" w:sz="0"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负面清单智能复核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负面清单智能复核：针对医院医保管理部门在收到省两定平台下发的负面清单后，需要进行负面清单的复核，不仅需要对患者情况、治疗过程、项目使用背景、医保项目支付条件等复杂数据进行综合分析，面临的数据量大、规则复杂、人工复核效率低、病历关联性分析困难、整改和申诉依据不足等痛点，本系统通过大模型赋能，将强大的AI审核引擎深度嵌入到负面清单复核的工作中，实现从“人工对照”到“智能辅助复核”的转变。实现对可申诉空间的快速定位，极大减少人工复核的病历翻阅负担，追回医院合理收入。</w:t>
            </w:r>
            <w:r>
              <w:rPr>
                <w:rFonts w:hint="eastAsia" w:ascii="宋体" w:hAnsi="宋体" w:cs="宋体"/>
                <w:sz w:val="24"/>
              </w:rPr>
            </w:r>
            <w:r/>
          </w:p>
        </w:tc>
      </w:tr>
      <w:tr>
        <w:trPr>
          <w:trHeight w:val="46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Borders>
              <w:top w:val="none" w:color="000000" w:sz="0" w:space="0"/>
              <w:left w:val="single" w:color="000000" w:sz="4" w:space="0"/>
              <w:bottom w:val="none" w:color="000000" w:sz="4" w:space="0"/>
              <w:right w:val="single" w:color="000000" w:sz="4" w:space="0"/>
            </w:tcBorders>
            <w:tcW w:w="1504" w:type="dxa"/>
            <w:vAlign w:val="center"/>
            <w:vMerge w:val="continue"/>
            <w:textDirection w:val="lrTb"/>
            <w:noWrap/>
          </w:tcPr>
          <w:p>
            <w:pPr>
              <w:pStyle w:val="88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AI能力本地化部署</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支持AI能力本地化部署，保证数据不出院。</w:t>
            </w:r>
            <w:r>
              <w:rPr>
                <w:rFonts w:hint="eastAsia" w:ascii="宋体" w:hAnsi="宋体" w:cs="宋体"/>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pStyle w:val="889"/>
              <w:widowControl/>
              <w:rPr>
                <w:rFonts w:hint="eastAsia" w:ascii="宋体" w:hAnsi="宋体" w:cs="宋体"/>
                <w:sz w:val="24"/>
              </w:rPr>
            </w:pPr>
            <w:r>
              <w:rPr>
                <w:rFonts w:hint="eastAsia" w:ascii="宋体" w:hAnsi="宋体" w:cs="宋体"/>
                <w:sz w:val="24"/>
              </w:rPr>
              <w:t xml:space="preserve">移动手机端数据推送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rPr>
                <w:rFonts w:hint="eastAsia" w:ascii="宋体" w:hAnsi="宋体" w:cs="宋体"/>
                <w:sz w:val="24"/>
              </w:rPr>
            </w:pPr>
            <w:r>
              <w:rPr>
                <w:rFonts w:hint="eastAsia" w:ascii="宋体" w:hAnsi="宋体" w:cs="宋体"/>
                <w:sz w:val="24"/>
              </w:rPr>
              <w:t xml:space="preserve">移动应用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主要违规内容向科主任、护士长、医疗团队组长、当事医护人员进行手机端数据推送。（例如企业微信或短信）</w:t>
            </w:r>
            <w:r>
              <w:rPr>
                <w:rFonts w:hint="eastAsia" w:ascii="宋体" w:hAnsi="宋体" w:cs="宋体"/>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33</w:t>
            </w:r>
            <w:r>
              <w:rPr>
                <w:rFonts w:hint="eastAsia" w:ascii="宋体" w:hAnsi="宋体" w:cs="宋体"/>
                <w:sz w:val="24"/>
              </w:rPr>
            </w:r>
            <w:r/>
          </w:p>
        </w:tc>
        <w:tc>
          <w:tcPr>
            <w:tcBorders>
              <w:top w:val="single" w:color="000000" w:sz="4" w:space="0"/>
              <w:left w:val="single" w:color="000000" w:sz="4" w:space="0"/>
              <w:bottom w:val="none" w:color="000000" w:sz="0" w:space="0"/>
              <w:right w:val="single" w:color="000000" w:sz="4" w:space="0"/>
            </w:tcBorders>
            <w:tcW w:w="1504" w:type="dxa"/>
            <w:vAlign w:val="center"/>
            <w:vMerge w:val="restart"/>
            <w:textDirection w:val="lrTb"/>
            <w:noWrap/>
          </w:tcPr>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r>
            <w:r/>
          </w:p>
          <w:p>
            <w:pPr>
              <w:pStyle w:val="889"/>
              <w:widowControl/>
              <w:rPr>
                <w:rFonts w:hint="eastAsia" w:ascii="宋体" w:hAnsi="宋体" w:cs="宋体"/>
                <w:sz w:val="24"/>
              </w:rPr>
            </w:pPr>
            <w:r>
              <w:rPr>
                <w:rFonts w:hint="eastAsia" w:ascii="宋体" w:hAnsi="宋体" w:cs="宋体"/>
                <w:sz w:val="24"/>
              </w:rPr>
              <w:t xml:space="preserve">物价规则</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规则维护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能够设置控制规则，包括但不限于项目（套餐）互斥、医疗服务项目年龄使用限制、科室使用限制、项目使用频次限制、金额限制、计入不计出、病人自主选择耗材提示、依赖主项等。维护过的规则能够批量导出、导入。</w:t>
            </w:r>
            <w:r>
              <w:rPr>
                <w:rFonts w:hint="eastAsia" w:ascii="宋体" w:hAnsi="宋体" w:cs="宋体"/>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34</w:t>
            </w:r>
            <w:r>
              <w:rPr>
                <w:rFonts w:hint="eastAsia" w:ascii="宋体" w:hAnsi="宋体" w:cs="宋体"/>
                <w:sz w:val="24"/>
              </w:rPr>
            </w:r>
            <w:r/>
          </w:p>
        </w:tc>
        <w:tc>
          <w:tcPr>
            <w:tcBorders>
              <w:top w:val="none" w:color="000000" w:sz="0" w:space="0"/>
              <w:left w:val="single" w:color="000000" w:sz="4" w:space="0"/>
              <w:bottom w:val="single" w:color="000000" w:sz="4" w:space="0"/>
              <w:right w:val="single" w:color="000000" w:sz="4" w:space="0"/>
            </w:tcBorders>
            <w:tcW w:w="1504" w:type="dxa"/>
            <w:vAlign w:val="center"/>
            <w:vMerge w:val="continue"/>
            <w:textDirection w:val="lrTb"/>
            <w:noWrap/>
          </w:tcPr>
          <w:p>
            <w:pPr>
              <w:pStyle w:val="889"/>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数据统计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弹出过的规则提醒后台要有日志或者统计功能；非强制的提醒，临床处置跳过要留痕（能够查询导出）；能够按照单条规则统计某一时间段的违规数据</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9"/>
              <w:rPr>
                <w:rFonts w:hint="eastAsia" w:ascii="宋体" w:hAnsi="宋体" w:cs="宋体"/>
                <w:sz w:val="24"/>
              </w:rPr>
            </w:pPr>
            <w:r>
              <w:rPr>
                <w:rFonts w:hint="eastAsia" w:ascii="宋体" w:hAnsi="宋体" w:cs="宋体"/>
                <w:sz w:val="24"/>
              </w:rPr>
              <w:t xml:space="preserve">接口服务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对接院内多系统接口</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要求与院内运行的多系统接口能够正常对接，方便提取相关系统内的内容、数据。如HIS系统、电子病历系统等。</w:t>
            </w:r>
            <w:r>
              <w:rPr>
                <w:rFonts w:hint="eastAsia" w:ascii="宋体" w:hAnsi="宋体" w:cs="宋体"/>
                <w:sz w:val="24"/>
              </w:rPr>
            </w:r>
            <w:r/>
          </w:p>
        </w:tc>
      </w:tr>
      <w:tr>
        <w:trPr>
          <w:trHeight w:val="528"/>
        </w:trPr>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889"/>
              <w:jc w:val="center"/>
              <w:widowControl/>
              <w:rPr>
                <w:rFonts w:hint="eastAsia" w:ascii="宋体" w:hAnsi="宋体" w:cs="宋体"/>
                <w:sz w:val="24"/>
              </w:rPr>
            </w:pPr>
            <w:r>
              <w:rPr>
                <w:rFonts w:hint="eastAsia" w:ascii="宋体" w:hAnsi="宋体" w:cs="宋体"/>
                <w:sz w:val="24"/>
              </w:rPr>
              <w:t xml:space="preserve">36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pStyle w:val="889"/>
              <w:rPr>
                <w:rFonts w:hint="eastAsia" w:ascii="宋体" w:hAnsi="宋体" w:cs="宋体"/>
                <w:sz w:val="24"/>
              </w:rPr>
            </w:pPr>
            <w:r>
              <w:rPr>
                <w:rFonts w:hint="eastAsia" w:ascii="宋体" w:hAnsi="宋体" w:cs="宋体"/>
                <w:sz w:val="24"/>
              </w:rPr>
              <w:t xml:space="preserve">自查自纠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9"/>
              <w:jc w:val="center"/>
              <w:widowControl/>
              <w:rPr>
                <w:rFonts w:hint="eastAsia" w:ascii="宋体" w:hAnsi="宋体" w:cs="宋体"/>
                <w:sz w:val="24"/>
              </w:rPr>
            </w:pPr>
            <w:r>
              <w:rPr>
                <w:rFonts w:hint="eastAsia" w:ascii="宋体" w:hAnsi="宋体" w:cs="宋体"/>
                <w:sz w:val="24"/>
              </w:rPr>
              <w:t xml:space="preserve">自查自纠模块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pStyle w:val="889"/>
              <w:widowControl/>
              <w:rPr>
                <w:rFonts w:hint="eastAsia" w:ascii="宋体" w:hAnsi="宋体" w:cs="宋体"/>
                <w:sz w:val="24"/>
              </w:rPr>
            </w:pPr>
            <w:r>
              <w:rPr>
                <w:rFonts w:hint="eastAsia" w:ascii="宋体" w:hAnsi="宋体" w:cs="宋体"/>
                <w:sz w:val="24"/>
              </w:rPr>
              <w:t xml:space="preserve">能够进行一定的数据清洗，按照不同时间段提取自查自纠的数据与报告，提供自查自纠报告的模版。</w:t>
            </w:r>
            <w:r>
              <w:rPr>
                <w:rFonts w:hint="eastAsia" w:ascii="宋体" w:hAnsi="宋体" w:cs="宋体"/>
                <w:sz w:val="24"/>
              </w:rPr>
            </w:r>
            <w:r/>
          </w:p>
        </w:tc>
      </w:tr>
    </w:tbl>
    <w:p>
      <w:pPr>
        <w:pStyle w:val="889"/>
        <w:spacing w:line="0" w:lineRule="atLeast"/>
        <w:rPr>
          <w:rFonts w:ascii="宋体" w:hAnsi="宋体"/>
          <w:bCs/>
          <w:sz w:val="24"/>
          <w:szCs w:val="24"/>
        </w:rPr>
      </w:pPr>
      <w:r>
        <w:rPr>
          <w:rFonts w:ascii="宋体" w:hAnsi="宋体"/>
          <w:bCs/>
          <w:sz w:val="24"/>
          <w:szCs w:val="24"/>
        </w:rPr>
      </w:r>
      <w:r/>
    </w:p>
    <w:p>
      <w:pPr>
        <w:pStyle w:val="889"/>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89"/>
        <w:ind w:firstLine="482"/>
        <w:keepLines w:val="0"/>
        <w:keepNext w:val="0"/>
        <w:pageBreakBefore w:val="0"/>
        <w:spacing w:line="360" w:lineRule="auto"/>
        <w:widowControl w:val="off"/>
        <w:rPr>
          <w:rFonts w:hint="eastAsia" w:ascii="宋体" w:hAnsi="宋体" w:cs="宋体"/>
          <w:b/>
          <w:bCs w:val="0"/>
          <w:sz w:val="24"/>
          <w:szCs w:val="24"/>
        </w:rPr>
      </w:pP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一</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本项目商务报价包括：</w:t>
      </w:r>
      <w:r>
        <w:rPr>
          <w:rFonts w:hint="eastAsia" w:ascii="宋体" w:hAnsi="宋体" w:cs="宋体"/>
          <w:b/>
          <w:bCs w:val="0"/>
          <w:sz w:val="24"/>
          <w:szCs w:val="24"/>
        </w:rPr>
      </w:r>
      <w:r/>
    </w:p>
    <w:p>
      <w:pPr>
        <w:pStyle w:val="889"/>
        <w:numPr>
          <w:ilvl w:val="0"/>
          <w:numId w:val="0"/>
        </w:numPr>
        <w:ind w:firstLine="72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lang w:val="en-US" w:eastAsia="zh-CN" w:bidi="ar-SA"/>
        </w:rPr>
        <w:t xml:space="preserve">1、</w:t>
      </w:r>
      <w:r>
        <w:rPr>
          <w:rFonts w:hint="eastAsia" w:ascii="宋体" w:hAnsi="宋体" w:cs="宋体"/>
          <w:bCs/>
          <w:sz w:val="24"/>
          <w:szCs w:val="24"/>
        </w:rPr>
        <w:t xml:space="preserve">医保基金监管系统和使用系统；</w:t>
      </w:r>
      <w:r>
        <w:rPr>
          <w:rFonts w:hint="eastAsia" w:ascii="宋体" w:hAnsi="宋体" w:cs="宋体"/>
          <w:bCs/>
          <w:sz w:val="24"/>
          <w:szCs w:val="24"/>
        </w:rPr>
      </w:r>
      <w:r/>
    </w:p>
    <w:p>
      <w:pPr>
        <w:pStyle w:val="889"/>
        <w:numPr>
          <w:ilvl w:val="0"/>
          <w:numId w:val="0"/>
        </w:numPr>
        <w:ind w:firstLine="72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满足</w:t>
      </w:r>
      <w:r>
        <w:rPr>
          <w:rFonts w:hint="eastAsia" w:ascii="宋体" w:hAnsi="宋体" w:cs="宋体"/>
          <w:sz w:val="24"/>
          <w:szCs w:val="24"/>
        </w:rPr>
        <w:t xml:space="preserve">国产化</w:t>
      </w:r>
      <w:r>
        <w:rPr>
          <w:rFonts w:hint="eastAsia" w:ascii="宋体" w:hAnsi="宋体" w:cs="宋体"/>
          <w:bCs/>
          <w:sz w:val="24"/>
          <w:szCs w:val="24"/>
        </w:rPr>
        <w:t xml:space="preserve">要求的数据库、操作系统、中间件等费用，具体数量须满足医保基金监管系统实际应用需要并单独报价。</w:t>
      </w:r>
      <w:r>
        <w:rPr>
          <w:rFonts w:hint="eastAsia" w:ascii="宋体" w:hAnsi="宋体" w:cs="宋体"/>
          <w:bCs/>
          <w:sz w:val="24"/>
          <w:szCs w:val="24"/>
        </w:rPr>
      </w:r>
      <w:r/>
    </w:p>
    <w:p>
      <w:pPr>
        <w:pStyle w:val="889"/>
        <w:ind w:left="0" w:firstLine="482"/>
        <w:keepLines w:val="0"/>
        <w:keepNext w:val="0"/>
        <w:pageBreakBefore w:val="0"/>
        <w:spacing w:line="20" w:lineRule="atLeast"/>
        <w:widowControl w:val="off"/>
        <w:rPr>
          <w:rFonts w:ascii="宋体" w:hAnsi="宋体" w:cs="宋体"/>
          <w:bCs/>
          <w:sz w:val="24"/>
          <w:szCs w:val="24"/>
        </w:rPr>
      </w:pP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二</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付款方式：</w:t>
      </w:r>
      <w:r>
        <w:rPr>
          <w:rFonts w:hint="eastAsia" w:ascii="宋体" w:hAnsi="宋体" w:cs="宋体"/>
          <w:bCs/>
          <w:sz w:val="24"/>
          <w:szCs w:val="24"/>
        </w:rPr>
        <w:t xml:space="preserve">合同签订后，支付总价款的30%，产品验收合格后，支付总价款的60％，验收合格三个月后且收到发票后支付 10%。</w:t>
      </w:r>
      <w:r>
        <w:rPr>
          <w:rFonts w:ascii="宋体" w:hAnsi="宋体" w:cs="宋体"/>
          <w:bCs/>
          <w:sz w:val="24"/>
          <w:szCs w:val="24"/>
        </w:rPr>
      </w:r>
      <w:r/>
    </w:p>
    <w:p>
      <w:pPr>
        <w:pStyle w:val="889"/>
        <w:ind w:firstLine="480"/>
        <w:keepLines w:val="0"/>
        <w:keepNext w:val="0"/>
        <w:pageBreakBefore w:val="0"/>
        <w:spacing w:line="20" w:lineRule="atLeast"/>
        <w:widowControl w:val="off"/>
        <w:rPr>
          <w:rFonts w:hint="eastAsia" w:ascii="宋体" w:hAnsi="宋体"/>
          <w:bCs/>
          <w:i/>
          <w:iCs/>
          <w:sz w:val="24"/>
          <w:szCs w:val="24"/>
          <w:u w:val="single"/>
        </w:rPr>
      </w:pPr>
      <w:r>
        <w:rPr>
          <w:rFonts w:hint="eastAsia" w:ascii="宋体" w:hAnsi="宋体" w:cs="宋体"/>
          <w:bCs/>
          <w:i/>
          <w:iCs/>
          <w:sz w:val="24"/>
          <w:szCs w:val="24"/>
          <w:u w:val="single"/>
          <w:lang w:eastAsia="zh-CN"/>
        </w:rPr>
        <w:t xml:space="preserve">（</w:t>
      </w:r>
      <w:r>
        <w:rPr>
          <w:rFonts w:hint="eastAsia" w:ascii="宋体" w:hAnsi="宋体" w:cs="宋体"/>
          <w:bCs/>
          <w:i/>
          <w:iCs/>
          <w:sz w:val="24"/>
          <w:szCs w:val="24"/>
          <w:u w:val="single"/>
          <w:lang w:val="en-US" w:eastAsia="zh-CN"/>
        </w:rPr>
        <w:t xml:space="preserve">三</w:t>
      </w:r>
      <w:r>
        <w:rPr>
          <w:rFonts w:hint="eastAsia" w:ascii="宋体" w:hAnsi="宋体" w:cs="宋体"/>
          <w:bCs/>
          <w:i/>
          <w:iCs/>
          <w:sz w:val="24"/>
          <w:szCs w:val="24"/>
          <w:u w:val="single"/>
          <w:lang w:eastAsia="zh-CN"/>
        </w:rPr>
        <w:t xml:space="preserve">）</w:t>
      </w:r>
      <w:r>
        <w:rPr>
          <w:rFonts w:hint="eastAsia" w:ascii="宋体" w:hAnsi="宋体" w:cs="宋体"/>
          <w:bCs/>
          <w:i/>
          <w:iCs/>
          <w:sz w:val="24"/>
          <w:szCs w:val="24"/>
          <w:u w:val="single"/>
        </w:rPr>
        <w:t xml:space="preserve">质保期：提供质保服务不低于3年（包含于总报价中）</w:t>
      </w:r>
      <w:r>
        <w:rPr>
          <w:rFonts w:hint="eastAsia" w:ascii="宋体" w:hAnsi="宋体"/>
          <w:bCs/>
          <w:i/>
          <w:iCs/>
          <w:sz w:val="24"/>
          <w:szCs w:val="24"/>
          <w:u w:val="single"/>
        </w:rPr>
        <w:t xml:space="preserve">；</w:t>
      </w:r>
      <w:r>
        <w:rPr>
          <w:rFonts w:ascii="SimSun" w:hAnsi="SimSun" w:eastAsia="SimSun" w:cs="SimSun"/>
          <w:i/>
          <w:color w:val="000000"/>
          <w:sz w:val="24"/>
          <w:u w:val="single"/>
        </w:rPr>
        <w:t xml:space="preserve">质保服务期结束后，维护费用不高于合同总价的7%/年。</w:t>
      </w:r>
      <w:r>
        <w:rPr>
          <w:rFonts w:hint="eastAsia" w:ascii="宋体" w:hAnsi="宋体"/>
          <w:bCs/>
          <w:i/>
          <w:iCs/>
          <w:sz w:val="24"/>
          <w:szCs w:val="24"/>
          <w:u w:val="single"/>
        </w:rPr>
        <w:t xml:space="preserve">投标人须提供与本项目相关的国产化信息技术应用创新部署所需系统软件的服务器部署(包括操作系统2套、数据库1套、中间1套)的授权随本项目使用，采购人在使用时无需支付额外费用，被授权单位为徐州医科大学附属医院。(提供承诺函并加盖公章)</w:t>
      </w:r>
      <w:r>
        <w:rPr>
          <w:rFonts w:hint="eastAsia" w:ascii="宋体" w:hAnsi="宋体"/>
          <w:bCs/>
          <w:i/>
          <w:iCs/>
          <w:sz w:val="24"/>
          <w:szCs w:val="24"/>
          <w:u w:val="single"/>
        </w:rPr>
      </w:r>
      <w:r/>
    </w:p>
    <w:p>
      <w:pPr>
        <w:pStyle w:val="889"/>
        <w:ind w:firstLine="480"/>
        <w:keepLines w:val="0"/>
        <w:keepNext w:val="0"/>
        <w:pageBreakBefore w:val="0"/>
        <w:spacing w:line="20" w:lineRule="atLeast"/>
        <w:widowControl w:val="off"/>
        <w:rPr>
          <w:rFonts w:hint="eastAsia" w:ascii="宋体" w:hAnsi="宋体" w:eastAsia="宋体"/>
          <w:bCs/>
          <w:i/>
          <w:iCs/>
          <w:sz w:val="24"/>
          <w:szCs w:val="24"/>
          <w:u w:val="single"/>
          <w:lang w:eastAsia="zh-CN"/>
        </w:rPr>
      </w:pPr>
      <w:r>
        <w:rPr>
          <w:rFonts w:hint="eastAsia" w:ascii="宋体" w:hAnsi="宋体"/>
          <w:bCs/>
          <w:i/>
          <w:iCs/>
          <w:sz w:val="24"/>
          <w:szCs w:val="24"/>
          <w:u w:val="single"/>
          <w:lang w:eastAsia="zh-CN"/>
        </w:rPr>
        <w:t xml:space="preserve">（</w:t>
      </w:r>
      <w:r>
        <w:rPr>
          <w:rFonts w:hint="eastAsia" w:ascii="宋体" w:hAnsi="宋体"/>
          <w:bCs/>
          <w:i/>
          <w:iCs/>
          <w:sz w:val="24"/>
          <w:szCs w:val="24"/>
          <w:u w:val="single"/>
          <w:lang w:val="en-US" w:eastAsia="zh-CN"/>
        </w:rPr>
        <w:t xml:space="preserve">四</w:t>
      </w:r>
      <w:r>
        <w:rPr>
          <w:rFonts w:hint="eastAsia" w:ascii="宋体" w:hAnsi="宋体"/>
          <w:bCs/>
          <w:i/>
          <w:iCs/>
          <w:sz w:val="24"/>
          <w:szCs w:val="24"/>
          <w:u w:val="single"/>
          <w:lang w:eastAsia="zh-CN"/>
        </w:rPr>
        <w:t xml:space="preserve">）</w:t>
      </w:r>
      <w:r>
        <w:rPr>
          <w:rFonts w:hint="eastAsia" w:ascii="宋体" w:hAnsi="宋体"/>
          <w:bCs/>
          <w:i/>
          <w:iCs/>
          <w:sz w:val="24"/>
          <w:szCs w:val="24"/>
          <w:u w:val="single"/>
        </w:rPr>
        <w:t xml:space="preserve">项目工期：投标人应承诺在项目合同签订后的3个月内完成系统调研、实施、培训、数据准备和系统上线工作。</w:t>
      </w:r>
      <w:r>
        <w:rPr>
          <w:rFonts w:hint="eastAsia" w:ascii="宋体" w:hAnsi="宋体"/>
          <w:bCs/>
          <w:i/>
          <w:iCs/>
          <w:sz w:val="24"/>
          <w:szCs w:val="24"/>
          <w:u w:val="single"/>
          <w:lang w:eastAsia="zh-CN"/>
        </w:rPr>
        <w:t xml:space="preserve">（</w:t>
      </w:r>
      <w:r>
        <w:rPr>
          <w:rFonts w:hint="eastAsia" w:ascii="宋体" w:hAnsi="宋体"/>
          <w:bCs/>
          <w:i/>
          <w:iCs/>
          <w:sz w:val="24"/>
          <w:szCs w:val="24"/>
          <w:u w:val="single"/>
          <w:lang w:val="en-US" w:eastAsia="zh-CN"/>
        </w:rPr>
        <w:t xml:space="preserve">提供承诺函并加盖公章</w:t>
      </w:r>
      <w:r>
        <w:rPr>
          <w:rFonts w:hint="eastAsia" w:ascii="宋体" w:hAnsi="宋体"/>
          <w:bCs/>
          <w:i/>
          <w:iCs/>
          <w:sz w:val="24"/>
          <w:szCs w:val="24"/>
          <w:u w:val="single"/>
          <w:lang w:eastAsia="zh-CN"/>
        </w:rPr>
        <w:t xml:space="preserve">）</w:t>
      </w:r>
      <w:r>
        <w:rPr>
          <w:rFonts w:hint="eastAsia" w:ascii="宋体" w:hAnsi="宋体" w:eastAsia="宋体"/>
          <w:bCs/>
          <w:i/>
          <w:iCs/>
          <w:sz w:val="24"/>
          <w:szCs w:val="24"/>
          <w:u w:val="single"/>
          <w:lang w:eastAsia="zh-CN"/>
        </w:rPr>
      </w:r>
      <w:r/>
    </w:p>
    <w:p>
      <w:pPr>
        <w:pStyle w:val="889"/>
        <w:ind w:firstLine="482"/>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b/>
          <w:bCs w:val="0"/>
          <w:sz w:val="24"/>
          <w:szCs w:val="24"/>
          <w:lang w:val="en-US" w:eastAsia="zh-CN"/>
        </w:rPr>
        <w:t xml:space="preserve">（五</w:t>
      </w:r>
      <w:r>
        <w:rPr>
          <w:rFonts w:hint="eastAsia" w:ascii="宋体" w:hAnsi="宋体" w:eastAsia="宋体" w:cs="宋体"/>
          <w:b/>
          <w:bCs w:val="0"/>
          <w:sz w:val="24"/>
          <w:szCs w:val="24"/>
          <w:lang w:eastAsia="zh-CN"/>
        </w:rPr>
        <w:t xml:space="preserve">）交货</w:t>
      </w:r>
      <w:r>
        <w:rPr>
          <w:rFonts w:hint="eastAsia" w:ascii="宋体" w:hAnsi="宋体" w:cs="宋体"/>
          <w:b/>
          <w:bCs w:val="0"/>
          <w:sz w:val="24"/>
          <w:szCs w:val="24"/>
        </w:rPr>
        <w:t xml:space="preserve">期：</w:t>
      </w:r>
      <w:r>
        <w:rPr>
          <w:rFonts w:hint="eastAsia" w:ascii="宋体" w:hAnsi="宋体" w:cs="宋体"/>
          <w:bCs/>
          <w:sz w:val="24"/>
          <w:szCs w:val="24"/>
        </w:rPr>
        <w:t xml:space="preserve">合同生效后45天内。</w:t>
      </w:r>
      <w:r>
        <w:rPr>
          <w:rFonts w:hint="eastAsia" w:ascii="宋体" w:hAnsi="宋体" w:cs="宋体"/>
          <w:b/>
          <w:bCs/>
          <w:sz w:val="24"/>
          <w:szCs w:val="24"/>
        </w:rPr>
      </w:r>
      <w:r/>
    </w:p>
    <w:p>
      <w:pPr>
        <w:pStyle w:val="920"/>
        <w:ind w:firstLine="482"/>
        <w:spacing w:line="360" w:lineRule="auto"/>
        <w:rPr>
          <w:rFonts w:hint="eastAsia" w:ascii="宋体" w:hAnsi="宋体" w:eastAsia="宋体" w:cs="宋体"/>
          <w:bCs/>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六</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交货地点：</w:t>
      </w:r>
      <w:r>
        <w:rPr>
          <w:rFonts w:hint="eastAsia" w:ascii="宋体" w:hAnsi="宋体" w:eastAsia="宋体" w:cs="宋体"/>
          <w:bCs/>
          <w:sz w:val="24"/>
          <w:szCs w:val="24"/>
        </w:rPr>
        <w:t xml:space="preserve">根据采购人要求送达指定地点</w:t>
      </w:r>
      <w:r>
        <w:rPr>
          <w:rFonts w:hint="eastAsia" w:ascii="宋体" w:hAnsi="宋体" w:eastAsia="宋体" w:cs="宋体"/>
          <w:sz w:val="24"/>
          <w:szCs w:val="24"/>
        </w:rPr>
        <w:t xml:space="preserve">（本项目不集中组织踏勘，供应商可联系采购人自行前往，中标后，中标供应商不得以现场情况未了解清楚为由向采购人提出提升投标报价</w:t>
      </w:r>
      <w:r>
        <w:rPr>
          <w:rFonts w:hint="eastAsia" w:ascii="宋体" w:hAnsi="宋体" w:eastAsia="宋体" w:cs="宋体"/>
          <w:bCs/>
          <w:sz w:val="24"/>
          <w:szCs w:val="24"/>
        </w:rPr>
        <w:t xml:space="preserve">或其他任何要求）</w:t>
      </w:r>
      <w:r>
        <w:rPr>
          <w:rFonts w:hint="eastAsia" w:ascii="宋体" w:hAnsi="宋体" w:eastAsia="宋体" w:cs="宋体"/>
          <w:bCs/>
          <w:sz w:val="24"/>
          <w:szCs w:val="24"/>
        </w:rPr>
      </w:r>
      <w:r/>
    </w:p>
    <w:p>
      <w:pPr>
        <w:pStyle w:val="920"/>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七</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企业业绩：</w:t>
      </w:r>
      <w:r>
        <w:rPr>
          <w:rFonts w:hint="eastAsia" w:ascii="宋体" w:hAnsi="宋体" w:eastAsia="宋体" w:cs="宋体"/>
          <w:bCs/>
          <w:sz w:val="24"/>
          <w:szCs w:val="24"/>
        </w:rPr>
        <w:t xml:space="preserve">投标人须承担过医疗行业与本项目类似的合同业绩（合同中包含“医保控费</w:t>
      </w:r>
      <w:r>
        <w:rPr>
          <w:rFonts w:ascii="宋体" w:hAnsi="宋体" w:eastAsia="宋体" w:cs="宋体"/>
          <w:bCs/>
          <w:sz w:val="24"/>
          <w:szCs w:val="24"/>
        </w:rPr>
        <w:t xml:space="preserve">”</w:t>
      </w:r>
      <w:r>
        <w:rPr>
          <w:rFonts w:hint="eastAsia" w:ascii="宋体" w:hAnsi="宋体" w:eastAsia="宋体" w:cs="宋体"/>
          <w:bCs/>
          <w:sz w:val="24"/>
          <w:szCs w:val="24"/>
        </w:rPr>
        <w:t xml:space="preserve">、“医保智能审核”、“医保风险控制”、“医保智能监管”)。</w:t>
      </w:r>
      <w:r>
        <w:rPr>
          <w:rFonts w:hint="eastAsia" w:ascii="宋体" w:hAnsi="宋体" w:eastAsia="宋体" w:cs="宋体"/>
          <w:bCs/>
          <w:sz w:val="24"/>
          <w:szCs w:val="24"/>
        </w:rPr>
      </w:r>
      <w:r/>
    </w:p>
    <w:p>
      <w:pPr>
        <w:pStyle w:val="920"/>
        <w:numPr>
          <w:ilvl w:val="0"/>
          <w:numId w:val="0"/>
        </w:numPr>
        <w:ind w:firstLine="482"/>
        <w:spacing w:line="360" w:lineRule="auto"/>
        <w:rPr>
          <w:rFonts w:ascii="宋体" w:hAnsi="宋体" w:eastAsia="宋体" w:cs="宋体"/>
          <w:bCs/>
          <w:sz w:val="24"/>
          <w:szCs w:val="24"/>
        </w:rPr>
      </w:pPr>
      <w:r>
        <w:rPr>
          <w:rFonts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lang w:val="en-US" w:eastAsia="zh-CN" w:bidi="ar-SA"/>
        </w:rPr>
        <w:t xml:space="preserve">八</w:t>
      </w:r>
      <w:r>
        <w:rPr>
          <w:rFonts w:ascii="宋体" w:hAnsi="宋体" w:eastAsia="宋体" w:cs="宋体"/>
          <w:b/>
          <w:bCs w:val="0"/>
          <w:sz w:val="24"/>
          <w:szCs w:val="24"/>
          <w:lang w:val="en-US" w:eastAsia="zh-CN" w:bidi="ar-SA"/>
        </w:rPr>
        <w:t xml:space="preserve">）</w:t>
      </w:r>
      <w:r>
        <w:rPr>
          <w:rFonts w:hint="eastAsia" w:ascii="宋体" w:hAnsi="宋体" w:eastAsia="宋体" w:cs="宋体"/>
          <w:b/>
          <w:bCs w:val="0"/>
          <w:sz w:val="24"/>
          <w:szCs w:val="24"/>
        </w:rPr>
        <w:t xml:space="preserve">资质证书：</w:t>
      </w:r>
      <w:r>
        <w:rPr>
          <w:rFonts w:hint="eastAsia" w:ascii="宋体" w:hAnsi="宋体" w:eastAsia="宋体" w:cs="宋体"/>
          <w:bCs/>
          <w:sz w:val="24"/>
          <w:szCs w:val="24"/>
        </w:rPr>
        <w:t xml:space="preserve">投标企业须持有ISO9001质量管理体系认证证书，ISO27001信息安全管理体系认证证书，ISO27701隐私信息管理体系认证证书。</w:t>
      </w:r>
      <w:r>
        <w:rPr>
          <w:rFonts w:ascii="宋体" w:hAnsi="宋体" w:eastAsia="宋体" w:cs="宋体"/>
          <w:bCs/>
          <w:sz w:val="24"/>
          <w:szCs w:val="24"/>
        </w:rPr>
      </w:r>
      <w:r/>
    </w:p>
    <w:p>
      <w:pPr>
        <w:pStyle w:val="920"/>
        <w:numPr>
          <w:ilvl w:val="0"/>
          <w:numId w:val="0"/>
        </w:numPr>
        <w:ind w:firstLine="482"/>
        <w:spacing w:line="360" w:lineRule="auto"/>
        <w:rPr>
          <w:rFonts w:hint="eastAsia" w:ascii="宋体" w:hAnsi="宋体" w:eastAsia="宋体" w:cs="宋体"/>
          <w:bCs/>
          <w:sz w:val="24"/>
          <w:szCs w:val="24"/>
        </w:rPr>
      </w:pPr>
      <w:r>
        <w:rPr>
          <w:rFonts w:hint="eastAsia" w:ascii="宋体" w:hAnsi="宋体" w:eastAsia="宋体" w:cs="宋体"/>
          <w:b/>
          <w:bCs w:val="0"/>
          <w:sz w:val="24"/>
          <w:szCs w:val="24"/>
          <w:lang w:val="en-US" w:eastAsia="zh-CN" w:bidi="ar-SA"/>
        </w:rPr>
        <w:t xml:space="preserve">（九）</w:t>
      </w:r>
      <w:r>
        <w:rPr>
          <w:rFonts w:hint="eastAsia" w:ascii="宋体" w:hAnsi="宋体" w:eastAsia="宋体" w:cs="宋体"/>
          <w:b/>
          <w:bCs w:val="0"/>
          <w:sz w:val="24"/>
          <w:szCs w:val="24"/>
        </w:rPr>
        <w:t xml:space="preserve">软件著作权</w:t>
      </w:r>
      <w:r>
        <w:rPr>
          <w:rFonts w:hint="eastAsia" w:ascii="宋体" w:hAnsi="宋体" w:eastAsia="宋体" w:cs="宋体"/>
          <w:bCs/>
          <w:sz w:val="24"/>
          <w:szCs w:val="24"/>
        </w:rPr>
        <w:t xml:space="preserve">；投标人需提供包含“医保智能审核/控费”，“医学AI能力”类似内容的《计算机软件著作权登记证书》。</w:t>
      </w:r>
      <w:r>
        <w:rPr>
          <w:rFonts w:hint="eastAsia" w:ascii="宋体" w:hAnsi="宋体" w:eastAsia="宋体" w:cs="宋体"/>
          <w:bCs/>
          <w:sz w:val="24"/>
          <w:szCs w:val="24"/>
        </w:rPr>
      </w:r>
      <w:r/>
    </w:p>
    <w:p>
      <w:pPr>
        <w:pStyle w:val="889"/>
        <w:ind w:firstLine="482"/>
        <w:jc w:val="left"/>
        <w:spacing w:line="360" w:lineRule="auto"/>
        <w:rPr>
          <w:rFonts w:ascii="宋体" w:hAnsi="宋体" w:cs="宋体"/>
          <w:bCs/>
          <w:sz w:val="24"/>
        </w:rPr>
      </w:pPr>
      <w:r>
        <w:rPr>
          <w:rFonts w:hint="eastAsia" w:ascii="宋体" w:hAnsi="宋体" w:cs="宋体"/>
          <w:b/>
          <w:sz w:val="24"/>
        </w:rPr>
        <w:t xml:space="preserve">（</w:t>
      </w:r>
      <w:r>
        <w:rPr>
          <w:rFonts w:hint="eastAsia" w:ascii="宋体" w:hAnsi="宋体" w:cs="宋体"/>
          <w:b/>
          <w:sz w:val="24"/>
          <w:lang w:val="en-US" w:eastAsia="zh-CN"/>
        </w:rPr>
        <w:t xml:space="preserve">十</w:t>
      </w:r>
      <w:r>
        <w:rPr>
          <w:rFonts w:hint="eastAsia" w:ascii="宋体" w:hAnsi="宋体" w:cs="宋体"/>
          <w:b/>
          <w:sz w:val="24"/>
        </w:rPr>
        <w:t xml:space="preserve">）AI管控能力</w:t>
      </w:r>
      <w:r>
        <w:rPr>
          <w:rFonts w:hint="eastAsia" w:ascii="宋体" w:hAnsi="宋体" w:cs="宋体"/>
          <w:b/>
          <w:sz w:val="24"/>
          <w:lang w:eastAsia="zh-CN"/>
        </w:rPr>
        <w:t xml:space="preserve">：</w:t>
      </w:r>
      <w:r>
        <w:rPr>
          <w:rFonts w:hint="eastAsia" w:ascii="宋体" w:hAnsi="宋体" w:cs="宋体"/>
          <w:bCs/>
          <w:sz w:val="24"/>
        </w:rPr>
        <w:t xml:space="preserve">在AI审核管控上具备：病历理解能力、疾病推理能力、疾病知识库等相关检验检测报告。</w:t>
      </w:r>
      <w:r>
        <w:rPr>
          <w:rFonts w:ascii="宋体" w:hAnsi="宋体" w:cs="宋体"/>
          <w:bCs/>
          <w:sz w:val="24"/>
        </w:rPr>
      </w:r>
      <w:r/>
    </w:p>
    <w:p>
      <w:pPr>
        <w:pStyle w:val="889"/>
        <w:ind w:firstLine="482"/>
        <w:jc w:val="left"/>
        <w:spacing w:line="360" w:lineRule="auto"/>
        <w:rPr>
          <w:rFonts w:hint="eastAsia" w:ascii="宋体" w:hAnsi="宋体" w:eastAsia="宋体" w:cs="宋体"/>
          <w:bCs/>
          <w:sz w:val="24"/>
          <w:szCs w:val="24"/>
        </w:rPr>
      </w:pPr>
      <w:r>
        <w:rPr>
          <w:rFonts w:hint="eastAsia" w:ascii="宋体" w:hAnsi="宋体" w:cs="宋体"/>
          <w:b/>
          <w:sz w:val="24"/>
        </w:rPr>
        <w:t xml:space="preserve">（</w:t>
      </w:r>
      <w:r>
        <w:rPr>
          <w:rFonts w:hint="eastAsia" w:ascii="宋体" w:hAnsi="宋体" w:cs="宋体"/>
          <w:b/>
          <w:sz w:val="24"/>
          <w:lang w:val="en-US" w:eastAsia="zh-CN"/>
        </w:rPr>
        <w:t xml:space="preserve">十一</w:t>
      </w:r>
      <w:r>
        <w:rPr>
          <w:rFonts w:hint="eastAsia" w:ascii="宋体" w:hAnsi="宋体" w:cs="宋体"/>
          <w:b/>
          <w:sz w:val="24"/>
        </w:rPr>
        <w:t xml:space="preserve">）国产化适配</w:t>
      </w:r>
      <w:r>
        <w:rPr>
          <w:rFonts w:hint="eastAsia" w:ascii="宋体" w:hAnsi="宋体" w:cs="宋体"/>
          <w:b/>
          <w:sz w:val="24"/>
          <w:lang w:eastAsia="zh-CN"/>
        </w:rPr>
        <w:t xml:space="preserve">：</w:t>
      </w:r>
      <w:r>
        <w:rPr>
          <w:rFonts w:ascii="宋体" w:hAnsi="宋体" w:cs="宋体"/>
          <w:bCs/>
          <w:sz w:val="24"/>
        </w:rPr>
        <w:t xml:space="preserve">投标人所投产品与主流国产操作系统、数据库和中间件的兼容性互认，具有认证证书</w:t>
      </w:r>
      <w:r>
        <w:rPr>
          <w:rFonts w:hint="eastAsia" w:ascii="宋体" w:hAnsi="宋体" w:cs="宋体"/>
          <w:bCs/>
          <w:sz w:val="24"/>
        </w:rPr>
        <w:t xml:space="preserve">。</w:t>
      </w:r>
      <w:r>
        <w:rPr>
          <w:rFonts w:hint="eastAsia" w:ascii="宋体" w:hAnsi="宋体" w:eastAsia="宋体" w:cs="宋体"/>
          <w:bCs/>
          <w:sz w:val="24"/>
          <w:szCs w:val="24"/>
        </w:rPr>
      </w:r>
      <w:r/>
    </w:p>
    <w:p>
      <w:pPr>
        <w:pStyle w:val="920"/>
        <w:numPr>
          <w:ilvl w:val="0"/>
          <w:numId w:val="0"/>
        </w:numPr>
        <w:ind w:firstLine="482"/>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项目团队</w:t>
      </w:r>
      <w:r>
        <w:rPr>
          <w:rFonts w:hint="eastAsia" w:ascii="宋体" w:hAnsi="宋体" w:eastAsia="宋体" w:cs="宋体"/>
          <w:b/>
          <w:sz w:val="24"/>
          <w:szCs w:val="24"/>
          <w:lang w:val="en-US" w:eastAsia="zh-CN"/>
        </w:rPr>
        <w:t xml:space="preserve">要求</w:t>
      </w:r>
      <w:r>
        <w:rPr>
          <w:rFonts w:hint="eastAsia" w:ascii="宋体" w:hAnsi="宋体" w:eastAsia="宋体" w:cs="宋体"/>
          <w:b/>
          <w:sz w:val="24"/>
          <w:szCs w:val="24"/>
          <w:lang w:val="en-US" w:eastAsia="zh-CN"/>
        </w:rPr>
      </w:r>
      <w:r/>
    </w:p>
    <w:p>
      <w:pPr>
        <w:pStyle w:val="889"/>
        <w:numPr>
          <w:ilvl w:val="0"/>
          <w:numId w:val="0"/>
        </w:numPr>
        <w:ind w:firstLine="480"/>
        <w:spacing w:line="20" w:lineRule="atLeast"/>
        <w:rPr>
          <w:rFonts w:cs="宋体"/>
        </w:rPr>
      </w:pPr>
      <w:r>
        <w:rPr>
          <w:rFonts w:hint="eastAsia" w:ascii="宋体" w:hAnsi="宋体"/>
          <w:bCs/>
          <w:sz w:val="24"/>
          <w:szCs w:val="24"/>
          <w:lang w:val="en-US" w:eastAsia="zh-CN"/>
        </w:rPr>
        <w:t xml:space="preserve">1、</w:t>
      </w:r>
      <w:r>
        <w:rPr>
          <w:rFonts w:hint="eastAsia" w:ascii="宋体" w:hAnsi="宋体"/>
          <w:bCs/>
          <w:sz w:val="24"/>
          <w:szCs w:val="24"/>
        </w:rPr>
        <w:t xml:space="preserve">投标人成立项目小组, 项目经理须具备信息系统项目高级管理师、IT服务项目经理证书</w:t>
      </w:r>
      <w:r>
        <w:rPr>
          <w:rFonts w:hint="eastAsia" w:cs="宋体"/>
        </w:rPr>
        <w:t xml:space="preserve">；</w:t>
      </w:r>
      <w:r>
        <w:rPr>
          <w:rFonts w:cs="宋体"/>
        </w:rPr>
      </w:r>
      <w:r/>
    </w:p>
    <w:p>
      <w:pPr>
        <w:pStyle w:val="889"/>
        <w:numPr>
          <w:ilvl w:val="0"/>
          <w:numId w:val="0"/>
        </w:numPr>
        <w:ind w:firstLine="480"/>
        <w:keepLines w:val="0"/>
        <w:keepNext w:val="0"/>
        <w:pageBreakBefore w:val="0"/>
        <w:spacing w:line="20" w:lineRule="atLeast"/>
        <w:widowControl w:val="off"/>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项目组成员中，必须有独立现场实施经验，具备高级信息安全管理工程师、系统架构师证书、CISAW信息安全保障、IT服务工程师、软件设</w:t>
      </w:r>
      <w:r>
        <w:rPr>
          <w:rFonts w:hint="eastAsia" w:ascii="宋体" w:hAnsi="宋体"/>
          <w:bCs/>
          <w:sz w:val="24"/>
          <w:szCs w:val="24"/>
        </w:rPr>
        <w:t xml:space="preserve">计师、软件评测师、数据库系统工程师等证书</w:t>
      </w:r>
      <w:r>
        <w:rPr>
          <w:rFonts w:hint="eastAsia" w:ascii="宋体" w:hAnsi="宋体"/>
          <w:bCs/>
          <w:sz w:val="24"/>
          <w:szCs w:val="24"/>
        </w:rPr>
        <w:t xml:space="preserve">。</w:t>
      </w:r>
      <w:r>
        <w:rPr>
          <w:rFonts w:hint="eastAsia" w:ascii="宋体" w:hAnsi="宋体"/>
          <w:bCs/>
          <w:sz w:val="24"/>
          <w:szCs w:val="24"/>
        </w:rPr>
        <w:t xml:space="preserve">实施期间负责我院客户化修改工作，并提供简历及投标人为上述人员与</w:t>
      </w:r>
      <w:r>
        <w:rPr>
          <w:rFonts w:hint="eastAsia" w:ascii="宋体" w:hAnsi="宋体"/>
          <w:bCs/>
          <w:sz w:val="24"/>
          <w:szCs w:val="24"/>
          <w:lang w:val="en-US" w:eastAsia="zh-CN"/>
        </w:rPr>
        <w:t xml:space="preserve">近</w:t>
      </w:r>
      <w:r>
        <w:rPr>
          <w:rFonts w:hint="eastAsia" w:ascii="宋体" w:hAnsi="宋体"/>
          <w:bCs/>
          <w:sz w:val="24"/>
          <w:szCs w:val="24"/>
          <w:lang w:val="en-US" w:eastAsia="zh-CN"/>
        </w:rPr>
        <w:t xml:space="preserve">三个月内</w:t>
      </w:r>
      <w:r>
        <w:rPr>
          <w:rFonts w:hint="eastAsia" w:ascii="宋体" w:hAnsi="宋体"/>
          <w:bCs/>
          <w:sz w:val="24"/>
          <w:szCs w:val="24"/>
        </w:rPr>
        <w:t xml:space="preserve">任一月份缴纳的社保证明材料。</w:t>
      </w:r>
      <w:r>
        <w:rPr>
          <w:rFonts w:hint="eastAsia" w:ascii="宋体" w:hAnsi="宋体"/>
          <w:bCs/>
          <w:sz w:val="24"/>
          <w:szCs w:val="24"/>
        </w:rPr>
      </w:r>
      <w:r/>
    </w:p>
    <w:p>
      <w:pPr>
        <w:pStyle w:val="889"/>
        <w:numPr>
          <w:ilvl w:val="0"/>
          <w:numId w:val="0"/>
        </w:numPr>
        <w:ind w:firstLine="480"/>
        <w:keepLines w:val="0"/>
        <w:keepNext w:val="0"/>
        <w:pageBreakBefore w:val="0"/>
        <w:spacing w:line="20" w:lineRule="atLeast"/>
        <w:widowControl w:val="off"/>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期间可能由于用户的需要及政策的变化而对系统进行相应的客户化修改，中标人必须无条件满足。</w:t>
      </w:r>
      <w:r>
        <w:rPr>
          <w:rFonts w:hint="eastAsia" w:ascii="宋体" w:hAnsi="宋体" w:eastAsia="宋体" w:cs="Times New Roman"/>
          <w:bCs/>
          <w:sz w:val="24"/>
          <w:szCs w:val="24"/>
        </w:rPr>
      </w:r>
      <w:r/>
    </w:p>
    <w:p>
      <w:pPr>
        <w:pStyle w:val="889"/>
        <w:numPr>
          <w:ilvl w:val="0"/>
          <w:numId w:val="0"/>
        </w:numPr>
        <w:ind w:firstLine="480"/>
        <w:keepLines w:val="0"/>
        <w:keepNext w:val="0"/>
        <w:pageBreakBefore w:val="0"/>
        <w:spacing w:line="20" w:lineRule="atLeast"/>
        <w:widowControl w:val="off"/>
        <w:rPr>
          <w:rFonts w:hint="eastAsia" w:ascii="宋体" w:hAnsi="宋体"/>
          <w:b/>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实施人员须按照我院的作息制度执行。</w:t>
      </w:r>
      <w:r>
        <w:rPr>
          <w:rFonts w:hint="eastAsia" w:ascii="宋体" w:hAnsi="宋体"/>
          <w:b/>
          <w:bCs/>
          <w:sz w:val="24"/>
          <w:szCs w:val="24"/>
        </w:rPr>
      </w:r>
      <w:r/>
    </w:p>
    <w:p>
      <w:pPr>
        <w:pStyle w:val="889"/>
        <w:ind w:firstLine="482"/>
        <w:spacing w:line="20" w:lineRule="atLeas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十三</w:t>
      </w:r>
      <w:r>
        <w:rPr>
          <w:rFonts w:hint="eastAsia" w:ascii="宋体" w:hAnsi="宋体"/>
          <w:b/>
          <w:bCs/>
          <w:sz w:val="24"/>
          <w:szCs w:val="24"/>
        </w:rPr>
        <w:t xml:space="preserve">）方案要求</w:t>
      </w:r>
      <w:r>
        <w:rPr>
          <w:rFonts w:hint="eastAsia" w:ascii="宋体" w:hAnsi="宋体"/>
          <w:b/>
          <w:bCs/>
          <w:sz w:val="24"/>
          <w:szCs w:val="24"/>
        </w:rPr>
      </w:r>
      <w:r/>
    </w:p>
    <w:p>
      <w:pPr>
        <w:pStyle w:val="889"/>
        <w:ind w:firstLine="482"/>
        <w:spacing w:line="2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1、培训方案要求</w:t>
      </w:r>
      <w:r>
        <w:rPr>
          <w:rFonts w:ascii="宋体" w:hAnsi="宋体" w:eastAsia="宋体"/>
          <w:b/>
          <w:bCs/>
          <w:sz w:val="24"/>
          <w:szCs w:val="24"/>
          <w:lang w:val="en-US" w:eastAsia="zh-CN"/>
        </w:rPr>
      </w:r>
      <w:r/>
    </w:p>
    <w:p>
      <w:pPr>
        <w:pStyle w:val="889"/>
        <w:ind w:firstLine="480"/>
        <w:spacing w:line="20" w:lineRule="atLeast"/>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1）投标人必须向业主方提供免费培训，应针对系统使用人员、系统运行维护管理人员等不同对象制定有针对性的培训计划，如：提供主要面向医生护士及相关管理部门等使用系统人员的业务系统操作培训；提供主要面向医院信息管理技术人员的系统</w:t>
      </w:r>
      <w:r>
        <w:rPr>
          <w:rFonts w:hint="eastAsia" w:ascii="宋体" w:hAnsi="宋体"/>
          <w:bCs/>
          <w:sz w:val="24"/>
          <w:szCs w:val="24"/>
          <w:lang w:val="en-US" w:eastAsia="zh-CN"/>
        </w:rPr>
        <w:t xml:space="preserve"> </w:t>
      </w:r>
      <w:r>
        <w:rPr>
          <w:rFonts w:hint="eastAsia" w:ascii="宋体" w:hAnsi="宋体"/>
          <w:bCs/>
          <w:sz w:val="24"/>
          <w:szCs w:val="24"/>
        </w:rPr>
        <w:t xml:space="preserve">日常维护培训，使其具备独立进行系统日常维护、故障的诊断与处理等方面的能力</w:t>
      </w:r>
      <w:r>
        <w:rPr>
          <w:rFonts w:hint="eastAsia" w:ascii="宋体" w:hAnsi="宋体"/>
          <w:bCs/>
          <w:sz w:val="24"/>
          <w:szCs w:val="24"/>
          <w:lang w:eastAsia="zh-CN"/>
        </w:rPr>
        <w:t xml:space="preserve">；（</w:t>
      </w:r>
      <w:r>
        <w:rPr>
          <w:rFonts w:hint="eastAsia" w:ascii="宋体" w:hAnsi="宋体"/>
          <w:bCs/>
          <w:sz w:val="24"/>
          <w:szCs w:val="24"/>
        </w:rPr>
        <w:t xml:space="preserve">2）投标人派出的培训教员应具备丰富的相同课程教学经验</w:t>
      </w:r>
      <w:r>
        <w:rPr>
          <w:rFonts w:hint="eastAsia" w:ascii="宋体" w:hAnsi="宋体"/>
          <w:bCs/>
          <w:sz w:val="24"/>
          <w:szCs w:val="24"/>
          <w:lang w:eastAsia="zh-CN"/>
        </w:rPr>
        <w:t xml:space="preserve">；（</w:t>
      </w:r>
      <w:r>
        <w:rPr>
          <w:rFonts w:hint="eastAsia" w:ascii="宋体" w:hAnsi="宋体"/>
          <w:bCs/>
          <w:sz w:val="24"/>
          <w:szCs w:val="24"/>
        </w:rPr>
        <w:t xml:space="preserve">3）投标人应按业主方约定合理地安排培训时间</w:t>
      </w:r>
      <w:r>
        <w:rPr>
          <w:rFonts w:hint="eastAsia" w:ascii="宋体" w:hAnsi="宋体"/>
          <w:bCs/>
          <w:sz w:val="24"/>
          <w:szCs w:val="24"/>
          <w:lang w:eastAsia="zh-CN"/>
        </w:rPr>
        <w:t xml:space="preserve">；</w:t>
      </w:r>
      <w:r>
        <w:rPr>
          <w:rFonts w:hint="eastAsia" w:ascii="宋体" w:hAnsi="宋体"/>
          <w:bCs/>
          <w:sz w:val="24"/>
          <w:szCs w:val="24"/>
        </w:rPr>
        <w:t xml:space="preserve">4）投标人须为医院培养资深系统管理人员不少于2名</w:t>
      </w:r>
      <w:r>
        <w:rPr>
          <w:rFonts w:hint="eastAsia" w:ascii="宋体" w:hAnsi="宋体"/>
          <w:bCs/>
          <w:sz w:val="24"/>
          <w:szCs w:val="24"/>
          <w:lang w:eastAsia="zh-CN"/>
        </w:rPr>
        <w:t xml:space="preserve">；（</w:t>
      </w:r>
      <w:r>
        <w:rPr>
          <w:rFonts w:hint="eastAsia" w:ascii="宋体" w:hAnsi="宋体"/>
          <w:bCs/>
          <w:sz w:val="24"/>
          <w:szCs w:val="24"/>
        </w:rPr>
        <w:t xml:space="preserve">5）投标人须在采购人指定的地点提供操作及维护培训，投标人须在投标文件中提供详细的培训计划，内容包括但不限于培训内容、培训方式、讲师资质、培训教材、培训时间；培训地点场所由采购人提供</w:t>
      </w:r>
      <w:r>
        <w:rPr>
          <w:rFonts w:hint="eastAsia" w:ascii="宋体" w:hAnsi="宋体"/>
          <w:bCs/>
          <w:sz w:val="24"/>
          <w:szCs w:val="24"/>
        </w:rPr>
      </w:r>
      <w:r/>
    </w:p>
    <w:p>
      <w:pPr>
        <w:pStyle w:val="889"/>
        <w:ind w:firstLine="482"/>
        <w:spacing w:line="20" w:lineRule="atLeast"/>
        <w:rPr>
          <w:rFonts w:hint="eastAsia" w:ascii="宋体" w:hAnsi="宋体"/>
          <w:b/>
          <w:bCs/>
          <w:sz w:val="24"/>
          <w:szCs w:val="24"/>
        </w:rPr>
      </w:pPr>
      <w:r>
        <w:rPr>
          <w:rFonts w:hint="eastAsia" w:ascii="宋体" w:hAnsi="宋体"/>
          <w:b/>
          <w:bCs/>
          <w:sz w:val="24"/>
          <w:szCs w:val="24"/>
          <w:lang w:val="en-US" w:eastAsia="zh-CN"/>
        </w:rPr>
        <w:t xml:space="preserve">2、</w:t>
      </w:r>
      <w:r>
        <w:rPr>
          <w:rFonts w:hint="eastAsia" w:ascii="宋体" w:hAnsi="宋体"/>
          <w:b/>
          <w:bCs/>
          <w:sz w:val="24"/>
          <w:szCs w:val="24"/>
        </w:rPr>
        <w:t xml:space="preserve">售后服务</w:t>
      </w:r>
      <w:r>
        <w:rPr>
          <w:rFonts w:hint="eastAsia" w:ascii="宋体" w:hAnsi="宋体"/>
          <w:b/>
          <w:bCs/>
          <w:sz w:val="24"/>
          <w:szCs w:val="24"/>
          <w:lang w:val="en-US" w:eastAsia="zh-CN"/>
        </w:rPr>
        <w:t xml:space="preserve">方案</w:t>
      </w:r>
      <w:r>
        <w:rPr>
          <w:rFonts w:hint="eastAsia" w:ascii="宋体" w:hAnsi="宋体"/>
          <w:b/>
          <w:bCs/>
          <w:sz w:val="24"/>
          <w:szCs w:val="24"/>
        </w:rPr>
        <w:t xml:space="preserve">要求</w:t>
      </w:r>
      <w:r>
        <w:rPr>
          <w:rFonts w:hint="eastAsia" w:ascii="宋体" w:hAnsi="宋体"/>
          <w:b/>
          <w:bCs/>
          <w:sz w:val="24"/>
          <w:szCs w:val="24"/>
        </w:rPr>
      </w:r>
      <w:r/>
    </w:p>
    <w:p>
      <w:pPr>
        <w:pStyle w:val="889"/>
        <w:ind w:firstLine="480"/>
        <w:spacing w:line="20" w:lineRule="atLeast"/>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1)投标人应具备与本项目匹配的服务能力</w:t>
      </w:r>
      <w:r>
        <w:rPr>
          <w:rFonts w:hint="eastAsia" w:ascii="宋体" w:hAnsi="宋体"/>
          <w:bCs/>
          <w:sz w:val="24"/>
          <w:szCs w:val="24"/>
          <w:lang w:eastAsia="zh-CN"/>
        </w:rPr>
        <w:t xml:space="preserve">；）</w:t>
      </w:r>
      <w:r>
        <w:rPr>
          <w:rFonts w:hint="eastAsia" w:ascii="宋体" w:hAnsi="宋体"/>
          <w:bCs/>
          <w:sz w:val="24"/>
          <w:szCs w:val="24"/>
        </w:rPr>
        <w:t xml:space="preserve">2)工程建设中所有对外接口提供免费对接。</w:t>
      </w:r>
      <w:r>
        <w:rPr>
          <w:rFonts w:hint="eastAsia" w:ascii="宋体" w:hAnsi="宋体"/>
          <w:bCs/>
          <w:sz w:val="24"/>
          <w:szCs w:val="24"/>
          <w:lang w:eastAsia="zh-CN"/>
        </w:rPr>
        <w:t xml:space="preserve">（</w:t>
      </w:r>
      <w:r>
        <w:rPr>
          <w:rFonts w:hint="eastAsia" w:ascii="宋体" w:hAnsi="宋体"/>
          <w:bCs/>
          <w:sz w:val="24"/>
          <w:szCs w:val="24"/>
        </w:rPr>
        <w:t xml:space="preserve">3)工程建设期间的所有售后服务，包括软件维护、软件升级等所产生的费用均由中标人承担。</w:t>
      </w:r>
      <w:r>
        <w:rPr>
          <w:rFonts w:hint="eastAsia" w:ascii="宋体" w:hAnsi="宋体"/>
          <w:bCs/>
          <w:sz w:val="24"/>
          <w:szCs w:val="24"/>
          <w:lang w:eastAsia="zh-CN"/>
        </w:rPr>
        <w:t xml:space="preserve">（</w:t>
      </w:r>
      <w:r>
        <w:rPr>
          <w:rFonts w:hint="eastAsia" w:ascii="宋体" w:hAnsi="宋体"/>
          <w:bCs/>
          <w:sz w:val="24"/>
          <w:szCs w:val="24"/>
        </w:rPr>
        <w:t xml:space="preserve">4)项目实施完成，并同步按照《徐州医科大学附属医院信息处软件项目开发和管理规范》的要求提供整个实施过程的所有实施技术文档及实施照片, 才能启动验收。</w:t>
      </w:r>
      <w:r>
        <w:rPr>
          <w:rFonts w:hint="eastAsia" w:ascii="宋体" w:hAnsi="宋体"/>
          <w:bCs/>
          <w:sz w:val="24"/>
          <w:szCs w:val="24"/>
          <w:lang w:eastAsia="zh-CN"/>
        </w:rPr>
        <w:t xml:space="preserve">（</w:t>
      </w:r>
      <w:r>
        <w:rPr>
          <w:rFonts w:hint="eastAsia" w:ascii="宋体" w:hAnsi="宋体"/>
          <w:bCs/>
          <w:sz w:val="24"/>
          <w:szCs w:val="24"/>
        </w:rPr>
        <w:t xml:space="preserve">5)投标人协助医院完成医院信息互联互通成熟度测评五级乙等及以上，电子病历六级及以上及“智慧</w:t>
      </w:r>
      <w:r>
        <w:rPr>
          <w:rFonts w:hint="eastAsia" w:ascii="宋体" w:hAnsi="宋体"/>
          <w:bCs/>
          <w:sz w:val="24"/>
          <w:szCs w:val="24"/>
        </w:rPr>
        <w:t xml:space="preserve">服务</w:t>
      </w:r>
      <w:r>
        <w:rPr>
          <w:rFonts w:hint="eastAsia" w:ascii="宋体" w:hAnsi="宋体"/>
          <w:bCs/>
          <w:sz w:val="24"/>
          <w:szCs w:val="24"/>
        </w:rPr>
        <w:t xml:space="preserve">”四级水平。</w:t>
      </w:r>
      <w:r>
        <w:rPr>
          <w:rFonts w:hint="eastAsia" w:ascii="宋体" w:hAnsi="宋体"/>
          <w:bCs/>
          <w:sz w:val="24"/>
          <w:szCs w:val="24"/>
          <w:lang w:eastAsia="zh-CN"/>
        </w:rPr>
        <w:t xml:space="preserve">（</w:t>
      </w:r>
      <w:r>
        <w:rPr>
          <w:rFonts w:hint="eastAsia" w:ascii="宋体" w:hAnsi="宋体"/>
          <w:bCs/>
          <w:sz w:val="24"/>
          <w:szCs w:val="24"/>
        </w:rPr>
        <w:t xml:space="preserve">6)投标人应建立故障应急响应机制，分级落实责任人，按照国家及行业标准对故障进行及时处理，确保系统正常运行。如系统出现故障不能正常运行，应在接到医院的请求后，应立即安排相应技术人员进行故障分析及原因查找，提供合理有效的解决方案与建议，待双方沟通确定后排除故障。</w:t>
      </w:r>
      <w:r>
        <w:rPr>
          <w:rFonts w:hint="eastAsia" w:ascii="宋体" w:hAnsi="宋体"/>
          <w:bCs/>
          <w:sz w:val="24"/>
          <w:szCs w:val="24"/>
        </w:rPr>
      </w:r>
      <w:r/>
    </w:p>
    <w:p>
      <w:pPr>
        <w:pStyle w:val="889"/>
        <w:spacing w:line="20" w:lineRule="atLeast"/>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7)因卫生主管部门管理要求，原有政策的文书格式、内容、要求变动的，中标人应及时安排技术力量进行系统升级调整，保障我院系统及时完成调整。</w:t>
      </w:r>
      <w:r>
        <w:rPr>
          <w:rFonts w:hint="eastAsia" w:ascii="宋体" w:hAnsi="宋体" w:cs="宋体"/>
          <w:sz w:val="24"/>
        </w:rPr>
        <w:t xml:space="preserve">支持按照国家、省、市诊疗目录库调整，及时定时进行规则定义更新，并提供界面管理。</w:t>
      </w:r>
      <w:r>
        <w:rPr>
          <w:rFonts w:hint="eastAsia" w:ascii="宋体" w:hAnsi="宋体"/>
          <w:bCs/>
          <w:sz w:val="24"/>
          <w:szCs w:val="24"/>
          <w:lang w:eastAsia="zh-CN"/>
        </w:rPr>
        <w:t xml:space="preserve">（</w:t>
      </w:r>
      <w:r>
        <w:rPr>
          <w:rFonts w:hint="eastAsia" w:ascii="宋体" w:hAnsi="宋体"/>
          <w:bCs/>
          <w:sz w:val="24"/>
          <w:szCs w:val="24"/>
        </w:rPr>
        <w:t xml:space="preserve">8)投标人有良好的售后服务能力，并在接到招标人通知后12小时内到达现场。</w:t>
      </w:r>
      <w:r>
        <w:rPr>
          <w:rFonts w:hint="eastAsia" w:ascii="宋体" w:hAnsi="宋体" w:cs="宋体"/>
          <w:sz w:val="24"/>
        </w:rPr>
        <w:t xml:space="preserve">质保服务期内，每季度安排驻场工程师现场服务（每次时间不低于1周），方便后续对监管系统进行一定的调整，可以及时跟进。</w:t>
      </w:r>
      <w:r>
        <w:rPr>
          <w:rFonts w:hint="eastAsia" w:ascii="宋体" w:hAnsi="宋体"/>
          <w:bCs/>
          <w:sz w:val="24"/>
          <w:szCs w:val="24"/>
        </w:rPr>
        <w:t xml:space="preserve">项目验收合格后，每年不低于2次的例行维护及巡检。例行维护内容包括：软件的功能增强性维护等应用软件系统扩充升级（其中包括系统维护、跟踪检测），保证投标方所开发的软件正常运行；软件系统运行情况的现场巡检、数据库性能调整优化，并提交维护报告等。</w:t>
      </w:r>
      <w:r>
        <w:rPr>
          <w:rFonts w:hint="eastAsia" w:ascii="宋体" w:hAnsi="宋体"/>
          <w:bCs/>
          <w:sz w:val="24"/>
          <w:szCs w:val="24"/>
        </w:rPr>
      </w:r>
      <w:r/>
    </w:p>
    <w:p>
      <w:pPr>
        <w:pStyle w:val="889"/>
        <w:ind w:firstLine="482"/>
        <w:spacing w:line="20" w:lineRule="atLeast"/>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整体技术方案</w:t>
      </w:r>
      <w:r>
        <w:rPr>
          <w:rFonts w:ascii="宋体" w:hAnsi="宋体"/>
          <w:b/>
          <w:sz w:val="24"/>
          <w:szCs w:val="24"/>
        </w:rPr>
      </w:r>
      <w:r/>
    </w:p>
    <w:p>
      <w:pPr>
        <w:pStyle w:val="889"/>
        <w:ind w:firstLine="482"/>
        <w:spacing w:line="360" w:lineRule="auto"/>
        <w:rPr>
          <w:rFonts w:hint="eastAsia" w:ascii="宋体" w:hAnsi="宋体" w:cs="宋体"/>
          <w:sz w:val="24"/>
        </w:rPr>
      </w:pPr>
      <w:r>
        <w:rPr>
          <w:rFonts w:hint="eastAsia" w:ascii="宋体" w:hAnsi="宋体" w:cs="宋体"/>
          <w:b/>
          <w:bCs/>
          <w:sz w:val="24"/>
        </w:rPr>
        <w:t xml:space="preserve">性能要求</w:t>
      </w:r>
      <w:r>
        <w:rPr>
          <w:rFonts w:hint="eastAsia" w:ascii="宋体" w:hAnsi="宋体" w:cs="宋体"/>
          <w:b/>
          <w:bCs/>
          <w:sz w:val="24"/>
          <w:lang w:eastAsia="zh-CN"/>
        </w:rPr>
        <w:t xml:space="preserve">：</w:t>
      </w:r>
      <w:r>
        <w:rPr>
          <w:rFonts w:hint="eastAsia" w:ascii="宋体" w:hAnsi="宋体" w:cs="宋体"/>
          <w:sz w:val="24"/>
        </w:rPr>
        <w:t xml:space="preserve">为使系统正式投入使用后能够稳定运行，系统应具有良好的性能，系统性能要求如下</w:t>
      </w:r>
      <w:r>
        <w:rPr>
          <w:rFonts w:hint="eastAsia" w:ascii="宋体" w:hAnsi="宋体" w:cs="宋体"/>
          <w:b w:val="0"/>
          <w:bCs w:val="0"/>
          <w:sz w:val="24"/>
        </w:rPr>
        <w:t xml:space="preserve">：</w:t>
      </w:r>
      <w:r>
        <w:rPr>
          <w:rFonts w:hint="eastAsia" w:ascii="宋体" w:hAnsi="宋体" w:cs="宋体"/>
          <w:b w:val="0"/>
          <w:bCs w:val="0"/>
          <w:sz w:val="24"/>
          <w:lang w:eastAsia="zh-CN"/>
        </w:rPr>
        <w:t xml:space="preserve">（</w:t>
      </w:r>
      <w:r>
        <w:rPr>
          <w:rFonts w:hint="eastAsia" w:ascii="宋体" w:hAnsi="宋体" w:cs="宋体"/>
          <w:b w:val="0"/>
          <w:bCs w:val="0"/>
          <w:sz w:val="24"/>
        </w:rPr>
        <w:t xml:space="preserve">1）系统正式投入运行后，不出现致命性错误，逻辑错误与算法错误。</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w:t>
      </w:r>
      <w:r>
        <w:rPr>
          <w:rFonts w:hint="eastAsia" w:ascii="宋体" w:hAnsi="宋体" w:cs="宋体"/>
          <w:b w:val="0"/>
          <w:bCs w:val="0"/>
          <w:sz w:val="24"/>
        </w:rPr>
        <w:t xml:space="preserve">系统运行过程中，由于操作错误或输入输出溢</w:t>
      </w:r>
      <w:r>
        <w:rPr>
          <w:rFonts w:hint="eastAsia" w:ascii="宋体" w:hAnsi="宋体" w:cs="宋体"/>
          <w:sz w:val="24"/>
        </w:rPr>
        <w:t xml:space="preserve">出时，系统不死机。(3)支持系统在海量数据、高用户并发、复杂网络环境下具有优异的性能表现，提供稳定快速的传输效率，支持多附件多图片并发上传和下载的能力。(4)必须保证长期大规模访问下系统的稳定性、可用性和运行性能，避免单点故障和关键信息丢失。</w:t>
      </w:r>
      <w:r>
        <w:rPr>
          <w:rFonts w:hint="eastAsia" w:ascii="宋体" w:hAnsi="宋体" w:cs="宋体"/>
          <w:sz w:val="24"/>
        </w:rPr>
      </w:r>
      <w:r/>
    </w:p>
    <w:p>
      <w:pPr>
        <w:pStyle w:val="889"/>
        <w:ind w:firstLine="482"/>
        <w:spacing w:line="360" w:lineRule="auto"/>
        <w:rPr>
          <w:rFonts w:hint="eastAsia" w:ascii="宋体" w:hAnsi="宋体" w:cs="宋体"/>
          <w:sz w:val="24"/>
        </w:rPr>
      </w:pPr>
      <w:r>
        <w:rPr>
          <w:rFonts w:hint="eastAsia" w:ascii="宋体" w:hAnsi="宋体" w:cs="宋体"/>
          <w:b/>
          <w:bCs/>
          <w:sz w:val="24"/>
        </w:rPr>
        <w:t xml:space="preserve">扩展性要求</w:t>
      </w:r>
      <w:r>
        <w:rPr>
          <w:rFonts w:hint="eastAsia" w:ascii="宋体" w:hAnsi="宋体" w:cs="宋体"/>
          <w:b/>
          <w:bCs/>
          <w:sz w:val="24"/>
          <w:lang w:eastAsia="zh-CN"/>
        </w:rPr>
        <w:t xml:space="preserve">：</w:t>
      </w:r>
      <w:r>
        <w:rPr>
          <w:rFonts w:hint="eastAsia" w:ascii="宋体" w:hAnsi="宋体" w:cs="宋体"/>
          <w:sz w:val="24"/>
        </w:rPr>
        <w:t xml:space="preserve">为适应新技术、新设备的应用，结合成熟的数据库设计能力，使系统能快速适应新的管理要求和内容，该系统扩展性要求如下：（1）应用系统体系结构支持目前主流的应用服务器。（2）系统设计采用框架及模块化结构，具有高度弹性及扩展特性。（3）使用平台化技术保障，系统动态可扩展。</w:t>
      </w:r>
      <w:r>
        <w:rPr>
          <w:rFonts w:hint="eastAsia" w:ascii="宋体" w:hAnsi="宋体" w:cs="宋体"/>
          <w:sz w:val="24"/>
        </w:rPr>
      </w:r>
      <w:r/>
    </w:p>
    <w:p>
      <w:pPr>
        <w:pStyle w:val="889"/>
        <w:ind w:firstLine="482"/>
        <w:spacing w:line="360" w:lineRule="auto"/>
        <w:rPr>
          <w:rFonts w:hint="eastAsia" w:ascii="宋体" w:hAnsi="宋体" w:cs="宋体"/>
          <w:sz w:val="24"/>
        </w:rPr>
      </w:pPr>
      <w:r>
        <w:rPr>
          <w:rFonts w:hint="eastAsia" w:ascii="宋体" w:hAnsi="宋体" w:cs="宋体"/>
          <w:b/>
          <w:bCs/>
          <w:sz w:val="24"/>
        </w:rPr>
        <w:t xml:space="preserve">易用性要求 </w:t>
      </w:r>
      <w:r>
        <w:rPr>
          <w:rFonts w:hint="eastAsia" w:ascii="宋体" w:hAnsi="宋体" w:cs="宋体"/>
          <w:b/>
          <w:bCs/>
          <w:sz w:val="24"/>
          <w:lang w:val="en-US" w:eastAsia="zh-CN"/>
        </w:rPr>
        <w:t xml:space="preserve">:</w:t>
      </w:r>
      <w:r>
        <w:rPr>
          <w:rFonts w:hint="eastAsia" w:ascii="宋体" w:hAnsi="宋体" w:cs="宋体"/>
          <w:sz w:val="24"/>
        </w:rPr>
        <w:t xml:space="preserve">为了易于用户快速掌握系统功能，系统设计应重点考虑提高系统的易用性，该系统易用性要求如下：（1）系统功能结构清晰，易于操作。（2）系统支持自动提醒功能，用户可自行设置预警提醒条件。</w:t>
      </w:r>
      <w:r>
        <w:rPr>
          <w:rFonts w:hint="eastAsia" w:ascii="宋体" w:hAnsi="宋体" w:cs="宋体"/>
          <w:sz w:val="24"/>
        </w:rPr>
      </w:r>
      <w:r/>
    </w:p>
    <w:p>
      <w:pPr>
        <w:pStyle w:val="889"/>
        <w:ind w:firstLine="482"/>
        <w:spacing w:line="360" w:lineRule="auto"/>
        <w:rPr>
          <w:rFonts w:hint="eastAsia" w:ascii="宋体" w:hAnsi="宋体" w:cs="宋体"/>
          <w:sz w:val="24"/>
        </w:rPr>
      </w:pPr>
      <w:r>
        <w:rPr>
          <w:rFonts w:hint="eastAsia" w:ascii="宋体" w:hAnsi="宋体" w:cs="宋体"/>
          <w:b/>
          <w:bCs/>
          <w:sz w:val="24"/>
        </w:rPr>
        <w:t xml:space="preserve">安全性要求</w:t>
      </w:r>
      <w:r>
        <w:rPr>
          <w:rFonts w:hint="eastAsia" w:ascii="宋体" w:hAnsi="宋体" w:cs="宋体"/>
          <w:b/>
          <w:bCs/>
          <w:sz w:val="24"/>
          <w:lang w:val="en-US" w:eastAsia="zh-CN"/>
        </w:rPr>
        <w:t xml:space="preserve">:</w:t>
      </w:r>
      <w:r>
        <w:rPr>
          <w:rFonts w:hint="eastAsia" w:ascii="宋体" w:hAnsi="宋体" w:cs="宋体"/>
          <w:sz w:val="24"/>
        </w:rPr>
        <w:t xml:space="preserve">系统在设计上充分考虑数据安全（数据访问、数据传输、数据存储、数据输出）、网络安全问题。需保证系统7*24小时持续、稳定、安全</w:t>
      </w:r>
      <w:r>
        <w:rPr>
          <w:rFonts w:hint="eastAsia" w:ascii="宋体" w:hAnsi="宋体" w:cs="宋体"/>
          <w:sz w:val="24"/>
        </w:rPr>
        <w:t xml:space="preserve">地运行，系统安全要求如下：(1)可设定不同用户对系统不同模块、菜单、指标、表单、流程、报表的不同操作访问权限。(2)具有业务操作安全约束机制，支持角色、每个用户都有操作权限和操作日志记录。(3)支持不同操作用户可以只看到其管辖范围内的数据。(4)支持记录当前用户信息，如IP、登录时间、姓名、单位、部门、岗位等，能统计最大在线数。(5)系统支持强密码策略，即密码必须最少8位，必须至少包含大写字母、小写字母、数字和特殊字符中至少3种，密码最长有效期可自由定义，密码过期自动锁定账户，用户首次登陆必须强制修改密码。</w:t>
      </w:r>
      <w:r>
        <w:rPr>
          <w:rFonts w:hint="eastAsia" w:ascii="宋体" w:hAnsi="宋体" w:cs="宋体"/>
          <w:sz w:val="24"/>
        </w:rPr>
      </w:r>
      <w:r/>
    </w:p>
    <w:p>
      <w:pPr>
        <w:pStyle w:val="889"/>
        <w:ind w:firstLine="482"/>
        <w:spacing w:line="360" w:lineRule="auto"/>
        <w:rPr>
          <w:rFonts w:ascii="Segoe UI" w:hAnsi="Segoe UI" w:cs="Segoe UI"/>
          <w:shd w:val="clear" w:color="auto" w:fill="ffffff"/>
        </w:rPr>
      </w:pPr>
      <w:r>
        <w:rPr>
          <w:rFonts w:hint="eastAsia" w:ascii="宋体" w:hAnsi="宋体" w:cs="宋体"/>
          <w:b/>
          <w:bCs/>
          <w:sz w:val="24"/>
        </w:rPr>
        <w:t xml:space="preserve">集成性要求</w:t>
      </w:r>
      <w:r>
        <w:rPr>
          <w:rFonts w:hint="eastAsia" w:ascii="宋体" w:hAnsi="宋体" w:cs="宋体"/>
          <w:b/>
          <w:bCs/>
          <w:sz w:val="24"/>
          <w:lang w:val="en-US" w:eastAsia="zh-CN"/>
        </w:rPr>
        <w:t xml:space="preserve">:</w:t>
      </w:r>
      <w:r>
        <w:rPr>
          <w:rFonts w:hint="eastAsia" w:ascii="宋体" w:hAnsi="宋体" w:cs="宋体"/>
          <w:sz w:val="24"/>
        </w:rPr>
        <w:t xml:space="preserve">系统应具备良好的开放性，支持与医院数据集成平台、ESB服务总线集成交互，通过少量开发实现数据互联互通，支持报告移动端查阅。若系统发生</w:t>
      </w:r>
      <w:r>
        <w:rPr>
          <w:rFonts w:ascii="宋体" w:hAnsi="宋体" w:cs="宋体"/>
          <w:sz w:val="24"/>
        </w:rPr>
        <w:t xml:space="preserve">故障时，最好有开关功能，做到及时和其他系统解耦，防止对其他业务流程造成卡顿。</w:t>
      </w:r>
      <w:r>
        <w:rPr>
          <w:rFonts w:ascii="Segoe UI" w:hAnsi="Segoe UI" w:cs="Segoe UI"/>
          <w:shd w:val="clear" w:color="auto" w:fill="ffffff"/>
        </w:rPr>
      </w:r>
      <w:r/>
    </w:p>
    <w:p>
      <w:pPr>
        <w:pStyle w:val="889"/>
        <w:ind w:firstLine="482"/>
        <w:spacing w:line="2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(十四)其他相关要求</w:t>
      </w:r>
      <w:r>
        <w:rPr>
          <w:rFonts w:ascii="宋体" w:hAnsi="宋体" w:eastAsia="宋体"/>
          <w:b/>
          <w:bCs/>
          <w:sz w:val="24"/>
          <w:szCs w:val="24"/>
          <w:lang w:val="en-US" w:eastAsia="zh-CN"/>
        </w:rPr>
      </w:r>
      <w:r/>
    </w:p>
    <w:p>
      <w:pPr>
        <w:pStyle w:val="889"/>
        <w:ind w:firstLine="482"/>
        <w:spacing w:line="20" w:lineRule="atLeast"/>
        <w:rPr>
          <w:rFonts w:hint="eastAsia" w:ascii="宋体" w:hAnsi="宋体"/>
          <w:b/>
          <w:bCs/>
          <w:sz w:val="24"/>
          <w:szCs w:val="24"/>
        </w:rPr>
      </w:pPr>
      <w:r>
        <w:rPr>
          <w:rFonts w:hint="eastAsia" w:ascii="宋体" w:hAnsi="宋体"/>
          <w:b/>
          <w:bCs/>
          <w:sz w:val="24"/>
          <w:szCs w:val="24"/>
          <w:lang w:val="en-US" w:eastAsia="zh-CN"/>
        </w:rPr>
        <w:t xml:space="preserve">1、</w:t>
      </w:r>
      <w:r>
        <w:rPr>
          <w:rFonts w:hint="eastAsia" w:ascii="宋体" w:hAnsi="宋体"/>
          <w:b/>
          <w:bCs/>
          <w:sz w:val="24"/>
          <w:szCs w:val="24"/>
        </w:rPr>
        <w:t xml:space="preserve">技术文档要求</w:t>
      </w:r>
      <w:r>
        <w:rPr>
          <w:rFonts w:hint="eastAsia" w:ascii="宋体" w:hAnsi="宋体"/>
          <w:b/>
          <w:bCs/>
          <w:sz w:val="24"/>
          <w:szCs w:val="24"/>
        </w:rPr>
      </w:r>
      <w:r/>
    </w:p>
    <w:p>
      <w:pPr>
        <w:pStyle w:val="889"/>
        <w:ind w:firstLine="480"/>
        <w:spacing w:line="20" w:lineRule="atLeast"/>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1）投标人必须提供完整的软件安装、操作、使用、测试、数据库表结构说明文档、控制和维护手册。中标人必须保存实施过程中的方案、计划、实施过程、各类设置等书面文档</w:t>
      </w:r>
      <w:r>
        <w:rPr>
          <w:rFonts w:hint="eastAsia" w:ascii="宋体" w:hAnsi="宋体"/>
          <w:bCs/>
          <w:sz w:val="24"/>
          <w:szCs w:val="24"/>
          <w:lang w:eastAsia="zh-CN"/>
        </w:rPr>
        <w:t xml:space="preserve">；（</w:t>
      </w:r>
      <w:r>
        <w:rPr>
          <w:rFonts w:hint="eastAsia" w:ascii="宋体" w:hAnsi="宋体"/>
          <w:bCs/>
          <w:sz w:val="24"/>
          <w:szCs w:val="24"/>
        </w:rPr>
        <w:t xml:space="preserve">2）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rPr>
          <w:rFonts w:hint="eastAsia" w:ascii="宋体" w:hAnsi="宋体"/>
          <w:bCs/>
          <w:sz w:val="24"/>
          <w:szCs w:val="24"/>
        </w:rPr>
      </w:r>
      <w:r/>
    </w:p>
    <w:p>
      <w:pPr>
        <w:pStyle w:val="889"/>
        <w:ind w:firstLine="482"/>
        <w:spacing w:line="20" w:lineRule="atLeast"/>
        <w:rPr>
          <w:rFonts w:hint="eastAsia" w:ascii="宋体" w:hAnsi="宋体"/>
          <w:b/>
          <w:bCs/>
          <w:sz w:val="24"/>
          <w:szCs w:val="24"/>
        </w:rPr>
      </w:pPr>
      <w:r>
        <w:rPr>
          <w:rFonts w:hint="eastAsia" w:ascii="宋体" w:hAnsi="宋体"/>
          <w:b/>
          <w:bCs/>
          <w:sz w:val="24"/>
          <w:szCs w:val="24"/>
          <w:lang w:val="en-US" w:eastAsia="zh-CN"/>
        </w:rPr>
        <w:t xml:space="preserve">2、</w:t>
      </w:r>
      <w:r>
        <w:rPr>
          <w:rFonts w:hint="eastAsia" w:ascii="宋体" w:hAnsi="宋体"/>
          <w:b/>
          <w:bCs/>
          <w:sz w:val="24"/>
          <w:szCs w:val="24"/>
        </w:rPr>
        <w:t xml:space="preserve">验收要求</w:t>
      </w:r>
      <w:r>
        <w:rPr>
          <w:rFonts w:hint="eastAsia" w:ascii="宋体" w:hAnsi="宋体"/>
          <w:b/>
          <w:bCs/>
          <w:sz w:val="24"/>
          <w:szCs w:val="24"/>
        </w:rPr>
      </w:r>
      <w:r/>
    </w:p>
    <w:p>
      <w:pPr>
        <w:pStyle w:val="889"/>
        <w:ind w:firstLine="480"/>
        <w:spacing w:line="20" w:lineRule="atLeas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rPr>
        <w:t xml:space="preserve">1）验收方法：验收将按模块上线情况和维护服务情况综合验收，按招标文件要求所有系统完成后，进行项目总验收。验收工作由中标方提出，招标方组织相关人员组成评审组进行验收。</w:t>
      </w:r>
      <w:r>
        <w:rPr>
          <w:rFonts w:hint="eastAsia" w:ascii="宋体" w:hAnsi="宋体"/>
          <w:sz w:val="24"/>
          <w:szCs w:val="24"/>
          <w:lang w:eastAsia="zh-CN"/>
        </w:rPr>
        <w:t xml:space="preserve">（</w:t>
      </w:r>
      <w:r>
        <w:rPr>
          <w:rFonts w:hint="eastAsia" w:ascii="宋体" w:hAnsi="宋体"/>
          <w:sz w:val="24"/>
          <w:szCs w:val="24"/>
        </w:rPr>
        <w:t xml:space="preserve">2）验收时间：配套系统软件安装、调试完毕，并稳定运行后，由中标方提出验收申请。</w:t>
      </w:r>
      <w:r>
        <w:rPr>
          <w:rFonts w:hint="eastAsia" w:ascii="宋体" w:hAnsi="宋体"/>
          <w:bCs/>
          <w:sz w:val="24"/>
          <w:szCs w:val="24"/>
          <w:lang w:eastAsia="zh-CN"/>
        </w:rPr>
        <w:t xml:space="preserve">（</w:t>
      </w:r>
      <w:r>
        <w:rPr>
          <w:rFonts w:hint="eastAsia" w:ascii="宋体" w:hAnsi="宋体"/>
          <w:bCs/>
          <w:sz w:val="24"/>
          <w:szCs w:val="24"/>
        </w:rPr>
        <w:t xml:space="preserve">3）项目实施过程中，按照《徐州医科大学附属医院项目实施管理规范》书写整个项目实施过程管理文档，重大议题的PDCA处理文档，组织验收前对文档进行交付。</w:t>
      </w:r>
      <w:r>
        <w:rPr>
          <w:rFonts w:hint="eastAsia" w:ascii="宋体" w:hAnsi="宋体"/>
          <w:bCs/>
          <w:sz w:val="24"/>
          <w:szCs w:val="24"/>
          <w:lang w:eastAsia="zh-CN"/>
        </w:rPr>
        <w:t xml:space="preserve">（</w:t>
      </w:r>
      <w:r>
        <w:rPr>
          <w:rFonts w:hint="eastAsia" w:ascii="宋体" w:hAnsi="宋体"/>
          <w:bCs/>
          <w:sz w:val="24"/>
          <w:szCs w:val="24"/>
        </w:rPr>
        <w:t xml:space="preserve">4）验收内容：按照招标文件、响应文件、合同、相关承诺和相关补充文件的内容进行。</w:t>
      </w:r>
      <w:r>
        <w:rPr>
          <w:rFonts w:hint="eastAsia" w:ascii="宋体" w:hAnsi="宋体"/>
          <w:bCs/>
          <w:sz w:val="24"/>
          <w:szCs w:val="24"/>
          <w:lang w:eastAsia="zh-CN"/>
        </w:rPr>
        <w:t xml:space="preserve">（</w:t>
      </w:r>
      <w:r>
        <w:rPr>
          <w:rFonts w:hint="eastAsia" w:ascii="宋体" w:hAnsi="宋体"/>
          <w:bCs/>
          <w:sz w:val="24"/>
          <w:szCs w:val="24"/>
        </w:rPr>
        <w:t xml:space="preserve">5）验收标准：①产品所有技术性能规格及参数：应符合招标文件和中标方投标文件所要求的技术标准及服务标准。系统运行稳定，无故障，数据无错误。②验收工作由招标方和中标方共同进行。在验收时，中标方应向招标方提供货物的相关资料，按招标方提出的方式验收。由招标方对货物的质量、规格和数量其他进行检验。如发现质量、规格和数量等任何一项与采购要求规定不符，招标方有权拒绝接受。</w:t>
      </w:r>
      <w:r>
        <w:rPr>
          <w:rFonts w:hint="eastAsia" w:ascii="宋体" w:hAnsi="宋体"/>
          <w:bCs/>
          <w:sz w:val="24"/>
          <w:szCs w:val="24"/>
        </w:rPr>
        <w:fldChar w:fldCharType="begin"/>
      </w:r>
      <w:r>
        <w:rPr>
          <w:rFonts w:hint="eastAsia" w:ascii="宋体" w:hAnsi="宋体"/>
          <w:bCs/>
          <w:sz w:val="24"/>
          <w:szCs w:val="24"/>
        </w:rPr>
        <w:instrText xml:space="preserve"> = 3 \* GB3 \* MERGEFORMAT </w:instrText>
      </w:r>
      <w:r>
        <w:rPr>
          <w:rFonts w:hint="eastAsia" w:ascii="宋体" w:hAnsi="宋体"/>
          <w:bCs/>
          <w:sz w:val="24"/>
          <w:szCs w:val="24"/>
        </w:rPr>
        <w:fldChar w:fldCharType="separate"/>
      </w:r>
      <w:r>
        <w:rPr>
          <w:rFonts w:hint="eastAsia" w:ascii="宋体" w:hAnsi="宋体"/>
          <w:bCs/>
          <w:sz w:val="24"/>
          <w:szCs w:val="24"/>
        </w:rPr>
        <w:t xml:space="preserve">③</w:t>
      </w:r>
      <w:r>
        <w:rPr>
          <w:rFonts w:hint="eastAsia" w:ascii="宋体" w:hAnsi="宋体"/>
          <w:bCs/>
          <w:sz w:val="24"/>
          <w:szCs w:val="24"/>
        </w:rPr>
        <w:fldChar w:fldCharType="end"/>
      </w:r>
      <w:r>
        <w:rPr>
          <w:rFonts w:hint="eastAsia" w:ascii="宋体" w:hAnsi="宋体"/>
          <w:bCs/>
          <w:sz w:val="24"/>
          <w:szCs w:val="24"/>
        </w:rPr>
        <w:t xml:space="preserve">系统已建设功能完全符合和满足</w:t>
      </w:r>
      <w:r>
        <w:rPr>
          <w:rFonts w:ascii="宋体" w:hAnsi="宋体"/>
          <w:bCs/>
          <w:sz w:val="24"/>
          <w:szCs w:val="24"/>
        </w:rPr>
        <w:t xml:space="preserve">互联互通标准化成熟度测评五级乙等、电子病历系统功能应用水平分级评价六级及智慧服务分级评估三级</w:t>
      </w:r>
      <w:r>
        <w:rPr>
          <w:rFonts w:hint="eastAsia" w:ascii="宋体" w:hAnsi="宋体"/>
          <w:bCs/>
          <w:sz w:val="24"/>
          <w:szCs w:val="24"/>
        </w:rPr>
        <w:t xml:space="preserve">的要求。</w:t>
      </w:r>
      <w:r>
        <w:rPr>
          <w:rFonts w:hint="eastAsia" w:ascii="宋体" w:hAnsi="宋体"/>
          <w:bCs/>
          <w:sz w:val="24"/>
          <w:szCs w:val="24"/>
        </w:rPr>
      </w:r>
      <w:r/>
    </w:p>
    <w:p>
      <w:pPr>
        <w:pStyle w:val="889"/>
        <w:spacing w:line="20" w:lineRule="atLeast"/>
        <w:rPr>
          <w:rFonts w:ascii="宋体" w:hAnsi="宋体"/>
          <w:bCs/>
          <w:sz w:val="24"/>
          <w:szCs w:val="24"/>
        </w:rPr>
      </w:pPr>
      <w:r>
        <w:rPr>
          <w:rFonts w:hint="eastAsia" w:ascii="宋体" w:hAnsi="宋体"/>
          <w:bCs/>
          <w:sz w:val="24"/>
          <w:szCs w:val="24"/>
        </w:rPr>
        <w:t xml:space="preserve">6）验收文件的签署：由中标方撰写服务完成报告，由招标方委派的负责人在审核后签署。</w:t>
      </w:r>
      <w:r>
        <w:rPr>
          <w:rFonts w:ascii="宋体" w:hAnsi="宋体"/>
          <w:bCs/>
          <w:sz w:val="24"/>
          <w:szCs w:val="24"/>
        </w:rPr>
      </w:r>
      <w:r/>
    </w:p>
    <w:p>
      <w:pPr>
        <w:pStyle w:val="889"/>
        <w:spacing w:line="2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889"/>
        <w:spacing w:line="20" w:lineRule="atLeast"/>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889"/>
        <w:spacing w:line="2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89"/>
              <w:jc w:val="center"/>
              <w:spacing w:line="20" w:lineRule="atLeast"/>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889"/>
              <w:jc w:val="center"/>
              <w:spacing w:line="20" w:lineRule="atLeast"/>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hint="eastAsia" w:ascii="宋体" w:hAnsi="宋体"/>
              </w:rPr>
            </w:r>
            <w:r/>
          </w:p>
        </w:tc>
      </w:tr>
      <w:tr>
        <w:trPr/>
        <w:tc>
          <w:tcPr>
            <w:tcW w:w="1148" w:type="dxa"/>
            <w:vAlign w:val="top"/>
            <w:textDirection w:val="lrTb"/>
            <w:noWrap w:val="false"/>
          </w:tcPr>
          <w:p>
            <w:pPr>
              <w:pStyle w:val="889"/>
              <w:jc w:val="center"/>
              <w:spacing w:line="20" w:lineRule="atLeast"/>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889"/>
              <w:jc w:val="center"/>
              <w:spacing w:line="20" w:lineRule="atLeast"/>
              <w:rPr>
                <w:rFonts w:hint="eastAsia" w:ascii="宋体" w:hAnsi="宋体"/>
              </w:rPr>
            </w:pPr>
            <w:r>
              <w:rPr>
                <w:rFonts w:hint="eastAsia" w:ascii="宋体" w:hAnsi="宋体"/>
              </w:rPr>
              <w:t xml:space="preserve">否</w:t>
            </w:r>
            <w:r>
              <w:rPr>
                <w:rFonts w:hint="eastAsia" w:ascii="宋体" w:hAnsi="宋体"/>
              </w:rPr>
            </w:r>
            <w:r/>
          </w:p>
        </w:tc>
      </w:tr>
    </w:tbl>
    <w:p>
      <w:pPr>
        <w:pStyle w:val="889"/>
        <w:spacing w:line="20" w:lineRule="atLeast"/>
        <w:rPr>
          <w:rFonts w:hint="eastAsia"/>
          <w:sz w:val="24"/>
          <w:szCs w:val="24"/>
        </w:rPr>
      </w:pPr>
      <w:r>
        <w:rPr>
          <w:rFonts w:ascii="宋体" w:hAnsi="宋体"/>
          <w:sz w:val="24"/>
        </w:rPr>
        <w:t xml:space="preserve">3</w:t>
      </w:r>
      <w:r>
        <w:rPr>
          <w:rFonts w:hint="eastAsia" w:ascii="宋体" w:hAnsi="宋体"/>
          <w:sz w:val="24"/>
        </w:rPr>
        <w:t xml:space="preserve">.</w:t>
      </w:r>
      <w:r>
        <w:rPr>
          <w:rFonts w:hint="eastAsia"/>
          <w:sz w:val="24"/>
          <w:szCs w:val="24"/>
        </w:rPr>
        <w:t xml:space="preserve">演示要求</w:t>
      </w:r>
      <w:r>
        <w:rPr>
          <w:rFonts w:hint="eastAsia"/>
          <w:sz w:val="24"/>
          <w:szCs w:val="24"/>
        </w:rPr>
      </w:r>
      <w:r/>
    </w:p>
    <w:p>
      <w:pPr>
        <w:pStyle w:val="889"/>
        <w:ind w:firstLine="480"/>
        <w:spacing w:line="20" w:lineRule="atLeast"/>
        <w:rPr>
          <w:rFonts w:ascii="宋体" w:hAnsi="宋体"/>
          <w:sz w:val="24"/>
        </w:rPr>
      </w:pPr>
      <w:r>
        <w:rPr>
          <w:rFonts w:hint="eastAsia" w:ascii="宋体" w:hAnsi="宋体"/>
          <w:sz w:val="24"/>
        </w:rPr>
        <w:t xml:space="preserve"> 现场演示</w:t>
      </w:r>
      <w:r>
        <w:rPr>
          <w:rFonts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1、投标人演示人员和设备需在评标前到达江苏省公共资源交易中心西五门四楼，按照前台人员指示到规定等候区等待。按照苏采云系统安排的顺序进行现场演示，演示需按照招标文件的规定和评标委员会的要求进行，时间不超过</w:t>
      </w:r>
      <w:r>
        <w:rPr>
          <w:rFonts w:hint="eastAsia" w:ascii="宋体" w:hAnsi="宋体"/>
          <w:sz w:val="24"/>
          <w:u w:val="single"/>
        </w:rPr>
        <w:t xml:space="preserve">10</w:t>
      </w:r>
      <w:r>
        <w:rPr>
          <w:rFonts w:hint="eastAsia" w:ascii="宋体" w:hAnsi="宋体"/>
          <w:sz w:val="24"/>
        </w:rPr>
        <w:t xml:space="preserve">分钟</w:t>
      </w:r>
      <w:r>
        <w:rPr>
          <w:rFonts w:hint="eastAsia" w:ascii="宋体" w:hAnsi="宋体"/>
          <w:sz w:val="24"/>
          <w:lang w:eastAsia="zh-CN"/>
        </w:rPr>
        <w:t xml:space="preserve">，</w:t>
      </w:r>
      <w:r>
        <w:rPr>
          <w:rFonts w:hint="eastAsia" w:ascii="宋体" w:hAnsi="宋体"/>
          <w:sz w:val="24"/>
        </w:rPr>
        <w:t xml:space="preserve">采购中心提供投影机及幕布，其他所需设备由投标人自备。</w:t>
      </w: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 演示内容如下：</w:t>
      </w: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（1）</w:t>
      </w:r>
      <w:r>
        <w:rPr>
          <w:rFonts w:ascii="宋体" w:hAnsi="宋体"/>
          <w:sz w:val="24"/>
        </w:rPr>
        <w:t xml:space="preserve">住院患者医保智能审核：针对未出院病人的智能提醒功能与已出院患者的住院病历结合医保审核规则进行智能全面评估和分析，以发现潜在的违规行为和风险点。包括但不限于病历书写缺陷（如诊断/操作漏填）、违规收费、过度医疗等。</w:t>
      </w: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（2）</w:t>
      </w:r>
      <w:r>
        <w:rPr>
          <w:rFonts w:ascii="宋体" w:hAnsi="宋体"/>
          <w:sz w:val="24"/>
        </w:rPr>
        <w:t xml:space="preserve">自定义引擎：展示自定义引擎的配置过程，支持利用系统已实现的算子合理组合成不同的判断逻辑，实现不同模型的判断逻辑的自定义编排，同时支持算子调用模型资源库的数据去辅助判断；规则逻辑维护完成后，可对单条规则通过病历选择进行验证，并支持规则维护的日志记录查看。</w:t>
      </w:r>
      <w:r>
        <w:rPr>
          <w:rFonts w:hint="eastAsia" w:ascii="宋体" w:hAnsi="宋体"/>
          <w:sz w:val="24"/>
        </w:rPr>
      </w:r>
      <w:r/>
    </w:p>
    <w:p>
      <w:pPr>
        <w:pStyle w:val="889"/>
        <w:ind w:firstLine="480"/>
        <w:spacing w:line="20" w:lineRule="atLeast"/>
        <w:rPr>
          <w:rFonts w:ascii="宋体" w:hAnsi="宋体"/>
          <w:sz w:val="24"/>
        </w:rPr>
      </w:pPr>
      <w:r>
        <w:rPr>
          <w:rFonts w:hint="eastAsia" w:ascii="宋体" w:hAnsi="宋体"/>
          <w:sz w:val="24"/>
        </w:rPr>
        <w:t xml:space="preserve">（3）</w:t>
      </w:r>
      <w:r>
        <w:rPr>
          <w:rFonts w:ascii="宋体" w:hAnsi="宋体"/>
          <w:sz w:val="24"/>
        </w:rPr>
        <w:t xml:space="preserve">自查自纠：能够进行一定的数据清洗，按照不同时间段提取自查自纠的数据与报告，提供自查自纠报告的模版。</w:t>
      </w:r>
      <w:r>
        <w:rPr>
          <w:rFonts w:ascii="宋体" w:hAnsi="宋体"/>
          <w:sz w:val="24"/>
        </w:rPr>
      </w:r>
      <w:r/>
    </w:p>
    <w:p>
      <w:pPr>
        <w:pStyle w:val="889"/>
        <w:ind w:firstLine="480"/>
        <w:spacing w:line="20" w:lineRule="atLeast"/>
        <w:rPr>
          <w:rFonts w:ascii="宋体" w:hAnsi="宋体"/>
          <w:sz w:val="24"/>
        </w:rPr>
      </w:pPr>
      <w:r>
        <w:rPr>
          <w:rFonts w:hint="eastAsia" w:ascii="宋体" w:hAnsi="宋体"/>
          <w:sz w:val="24"/>
        </w:rPr>
        <w:t xml:space="preserve">（4）</w:t>
      </w:r>
      <w:r>
        <w:rPr>
          <w:rFonts w:ascii="宋体" w:hAnsi="宋体"/>
          <w:sz w:val="24"/>
        </w:rPr>
        <w:t xml:space="preserve">住院疑似违规类型统计：按规则类型-科室-医生-规则维度，展示疑似违规数据，可进行报表下钻，方便用户快速查看和分析疑似违规数据。</w:t>
      </w:r>
      <w:r>
        <w:rPr>
          <w:rFonts w:ascii="宋体" w:hAnsi="宋体"/>
          <w:sz w:val="24"/>
        </w:rPr>
      </w:r>
      <w:r/>
    </w:p>
    <w:p>
      <w:pPr>
        <w:pStyle w:val="889"/>
        <w:ind w:firstLine="480"/>
        <w:spacing w:line="20" w:lineRule="atLeast"/>
        <w:rPr>
          <w:rFonts w:ascii="宋体" w:hAnsi="宋体"/>
          <w:sz w:val="24"/>
        </w:rPr>
      </w:pPr>
      <w:r>
        <w:rPr>
          <w:rFonts w:hint="eastAsia" w:ascii="宋体" w:hAnsi="宋体"/>
          <w:sz w:val="24"/>
        </w:rPr>
        <w:t xml:space="preserve">（5）</w:t>
      </w:r>
      <w:r>
        <w:rPr>
          <w:rFonts w:ascii="宋体" w:hAnsi="宋体"/>
          <w:sz w:val="24"/>
        </w:rPr>
        <w:t xml:space="preserve">移动端推送服务：主要违规内容向科主任、护士长、医疗团队组长、当事医护人员进行手机端数据推送。</w:t>
      </w:r>
      <w:r>
        <w:rPr>
          <w:rFonts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（6）</w:t>
      </w:r>
      <w:r>
        <w:rPr>
          <w:rFonts w:ascii="宋体" w:hAnsi="宋体"/>
          <w:sz w:val="24"/>
        </w:rPr>
        <w:t xml:space="preserve">飞检案例库管理：展示案例来源、通报日期、单位及其具体违规行为、金额，为智能审核提供参考依据，飞检案例数不少于3000个。</w:t>
      </w: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t xml:space="preserve">2、投标人需在“法人授权书”中注明进行现场演示的人员姓名及身份证号，不接受非注明的人员进入评审现场进行演示。投标人进入评审现场的人员应出示有效身份证件。</w:t>
      </w: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r>
      <w:r/>
    </w:p>
    <w:p>
      <w:pPr>
        <w:pStyle w:val="889"/>
        <w:spacing w:line="20" w:lineRule="atLeast"/>
        <w:rPr>
          <w:rFonts w:hint="eastAsia" w:ascii="宋体" w:hAnsi="宋体"/>
          <w:sz w:val="24"/>
        </w:rPr>
      </w:pPr>
      <w:r>
        <w:rPr>
          <w:rFonts w:hint="eastAsia" w:ascii="宋体" w:hAnsi="宋体"/>
          <w:sz w:val="24"/>
        </w:rPr>
      </w:r>
      <w:r/>
    </w:p>
    <w:p>
      <w:pPr>
        <w:pStyle w:val="889"/>
        <w:spacing w:line="20" w:lineRule="atLeast"/>
        <w:rPr>
          <w:rFonts w:hint="eastAsia" w:ascii="宋体" w:hAnsi="宋体"/>
          <w:sz w:val="24"/>
        </w:rPr>
      </w:pPr>
      <w:r>
        <w:rPr>
          <w:rFonts w:hint="eastAsia" w:ascii="宋体" w:hAnsi="宋体"/>
          <w:sz w:val="24"/>
        </w:rPr>
      </w:r>
      <w:r/>
    </w:p>
    <w:p>
      <w:pPr>
        <w:pStyle w:val="889"/>
        <w:ind w:firstLine="480"/>
        <w:spacing w:line="20" w:lineRule="atLeast"/>
        <w:rPr>
          <w:rFonts w:hint="eastAsia" w:ascii="宋体" w:hAnsi="宋体"/>
          <w:sz w:val="24"/>
        </w:rPr>
      </w:pPr>
      <w:r>
        <w:rPr>
          <w:rFonts w:hint="eastAsia" w:ascii="宋体" w:hAnsi="宋体"/>
          <w:sz w:val="24"/>
        </w:rPr>
      </w:r>
      <w:r/>
    </w:p>
    <w:p>
      <w:pPr>
        <w:pStyle w:val="890"/>
        <w:jc w:val="both"/>
        <w:rPr>
          <w:rFonts w:hint="eastAsia" w:ascii="黑体" w:eastAsia="黑体"/>
          <w:bCs/>
          <w:sz w:val="44"/>
        </w:rPr>
      </w:pPr>
      <w:r/>
      <w:bookmarkStart w:id="191" w:name="_Toc120614281"/>
      <w:r>
        <w:rPr>
          <w:rFonts w:hint="eastAsia" w:ascii="黑体" w:eastAsia="黑体"/>
          <w:bCs/>
          <w:sz w:val="44"/>
        </w:rPr>
      </w:r>
      <w:r/>
    </w:p>
    <w:p>
      <w:pPr>
        <w:pStyle w:val="890"/>
        <w:jc w:val="both"/>
        <w:rPr>
          <w:rFonts w:hint="eastAsia" w:ascii="黑体" w:eastAsia="黑体"/>
          <w:bCs/>
          <w:sz w:val="44"/>
        </w:rPr>
      </w:pPr>
      <w:r>
        <w:rPr>
          <w:rFonts w:hint="eastAsia" w:ascii="黑体" w:eastAsia="黑体"/>
          <w:bCs/>
          <w:sz w:val="44"/>
        </w:rPr>
      </w:r>
      <w:r/>
    </w:p>
    <w:p>
      <w:pPr>
        <w:pStyle w:val="89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6"/>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6"/>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76"/>
        <w:ind w:firstLine="1548"/>
      </w:pPr>
      <w:r>
        <w:rPr>
          <w:rFonts w:hint="eastAsia"/>
        </w:rPr>
        <w:t xml:space="preserve"> </w:t>
      </w:r>
      <w:r/>
    </w:p>
    <w:tbl>
      <w:tblPr>
        <w:tblW w:w="5261"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04"/>
        <w:gridCol w:w="1444"/>
        <w:gridCol w:w="5533"/>
        <w:gridCol w:w="869"/>
      </w:tblGrid>
      <w:tr>
        <w:trPr>
          <w:trHeight w:val="928"/>
        </w:trPr>
        <w:tc>
          <w:tcPr>
            <w:tcW w:w="362"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序号</w:t>
            </w:r>
            <w:r>
              <w:rPr>
                <w:rFonts w:hint="eastAsia" w:ascii="宋体" w:hAnsi="宋体" w:cs="Arial"/>
                <w:szCs w:val="24"/>
              </w:rPr>
            </w:r>
            <w:r/>
          </w:p>
        </w:tc>
        <w:tc>
          <w:tcPr>
            <w:tcW w:w="572"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评审</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类别</w:t>
            </w: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评审项目</w:t>
            </w:r>
            <w:r>
              <w:rPr>
                <w:rFonts w:hint="eastAsia" w:ascii="宋体" w:hAnsi="宋体" w:cs="Arial"/>
                <w:szCs w:val="24"/>
              </w:rPr>
            </w:r>
            <w:r/>
          </w:p>
        </w:tc>
        <w:tc>
          <w:tcPr>
            <w:tcW w:w="2866"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评审细则</w:t>
            </w:r>
            <w:r>
              <w:rPr>
                <w:rFonts w:hint="eastAsia" w:ascii="宋体" w:hAnsi="宋体" w:cs="Arial"/>
                <w:szCs w:val="24"/>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评审分值</w:t>
            </w:r>
            <w:r>
              <w:rPr>
                <w:rFonts w:hint="eastAsia" w:ascii="宋体" w:hAnsi="宋体" w:cs="Arial"/>
                <w:szCs w:val="24"/>
              </w:rPr>
            </w:r>
            <w:r/>
          </w:p>
        </w:tc>
      </w:tr>
      <w:tr>
        <w:trPr>
          <w:trHeight w:val="928"/>
        </w:trPr>
        <w:tc>
          <w:tcPr>
            <w:tcW w:w="362"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1</w:t>
            </w:r>
            <w:r>
              <w:rPr>
                <w:rFonts w:hint="eastAsia" w:ascii="宋体" w:hAnsi="宋体" w:cs="Arial"/>
                <w:szCs w:val="24"/>
              </w:rPr>
            </w:r>
            <w:r/>
          </w:p>
        </w:tc>
        <w:tc>
          <w:tcPr>
            <w:tcW w:w="572" w:type="dxa"/>
            <w:vAlign w:val="center"/>
            <w:textDirection w:val="lrTb"/>
            <w:noWrap w:val="false"/>
          </w:tcPr>
          <w:p>
            <w:pPr>
              <w:pStyle w:val="984"/>
              <w:ind w:firstLine="0"/>
              <w:spacing w:before="0"/>
              <w:rPr>
                <w:rFonts w:hint="eastAsia" w:ascii="宋体" w:hAnsi="宋体" w:cs="Arial"/>
                <w:szCs w:val="24"/>
              </w:rPr>
            </w:pPr>
            <w:r>
              <w:rPr>
                <w:rFonts w:hint="eastAsia" w:ascii="宋体" w:hAnsi="宋体" w:cs="Arial"/>
                <w:szCs w:val="24"/>
              </w:rPr>
              <w:t xml:space="preserve">价格部分（17分）</w:t>
            </w: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报价</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（17分）</w:t>
            </w:r>
            <w:r>
              <w:rPr>
                <w:rFonts w:hint="eastAsia" w:ascii="宋体" w:hAnsi="宋体" w:cs="Arial"/>
                <w:szCs w:val="24"/>
              </w:rPr>
            </w:r>
            <w:r/>
          </w:p>
        </w:tc>
        <w:tc>
          <w:tcPr>
            <w:tcW w:w="2866" w:type="dxa"/>
            <w:vAlign w:val="center"/>
            <w:textDirection w:val="lrTb"/>
            <w:noWrap w:val="false"/>
          </w:tcPr>
          <w:p>
            <w:pPr>
              <w:pStyle w:val="889"/>
              <w:rPr>
                <w:rFonts w:hint="eastAsia" w:ascii="宋体" w:hAnsi="宋体" w:cs="宋体"/>
                <w:sz w:val="24"/>
              </w:rPr>
            </w:pPr>
            <w:r>
              <w:rPr>
                <w:rFonts w:hint="eastAsia" w:ascii="宋体" w:hAnsi="宋体" w:cs="宋体"/>
                <w:sz w:val="24"/>
              </w:rPr>
              <w:t xml:space="preserve">投标报价得分：即满足招标文件要求且价格最低的投标报价为评标基准价，其价格分为满分。其他投标人的投标报价得分统一按照下列公式计算：</w:t>
            </w:r>
            <w:r>
              <w:rPr>
                <w:rFonts w:hint="eastAsia" w:ascii="宋体" w:hAnsi="宋体" w:cs="宋体"/>
                <w:sz w:val="24"/>
              </w:rPr>
            </w:r>
            <w:r/>
          </w:p>
          <w:p>
            <w:pPr>
              <w:pStyle w:val="889"/>
              <w:rPr>
                <w:rFonts w:hint="eastAsia" w:ascii="宋体" w:hAnsi="宋体" w:cs="Arial"/>
              </w:rPr>
            </w:pPr>
            <w:r>
              <w:rPr>
                <w:rFonts w:hint="eastAsia" w:ascii="宋体" w:hAnsi="宋体" w:cs="宋体"/>
                <w:sz w:val="24"/>
              </w:rPr>
              <w:t xml:space="preserve">投标报价得分＝（评标基准价/投标报价）×17（保留两位小数）</w:t>
            </w:r>
            <w:r>
              <w:rPr>
                <w:rFonts w:hint="eastAsia" w:ascii="宋体" w:hAnsi="宋体" w:cs="Arial"/>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17分</w:t>
            </w:r>
            <w:r>
              <w:rPr>
                <w:rFonts w:hint="eastAsia" w:ascii="宋体" w:hAnsi="宋体" w:cs="Arial"/>
                <w:szCs w:val="24"/>
              </w:rPr>
            </w:r>
            <w:r/>
          </w:p>
        </w:tc>
      </w:tr>
      <w:tr>
        <w:trPr>
          <w:trHeight w:val="1396"/>
        </w:trPr>
        <w:tc>
          <w:tcPr>
            <w:tcW w:w="362" w:type="dxa"/>
            <w:vAlign w:val="center"/>
            <w:vMerge w:val="restart"/>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2</w:t>
            </w:r>
            <w:r>
              <w:rPr>
                <w:rFonts w:hint="eastAsia" w:ascii="宋体" w:hAnsi="宋体" w:cs="Arial"/>
                <w:szCs w:val="24"/>
              </w:rPr>
            </w:r>
            <w:r/>
          </w:p>
        </w:tc>
        <w:tc>
          <w:tcPr>
            <w:tcW w:w="572" w:type="dxa"/>
            <w:vAlign w:val="center"/>
            <w:vMerge w:val="restart"/>
            <w:textDirection w:val="lrTb"/>
            <w:noWrap w:val="false"/>
          </w:tcPr>
          <w:p>
            <w:pPr>
              <w:pStyle w:val="984"/>
              <w:ind w:firstLine="0"/>
              <w:spacing w:before="0"/>
              <w:rPr>
                <w:rFonts w:hint="eastAsia" w:ascii="宋体" w:hAnsi="宋体" w:cs="Arial"/>
                <w:szCs w:val="24"/>
              </w:rPr>
            </w:pPr>
            <w:r>
              <w:rPr>
                <w:rFonts w:hint="eastAsia" w:ascii="宋体" w:hAnsi="宋体" w:cs="Arial"/>
                <w:szCs w:val="24"/>
              </w:rPr>
              <w:t xml:space="preserve">商务部分（17分）</w:t>
            </w: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2.1</w:t>
            </w:r>
            <w:r>
              <w:rPr>
                <w:rFonts w:hint="eastAsia" w:ascii="宋体" w:hAnsi="宋体" w:cs="Arial"/>
                <w:szCs w:val="24"/>
              </w:rPr>
              <w:t xml:space="preserve">资质证书</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（6分）</w:t>
            </w:r>
            <w:r>
              <w:rPr>
                <w:rFonts w:hint="eastAsia" w:ascii="宋体" w:hAnsi="宋体" w:cs="Arial"/>
                <w:szCs w:val="24"/>
              </w:rPr>
            </w:r>
            <w:r/>
          </w:p>
        </w:tc>
        <w:tc>
          <w:tcPr>
            <w:tcW w:w="2866" w:type="dxa"/>
            <w:vAlign w:val="center"/>
            <w:textDirection w:val="lrTb"/>
            <w:noWrap w:val="false"/>
          </w:tcPr>
          <w:p>
            <w:pPr>
              <w:pStyle w:val="982"/>
              <w:jc w:val="left"/>
              <w:widowControl/>
              <w:rPr>
                <w:rFonts w:cs="宋体"/>
              </w:rPr>
            </w:pPr>
            <w:r>
              <w:rPr>
                <w:rFonts w:cs="宋体"/>
              </w:rPr>
              <w:t xml:space="preserve">投标人具有：</w:t>
            </w:r>
            <w:r>
              <w:rPr>
                <w:rFonts w:cs="宋体"/>
              </w:rPr>
            </w:r>
            <w:r/>
          </w:p>
          <w:p>
            <w:pPr>
              <w:pStyle w:val="982"/>
              <w:jc w:val="left"/>
              <w:widowControl/>
            </w:pPr>
            <w:r>
              <w:rPr>
                <w:rFonts w:cs="宋体"/>
              </w:rPr>
              <w:t xml:space="preserve">1）ISO9001质量管理体系认证证书，得2分；</w:t>
            </w:r>
            <w:r/>
          </w:p>
          <w:p>
            <w:pPr>
              <w:pStyle w:val="982"/>
              <w:jc w:val="left"/>
              <w:widowControl/>
            </w:pPr>
            <w:r>
              <w:rPr>
                <w:rFonts w:cs="宋体"/>
              </w:rPr>
              <w:t xml:space="preserve">2）ISO27001信息安全管理体系认证证书，得2分；</w:t>
            </w:r>
            <w:r/>
          </w:p>
          <w:p>
            <w:pPr>
              <w:pStyle w:val="982"/>
              <w:jc w:val="left"/>
              <w:widowControl/>
              <w:rPr>
                <w:rFonts w:cs="宋体"/>
              </w:rPr>
            </w:pPr>
            <w:r>
              <w:rPr>
                <w:rFonts w:cs="宋体"/>
              </w:rPr>
              <w:t xml:space="preserve">3）ISO27701隐私信息管理体系认证证书，得2分；</w:t>
            </w:r>
            <w:r>
              <w:rPr>
                <w:rFonts w:cs="宋体"/>
              </w:rPr>
            </w:r>
            <w:r/>
          </w:p>
          <w:p>
            <w:pPr>
              <w:pStyle w:val="982"/>
              <w:jc w:val="left"/>
              <w:widowControl/>
              <w:rPr>
                <w:rStyle w:val="972"/>
                <w:rFonts w:ascii="等线" w:hAnsi="等线" w:cs="等线"/>
              </w:rPr>
            </w:pPr>
            <w:r>
              <w:rPr>
                <w:rFonts w:cs="宋体"/>
              </w:rPr>
              <w:t xml:space="preserve">注：需提供相关证书扫描件，不提供不得分。</w:t>
            </w:r>
            <w:r>
              <w:rPr>
                <w:rStyle w:val="972"/>
                <w:rFonts w:ascii="等线" w:hAnsi="等线" w:cs="等线"/>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6分</w:t>
            </w:r>
            <w:r>
              <w:rPr>
                <w:rFonts w:hint="eastAsia" w:ascii="宋体" w:hAnsi="宋体" w:cs="Arial"/>
                <w:szCs w:val="24"/>
              </w:rPr>
            </w:r>
            <w:r/>
          </w:p>
        </w:tc>
      </w:tr>
      <w:tr>
        <w:trPr>
          <w:trHeight w:val="1479"/>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2.2</w:t>
            </w:r>
            <w:r>
              <w:rPr>
                <w:rFonts w:hint="eastAsia" w:ascii="宋体" w:hAnsi="宋体" w:cs="Arial"/>
                <w:szCs w:val="24"/>
              </w:rPr>
              <w:t xml:space="preserve">企业业绩</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（8分）</w:t>
            </w:r>
            <w:r>
              <w:rPr>
                <w:rFonts w:hint="eastAsia" w:ascii="宋体" w:hAnsi="宋体" w:cs="Arial"/>
                <w:szCs w:val="24"/>
              </w:rPr>
            </w:r>
            <w:r/>
          </w:p>
        </w:tc>
        <w:tc>
          <w:tcPr>
            <w:tcW w:w="2866" w:type="dxa"/>
            <w:vAlign w:val="center"/>
            <w:textDirection w:val="lrTb"/>
            <w:noWrap w:val="false"/>
          </w:tcPr>
          <w:p>
            <w:pPr>
              <w:pStyle w:val="982"/>
              <w:jc w:val="left"/>
              <w:widowControl/>
              <w:rPr>
                <w:rFonts w:cs="宋体"/>
              </w:rPr>
            </w:pPr>
            <w:r>
              <w:rPr>
                <w:rFonts w:cs="宋体"/>
              </w:rPr>
              <w:t xml:space="preserve">投标人提供2022年1月1日至今（以合同签订时间为准），承担过医疗行业与本项目类似的合同业绩证明（合同中包含“医保控费</w:t>
            </w:r>
            <w:r>
              <w:rPr>
                <w:rFonts w:cs="宋体"/>
              </w:rPr>
              <w:t xml:space="preserve">”</w:t>
            </w:r>
            <w:r>
              <w:rPr>
                <w:rFonts w:cs="宋体"/>
              </w:rPr>
              <w:t xml:space="preserve">、“医保智能审核”、“医保风险控制”、“医保智能监管”等相关内容），每提供一份得2分，满分8分。</w:t>
            </w:r>
            <w:r>
              <w:rPr>
                <w:rFonts w:cs="宋体"/>
              </w:rPr>
            </w:r>
            <w:r/>
          </w:p>
          <w:p>
            <w:pPr>
              <w:pStyle w:val="984"/>
              <w:ind w:firstLine="0"/>
              <w:spacing w:before="0"/>
              <w:rPr>
                <w:rFonts w:hint="eastAsia" w:ascii="宋体" w:hAnsi="宋体" w:cs="Arial"/>
                <w:szCs w:val="24"/>
              </w:rPr>
            </w:pPr>
            <w:r>
              <w:rPr>
                <w:rFonts w:hint="eastAsia" w:cs="宋体"/>
                <w:szCs w:val="24"/>
              </w:rPr>
              <w:t xml:space="preserve">注：提供能体现评审因素的合同关键页复印件</w:t>
            </w:r>
            <w:r>
              <w:rPr>
                <w:rFonts w:hint="eastAsia" w:cs="宋体"/>
                <w:szCs w:val="24"/>
                <w:lang w:val="en-US" w:eastAsia="zh-CN"/>
              </w:rPr>
              <w:t xml:space="preserve">或扫描件</w:t>
            </w:r>
            <w:r>
              <w:rPr>
                <w:rFonts w:hint="eastAsia" w:cs="宋体"/>
                <w:szCs w:val="24"/>
              </w:rPr>
              <w:t xml:space="preserve">并加盖公章。</w:t>
            </w:r>
            <w:r>
              <w:rPr>
                <w:rFonts w:hint="eastAsia" w:ascii="宋体" w:hAnsi="宋体" w:cs="Arial"/>
                <w:szCs w:val="24"/>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8分</w:t>
            </w:r>
            <w:r>
              <w:rPr>
                <w:rFonts w:hint="eastAsia" w:ascii="宋体" w:hAnsi="宋体" w:cs="Arial"/>
                <w:szCs w:val="24"/>
              </w:rPr>
            </w:r>
            <w:r/>
          </w:p>
        </w:tc>
      </w:tr>
      <w:tr>
        <w:trPr>
          <w:trHeight w:val="1807"/>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宋体"/>
                <w:szCs w:val="24"/>
                <w:lang w:val="en-US" w:eastAsia="zh-CN"/>
              </w:rPr>
              <w:t xml:space="preserve">2.3</w:t>
            </w:r>
            <w:r>
              <w:rPr>
                <w:rFonts w:hint="eastAsia" w:ascii="宋体" w:hAnsi="宋体" w:cs="宋体"/>
                <w:szCs w:val="24"/>
              </w:rPr>
              <w:t xml:space="preserve">软件著作权（</w:t>
            </w:r>
            <w:r>
              <w:rPr>
                <w:rFonts w:hint="eastAsia" w:cs="宋体"/>
                <w:szCs w:val="24"/>
              </w:rPr>
              <w:t xml:space="preserve">3</w:t>
            </w:r>
            <w:r>
              <w:rPr>
                <w:rFonts w:hint="eastAsia" w:ascii="宋体" w:hAnsi="宋体" w:cs="宋体"/>
                <w:szCs w:val="24"/>
              </w:rPr>
              <w:t xml:space="preserve">分）</w:t>
            </w:r>
            <w:r>
              <w:rPr>
                <w:rFonts w:hint="eastAsia" w:ascii="宋体" w:hAnsi="宋体" w:cs="Arial"/>
                <w:szCs w:val="24"/>
              </w:rPr>
            </w:r>
            <w:r/>
          </w:p>
        </w:tc>
        <w:tc>
          <w:tcPr>
            <w:tcW w:w="2866" w:type="dxa"/>
            <w:vAlign w:val="center"/>
            <w:textDirection w:val="lrTb"/>
            <w:noWrap w:val="false"/>
          </w:tcPr>
          <w:p>
            <w:pPr>
              <w:pStyle w:val="984"/>
              <w:ind w:firstLine="0"/>
              <w:spacing w:before="0"/>
              <w:rPr>
                <w:rFonts w:hint="eastAsia" w:ascii="宋体" w:hAnsi="宋体" w:cs="宋体"/>
                <w:szCs w:val="24"/>
              </w:rPr>
            </w:pPr>
            <w:r/>
            <w:bookmarkStart w:id="192" w:name="_Hlk217982063"/>
            <w:r>
              <w:rPr>
                <w:rFonts w:hint="eastAsia" w:ascii="宋体" w:hAnsi="宋体" w:cs="宋体"/>
                <w:szCs w:val="24"/>
              </w:rPr>
              <w:t xml:space="preserve">投标人需提供包含“医保智能</w:t>
            </w:r>
            <w:r>
              <w:rPr>
                <w:rFonts w:hint="eastAsia" w:cs="宋体"/>
                <w:szCs w:val="24"/>
              </w:rPr>
              <w:t xml:space="preserve">审核/</w:t>
            </w:r>
            <w:r>
              <w:rPr>
                <w:rFonts w:hint="eastAsia" w:ascii="宋体" w:hAnsi="宋体" w:cs="宋体"/>
                <w:szCs w:val="24"/>
              </w:rPr>
              <w:t xml:space="preserve">控费”</w:t>
            </w:r>
            <w:r>
              <w:rPr>
                <w:rFonts w:hint="eastAsia" w:cs="宋体"/>
                <w:szCs w:val="24"/>
              </w:rPr>
              <w:t xml:space="preserve">，</w:t>
            </w:r>
            <w:r>
              <w:rPr>
                <w:rFonts w:hint="eastAsia" w:ascii="宋体" w:hAnsi="宋体" w:cs="宋体"/>
                <w:szCs w:val="24"/>
              </w:rPr>
              <w:t xml:space="preserve">“医学AI能力”类</w:t>
            </w:r>
            <w:r>
              <w:rPr>
                <w:rFonts w:hint="eastAsia" w:cs="宋体"/>
                <w:szCs w:val="24"/>
              </w:rPr>
              <w:t xml:space="preserve">似内容</w:t>
            </w:r>
            <w:r>
              <w:rPr>
                <w:rFonts w:hint="eastAsia" w:ascii="宋体" w:hAnsi="宋体" w:cs="宋体"/>
                <w:szCs w:val="24"/>
              </w:rPr>
              <w:t xml:space="preserve">的《计算机软件著作权登记证书》</w:t>
            </w:r>
            <w:bookmarkEnd w:id="192"/>
            <w:r>
              <w:rPr>
                <w:rFonts w:hint="eastAsia" w:ascii="宋体" w:hAnsi="宋体" w:cs="宋体"/>
                <w:szCs w:val="24"/>
              </w:rPr>
              <w:t xml:space="preserve">，每提供一份证书得</w:t>
            </w:r>
            <w:r>
              <w:rPr>
                <w:rFonts w:hint="eastAsia" w:cs="宋体"/>
                <w:szCs w:val="24"/>
              </w:rPr>
              <w:t xml:space="preserve">1.5</w:t>
            </w:r>
            <w:r>
              <w:rPr>
                <w:rFonts w:hint="eastAsia" w:ascii="宋体" w:hAnsi="宋体" w:cs="宋体"/>
                <w:szCs w:val="24"/>
              </w:rPr>
              <w:t xml:space="preserve">分，最高得</w:t>
            </w:r>
            <w:r>
              <w:rPr>
                <w:rFonts w:hint="eastAsia" w:cs="宋体"/>
                <w:szCs w:val="24"/>
              </w:rPr>
              <w:t xml:space="preserve">3</w:t>
            </w:r>
            <w:r>
              <w:rPr>
                <w:rFonts w:hint="eastAsia" w:ascii="宋体" w:hAnsi="宋体" w:cs="宋体"/>
                <w:szCs w:val="24"/>
              </w:rPr>
              <w:t xml:space="preserve">分，不提供不得分。</w:t>
            </w:r>
            <w:r>
              <w:rPr>
                <w:rFonts w:hint="eastAsia" w:ascii="宋体" w:hAnsi="宋体" w:cs="宋体"/>
                <w:szCs w:val="24"/>
              </w:rPr>
            </w:r>
            <w:r/>
          </w:p>
          <w:p>
            <w:pPr>
              <w:pStyle w:val="984"/>
              <w:ind w:firstLine="0"/>
              <w:spacing w:before="0"/>
              <w:rPr>
                <w:rFonts w:hint="eastAsia" w:ascii="宋体" w:hAnsi="宋体" w:cs="宋体"/>
                <w:szCs w:val="24"/>
              </w:rPr>
            </w:pPr>
            <w:r>
              <w:rPr>
                <w:rFonts w:hint="eastAsia" w:ascii="宋体" w:hAnsi="宋体" w:cs="宋体"/>
              </w:rPr>
              <w:t xml:space="preserve">注：需提供计算机软件著作权登记证书原件扫描件或复印件并加盖投标人公章。</w:t>
            </w:r>
            <w:r>
              <w:rPr>
                <w:rFonts w:hint="eastAsia" w:ascii="宋体" w:hAnsi="宋体" w:cs="宋体"/>
                <w:szCs w:val="24"/>
              </w:rPr>
            </w:r>
            <w:r/>
          </w:p>
          <w:p>
            <w:pPr>
              <w:pStyle w:val="984"/>
              <w:ind w:firstLine="0"/>
              <w:spacing w:before="0"/>
              <w:rPr>
                <w:rFonts w:hint="eastAsia" w:ascii="宋体" w:hAnsi="宋体" w:cs="宋体"/>
                <w:szCs w:val="24"/>
              </w:rPr>
            </w:pPr>
            <w:r>
              <w:rPr>
                <w:rFonts w:hint="eastAsia" w:ascii="宋体" w:hAnsi="宋体" w:cs="宋体"/>
                <w:szCs w:val="24"/>
              </w:rPr>
              <w:t xml:space="preserve">如投标文件中提供的著作权名称表述与招标文件描述的关键字样不一致，而该投标文件中能证明投标人拥有的软件著作权具有相同或相似功能和效果，且评标委员会认可的，视同符合要求。</w:t>
            </w:r>
            <w:r>
              <w:rPr>
                <w:rFonts w:hint="eastAsia" w:ascii="宋体" w:hAnsi="宋体" w:cs="宋体"/>
                <w:szCs w:val="24"/>
              </w:rPr>
            </w:r>
            <w:r/>
          </w:p>
        </w:tc>
        <w:tc>
          <w:tcPr>
            <w:tcW w:w="450" w:type="dxa"/>
            <w:vAlign w:val="center"/>
            <w:textDirection w:val="lrTb"/>
            <w:noWrap w:val="false"/>
          </w:tcPr>
          <w:p>
            <w:pPr>
              <w:pStyle w:val="984"/>
              <w:ind w:firstLine="0"/>
              <w:spacing w:before="0"/>
              <w:rPr>
                <w:rFonts w:hint="eastAsia" w:ascii="宋体" w:hAnsi="宋体" w:cs="Arial"/>
                <w:szCs w:val="24"/>
              </w:rPr>
            </w:pPr>
            <w:r>
              <w:rPr>
                <w:rFonts w:hint="eastAsia" w:cs="宋体"/>
                <w:szCs w:val="24"/>
              </w:rPr>
              <w:t xml:space="preserve">3</w:t>
            </w:r>
            <w:r>
              <w:rPr>
                <w:rFonts w:hint="eastAsia" w:ascii="宋体" w:hAnsi="宋体" w:cs="宋体"/>
                <w:szCs w:val="24"/>
              </w:rPr>
              <w:t xml:space="preserve">分</w:t>
            </w:r>
            <w:r>
              <w:rPr>
                <w:rFonts w:hint="eastAsia" w:ascii="宋体" w:hAnsi="宋体" w:cs="Arial"/>
                <w:szCs w:val="24"/>
              </w:rPr>
            </w:r>
            <w:r/>
          </w:p>
        </w:tc>
      </w:tr>
      <w:tr>
        <w:trPr>
          <w:trHeight w:val="880"/>
        </w:trPr>
        <w:tc>
          <w:tcPr>
            <w:tcW w:w="362" w:type="dxa"/>
            <w:vAlign w:val="center"/>
            <w:vMerge w:val="restart"/>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3</w:t>
            </w:r>
            <w:r>
              <w:rPr>
                <w:rFonts w:hint="eastAsia" w:ascii="宋体" w:hAnsi="宋体" w:cs="Arial"/>
                <w:szCs w:val="24"/>
              </w:rPr>
            </w:r>
            <w:r/>
          </w:p>
        </w:tc>
        <w:tc>
          <w:tcPr>
            <w:tcW w:w="572" w:type="dxa"/>
            <w:vAlign w:val="center"/>
            <w:vMerge w:val="restart"/>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r>
            <w:r/>
          </w:p>
          <w:p>
            <w:pPr>
              <w:pStyle w:val="984"/>
              <w:ind w:firstLine="0"/>
              <w:spacing w:before="0"/>
              <w:rPr>
                <w:rFonts w:hint="eastAsia" w:ascii="宋体" w:hAnsi="宋体" w:cs="Arial"/>
                <w:szCs w:val="24"/>
              </w:rPr>
            </w:pPr>
            <w:r>
              <w:rPr>
                <w:rFonts w:hint="eastAsia" w:ascii="宋体" w:hAnsi="宋体" w:cs="Arial"/>
                <w:szCs w:val="24"/>
              </w:rPr>
              <w:t xml:space="preserve">技术部分（57</w:t>
            </w:r>
            <w:r>
              <w:rPr>
                <w:rFonts w:hint="eastAsia" w:ascii="宋体" w:hAnsi="宋体" w:cs="Arial"/>
                <w:szCs w:val="24"/>
              </w:rPr>
              <w:t xml:space="preserve">分</w:t>
            </w:r>
            <w:r>
              <w:rPr>
                <w:rFonts w:hint="eastAsia" w:ascii="宋体" w:hAnsi="宋体" w:cs="Arial"/>
                <w:szCs w:val="24"/>
              </w:rPr>
              <w:t xml:space="preserve">）</w:t>
            </w: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szCs w:val="21"/>
              </w:rPr>
            </w:pPr>
            <w:r>
              <w:rPr>
                <w:rFonts w:hint="eastAsia" w:ascii="宋体" w:hAnsi="宋体"/>
                <w:szCs w:val="21"/>
              </w:rPr>
            </w:r>
            <w:r/>
          </w:p>
          <w:p>
            <w:pPr>
              <w:pStyle w:val="984"/>
              <w:ind w:firstLine="0"/>
              <w:jc w:val="center"/>
              <w:spacing w:before="0"/>
              <w:rPr>
                <w:rFonts w:hint="eastAsia" w:ascii="宋体" w:hAnsi="宋体"/>
                <w:szCs w:val="21"/>
              </w:rPr>
            </w:pPr>
            <w:r>
              <w:rPr>
                <w:rFonts w:hint="eastAsia" w:ascii="宋体" w:hAnsi="宋体"/>
                <w:szCs w:val="21"/>
                <w:lang w:val="en-US" w:eastAsia="zh-CN"/>
              </w:rPr>
              <w:t xml:space="preserve">3.1</w:t>
            </w:r>
            <w:r>
              <w:rPr>
                <w:rFonts w:hint="eastAsia" w:ascii="宋体" w:hAnsi="宋体"/>
                <w:szCs w:val="21"/>
              </w:rPr>
              <w:t xml:space="preserve">产品技术指标</w:t>
            </w:r>
            <w:r>
              <w:rPr>
                <w:rFonts w:hint="eastAsia" w:ascii="宋体" w:hAnsi="宋体"/>
                <w:szCs w:val="21"/>
              </w:rPr>
            </w:r>
            <w:r/>
          </w:p>
          <w:p>
            <w:pPr>
              <w:pStyle w:val="984"/>
              <w:ind w:firstLine="0"/>
              <w:jc w:val="center"/>
              <w:spacing w:before="0"/>
              <w:rPr>
                <w:rFonts w:hint="eastAsia" w:ascii="宋体" w:hAnsi="宋体"/>
                <w:szCs w:val="21"/>
              </w:rPr>
            </w:pPr>
            <w:r>
              <w:rPr>
                <w:rFonts w:hint="eastAsia" w:ascii="宋体" w:hAnsi="宋体"/>
                <w:szCs w:val="21"/>
              </w:rPr>
              <w:t xml:space="preserve">（</w:t>
            </w:r>
            <w:r>
              <w:rPr>
                <w:rFonts w:hint="eastAsia" w:ascii="宋体" w:hAnsi="宋体" w:cs="Arial"/>
                <w:szCs w:val="24"/>
              </w:rPr>
              <w:t xml:space="preserve">20分</w:t>
            </w:r>
            <w:r>
              <w:rPr>
                <w:rFonts w:hint="eastAsia" w:ascii="宋体" w:hAnsi="宋体"/>
                <w:szCs w:val="21"/>
              </w:rPr>
              <w:t xml:space="preserve">）</w:t>
            </w:r>
            <w:r>
              <w:rPr>
                <w:rFonts w:hint="eastAsia" w:ascii="宋体" w:hAnsi="宋体"/>
                <w:szCs w:val="21"/>
              </w:rPr>
            </w:r>
            <w:r/>
          </w:p>
        </w:tc>
        <w:tc>
          <w:tcPr>
            <w:tcW w:w="2866" w:type="dxa"/>
            <w:vAlign w:val="center"/>
            <w:textDirection w:val="lrTb"/>
            <w:noWrap w:val="false"/>
          </w:tcPr>
          <w:p>
            <w:pPr>
              <w:pStyle w:val="982"/>
              <w:jc w:val="left"/>
              <w:widowControl/>
              <w:rPr>
                <w:rFonts w:cs="宋体"/>
              </w:rPr>
            </w:pPr>
            <w:r>
              <w:rPr>
                <w:rFonts w:cs="宋体"/>
              </w:rPr>
              <w:t xml:space="preserve">投标人所投产品主要技术指标应完全满足或优于招标文件中“技术参数”，带“★”参数为重要指标项，不满足或负偏离每项扣1分，扣完为止；其他功能参数为普通项，不满足或负偏离扣0.5分。</w:t>
            </w:r>
            <w:r>
              <w:rPr>
                <w:rFonts w:cs="宋体"/>
              </w:rPr>
            </w:r>
            <w:r/>
          </w:p>
          <w:p>
            <w:pPr>
              <w:pStyle w:val="982"/>
              <w:jc w:val="left"/>
              <w:widowControl/>
              <w:rPr>
                <w:rFonts w:cs="宋体"/>
              </w:rPr>
            </w:pPr>
            <w:r>
              <w:rPr>
                <w:rFonts w:cs="宋体"/>
              </w:rPr>
              <w:t xml:space="preserve">注：投标人须逐一响应技术参数。</w:t>
            </w:r>
            <w:r>
              <w:rPr>
                <w:rFonts w:cs="宋体"/>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20分</w:t>
            </w:r>
            <w:r>
              <w:rPr>
                <w:rFonts w:hint="eastAsia" w:ascii="宋体" w:hAnsi="宋体" w:cs="Arial"/>
                <w:szCs w:val="24"/>
              </w:rPr>
            </w:r>
            <w:r/>
          </w:p>
        </w:tc>
      </w:tr>
      <w:tr>
        <w:trPr>
          <w:trHeight w:val="941"/>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vMerge w:val="restart"/>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3.2</w:t>
            </w:r>
            <w:r>
              <w:rPr>
                <w:rFonts w:hint="eastAsia" w:ascii="宋体" w:hAnsi="宋体" w:cs="Arial"/>
                <w:szCs w:val="24"/>
              </w:rPr>
              <w:t xml:space="preserve">项目团队</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（10分）</w:t>
            </w:r>
            <w:r>
              <w:rPr>
                <w:rFonts w:hint="eastAsia" w:ascii="宋体" w:hAnsi="宋体" w:cs="Arial"/>
                <w:szCs w:val="24"/>
              </w:rPr>
            </w:r>
            <w:r/>
          </w:p>
        </w:tc>
        <w:tc>
          <w:tcPr>
            <w:tcW w:w="2866" w:type="dxa"/>
            <w:vAlign w:val="center"/>
            <w:textDirection w:val="lrTb"/>
            <w:noWrap w:val="false"/>
          </w:tcPr>
          <w:p>
            <w:pPr>
              <w:pStyle w:val="982"/>
              <w:jc w:val="left"/>
              <w:widowControl/>
              <w:rPr>
                <w:rFonts w:cs="宋体"/>
              </w:rPr>
            </w:pPr>
            <w:r>
              <w:rPr>
                <w:rFonts w:hint="eastAsia" w:cs="宋体"/>
                <w:lang w:val="en-US" w:eastAsia="zh-CN"/>
              </w:rPr>
              <w:t xml:space="preserve">3.2.1</w:t>
            </w:r>
            <w:r>
              <w:rPr>
                <w:rFonts w:cs="宋体"/>
              </w:rPr>
              <w:t xml:space="preserve">项目负责人：具备信息系统项目高级管理师、IT服务项目经理证书的计3分。（项目经理为1人次，具备以上证书</w:t>
            </w:r>
            <w:r>
              <w:rPr>
                <w:rFonts w:hint="eastAsia" w:cs="宋体"/>
                <w:lang w:eastAsia="zh-CN"/>
              </w:rPr>
              <w:t xml:space="preserve">，</w:t>
            </w:r>
            <w:r>
              <w:rPr>
                <w:rFonts w:hint="eastAsia" w:cs="宋体"/>
                <w:lang w:val="en-US" w:eastAsia="zh-CN"/>
              </w:rPr>
              <w:t xml:space="preserve">每具备1个计1.5分，共计3分</w:t>
            </w:r>
            <w:r>
              <w:rPr>
                <w:rFonts w:cs="宋体"/>
              </w:rPr>
              <w:t xml:space="preserve">）；</w:t>
            </w:r>
            <w:r>
              <w:rPr>
                <w:rFonts w:cs="宋体"/>
              </w:rPr>
            </w:r>
            <w:r/>
          </w:p>
          <w:p>
            <w:pPr>
              <w:pStyle w:val="982"/>
              <w:jc w:val="left"/>
              <w:widowControl/>
              <w:rPr>
                <w:rFonts w:cs="宋体"/>
              </w:rPr>
            </w:pPr>
            <w:r>
              <w:rPr>
                <w:rFonts w:cs="宋体"/>
              </w:rPr>
              <w:t xml:space="preserve">注: 投标文件中同时提供以上人员名单及上述证书扫描件</w:t>
            </w:r>
            <w:r>
              <w:rPr>
                <w:rFonts w:hint="eastAsia" w:cs="宋体"/>
                <w:lang w:val="en-US" w:eastAsia="zh-CN"/>
              </w:rPr>
              <w:t xml:space="preserve">或复印件</w:t>
            </w:r>
            <w:r>
              <w:rPr>
                <w:rFonts w:cs="宋体"/>
              </w:rPr>
              <w:t xml:space="preserve">并加盖投标人公章；同时提供以上人员近三个月任意一个月的社保证明材料并加盖投标人公章，材料不全或不符合要求的不得分。</w:t>
            </w:r>
            <w:r>
              <w:rPr>
                <w:rFonts w:cs="宋体"/>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3分</w:t>
            </w:r>
            <w:r>
              <w:rPr>
                <w:rFonts w:hint="eastAsia" w:ascii="宋体" w:hAnsi="宋体" w:cs="Arial"/>
                <w:szCs w:val="24"/>
              </w:rPr>
            </w:r>
            <w:r/>
          </w:p>
        </w:tc>
      </w:tr>
      <w:tr>
        <w:trPr>
          <w:trHeight w:val="554"/>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2866" w:type="dxa"/>
            <w:vAlign w:val="center"/>
            <w:textDirection w:val="lrTb"/>
            <w:noWrap w:val="false"/>
          </w:tcPr>
          <w:p>
            <w:pPr>
              <w:pStyle w:val="982"/>
              <w:jc w:val="left"/>
              <w:widowControl/>
            </w:pPr>
            <w:r>
              <w:rPr>
                <w:rFonts w:hint="eastAsia" w:cs="宋体"/>
                <w:lang w:val="en-US" w:eastAsia="zh-CN"/>
              </w:rPr>
              <w:t xml:space="preserve">3.2.2</w:t>
            </w:r>
            <w:r>
              <w:rPr>
                <w:rFonts w:cs="宋体"/>
              </w:rPr>
              <w:t xml:space="preserve">其他项目成员要求：同时具备高级信息安全管理工程师、</w:t>
            </w:r>
            <w:r>
              <w:rPr>
                <w:rFonts w:cs="宋体"/>
                <w:shd w:val="clear" w:color="auto" w:fill="ffffff"/>
                <w:lang w:bidi="ar"/>
              </w:rPr>
              <w:t xml:space="preserve">系统架构师证书、CISAW信息安全保障</w:t>
            </w:r>
            <w:r>
              <w:rPr>
                <w:rFonts w:cs="宋体"/>
              </w:rPr>
              <w:t xml:space="preserve">、IT服务工程师、软件设计师、软件评测师、数据库系统工程师，每个证书得1分，最高得7分（同一证书多人出现只算1次，以上证书可由项目组不同成员分别持证）。</w:t>
            </w:r>
            <w:r>
              <w:rPr>
                <w:rFonts w:cs="宋体"/>
              </w:rPr>
            </w:r>
            <w:r/>
          </w:p>
          <w:p>
            <w:pPr>
              <w:pStyle w:val="984"/>
              <w:ind w:firstLine="0"/>
              <w:spacing w:before="0"/>
              <w:rPr>
                <w:rFonts w:hint="eastAsia" w:ascii="宋体" w:hAnsi="宋体" w:cs="Arial"/>
                <w:szCs w:val="24"/>
              </w:rPr>
            </w:pPr>
            <w:r>
              <w:rPr>
                <w:rFonts w:hint="eastAsia" w:ascii="宋体" w:hAnsi="宋体" w:cs="宋体"/>
                <w:szCs w:val="24"/>
              </w:rPr>
              <w:t xml:space="preserve">注: 投标文件中同时提供</w:t>
            </w:r>
            <w:r>
              <w:rPr>
                <w:rFonts w:hint="eastAsia" w:cs="宋体"/>
                <w:szCs w:val="24"/>
              </w:rPr>
              <w:t xml:space="preserve">以上</w:t>
            </w:r>
            <w:r>
              <w:rPr>
                <w:rFonts w:hint="eastAsia" w:ascii="宋体" w:hAnsi="宋体" w:cs="宋体"/>
                <w:szCs w:val="24"/>
              </w:rPr>
              <w:t xml:space="preserve">人员名单</w:t>
            </w:r>
            <w:r>
              <w:rPr>
                <w:rFonts w:hint="eastAsia" w:cs="宋体"/>
                <w:szCs w:val="24"/>
              </w:rPr>
              <w:t xml:space="preserve">及</w:t>
            </w:r>
            <w:r>
              <w:rPr>
                <w:rFonts w:hint="eastAsia" w:ascii="宋体" w:hAnsi="宋体" w:cs="宋体"/>
                <w:szCs w:val="24"/>
              </w:rPr>
              <w:t xml:space="preserve">上述证书扫描件或复印件</w:t>
            </w:r>
            <w:r>
              <w:rPr>
                <w:rFonts w:hint="eastAsia" w:cs="宋体"/>
                <w:szCs w:val="24"/>
              </w:rPr>
              <w:t xml:space="preserve">并</w:t>
            </w:r>
            <w:r>
              <w:rPr>
                <w:rFonts w:hint="eastAsia" w:ascii="宋体" w:hAnsi="宋体" w:cs="宋体"/>
                <w:szCs w:val="24"/>
              </w:rPr>
              <w:t xml:space="preserve">加盖投标人公章；同时提供以上人员近三个月</w:t>
            </w:r>
            <w:r>
              <w:rPr>
                <w:rFonts w:hint="eastAsia" w:ascii="宋体" w:hAnsi="宋体" w:cs="宋体"/>
                <w:szCs w:val="24"/>
              </w:rPr>
              <w:t xml:space="preserve">中</w:t>
            </w:r>
            <w:r>
              <w:rPr>
                <w:rFonts w:hint="eastAsia" w:ascii="宋体" w:hAnsi="宋体" w:cs="宋体"/>
                <w:szCs w:val="24"/>
              </w:rPr>
              <w:t xml:space="preserve">任意</w:t>
            </w:r>
            <w:r>
              <w:rPr>
                <w:rFonts w:hint="eastAsia" w:ascii="宋体" w:hAnsi="宋体" w:cs="宋体"/>
                <w:szCs w:val="24"/>
              </w:rPr>
              <w:t xml:space="preserve">一个</w:t>
            </w:r>
            <w:r>
              <w:rPr>
                <w:rFonts w:hint="eastAsia" w:ascii="宋体" w:hAnsi="宋体" w:cs="宋体"/>
                <w:szCs w:val="24"/>
              </w:rPr>
              <w:t xml:space="preserve">月</w:t>
            </w:r>
            <w:r>
              <w:rPr>
                <w:rFonts w:hint="eastAsia" w:ascii="宋体" w:hAnsi="宋体" w:cs="宋体"/>
                <w:szCs w:val="24"/>
              </w:rPr>
              <w:t xml:space="preserve">的社保证明材料并加盖投标人公章</w:t>
            </w:r>
            <w:r>
              <w:rPr>
                <w:rFonts w:hint="eastAsia" w:cs="宋体"/>
                <w:szCs w:val="24"/>
              </w:rPr>
              <w:t xml:space="preserve">，</w:t>
            </w:r>
            <w:r>
              <w:rPr>
                <w:rFonts w:hint="eastAsia" w:ascii="宋体" w:hAnsi="宋体" w:cs="宋体"/>
                <w:szCs w:val="24"/>
              </w:rPr>
              <w:t xml:space="preserve">材料不全或不符合要求的不得分。</w:t>
            </w:r>
            <w:r>
              <w:rPr>
                <w:rFonts w:hint="eastAsia" w:ascii="宋体" w:hAnsi="宋体" w:cs="Arial"/>
                <w:szCs w:val="24"/>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7分</w:t>
            </w:r>
            <w:r>
              <w:rPr>
                <w:rFonts w:hint="eastAsia" w:ascii="宋体" w:hAnsi="宋体" w:cs="Arial"/>
                <w:szCs w:val="24"/>
              </w:rPr>
            </w:r>
            <w:r/>
          </w:p>
        </w:tc>
      </w:tr>
      <w:tr>
        <w:trPr>
          <w:trHeight w:val="397"/>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 w:val="24"/>
                <w:szCs w:val="24"/>
                <w:lang w:val="en-US" w:eastAsia="zh-CN" w:bidi="ar-SA"/>
              </w:rPr>
            </w:pPr>
            <w:r>
              <w:rPr>
                <w:rFonts w:hint="eastAsia" w:ascii="宋体" w:hAnsi="宋体" w:cs="Arial"/>
                <w:szCs w:val="24"/>
                <w:lang w:val="en-US" w:eastAsia="zh-CN"/>
              </w:rPr>
              <w:t xml:space="preserve">3.3</w:t>
            </w:r>
            <w:r>
              <w:rPr>
                <w:rFonts w:hint="eastAsia" w:ascii="宋体" w:hAnsi="宋体" w:cs="Arial"/>
                <w:szCs w:val="24"/>
              </w:rPr>
              <w:t xml:space="preserve">国产化适配</w:t>
            </w:r>
            <w:r>
              <w:rPr>
                <w:rFonts w:hint="eastAsia" w:ascii="宋体" w:hAnsi="宋体" w:cs="宋体"/>
                <w:szCs w:val="24"/>
              </w:rPr>
              <w:t xml:space="preserve">（4.5分）</w:t>
            </w:r>
            <w:r>
              <w:rPr>
                <w:rFonts w:hint="eastAsia" w:ascii="宋体" w:hAnsi="宋体" w:cs="Arial"/>
                <w:sz w:val="24"/>
                <w:szCs w:val="24"/>
                <w:lang w:val="en-US" w:eastAsia="zh-CN" w:bidi="ar-SA"/>
              </w:rPr>
            </w:r>
            <w:r/>
          </w:p>
        </w:tc>
        <w:tc>
          <w:tcPr>
            <w:tcW w:w="2866" w:type="dxa"/>
            <w:vAlign w:val="center"/>
            <w:textDirection w:val="lrTb"/>
            <w:noWrap w:val="false"/>
          </w:tcPr>
          <w:p>
            <w:pPr>
              <w:pStyle w:val="982"/>
              <w:jc w:val="left"/>
              <w:widowControl/>
            </w:pPr>
            <w:r>
              <w:rPr>
                <w:rFonts w:cs="宋体"/>
              </w:rPr>
              <w:t xml:space="preserve">投标人所投</w:t>
            </w:r>
            <w:r>
              <w:rPr>
                <w:rFonts w:hint="eastAsia" w:cs="宋体"/>
                <w:lang w:val="en-US" w:eastAsia="zh-CN"/>
              </w:rPr>
              <w:t xml:space="preserve">类似</w:t>
            </w:r>
            <w:r>
              <w:rPr>
                <w:rFonts w:cs="宋体"/>
              </w:rPr>
              <w:t xml:space="preserve">产品与主流国产操作系统、数据库和中间件的兼容性互认，具有认证证书的，每提供一份得1.5分，满分4.5分。</w:t>
            </w:r>
            <w:r/>
          </w:p>
          <w:p>
            <w:pPr>
              <w:pStyle w:val="984"/>
              <w:ind w:firstLine="0"/>
              <w:jc w:val="left"/>
              <w:spacing w:before="0"/>
              <w:rPr>
                <w:rFonts w:hint="eastAsia" w:ascii="宋体" w:hAnsi="宋体" w:cs="Arial"/>
                <w:sz w:val="24"/>
                <w:szCs w:val="24"/>
                <w:lang w:val="en-US" w:eastAsia="zh-CN" w:bidi="ar-SA"/>
              </w:rPr>
            </w:pPr>
            <w:r>
              <w:rPr>
                <w:rFonts w:hint="eastAsia" w:ascii="宋体" w:hAnsi="宋体" w:cs="宋体"/>
                <w:szCs w:val="24"/>
              </w:rPr>
              <w:t xml:space="preserve">注：须提供证书复印件并加盖投标人公章，未提供不得分。</w:t>
            </w:r>
            <w:r>
              <w:rPr>
                <w:rFonts w:hint="eastAsia" w:ascii="宋体" w:hAnsi="宋体" w:cs="Arial"/>
                <w:sz w:val="24"/>
                <w:szCs w:val="24"/>
                <w:lang w:val="en-US" w:eastAsia="zh-CN" w:bidi="ar-SA"/>
              </w:rPr>
            </w:r>
            <w:r/>
          </w:p>
        </w:tc>
        <w:tc>
          <w:tcPr>
            <w:tcW w:w="450" w:type="dxa"/>
            <w:vAlign w:val="center"/>
            <w:textDirection w:val="lrTb"/>
            <w:noWrap w:val="false"/>
          </w:tcPr>
          <w:p>
            <w:pPr>
              <w:pStyle w:val="984"/>
              <w:ind w:firstLine="0"/>
              <w:jc w:val="center"/>
              <w:spacing w:before="0"/>
              <w:rPr>
                <w:rFonts w:hint="eastAsia" w:ascii="宋体" w:hAnsi="宋体" w:cs="Arial"/>
                <w:sz w:val="24"/>
                <w:szCs w:val="24"/>
                <w:lang w:val="en-US" w:eastAsia="zh-CN" w:bidi="ar-SA"/>
              </w:rPr>
            </w:pPr>
            <w:r>
              <w:rPr>
                <w:rFonts w:hint="eastAsia" w:ascii="宋体" w:hAnsi="宋体" w:cs="Arial"/>
                <w:szCs w:val="24"/>
              </w:rPr>
              <w:t xml:space="preserve">4.5分</w:t>
            </w:r>
            <w:r>
              <w:rPr>
                <w:rFonts w:hint="eastAsia" w:ascii="宋体" w:hAnsi="宋体" w:cs="Arial"/>
                <w:sz w:val="24"/>
                <w:szCs w:val="24"/>
                <w:lang w:val="en-US" w:eastAsia="zh-CN" w:bidi="ar-SA"/>
              </w:rPr>
            </w:r>
            <w:r/>
          </w:p>
        </w:tc>
      </w:tr>
      <w:tr>
        <w:trPr>
          <w:trHeight w:val="397"/>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3.4</w:t>
            </w:r>
            <w:r>
              <w:rPr>
                <w:rFonts w:hint="eastAsia" w:ascii="宋体" w:hAnsi="宋体" w:cs="Arial"/>
                <w:szCs w:val="24"/>
              </w:rPr>
              <w:t xml:space="preserve">AI能力</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宋体"/>
                <w:szCs w:val="24"/>
              </w:rPr>
              <w:t xml:space="preserve">（</w:t>
            </w:r>
            <w:r>
              <w:rPr>
                <w:rFonts w:hint="eastAsia" w:cs="宋体"/>
                <w:szCs w:val="24"/>
              </w:rPr>
              <w:t xml:space="preserve">7.5</w:t>
            </w:r>
            <w:r>
              <w:rPr>
                <w:rFonts w:hint="eastAsia" w:ascii="宋体" w:hAnsi="宋体" w:cs="宋体"/>
                <w:szCs w:val="24"/>
              </w:rPr>
              <w:t xml:space="preserve">分）</w:t>
            </w:r>
            <w:r>
              <w:rPr>
                <w:rFonts w:hint="eastAsia" w:ascii="宋体" w:hAnsi="宋体" w:cs="Arial"/>
                <w:szCs w:val="24"/>
              </w:rPr>
            </w:r>
            <w:r/>
          </w:p>
        </w:tc>
        <w:tc>
          <w:tcPr>
            <w:tcW w:w="2866" w:type="dxa"/>
            <w:vAlign w:val="center"/>
            <w:textDirection w:val="lrTb"/>
            <w:noWrap w:val="false"/>
          </w:tcPr>
          <w:p>
            <w:pPr>
              <w:pStyle w:val="984"/>
              <w:ind w:firstLine="0"/>
              <w:jc w:val="left"/>
              <w:spacing w:before="0"/>
              <w:rPr>
                <w:rFonts w:hint="eastAsia" w:ascii="宋体" w:hAnsi="宋体" w:cs="Arial"/>
                <w:szCs w:val="24"/>
              </w:rPr>
            </w:pPr>
            <w:r>
              <w:rPr>
                <w:rFonts w:hint="eastAsia" w:ascii="宋体" w:hAnsi="宋体" w:cs="宋体"/>
                <w:szCs w:val="24"/>
              </w:rPr>
              <w:t xml:space="preserve">在AI审核管控上具备：病历理解能力、疾病推理能力、疾病知识库等相关检验检测报告，每提供一个可得2.5分，最高7.5分，不提供不得分。</w:t>
            </w:r>
            <w:r>
              <w:rPr>
                <w:rFonts w:hint="eastAsia" w:ascii="宋体" w:hAnsi="宋体" w:cs="Arial"/>
                <w:szCs w:val="24"/>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7.5分</w:t>
            </w:r>
            <w:r>
              <w:rPr>
                <w:rFonts w:hint="eastAsia" w:ascii="宋体" w:hAnsi="宋体" w:cs="Arial"/>
                <w:szCs w:val="24"/>
              </w:rPr>
            </w:r>
            <w:r/>
          </w:p>
        </w:tc>
      </w:tr>
      <w:tr>
        <w:trPr>
          <w:trHeight w:val="416"/>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3.5</w:t>
            </w:r>
            <w:r>
              <w:rPr>
                <w:rFonts w:hint="eastAsia" w:ascii="宋体" w:hAnsi="宋体" w:cs="Arial"/>
                <w:szCs w:val="24"/>
              </w:rPr>
              <w:t xml:space="preserve">整体技术方案</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（5分）</w:t>
            </w:r>
            <w:r>
              <w:rPr>
                <w:rFonts w:hint="eastAsia" w:ascii="宋体" w:hAnsi="宋体" w:cs="Arial"/>
                <w:szCs w:val="24"/>
              </w:rPr>
            </w:r>
            <w:r/>
          </w:p>
        </w:tc>
        <w:tc>
          <w:tcPr>
            <w:tcW w:w="2866" w:type="dxa"/>
            <w:vAlign w:val="center"/>
            <w:textDirection w:val="lrTb"/>
            <w:noWrap w:val="false"/>
          </w:tcPr>
          <w:p>
            <w:pPr>
              <w:pStyle w:val="984"/>
              <w:ind w:firstLine="0"/>
              <w:jc w:val="left"/>
              <w:spacing w:before="0"/>
              <w:rPr>
                <w:rFonts w:hint="eastAsia" w:ascii="宋体" w:hAnsi="宋体" w:cs="Arial"/>
                <w:szCs w:val="24"/>
              </w:rPr>
            </w:pPr>
            <w:r>
              <w:rPr>
                <w:rFonts w:hint="eastAsia" w:ascii="宋体" w:hAnsi="宋体" w:cs="Arial"/>
                <w:szCs w:val="24"/>
              </w:rPr>
              <w:t xml:space="preserve">投标人应结合院方需求提供完整、条理清晰、可读性强的整体技术方案，根据供应商提供的功能模块完整性、软件细节功能满足情况、细化程度、数据分析先进性等方面评价并制定项目实施方案。</w:t>
            </w:r>
            <w:r>
              <w:rPr>
                <w:rFonts w:hint="eastAsia" w:ascii="宋体" w:hAnsi="宋体" w:cs="Arial"/>
                <w:szCs w:val="24"/>
              </w:rPr>
            </w:r>
            <w:r/>
          </w:p>
          <w:p>
            <w:pPr>
              <w:pStyle w:val="889"/>
              <w:rPr>
                <w:rFonts w:hint="eastAsia" w:ascii="宋体" w:hAnsi="宋体" w:cs="宋体"/>
                <w:sz w:val="24"/>
              </w:rPr>
            </w:pPr>
            <w:r>
              <w:rPr>
                <w:rFonts w:hint="eastAsia" w:ascii="宋体" w:hAnsi="宋体" w:cs="宋体"/>
                <w:sz w:val="24"/>
              </w:rPr>
              <w:t xml:space="preserve">优于招标文件要求得5分</w:t>
            </w:r>
            <w:r>
              <w:rPr>
                <w:rFonts w:hint="eastAsia" w:ascii="宋体" w:hAnsi="宋体" w:cs="宋体"/>
                <w:sz w:val="24"/>
              </w:rPr>
              <w:t xml:space="preserve">；</w:t>
            </w:r>
            <w:r>
              <w:rPr>
                <w:rFonts w:hint="eastAsia" w:ascii="宋体" w:hAnsi="宋体" w:cs="宋体"/>
                <w:sz w:val="24"/>
              </w:rPr>
            </w:r>
            <w:r/>
          </w:p>
          <w:p>
            <w:pPr>
              <w:pStyle w:val="889"/>
              <w:rPr>
                <w:rFonts w:ascii="宋体" w:hAnsi="宋体" w:cs="宋体"/>
                <w:sz w:val="24"/>
              </w:rPr>
            </w:pPr>
            <w:r>
              <w:rPr>
                <w:rFonts w:hint="eastAsia" w:ascii="宋体" w:hAnsi="宋体" w:cs="宋体"/>
                <w:sz w:val="24"/>
              </w:rPr>
              <w:t xml:space="preserve">符合招标文件要求得3分</w:t>
            </w:r>
            <w:r>
              <w:rPr>
                <w:rFonts w:hint="eastAsia" w:ascii="宋体" w:hAnsi="宋体" w:cs="宋体"/>
                <w:sz w:val="24"/>
              </w:rPr>
              <w:t xml:space="preserve">；</w:t>
            </w:r>
            <w:r>
              <w:rPr>
                <w:rFonts w:ascii="宋体" w:hAnsi="宋体" w:cs="宋体"/>
                <w:sz w:val="24"/>
              </w:rPr>
            </w:r>
            <w:r/>
          </w:p>
          <w:p>
            <w:pPr>
              <w:pStyle w:val="984"/>
              <w:ind w:firstLine="0"/>
              <w:jc w:val="left"/>
              <w:spacing w:before="0"/>
              <w:rPr>
                <w:rFonts w:hint="eastAsia" w:ascii="宋体" w:hAnsi="宋体" w:cs="宋体"/>
                <w:szCs w:val="24"/>
              </w:rPr>
            </w:pPr>
            <w:r>
              <w:rPr>
                <w:rFonts w:hint="eastAsia" w:ascii="宋体" w:hAnsi="宋体" w:cs="宋体"/>
              </w:rPr>
              <w:t xml:space="preserve">不符合或不提供不得分。</w:t>
            </w:r>
            <w:r>
              <w:rPr>
                <w:rFonts w:hint="eastAsia" w:ascii="宋体" w:hAnsi="宋体" w:cs="宋体"/>
                <w:szCs w:val="24"/>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5分</w:t>
            </w:r>
            <w:r>
              <w:rPr>
                <w:rFonts w:hint="eastAsia" w:ascii="宋体" w:hAnsi="宋体" w:cs="Arial"/>
                <w:szCs w:val="24"/>
              </w:rPr>
            </w:r>
            <w:r/>
          </w:p>
        </w:tc>
      </w:tr>
      <w:tr>
        <w:trPr>
          <w:trHeight w:val="594"/>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2"/>
              <w:widowControl/>
              <w:rPr>
                <w:rFonts w:cs="宋体"/>
              </w:rPr>
            </w:pPr>
            <w:r>
              <w:rPr>
                <w:rFonts w:hint="eastAsia" w:cs="宋体"/>
                <w:lang w:val="en-US" w:eastAsia="zh-CN"/>
              </w:rPr>
              <w:t xml:space="preserve">3.6</w:t>
            </w:r>
            <w:r>
              <w:rPr>
                <w:rFonts w:cs="宋体"/>
              </w:rPr>
              <w:t xml:space="preserve">培训方案</w:t>
            </w:r>
            <w:r>
              <w:rPr>
                <w:rFonts w:cs="宋体"/>
              </w:rPr>
            </w:r>
            <w:r/>
          </w:p>
          <w:p>
            <w:pPr>
              <w:pStyle w:val="982"/>
              <w:widowControl/>
            </w:pPr>
            <w:r>
              <w:rPr>
                <w:rFonts w:cs="宋体"/>
              </w:rPr>
              <w:t xml:space="preserve">（5分）</w:t>
            </w:r>
            <w:r/>
          </w:p>
        </w:tc>
        <w:tc>
          <w:tcPr>
            <w:tcW w:w="2866" w:type="dxa"/>
            <w:vAlign w:val="center"/>
            <w:textDirection w:val="lrTb"/>
            <w:noWrap w:val="false"/>
          </w:tcPr>
          <w:p>
            <w:pPr>
              <w:pStyle w:val="889"/>
              <w:rPr>
                <w:rFonts w:hint="eastAsia" w:ascii="宋体" w:hAnsi="宋体" w:cs="宋体"/>
                <w:sz w:val="24"/>
              </w:rPr>
            </w:pPr>
            <w:r>
              <w:rPr>
                <w:rFonts w:hint="eastAsia" w:ascii="宋体" w:hAnsi="宋体" w:cs="宋体"/>
                <w:sz w:val="24"/>
              </w:rPr>
              <w:t xml:space="preserve">投标人提供的培训计划方案是否科学、合理、内容是否完整，是否有针对性等进行综合评分。</w:t>
            </w:r>
            <w:r>
              <w:rPr>
                <w:rFonts w:hint="eastAsia" w:ascii="宋体" w:hAnsi="宋体" w:cs="宋体"/>
                <w:sz w:val="24"/>
              </w:rPr>
            </w:r>
            <w:r/>
          </w:p>
          <w:p>
            <w:pPr>
              <w:pStyle w:val="889"/>
              <w:rPr>
                <w:rFonts w:hint="eastAsia" w:ascii="宋体" w:hAnsi="宋体" w:cs="宋体"/>
                <w:sz w:val="24"/>
              </w:rPr>
            </w:pPr>
            <w:r>
              <w:rPr>
                <w:rFonts w:hint="eastAsia" w:ascii="宋体" w:hAnsi="宋体" w:cs="宋体"/>
                <w:sz w:val="24"/>
              </w:rPr>
              <w:t xml:space="preserve">优于招标文件要求得5分</w:t>
            </w:r>
            <w:r>
              <w:rPr>
                <w:rFonts w:hint="eastAsia" w:ascii="宋体" w:hAnsi="宋体" w:cs="宋体"/>
                <w:sz w:val="24"/>
              </w:rPr>
              <w:t xml:space="preserve">；</w:t>
            </w:r>
            <w:r>
              <w:rPr>
                <w:rFonts w:hint="eastAsia" w:ascii="宋体" w:hAnsi="宋体" w:cs="宋体"/>
                <w:sz w:val="24"/>
              </w:rPr>
            </w:r>
            <w:r/>
          </w:p>
          <w:p>
            <w:pPr>
              <w:pStyle w:val="889"/>
              <w:rPr>
                <w:rFonts w:ascii="宋体" w:hAnsi="宋体" w:cs="宋体"/>
                <w:sz w:val="24"/>
              </w:rPr>
            </w:pPr>
            <w:r>
              <w:rPr>
                <w:rFonts w:hint="eastAsia" w:ascii="宋体" w:hAnsi="宋体" w:cs="宋体"/>
                <w:sz w:val="24"/>
              </w:rPr>
              <w:t xml:space="preserve">符合招标文件要求得3分</w:t>
            </w:r>
            <w:r>
              <w:rPr>
                <w:rFonts w:hint="eastAsia" w:ascii="宋体" w:hAnsi="宋体" w:cs="宋体"/>
                <w:sz w:val="24"/>
              </w:rPr>
              <w:t xml:space="preserve">；</w:t>
            </w:r>
            <w:r>
              <w:rPr>
                <w:rFonts w:ascii="宋体" w:hAnsi="宋体" w:cs="宋体"/>
                <w:sz w:val="24"/>
              </w:rPr>
            </w:r>
            <w:r/>
          </w:p>
          <w:p>
            <w:pPr>
              <w:pStyle w:val="889"/>
              <w:rPr>
                <w:rFonts w:hint="eastAsia" w:ascii="宋体" w:hAnsi="宋体" w:cs="仿宋"/>
                <w:lang w:bidi="ar"/>
              </w:rPr>
            </w:pPr>
            <w:r>
              <w:rPr>
                <w:rFonts w:hint="eastAsia" w:ascii="宋体" w:hAnsi="宋体" w:cs="宋体"/>
                <w:sz w:val="24"/>
              </w:rPr>
              <w:t xml:space="preserve">不符合或不提供不得分。</w:t>
            </w:r>
            <w:r>
              <w:rPr>
                <w:rFonts w:hint="eastAsia" w:ascii="宋体" w:hAnsi="宋体" w:cs="仿宋"/>
                <w:lang w:bidi="ar"/>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5分</w:t>
            </w:r>
            <w:r>
              <w:rPr>
                <w:rFonts w:hint="eastAsia" w:ascii="宋体" w:hAnsi="宋体" w:cs="Arial"/>
                <w:szCs w:val="24"/>
              </w:rPr>
            </w:r>
            <w:r/>
          </w:p>
        </w:tc>
      </w:tr>
      <w:tr>
        <w:trPr>
          <w:trHeight w:val="2692"/>
        </w:trPr>
        <w:tc>
          <w:tcPr>
            <w:tcW w:w="362" w:type="dxa"/>
            <w:vAlign w:val="center"/>
            <w:vMerge w:val="continue"/>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tc>
        <w:tc>
          <w:tcPr>
            <w:tcW w:w="572" w:type="dxa"/>
            <w:vAlign w:val="center"/>
            <w:vMerge w:val="continue"/>
            <w:textDirection w:val="lrTb"/>
            <w:noWrap w:val="false"/>
          </w:tcPr>
          <w:p>
            <w:pPr>
              <w:pStyle w:val="984"/>
              <w:ind w:firstLine="0"/>
              <w:spacing w:before="0"/>
              <w:rPr>
                <w:rFonts w:hint="eastAsia" w:ascii="宋体" w:hAnsi="宋体" w:cs="Arial"/>
                <w:szCs w:val="24"/>
              </w:rPr>
            </w:pPr>
            <w:r>
              <w:rPr>
                <w:rFonts w:hint="eastAsia" w:ascii="宋体" w:hAnsi="宋体" w:cs="Arial"/>
                <w:szCs w:val="24"/>
              </w:rPr>
            </w:r>
            <w:r/>
          </w:p>
        </w:tc>
        <w:tc>
          <w:tcPr>
            <w:tcW w:w="748"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lang w:val="en-US" w:eastAsia="zh-CN"/>
              </w:rPr>
              <w:t xml:space="preserve">3.7</w:t>
            </w:r>
            <w:r>
              <w:rPr>
                <w:rFonts w:hint="eastAsia" w:ascii="宋体" w:hAnsi="宋体" w:cs="Arial"/>
                <w:szCs w:val="24"/>
              </w:rPr>
              <w:t xml:space="preserve">售后服务方案</w:t>
            </w: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宋体"/>
                <w:szCs w:val="24"/>
              </w:rPr>
              <w:t xml:space="preserve">（</w:t>
            </w:r>
            <w:r>
              <w:rPr>
                <w:rFonts w:hint="eastAsia" w:cs="宋体"/>
                <w:szCs w:val="24"/>
              </w:rPr>
              <w:t xml:space="preserve">5</w:t>
            </w:r>
            <w:r>
              <w:rPr>
                <w:rFonts w:hint="eastAsia" w:ascii="宋体" w:hAnsi="宋体" w:cs="宋体"/>
                <w:szCs w:val="24"/>
              </w:rPr>
              <w:t xml:space="preserve">分）</w:t>
            </w:r>
            <w:r>
              <w:rPr>
                <w:rFonts w:hint="eastAsia" w:ascii="宋体" w:hAnsi="宋体" w:cs="Arial"/>
                <w:szCs w:val="24"/>
              </w:rPr>
            </w:r>
            <w:r/>
          </w:p>
        </w:tc>
        <w:tc>
          <w:tcPr>
            <w:tcW w:w="2866" w:type="dxa"/>
            <w:vAlign w:val="center"/>
            <w:textDirection w:val="lrTb"/>
            <w:noWrap w:val="false"/>
          </w:tcPr>
          <w:p>
            <w:pPr>
              <w:pStyle w:val="889"/>
              <w:rPr>
                <w:rFonts w:hint="eastAsia" w:ascii="宋体" w:hAnsi="宋体" w:cs="宋体"/>
                <w:sz w:val="24"/>
              </w:rPr>
            </w:pPr>
            <w:r>
              <w:rPr>
                <w:rFonts w:hint="eastAsia" w:ascii="宋体" w:hAnsi="宋体" w:cs="宋体"/>
                <w:sz w:val="24"/>
              </w:rPr>
              <w:t xml:space="preserve">根据投标人提供的售后服务承诺、售后服务保障措施、售后服务响应机制、应急服务措施的优劣性进行横向比较。</w:t>
            </w:r>
            <w:r>
              <w:rPr>
                <w:rFonts w:hint="eastAsia" w:ascii="宋体" w:hAnsi="宋体" w:cs="宋体"/>
                <w:sz w:val="24"/>
              </w:rPr>
            </w:r>
            <w:r/>
          </w:p>
          <w:p>
            <w:pPr>
              <w:pStyle w:val="889"/>
              <w:rPr>
                <w:rFonts w:hint="eastAsia" w:ascii="宋体" w:hAnsi="宋体" w:cs="宋体"/>
                <w:sz w:val="24"/>
              </w:rPr>
            </w:pPr>
            <w:r>
              <w:rPr>
                <w:rFonts w:hint="eastAsia" w:ascii="宋体" w:hAnsi="宋体" w:cs="宋体"/>
                <w:sz w:val="24"/>
              </w:rPr>
              <w:t xml:space="preserve">优于招标文件要求得5分</w:t>
            </w:r>
            <w:r>
              <w:rPr>
                <w:rFonts w:hint="eastAsia" w:ascii="宋体" w:hAnsi="宋体" w:cs="宋体"/>
                <w:sz w:val="24"/>
              </w:rPr>
              <w:t xml:space="preserve">；</w:t>
            </w:r>
            <w:r>
              <w:rPr>
                <w:rFonts w:hint="eastAsia" w:ascii="宋体" w:hAnsi="宋体" w:cs="宋体"/>
                <w:sz w:val="24"/>
              </w:rPr>
            </w:r>
            <w:r/>
          </w:p>
          <w:p>
            <w:pPr>
              <w:pStyle w:val="889"/>
              <w:rPr>
                <w:rFonts w:ascii="宋体" w:hAnsi="宋体" w:cs="宋体"/>
                <w:sz w:val="24"/>
              </w:rPr>
            </w:pPr>
            <w:r>
              <w:rPr>
                <w:rFonts w:hint="eastAsia" w:ascii="宋体" w:hAnsi="宋体" w:cs="宋体"/>
                <w:sz w:val="24"/>
              </w:rPr>
              <w:t xml:space="preserve">符合招标文件要求得3分</w:t>
            </w:r>
            <w:r>
              <w:rPr>
                <w:rFonts w:hint="eastAsia" w:ascii="宋体" w:hAnsi="宋体" w:cs="宋体"/>
                <w:sz w:val="24"/>
              </w:rPr>
              <w:t xml:space="preserve">；</w:t>
            </w:r>
            <w:r>
              <w:rPr>
                <w:rFonts w:ascii="宋体" w:hAnsi="宋体" w:cs="宋体"/>
                <w:sz w:val="24"/>
              </w:rPr>
            </w:r>
            <w:r/>
          </w:p>
          <w:p>
            <w:pPr>
              <w:pStyle w:val="889"/>
              <w:rPr>
                <w:rFonts w:hint="eastAsia" w:ascii="宋体" w:hAnsi="宋体" w:cs="Arial"/>
              </w:rPr>
            </w:pPr>
            <w:r>
              <w:rPr>
                <w:rFonts w:hint="eastAsia" w:ascii="宋体" w:hAnsi="宋体" w:cs="宋体"/>
                <w:sz w:val="24"/>
              </w:rPr>
              <w:t xml:space="preserve">不符合或不提供不得分。</w:t>
            </w:r>
            <w:r>
              <w:rPr>
                <w:rFonts w:hint="eastAsia" w:ascii="宋体" w:hAnsi="宋体" w:cs="Arial"/>
              </w:rPr>
            </w:r>
            <w:r/>
          </w:p>
        </w:tc>
        <w:tc>
          <w:tcPr>
            <w:tcW w:w="450"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t xml:space="preserve">5分</w:t>
            </w:r>
            <w:r>
              <w:rPr>
                <w:rFonts w:hint="eastAsia" w:ascii="宋体" w:hAnsi="宋体" w:cs="Arial"/>
                <w:szCs w:val="24"/>
              </w:rPr>
            </w:r>
            <w:r/>
          </w:p>
        </w:tc>
      </w:tr>
      <w:tr>
        <w:trPr>
          <w:trHeight w:val="90"/>
        </w:trPr>
        <w:tc>
          <w:tcPr>
            <w:tcW w:w="362" w:type="dxa"/>
            <w:vAlign w:val="center"/>
            <w:textDirection w:val="lrTb"/>
            <w:noWrap w:val="false"/>
          </w:tcPr>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r>
            <w:r/>
          </w:p>
          <w:p>
            <w:pPr>
              <w:pStyle w:val="984"/>
              <w:ind w:firstLine="0"/>
              <w:jc w:val="center"/>
              <w:spacing w:before="0"/>
              <w:rPr>
                <w:rFonts w:hint="eastAsia" w:ascii="宋体" w:hAnsi="宋体" w:cs="Arial"/>
                <w:szCs w:val="24"/>
              </w:rPr>
            </w:pPr>
            <w:r>
              <w:rPr>
                <w:rFonts w:hint="eastAsia" w:ascii="宋体" w:hAnsi="宋体" w:cs="Arial"/>
                <w:szCs w:val="24"/>
              </w:rPr>
              <w:t xml:space="preserve">4</w:t>
            </w:r>
            <w:r>
              <w:rPr>
                <w:rFonts w:hint="eastAsia" w:ascii="宋体" w:hAnsi="宋体" w:cs="Arial"/>
                <w:szCs w:val="24"/>
              </w:rPr>
            </w:r>
            <w:r/>
          </w:p>
        </w:tc>
        <w:tc>
          <w:tcPr>
            <w:tcW w:w="572" w:type="dxa"/>
            <w:vAlign w:val="center"/>
            <w:textDirection w:val="lrTb"/>
            <w:noWrap w:val="false"/>
          </w:tcPr>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sz w:val="24"/>
              </w:rPr>
            </w:r>
            <w:r/>
          </w:p>
          <w:p>
            <w:pPr>
              <w:pStyle w:val="889"/>
              <w:rPr>
                <w:sz w:val="24"/>
              </w:rPr>
            </w:pPr>
            <w:r>
              <w:rPr>
                <w:rFonts w:hint="eastAsia"/>
                <w:sz w:val="24"/>
              </w:rPr>
              <w:t xml:space="preserve">功能演示</w:t>
            </w:r>
            <w:r>
              <w:rPr>
                <w:sz w:val="24"/>
              </w:rPr>
            </w:r>
            <w:r/>
          </w:p>
          <w:p>
            <w:pPr>
              <w:pStyle w:val="889"/>
            </w:pPr>
            <w:r>
              <w:rPr>
                <w:rFonts w:hint="eastAsia"/>
                <w:sz w:val="24"/>
              </w:rPr>
              <w:t xml:space="preserve">(9分）</w:t>
            </w:r>
            <w:r/>
          </w:p>
        </w:tc>
        <w:tc>
          <w:tcPr>
            <w:gridSpan w:val="2"/>
            <w:tcW w:w="6977" w:type="dxa"/>
            <w:vAlign w:val="center"/>
            <w:textDirection w:val="lrTb"/>
            <w:noWrap w:val="false"/>
          </w:tcPr>
          <w:p>
            <w:pPr>
              <w:pStyle w:val="889"/>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投标人对所投系统进行功能演示（须使用所投系统软件实际环境操作演示，如采用视频、PPT等其他方式演示此项不得分），根据投标人演示的整体效果进行评分，分为以下6项演示内容，每完整演示一项得1.5分，未演示或演示不完整不得分，本项最高得9分 (演示时间不超过10分钟）。</w:t>
            </w:r>
            <w:r>
              <w:rPr>
                <w:rFonts w:hint="eastAsia" w:ascii="宋体" w:hAnsi="宋体" w:cs="宋体"/>
                <w:sz w:val="24"/>
              </w:rPr>
            </w:r>
            <w:r/>
          </w:p>
          <w:p>
            <w:pPr>
              <w:pStyle w:val="982"/>
              <w:jc w:val="left"/>
              <w:widowControl/>
            </w:pPr>
            <w:r>
              <w:t xml:space="preserve">1、住院患者医保智能审核：针对未出院病人的智能提醒功能与已出院患者的住院病历结合医保审核规则进行智能全面评估和分析，以发现潜在的违规行为和风险点。包括但不限于病历书写缺陷（如诊断/操作漏填）、违规收费、过度医疗等。</w:t>
            </w:r>
            <w:r/>
          </w:p>
          <w:p>
            <w:pPr>
              <w:pStyle w:val="982"/>
              <w:jc w:val="left"/>
              <w:widowControl/>
            </w:pPr>
            <w:r>
              <w:t xml:space="preserve">2、自定义引擎：展示自定义引擎的配置过程，支持利用系统已实现的算子合理组合成不同的判断逻辑，实现不同模型的判断逻辑的自定义编排，同时支持算子调用模型资源库的数据去辅助判断；规则逻辑维护完成后，可对单条规则通过病历选择进行验证，并支持规则维护的日志记录查看。</w:t>
            </w:r>
            <w:r/>
          </w:p>
          <w:p>
            <w:pPr>
              <w:pStyle w:val="982"/>
              <w:jc w:val="left"/>
              <w:widowControl/>
            </w:pPr>
            <w:r>
              <w:rPr>
                <w:rFonts w:cs="宋体"/>
              </w:rPr>
              <w:t xml:space="preserve">3、自查自纠：能够进行一定的数据清洗，按照不同时间段提取自查自纠的数据与报告，提供自查自纠报告的模版。</w:t>
            </w:r>
            <w:r/>
          </w:p>
          <w:p>
            <w:pPr>
              <w:pStyle w:val="982"/>
              <w:jc w:val="left"/>
              <w:widowControl/>
            </w:pPr>
            <w:r>
              <w:t xml:space="preserve">4、住院疑似违规类型统计：按规则类型-科室-医生-规则维度，展示疑似违规数据，可进行报表下钻，方便用户快速查看和分析疑似违规数据。</w:t>
            </w:r>
            <w:r/>
          </w:p>
          <w:p>
            <w:pPr>
              <w:pStyle w:val="982"/>
              <w:jc w:val="left"/>
              <w:widowControl/>
            </w:pPr>
            <w:r>
              <w:t xml:space="preserve">5、移动端推送服务：主要违规内容向科主任、护士长、医疗团队组长、当事医护人员进行手机端数据推送。</w:t>
            </w:r>
            <w:r/>
          </w:p>
          <w:p>
            <w:pPr>
              <w:pStyle w:val="982"/>
              <w:jc w:val="left"/>
              <w:widowControl/>
            </w:pPr>
            <w:r>
              <w:t xml:space="preserve">6、飞检案例库管理：展示案例来源、通报日期、单位及其具体违规行为、金额，为智能审核提供参考依据，飞检案例数不少于3000个。</w:t>
            </w:r>
            <w:r/>
          </w:p>
          <w:p>
            <w:pPr>
              <w:pStyle w:val="982"/>
              <w:jc w:val="left"/>
              <w:widowControl/>
            </w:pPr>
            <w:r/>
            <w:r/>
          </w:p>
        </w:tc>
        <w:tc>
          <w:tcPr>
            <w:tcW w:w="450" w:type="dxa"/>
            <w:vAlign w:val="center"/>
            <w:textDirection w:val="lrTb"/>
            <w:noWrap w:val="false"/>
          </w:tcPr>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sz w:val="24"/>
              </w:rPr>
            </w:pPr>
            <w:r>
              <w:rPr>
                <w:rFonts w:hint="eastAsia" w:ascii="宋体" w:hAnsi="宋体" w:cs="Arial"/>
                <w:sz w:val="24"/>
              </w:rPr>
            </w:r>
            <w:r/>
          </w:p>
          <w:p>
            <w:pPr>
              <w:pStyle w:val="889"/>
              <w:jc w:val="center"/>
              <w:spacing w:line="440" w:lineRule="exact"/>
              <w:widowControl/>
              <w:rPr>
                <w:rFonts w:hint="eastAsia" w:ascii="宋体" w:hAnsi="宋体" w:cs="Arial"/>
              </w:rPr>
            </w:pPr>
            <w:r>
              <w:rPr>
                <w:rFonts w:hint="eastAsia" w:ascii="宋体" w:hAnsi="宋体" w:cs="Arial"/>
                <w:sz w:val="24"/>
              </w:rPr>
              <w:t xml:space="preserve">9分</w:t>
            </w:r>
            <w:r>
              <w:rPr>
                <w:rFonts w:hint="eastAsia" w:ascii="宋体" w:hAnsi="宋体" w:cs="Arial"/>
              </w:rPr>
            </w:r>
            <w:r/>
          </w:p>
        </w:tc>
      </w:tr>
    </w:tbl>
    <w:p>
      <w:pPr>
        <w:pStyle w:val="976"/>
        <w:ind w:firstLine="1548"/>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jc w:val="both"/>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cs="宋体"/>
          <w:sz w:val="24"/>
        </w:rPr>
        <w:t xml:space="preserve">*</w:t>
      </w:r>
      <w:r>
        <w:rPr>
          <w:rFonts w:hint="eastAsia" w:ascii="宋体" w:hAnsi="宋体"/>
          <w:b/>
          <w:bCs/>
          <w:sz w:val="24"/>
        </w:rPr>
        <w:t xml:space="preserve">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sz w:val="24"/>
          <w:szCs w:val="24"/>
        </w:rPr>
      </w:pPr>
      <w:r>
        <w:rPr>
          <w:rFonts w:ascii="宋体" w:hAnsi="宋体"/>
          <w:b/>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889"/>
              <w:spacing w:line="0" w:lineRule="atLeast"/>
              <w:rPr>
                <w:rFonts w:hint="eastAsia" w:ascii="宋体" w:hAnsi="宋体"/>
                <w:sz w:val="24"/>
                <w:szCs w:val="24"/>
              </w:rPr>
            </w:pPr>
            <w:r>
              <w:rPr>
                <w:rFonts w:hint="eastAsia" w:ascii="宋体" w:hAnsi="宋体"/>
                <w:sz w:val="24"/>
                <w:szCs w:val="24"/>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sz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1.投标人需对招标文件商务要求中非实质性要求（</w:t>
      </w:r>
      <w:r>
        <w:rPr>
          <w:rFonts w:hint="eastAsia" w:ascii="方正魏碑_GBK" w:hAnsi="方正魏碑_GBK" w:eastAsia="方正魏碑_GBK" w:cs="方正魏碑_GBK"/>
          <w:b/>
          <w:sz w:val="24"/>
          <w:szCs w:val="24"/>
        </w:rPr>
        <w:t xml:space="preserve">未加</w:t>
      </w:r>
      <w:r>
        <w:rPr>
          <w:rFonts w:hint="eastAsia" w:ascii="方正魏碑_GBK" w:hAnsi="方正魏碑_GBK" w:eastAsia="方正魏碑_GBK" w:cs="方正魏碑_GBK"/>
          <w:b/>
          <w:i/>
          <w:sz w:val="24"/>
          <w:szCs w:val="24"/>
          <w:u w:val="single"/>
        </w:rPr>
        <w:t xml:space="preserve">斜体下划线</w:t>
      </w:r>
      <w:r>
        <w:rPr>
          <w:rFonts w:hint="eastAsia" w:ascii="方正魏碑_GBK" w:hAnsi="方正魏碑_GBK" w:eastAsia="方正魏碑_GBK" w:cs="方正魏碑_GBK"/>
          <w:b/>
          <w:iCs/>
          <w:sz w:val="24"/>
          <w:szCs w:val="24"/>
        </w:rPr>
        <w:t xml:space="preserve">部分</w:t>
      </w:r>
      <w:r>
        <w:rPr>
          <w:rFonts w:hint="eastAsia" w:ascii="方正魏碑_GBK" w:hAnsi="方正魏碑_GBK" w:eastAsia="方正魏碑_GBK" w:cs="方正魏碑_GBK"/>
          <w:b/>
          <w:sz w:val="24"/>
          <w:szCs w:val="24"/>
        </w:rPr>
        <w:t xml:space="preserve">或未加*号条款</w:t>
      </w:r>
      <w:r>
        <w:rPr>
          <w:rFonts w:hint="eastAsia" w:ascii="方正魏碑_GBK" w:hAnsi="方正魏碑_GBK" w:eastAsia="方正魏碑_GBK" w:cs="方正魏碑_GBK"/>
          <w:sz w:val="24"/>
          <w:szCs w:val="24"/>
        </w:rPr>
        <w:t xml:space="preserve">）逐条做出明确响应。</w:t>
      </w:r>
      <w:r>
        <w:rPr>
          <w:rFonts w:hint="eastAsia" w:ascii="方正魏碑_GBK" w:hAnsi="方正魏碑_GBK" w:eastAsia="方正魏碑_GBK" w:cs="方正魏碑_GBK"/>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rPr>
          <w:rFonts w:hint="eastAsia" w:ascii="宋体" w:hAnsi="宋体"/>
          <w:b/>
          <w:sz w:val="24"/>
        </w:rPr>
      </w:r>
      <w:r/>
    </w:p>
    <w:p>
      <w:pPr>
        <w:pStyle w:val="889"/>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889"/>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89"/>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889"/>
        <w:ind w:left="480"/>
        <w:rPr>
          <w:rFonts w:ascii="宋体" w:hAnsi="宋体"/>
          <w:b/>
          <w:sz w:val="24"/>
        </w:rPr>
      </w:pPr>
      <w:r>
        <w:rPr>
          <w:rFonts w:ascii="宋体" w:hAnsi="宋体"/>
          <w:b/>
          <w:sz w:val="24"/>
        </w:rPr>
      </w:r>
      <w:r/>
    </w:p>
    <w:p>
      <w:pPr>
        <w:pStyle w:val="889"/>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rPr>
          <w:rFonts w:hint="eastAsia" w:ascii="宋体" w:hAnsi="宋体"/>
          <w:b/>
          <w:sz w:val="24"/>
        </w:rPr>
      </w:r>
      <w:r/>
    </w:p>
    <w:p>
      <w:pPr>
        <w:pStyle w:val="889"/>
        <w:jc w:val="center"/>
        <w:spacing w:line="460" w:lineRule="exact"/>
        <w:rPr>
          <w:rFonts w:ascii="宋体" w:hAnsi="宋体"/>
          <w:b/>
          <w:bCs/>
          <w:sz w:val="24"/>
        </w:rPr>
      </w:pPr>
      <w:r>
        <w:rPr>
          <w:rFonts w:ascii="宋体" w:hAnsi="宋体"/>
          <w:b/>
          <w:bCs/>
          <w:sz w:val="24"/>
        </w:rPr>
      </w:r>
      <w:r/>
    </w:p>
    <w:p>
      <w:pPr>
        <w:pStyle w:val="889"/>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89"/>
        <w:ind w:left="480"/>
        <w:rPr>
          <w:rFonts w:ascii="宋体" w:hAnsi="宋体"/>
          <w:b/>
          <w:sz w:val="24"/>
        </w:rPr>
      </w:pPr>
      <w:r>
        <w:rPr>
          <w:rFonts w:ascii="宋体" w:hAnsi="宋体"/>
          <w:b/>
          <w:sz w:val="24"/>
        </w:rPr>
      </w:r>
      <w:r/>
    </w:p>
    <w:p>
      <w:pPr>
        <w:pStyle w:val="889"/>
        <w:ind w:firstLine="480"/>
        <w:spacing w:line="460" w:lineRule="exact"/>
        <w:rPr>
          <w:rFonts w:ascii="宋体" w:hAnsi="宋体"/>
          <w:b/>
          <w:sz w:val="24"/>
        </w:rPr>
      </w:pPr>
      <w:r>
        <w:rPr>
          <w:rFonts w:ascii="宋体" w:hAnsi="宋体"/>
          <w:b/>
          <w:sz w:val="24"/>
        </w:rPr>
      </w:r>
      <w:r/>
    </w:p>
    <w:p>
      <w:pPr>
        <w:pStyle w:val="889"/>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89"/>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89"/>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89"/>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89"/>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sz w:val="24"/>
          <w:szCs w:val="24"/>
        </w:rPr>
      </w:pPr>
      <w:r>
        <w:rPr>
          <w:rFonts w:ascii="楷体" w:hAnsi="楷体" w:eastAsia="楷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备注 我公司（单位）委托进行现场演示的人员为（本项目如果无现场演示要求，请项目经办人自行删除备注）</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（人员姓名），身份证号</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bCs/>
          <w:sz w:val="24"/>
        </w:rPr>
        <w:t xml:space="preserve">……</w:t>
      </w:r>
      <w:r>
        <w:rPr>
          <w:rFonts w:hint="eastAsia" w:ascii="宋体" w:hAnsi="宋体"/>
          <w:sz w:val="24"/>
          <w:szCs w:val="24"/>
        </w:rPr>
      </w:r>
      <w:r/>
    </w:p>
    <w:p>
      <w:pPr>
        <w:pStyle w:val="889"/>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89"/>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7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9"/>
        <w:ind w:firstLine="240"/>
        <w:jc w:val="center"/>
        <w:spacing w:line="560" w:lineRule="exact"/>
        <w:rPr>
          <w:rFonts w:hint="eastAsia" w:ascii="宋体" w:hAnsi="宋体"/>
          <w:bCs/>
          <w:sz w:val="24"/>
        </w:rPr>
      </w:pPr>
      <w:r>
        <w:rPr>
          <w:rFonts w:hint="eastAsia" w:ascii="宋体" w:hAnsi="宋体"/>
          <w:bCs/>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89"/>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89"/>
        <w:ind w:firstLine="24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9"/>
        <w:ind w:firstLine="645"/>
        <w:spacing w:line="0" w:lineRule="atLeast"/>
        <w:rPr>
          <w:rFonts w:ascii="宋体" w:hAnsi="宋体"/>
          <w:sz w:val="24"/>
        </w:rPr>
      </w:pPr>
      <w:r>
        <w:rPr>
          <w:rFonts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7"/>
      <w:r/>
      <w:bookmarkEnd w:id="188"/>
      <w:r/>
      <w:bookmarkEnd w:id="199"/>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imSun">
    <w:panose1 w:val="02010600030101010101"/>
  </w:font>
  <w:font w:name="方正魏碑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34</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05"/>
      <w:isLgl w:val="false"/>
      <w:suff w:val="space"/>
      <w:lvlText w:val="%1、"/>
      <w:lvlJc w:val="left"/>
      <w:pPr>
        <w:pStyle w:val="889"/>
        <w:ind w:left="425" w:hanging="425"/>
      </w:pPr>
      <w:rPr>
        <w:rFonts w:hint="eastAsia" w:eastAsia="宋体"/>
        <w:b/>
        <w:i w:val="0"/>
        <w:sz w:val="24"/>
        <w:szCs w:val="24"/>
      </w:rPr>
    </w:lvl>
    <w:lvl w:ilvl="1">
      <w:start w:val="1"/>
      <w:numFmt w:val="decimal"/>
      <w:isLgl w:val="false"/>
      <w:suff w:val="tab"/>
      <w:lvlText w:val="%2."/>
      <w:lvlJc w:val="left"/>
      <w:pPr>
        <w:pStyle w:val="889"/>
        <w:ind w:left="845" w:hanging="420"/>
      </w:pPr>
    </w:lvl>
    <w:lvl w:ilvl="2">
      <w:start w:val="1"/>
      <w:numFmt w:val="decimal"/>
      <w:isLgl w:val="false"/>
      <w:suff w:val="space"/>
      <w:lvlText w:val="%1.%2.%3、"/>
      <w:lvlJc w:val="left"/>
      <w:pPr>
        <w:pStyle w:val="889"/>
        <w:ind w:left="1418" w:hanging="567"/>
      </w:pPr>
      <w:rPr>
        <w:rFonts w:hint="eastAsia" w:ascii="宋体" w:hAnsi="宋体" w:eastAsia="宋体"/>
        <w:b/>
        <w:i w:val="0"/>
        <w:sz w:val="32"/>
      </w:rPr>
    </w:lvl>
    <w:lvl w:ilvl="3">
      <w:start w:val="1"/>
      <w:numFmt w:val="decimal"/>
      <w:isLgl w:val="false"/>
      <w:suff w:val="space"/>
      <w:lvlText w:val="%1.%2.%3.%4、"/>
      <w:lvlJc w:val="left"/>
      <w:pPr>
        <w:pStyle w:val="889"/>
        <w:ind w:left="1984" w:hanging="708"/>
      </w:pPr>
      <w:rPr>
        <w:rFonts w:hint="eastAsia" w:ascii="宋体" w:hAnsi="宋体" w:eastAsia="宋体"/>
        <w:b/>
        <w:i w:val="0"/>
        <w:sz w:val="30"/>
      </w:rPr>
    </w:lvl>
    <w:lvl w:ilvl="4">
      <w:start w:val="1"/>
      <w:numFmt w:val="decimal"/>
      <w:isLgl w:val="false"/>
      <w:suff w:val="tab"/>
      <w:lvlText w:val="%1.%2.%3.%4.%5."/>
      <w:lvlJc w:val="left"/>
      <w:pPr>
        <w:pStyle w:val="889"/>
        <w:ind w:left="2551" w:hanging="850"/>
      </w:pPr>
      <w:rPr>
        <w:rFonts w:hint="eastAsia" w:eastAsia="宋体"/>
        <w:b/>
        <w:i w:val="0"/>
        <w:sz w:val="28"/>
      </w:rPr>
    </w:lvl>
    <w:lvl w:ilvl="5">
      <w:start w:val="1"/>
      <w:numFmt w:val="decimal"/>
      <w:isLgl w:val="false"/>
      <w:suff w:val="tab"/>
      <w:lvlText w:val="%1.%2.%3.%4.%5.%6"/>
      <w:lvlJc w:val="left"/>
      <w:pPr>
        <w:pStyle w:val="889"/>
        <w:ind w:left="3260" w:hanging="1134"/>
      </w:pPr>
      <w:rPr>
        <w:rFonts w:hint="eastAsia"/>
      </w:rPr>
    </w:lvl>
    <w:lvl w:ilvl="6">
      <w:start w:val="1"/>
      <w:numFmt w:val="decimal"/>
      <w:isLgl w:val="false"/>
      <w:suff w:val="tab"/>
      <w:lvlText w:val="%1.%2.%3.%4.%5.%6.%7"/>
      <w:lvlJc w:val="left"/>
      <w:pPr>
        <w:pStyle w:val="889"/>
        <w:ind w:left="3827" w:hanging="1276"/>
      </w:pPr>
      <w:rPr>
        <w:rFonts w:hint="eastAsia"/>
      </w:rPr>
    </w:lvl>
    <w:lvl w:ilvl="7">
      <w:start w:val="1"/>
      <w:numFmt w:val="decimal"/>
      <w:isLgl w:val="false"/>
      <w:suff w:val="tab"/>
      <w:lvlText w:val="%1.%2.%3.%4.%5.%6.%7.%8"/>
      <w:lvlJc w:val="left"/>
      <w:pPr>
        <w:pStyle w:val="889"/>
        <w:ind w:left="4394" w:hanging="1418"/>
      </w:pPr>
      <w:rPr>
        <w:rFonts w:hint="eastAsia"/>
      </w:rPr>
    </w:lvl>
    <w:lvl w:ilvl="8">
      <w:start w:val="1"/>
      <w:numFmt w:val="decimal"/>
      <w:isLgl w:val="false"/>
      <w:suff w:val="tab"/>
      <w:lvlText w:val="%1.%2.%3.%4.%5.%6.%7.%8.%9"/>
      <w:lvlJc w:val="left"/>
      <w:pPr>
        <w:pStyle w:val="889"/>
        <w:ind w:left="5102" w:hanging="1700"/>
      </w:pPr>
      <w:rPr>
        <w:rFonts w:hint="eastAsia"/>
      </w:rPr>
    </w:lvl>
  </w:abstractNum>
  <w:abstractNum w:abstractNumId="2">
    <w:multiLevelType w:val="hybridMultilevel"/>
    <w:lvl w:ilvl="0">
      <w:start w:val="1"/>
      <w:numFmt w:val="decimal"/>
      <w:pStyle w:val="989"/>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字符"/>
    <w:next w:val="901"/>
    <w:link w:val="890"/>
    <w:rPr>
      <w:rFonts w:ascii="楷体_GB2312" w:hAnsi="Times New Roman" w:eastAsia="楷体_GB2312" w:cs="Times New Roman"/>
      <w:sz w:val="28"/>
      <w:szCs w:val="28"/>
    </w:rPr>
  </w:style>
  <w:style w:type="character" w:styleId="902">
    <w:name w:val="标题 2 字符"/>
    <w:next w:val="902"/>
    <w:link w:val="891"/>
    <w:rPr>
      <w:rFonts w:ascii="Arial" w:hAnsi="Arial" w:eastAsia="幼圆" w:cs="Arial"/>
      <w:b/>
      <w:bCs/>
      <w:sz w:val="44"/>
      <w:szCs w:val="44"/>
    </w:rPr>
  </w:style>
  <w:style w:type="paragraph" w:styleId="903">
    <w:name w:val="正文缩进"/>
    <w:basedOn w:val="889"/>
    <w:next w:val="903"/>
    <w:link w:val="904"/>
    <w:pPr>
      <w:ind w:firstLine="420"/>
    </w:pPr>
    <w:rPr>
      <w:sz w:val="20"/>
    </w:rPr>
  </w:style>
  <w:style w:type="character" w:styleId="904">
    <w:name w:val="正文缩进 字符"/>
    <w:next w:val="904"/>
    <w:link w:val="903"/>
    <w:rPr>
      <w:rFonts w:ascii="Times New Roman" w:hAnsi="Times New Roman" w:eastAsia="宋体" w:cs="Times New Roman"/>
      <w:szCs w:val="21"/>
    </w:rPr>
  </w:style>
  <w:style w:type="character" w:styleId="905">
    <w:name w:val="标题 3 字符"/>
    <w:next w:val="905"/>
    <w:link w:val="892"/>
    <w:rPr>
      <w:rFonts w:ascii="Times New Roman" w:hAnsi="Times New Roman" w:eastAsia="宋体" w:cs="Times New Roman"/>
      <w:b/>
      <w:bCs/>
      <w:sz w:val="32"/>
      <w:szCs w:val="32"/>
    </w:rPr>
  </w:style>
  <w:style w:type="character" w:styleId="906">
    <w:name w:val="标题 4 字符"/>
    <w:next w:val="906"/>
    <w:link w:val="893"/>
    <w:rPr>
      <w:rFonts w:ascii="Arial" w:hAnsi="Arial" w:eastAsia="黑体" w:cs="Arial"/>
      <w:b/>
      <w:bCs/>
      <w:sz w:val="28"/>
      <w:szCs w:val="28"/>
    </w:rPr>
  </w:style>
  <w:style w:type="character" w:styleId="907">
    <w:name w:val="标题 5 字符"/>
    <w:next w:val="907"/>
    <w:link w:val="894"/>
    <w:rPr>
      <w:rFonts w:ascii="宋体" w:hAnsi="Times New Roman" w:eastAsia="宋体" w:cs="Times New Roman"/>
      <w:color w:val="000000"/>
      <w:sz w:val="28"/>
      <w:szCs w:val="28"/>
    </w:rPr>
  </w:style>
  <w:style w:type="character" w:styleId="908">
    <w:name w:val="标题 6 字符"/>
    <w:next w:val="908"/>
    <w:link w:val="895"/>
    <w:rPr>
      <w:rFonts w:ascii="Arial" w:hAnsi="Arial" w:eastAsia="黑体" w:cs="Times New Roman"/>
      <w:b/>
      <w:bCs/>
      <w:sz w:val="24"/>
      <w:szCs w:val="24"/>
    </w:rPr>
  </w:style>
  <w:style w:type="character" w:styleId="909">
    <w:name w:val="标题 7 字符"/>
    <w:next w:val="909"/>
    <w:link w:val="896"/>
    <w:rPr>
      <w:rFonts w:ascii="Times New Roman" w:hAnsi="Times New Roman" w:eastAsia="宋体" w:cs="Times New Roman"/>
      <w:b/>
      <w:bCs/>
      <w:sz w:val="24"/>
      <w:szCs w:val="24"/>
    </w:rPr>
  </w:style>
  <w:style w:type="character" w:styleId="910">
    <w:name w:val="标题 8 字符"/>
    <w:next w:val="910"/>
    <w:link w:val="897"/>
    <w:rPr>
      <w:rFonts w:ascii="Arial" w:hAnsi="Arial" w:eastAsia="黑体" w:cs="Times New Roman"/>
      <w:sz w:val="24"/>
      <w:szCs w:val="24"/>
    </w:rPr>
  </w:style>
  <w:style w:type="character" w:styleId="911">
    <w:name w:val="标题 9 字符"/>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rPr>
      <w:sz w:val="20"/>
    </w:r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rPr>
      <w:sz w:val="20"/>
    </w:rPr>
  </w:style>
  <w:style w:type="character" w:styleId="917">
    <w:name w:val="批注文字 字符"/>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字符"/>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rPr>
      <w:rFonts w:ascii="宋体" w:hAnsi="Courier New"/>
      <w:sz w:val="20"/>
    </w:rPr>
  </w:style>
  <w:style w:type="character" w:styleId="928">
    <w:name w:val="纯文本 字符"/>
    <w:next w:val="928"/>
    <w:link w:val="927"/>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字符"/>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sz w:val="32"/>
      <w:szCs w:val="32"/>
    </w:rPr>
  </w:style>
  <w:style w:type="character" w:styleId="933">
    <w:name w:val="正文文本缩进 2 字符"/>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字符"/>
    <w:next w:val="935"/>
    <w:link w:val="934"/>
    <w:semiHidden/>
    <w:rPr>
      <w:rFonts w:ascii="Times New Roman" w:hAnsi="Times New Roman" w:eastAsia="宋体" w:cs="Times New Roman"/>
      <w:sz w:val="18"/>
      <w:szCs w:val="18"/>
    </w:rPr>
  </w:style>
  <w:style w:type="paragraph" w:styleId="936">
    <w:name w:val="页脚"/>
    <w:basedOn w:val="889"/>
    <w:next w:val="936"/>
    <w:link w:val="937"/>
    <w:uiPriority w:val="99"/>
    <w:pPr>
      <w:jc w:val="left"/>
      <w:tabs>
        <w:tab w:val="center" w:pos="4153" w:leader="none"/>
        <w:tab w:val="right" w:pos="8306" w:leader="none"/>
      </w:tabs>
    </w:pPr>
    <w:rPr>
      <w:sz w:val="18"/>
      <w:szCs w:val="18"/>
    </w:rPr>
  </w:style>
  <w:style w:type="character" w:styleId="937">
    <w:name w:val="页脚 字符"/>
    <w:next w:val="937"/>
    <w:link w:val="936"/>
    <w:uiPriority w:val="99"/>
    <w:rPr>
      <w:rFonts w:ascii="Times New Roman" w:hAnsi="Times New Roman" w:eastAsia="宋体" w:cs="Times New Roman"/>
      <w:sz w:val="18"/>
      <w:szCs w:val="18"/>
    </w:rPr>
  </w:style>
  <w:style w:type="paragraph" w:styleId="938">
    <w:name w:val="页眉"/>
    <w:basedOn w:val="889"/>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字符"/>
    <w:next w:val="939"/>
    <w:link w:val="938"/>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olor w:val="ffff00"/>
      <w:sz w:val="32"/>
      <w:szCs w:val="32"/>
    </w:rPr>
  </w:style>
  <w:style w:type="character" w:styleId="945">
    <w:name w:val="正文文本缩进 3 字符"/>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pPr>
      <w:jc w:val="center"/>
      <w:widowControl/>
    </w:pPr>
    <w:rPr>
      <w:rFonts w:ascii="楷体_GB2312" w:eastAsia="楷体_GB2312"/>
      <w:sz w:val="28"/>
      <w:szCs w:val="28"/>
    </w:rPr>
  </w:style>
  <w:style w:type="character" w:styleId="950">
    <w:name w:val="正文文本 2 字符"/>
    <w:next w:val="950"/>
    <w:link w:val="949"/>
    <w:rPr>
      <w:rFonts w:ascii="楷体_GB2312" w:hAnsi="Times New Roman" w:eastAsia="楷体_GB2312" w:cs="Times New Roman"/>
      <w:sz w:val="28"/>
      <w:szCs w:val="28"/>
    </w:rPr>
  </w:style>
  <w:style w:type="paragraph" w:styleId="951">
    <w:name w:val="普通(网站)"/>
    <w:basedOn w:val="889"/>
    <w:next w:val="951"/>
    <w:link w:val="889"/>
    <w:uiPriority w:val="99"/>
    <w:pPr>
      <w:jc w:val="left"/>
      <w:spacing w:before="100" w:beforeAutospacing="1" w:after="100" w:afterAutospacing="1"/>
      <w:widowControl/>
    </w:pPr>
    <w:rPr>
      <w:rFonts w:ascii="宋体" w:hAnsi="宋体" w:cs="宋体"/>
      <w:sz w:val="24"/>
      <w:szCs w:val="24"/>
    </w:rPr>
  </w:style>
  <w:style w:type="paragraph" w:styleId="952">
    <w:name w:val="索引 1"/>
    <w:basedOn w:val="889"/>
    <w:next w:val="889"/>
    <w:link w:val="889"/>
    <w:semiHidden/>
    <w:pPr>
      <w:spacing w:line="240" w:lineRule="atLeast"/>
    </w:pPr>
    <w:rPr>
      <w:b/>
      <w:bCs/>
    </w:rPr>
  </w:style>
  <w:style w:type="paragraph" w:styleId="953">
    <w:name w:val="批注主题"/>
    <w:basedOn w:val="916"/>
    <w:next w:val="916"/>
    <w:link w:val="954"/>
    <w:semiHidden/>
    <w:rPr>
      <w:b/>
      <w:bCs/>
      <w:sz w:val="20"/>
    </w:rPr>
  </w:style>
  <w:style w:type="character" w:styleId="954">
    <w:name w:val="批注主题 字符"/>
    <w:next w:val="954"/>
    <w:link w:val="953"/>
    <w:semiHidden/>
    <w:rPr>
      <w:rFonts w:ascii="Times New Roman" w:hAnsi="Times New Roman" w:eastAsia="宋体" w:cs="Times New Roman"/>
      <w:b/>
      <w:bCs/>
      <w:szCs w:val="21"/>
    </w:rPr>
  </w:style>
  <w:style w:type="paragraph" w:styleId="955">
    <w:name w:val="正文首行缩进"/>
    <w:basedOn w:val="889"/>
    <w:next w:val="955"/>
    <w:link w:val="956"/>
    <w:pPr>
      <w:ind w:firstLine="200"/>
      <w:spacing w:line="360" w:lineRule="auto"/>
    </w:pPr>
    <w:rPr>
      <w:rFonts w:ascii="仿宋_GB2312" w:eastAsia="仿宋_GB2312"/>
      <w:sz w:val="30"/>
      <w:szCs w:val="30"/>
    </w:rPr>
  </w:style>
  <w:style w:type="character" w:styleId="956">
    <w:name w:val="正文文本首行缩进 字符"/>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firstLine="420"/>
      <w:spacing w:line="360" w:lineRule="auto"/>
    </w:pPr>
    <w:rPr>
      <w:rFonts w:ascii="宋体" w:hAnsi="宋体" w:eastAsia="宋体"/>
      <w:szCs w:val="20"/>
    </w:rPr>
  </w:style>
  <w:style w:type="character" w:styleId="958">
    <w:name w:val="正文文本首行缩进 2 字符"/>
    <w:next w:val="958"/>
    <w:link w:val="957"/>
    <w:rPr>
      <w:rFonts w:ascii="宋体" w:hAnsi="宋体" w:eastAsia="宋体" w:cs="Times New Roman"/>
      <w:sz w:val="32"/>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超链接"/>
    <w:next w:val="963"/>
    <w:link w:val="889"/>
    <w:rPr>
      <w:color w:val="0000ff"/>
      <w:u w:val="single"/>
    </w:rPr>
  </w:style>
  <w:style w:type="character" w:styleId="964">
    <w:name w:val="批注引用"/>
    <w:next w:val="964"/>
    <w:link w:val="889"/>
    <w:semiHidden/>
    <w:rPr>
      <w:sz w:val="21"/>
      <w:szCs w:val="21"/>
    </w:rPr>
  </w:style>
  <w:style w:type="character" w:styleId="965">
    <w:name w:val="列表段落 字符"/>
    <w:next w:val="965"/>
    <w:link w:val="966"/>
    <w:uiPriority w:val="34"/>
    <w:qFormat/>
    <w:rPr>
      <w:sz w:val="24"/>
      <w:szCs w:val="24"/>
      <w:lang w:eastAsia="en-US" w:bidi="en-US"/>
    </w:rPr>
  </w:style>
  <w:style w:type="paragraph" w:styleId="966">
    <w:name w:val="列表段落"/>
    <w:basedOn w:val="889"/>
    <w:next w:val="966"/>
    <w:link w:val="965"/>
    <w:uiPriority w:val="34"/>
    <w:qFormat/>
    <w:pPr>
      <w:contextualSpacing/>
      <w:ind w:left="720"/>
      <w:jc w:val="left"/>
      <w:widowControl/>
    </w:pPr>
    <w:rPr>
      <w:rFonts w:ascii="Calibri" w:hAnsi="Calibri"/>
      <w:sz w:val="24"/>
      <w:szCs w:val="24"/>
      <w:lang w:eastAsia="en-US" w:bidi="en-US"/>
    </w:rPr>
  </w:style>
  <w:style w:type="character" w:styleId="967">
    <w:name w:val="二级目录 Char"/>
    <w:next w:val="967"/>
    <w:link w:val="968"/>
    <w:rPr>
      <w:b/>
      <w:sz w:val="30"/>
      <w:szCs w:val="28"/>
      <w:lang w:val="en-US" w:eastAsia="zh-CN" w:bidi="ar-SA"/>
    </w:rPr>
  </w:style>
  <w:style w:type="paragraph" w:styleId="968">
    <w:name w:val="二级目录"/>
    <w:next w:val="88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9"/>
    <w:next w:val="970"/>
    <w:link w:val="969"/>
    <w:qFormat/>
    <w:pPr>
      <w:contextualSpacing/>
      <w:ind w:left="720"/>
      <w:jc w:val="left"/>
      <w:widowControl/>
    </w:pPr>
    <w:rPr>
      <w:rFonts w:ascii="Calibri" w:hAnsi="Calibri"/>
      <w:sz w:val="24"/>
      <w:szCs w:val="24"/>
      <w:lang w:eastAsia="en-US" w:bidi="en-US"/>
    </w:rPr>
  </w:style>
  <w:style w:type="character" w:styleId="971">
    <w:name w:val="font5 Char"/>
    <w:next w:val="971"/>
    <w:link w:val="889"/>
    <w:rPr>
      <w:rFonts w:ascii="宋体" w:hAnsi="宋体" w:eastAsia="宋体"/>
      <w:sz w:val="28"/>
      <w:szCs w:val="28"/>
      <w:lang w:val="en-US" w:eastAsia="zh-CN" w:bidi="ar-SA"/>
    </w:rPr>
  </w:style>
  <w:style w:type="character" w:styleId="972">
    <w:name w:val="NormalCharacter1"/>
    <w:next w:val="972"/>
    <w:link w:val="889"/>
    <w:qFormat/>
  </w:style>
  <w:style w:type="paragraph" w:styleId="973">
    <w:name w:val=" Char Char Char Char"/>
    <w:basedOn w:val="914"/>
    <w:next w:val="973"/>
    <w:link w:val="889"/>
    <w:pPr>
      <w:spacing w:line="360" w:lineRule="auto"/>
    </w:pPr>
    <w:rPr>
      <w:rFonts w:ascii="Tahoma" w:hAnsi="Tahoma"/>
      <w:sz w:val="24"/>
      <w:szCs w:val="24"/>
    </w:rPr>
  </w:style>
  <w:style w:type="paragraph" w:styleId="974">
    <w:name w:val="修订"/>
    <w:next w:val="974"/>
    <w:link w:val="889"/>
    <w:uiPriority w:val="99"/>
    <w:semiHidden/>
    <w:rPr>
      <w:rFonts w:ascii="Times New Roman" w:hAnsi="Times New Roman"/>
      <w:sz w:val="21"/>
      <w:szCs w:val="21"/>
      <w:lang w:val="en-US" w:eastAsia="zh-CN" w:bidi="ar-SA"/>
    </w:rPr>
  </w:style>
  <w:style w:type="paragraph" w:styleId="975">
    <w:name w:val="table_lines"/>
    <w:basedOn w:val="889"/>
    <w:next w:val="975"/>
    <w:link w:val="889"/>
    <w:pPr>
      <w:jc w:val="left"/>
      <w:widowControl/>
    </w:pPr>
    <w:rPr>
      <w:sz w:val="20"/>
      <w:szCs w:val="20"/>
      <w:lang w:val="de-DE" w:eastAsia="de-DE"/>
    </w:rPr>
  </w:style>
  <w:style w:type="paragraph" w:styleId="976">
    <w:name w:val="普通正文"/>
    <w:basedOn w:val="889"/>
    <w:next w:val="976"/>
    <w:link w:val="889"/>
    <w:pPr>
      <w:ind w:firstLine="480"/>
      <w:jc w:val="left"/>
      <w:spacing w:before="120" w:after="120" w:line="360" w:lineRule="auto"/>
    </w:pPr>
    <w:rPr>
      <w:rFonts w:ascii="Arial" w:hAnsi="Arial"/>
      <w:sz w:val="24"/>
      <w:szCs w:val="24"/>
    </w:rPr>
  </w:style>
  <w:style w:type="paragraph" w:styleId="977">
    <w:name w:val="Body Text(ch)"/>
    <w:basedOn w:val="889"/>
    <w:next w:val="920"/>
    <w:link w:val="889"/>
    <w:pPr>
      <w:spacing w:after="120"/>
    </w:pPr>
    <w:rPr>
      <w:rFonts w:ascii="宋体" w:hAnsi="Arial"/>
      <w:bCs/>
      <w:iCs/>
      <w:szCs w:val="24"/>
    </w:rPr>
  </w:style>
  <w:style w:type="paragraph" w:styleId="978">
    <w:name w:val="Char"/>
    <w:basedOn w:val="889"/>
    <w:next w:val="978"/>
    <w:link w:val="889"/>
    <w:pPr>
      <w:ind w:firstLine="200"/>
      <w:tabs>
        <w:tab w:val="left" w:pos="360" w:leader="none"/>
      </w:tabs>
    </w:pPr>
    <w:rPr>
      <w:sz w:val="28"/>
      <w:szCs w:val="30"/>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 Char"/>
    <w:basedOn w:val="914"/>
    <w:next w:val="980"/>
    <w:link w:val="889"/>
    <w:rPr>
      <w:rFonts w:ascii="Tahoma" w:hAnsi="Tahoma"/>
      <w:sz w:val="24"/>
      <w:szCs w:val="24"/>
    </w:rPr>
  </w:style>
  <w:style w:type="paragraph" w:styleId="981">
    <w:name w:val="xl26"/>
    <w:basedOn w:val="889"/>
    <w:next w:val="98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name w:val="ZJ表格"/>
    <w:basedOn w:val="889"/>
    <w:next w:val="982"/>
    <w:link w:val="889"/>
    <w:qFormat/>
    <w:pPr>
      <w:jc w:val="center"/>
      <w:spacing w:line="264" w:lineRule="auto"/>
    </w:pPr>
    <w:rPr>
      <w:rFonts w:hint="eastAsia" w:ascii="宋体" w:hAnsi="宋体"/>
      <w:sz w:val="24"/>
      <w:szCs w:val="24"/>
    </w:rPr>
  </w:style>
  <w:style w:type="paragraph" w:styleId="983">
    <w:name w:val="4"/>
    <w:basedOn w:val="889"/>
    <w:next w:val="944"/>
    <w:link w:val="889"/>
    <w:pPr>
      <w:ind w:firstLine="420"/>
      <w:spacing w:line="360" w:lineRule="auto"/>
    </w:pPr>
    <w:rPr>
      <w:color w:val="ff0000"/>
      <w:sz w:val="24"/>
      <w:szCs w:val="24"/>
    </w:rPr>
  </w:style>
  <w:style w:type="paragraph" w:styleId="984">
    <w:name w:val="正文2"/>
    <w:basedOn w:val="889"/>
    <w:next w:val="984"/>
    <w:link w:val="889"/>
    <w:qFormat/>
    <w:pPr>
      <w:ind w:firstLine="510"/>
      <w:spacing w:before="156" w:line="360" w:lineRule="auto"/>
    </w:pPr>
    <w:rPr>
      <w:sz w:val="24"/>
      <w:szCs w:val="20"/>
    </w:rPr>
  </w:style>
  <w:style w:type="paragraph" w:styleId="985">
    <w:name w:val="font7"/>
    <w:basedOn w:val="889"/>
    <w:next w:val="985"/>
    <w:link w:val="889"/>
    <w:pPr>
      <w:jc w:val="left"/>
      <w:spacing w:before="100" w:beforeAutospacing="1" w:after="100" w:afterAutospacing="1"/>
      <w:widowControl/>
    </w:pPr>
    <w:rPr>
      <w:rFonts w:hint="eastAsia" w:ascii="宋体" w:hAnsi="宋体"/>
      <w:sz w:val="18"/>
      <w:szCs w:val="18"/>
    </w:rPr>
  </w:style>
  <w:style w:type="paragraph" w:styleId="986">
    <w:name w:val="xl27"/>
    <w:basedOn w:val="889"/>
    <w:next w:val="986"/>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普通 (Web)"/>
    <w:basedOn w:val="889"/>
    <w:next w:val="987"/>
    <w:link w:val="889"/>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89"/>
    <w:next w:val="988"/>
    <w:link w:val="889"/>
    <w:pPr>
      <w:spacing w:line="360" w:lineRule="auto"/>
    </w:pPr>
    <w:rPr>
      <w:sz w:val="24"/>
      <w:szCs w:val="20"/>
    </w:rPr>
  </w:style>
  <w:style w:type="paragraph" w:styleId="989">
    <w:name w:val="样式1"/>
    <w:basedOn w:val="889"/>
    <w:next w:val="989"/>
    <w:link w:val="889"/>
    <w:pPr>
      <w:numPr>
        <w:ilvl w:val="0"/>
        <w:numId w:val="3"/>
      </w:numPr>
      <w:tabs>
        <w:tab w:val="left" w:pos="709" w:leader="none"/>
      </w:tabs>
    </w:pPr>
    <w:rPr>
      <w:rFonts w:ascii="宋体" w:hAnsi="宋体"/>
    </w:rPr>
  </w:style>
  <w:style w:type="paragraph" w:styleId="99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name w:val="font6"/>
    <w:basedOn w:val="889"/>
    <w:next w:val="991"/>
    <w:link w:val="889"/>
    <w:pPr>
      <w:jc w:val="left"/>
      <w:spacing w:before="100" w:beforeAutospacing="1" w:after="100" w:afterAutospacing="1"/>
      <w:widowControl/>
    </w:pPr>
    <w:rPr>
      <w:rFonts w:hint="eastAsia" w:ascii="宋体" w:hAnsi="宋体"/>
      <w:sz w:val="28"/>
      <w:szCs w:val="28"/>
      <w:u w:val="single"/>
    </w:rPr>
  </w:style>
  <w:style w:type="paragraph" w:styleId="992">
    <w:name w:val="xl25"/>
    <w:basedOn w:val="889"/>
    <w:next w:val="992"/>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89"/>
    <w:next w:val="889"/>
    <w:link w:val="889"/>
    <w:pPr>
      <w:ind w:firstLine="624"/>
      <w:spacing w:line="590" w:lineRule="atLeast"/>
    </w:pPr>
    <w:rPr>
      <w:rFonts w:ascii="方正黑体_GBK" w:eastAsia="方正黑体_GBK"/>
      <w:sz w:val="32"/>
      <w:szCs w:val="32"/>
    </w:rPr>
  </w:style>
  <w:style w:type="paragraph" w:styleId="995">
    <w:name w:val="xl24"/>
    <w:basedOn w:val="889"/>
    <w:next w:val="995"/>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89"/>
    <w:next w:val="996"/>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89"/>
    <w:next w:val="997"/>
    <w:link w:val="889"/>
    <w:pPr>
      <w:jc w:val="left"/>
      <w:spacing w:after="160" w:line="240" w:lineRule="exact"/>
      <w:widowControl/>
    </w:pPr>
    <w:rPr>
      <w:rFonts w:ascii="Verdana" w:hAnsi="Verdana"/>
      <w:sz w:val="20"/>
      <w:szCs w:val="20"/>
      <w:lang w:eastAsia="en-US"/>
    </w:rPr>
  </w:style>
  <w:style w:type="paragraph" w:styleId="998">
    <w:name w:val="xl28"/>
    <w:basedOn w:val="889"/>
    <w:next w:val="998"/>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89"/>
    <w:next w:val="999"/>
    <w:link w:val="889"/>
    <w:pPr>
      <w:jc w:val="left"/>
      <w:spacing w:after="160" w:line="240" w:lineRule="exact"/>
      <w:widowControl/>
    </w:pPr>
    <w:rPr>
      <w:rFonts w:ascii="Verdana" w:hAnsi="Verdana"/>
      <w:sz w:val="20"/>
      <w:szCs w:val="20"/>
      <w:lang w:eastAsia="en-US"/>
    </w:rPr>
  </w:style>
  <w:style w:type="paragraph" w:styleId="1000">
    <w:name w:val="xl30"/>
    <w:basedOn w:val="889"/>
    <w:next w:val="1000"/>
    <w:link w:val="889"/>
    <w:pPr>
      <w:jc w:val="center"/>
      <w:spacing w:before="100" w:beforeAutospacing="1" w:after="100" w:afterAutospacing="1"/>
      <w:widowControl/>
    </w:pPr>
    <w:rPr>
      <w:rFonts w:ascii="宋体" w:hAnsi="宋体"/>
      <w:b/>
      <w:bCs/>
      <w:sz w:val="36"/>
      <w:szCs w:val="36"/>
    </w:rPr>
  </w:style>
  <w:style w:type="paragraph" w:styleId="1001">
    <w:name w:val="Char Char Char Char"/>
    <w:basedOn w:val="914"/>
    <w:next w:val="1001"/>
    <w:link w:val="889"/>
    <w:pPr>
      <w:spacing w:line="360" w:lineRule="auto"/>
    </w:pPr>
    <w:rPr>
      <w:rFonts w:ascii="Tahoma" w:hAnsi="Tahoma"/>
      <w:sz w:val="24"/>
      <w:szCs w:val="24"/>
    </w:rPr>
  </w:style>
  <w:style w:type="paragraph" w:styleId="1002">
    <w:name w:val="table_1stline"/>
    <w:basedOn w:val="889"/>
    <w:next w:val="1002"/>
    <w:link w:val="889"/>
    <w:pPr>
      <w:jc w:val="left"/>
      <w:spacing w:before="120"/>
      <w:widowControl/>
    </w:pPr>
    <w:rPr>
      <w:bCs/>
      <w:sz w:val="20"/>
      <w:szCs w:val="20"/>
      <w:lang w:val="de-DE" w:eastAsia="de-DE"/>
    </w:rPr>
  </w:style>
  <w:style w:type="paragraph" w:styleId="1003">
    <w:name w:val="font5"/>
    <w:basedOn w:val="889"/>
    <w:next w:val="1003"/>
    <w:link w:val="889"/>
    <w:pPr>
      <w:jc w:val="left"/>
      <w:spacing w:before="100" w:beforeAutospacing="1" w:after="100" w:afterAutospacing="1"/>
      <w:widowControl/>
    </w:pPr>
    <w:rPr>
      <w:rFonts w:hint="eastAsia" w:ascii="宋体" w:hAnsi="宋体"/>
      <w:sz w:val="28"/>
      <w:szCs w:val="28"/>
    </w:rPr>
  </w:style>
  <w:style w:type="paragraph" w:styleId="1004">
    <w:name w:val="无间隔"/>
    <w:next w:val="1004"/>
    <w:link w:val="889"/>
    <w:uiPriority w:val="99"/>
    <w:qFormat/>
    <w:pPr>
      <w:jc w:val="both"/>
      <w:widowControl w:val="off"/>
    </w:pPr>
    <w:rPr>
      <w:rFonts w:ascii="Times New Roman" w:hAnsi="Times New Roman"/>
      <w:sz w:val="21"/>
      <w:szCs w:val="21"/>
      <w:lang w:val="en-US" w:eastAsia="zh-CN" w:bidi="ar-SA"/>
    </w:rPr>
  </w:style>
  <w:style w:type="paragraph" w:styleId="1005">
    <w:name w:val="N1"/>
    <w:basedOn w:val="889"/>
    <w:next w:val="1005"/>
    <w:link w:val="889"/>
    <w:qFormat/>
    <w:pPr>
      <w:numPr>
        <w:ilvl w:val="0"/>
        <w:numId w:val="4"/>
      </w:numPr>
      <w:ind w:left="0" w:firstLine="0"/>
      <w:spacing w:line="360" w:lineRule="auto"/>
      <w:outlineLvl w:val="0"/>
    </w:pPr>
    <w:rPr>
      <w:rFonts w:ascii="Calibri" w:hAnsi="Calibri" w:cs="Times New Roman"/>
      <w:b/>
      <w:sz w:val="28"/>
      <w:szCs w:val="28"/>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13</cp:revision>
  <dcterms:created xsi:type="dcterms:W3CDTF">2023-03-16T02:16:00Z</dcterms:created>
  <dcterms:modified xsi:type="dcterms:W3CDTF">2026-02-05T02:37:32Z</dcterms:modified>
</cp:coreProperties>
</file>