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firstLine="160"/>
        <w:spacing w:line="360" w:lineRule="auto"/>
        <w:rPr>
          <w:rFonts w:hint="eastAsia" w:ascii="宋体" w:hAnsi="宋体" w:cs="宋体"/>
          <w:sz w:val="32"/>
          <w:szCs w:val="32"/>
        </w:rPr>
      </w:pPr>
      <w:r>
        <w:rPr>
          <w:rFonts w:hint="eastAsia" w:ascii="宋体" w:hAnsi="宋体" w:cs="宋体"/>
          <w:sz w:val="32"/>
          <w:szCs w:val="32"/>
          <w:lang w:val="en-US" w:eastAsia="zh-CN"/>
        </w:rPr>
        <w:t xml:space="preserve"> </w:t>
      </w:r>
      <w:r>
        <w:rPr>
          <w:rFonts w:hint="eastAsia" w:ascii="宋体" w:hAnsi="宋体" w:cs="宋体"/>
          <w:sz w:val="32"/>
          <w:szCs w:val="32"/>
        </w:rPr>
        <w:t xml:space="preserve"> </w:t>
      </w:r>
      <w:r>
        <w:rPr>
          <w:rFonts w:hint="eastAsia" w:ascii="宋体" w:hAnsi="宋体" w:cs="宋体"/>
          <w:sz w:val="32"/>
          <w:szCs w:val="32"/>
        </w:rPr>
      </w:r>
      <w:r/>
    </w:p>
    <w:p>
      <w:pPr>
        <w:pStyle w:val="1023"/>
        <w:ind w:firstLine="300"/>
        <w:spacing w:line="360" w:lineRule="auto"/>
        <w:rPr>
          <w:rFonts w:hint="eastAsia" w:ascii="宋体" w:hAnsi="宋体" w:cs="宋体"/>
          <w:sz w:val="60"/>
          <w:szCs w:val="60"/>
        </w:rPr>
      </w:pPr>
      <w:r>
        <w:rPr>
          <w:rFonts w:hint="eastAsia" w:ascii="宋体" w:hAnsi="宋体" w:cs="宋体"/>
          <w:sz w:val="60"/>
          <w:szCs w:val="60"/>
        </w:rPr>
      </w:r>
      <w:r/>
    </w:p>
    <w:p>
      <w:pPr>
        <w:pStyle w:val="1023"/>
        <w:rPr>
          <w:rFonts w:hint="eastAsia" w:ascii="宋体" w:hAnsi="宋体" w:cs="宋体"/>
          <w:b/>
          <w:bCs/>
          <w:sz w:val="60"/>
          <w:szCs w:val="60"/>
        </w:rPr>
      </w:pPr>
      <w:r>
        <w:rPr>
          <w:rFonts w:hint="eastAsia" w:ascii="宋体" w:hAnsi="宋体" w:cs="宋体"/>
          <w:b/>
          <w:bCs/>
          <w:sz w:val="60"/>
          <w:szCs w:val="60"/>
        </w:rPr>
      </w:r>
      <w:r/>
    </w:p>
    <w:p>
      <w:pPr>
        <w:pStyle w:val="1023"/>
        <w:jc w:val="center"/>
        <w:rPr>
          <w:rFonts w:hint="eastAsia" w:ascii="宋体" w:hAnsi="宋体" w:cs="宋体"/>
          <w:b/>
          <w:bCs/>
          <w:sz w:val="60"/>
          <w:szCs w:val="60"/>
        </w:rPr>
      </w:pPr>
      <w:r>
        <w:rPr>
          <w:rFonts w:hint="eastAsia" w:ascii="宋体" w:hAnsi="宋体" w:cs="宋体"/>
          <w:b/>
          <w:bCs/>
          <w:sz w:val="60"/>
          <w:szCs w:val="60"/>
        </w:rPr>
      </w:r>
      <w:r/>
    </w:p>
    <w:p>
      <w:pPr>
        <w:pStyle w:val="1023"/>
        <w:jc w:val="center"/>
        <w:rPr>
          <w:rFonts w:hint="eastAsia" w:ascii="宋体" w:hAnsi="宋体" w:cs="宋体"/>
          <w:b/>
          <w:bCs/>
          <w:sz w:val="60"/>
          <w:szCs w:val="60"/>
        </w:rPr>
      </w:pPr>
      <w:r>
        <w:rPr>
          <w:rFonts w:hint="eastAsia" w:ascii="宋体" w:hAnsi="宋体" w:cs="宋体"/>
          <w:b/>
          <w:bCs/>
          <w:sz w:val="60"/>
          <w:szCs w:val="60"/>
        </w:rPr>
        <w:t xml:space="preserve">公开招标文件</w:t>
      </w:r>
      <w:r>
        <w:rPr>
          <w:rFonts w:hint="eastAsia" w:ascii="宋体" w:hAnsi="宋体" w:cs="宋体"/>
          <w:b/>
          <w:bCs/>
          <w:sz w:val="60"/>
          <w:szCs w:val="60"/>
        </w:rPr>
      </w:r>
      <w:r/>
    </w:p>
    <w:p>
      <w:pPr>
        <w:pStyle w:val="1023"/>
        <w:jc w:val="center"/>
        <w:spacing w:line="360" w:lineRule="auto"/>
        <w:rPr>
          <w:rFonts w:hint="eastAsia" w:ascii="宋体" w:hAnsi="宋体" w:cs="宋体"/>
          <w:b/>
          <w:bCs/>
          <w:sz w:val="60"/>
          <w:szCs w:val="60"/>
        </w:rPr>
      </w:pPr>
      <w:r>
        <w:rPr>
          <w:rFonts w:hint="eastAsia" w:ascii="宋体" w:hAnsi="宋体" w:cs="宋体"/>
          <w:b/>
          <w:bCs/>
          <w:sz w:val="60"/>
          <w:szCs w:val="60"/>
        </w:rPr>
      </w:r>
      <w:r/>
    </w:p>
    <w:p>
      <w:pPr>
        <w:pStyle w:val="1023"/>
        <w:jc w:val="center"/>
        <w:spacing w:line="360" w:lineRule="auto"/>
        <w:rPr>
          <w:rFonts w:hint="eastAsia" w:ascii="宋体" w:hAnsi="宋体" w:cs="宋体"/>
          <w:b/>
          <w:bCs/>
          <w:sz w:val="60"/>
          <w:szCs w:val="60"/>
        </w:rPr>
      </w:pPr>
      <w:r>
        <w:rPr>
          <w:rFonts w:hint="eastAsia" w:ascii="宋体" w:hAnsi="宋体" w:cs="宋体"/>
          <w:b/>
          <w:bCs/>
          <w:sz w:val="60"/>
          <w:szCs w:val="60"/>
        </w:rPr>
      </w:r>
      <w:r/>
    </w:p>
    <w:p>
      <w:pPr>
        <w:pStyle w:val="1023"/>
        <w:ind w:left="3041" w:hanging="1689"/>
        <w:jc w:val="left"/>
        <w:spacing w:line="360" w:lineRule="auto"/>
        <w:tabs>
          <w:tab w:val="left" w:pos="5609" w:leader="none"/>
        </w:tabs>
        <w:rPr>
          <w:rFonts w:hint="eastAsia" w:ascii="宋体" w:hAnsi="宋体" w:cs="宋体"/>
          <w:bCs/>
          <w:sz w:val="32"/>
          <w:szCs w:val="32"/>
        </w:rPr>
      </w:pPr>
      <w:r>
        <w:rPr>
          <w:rFonts w:hint="eastAsia" w:ascii="宋体" w:hAnsi="宋体" w:cs="宋体"/>
          <w:bCs/>
          <w:sz w:val="32"/>
          <w:szCs w:val="32"/>
        </w:rPr>
        <w:t xml:space="preserve">项目名称：</w:t>
      </w:r>
      <w:r>
        <w:rPr>
          <w:rFonts w:hint="eastAsia" w:ascii="宋体" w:hAnsi="宋体" w:cs="宋体"/>
          <w:bCs/>
          <w:sz w:val="32"/>
          <w:szCs w:val="32"/>
          <w:lang w:eastAsia="zh-CN"/>
        </w:rPr>
        <w:t xml:space="preserve">溧阳市标准化考场运行维护服务项目</w:t>
      </w:r>
      <w:r>
        <w:rPr>
          <w:rFonts w:hint="eastAsia" w:ascii="宋体" w:hAnsi="宋体" w:cs="宋体"/>
          <w:bCs/>
          <w:sz w:val="32"/>
          <w:szCs w:val="32"/>
        </w:rPr>
        <w:tab/>
      </w:r>
      <w:r>
        <w:rPr>
          <w:rFonts w:hint="eastAsia" w:ascii="宋体" w:hAnsi="宋体" w:cs="宋体"/>
          <w:bCs/>
          <w:sz w:val="32"/>
          <w:szCs w:val="32"/>
        </w:rPr>
      </w:r>
      <w:r/>
    </w:p>
    <w:p>
      <w:pPr>
        <w:pStyle w:val="1023"/>
        <w:ind w:left="3041" w:hanging="1689"/>
        <w:jc w:val="left"/>
        <w:spacing w:line="360" w:lineRule="auto"/>
        <w:tabs>
          <w:tab w:val="left" w:pos="3240" w:leader="none"/>
          <w:tab w:val="left" w:pos="3420" w:leader="none"/>
        </w:tabs>
        <w:rPr>
          <w:rFonts w:ascii="宋体" w:hAnsi="宋体" w:eastAsia="宋体" w:cs="宋体"/>
          <w:bCs/>
          <w:sz w:val="32"/>
          <w:szCs w:val="32"/>
          <w:lang w:val="en-US" w:eastAsia="zh-CN"/>
        </w:rPr>
      </w:pPr>
      <w:r>
        <w:rPr>
          <w:rFonts w:hint="eastAsia" w:ascii="宋体" w:hAnsi="宋体" w:cs="宋体"/>
          <w:bCs/>
          <w:sz w:val="32"/>
          <w:szCs w:val="32"/>
        </w:rPr>
        <w:t xml:space="preserve">项目编号：</w:t>
      </w:r>
      <w:r>
        <w:rPr>
          <w:rFonts w:hint="eastAsia" w:ascii="宋体" w:hAnsi="宋体" w:cs="宋体"/>
          <w:bCs/>
          <w:sz w:val="32"/>
          <w:szCs w:val="32"/>
          <w:lang w:val="en-US" w:eastAsia="zh-CN"/>
        </w:rPr>
        <w:t xml:space="preserve">JSZC-320481-LYDC-G2026-00</w:t>
      </w:r>
      <w:r>
        <w:rPr>
          <w:rFonts w:hint="eastAsia" w:ascii="宋体" w:hAnsi="宋体" w:cs="宋体"/>
          <w:bCs/>
          <w:sz w:val="32"/>
          <w:szCs w:val="32"/>
          <w:lang w:val="en-US" w:eastAsia="zh-CN"/>
        </w:rPr>
        <w:t xml:space="preserve">01</w:t>
      </w:r>
      <w:r>
        <w:rPr>
          <w:rFonts w:ascii="宋体" w:hAnsi="宋体" w:eastAsia="宋体" w:cs="宋体"/>
          <w:bCs/>
          <w:sz w:val="32"/>
          <w:szCs w:val="32"/>
          <w:lang w:val="en-US" w:eastAsia="zh-CN"/>
        </w:rPr>
      </w:r>
      <w:r/>
    </w:p>
    <w:p>
      <w:pPr>
        <w:pStyle w:val="1023"/>
        <w:ind w:left="3041" w:hanging="1689"/>
        <w:jc w:val="left"/>
        <w:spacing w:line="360" w:lineRule="auto"/>
        <w:tabs>
          <w:tab w:val="left" w:pos="3240" w:leader="none"/>
          <w:tab w:val="left" w:pos="3420" w:leader="none"/>
        </w:tabs>
        <w:rPr>
          <w:rFonts w:hint="eastAsia" w:ascii="宋体" w:hAnsi="宋体" w:eastAsia="宋体" w:cs="宋体"/>
          <w:bCs/>
          <w:sz w:val="32"/>
          <w:szCs w:val="32"/>
          <w:lang w:eastAsia="zh-CN"/>
        </w:rPr>
      </w:pPr>
      <w:r>
        <w:rPr>
          <w:rFonts w:hint="eastAsia" w:ascii="宋体" w:hAnsi="宋体" w:cs="宋体"/>
          <w:bCs/>
          <w:sz w:val="32"/>
          <w:szCs w:val="32"/>
        </w:rPr>
        <w:t xml:space="preserve">采 购 人：</w:t>
      </w:r>
      <w:r>
        <w:rPr>
          <w:rFonts w:hint="eastAsia" w:ascii="宋体" w:hAnsi="宋体" w:cs="宋体"/>
          <w:bCs/>
          <w:sz w:val="32"/>
          <w:szCs w:val="32"/>
          <w:lang w:eastAsia="zh-CN"/>
        </w:rPr>
        <w:t xml:space="preserve">溧阳市招生委员会办公室</w:t>
      </w:r>
      <w:r>
        <w:rPr>
          <w:rFonts w:hint="eastAsia" w:ascii="宋体" w:hAnsi="宋体" w:eastAsia="宋体" w:cs="宋体"/>
          <w:bCs/>
          <w:sz w:val="32"/>
          <w:szCs w:val="32"/>
          <w:lang w:eastAsia="zh-CN"/>
        </w:rPr>
      </w:r>
      <w:r/>
    </w:p>
    <w:p>
      <w:pPr>
        <w:pStyle w:val="1023"/>
        <w:ind w:left="3041" w:hanging="1689"/>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2"/>
          <w:szCs w:val="32"/>
        </w:rPr>
        <w:t xml:space="preserve">采购代理机构：</w:t>
      </w:r>
      <w:r>
        <w:rPr>
          <w:rFonts w:hint="eastAsia" w:ascii="宋体" w:hAnsi="宋体" w:cs="宋体"/>
          <w:bCs/>
          <w:sz w:val="32"/>
          <w:szCs w:val="32"/>
          <w:lang w:eastAsia="zh-CN"/>
        </w:rPr>
        <w:t xml:space="preserve">溧阳市大成招投标有限公司</w:t>
      </w:r>
      <w:r>
        <w:rPr>
          <w:rFonts w:hint="eastAsia" w:ascii="宋体" w:hAnsi="宋体" w:cs="宋体"/>
          <w:bCs/>
          <w:sz w:val="36"/>
          <w:szCs w:val="36"/>
        </w:rPr>
        <w:t xml:space="preserve"> </w:t>
      </w:r>
      <w:r>
        <w:rPr>
          <w:rFonts w:hint="eastAsia" w:ascii="宋体" w:hAnsi="宋体" w:cs="宋体"/>
          <w:bCs/>
          <w:sz w:val="36"/>
          <w:szCs w:val="36"/>
        </w:rPr>
      </w:r>
      <w:r/>
    </w:p>
    <w:p>
      <w:pPr>
        <w:pStyle w:val="1023"/>
        <w:jc w:val="left"/>
        <w:widowControl/>
        <w:rPr>
          <w:rFonts w:hint="eastAsia" w:ascii="宋体" w:hAnsi="宋体" w:cs="宋体"/>
          <w:b/>
          <w:bCs/>
          <w:sz w:val="44"/>
        </w:rPr>
      </w:pPr>
      <w:r>
        <w:rPr>
          <w:rFonts w:hint="eastAsia" w:ascii="宋体" w:hAnsi="宋体" w:cs="宋体"/>
          <w:b/>
          <w:bCs/>
          <w:sz w:val="44"/>
        </w:rPr>
      </w:r>
      <w:r/>
    </w:p>
    <w:p>
      <w:pPr>
        <w:pStyle w:val="1023"/>
        <w:jc w:val="left"/>
        <w:widowControl/>
        <w:rPr>
          <w:rFonts w:hint="eastAsia" w:ascii="宋体" w:hAnsi="宋体" w:cs="宋体"/>
          <w:b/>
          <w:bCs/>
          <w:sz w:val="44"/>
        </w:rPr>
      </w:pPr>
      <w:r>
        <w:rPr>
          <w:rFonts w:hint="eastAsia" w:ascii="宋体" w:hAnsi="宋体" w:cs="宋体"/>
          <w:b/>
          <w:bCs/>
          <w:sz w:val="44"/>
        </w:rPr>
      </w:r>
      <w:r/>
    </w:p>
    <w:p>
      <w:pPr>
        <w:pStyle w:val="1023"/>
        <w:jc w:val="left"/>
        <w:widowControl/>
        <w:rPr>
          <w:rFonts w:hint="eastAsia" w:ascii="宋体" w:hAnsi="宋体" w:cs="宋体"/>
          <w:b/>
          <w:bCs/>
          <w:sz w:val="44"/>
        </w:rPr>
      </w:pPr>
      <w:r>
        <w:rPr>
          <w:rFonts w:hint="eastAsia" w:ascii="宋体" w:hAnsi="宋体" w:cs="宋体"/>
          <w:b/>
          <w:bCs/>
          <w:sz w:val="44"/>
        </w:rPr>
      </w:r>
      <w:r/>
    </w:p>
    <w:p>
      <w:pPr>
        <w:pStyle w:val="1023"/>
        <w:jc w:val="left"/>
        <w:widowControl/>
        <w:rPr>
          <w:rFonts w:hint="eastAsia" w:ascii="宋体" w:hAnsi="宋体" w:cs="宋体"/>
          <w:b/>
          <w:bCs/>
          <w:sz w:val="44"/>
        </w:rPr>
      </w:pPr>
      <w:r>
        <w:rPr>
          <w:rFonts w:hint="eastAsia" w:ascii="宋体" w:hAnsi="宋体" w:cs="宋体"/>
          <w:b/>
          <w:bCs/>
          <w:sz w:val="44"/>
        </w:rPr>
      </w:r>
      <w:r/>
    </w:p>
    <w:p>
      <w:pPr>
        <w:pStyle w:val="1023"/>
        <w:jc w:val="left"/>
        <w:widowControl/>
        <w:rPr>
          <w:rFonts w:hint="eastAsia" w:ascii="宋体" w:hAnsi="宋体" w:cs="宋体"/>
          <w:b/>
          <w:bCs/>
          <w:sz w:val="44"/>
        </w:rPr>
      </w:pPr>
      <w:r>
        <w:rPr>
          <w:rFonts w:hint="eastAsia" w:ascii="宋体" w:hAnsi="宋体" w:cs="宋体"/>
          <w:b/>
          <w:bCs/>
          <w:sz w:val="44"/>
        </w:rPr>
      </w:r>
      <w:r/>
    </w:p>
    <w:p>
      <w:pPr>
        <w:pStyle w:val="1023"/>
        <w:jc w:val="left"/>
        <w:widowControl/>
        <w:rPr>
          <w:rFonts w:hint="eastAsia" w:ascii="宋体" w:hAnsi="宋体" w:cs="宋体"/>
          <w:color w:val="000000"/>
          <w:sz w:val="24"/>
        </w:rPr>
      </w:pPr>
      <w:r>
        <w:rPr>
          <w:rFonts w:hint="eastAsia" w:ascii="宋体" w:hAnsi="宋体" w:cs="宋体"/>
        </w:rPr>
        <w:br w:type="page" w:clear="all"/>
      </w:r>
      <w:r>
        <w:rPr>
          <w:rFonts w:hint="eastAsia" w:ascii="宋体" w:hAnsi="宋体" w:cs="宋体"/>
          <w:color w:val="000000"/>
          <w:sz w:val="24"/>
        </w:rPr>
      </w:r>
      <w:r/>
    </w:p>
    <w:p>
      <w:pPr>
        <w:pStyle w:val="1210"/>
        <w:spacing w:line="360" w:lineRule="auto"/>
        <w:rPr>
          <w:rFonts w:hint="eastAsia" w:ascii="宋体" w:hAnsi="宋体" w:cs="宋体"/>
        </w:rPr>
      </w:pPr>
      <w:r>
        <w:rPr>
          <w:rFonts w:hint="eastAsia" w:ascii="宋体" w:hAnsi="宋体" w:cs="宋体"/>
        </w:rPr>
      </w:r>
      <w:r/>
    </w:p>
    <w:p>
      <w:pPr>
        <w:pStyle w:val="1023"/>
        <w:jc w:val="center"/>
        <w:spacing w:line="360" w:lineRule="auto"/>
        <w:rPr>
          <w:rFonts w:hint="eastAsia" w:ascii="宋体" w:hAnsi="宋体" w:cs="宋体"/>
          <w:b/>
          <w:sz w:val="36"/>
          <w:szCs w:val="36"/>
        </w:rPr>
      </w:pPr>
      <w:r/>
      <w:bookmarkStart w:id="0" w:name="_Toc104818924"/>
      <w:r>
        <w:rPr>
          <w:rFonts w:hint="eastAsia" w:ascii="宋体" w:hAnsi="宋体" w:cs="宋体"/>
          <w:b/>
          <w:sz w:val="36"/>
          <w:szCs w:val="36"/>
        </w:rPr>
        <w:t xml:space="preserve">目      录</w:t>
      </w:r>
      <w:bookmarkEnd w:id="0"/>
      <w:r>
        <w:rPr>
          <w:rFonts w:hint="eastAsia" w:ascii="宋体" w:hAnsi="宋体" w:cs="宋体"/>
          <w:b/>
          <w:sz w:val="36"/>
          <w:szCs w:val="36"/>
        </w:rPr>
      </w:r>
      <w:r/>
    </w:p>
    <w:p>
      <w:pPr>
        <w:pStyle w:val="1023"/>
        <w:rPr>
          <w:rFonts w:hint="eastAsia" w:ascii="宋体" w:hAnsi="宋体" w:cs="宋体"/>
        </w:rPr>
      </w:pPr>
      <w:r>
        <w:rPr>
          <w:rFonts w:hint="eastAsia" w:ascii="宋体" w:hAnsi="宋体" w:cs="宋体"/>
        </w:rPr>
      </w:r>
      <w:r/>
    </w:p>
    <w:p>
      <w:pPr>
        <w:pStyle w:val="1023"/>
        <w:rPr>
          <w:rFonts w:hint="eastAsia" w:ascii="宋体" w:hAnsi="宋体" w:cs="宋体"/>
        </w:rPr>
      </w:pPr>
      <w:r>
        <w:rPr>
          <w:rFonts w:hint="eastAsia" w:ascii="宋体" w:hAnsi="宋体" w:cs="宋体"/>
        </w:rPr>
      </w:r>
      <w:r/>
    </w:p>
    <w:p>
      <w:pPr>
        <w:pStyle w:val="1023"/>
        <w:rPr>
          <w:rFonts w:hint="eastAsia" w:ascii="宋体" w:hAnsi="宋体" w:cs="宋体"/>
        </w:rPr>
      </w:pPr>
      <w:r>
        <w:rPr>
          <w:rFonts w:hint="eastAsia" w:ascii="宋体" w:hAnsi="宋体" w:cs="宋体"/>
        </w:rPr>
      </w:r>
      <w:r/>
    </w:p>
    <w:p>
      <w:pPr>
        <w:pStyle w:val="1023"/>
        <w:rPr>
          <w:rFonts w:hint="eastAsia" w:ascii="宋体" w:hAnsi="宋体" w:cs="宋体"/>
        </w:rPr>
      </w:pPr>
      <w:r>
        <w:rPr>
          <w:rFonts w:hint="eastAsia" w:ascii="宋体" w:hAnsi="宋体" w:cs="宋体"/>
        </w:rPr>
      </w:r>
      <w:r/>
    </w:p>
    <w:p>
      <w:pPr>
        <w:pStyle w:val="1076"/>
        <w:spacing w:line="360" w:lineRule="auto"/>
        <w:tabs>
          <w:tab w:val="right" w:pos="9356" w:leader="dot"/>
        </w:tabs>
        <w:rPr>
          <w:sz w:val="28"/>
          <w:szCs w:val="28"/>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rPr>
          <w:rFonts w:hint="eastAsia" w:cs="宋体"/>
          <w:sz w:val="28"/>
          <w:szCs w:val="28"/>
        </w:rPr>
        <w:fldChar w:fldCharType="begin"/>
      </w:r>
      <w:r>
        <w:rPr>
          <w:rFonts w:hint="eastAsia" w:cs="宋体"/>
          <w:sz w:val="28"/>
          <w:szCs w:val="28"/>
        </w:rPr>
        <w:instrText xml:space="preserve"> HYPERLINK \l _Toc30548 </w:instrText>
      </w:r>
      <w:r>
        <w:rPr>
          <w:rFonts w:hint="eastAsia" w:cs="宋体"/>
          <w:sz w:val="28"/>
          <w:szCs w:val="28"/>
        </w:rPr>
        <w:fldChar w:fldCharType="separate"/>
      </w:r>
      <w:r>
        <w:rPr>
          <w:rFonts w:hint="eastAsia" w:ascii="宋体" w:hAnsi="宋体" w:cs="宋体"/>
          <w:sz w:val="28"/>
          <w:szCs w:val="28"/>
        </w:rPr>
        <w:t xml:space="preserve">第一章   投标邀请</w:t>
      </w:r>
      <w:r>
        <w:rPr>
          <w:sz w:val="28"/>
          <w:szCs w:val="28"/>
        </w:rPr>
        <w:tab/>
      </w:r>
      <w:r>
        <w:rPr>
          <w:sz w:val="28"/>
          <w:szCs w:val="28"/>
        </w:rPr>
        <w:fldChar w:fldCharType="begin"/>
      </w:r>
      <w:r>
        <w:rPr>
          <w:sz w:val="28"/>
          <w:szCs w:val="28"/>
        </w:rPr>
        <w:instrText xml:space="preserve"> PAGEREF _Toc30548 \h </w:instrText>
      </w:r>
      <w:r>
        <w:rPr>
          <w:sz w:val="28"/>
          <w:szCs w:val="28"/>
        </w:rPr>
        <w:fldChar w:fldCharType="separate"/>
      </w:r>
      <w:r>
        <w:rPr>
          <w:sz w:val="28"/>
          <w:szCs w:val="28"/>
        </w:rPr>
        <w:t xml:space="preserve">1</w:t>
      </w:r>
      <w:r>
        <w:rPr>
          <w:sz w:val="28"/>
          <w:szCs w:val="28"/>
        </w:rPr>
        <w:fldChar w:fldCharType="end"/>
      </w:r>
      <w:r>
        <w:rPr>
          <w:rFonts w:hint="eastAsia" w:cs="宋体"/>
          <w:sz w:val="28"/>
          <w:szCs w:val="28"/>
        </w:rPr>
        <w:fldChar w:fldCharType="end"/>
      </w:r>
      <w:r>
        <w:rPr>
          <w:sz w:val="28"/>
          <w:szCs w:val="28"/>
        </w:rPr>
      </w:r>
      <w:r/>
    </w:p>
    <w:p>
      <w:pPr>
        <w:pStyle w:val="1076"/>
        <w:spacing w:line="360" w:lineRule="auto"/>
        <w:tabs>
          <w:tab w:val="right" w:pos="9356" w:leader="dot"/>
        </w:tabs>
        <w:rPr>
          <w:sz w:val="28"/>
          <w:szCs w:val="28"/>
        </w:rPr>
      </w:pPr>
      <w:r>
        <w:rPr>
          <w:rFonts w:hint="eastAsia" w:cs="宋体"/>
          <w:sz w:val="28"/>
          <w:szCs w:val="28"/>
        </w:rPr>
        <w:fldChar w:fldCharType="begin"/>
      </w:r>
      <w:r>
        <w:rPr>
          <w:rFonts w:hint="eastAsia" w:cs="宋体"/>
          <w:sz w:val="28"/>
          <w:szCs w:val="28"/>
        </w:rPr>
        <w:instrText xml:space="preserve"> HYPERLINK \l _Toc27824 </w:instrText>
      </w:r>
      <w:r>
        <w:rPr>
          <w:rFonts w:hint="eastAsia" w:cs="宋体"/>
          <w:sz w:val="28"/>
          <w:szCs w:val="28"/>
        </w:rPr>
        <w:fldChar w:fldCharType="separate"/>
      </w:r>
      <w:r>
        <w:rPr>
          <w:rFonts w:hint="eastAsia" w:ascii="宋体" w:hAnsi="宋体" w:cs="宋体"/>
          <w:sz w:val="28"/>
          <w:szCs w:val="28"/>
        </w:rPr>
        <w:t xml:space="preserve">第二章   投标人须知</w:t>
      </w:r>
      <w:r>
        <w:rPr>
          <w:sz w:val="28"/>
          <w:szCs w:val="28"/>
        </w:rPr>
        <w:tab/>
      </w:r>
      <w:r>
        <w:rPr>
          <w:sz w:val="28"/>
          <w:szCs w:val="28"/>
        </w:rPr>
        <w:fldChar w:fldCharType="begin"/>
      </w:r>
      <w:r>
        <w:rPr>
          <w:sz w:val="28"/>
          <w:szCs w:val="28"/>
        </w:rPr>
        <w:instrText xml:space="preserve"> PAGEREF _Toc27824 \h </w:instrText>
      </w:r>
      <w:r>
        <w:rPr>
          <w:sz w:val="28"/>
          <w:szCs w:val="28"/>
        </w:rPr>
        <w:fldChar w:fldCharType="separate"/>
      </w:r>
      <w:r>
        <w:rPr>
          <w:sz w:val="28"/>
          <w:szCs w:val="28"/>
        </w:rPr>
        <w:t xml:space="preserve">5</w:t>
      </w:r>
      <w:r>
        <w:rPr>
          <w:sz w:val="28"/>
          <w:szCs w:val="28"/>
        </w:rPr>
        <w:fldChar w:fldCharType="end"/>
      </w:r>
      <w:r>
        <w:rPr>
          <w:rFonts w:hint="eastAsia" w:cs="宋体"/>
          <w:sz w:val="28"/>
          <w:szCs w:val="28"/>
        </w:rPr>
        <w:fldChar w:fldCharType="end"/>
      </w:r>
      <w:r>
        <w:rPr>
          <w:sz w:val="28"/>
          <w:szCs w:val="28"/>
        </w:rPr>
      </w:r>
      <w:r/>
    </w:p>
    <w:p>
      <w:pPr>
        <w:pStyle w:val="1076"/>
        <w:spacing w:line="360" w:lineRule="auto"/>
        <w:tabs>
          <w:tab w:val="right" w:pos="9356" w:leader="dot"/>
        </w:tabs>
        <w:rPr>
          <w:sz w:val="28"/>
          <w:szCs w:val="28"/>
        </w:rPr>
      </w:pPr>
      <w:r>
        <w:rPr>
          <w:rFonts w:hint="eastAsia" w:cs="宋体"/>
          <w:sz w:val="28"/>
          <w:szCs w:val="28"/>
        </w:rPr>
        <w:fldChar w:fldCharType="begin"/>
      </w:r>
      <w:r>
        <w:rPr>
          <w:rFonts w:hint="eastAsia" w:cs="宋体"/>
          <w:sz w:val="28"/>
          <w:szCs w:val="28"/>
        </w:rPr>
        <w:instrText xml:space="preserve"> HYPERLINK \l _Toc10286 </w:instrText>
      </w:r>
      <w:r>
        <w:rPr>
          <w:rFonts w:hint="eastAsia" w:cs="宋体"/>
          <w:sz w:val="28"/>
          <w:szCs w:val="28"/>
        </w:rPr>
        <w:fldChar w:fldCharType="separate"/>
      </w:r>
      <w:r>
        <w:rPr>
          <w:rFonts w:hint="eastAsia" w:ascii="宋体" w:hAnsi="宋体" w:cs="宋体"/>
          <w:sz w:val="28"/>
          <w:szCs w:val="28"/>
        </w:rPr>
        <w:t xml:space="preserve">第三章   资格审查</w:t>
      </w:r>
      <w:r>
        <w:rPr>
          <w:sz w:val="28"/>
          <w:szCs w:val="28"/>
        </w:rPr>
        <w:tab/>
      </w:r>
      <w:r>
        <w:rPr>
          <w:sz w:val="28"/>
          <w:szCs w:val="28"/>
        </w:rPr>
        <w:fldChar w:fldCharType="begin"/>
      </w:r>
      <w:r>
        <w:rPr>
          <w:sz w:val="28"/>
          <w:szCs w:val="28"/>
        </w:rPr>
        <w:instrText xml:space="preserve"> PAGEREF _Toc10286 \h </w:instrText>
      </w:r>
      <w:r>
        <w:rPr>
          <w:sz w:val="28"/>
          <w:szCs w:val="28"/>
        </w:rPr>
        <w:fldChar w:fldCharType="separate"/>
      </w:r>
      <w:r>
        <w:rPr>
          <w:sz w:val="28"/>
          <w:szCs w:val="28"/>
        </w:rPr>
        <w:t xml:space="preserve">17</w:t>
      </w:r>
      <w:r>
        <w:rPr>
          <w:sz w:val="28"/>
          <w:szCs w:val="28"/>
        </w:rPr>
        <w:fldChar w:fldCharType="end"/>
      </w:r>
      <w:r>
        <w:rPr>
          <w:rFonts w:hint="eastAsia" w:cs="宋体"/>
          <w:sz w:val="28"/>
          <w:szCs w:val="28"/>
        </w:rPr>
        <w:fldChar w:fldCharType="end"/>
      </w:r>
      <w:r>
        <w:rPr>
          <w:sz w:val="28"/>
          <w:szCs w:val="28"/>
        </w:rPr>
      </w:r>
      <w:r/>
    </w:p>
    <w:p>
      <w:pPr>
        <w:pStyle w:val="1076"/>
        <w:spacing w:line="360" w:lineRule="auto"/>
        <w:tabs>
          <w:tab w:val="right" w:pos="9356" w:leader="dot"/>
        </w:tabs>
        <w:rPr>
          <w:sz w:val="28"/>
          <w:szCs w:val="28"/>
        </w:rPr>
      </w:pPr>
      <w:r>
        <w:rPr>
          <w:rFonts w:hint="eastAsia" w:cs="宋体"/>
          <w:sz w:val="28"/>
          <w:szCs w:val="28"/>
        </w:rPr>
        <w:fldChar w:fldCharType="begin"/>
      </w:r>
      <w:r>
        <w:rPr>
          <w:rFonts w:hint="eastAsia" w:cs="宋体"/>
          <w:sz w:val="28"/>
          <w:szCs w:val="28"/>
        </w:rPr>
        <w:instrText xml:space="preserve"> HYPERLINK \l _Toc28719 </w:instrText>
      </w:r>
      <w:r>
        <w:rPr>
          <w:rFonts w:hint="eastAsia" w:cs="宋体"/>
          <w:sz w:val="28"/>
          <w:szCs w:val="28"/>
        </w:rPr>
        <w:fldChar w:fldCharType="separate"/>
      </w:r>
      <w:r>
        <w:rPr>
          <w:sz w:val="28"/>
          <w:szCs w:val="28"/>
        </w:rPr>
        <w:t xml:space="preserve">第四章   评标程序、评标方法和评标标准</w:t>
      </w:r>
      <w:r>
        <w:rPr>
          <w:sz w:val="28"/>
          <w:szCs w:val="28"/>
        </w:rPr>
        <w:tab/>
      </w:r>
      <w:r>
        <w:rPr>
          <w:sz w:val="28"/>
          <w:szCs w:val="28"/>
        </w:rPr>
        <w:fldChar w:fldCharType="begin"/>
      </w:r>
      <w:r>
        <w:rPr>
          <w:sz w:val="28"/>
          <w:szCs w:val="28"/>
        </w:rPr>
        <w:instrText xml:space="preserve"> PAGEREF _Toc28719 \h </w:instrText>
      </w:r>
      <w:r>
        <w:rPr>
          <w:sz w:val="28"/>
          <w:szCs w:val="28"/>
        </w:rPr>
        <w:fldChar w:fldCharType="separate"/>
      </w:r>
      <w:r>
        <w:rPr>
          <w:sz w:val="28"/>
          <w:szCs w:val="28"/>
        </w:rPr>
        <w:t xml:space="preserve">19</w:t>
      </w:r>
      <w:r>
        <w:rPr>
          <w:sz w:val="28"/>
          <w:szCs w:val="28"/>
        </w:rPr>
        <w:fldChar w:fldCharType="end"/>
      </w:r>
      <w:r>
        <w:rPr>
          <w:rFonts w:hint="eastAsia" w:cs="宋体"/>
          <w:sz w:val="28"/>
          <w:szCs w:val="28"/>
        </w:rPr>
        <w:fldChar w:fldCharType="end"/>
      </w:r>
      <w:r>
        <w:rPr>
          <w:sz w:val="28"/>
          <w:szCs w:val="28"/>
        </w:rPr>
      </w:r>
      <w:r/>
    </w:p>
    <w:p>
      <w:pPr>
        <w:pStyle w:val="1076"/>
        <w:spacing w:line="360" w:lineRule="auto"/>
        <w:tabs>
          <w:tab w:val="right" w:pos="9356" w:leader="dot"/>
        </w:tabs>
        <w:rPr>
          <w:sz w:val="28"/>
          <w:szCs w:val="28"/>
        </w:rPr>
      </w:pPr>
      <w:r>
        <w:rPr>
          <w:rFonts w:hint="eastAsia" w:cs="宋体"/>
          <w:sz w:val="28"/>
          <w:szCs w:val="28"/>
        </w:rPr>
        <w:fldChar w:fldCharType="begin"/>
      </w:r>
      <w:r>
        <w:rPr>
          <w:rFonts w:hint="eastAsia" w:cs="宋体"/>
          <w:sz w:val="28"/>
          <w:szCs w:val="28"/>
        </w:rPr>
        <w:instrText xml:space="preserve"> HYPERLINK \l _Toc300 </w:instrText>
      </w:r>
      <w:r>
        <w:rPr>
          <w:rFonts w:hint="eastAsia" w:cs="宋体"/>
          <w:sz w:val="28"/>
          <w:szCs w:val="28"/>
        </w:rPr>
        <w:fldChar w:fldCharType="separate"/>
      </w:r>
      <w:r>
        <w:rPr>
          <w:rFonts w:hint="eastAsia" w:cs="宋体"/>
          <w:sz w:val="28"/>
          <w:szCs w:val="28"/>
        </w:rPr>
        <w:t xml:space="preserve">第五章   </w:t>
      </w:r>
      <w:r>
        <w:rPr>
          <w:rFonts w:hint="eastAsia" w:cs="宋体"/>
          <w:sz w:val="28"/>
          <w:szCs w:val="28"/>
          <w:highlight w:val="none"/>
        </w:rPr>
        <w:t xml:space="preserve">采购需求</w:t>
      </w:r>
      <w:r>
        <w:rPr>
          <w:sz w:val="28"/>
          <w:szCs w:val="28"/>
        </w:rPr>
        <w:tab/>
      </w:r>
      <w:r>
        <w:rPr>
          <w:sz w:val="28"/>
          <w:szCs w:val="28"/>
        </w:rPr>
        <w:fldChar w:fldCharType="begin"/>
      </w:r>
      <w:r>
        <w:rPr>
          <w:sz w:val="28"/>
          <w:szCs w:val="28"/>
        </w:rPr>
        <w:instrText xml:space="preserve"> PAGEREF _Toc300 \h </w:instrText>
      </w:r>
      <w:r>
        <w:rPr>
          <w:sz w:val="28"/>
          <w:szCs w:val="28"/>
        </w:rPr>
        <w:fldChar w:fldCharType="separate"/>
      </w:r>
      <w:r>
        <w:rPr>
          <w:sz w:val="28"/>
          <w:szCs w:val="28"/>
        </w:rPr>
        <w:t xml:space="preserve">27</w:t>
      </w:r>
      <w:r>
        <w:rPr>
          <w:sz w:val="28"/>
          <w:szCs w:val="28"/>
        </w:rPr>
        <w:fldChar w:fldCharType="end"/>
      </w:r>
      <w:r>
        <w:rPr>
          <w:rFonts w:hint="eastAsia" w:cs="宋体"/>
          <w:sz w:val="28"/>
          <w:szCs w:val="28"/>
        </w:rPr>
        <w:fldChar w:fldCharType="end"/>
      </w:r>
      <w:r>
        <w:rPr>
          <w:sz w:val="28"/>
          <w:szCs w:val="28"/>
        </w:rPr>
      </w:r>
      <w:r/>
    </w:p>
    <w:p>
      <w:pPr>
        <w:pStyle w:val="1076"/>
        <w:spacing w:line="360" w:lineRule="auto"/>
        <w:tabs>
          <w:tab w:val="right" w:pos="9356" w:leader="dot"/>
        </w:tabs>
        <w:rPr>
          <w:sz w:val="28"/>
          <w:szCs w:val="28"/>
        </w:rPr>
      </w:pPr>
      <w:r>
        <w:rPr>
          <w:rFonts w:hint="eastAsia" w:cs="宋体"/>
          <w:sz w:val="28"/>
          <w:szCs w:val="28"/>
        </w:rPr>
        <w:fldChar w:fldCharType="begin"/>
      </w:r>
      <w:r>
        <w:rPr>
          <w:rFonts w:hint="eastAsia" w:cs="宋体"/>
          <w:sz w:val="28"/>
          <w:szCs w:val="28"/>
        </w:rPr>
        <w:instrText xml:space="preserve"> HYPERLINK \l _Toc18924 </w:instrText>
      </w:r>
      <w:r>
        <w:rPr>
          <w:rFonts w:hint="eastAsia" w:cs="宋体"/>
          <w:sz w:val="28"/>
          <w:szCs w:val="28"/>
        </w:rPr>
        <w:fldChar w:fldCharType="separate"/>
      </w:r>
      <w:r>
        <w:rPr>
          <w:rFonts w:hint="eastAsia" w:ascii="宋体" w:hAnsi="宋体" w:cs="宋体"/>
          <w:sz w:val="28"/>
          <w:szCs w:val="28"/>
        </w:rPr>
        <w:t xml:space="preserve">第六章   </w:t>
      </w:r>
      <w:r>
        <w:rPr>
          <w:sz w:val="28"/>
          <w:szCs w:val="28"/>
        </w:rPr>
        <w:t xml:space="preserve">拟签订的合同文本</w:t>
      </w:r>
      <w:r>
        <w:rPr>
          <w:sz w:val="28"/>
          <w:szCs w:val="28"/>
        </w:rPr>
        <w:tab/>
      </w:r>
      <w:r>
        <w:rPr>
          <w:sz w:val="28"/>
          <w:szCs w:val="28"/>
        </w:rPr>
        <w:fldChar w:fldCharType="begin"/>
      </w:r>
      <w:r>
        <w:rPr>
          <w:sz w:val="28"/>
          <w:szCs w:val="28"/>
        </w:rPr>
        <w:instrText xml:space="preserve"> PAGEREF _Toc18924 \h </w:instrText>
      </w:r>
      <w:r>
        <w:rPr>
          <w:sz w:val="28"/>
          <w:szCs w:val="28"/>
        </w:rPr>
        <w:fldChar w:fldCharType="separate"/>
      </w:r>
      <w:r>
        <w:rPr>
          <w:sz w:val="28"/>
          <w:szCs w:val="28"/>
        </w:rPr>
        <w:t xml:space="preserve">40</w:t>
      </w:r>
      <w:r>
        <w:rPr>
          <w:sz w:val="28"/>
          <w:szCs w:val="28"/>
        </w:rPr>
        <w:fldChar w:fldCharType="end"/>
      </w:r>
      <w:r>
        <w:rPr>
          <w:rFonts w:hint="eastAsia" w:cs="宋体"/>
          <w:sz w:val="28"/>
          <w:szCs w:val="28"/>
        </w:rPr>
        <w:fldChar w:fldCharType="end"/>
      </w:r>
      <w:r>
        <w:rPr>
          <w:sz w:val="28"/>
          <w:szCs w:val="28"/>
        </w:rPr>
      </w:r>
      <w:r/>
    </w:p>
    <w:p>
      <w:pPr>
        <w:pStyle w:val="1076"/>
        <w:spacing w:line="360" w:lineRule="auto"/>
        <w:tabs>
          <w:tab w:val="right" w:pos="9356" w:leader="dot"/>
        </w:tabs>
      </w:pPr>
      <w:r>
        <w:rPr>
          <w:rFonts w:hint="eastAsia" w:cs="宋体"/>
          <w:sz w:val="28"/>
          <w:szCs w:val="28"/>
        </w:rPr>
        <w:fldChar w:fldCharType="begin"/>
      </w:r>
      <w:r>
        <w:rPr>
          <w:rFonts w:hint="eastAsia" w:cs="宋体"/>
          <w:sz w:val="28"/>
          <w:szCs w:val="28"/>
        </w:rPr>
        <w:instrText xml:space="preserve"> HYPERLINK \l _Toc6264 </w:instrText>
      </w:r>
      <w:r>
        <w:rPr>
          <w:rFonts w:hint="eastAsia" w:cs="宋体"/>
          <w:sz w:val="28"/>
          <w:szCs w:val="28"/>
        </w:rPr>
        <w:fldChar w:fldCharType="separate"/>
      </w:r>
      <w:r>
        <w:rPr>
          <w:rFonts w:hint="eastAsia" w:ascii="宋体" w:hAnsi="宋体" w:cs="宋体"/>
          <w:sz w:val="28"/>
          <w:szCs w:val="28"/>
        </w:rPr>
        <w:t xml:space="preserve">第七章   投标文件格式</w:t>
      </w:r>
      <w:r>
        <w:rPr>
          <w:sz w:val="28"/>
          <w:szCs w:val="28"/>
        </w:rPr>
        <w:tab/>
      </w:r>
      <w:r>
        <w:rPr>
          <w:sz w:val="28"/>
          <w:szCs w:val="28"/>
        </w:rPr>
        <w:fldChar w:fldCharType="begin"/>
      </w:r>
      <w:r>
        <w:rPr>
          <w:sz w:val="28"/>
          <w:szCs w:val="28"/>
        </w:rPr>
        <w:instrText xml:space="preserve"> PAGEREF _Toc6264 \h </w:instrText>
      </w:r>
      <w:r>
        <w:rPr>
          <w:sz w:val="28"/>
          <w:szCs w:val="28"/>
        </w:rPr>
        <w:fldChar w:fldCharType="separate"/>
      </w:r>
      <w:r>
        <w:rPr>
          <w:sz w:val="28"/>
          <w:szCs w:val="28"/>
        </w:rPr>
        <w:t xml:space="preserve">44</w:t>
      </w:r>
      <w:r>
        <w:rPr>
          <w:sz w:val="28"/>
          <w:szCs w:val="28"/>
        </w:rPr>
        <w:fldChar w:fldCharType="end"/>
      </w:r>
      <w:r>
        <w:rPr>
          <w:rFonts w:hint="eastAsia" w:cs="宋体"/>
          <w:sz w:val="28"/>
          <w:szCs w:val="28"/>
        </w:rPr>
        <w:fldChar w:fldCharType="end"/>
      </w:r>
      <w:r/>
    </w:p>
    <w:p>
      <w:pPr>
        <w:pStyle w:val="1076"/>
        <w:spacing w:line="360" w:lineRule="auto"/>
        <w:tabs>
          <w:tab w:val="left" w:pos="1050" w:leader="none"/>
          <w:tab w:val="right" w:pos="8937" w:leader="dot"/>
        </w:tabs>
        <w:rPr>
          <w:rFonts w:hint="eastAsia" w:cs="宋体"/>
          <w:b w:val="0"/>
        </w:rPr>
      </w:pPr>
      <w:r>
        <w:rPr>
          <w:rFonts w:hint="eastAsia" w:cs="宋体"/>
        </w:rPr>
        <w:fldChar w:fldCharType="end"/>
      </w:r>
      <w:r>
        <w:rPr>
          <w:rFonts w:hint="eastAsia" w:cs="宋体"/>
          <w:b w:val="0"/>
        </w:rPr>
      </w:r>
      <w:r/>
    </w:p>
    <w:p>
      <w:pPr>
        <w:pStyle w:val="1076"/>
        <w:spacing w:line="360" w:lineRule="auto"/>
        <w:tabs>
          <w:tab w:val="left" w:pos="1050" w:leader="none"/>
          <w:tab w:val="right" w:pos="8937" w:leader="dot"/>
        </w:tabs>
        <w:rPr>
          <w:rFonts w:hint="eastAsia" w:cs="宋体"/>
          <w:b w:val="0"/>
          <w:sz w:val="36"/>
          <w:szCs w:val="36"/>
        </w:rPr>
      </w:pPr>
      <w:r>
        <w:rPr>
          <w:rFonts w:hint="eastAsia" w:cs="宋体"/>
          <w:b w:val="0"/>
          <w:sz w:val="36"/>
          <w:szCs w:val="36"/>
        </w:rPr>
      </w:r>
      <w:r/>
    </w:p>
    <w:p>
      <w:pPr>
        <w:pStyle w:val="1023"/>
        <w:jc w:val="center"/>
        <w:spacing w:line="360" w:lineRule="auto"/>
        <w:rPr>
          <w:rFonts w:hint="eastAsia" w:ascii="宋体" w:hAnsi="宋体" w:cs="宋体"/>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7" w:right="1134" w:bottom="1417" w:left="1417" w:header="851" w:footer="850" w:gutter="0"/>
          <w:pgNumType w:start="1"/>
          <w:cols w:num="1" w:sep="0" w:space="1701" w:equalWidth="1"/>
          <w:docGrid w:linePitch="360"/>
        </w:sectPr>
      </w:pPr>
      <w:r>
        <w:rPr>
          <w:rFonts w:hint="eastAsia" w:ascii="宋体" w:hAnsi="宋体" w:cs="宋体"/>
          <w:b/>
          <w:sz w:val="36"/>
          <w:szCs w:val="36"/>
        </w:rPr>
        <w:br w:type="page" w:clear="all"/>
      </w:r>
      <w:r/>
    </w:p>
    <w:p>
      <w:pPr>
        <w:pStyle w:val="1023"/>
        <w:jc w:val="center"/>
        <w:spacing w:line="360" w:lineRule="auto"/>
        <w:rPr>
          <w:rFonts w:hint="eastAsia" w:ascii="宋体" w:hAnsi="宋体" w:cs="宋体"/>
          <w:b/>
          <w:sz w:val="36"/>
          <w:szCs w:val="36"/>
        </w:rPr>
        <w:outlineLvl w:val="0"/>
      </w:pPr>
      <w:r/>
      <w:bookmarkStart w:id="1" w:name="_Toc30548"/>
      <w:r>
        <w:rPr>
          <w:rFonts w:hint="eastAsia" w:ascii="宋体" w:hAnsi="宋体" w:cs="宋体"/>
          <w:b/>
          <w:sz w:val="36"/>
          <w:szCs w:val="36"/>
        </w:rPr>
        <w:t xml:space="preserve">第一章   投标邀请</w:t>
      </w:r>
      <w:bookmarkEnd w:id="1"/>
      <w:r/>
      <w:bookmarkStart w:id="2" w:name="_Toc35393621"/>
      <w:r/>
      <w:bookmarkStart w:id="3" w:name="_Toc35393790"/>
      <w:r/>
      <w:bookmarkStart w:id="4" w:name="_Toc28359079"/>
      <w:r/>
      <w:bookmarkStart w:id="5" w:name="_Toc28359002"/>
      <w:r/>
      <w:bookmarkStart w:id="6" w:name="_Hlk24379207"/>
      <w:r>
        <w:rPr>
          <w:rFonts w:hint="eastAsia" w:ascii="宋体" w:hAnsi="宋体" w:cs="宋体"/>
          <w:b/>
          <w:sz w:val="36"/>
          <w:szCs w:val="36"/>
        </w:rPr>
      </w:r>
      <w:r/>
    </w:p>
    <w:p>
      <w:pPr>
        <w:pStyle w:val="1023"/>
        <w:ind w:firstLine="480"/>
        <w:spacing w:line="360" w:lineRule="auto"/>
        <w:rPr>
          <w:rFonts w:hint="eastAsia" w:ascii="宋体" w:hAnsi="宋体" w:cs="宋体"/>
          <w:sz w:val="24"/>
        </w:rPr>
      </w:pPr>
      <w:r>
        <w:rPr>
          <w:rFonts w:hint="eastAsia" w:ascii="宋体" w:hAnsi="宋体" w:cs="宋体"/>
          <w:sz w:val="24"/>
        </w:rPr>
      </w:r>
      <w:r/>
    </w:p>
    <w:p>
      <w:pPr>
        <w:pStyle w:val="1025"/>
        <w:jc w:val="left"/>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一、项目基本情况</w:t>
      </w:r>
      <w:bookmarkEnd w:id="2"/>
      <w:r/>
      <w:bookmarkEnd w:id="3"/>
      <w:r/>
      <w:bookmarkEnd w:id="4"/>
      <w:r/>
      <w:bookmarkEnd w:id="5"/>
      <w:r>
        <w:rPr>
          <w:rFonts w:hint="eastAsia" w:ascii="宋体" w:hAnsi="宋体" w:eastAsia="宋体" w:cs="宋体"/>
          <w:sz w:val="24"/>
          <w:szCs w:val="24"/>
        </w:rPr>
      </w:r>
      <w:r/>
    </w:p>
    <w:p>
      <w:pPr>
        <w:pStyle w:val="1023"/>
        <w:ind w:firstLine="480"/>
        <w:spacing w:line="360" w:lineRule="auto"/>
        <w:rPr>
          <w:rFonts w:hint="eastAsia" w:ascii="宋体" w:hAnsi="宋体" w:cs="宋体"/>
          <w:sz w:val="24"/>
        </w:rPr>
      </w:pPr>
      <w:r>
        <w:rPr>
          <w:rFonts w:hint="eastAsia" w:ascii="宋体" w:hAnsi="宋体" w:cs="宋体"/>
          <w:sz w:val="24"/>
        </w:rPr>
        <w:t xml:space="preserve">1.项目编号：</w:t>
      </w:r>
      <w:r>
        <w:rPr>
          <w:rFonts w:hint="eastAsia" w:ascii="宋体" w:hAnsi="宋体" w:cs="宋体"/>
          <w:sz w:val="24"/>
          <w:highlight w:val="none"/>
          <w:lang w:eastAsia="zh-CN"/>
        </w:rPr>
        <w:t xml:space="preserve">JSZC-320481-LYDC-G2026-00</w:t>
      </w:r>
      <w:r>
        <w:rPr>
          <w:rFonts w:hint="eastAsia" w:ascii="宋体" w:hAnsi="宋体" w:cs="宋体"/>
          <w:sz w:val="24"/>
          <w:highlight w:val="none"/>
          <w:lang w:val="en-US" w:eastAsia="zh-CN"/>
        </w:rPr>
        <w:t xml:space="preserve">01</w:t>
      </w:r>
      <w:r>
        <w:rPr>
          <w:rFonts w:hint="eastAsia" w:ascii="宋体" w:hAnsi="宋体" w:cs="宋体"/>
          <w:sz w:val="24"/>
        </w:rPr>
        <w:t xml:space="preserve">  </w:t>
      </w:r>
      <w:r>
        <w:rPr>
          <w:rFonts w:hint="eastAsia" w:ascii="宋体" w:hAnsi="宋体" w:cs="宋体"/>
          <w:sz w:val="24"/>
        </w:rPr>
      </w:r>
      <w:r/>
    </w:p>
    <w:p>
      <w:pPr>
        <w:pStyle w:val="1023"/>
        <w:ind w:firstLine="480"/>
        <w:spacing w:line="360" w:lineRule="auto"/>
        <w:rPr>
          <w:rFonts w:hint="eastAsia" w:ascii="宋体" w:hAnsi="宋体" w:cs="宋体"/>
          <w:sz w:val="24"/>
          <w:u w:val="single"/>
        </w:rPr>
      </w:pPr>
      <w:r>
        <w:rPr>
          <w:rFonts w:hint="eastAsia" w:ascii="宋体" w:hAnsi="宋体" w:cs="宋体"/>
          <w:sz w:val="24"/>
        </w:rPr>
        <w:t xml:space="preserve">2.项目名称</w:t>
      </w:r>
      <w:r>
        <w:rPr>
          <w:rFonts w:hint="eastAsia" w:ascii="宋体" w:hAnsi="宋体" w:cs="宋体"/>
          <w:sz w:val="24"/>
          <w:highlight w:val="none"/>
        </w:rPr>
        <w:t xml:space="preserve">：</w:t>
      </w:r>
      <w:r>
        <w:rPr>
          <w:rFonts w:hint="eastAsia" w:ascii="宋体" w:hAnsi="宋体" w:cs="宋体"/>
          <w:sz w:val="24"/>
          <w:highlight w:val="none"/>
          <w:lang w:eastAsia="zh-CN"/>
        </w:rPr>
        <w:t xml:space="preserve">溧阳市标准化考场运行维护服务项目</w:t>
      </w:r>
      <w:r>
        <w:rPr>
          <w:rFonts w:hint="eastAsia" w:ascii="宋体" w:hAnsi="宋体" w:cs="宋体"/>
          <w:sz w:val="24"/>
        </w:rPr>
        <w:t xml:space="preserve">      </w:t>
      </w:r>
      <w:r>
        <w:rPr>
          <w:rFonts w:hint="eastAsia" w:ascii="宋体" w:hAnsi="宋体" w:cs="宋体"/>
          <w:sz w:val="24"/>
          <w:u w:val="single"/>
        </w:rPr>
      </w:r>
      <w:r/>
    </w:p>
    <w:p>
      <w:pPr>
        <w:pStyle w:val="1023"/>
        <w:ind w:firstLine="480"/>
        <w:spacing w:line="360" w:lineRule="auto"/>
        <w:rPr>
          <w:sz w:val="24"/>
        </w:rPr>
      </w:pPr>
      <w:r>
        <w:rPr>
          <w:rFonts w:hint="eastAsia" w:ascii="宋体" w:hAnsi="宋体" w:cs="宋体"/>
          <w:sz w:val="24"/>
        </w:rPr>
        <w:t xml:space="preserve">3.</w:t>
      </w:r>
      <w:r>
        <w:rPr>
          <w:rFonts w:hint="eastAsia" w:ascii="宋体" w:hAnsi="宋体" w:cs="宋体"/>
          <w:sz w:val="24"/>
        </w:rPr>
        <w:t xml:space="preserve">项目预算金额：</w:t>
      </w:r>
      <w:r>
        <w:rPr>
          <w:rFonts w:hint="eastAsia"/>
          <w:sz w:val="24"/>
          <w:lang w:val="en-US" w:eastAsia="zh-CN"/>
        </w:rPr>
        <w:t xml:space="preserve">86</w:t>
      </w:r>
      <w:r>
        <w:rPr>
          <w:sz w:val="24"/>
        </w:rPr>
        <w:t xml:space="preserve">万元</w:t>
      </w:r>
      <w:r>
        <w:rPr>
          <w:sz w:val="24"/>
        </w:rPr>
      </w:r>
      <w:r/>
    </w:p>
    <w:p>
      <w:pPr>
        <w:pStyle w:val="1023"/>
        <w:ind w:firstLine="720"/>
        <w:spacing w:line="360" w:lineRule="auto"/>
        <w:rPr>
          <w:rFonts w:hint="eastAsia" w:ascii="宋体" w:hAnsi="宋体" w:cs="宋体"/>
          <w:sz w:val="24"/>
        </w:rPr>
      </w:pPr>
      <w:r>
        <w:rPr>
          <w:sz w:val="24"/>
        </w:rPr>
        <w:t xml:space="preserve">项目最高限价：</w:t>
      </w:r>
      <w:r>
        <w:rPr>
          <w:rFonts w:hint="eastAsia"/>
          <w:sz w:val="24"/>
          <w:lang w:val="en-US" w:eastAsia="zh-CN"/>
        </w:rPr>
        <w:t xml:space="preserve">86</w:t>
      </w:r>
      <w:r>
        <w:rPr>
          <w:rFonts w:hint="eastAsia"/>
          <w:sz w:val="24"/>
        </w:rPr>
        <w:t xml:space="preserve">万</w:t>
      </w:r>
      <w:r>
        <w:rPr>
          <w:sz w:val="24"/>
        </w:rPr>
        <w:t xml:space="preserve">元</w:t>
      </w:r>
      <w:r>
        <w:rPr>
          <w:rFonts w:hint="eastAsia" w:ascii="宋体" w:hAnsi="宋体" w:cs="宋体"/>
          <w:sz w:val="24"/>
        </w:rPr>
      </w:r>
      <w:r/>
    </w:p>
    <w:p>
      <w:pPr>
        <w:pStyle w:val="1023"/>
        <w:ind w:firstLine="480"/>
        <w:spacing w:line="360" w:lineRule="auto"/>
        <w:rPr>
          <w:rFonts w:hint="eastAsia" w:ascii="宋体" w:hAnsi="宋体" w:cs="宋体"/>
          <w:sz w:val="24"/>
        </w:rPr>
      </w:pPr>
      <w:r/>
      <w:bookmarkEnd w:id="6"/>
      <w:r>
        <w:rPr>
          <w:rFonts w:hint="eastAsia" w:ascii="宋体" w:hAnsi="宋体" w:cs="宋体"/>
          <w:sz w:val="24"/>
        </w:rPr>
        <w:t xml:space="preserve">4</w:t>
      </w:r>
      <w:r>
        <w:rPr>
          <w:rFonts w:hint="eastAsia" w:ascii="宋体" w:hAnsi="宋体" w:cs="宋体"/>
          <w:sz w:val="24"/>
          <w:highlight w:val="none"/>
        </w:rPr>
        <w:t xml:space="preserve">.采购需求</w:t>
      </w:r>
      <w:r>
        <w:rPr>
          <w:rFonts w:hint="eastAsia" w:ascii="宋体" w:hAnsi="宋体" w:cs="宋体"/>
          <w:sz w:val="24"/>
        </w:rPr>
        <w:t xml:space="preserve">：</w:t>
      </w:r>
      <w:r>
        <w:rPr>
          <w:rFonts w:hint="eastAsia" w:ascii="宋体" w:hAnsi="宋体" w:eastAsia="宋体" w:cs="宋体"/>
          <w:sz w:val="24"/>
          <w:szCs w:val="32"/>
        </w:rPr>
        <w:t xml:space="preserve">根据关于省教育厅关于进一步加强国家教育考试标准化考点建设工作的通知，及常州市教育考试院建设要求，为市级指挥中心以及4个标准化考点学校，提供运维升级服务。服务内容包括但不限于摄像头、存储服务器、</w:t>
      </w:r>
      <w:r>
        <w:rPr>
          <w:rFonts w:hint="eastAsia" w:ascii="宋体" w:hAnsi="宋体" w:eastAsia="宋体" w:cs="宋体"/>
          <w:sz w:val="24"/>
          <w:szCs w:val="32"/>
          <w:lang w:val="en-US" w:eastAsia="zh-CN"/>
        </w:rPr>
        <w:t xml:space="preserve">安检门、</w:t>
      </w:r>
      <w:r>
        <w:rPr>
          <w:rFonts w:hint="eastAsia" w:ascii="宋体" w:hAnsi="宋体" w:eastAsia="宋体" w:cs="宋体"/>
          <w:sz w:val="24"/>
          <w:szCs w:val="32"/>
        </w:rPr>
        <w:t xml:space="preserve">信号屏蔽仪、考务通、智能巡检和金属探测仪等设备的升级建设及后期维护。服务延续时间为3年。</w:t>
      </w:r>
      <w:r>
        <w:rPr>
          <w:rFonts w:hint="eastAsia" w:ascii="宋体" w:hAnsi="宋体" w:cs="宋体"/>
          <w:sz w:val="24"/>
        </w:rPr>
      </w:r>
      <w:r/>
    </w:p>
    <w:p>
      <w:pPr>
        <w:pStyle w:val="1023"/>
        <w:ind w:firstLine="480"/>
        <w:spacing w:line="360" w:lineRule="auto"/>
        <w:rPr>
          <w:rFonts w:hint="eastAsia"/>
        </w:rPr>
      </w:pPr>
      <w:r>
        <w:rPr>
          <w:rFonts w:hint="eastAsia" w:ascii="宋体" w:hAnsi="宋体" w:cs="宋体"/>
          <w:sz w:val="24"/>
        </w:rPr>
        <w:t xml:space="preserve">5.</w:t>
      </w:r>
      <w:r>
        <w:rPr>
          <w:rFonts w:hint="eastAsia" w:ascii="宋体" w:hAnsi="宋体" w:cs="宋体"/>
          <w:sz w:val="24"/>
          <w:highlight w:val="none"/>
        </w:rPr>
        <w:t xml:space="preserve">合同履行期限：</w:t>
      </w:r>
      <w:r>
        <w:rPr>
          <w:rFonts w:hint="eastAsia" w:ascii="宋体" w:hAnsi="宋体" w:eastAsia="宋体" w:cs="宋体"/>
          <w:color w:val="000000"/>
          <w:sz w:val="24"/>
          <w:highlight w:val="none"/>
        </w:rPr>
        <w:t xml:space="preserve">三年。</w:t>
      </w:r>
      <w:r>
        <w:rPr>
          <w:rFonts w:hint="eastAsia"/>
        </w:rPr>
      </w:r>
      <w:r/>
    </w:p>
    <w:p>
      <w:pPr>
        <w:pStyle w:val="1023"/>
        <w:ind w:firstLine="480"/>
        <w:spacing w:line="360" w:lineRule="auto"/>
        <w:rPr>
          <w:rFonts w:hint="eastAsia" w:ascii="宋体" w:hAnsi="宋体" w:cs="宋体"/>
          <w:sz w:val="24"/>
          <w:u w:val="single"/>
        </w:rPr>
      </w:pPr>
      <w:r>
        <w:rPr>
          <w:rFonts w:hint="eastAsia" w:ascii="宋体" w:hAnsi="宋体" w:cs="宋体"/>
          <w:sz w:val="24"/>
        </w:rPr>
        <w:t xml:space="preserve">6.本项目是否接受联合体投标：否。</w:t>
      </w:r>
      <w:r>
        <w:rPr>
          <w:rFonts w:hint="eastAsia" w:ascii="宋体" w:hAnsi="宋体" w:cs="宋体"/>
          <w:sz w:val="24"/>
          <w:u w:val="single"/>
        </w:rPr>
      </w:r>
      <w:r/>
    </w:p>
    <w:p>
      <w:pPr>
        <w:pStyle w:val="1025"/>
        <w:jc w:val="left"/>
        <w:spacing w:before="0" w:line="360" w:lineRule="auto"/>
        <w:rPr>
          <w:rFonts w:hint="eastAsia" w:ascii="宋体" w:hAnsi="宋体" w:eastAsia="宋体" w:cs="宋体"/>
          <w:sz w:val="24"/>
          <w:szCs w:val="24"/>
        </w:rPr>
      </w:pPr>
      <w:r/>
      <w:bookmarkStart w:id="7" w:name="_Toc35393622"/>
      <w:r/>
      <w:bookmarkStart w:id="8" w:name="_Toc35393791"/>
      <w:r/>
      <w:bookmarkStart w:id="9" w:name="_Toc28359080"/>
      <w:r/>
      <w:bookmarkStart w:id="10" w:name="_Toc28359003"/>
      <w:r>
        <w:rPr>
          <w:rFonts w:hint="eastAsia" w:ascii="宋体" w:hAnsi="宋体" w:eastAsia="宋体" w:cs="宋体"/>
          <w:sz w:val="24"/>
          <w:szCs w:val="24"/>
        </w:rPr>
      </w:r>
      <w:r/>
    </w:p>
    <w:p>
      <w:pPr>
        <w:pStyle w:val="1025"/>
        <w:jc w:val="left"/>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7"/>
      <w:r/>
      <w:bookmarkEnd w:id="8"/>
      <w:r/>
      <w:bookmarkEnd w:id="9"/>
      <w:r/>
      <w:bookmarkEnd w:id="10"/>
      <w:r>
        <w:rPr>
          <w:rFonts w:hint="eastAsia" w:ascii="宋体" w:hAnsi="宋体" w:eastAsia="宋体" w:cs="宋体"/>
          <w:sz w:val="24"/>
          <w:szCs w:val="24"/>
        </w:rPr>
      </w:r>
      <w:r/>
    </w:p>
    <w:p>
      <w:pPr>
        <w:pStyle w:val="1023"/>
        <w:ind w:firstLine="480"/>
        <w:spacing w:line="360" w:lineRule="auto"/>
        <w:rPr>
          <w:rFonts w:hint="eastAsia" w:ascii="宋体" w:hAnsi="宋体" w:cs="宋体"/>
          <w:sz w:val="24"/>
        </w:rPr>
      </w:pPr>
      <w:r/>
      <w:bookmarkStart w:id="11" w:name="_Toc28359081"/>
      <w:r/>
      <w:bookmarkStart w:id="12" w:name="_Toc28359004"/>
      <w:r>
        <w:rPr>
          <w:rFonts w:hint="eastAsia" w:ascii="宋体" w:hAnsi="宋体" w:cs="宋体"/>
          <w:sz w:val="24"/>
        </w:rPr>
        <w:t xml:space="preserve">1.满足《中华人民共和国政府采购法》第二十二条规定以及下列情形：</w:t>
      </w:r>
      <w:r>
        <w:rPr>
          <w:rFonts w:hint="eastAsia" w:ascii="宋体" w:hAnsi="宋体" w:cs="宋体"/>
          <w:sz w:val="24"/>
        </w:rPr>
      </w:r>
      <w:r/>
    </w:p>
    <w:p>
      <w:pPr>
        <w:pStyle w:val="1023"/>
        <w:ind w:firstLine="480"/>
        <w:spacing w:line="360" w:lineRule="auto"/>
        <w:rPr>
          <w:rFonts w:hint="eastAsia" w:ascii="宋体" w:hAnsi="宋体" w:cs="宋体"/>
          <w:sz w:val="24"/>
        </w:rPr>
      </w:pPr>
      <w:r>
        <w:rPr>
          <w:rFonts w:hint="eastAsia" w:ascii="宋体" w:hAnsi="宋体" w:cs="宋体"/>
          <w:sz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 w:val="24"/>
        </w:rPr>
      </w:r>
      <w:r/>
    </w:p>
    <w:p>
      <w:pPr>
        <w:pStyle w:val="1023"/>
        <w:ind w:firstLine="480"/>
        <w:spacing w:line="360" w:lineRule="auto"/>
        <w:rPr>
          <w:rFonts w:hint="eastAsia" w:ascii="宋体" w:hAnsi="宋体" w:cs="宋体"/>
          <w:sz w:val="24"/>
        </w:rPr>
      </w:pPr>
      <w:r>
        <w:rPr>
          <w:rFonts w:hint="eastAsia" w:ascii="宋体" w:hAnsi="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rPr>
      </w:r>
      <w:r/>
    </w:p>
    <w:p>
      <w:pPr>
        <w:pStyle w:val="1023"/>
        <w:ind w:firstLine="480"/>
        <w:spacing w:line="360" w:lineRule="auto"/>
        <w:rPr>
          <w:rFonts w:hint="eastAsia" w:ascii="宋体" w:hAnsi="宋体" w:cs="宋体"/>
          <w:sz w:val="24"/>
        </w:rPr>
        <w:outlineLvl w:val="2"/>
      </w:pPr>
      <w:r>
        <w:rPr>
          <w:rFonts w:hint="eastAsia" w:ascii="宋体" w:hAnsi="宋体" w:cs="宋体"/>
          <w:sz w:val="24"/>
        </w:rPr>
        <w:t xml:space="preserve">2.落实政府采购政策需满足的资格要求：</w:t>
      </w:r>
      <w:r>
        <w:rPr>
          <w:rFonts w:hint="eastAsia" w:ascii="宋体" w:hAnsi="宋体" w:cs="宋体"/>
          <w:sz w:val="24"/>
        </w:rPr>
      </w:r>
      <w:r/>
    </w:p>
    <w:p>
      <w:pPr>
        <w:pStyle w:val="1023"/>
        <w:ind w:firstLine="480"/>
        <w:spacing w:line="360" w:lineRule="auto"/>
        <w:rPr>
          <w:b/>
          <w:bCs/>
          <w:sz w:val="24"/>
        </w:rPr>
        <w:outlineLvl w:val="3"/>
      </w:pPr>
      <w:r>
        <w:rPr>
          <w:rFonts w:hint="eastAsia" w:ascii="宋体" w:hAnsi="宋体" w:cs="宋体"/>
          <w:sz w:val="24"/>
        </w:rPr>
        <w:t xml:space="preserve">2.1 中小企业政策</w:t>
      </w:r>
      <w:r>
        <w:rPr>
          <w:rFonts w:hint="eastAsia" w:ascii="宋体" w:hAnsi="宋体" w:cs="宋体"/>
          <w:sz w:val="24"/>
          <w:lang w:eastAsia="zh-CN"/>
        </w:rPr>
        <w:t xml:space="preserve">：</w:t>
      </w:r>
      <w:r>
        <w:rPr>
          <w:b/>
          <w:bCs/>
          <w:sz w:val="24"/>
        </w:rPr>
        <w:t xml:space="preserve">本项目</w:t>
      </w:r>
      <w:r>
        <w:rPr>
          <w:rFonts w:hint="eastAsia"/>
          <w:b/>
          <w:bCs/>
          <w:sz w:val="24"/>
        </w:rPr>
        <w:t xml:space="preserve">不</w:t>
      </w:r>
      <w:r>
        <w:rPr>
          <w:b/>
          <w:bCs/>
          <w:sz w:val="24"/>
        </w:rPr>
        <w:t xml:space="preserve">专门面向中小企业</w:t>
      </w:r>
      <w:r>
        <w:rPr>
          <w:rFonts w:hint="eastAsia"/>
          <w:b/>
          <w:bCs/>
          <w:sz w:val="24"/>
        </w:rPr>
        <w:t xml:space="preserve">预留采购份额</w:t>
      </w:r>
      <w:r>
        <w:rPr>
          <w:b/>
          <w:bCs/>
          <w:sz w:val="24"/>
        </w:rPr>
        <w:t xml:space="preserve">。</w:t>
      </w:r>
      <w:r>
        <w:rPr>
          <w:b/>
          <w:bCs/>
          <w:sz w:val="24"/>
        </w:rPr>
      </w:r>
      <w:r/>
    </w:p>
    <w:p>
      <w:pPr>
        <w:pStyle w:val="1023"/>
        <w:ind w:firstLine="480"/>
        <w:spacing w:line="360" w:lineRule="auto"/>
        <w:rPr>
          <w:rFonts w:hint="eastAsia" w:ascii="宋体" w:hAnsi="宋体" w:cs="宋体"/>
          <w:sz w:val="24"/>
        </w:rPr>
        <w:outlineLvl w:val="3"/>
      </w:pPr>
      <w:r>
        <w:rPr>
          <w:rFonts w:hint="eastAsia" w:ascii="宋体" w:hAnsi="宋体" w:cs="宋体"/>
          <w:sz w:val="24"/>
        </w:rPr>
        <w:t xml:space="preserve">2.2 其它落实政府采购政策的资格要求：</w:t>
      </w:r>
      <w:r>
        <w:rPr>
          <w:rFonts w:hint="eastAsia" w:ascii="宋体" w:hAnsi="宋体" w:cs="宋体"/>
          <w:sz w:val="24"/>
          <w:u w:val="single"/>
        </w:rPr>
        <w:t xml:space="preserve"> 无 </w:t>
      </w:r>
      <w:r>
        <w:rPr>
          <w:rFonts w:hint="eastAsia" w:ascii="宋体" w:hAnsi="宋体" w:cs="宋体"/>
          <w:sz w:val="24"/>
        </w:rPr>
        <w:t xml:space="preserve">。</w:t>
      </w:r>
      <w:r>
        <w:rPr>
          <w:rFonts w:hint="eastAsia" w:ascii="宋体" w:hAnsi="宋体" w:cs="宋体"/>
          <w:sz w:val="24"/>
        </w:rPr>
      </w:r>
      <w:r/>
    </w:p>
    <w:p>
      <w:pPr>
        <w:pStyle w:val="1023"/>
        <w:ind w:firstLine="480"/>
        <w:spacing w:line="360" w:lineRule="auto"/>
        <w:rPr>
          <w:rFonts w:hint="eastAsia" w:ascii="宋体" w:hAnsi="宋体" w:cs="宋体"/>
          <w:i/>
          <w:iCs/>
          <w:sz w:val="24"/>
          <w:u w:val="single"/>
        </w:rPr>
        <w:outlineLvl w:val="2"/>
      </w:pPr>
      <w:r>
        <w:rPr>
          <w:rFonts w:hint="eastAsia" w:ascii="宋体" w:hAnsi="宋体" w:cs="宋体"/>
          <w:sz w:val="24"/>
        </w:rPr>
        <w:t xml:space="preserve">3.本项目的特定资格要求：</w:t>
      </w:r>
      <w:r>
        <w:rPr>
          <w:rFonts w:hint="eastAsia" w:ascii="宋体" w:hAnsi="宋体" w:cs="宋体"/>
          <w:i/>
          <w:iCs/>
          <w:sz w:val="24"/>
          <w:u w:val="single"/>
        </w:rPr>
      </w:r>
      <w:r/>
    </w:p>
    <w:p>
      <w:pPr>
        <w:pStyle w:val="1023"/>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3.1本项目是否接受分支机构参与响应：</w:t>
      </w:r>
      <w:r>
        <w:rPr>
          <w:rFonts w:hint="eastAsia" w:ascii="宋体" w:hAnsi="宋体" w:cs="宋体"/>
          <w:sz w:val="24"/>
          <w:lang w:val="en-US" w:eastAsia="zh-CN"/>
        </w:rPr>
        <w:t xml:space="preserve">是</w:t>
      </w:r>
      <w:r>
        <w:rPr>
          <w:rFonts w:hint="eastAsia" w:ascii="宋体" w:hAnsi="宋体" w:cs="宋体"/>
          <w:sz w:val="24"/>
        </w:rPr>
        <w:t xml:space="preserve">；</w:t>
      </w:r>
      <w:r>
        <w:rPr>
          <w:rFonts w:hint="eastAsia" w:ascii="宋体" w:hAnsi="宋体" w:cs="宋体"/>
          <w:sz w:val="24"/>
        </w:rPr>
      </w:r>
      <w:r/>
    </w:p>
    <w:p>
      <w:pPr>
        <w:pStyle w:val="1023"/>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highlight w:val="none"/>
        </w:rPr>
        <w:t xml:space="preserve"> 本项目是否属于政府购买服务</w:t>
      </w:r>
      <w:r>
        <w:rPr>
          <w:rFonts w:hint="eastAsia" w:ascii="宋体" w:hAnsi="宋体" w:cs="宋体"/>
          <w:sz w:val="24"/>
        </w:rPr>
        <w:t xml:space="preserve">：</w:t>
      </w:r>
      <w:r>
        <w:rPr>
          <w:rFonts w:hint="eastAsia"/>
          <w:sz w:val="24"/>
          <w:highlight w:val="none"/>
          <w:lang w:val="en-US" w:eastAsia="zh-CN"/>
        </w:rPr>
        <w:t xml:space="preserve">否</w:t>
      </w:r>
      <w:r>
        <w:rPr>
          <w:rFonts w:hint="eastAsia" w:ascii="宋体" w:hAnsi="宋体" w:cs="宋体"/>
          <w:sz w:val="24"/>
        </w:rPr>
        <w:t xml:space="preserve">；</w:t>
      </w:r>
      <w:r>
        <w:rPr>
          <w:rFonts w:hint="eastAsia" w:ascii="宋体" w:hAnsi="宋体" w:cs="宋体"/>
          <w:sz w:val="24"/>
        </w:rPr>
      </w:r>
      <w:r/>
    </w:p>
    <w:p>
      <w:pPr>
        <w:pStyle w:val="1023"/>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iCs/>
          <w:sz w:val="24"/>
          <w:u w:val="single"/>
          <w:lang w:eastAsia="zh-CN"/>
        </w:rPr>
      </w:pPr>
      <w:r>
        <w:rPr>
          <w:rFonts w:hint="eastAsia" w:ascii="宋体" w:hAnsi="宋体" w:cs="宋体"/>
          <w:sz w:val="24"/>
        </w:rPr>
        <w:t xml:space="preserve">3.3</w:t>
      </w:r>
      <w:r>
        <w:rPr>
          <w:rFonts w:hint="eastAsia" w:ascii="宋体" w:hAnsi="宋体" w:cs="宋体"/>
          <w:sz w:val="24"/>
          <w:highlight w:val="none"/>
        </w:rPr>
        <w:t xml:space="preserve">其他特定资格要求：</w:t>
      </w:r>
      <w:r>
        <w:rPr>
          <w:rFonts w:hint="eastAsia" w:ascii="宋体" w:hAnsi="宋体" w:eastAsia="宋体" w:cs="Times New Roman"/>
          <w:sz w:val="24"/>
          <w:highlight w:val="none"/>
          <w:lang w:val="en-US" w:eastAsia="zh-CN"/>
        </w:rPr>
        <w:t xml:space="preserve">无。</w:t>
      </w:r>
      <w:r>
        <w:rPr>
          <w:rFonts w:hint="eastAsia" w:ascii="宋体" w:hAnsi="宋体" w:eastAsia="宋体" w:cs="宋体"/>
          <w:i/>
          <w:iCs/>
          <w:sz w:val="24"/>
          <w:u w:val="single"/>
          <w:lang w:eastAsia="zh-CN"/>
        </w:rPr>
      </w:r>
      <w:r/>
    </w:p>
    <w:p>
      <w:pPr>
        <w:pStyle w:val="1025"/>
        <w:jc w:val="left"/>
        <w:spacing w:before="0" w:line="360" w:lineRule="auto"/>
        <w:widowControl/>
        <w:rPr>
          <w:rFonts w:hint="eastAsia" w:ascii="宋体" w:hAnsi="宋体" w:eastAsia="宋体" w:cs="宋体"/>
          <w:sz w:val="24"/>
          <w:szCs w:val="24"/>
        </w:rPr>
      </w:pPr>
      <w:r/>
      <w:bookmarkEnd w:id="11"/>
      <w:r/>
      <w:bookmarkEnd w:id="12"/>
      <w:r/>
      <w:bookmarkStart w:id="13" w:name="_Toc35393792"/>
      <w:r/>
      <w:bookmarkStart w:id="14" w:name="_Toc35393623"/>
      <w:r>
        <w:rPr>
          <w:rFonts w:hint="eastAsia" w:ascii="宋体" w:hAnsi="宋体" w:eastAsia="宋体" w:cs="宋体"/>
          <w:sz w:val="24"/>
          <w:szCs w:val="24"/>
        </w:rPr>
      </w:r>
      <w:r/>
    </w:p>
    <w:p>
      <w:pPr>
        <w:pStyle w:val="1025"/>
        <w:jc w:val="left"/>
        <w:spacing w:before="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三、获取采购文件</w:t>
      </w:r>
      <w:bookmarkEnd w:id="13"/>
      <w:r/>
      <w:bookmarkEnd w:id="14"/>
      <w:r>
        <w:rPr>
          <w:rFonts w:hint="eastAsia" w:ascii="宋体" w:hAnsi="宋体" w:eastAsia="宋体" w:cs="宋体"/>
          <w:sz w:val="24"/>
          <w:szCs w:val="24"/>
        </w:rPr>
      </w:r>
      <w:r/>
    </w:p>
    <w:p>
      <w:pPr>
        <w:pStyle w:val="1023"/>
        <w:ind w:firstLine="480"/>
        <w:spacing w:line="360" w:lineRule="auto"/>
        <w:rPr>
          <w:sz w:val="24"/>
          <w:lang w:bidi="ar"/>
        </w:rPr>
      </w:pPr>
      <w:r>
        <w:rPr>
          <w:sz w:val="24"/>
          <w:lang w:bidi="ar"/>
        </w:rPr>
        <w:t xml:space="preserve">1.时间</w:t>
      </w:r>
      <w:r>
        <w:rPr>
          <w:rFonts w:hint="eastAsia" w:ascii="Times New Roman" w:hAnsi="Times New Roman" w:eastAsia="宋体" w:cs="Times New Roman"/>
          <w:sz w:val="24"/>
          <w:lang w:val="en-US" w:eastAsia="zh-CN" w:bidi="ar"/>
        </w:rPr>
        <w:t xml:space="preserve">：自招标公告发布之日起5个工作日。</w:t>
      </w:r>
      <w:r>
        <w:rPr>
          <w:sz w:val="24"/>
          <w:lang w:bidi="ar"/>
        </w:rPr>
      </w:r>
      <w:r/>
    </w:p>
    <w:p>
      <w:pPr>
        <w:pStyle w:val="1023"/>
        <w:ind w:firstLine="480"/>
        <w:spacing w:line="360" w:lineRule="auto"/>
        <w:rPr>
          <w:rFonts w:hint="eastAsia" w:eastAsia="宋体"/>
          <w:sz w:val="24"/>
          <w:lang w:eastAsia="zh-CN"/>
        </w:rPr>
      </w:pPr>
      <w:r>
        <w:rPr>
          <w:sz w:val="24"/>
          <w:lang w:bidi="ar"/>
        </w:rPr>
        <w:t xml:space="preserve">2.地点：</w:t>
      </w:r>
      <w:r>
        <w:rPr>
          <w:rFonts w:hint="eastAsia"/>
          <w:sz w:val="24"/>
          <w:lang w:val="en-US" w:eastAsia="zh-CN" w:bidi="ar"/>
        </w:rPr>
        <w:t xml:space="preserve">苏采云</w:t>
      </w:r>
      <w:r>
        <w:rPr>
          <w:rFonts w:hint="eastAsia" w:eastAsia="宋体"/>
          <w:sz w:val="24"/>
          <w:lang w:eastAsia="zh-CN"/>
        </w:rPr>
      </w:r>
      <w:r/>
    </w:p>
    <w:p>
      <w:pPr>
        <w:pStyle w:val="1023"/>
        <w:ind w:firstLine="480"/>
        <w:jc w:val="left"/>
        <w:spacing w:line="360" w:lineRule="auto"/>
        <w:widowControl/>
        <w:rPr>
          <w:sz w:val="24"/>
          <w:lang w:val="en-US" w:eastAsia="zh-CN" w:bidi="ar"/>
        </w:rPr>
      </w:pPr>
      <w:r>
        <w:rPr>
          <w:sz w:val="24"/>
          <w:lang w:bidi="ar"/>
        </w:rPr>
        <w:t xml:space="preserve">3.方式：供应商持CA数字认证证书登录</w:t>
      </w:r>
      <w:r>
        <w:rPr>
          <w:rFonts w:hint="eastAsia"/>
          <w:sz w:val="24"/>
          <w:lang w:bidi="ar"/>
        </w:rPr>
        <w:t xml:space="preserve">“苏采云”系统</w:t>
      </w:r>
      <w:r>
        <w:rPr>
          <w:sz w:val="24"/>
          <w:lang w:bidi="ar"/>
        </w:rPr>
        <w:t xml:space="preserve">获取电子版</w:t>
      </w:r>
      <w:r>
        <w:rPr>
          <w:rFonts w:hint="eastAsia"/>
          <w:sz w:val="24"/>
          <w:lang w:val="en-US" w:eastAsia="zh-CN" w:bidi="ar"/>
        </w:rPr>
        <w:t xml:space="preserve">采购</w:t>
      </w:r>
      <w:r>
        <w:rPr>
          <w:sz w:val="24"/>
          <w:lang w:bidi="ar"/>
        </w:rPr>
        <w:t xml:space="preserve">文件。</w:t>
      </w:r>
      <w:r>
        <w:rPr>
          <w:sz w:val="24"/>
          <w:lang w:val="en-US" w:eastAsia="zh-CN" w:bidi="ar"/>
        </w:rPr>
      </w:r>
      <w:r/>
    </w:p>
    <w:p>
      <w:pPr>
        <w:pStyle w:val="1023"/>
        <w:ind w:firstLine="480"/>
        <w:jc w:val="left"/>
        <w:spacing w:line="360" w:lineRule="auto"/>
        <w:widowControl/>
        <w:rPr>
          <w:rFonts w:hint="eastAsia" w:ascii="宋体" w:hAnsi="宋体" w:cs="宋体"/>
          <w:sz w:val="24"/>
        </w:rPr>
        <w:outlineLvl w:val="2"/>
      </w:pPr>
      <w:r>
        <w:rPr>
          <w:sz w:val="24"/>
          <w:lang w:bidi="ar"/>
        </w:rPr>
        <w:t xml:space="preserve">4.售价：0元。</w:t>
      </w:r>
      <w:r>
        <w:rPr>
          <w:rFonts w:hint="eastAsia" w:ascii="宋体" w:hAnsi="宋体" w:cs="宋体"/>
          <w:sz w:val="24"/>
        </w:rPr>
      </w:r>
      <w:r/>
    </w:p>
    <w:p>
      <w:pPr>
        <w:pStyle w:val="1025"/>
        <w:jc w:val="left"/>
        <w:spacing w:before="0" w:line="360" w:lineRule="auto"/>
        <w:widowControl/>
        <w:rPr>
          <w:rFonts w:hint="eastAsia" w:ascii="宋体" w:hAnsi="宋体" w:eastAsia="宋体" w:cs="宋体"/>
          <w:sz w:val="24"/>
          <w:szCs w:val="24"/>
        </w:rPr>
      </w:pPr>
      <w:r/>
      <w:bookmarkStart w:id="15" w:name="_Toc35393624"/>
      <w:r/>
      <w:bookmarkStart w:id="16" w:name="_Toc28359082"/>
      <w:r/>
      <w:bookmarkStart w:id="17" w:name="_Toc28359005"/>
      <w:r/>
      <w:bookmarkStart w:id="18" w:name="_Toc35393793"/>
      <w:r>
        <w:rPr>
          <w:rFonts w:hint="eastAsia" w:ascii="宋体" w:hAnsi="宋体" w:eastAsia="宋体" w:cs="宋体"/>
          <w:sz w:val="24"/>
          <w:szCs w:val="24"/>
        </w:rPr>
      </w:r>
      <w:r/>
    </w:p>
    <w:p>
      <w:pPr>
        <w:pStyle w:val="1025"/>
        <w:jc w:val="left"/>
        <w:spacing w:before="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w:t>
      </w:r>
      <w:bookmarkEnd w:id="15"/>
      <w:r/>
      <w:bookmarkEnd w:id="16"/>
      <w:r/>
      <w:bookmarkEnd w:id="17"/>
      <w:r/>
      <w:bookmarkEnd w:id="18"/>
      <w:r>
        <w:rPr>
          <w:rFonts w:ascii="Times New Roman" w:hAnsi="Times New Roman" w:eastAsia="宋体"/>
          <w:sz w:val="24"/>
          <w:szCs w:val="24"/>
        </w:rPr>
        <w:t xml:space="preserve">提交投标文件截止时间、开标时间和地点</w:t>
      </w:r>
      <w:r>
        <w:rPr>
          <w:rFonts w:hint="eastAsia" w:ascii="宋体" w:hAnsi="宋体" w:eastAsia="宋体" w:cs="宋体"/>
          <w:sz w:val="24"/>
          <w:szCs w:val="24"/>
        </w:rPr>
      </w:r>
      <w:r/>
    </w:p>
    <w:p>
      <w:pPr>
        <w:pStyle w:val="1023"/>
        <w:ind w:firstLine="480"/>
        <w:spacing w:line="360" w:lineRule="auto"/>
        <w:rPr>
          <w:bCs/>
          <w:sz w:val="24"/>
          <w:u w:val="single"/>
        </w:rPr>
      </w:pPr>
      <w:r>
        <w:rPr>
          <w:sz w:val="24"/>
          <w:lang w:bidi="ar"/>
        </w:rPr>
        <w:t xml:space="preserve">截止时间：</w:t>
      </w:r>
      <w:r>
        <w:rPr>
          <w:rFonts w:hint="eastAsia"/>
          <w:sz w:val="24"/>
          <w:highlight w:val="none"/>
          <w:lang w:val="en-US" w:eastAsia="zh-CN" w:bidi="ar"/>
        </w:rPr>
        <w:t xml:space="preserve">2026年03月06日14点00分</w:t>
      </w:r>
      <w:r>
        <w:rPr>
          <w:bCs/>
          <w:sz w:val="24"/>
          <w:lang w:bidi="ar"/>
        </w:rPr>
        <w:t xml:space="preserve">（北京时间）</w:t>
      </w:r>
      <w:r>
        <w:rPr>
          <w:iCs/>
          <w:sz w:val="24"/>
          <w:lang w:bidi="ar"/>
        </w:rPr>
        <w:t xml:space="preserve">。</w:t>
      </w:r>
      <w:r>
        <w:rPr>
          <w:bCs/>
          <w:sz w:val="24"/>
          <w:u w:val="single"/>
        </w:rPr>
      </w:r>
      <w:r/>
    </w:p>
    <w:p>
      <w:pPr>
        <w:pStyle w:val="1023"/>
        <w:ind w:firstLine="480"/>
        <w:spacing w:line="360" w:lineRule="auto"/>
        <w:rPr>
          <w:rFonts w:hint="eastAsia" w:ascii="宋体" w:hAnsi="宋体" w:cs="宋体"/>
          <w:bCs/>
          <w:sz w:val="24"/>
          <w:u w:val="single"/>
        </w:rPr>
      </w:pPr>
      <w:r>
        <w:rPr>
          <w:sz w:val="24"/>
          <w:lang w:bidi="ar"/>
        </w:rPr>
        <w:t xml:space="preserve">地点：</w:t>
      </w:r>
      <w:r>
        <w:rPr>
          <w:rFonts w:hint="eastAsia" w:ascii="宋体" w:hAnsi="宋体"/>
          <w:sz w:val="24"/>
        </w:rPr>
        <w:t xml:space="preserve">本项目采用不见面交易方式，无需到现场提交，供应商登录</w:t>
      </w:r>
      <w:r>
        <w:rPr>
          <w:rFonts w:hint="eastAsia"/>
          <w:sz w:val="24"/>
          <w:lang w:bidi="ar"/>
        </w:rPr>
        <w:t xml:space="preserve">“苏采云”</w:t>
      </w:r>
      <w:r>
        <w:rPr>
          <w:rFonts w:hint="eastAsia" w:ascii="宋体" w:hAnsi="宋体"/>
          <w:sz w:val="24"/>
        </w:rPr>
        <w:t xml:space="preserve">供应商端，通过系统在线提交电子响应文件</w:t>
      </w:r>
      <w:r>
        <w:rPr>
          <w:sz w:val="24"/>
          <w:lang w:val="zh-TW" w:bidi="ar"/>
        </w:rPr>
        <w:t xml:space="preserve">。</w:t>
      </w:r>
      <w:r>
        <w:rPr>
          <w:rFonts w:hint="eastAsia" w:ascii="宋体" w:hAnsi="宋体" w:cs="宋体"/>
          <w:bCs/>
          <w:sz w:val="24"/>
          <w:u w:val="single"/>
        </w:rPr>
      </w:r>
      <w:r/>
    </w:p>
    <w:p>
      <w:pPr>
        <w:pStyle w:val="1025"/>
        <w:jc w:val="left"/>
        <w:spacing w:before="0" w:line="360" w:lineRule="auto"/>
        <w:rPr>
          <w:rFonts w:hint="eastAsia" w:ascii="宋体" w:hAnsi="宋体" w:eastAsia="宋体" w:cs="宋体"/>
          <w:sz w:val="24"/>
          <w:szCs w:val="24"/>
        </w:rPr>
      </w:pPr>
      <w:r/>
      <w:bookmarkStart w:id="19" w:name="_Toc35393625"/>
      <w:r/>
      <w:bookmarkStart w:id="20" w:name="_Toc35393794"/>
      <w:r/>
      <w:bookmarkStart w:id="21" w:name="_Toc28359084"/>
      <w:r/>
      <w:bookmarkStart w:id="22" w:name="_Toc28359007"/>
      <w:r>
        <w:rPr>
          <w:rFonts w:hint="eastAsia" w:ascii="宋体" w:hAnsi="宋体" w:eastAsia="宋体" w:cs="宋体"/>
          <w:sz w:val="24"/>
          <w:szCs w:val="24"/>
        </w:rPr>
      </w:r>
      <w:r/>
    </w:p>
    <w:p>
      <w:pPr>
        <w:pStyle w:val="1025"/>
        <w:jc w:val="left"/>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19"/>
      <w:r/>
      <w:bookmarkEnd w:id="20"/>
      <w:r/>
      <w:bookmarkEnd w:id="21"/>
      <w:r/>
      <w:bookmarkEnd w:id="22"/>
      <w:r>
        <w:rPr>
          <w:rFonts w:hint="eastAsia" w:ascii="宋体" w:hAnsi="宋体" w:eastAsia="宋体" w:cs="宋体"/>
          <w:sz w:val="24"/>
          <w:szCs w:val="24"/>
        </w:rPr>
      </w:r>
      <w:r/>
    </w:p>
    <w:p>
      <w:pPr>
        <w:pStyle w:val="1023"/>
        <w:ind w:firstLine="480"/>
        <w:spacing w:line="360" w:lineRule="auto"/>
        <w:rPr>
          <w:rFonts w:hint="eastAsia" w:ascii="宋体" w:hAnsi="宋体" w:cs="宋体"/>
          <w:sz w:val="24"/>
        </w:rPr>
      </w:pPr>
      <w:r>
        <w:rPr>
          <w:rFonts w:hint="eastAsia" w:ascii="宋体" w:hAnsi="宋体" w:cs="宋体"/>
          <w:sz w:val="24"/>
        </w:rPr>
        <w:t xml:space="preserve">自本公告发布之日起5个工作日。</w:t>
      </w:r>
      <w:r>
        <w:rPr>
          <w:rFonts w:hint="eastAsia" w:ascii="宋体" w:hAnsi="宋体" w:cs="宋体"/>
          <w:sz w:val="24"/>
        </w:rPr>
      </w:r>
      <w:r/>
    </w:p>
    <w:p>
      <w:pPr>
        <w:pStyle w:val="1025"/>
        <w:jc w:val="left"/>
        <w:spacing w:before="0" w:line="360" w:lineRule="auto"/>
        <w:rPr>
          <w:rFonts w:hint="eastAsia" w:ascii="宋体" w:hAnsi="宋体" w:eastAsia="宋体" w:cs="宋体"/>
          <w:sz w:val="24"/>
          <w:szCs w:val="24"/>
          <w:lang w:val="en-US" w:eastAsia="zh-CN"/>
        </w:rPr>
      </w:pPr>
      <w:r/>
      <w:bookmarkStart w:id="23" w:name="_Toc35393626"/>
      <w:r/>
      <w:bookmarkStart w:id="24" w:name="_Toc35393795"/>
      <w:r>
        <w:rPr>
          <w:rFonts w:hint="eastAsia" w:ascii="宋体" w:hAnsi="宋体" w:eastAsia="宋体" w:cs="宋体"/>
          <w:sz w:val="24"/>
          <w:szCs w:val="24"/>
          <w:lang w:val="en-US" w:eastAsia="zh-CN"/>
        </w:rPr>
      </w:r>
      <w:r/>
    </w:p>
    <w:p>
      <w:pPr>
        <w:pStyle w:val="1025"/>
        <w:jc w:val="left"/>
        <w:spacing w:before="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、其他补充事宜</w:t>
      </w:r>
      <w:bookmarkEnd w:id="23"/>
      <w:r/>
      <w:bookmarkEnd w:id="24"/>
      <w:r>
        <w:rPr>
          <w:rFonts w:hint="eastAsia" w:ascii="宋体" w:hAnsi="宋体" w:eastAsia="宋体" w:cs="宋体"/>
          <w:sz w:val="24"/>
          <w:szCs w:val="24"/>
        </w:rPr>
      </w:r>
      <w:r/>
    </w:p>
    <w:p>
      <w:pPr>
        <w:pStyle w:val="1023"/>
        <w:ind w:firstLine="480"/>
        <w:spacing w:line="360" w:lineRule="auto"/>
        <w:rPr>
          <w:sz w:val="24"/>
          <w:highlight w:val="none"/>
        </w:rPr>
      </w:pPr>
      <w:r>
        <w:rPr>
          <w:sz w:val="24"/>
          <w:highlight w:val="none"/>
        </w:rPr>
        <w:t xml:space="preserve">1.本项目需要落实的政府采购政策：</w:t>
      </w:r>
      <w:r>
        <w:rPr>
          <w:rFonts w:hint="eastAsia"/>
          <w:sz w:val="24"/>
          <w:highlight w:val="none"/>
          <w:u w:val="single"/>
        </w:rPr>
        <w:t xml:space="preserve"> / </w:t>
      </w:r>
      <w:r>
        <w:rPr>
          <w:sz w:val="24"/>
          <w:highlight w:val="none"/>
          <w:lang w:bidi="ar"/>
        </w:rPr>
        <w:t xml:space="preserve">。</w:t>
      </w:r>
      <w:r>
        <w:rPr>
          <w:sz w:val="24"/>
          <w:highlight w:val="none"/>
        </w:rPr>
        <w:t xml:space="preserve"> </w:t>
      </w:r>
      <w:r>
        <w:rPr>
          <w:sz w:val="24"/>
          <w:highlight w:val="none"/>
        </w:rPr>
      </w:r>
      <w:r/>
    </w:p>
    <w:p>
      <w:pPr>
        <w:pStyle w:val="1023"/>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.本项目采用</w:t>
      </w:r>
      <w:r>
        <w:rPr>
          <w:rFonts w:hint="eastAsia"/>
          <w:sz w:val="24"/>
          <w:highlight w:val="none"/>
          <w:lang w:bidi="ar"/>
        </w:rPr>
        <w:t xml:space="preserve">不见面交易</w:t>
      </w:r>
      <w:r>
        <w:rPr>
          <w:sz w:val="24"/>
          <w:highlight w:val="none"/>
          <w:lang w:bidi="ar"/>
        </w:rPr>
        <w:t xml:space="preserve">方式，请供应商认真学习常州市政府采购</w:t>
      </w:r>
      <w:r>
        <w:rPr>
          <w:rFonts w:hint="eastAsia"/>
          <w:sz w:val="24"/>
          <w:highlight w:val="none"/>
          <w:lang w:bidi="ar"/>
        </w:rPr>
        <w:t xml:space="preserve">网</w:t>
      </w:r>
      <w:r>
        <w:rPr>
          <w:sz w:val="24"/>
          <w:highlight w:val="none"/>
          <w:lang w:bidi="ar"/>
        </w:rPr>
        <w:t xml:space="preserve">发布的相关操作手册，办理CA认证证书、进行</w:t>
      </w:r>
      <w:r>
        <w:rPr>
          <w:rFonts w:hint="eastAsia"/>
          <w:sz w:val="24"/>
          <w:highlight w:val="none"/>
          <w:lang w:bidi="ar"/>
        </w:rPr>
        <w:t xml:space="preserve">“苏采云”系统</w:t>
      </w:r>
      <w:r>
        <w:rPr>
          <w:sz w:val="24"/>
          <w:highlight w:val="none"/>
          <w:lang w:bidi="ar"/>
        </w:rPr>
        <w:t xml:space="preserve">注册绑定，并认真核实</w:t>
      </w:r>
      <w:r>
        <w:rPr>
          <w:bCs/>
          <w:sz w:val="24"/>
          <w:highlight w:val="none"/>
          <w:lang w:bidi="ar"/>
        </w:rPr>
        <w:t xml:space="preserve">数字认证证书情况确认是否符合本项目电子化采购流程要求</w:t>
      </w:r>
      <w:r>
        <w:rPr>
          <w:rFonts w:hint="eastAsia"/>
          <w:sz w:val="24"/>
          <w:highlight w:val="none"/>
          <w:lang w:bidi="ar"/>
        </w:rPr>
        <w:t xml:space="preserve">。</w:t>
      </w:r>
      <w:r>
        <w:rPr>
          <w:bCs/>
          <w:sz w:val="24"/>
          <w:highlight w:val="none"/>
          <w:lang w:bidi="ar"/>
        </w:rPr>
      </w:r>
      <w:r/>
    </w:p>
    <w:p>
      <w:pPr>
        <w:pStyle w:val="1023"/>
        <w:ind w:firstLine="480"/>
        <w:spacing w:line="360" w:lineRule="auto"/>
        <w:rPr>
          <w:sz w:val="24"/>
          <w:highlight w:val="none"/>
        </w:rPr>
      </w:pPr>
      <w:r>
        <w:rPr>
          <w:sz w:val="24"/>
          <w:highlight w:val="none"/>
          <w:lang w:bidi="ar"/>
        </w:rPr>
        <w:t xml:space="preserve">技术支持服务热线    </w:t>
      </w:r>
      <w:r>
        <w:rPr>
          <w:rFonts w:hint="eastAsia"/>
          <w:sz w:val="24"/>
          <w:highlight w:val="none"/>
          <w:lang w:bidi="ar"/>
        </w:rPr>
        <w:t xml:space="preserve">0519-85588210</w:t>
      </w:r>
      <w:r>
        <w:rPr>
          <w:sz w:val="24"/>
          <w:highlight w:val="none"/>
        </w:rPr>
      </w:r>
      <w:r/>
    </w:p>
    <w:p>
      <w:pPr>
        <w:pStyle w:val="1023"/>
        <w:ind w:firstLine="480"/>
        <w:jc w:val="left"/>
        <w:spacing w:line="360" w:lineRule="auto"/>
        <w:widowControl/>
        <w:rPr>
          <w:rFonts w:hint="eastAsia"/>
          <w:sz w:val="24"/>
          <w:highlight w:val="none"/>
          <w:lang w:bidi="ar"/>
        </w:rPr>
      </w:pPr>
      <w:r>
        <w:rPr>
          <w:sz w:val="24"/>
          <w:highlight w:val="none"/>
          <w:lang w:bidi="ar"/>
        </w:rPr>
        <w:t xml:space="preserve">CA认证证书</w:t>
      </w:r>
      <w:r>
        <w:rPr>
          <w:rFonts w:hint="eastAsia"/>
          <w:sz w:val="24"/>
          <w:highlight w:val="none"/>
          <w:lang w:bidi="ar"/>
        </w:rPr>
        <w:t xml:space="preserve">办理（可邮寄）联系电话   </w:t>
      </w:r>
      <w:r>
        <w:rPr>
          <w:sz w:val="24"/>
          <w:highlight w:val="none"/>
          <w:lang w:bidi="ar"/>
        </w:rPr>
        <w:t xml:space="preserve">0519</w:t>
      </w:r>
      <w:r>
        <w:rPr>
          <w:rFonts w:hint="eastAsia"/>
          <w:sz w:val="24"/>
          <w:highlight w:val="none"/>
          <w:lang w:bidi="ar"/>
        </w:rPr>
        <w:t xml:space="preserve">-</w:t>
      </w:r>
      <w:r>
        <w:rPr>
          <w:sz w:val="24"/>
          <w:highlight w:val="none"/>
          <w:lang w:bidi="ar"/>
        </w:rPr>
        <w:t xml:space="preserve">85588120</w:t>
      </w:r>
      <w:r>
        <w:rPr>
          <w:rFonts w:hint="eastAsia"/>
          <w:sz w:val="24"/>
          <w:highlight w:val="none"/>
          <w:lang w:bidi="ar"/>
        </w:rPr>
      </w:r>
      <w:r/>
    </w:p>
    <w:p>
      <w:pPr>
        <w:pStyle w:val="1023"/>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rPr>
          <w:sz w:val="24"/>
          <w:highlight w:val="none"/>
          <w:lang w:bidi="ar"/>
        </w:rPr>
      </w:r>
      <w:r/>
    </w:p>
    <w:p>
      <w:pPr>
        <w:pStyle w:val="1023"/>
        <w:ind w:firstLine="480"/>
        <w:jc w:val="left"/>
        <w:spacing w:line="360" w:lineRule="auto"/>
        <w:widowControl/>
        <w:rPr>
          <w:rFonts w:hint="eastAsia"/>
          <w:sz w:val="24"/>
          <w:highlight w:val="none"/>
        </w:rPr>
      </w:pPr>
      <w:r>
        <w:rPr>
          <w:sz w:val="24"/>
          <w:highlight w:val="none"/>
          <w:lang w:bidi="ar"/>
        </w:rPr>
        <w:t xml:space="preserve">供应商登录常州市政府采购</w:t>
      </w:r>
      <w:r>
        <w:rPr>
          <w:rFonts w:hint="eastAsia"/>
          <w:sz w:val="24"/>
          <w:highlight w:val="none"/>
          <w:lang w:bidi="ar"/>
        </w:rPr>
        <w:t xml:space="preserve">网“下载中心”下载并查阅</w:t>
      </w:r>
      <w:r>
        <w:rPr>
          <w:sz w:val="24"/>
          <w:highlight w:val="none"/>
          <w:lang w:bidi="ar"/>
        </w:rPr>
        <w:t xml:space="preserve"> “</w:t>
      </w:r>
      <w:r>
        <w:rPr>
          <w:rFonts w:hint="eastAsia"/>
          <w:sz w:val="24"/>
          <w:highlight w:val="none"/>
          <w:lang w:bidi="ar"/>
        </w:rPr>
        <w:t xml:space="preserve">江苏省政府采购数字证书CA及电子签章办理指南</w:t>
      </w:r>
      <w:r>
        <w:rPr>
          <w:sz w:val="24"/>
          <w:highlight w:val="none"/>
          <w:lang w:bidi="ar"/>
        </w:rPr>
        <w:t xml:space="preserve">”，按照程序要求办理</w:t>
      </w:r>
      <w:r>
        <w:rPr>
          <w:rFonts w:hint="eastAsia"/>
          <w:sz w:val="24"/>
          <w:highlight w:val="none"/>
          <w:lang w:bidi="ar"/>
        </w:rPr>
        <w:t xml:space="preserve">。</w:t>
      </w:r>
      <w:r>
        <w:rPr>
          <w:rFonts w:hint="eastAsia"/>
          <w:sz w:val="24"/>
          <w:highlight w:val="none"/>
        </w:rPr>
      </w:r>
      <w:r/>
    </w:p>
    <w:p>
      <w:pPr>
        <w:pStyle w:val="1023"/>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rPr>
          <w:sz w:val="24"/>
          <w:highlight w:val="none"/>
          <w:lang w:bidi="ar"/>
        </w:rPr>
      </w:r>
      <w:r/>
    </w:p>
    <w:p>
      <w:pPr>
        <w:pStyle w:val="1023"/>
        <w:ind w:firstLine="480"/>
        <w:spacing w:line="360" w:lineRule="auto"/>
        <w:rPr>
          <w:sz w:val="24"/>
          <w:highlight w:val="none"/>
        </w:rPr>
      </w:pPr>
      <w:r>
        <w:rPr>
          <w:sz w:val="24"/>
          <w:highlight w:val="none"/>
          <w:lang w:bidi="ar"/>
        </w:rPr>
        <w:t xml:space="preserve">供应商登录常州市政府采购</w:t>
      </w:r>
      <w:r>
        <w:rPr>
          <w:rFonts w:hint="eastAsia"/>
          <w:sz w:val="24"/>
          <w:highlight w:val="none"/>
          <w:lang w:bidi="ar"/>
        </w:rPr>
        <w:t xml:space="preserve">网“下载中心”-““苏采云”系统供应商操作手册”下载相关操作手册、操作视频等，查阅后</w:t>
      </w:r>
      <w:r>
        <w:rPr>
          <w:sz w:val="24"/>
          <w:highlight w:val="none"/>
          <w:lang w:bidi="ar"/>
        </w:rPr>
        <w:t xml:space="preserve">进行自助注册。</w:t>
      </w:r>
      <w:r>
        <w:rPr>
          <w:sz w:val="24"/>
          <w:highlight w:val="none"/>
        </w:rPr>
      </w:r>
      <w:r/>
    </w:p>
    <w:p>
      <w:pPr>
        <w:pStyle w:val="1023"/>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rPr>
          <w:sz w:val="24"/>
          <w:highlight w:val="none"/>
          <w:lang w:bidi="ar"/>
        </w:rPr>
      </w:r>
      <w:r/>
    </w:p>
    <w:p>
      <w:pPr>
        <w:pStyle w:val="1023"/>
        <w:ind w:firstLine="480"/>
        <w:jc w:val="left"/>
        <w:spacing w:line="360" w:lineRule="auto"/>
        <w:widowControl/>
        <w:rPr>
          <w:sz w:val="24"/>
          <w:highlight w:val="none"/>
        </w:rPr>
      </w:pPr>
      <w:r>
        <w:rPr>
          <w:sz w:val="24"/>
          <w:highlight w:val="none"/>
          <w:lang w:bidi="ar"/>
        </w:rPr>
        <w:t xml:space="preserve">供应商登录常州市政府采购</w:t>
      </w:r>
      <w:r>
        <w:rPr>
          <w:rFonts w:hint="eastAsia"/>
          <w:sz w:val="24"/>
          <w:highlight w:val="none"/>
          <w:lang w:bidi="ar"/>
        </w:rPr>
        <w:t xml:space="preserve">网“下载中心”-“政府采购管理交易系统（苏采云）CA及签章控件驱动”下载</w:t>
      </w:r>
      <w:r>
        <w:rPr>
          <w:sz w:val="24"/>
          <w:highlight w:val="none"/>
          <w:lang w:bidi="ar"/>
        </w:rPr>
        <w:t xml:space="preserve">相关</w:t>
      </w:r>
      <w:r>
        <w:rPr>
          <w:rFonts w:hint="eastAsia"/>
          <w:sz w:val="24"/>
          <w:highlight w:val="none"/>
          <w:lang w:bidi="ar"/>
        </w:rPr>
        <w:t xml:space="preserve">控件和客户端。</w:t>
      </w:r>
      <w:r>
        <w:rPr>
          <w:sz w:val="24"/>
          <w:highlight w:val="none"/>
        </w:rPr>
      </w:r>
      <w:r/>
    </w:p>
    <w:p>
      <w:pPr>
        <w:pStyle w:val="1023"/>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.4 获取电子</w:t>
      </w:r>
      <w:r>
        <w:rPr>
          <w:rFonts w:hint="eastAsia"/>
          <w:sz w:val="24"/>
          <w:highlight w:val="none"/>
          <w:lang w:bidi="ar"/>
        </w:rPr>
        <w:t xml:space="preserve">招标</w:t>
      </w:r>
      <w:r>
        <w:rPr>
          <w:sz w:val="24"/>
          <w:highlight w:val="none"/>
          <w:lang w:bidi="ar"/>
        </w:rPr>
        <w:t xml:space="preserve">文件</w:t>
      </w:r>
      <w:r>
        <w:rPr>
          <w:sz w:val="24"/>
          <w:highlight w:val="none"/>
          <w:lang w:bidi="ar"/>
        </w:rPr>
      </w:r>
      <w:r/>
    </w:p>
    <w:p>
      <w:pPr>
        <w:pStyle w:val="1023"/>
        <w:ind w:firstLine="480"/>
        <w:spacing w:line="360" w:lineRule="auto"/>
        <w:rPr>
          <w:rFonts w:hint="eastAsia"/>
          <w:sz w:val="24"/>
          <w:highlight w:val="none"/>
          <w:lang w:bidi="ar"/>
        </w:rPr>
      </w:pPr>
      <w:r>
        <w:rPr>
          <w:sz w:val="24"/>
          <w:highlight w:val="none"/>
          <w:lang w:bidi="ar"/>
        </w:rPr>
        <w:t xml:space="preserve">供应商持CA数字认证证书登录</w:t>
      </w:r>
      <w:r>
        <w:rPr>
          <w:rFonts w:hint="eastAsia"/>
          <w:sz w:val="24"/>
          <w:highlight w:val="none"/>
          <w:lang w:bidi="ar"/>
        </w:rPr>
        <w:t xml:space="preserve">“苏采云”</w:t>
      </w:r>
      <w:r>
        <w:rPr>
          <w:sz w:val="24"/>
          <w:highlight w:val="none"/>
          <w:lang w:bidi="ar"/>
        </w:rPr>
        <w:t xml:space="preserve">获取电子</w:t>
      </w:r>
      <w:r>
        <w:rPr>
          <w:rFonts w:hint="eastAsia"/>
          <w:sz w:val="24"/>
          <w:highlight w:val="none"/>
          <w:lang w:bidi="ar"/>
        </w:rPr>
        <w:t xml:space="preserve">采购文件</w:t>
      </w:r>
      <w:r>
        <w:rPr>
          <w:sz w:val="24"/>
          <w:highlight w:val="none"/>
          <w:lang w:bidi="ar"/>
        </w:rPr>
        <w:t xml:space="preserve">。未在规定期限内通过</w:t>
      </w:r>
      <w:r>
        <w:rPr>
          <w:rFonts w:hint="eastAsia"/>
          <w:sz w:val="24"/>
          <w:highlight w:val="none"/>
          <w:lang w:bidi="ar"/>
        </w:rPr>
        <w:t xml:space="preserve">“苏采云”</w:t>
      </w:r>
      <w:r>
        <w:rPr>
          <w:sz w:val="24"/>
          <w:highlight w:val="none"/>
          <w:lang w:bidi="ar"/>
        </w:rPr>
        <w:t xml:space="preserve">获取</w:t>
      </w:r>
      <w:r>
        <w:rPr>
          <w:rFonts w:hint="eastAsia"/>
          <w:sz w:val="24"/>
          <w:highlight w:val="none"/>
          <w:lang w:bidi="ar"/>
        </w:rPr>
        <w:t xml:space="preserve">采购文件</w:t>
      </w:r>
      <w:r>
        <w:rPr>
          <w:sz w:val="24"/>
          <w:highlight w:val="none"/>
          <w:lang w:bidi="ar"/>
        </w:rPr>
        <w:t xml:space="preserve">的</w:t>
      </w:r>
      <w:r>
        <w:rPr>
          <w:rFonts w:hint="eastAsia"/>
          <w:b/>
          <w:sz w:val="24"/>
          <w:highlight w:val="none"/>
          <w:lang w:bidi="ar"/>
        </w:rPr>
        <w:t xml:space="preserve">响应</w:t>
      </w:r>
      <w:r>
        <w:rPr>
          <w:b/>
          <w:sz w:val="24"/>
          <w:highlight w:val="none"/>
          <w:lang w:bidi="ar"/>
        </w:rPr>
        <w:t xml:space="preserve">无效</w:t>
      </w:r>
      <w:r>
        <w:rPr>
          <w:rFonts w:hint="eastAsia"/>
          <w:sz w:val="24"/>
          <w:highlight w:val="none"/>
          <w:lang w:bidi="ar"/>
        </w:rPr>
        <w:t xml:space="preserve">。</w:t>
      </w:r>
      <w:r>
        <w:rPr>
          <w:rFonts w:hint="eastAsia"/>
          <w:sz w:val="24"/>
          <w:highlight w:val="none"/>
          <w:lang w:bidi="ar"/>
        </w:rPr>
      </w:r>
      <w:r/>
    </w:p>
    <w:p>
      <w:pPr>
        <w:pStyle w:val="1023"/>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.5编制电子响应文件</w:t>
      </w:r>
      <w:r>
        <w:rPr>
          <w:sz w:val="24"/>
          <w:highlight w:val="none"/>
          <w:lang w:bidi="ar"/>
        </w:rPr>
      </w:r>
      <w:r/>
    </w:p>
    <w:p>
      <w:pPr>
        <w:pStyle w:val="1023"/>
        <w:ind w:firstLine="480"/>
        <w:spacing w:line="360" w:lineRule="auto"/>
        <w:rPr>
          <w:sz w:val="24"/>
          <w:highlight w:val="none"/>
          <w:lang w:bidi="ar"/>
        </w:rPr>
      </w:pPr>
      <w:r>
        <w:rPr>
          <w:sz w:val="24"/>
          <w:highlight w:val="none"/>
          <w:lang w:bidi="ar"/>
        </w:rPr>
        <w:t xml:space="preserve">供应商应使用电子投标</w:t>
      </w:r>
      <w:r>
        <w:rPr>
          <w:rFonts w:hint="eastAsia"/>
          <w:sz w:val="24"/>
          <w:highlight w:val="none"/>
          <w:lang w:bidi="ar"/>
        </w:rPr>
        <w:t xml:space="preserve">文件制作</w:t>
      </w:r>
      <w:r>
        <w:rPr>
          <w:sz w:val="24"/>
          <w:highlight w:val="none"/>
          <w:lang w:bidi="ar"/>
        </w:rPr>
        <w:t xml:space="preserve">客户端编制电子投标文件并进行线上投标，供应商电子投标文件需要加密并加盖电子签章</w:t>
      </w:r>
      <w:r>
        <w:rPr>
          <w:bCs/>
          <w:sz w:val="24"/>
          <w:highlight w:val="none"/>
          <w:lang w:bidi="ar"/>
        </w:rPr>
        <w:t xml:space="preserve">，如无法按照要求在电子投标文件中加盖电子签章和加密，请及时通过技术支持服务热线联系技术人员</w:t>
      </w:r>
      <w:r>
        <w:rPr>
          <w:rFonts w:hint="eastAsia"/>
          <w:sz w:val="24"/>
          <w:highlight w:val="none"/>
          <w:lang w:bidi="ar"/>
        </w:rPr>
        <w:t xml:space="preserve">。</w:t>
      </w:r>
      <w:r>
        <w:rPr>
          <w:sz w:val="24"/>
          <w:highlight w:val="none"/>
          <w:lang w:bidi="ar"/>
        </w:rPr>
      </w:r>
      <w:r/>
    </w:p>
    <w:p>
      <w:pPr>
        <w:pStyle w:val="1023"/>
        <w:ind w:firstLine="480"/>
        <w:jc w:val="left"/>
        <w:spacing w:line="360" w:lineRule="auto"/>
        <w:widowControl/>
        <w:rPr>
          <w:sz w:val="24"/>
          <w:highlight w:val="none"/>
          <w:lang w:val="zh-TW" w:bidi="ar"/>
        </w:rPr>
      </w:pPr>
      <w:r>
        <w:rPr>
          <w:rFonts w:hint="eastAsia"/>
          <w:sz w:val="24"/>
          <w:highlight w:val="none"/>
          <w:lang w:bidi="ar"/>
        </w:rPr>
        <w:t xml:space="preserve">2</w:t>
      </w:r>
      <w:r>
        <w:rPr>
          <w:sz w:val="24"/>
          <w:highlight w:val="none"/>
          <w:lang w:val="zh-TW" w:eastAsia="zh-TW" w:bidi="ar"/>
        </w:rPr>
        <w:t xml:space="preserve">.6</w:t>
      </w:r>
      <w:r>
        <w:rPr>
          <w:sz w:val="24"/>
          <w:highlight w:val="none"/>
          <w:lang w:val="zh-TW" w:bidi="ar"/>
        </w:rPr>
        <w:t xml:space="preserve">提交电子响应文件</w:t>
      </w:r>
      <w:r>
        <w:rPr>
          <w:sz w:val="24"/>
          <w:highlight w:val="none"/>
          <w:lang w:val="zh-TW" w:bidi="ar"/>
        </w:rPr>
      </w:r>
      <w:r/>
    </w:p>
    <w:p>
      <w:pPr>
        <w:pStyle w:val="1023"/>
        <w:ind w:firstLine="480"/>
        <w:jc w:val="left"/>
        <w:spacing w:line="360" w:lineRule="auto"/>
        <w:widowControl/>
        <w:rPr>
          <w:sz w:val="24"/>
          <w:highlight w:val="none"/>
          <w:lang w:bidi="ar"/>
        </w:rPr>
      </w:pPr>
      <w:r>
        <w:rPr>
          <w:sz w:val="24"/>
          <w:highlight w:val="none"/>
          <w:lang w:bidi="ar"/>
        </w:rPr>
        <w:t xml:space="preserve">供应商应于投标截止时间前在</w:t>
      </w:r>
      <w:r>
        <w:rPr>
          <w:rFonts w:hint="eastAsia"/>
          <w:sz w:val="24"/>
          <w:highlight w:val="none"/>
          <w:lang w:bidi="ar"/>
        </w:rPr>
        <w:t xml:space="preserve">“苏采云”</w:t>
      </w:r>
      <w:r>
        <w:rPr>
          <w:sz w:val="24"/>
          <w:highlight w:val="none"/>
          <w:lang w:bidi="ar"/>
        </w:rPr>
        <w:t xml:space="preserve">提交电子投标文件，上传电子投标文件过程中请保持与互联网的连接畅通</w:t>
      </w:r>
      <w:r>
        <w:rPr>
          <w:rFonts w:hint="eastAsia"/>
          <w:sz w:val="24"/>
          <w:highlight w:val="none"/>
          <w:lang w:bidi="ar"/>
        </w:rPr>
        <w:t xml:space="preserve">。</w:t>
      </w:r>
      <w:r>
        <w:rPr>
          <w:sz w:val="24"/>
          <w:highlight w:val="none"/>
          <w:lang w:bidi="ar"/>
        </w:rPr>
      </w:r>
      <w:r/>
    </w:p>
    <w:p>
      <w:pPr>
        <w:pStyle w:val="1023"/>
        <w:ind w:firstLine="480"/>
        <w:jc w:val="left"/>
        <w:spacing w:line="360" w:lineRule="auto"/>
        <w:widowControl/>
        <w:rPr>
          <w:sz w:val="24"/>
          <w:highlight w:val="none"/>
          <w:lang w:eastAsia="zh-TW" w:bidi="ar"/>
        </w:rPr>
      </w:pPr>
      <w:r>
        <w:rPr>
          <w:rFonts w:hint="eastAsia"/>
          <w:sz w:val="24"/>
          <w:highlight w:val="none"/>
          <w:lang w:bidi="ar"/>
        </w:rPr>
        <w:t xml:space="preserve">2</w:t>
      </w:r>
      <w:r>
        <w:rPr>
          <w:sz w:val="24"/>
          <w:highlight w:val="none"/>
          <w:lang w:val="zh-TW" w:bidi="ar"/>
        </w:rPr>
        <w:t xml:space="preserve">.</w:t>
      </w:r>
      <w:r>
        <w:rPr>
          <w:sz w:val="24"/>
          <w:highlight w:val="none"/>
          <w:lang w:val="zh-TW" w:eastAsia="zh-TW" w:bidi="ar"/>
        </w:rPr>
        <w:t xml:space="preserve">7</w:t>
      </w:r>
      <w:r>
        <w:rPr>
          <w:sz w:val="24"/>
          <w:highlight w:val="none"/>
          <w:lang w:val="zh-TW" w:bidi="ar"/>
        </w:rPr>
        <w:t xml:space="preserve">电子开标</w:t>
      </w:r>
      <w:r>
        <w:rPr>
          <w:sz w:val="24"/>
          <w:highlight w:val="none"/>
          <w:lang w:eastAsia="zh-TW" w:bidi="ar"/>
        </w:rPr>
      </w:r>
      <w:r/>
    </w:p>
    <w:p>
      <w:pPr>
        <w:pStyle w:val="1023"/>
        <w:ind w:firstLine="480"/>
        <w:spacing w:line="360" w:lineRule="auto"/>
        <w:rPr>
          <w:rFonts w:hint="eastAsia"/>
          <w:sz w:val="24"/>
          <w:highlight w:val="none"/>
          <w:lang w:val="zh-TW" w:bidi="ar"/>
        </w:rPr>
      </w:pPr>
      <w:r>
        <w:rPr>
          <w:sz w:val="24"/>
          <w:highlight w:val="none"/>
          <w:lang w:val="zh-TW" w:bidi="ar"/>
        </w:rPr>
        <w:t xml:space="preserve">供应商使用</w:t>
      </w:r>
      <w:r>
        <w:rPr>
          <w:sz w:val="24"/>
          <w:highlight w:val="none"/>
          <w:lang w:bidi="ar"/>
        </w:rPr>
        <w:t xml:space="preserve">CA认证证书</w:t>
      </w:r>
      <w:r>
        <w:rPr>
          <w:sz w:val="24"/>
          <w:highlight w:val="none"/>
          <w:lang w:val="zh-TW" w:bidi="ar"/>
        </w:rPr>
        <w:t xml:space="preserve">登录</w:t>
      </w:r>
      <w:r>
        <w:rPr>
          <w:rFonts w:hint="eastAsia"/>
          <w:sz w:val="24"/>
          <w:highlight w:val="none"/>
          <w:lang w:bidi="ar"/>
        </w:rPr>
        <w:t xml:space="preserve">“苏采云”</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rPr>
          <w:rFonts w:hint="eastAsia"/>
          <w:sz w:val="24"/>
          <w:highlight w:val="none"/>
          <w:lang w:val="zh-TW" w:bidi="ar"/>
        </w:rPr>
      </w:r>
      <w:r/>
    </w:p>
    <w:p>
      <w:pPr>
        <w:pStyle w:val="1023"/>
        <w:ind w:firstLine="480"/>
        <w:spacing w:line="360" w:lineRule="auto"/>
        <w:rPr>
          <w:rFonts w:hint="eastAsia"/>
          <w:sz w:val="24"/>
          <w:highlight w:val="none"/>
          <w:lang w:val="zh-TW" w:bidi="ar"/>
        </w:rPr>
      </w:pPr>
      <w:r>
        <w:rPr>
          <w:rFonts w:hint="eastAsia"/>
          <w:sz w:val="24"/>
          <w:highlight w:val="none"/>
          <w:lang w:bidi="ar"/>
        </w:rPr>
        <w:t xml:space="preserve">2</w:t>
      </w:r>
      <w:r>
        <w:rPr>
          <w:rFonts w:hint="eastAsia"/>
          <w:sz w:val="24"/>
          <w:highlight w:val="none"/>
          <w:lang w:val="zh-TW" w:bidi="ar"/>
        </w:rPr>
        <w:t xml:space="preserve">.8注意事项</w:t>
      </w:r>
      <w:r>
        <w:rPr>
          <w:rFonts w:hint="eastAsia"/>
          <w:sz w:val="24"/>
          <w:highlight w:val="none"/>
          <w:lang w:val="zh-TW" w:bidi="ar"/>
        </w:rPr>
      </w:r>
      <w:r/>
    </w:p>
    <w:p>
      <w:pPr>
        <w:pStyle w:val="1023"/>
        <w:ind w:firstLine="480"/>
        <w:spacing w:line="360" w:lineRule="auto"/>
        <w:rPr>
          <w:rFonts w:hint="eastAsia"/>
          <w:sz w:val="24"/>
          <w:highlight w:val="none"/>
        </w:rPr>
      </w:pPr>
      <w:r>
        <w:rPr>
          <w:sz w:val="24"/>
          <w:highlight w:val="none"/>
          <w:lang w:val="zh-TW"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w:t>
      </w:r>
      <w:r>
        <w:rPr>
          <w:rFonts w:hint="eastAsia" w:ascii="宋体" w:hAnsi="宋体"/>
          <w:sz w:val="24"/>
          <w:highlight w:val="none"/>
        </w:rPr>
        <w:t xml:space="preserve">投标供应商</w:t>
      </w:r>
      <w:r>
        <w:rPr>
          <w:rFonts w:ascii="宋体" w:hAnsi="宋体"/>
          <w:sz w:val="24"/>
          <w:highlight w:val="none"/>
        </w:rPr>
        <w:t xml:space="preserve">自行承担。</w:t>
      </w:r>
      <w:r>
        <w:rPr>
          <w:rFonts w:hint="eastAsia" w:ascii="宋体" w:hAnsi="宋体"/>
          <w:sz w:val="24"/>
          <w:highlight w:val="none"/>
        </w:rPr>
        <w:t xml:space="preserve"> </w:t>
      </w:r>
      <w:r>
        <w:rPr>
          <w:rFonts w:hint="eastAsia"/>
          <w:sz w:val="24"/>
          <w:highlight w:val="none"/>
        </w:rPr>
      </w:r>
      <w:r/>
    </w:p>
    <w:p>
      <w:pPr>
        <w:pStyle w:val="1023"/>
        <w:ind w:firstLine="480"/>
        <w:spacing w:line="360" w:lineRule="auto"/>
        <w:rPr>
          <w:sz w:val="24"/>
          <w:highlight w:val="none"/>
          <w:lang w:val="zh-TW" w:bidi="ar"/>
        </w:rPr>
      </w:pPr>
      <w:r>
        <w:rPr>
          <w:rFonts w:hint="eastAsia"/>
          <w:sz w:val="24"/>
          <w:highlight w:val="none"/>
          <w:lang w:bidi="ar"/>
        </w:rPr>
        <w:t xml:space="preserve">3</w:t>
      </w:r>
      <w:r>
        <w:rPr>
          <w:rFonts w:hint="eastAsia"/>
          <w:sz w:val="24"/>
          <w:highlight w:val="none"/>
          <w:lang w:val="zh-TW" w:bidi="ar"/>
        </w:rPr>
        <w:t xml:space="preserve">.关于常州市中小企业政府采购信用融资：</w:t>
      </w:r>
      <w:r>
        <w:rPr>
          <w:sz w:val="24"/>
          <w:highlight w:val="none"/>
          <w:lang w:val="zh-TW" w:bidi="ar"/>
        </w:rPr>
      </w:r>
      <w:r/>
    </w:p>
    <w:p>
      <w:pPr>
        <w:pStyle w:val="1023"/>
        <w:ind w:firstLine="480"/>
        <w:jc w:val="left"/>
        <w:spacing w:line="360" w:lineRule="auto"/>
        <w:widowControl/>
        <w:rPr>
          <w:rFonts w:hint="eastAsia" w:ascii="宋体" w:hAnsi="宋体" w:cs="宋体"/>
          <w:sz w:val="24"/>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 w:val="24"/>
          <w:lang w:bidi="ar"/>
        </w:rPr>
        <w:t xml:space="preserve"> </w:t>
      </w:r>
      <w:r>
        <w:rPr>
          <w:rFonts w:hint="eastAsia" w:ascii="宋体" w:hAnsi="宋体" w:cs="宋体"/>
          <w:sz w:val="24"/>
        </w:rPr>
      </w:r>
      <w:r/>
    </w:p>
    <w:p>
      <w:pPr>
        <w:pStyle w:val="1025"/>
        <w:jc w:val="left"/>
        <w:spacing w:before="0" w:line="360" w:lineRule="auto"/>
        <w:rPr>
          <w:rFonts w:hint="eastAsia" w:ascii="宋体" w:hAnsi="宋体" w:eastAsia="宋体" w:cs="宋体"/>
          <w:sz w:val="24"/>
          <w:szCs w:val="24"/>
          <w:lang w:val="en-US" w:eastAsia="zh-CN"/>
        </w:rPr>
      </w:pPr>
      <w:r/>
      <w:bookmarkStart w:id="25" w:name="_Toc35393796"/>
      <w:r/>
      <w:bookmarkStart w:id="26" w:name="_Toc35393627"/>
      <w:r/>
      <w:bookmarkStart w:id="27" w:name="_Toc28359008"/>
      <w:r/>
      <w:bookmarkStart w:id="28" w:name="_Toc28359085"/>
      <w:r>
        <w:rPr>
          <w:rFonts w:hint="eastAsia" w:ascii="宋体" w:hAnsi="宋体" w:eastAsia="宋体" w:cs="宋体"/>
          <w:sz w:val="24"/>
          <w:szCs w:val="24"/>
          <w:lang w:val="en-US" w:eastAsia="zh-CN"/>
        </w:rPr>
      </w:r>
      <w:r/>
    </w:p>
    <w:p>
      <w:pPr>
        <w:pStyle w:val="1025"/>
        <w:jc w:val="left"/>
        <w:spacing w:before="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七</w:t>
      </w:r>
      <w:r>
        <w:rPr>
          <w:rFonts w:hint="eastAsia" w:ascii="宋体" w:hAnsi="宋体" w:eastAsia="宋体" w:cs="宋体"/>
          <w:sz w:val="24"/>
          <w:szCs w:val="24"/>
        </w:rPr>
        <w:t xml:space="preserve">、对本项目提出询问，请按以下方式联系。</w:t>
      </w:r>
      <w:bookmarkEnd w:id="25"/>
      <w:r/>
      <w:bookmarkEnd w:id="26"/>
      <w:r/>
      <w:bookmarkEnd w:id="27"/>
      <w:r/>
      <w:bookmarkEnd w:id="28"/>
      <w:r>
        <w:rPr>
          <w:rFonts w:hint="eastAsia" w:ascii="宋体" w:hAnsi="宋体" w:eastAsia="宋体" w:cs="宋体"/>
          <w:sz w:val="24"/>
          <w:szCs w:val="24"/>
        </w:rPr>
      </w:r>
      <w:r/>
    </w:p>
    <w:p>
      <w:pPr>
        <w:pStyle w:val="1023"/>
        <w:jc w:val="left"/>
        <w:spacing w:line="360" w:lineRule="auto"/>
        <w:widowControl/>
        <w:rPr>
          <w:rFonts w:hint="eastAsia" w:ascii="宋体" w:hAnsi="宋体" w:cs="宋体"/>
          <w:b/>
          <w:sz w:val="24"/>
        </w:rPr>
        <w:outlineLvl w:val="2"/>
      </w:pPr>
      <w:r>
        <w:rPr>
          <w:rFonts w:hint="eastAsia" w:ascii="宋体" w:hAnsi="宋体" w:cs="宋体"/>
          <w:sz w:val="24"/>
        </w:rPr>
        <w:t xml:space="preserve">　　　</w:t>
      </w:r>
      <w:r>
        <w:rPr>
          <w:rFonts w:hint="eastAsia" w:ascii="宋体" w:hAnsi="宋体" w:cs="宋体"/>
          <w:b/>
          <w:sz w:val="24"/>
        </w:rPr>
        <w:t xml:space="preserve">1.采购人信息</w:t>
      </w:r>
      <w:r>
        <w:rPr>
          <w:rFonts w:hint="eastAsia" w:ascii="宋体" w:hAnsi="宋体" w:cs="宋体"/>
          <w:b/>
          <w:sz w:val="24"/>
        </w:rPr>
      </w:r>
      <w:r/>
    </w:p>
    <w:p>
      <w:pPr>
        <w:pStyle w:val="1023"/>
        <w:ind w:left="1079" w:hanging="300"/>
        <w:jc w:val="left"/>
        <w:spacing w:line="360" w:lineRule="auto"/>
        <w:rPr>
          <w:rFonts w:hint="eastAsia" w:ascii="宋体" w:hAnsi="宋体" w:cs="宋体"/>
          <w:sz w:val="24"/>
        </w:rPr>
      </w:pPr>
      <w:r/>
      <w:bookmarkStart w:id="29" w:name="_Toc28359009"/>
      <w:r/>
      <w:bookmarkStart w:id="30" w:name="_Toc28359086"/>
      <w:r>
        <w:rPr>
          <w:rFonts w:hint="eastAsia" w:ascii="宋体" w:hAnsi="宋体" w:cs="宋体"/>
          <w:sz w:val="24"/>
        </w:rPr>
        <w:t xml:space="preserve">名    称：</w:t>
      </w:r>
      <w:r>
        <w:rPr>
          <w:rFonts w:hint="eastAsia" w:ascii="宋体" w:hAnsi="宋体" w:cs="宋体"/>
          <w:sz w:val="24"/>
          <w:lang w:eastAsia="zh-CN"/>
        </w:rPr>
        <w:t xml:space="preserve">溧阳市招生委员会办公室</w:t>
      </w:r>
      <w:r>
        <w:rPr>
          <w:rFonts w:hint="eastAsia" w:ascii="宋体" w:hAnsi="宋体" w:cs="宋体"/>
          <w:sz w:val="24"/>
        </w:rPr>
        <w:t xml:space="preserve"> </w:t>
      </w:r>
      <w:r>
        <w:rPr>
          <w:rFonts w:hint="eastAsia" w:ascii="宋体" w:hAnsi="宋体" w:cs="宋体"/>
          <w:sz w:val="24"/>
        </w:rPr>
      </w:r>
      <w:r/>
    </w:p>
    <w:p>
      <w:pPr>
        <w:pStyle w:val="1023"/>
        <w:ind w:left="1079" w:hanging="300"/>
        <w:jc w:val="left"/>
        <w:spacing w:line="360" w:lineRule="auto"/>
        <w:rPr>
          <w:rFonts w:hint="eastAsia" w:ascii="宋体" w:hAnsi="宋体" w:cs="宋体"/>
          <w:sz w:val="24"/>
        </w:rPr>
      </w:pPr>
      <w:r>
        <w:rPr>
          <w:rFonts w:hint="eastAsia" w:ascii="宋体" w:hAnsi="宋体" w:cs="宋体"/>
          <w:sz w:val="24"/>
        </w:rPr>
        <w:t xml:space="preserve">地    址：</w:t>
      </w:r>
      <w:r>
        <w:rPr>
          <w:rFonts w:hint="eastAsia"/>
          <w:sz w:val="24"/>
        </w:rPr>
        <w:t xml:space="preserve">溧阳市溧城街道育才南路8号</w:t>
      </w:r>
      <w:r>
        <w:rPr>
          <w:rFonts w:hint="eastAsia" w:ascii="宋体" w:hAnsi="宋体" w:cs="宋体"/>
          <w:sz w:val="24"/>
        </w:rPr>
      </w:r>
      <w:r/>
    </w:p>
    <w:p>
      <w:pPr>
        <w:pStyle w:val="1023"/>
        <w:ind w:left="1079" w:hanging="300"/>
        <w:jc w:val="left"/>
        <w:spacing w:line="360" w:lineRule="auto"/>
        <w:rPr>
          <w:rFonts w:hint="eastAsia" w:ascii="宋体" w:hAnsi="宋体" w:cs="宋体"/>
          <w:sz w:val="24"/>
          <w:u w:val="single"/>
        </w:rPr>
      </w:pPr>
      <w:r>
        <w:rPr>
          <w:rFonts w:hint="eastAsia" w:ascii="宋体" w:hAnsi="宋体" w:cs="宋体"/>
          <w:sz w:val="24"/>
        </w:rPr>
        <w:t xml:space="preserve">联系方式：</w:t>
      </w:r>
      <w:r>
        <w:rPr>
          <w:rFonts w:hint="eastAsia"/>
          <w:sz w:val="24"/>
          <w:highlight w:val="none"/>
        </w:rPr>
        <w:t xml:space="preserve">0519-87205604</w:t>
      </w:r>
      <w:r>
        <w:rPr>
          <w:rFonts w:hint="eastAsia" w:ascii="宋体" w:hAnsi="宋体" w:cs="宋体"/>
          <w:sz w:val="24"/>
          <w:u w:val="single"/>
        </w:rPr>
      </w:r>
      <w:r/>
    </w:p>
    <w:p>
      <w:pPr>
        <w:pStyle w:val="1023"/>
        <w:ind w:left="1078" w:hanging="299"/>
        <w:jc w:val="left"/>
        <w:spacing w:line="360" w:lineRule="auto"/>
        <w:rPr>
          <w:rFonts w:hint="eastAsia" w:ascii="宋体" w:hAnsi="宋体" w:eastAsia="宋体" w:cs="宋体"/>
          <w:b/>
          <w:sz w:val="24"/>
          <w:highlight w:val="none"/>
        </w:rPr>
      </w:pPr>
      <w:r/>
      <w:bookmarkEnd w:id="29"/>
      <w:r/>
      <w:bookmarkEnd w:id="30"/>
      <w:r>
        <w:rPr>
          <w:rFonts w:hint="eastAsia" w:ascii="宋体" w:hAnsi="宋体" w:eastAsia="宋体" w:cs="宋体"/>
          <w:b/>
          <w:sz w:val="24"/>
          <w:highlight w:val="none"/>
        </w:rPr>
        <w:t xml:space="preserve">2.采购代理机构信息</w:t>
      </w:r>
      <w:r>
        <w:rPr>
          <w:rFonts w:hint="eastAsia" w:ascii="宋体" w:hAnsi="宋体" w:eastAsia="宋体" w:cs="宋体"/>
          <w:b/>
          <w:sz w:val="24"/>
          <w:highlight w:val="none"/>
        </w:rPr>
      </w:r>
      <w:r/>
    </w:p>
    <w:p>
      <w:pPr>
        <w:pStyle w:val="1023"/>
        <w:ind w:left="1076" w:hanging="297"/>
        <w:jc w:val="left"/>
        <w:spacing w:line="360" w:lineRule="auto"/>
        <w:rPr>
          <w:rFonts w:hint="eastAsia" w:ascii="宋体" w:hAnsi="宋体" w:eastAsia="宋体" w:cs="宋体"/>
          <w:sz w:val="24"/>
          <w:highlight w:val="none"/>
        </w:rPr>
      </w:pPr>
      <w:r/>
      <w:bookmarkStart w:id="31" w:name="_Toc28359087"/>
      <w:r/>
      <w:bookmarkStart w:id="32" w:name="_Toc28359010"/>
      <w:r>
        <w:rPr>
          <w:rFonts w:hint="eastAsia" w:ascii="宋体" w:hAnsi="宋体" w:eastAsia="宋体" w:cs="宋体"/>
          <w:sz w:val="24"/>
          <w:highlight w:val="none"/>
        </w:rPr>
        <w:t xml:space="preserve">名    称：溧阳市大成招投标有限公司</w:t>
      </w:r>
      <w:r>
        <w:rPr>
          <w:rFonts w:hint="eastAsia" w:ascii="宋体" w:hAnsi="宋体" w:eastAsia="宋体" w:cs="宋体"/>
          <w:sz w:val="24"/>
          <w:highlight w:val="none"/>
        </w:rPr>
      </w:r>
      <w:r/>
    </w:p>
    <w:p>
      <w:pPr>
        <w:pStyle w:val="1023"/>
        <w:ind w:left="1076" w:hanging="297"/>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w:t>
      </w:r>
      <w:r>
        <w:rPr>
          <w:rFonts w:hint="eastAsia" w:ascii="宋体" w:hAnsi="宋体" w:eastAsia="宋体" w:cs="宋体"/>
          <w:sz w:val="24"/>
          <w:highlight w:val="none"/>
          <w:lang w:eastAsia="zh-CN"/>
        </w:rPr>
        <w:t xml:space="preserve">溧阳市游子吟大道19号通用大楼3楼310室</w:t>
      </w:r>
      <w:r>
        <w:rPr>
          <w:rFonts w:hint="eastAsia" w:ascii="宋体" w:hAnsi="宋体" w:eastAsia="宋体" w:cs="宋体"/>
          <w:sz w:val="24"/>
          <w:highlight w:val="none"/>
          <w:lang w:eastAsia="zh-CN"/>
        </w:rPr>
      </w:r>
      <w:r/>
    </w:p>
    <w:p>
      <w:pPr>
        <w:pStyle w:val="1023"/>
        <w:ind w:left="1076" w:hanging="297"/>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联系方式：0519-87100050</w:t>
      </w:r>
      <w:r>
        <w:rPr>
          <w:rFonts w:hint="eastAsia" w:ascii="宋体" w:hAnsi="宋体" w:eastAsia="宋体" w:cs="宋体"/>
          <w:sz w:val="24"/>
          <w:highlight w:val="none"/>
          <w:u w:val="single"/>
        </w:rPr>
      </w:r>
      <w:r/>
    </w:p>
    <w:p>
      <w:pPr>
        <w:pStyle w:val="1023"/>
        <w:ind w:left="1078" w:hanging="299"/>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rPr>
        <w:t xml:space="preserve">3.项目联系方式</w:t>
      </w:r>
      <w:bookmarkEnd w:id="31"/>
      <w:r/>
      <w:bookmarkEnd w:id="32"/>
      <w:r>
        <w:rPr>
          <w:rFonts w:hint="eastAsia" w:ascii="宋体" w:hAnsi="宋体" w:eastAsia="宋体" w:cs="宋体"/>
          <w:b/>
          <w:sz w:val="24"/>
          <w:highlight w:val="none"/>
          <w:u w:val="single"/>
        </w:rPr>
      </w:r>
      <w:r/>
    </w:p>
    <w:p>
      <w:pPr>
        <w:pStyle w:val="1056"/>
        <w:ind w:left="1076" w:hanging="297"/>
        <w:spacing w:line="360" w:lineRule="auto"/>
        <w:rPr>
          <w:rFonts w:hint="eastAsia" w:ascii="宋体" w:hAnsi="宋体" w:eastAsia="宋体" w:cs="宋体"/>
          <w:sz w:val="24"/>
          <w:highlight w:val="none"/>
          <w:u w:val="single"/>
          <w:lang w:val="en-US" w:eastAsia="zh-CN" w:bidi="ar"/>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蔡工</w:t>
      </w:r>
      <w:r>
        <w:rPr>
          <w:rFonts w:hint="eastAsia" w:ascii="宋体" w:hAnsi="宋体" w:eastAsia="宋体" w:cs="宋体"/>
          <w:sz w:val="24"/>
          <w:highlight w:val="none"/>
          <w:u w:val="single"/>
          <w:lang w:val="en-US" w:eastAsia="zh-CN" w:bidi="ar"/>
        </w:rPr>
      </w:r>
      <w:r/>
    </w:p>
    <w:p>
      <w:pPr>
        <w:pStyle w:val="1056"/>
        <w:ind w:left="1076" w:hanging="297"/>
        <w:spacing w:line="360" w:lineRule="auto"/>
        <w:rPr>
          <w:rFonts w:hAnsi="宋体" w:cs="宋体"/>
          <w:sz w:val="24"/>
          <w:szCs w:val="24"/>
        </w:rPr>
      </w:pPr>
      <w:r>
        <w:rPr>
          <w:rFonts w:hint="eastAsia" w:ascii="宋体" w:hAnsi="宋体" w:eastAsia="宋体" w:cs="宋体"/>
          <w:sz w:val="24"/>
          <w:highlight w:val="none"/>
        </w:rPr>
        <w:t xml:space="preserve">电      话：0519-87100050</w:t>
      </w:r>
      <w:r>
        <w:rPr>
          <w:rFonts w:hAnsi="宋体" w:cs="宋体"/>
          <w:sz w:val="24"/>
          <w:szCs w:val="24"/>
        </w:rPr>
        <w:t xml:space="preserve"> </w:t>
      </w:r>
      <w:r>
        <w:rPr>
          <w:rFonts w:hAnsi="宋体" w:cs="宋体"/>
          <w:sz w:val="24"/>
          <w:szCs w:val="24"/>
        </w:rPr>
      </w:r>
      <w:r/>
    </w:p>
    <w:p>
      <w:pPr>
        <w:pStyle w:val="1023"/>
        <w:ind w:firstLine="5880"/>
        <w:jc w:val="right"/>
        <w:spacing w:line="360" w:lineRule="auto"/>
        <w:rPr>
          <w:rFonts w:hint="eastAsia" w:ascii="宋体" w:hAnsi="宋体" w:cs="宋体"/>
          <w:sz w:val="24"/>
        </w:rPr>
      </w:pPr>
      <w:r>
        <w:rPr>
          <w:rFonts w:hint="eastAsia" w:ascii="宋体" w:hAnsi="宋体" w:cs="宋体"/>
          <w:sz w:val="24"/>
        </w:rPr>
      </w:r>
      <w:r/>
    </w:p>
    <w:p>
      <w:pPr>
        <w:pStyle w:val="1023"/>
        <w:jc w:val="center"/>
        <w:spacing w:line="360" w:lineRule="auto"/>
        <w:rPr>
          <w:rFonts w:hint="eastAsia" w:ascii="宋体" w:hAnsi="宋体" w:cs="宋体"/>
          <w:b/>
          <w:sz w:val="32"/>
          <w:szCs w:val="32"/>
        </w:rPr>
        <w:outlineLvl w:val="0"/>
      </w:pPr>
      <w:r>
        <w:rPr>
          <w:rFonts w:hint="eastAsia" w:ascii="宋体" w:hAnsi="宋体" w:cs="宋体"/>
          <w:sz w:val="24"/>
        </w:rPr>
        <w:br w:type="page" w:clear="all"/>
      </w:r>
      <w:bookmarkStart w:id="33" w:name="_Toc195842950"/>
      <w:r/>
      <w:bookmarkStart w:id="34" w:name="_Toc265228423"/>
      <w:r/>
      <w:bookmarkStart w:id="35" w:name="_Toc127161488"/>
      <w:r/>
      <w:bookmarkStart w:id="36" w:name="_Toc150774783"/>
      <w:r/>
      <w:bookmarkStart w:id="37" w:name="_Toc127151777"/>
      <w:r/>
      <w:bookmarkStart w:id="38" w:name="_Toc305158928"/>
      <w:r/>
      <w:bookmarkStart w:id="39" w:name="_Toc512937850"/>
      <w:r/>
      <w:bookmarkStart w:id="40" w:name="_Toc353873938"/>
      <w:r/>
      <w:bookmarkStart w:id="41" w:name="_Toc353825548"/>
      <w:r/>
      <w:bookmarkStart w:id="42" w:name="_Toc27824"/>
      <w:r/>
      <w:bookmarkStart w:id="43" w:name="_Toc264969275"/>
      <w:r/>
      <w:bookmarkStart w:id="44" w:name="_Toc226965856"/>
      <w:r/>
      <w:bookmarkStart w:id="45" w:name="_Toc305158854"/>
      <w:r>
        <w:rPr>
          <w:rFonts w:hint="eastAsia" w:ascii="宋体" w:hAnsi="宋体" w:cs="宋体"/>
          <w:b/>
          <w:sz w:val="36"/>
          <w:szCs w:val="36"/>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rFonts w:hint="eastAsia" w:ascii="宋体" w:hAnsi="宋体" w:cs="宋体"/>
          <w:b/>
          <w:sz w:val="32"/>
          <w:szCs w:val="32"/>
        </w:rPr>
      </w:r>
      <w:r/>
    </w:p>
    <w:p>
      <w:pPr>
        <w:pStyle w:val="1025"/>
        <w:spacing w:before="0" w:line="360" w:lineRule="auto"/>
        <w:tabs>
          <w:tab w:val="center" w:pos="4592" w:leader="none"/>
          <w:tab w:val="left" w:pos="7860" w:leader="none"/>
        </w:tabs>
        <w:rPr>
          <w:rFonts w:hint="eastAsia" w:ascii="宋体" w:hAnsi="宋体" w:eastAsia="宋体" w:cs="宋体"/>
          <w:sz w:val="28"/>
        </w:rPr>
      </w:pPr>
      <w:r/>
      <w:bookmarkStart w:id="46" w:name="_Toc150509270"/>
      <w:r/>
      <w:bookmarkStart w:id="47" w:name="_Toc151193907"/>
      <w:r/>
      <w:bookmarkStart w:id="48" w:name="_Toc127151720"/>
      <w:r/>
      <w:bookmarkStart w:id="49" w:name="_Toc520356144"/>
      <w:r/>
      <w:bookmarkStart w:id="50" w:name="_Toc226309763"/>
      <w:r/>
      <w:bookmarkStart w:id="51" w:name="_Toc226337215"/>
      <w:r/>
      <w:bookmarkStart w:id="52" w:name="_Toc127161433"/>
      <w:r/>
      <w:bookmarkStart w:id="53" w:name="_Toc149720812"/>
      <w:r/>
      <w:bookmarkStart w:id="54" w:name="_Toc151193761"/>
      <w:r/>
      <w:bookmarkStart w:id="55" w:name="_Toc127151519"/>
      <w:r/>
      <w:bookmarkStart w:id="56" w:name="_Toc151193689"/>
      <w:r/>
      <w:bookmarkStart w:id="57" w:name="_Toc150774619"/>
      <w:r/>
      <w:bookmarkStart w:id="58" w:name="_Toc151190146"/>
      <w:r/>
      <w:bookmarkStart w:id="59" w:name="_Toc150480757"/>
      <w:r/>
      <w:bookmarkStart w:id="60" w:name="_Toc164229360"/>
      <w:r/>
      <w:bookmarkStart w:id="61" w:name="_Toc151193833"/>
      <w:r/>
      <w:bookmarkStart w:id="62" w:name="_Toc151193617"/>
      <w:r/>
      <w:bookmarkStart w:id="63" w:name="_Toc164608633"/>
      <w:r/>
      <w:bookmarkStart w:id="64" w:name="_Toc164229214"/>
      <w:r/>
      <w:bookmarkStart w:id="65" w:name="_Toc226965709"/>
      <w:r/>
      <w:bookmarkStart w:id="66" w:name="_Toc142311021"/>
      <w:r/>
      <w:bookmarkStart w:id="67" w:name="_Toc195842884"/>
      <w:r/>
      <w:bookmarkStart w:id="68" w:name="_Toc226965792"/>
      <w:r/>
      <w:bookmarkStart w:id="69" w:name="_Toc164351613"/>
      <w:r/>
      <w:bookmarkStart w:id="70" w:name="_Toc150774724"/>
      <w:r/>
      <w:bookmarkStart w:id="71" w:name="_Toc164608788"/>
      <w:r>
        <w:rPr>
          <w:rFonts w:hint="eastAsia" w:ascii="宋体" w:hAnsi="宋体" w:eastAsia="宋体" w:cs="宋体"/>
          <w:sz w:val="28"/>
        </w:rPr>
        <w:t xml:space="preserve">投标人须知资料表</w:t>
      </w:r>
      <w:r>
        <w:rPr>
          <w:rFonts w:hint="eastAsia" w:ascii="宋体" w:hAnsi="宋体" w:eastAsia="宋体" w:cs="宋体"/>
          <w:sz w:val="28"/>
        </w:rPr>
      </w:r>
      <w:r/>
    </w:p>
    <w:p>
      <w:pPr>
        <w:pStyle w:val="1023"/>
        <w:ind w:firstLine="480"/>
        <w:spacing w:line="360" w:lineRule="auto"/>
        <w:rPr>
          <w:rFonts w:hint="eastAsia" w:ascii="宋体" w:hAnsi="宋体" w:cs="宋体"/>
          <w:b/>
          <w:sz w:val="28"/>
          <w:szCs w:val="28"/>
        </w:rPr>
      </w:pPr>
      <w:r>
        <w:rPr>
          <w:sz w:val="24"/>
        </w:rPr>
        <w:t xml:space="preserve">本表是对投标人须知的具体补充和修改，如有矛盾，均以本资料表为准。</w:t>
      </w:r>
      <w:r>
        <w:rPr>
          <w:rFonts w:hint="eastAsia" w:ascii="宋体" w:hAnsi="宋体" w:cs="宋体"/>
          <w:b/>
          <w:sz w:val="28"/>
          <w:szCs w:val="28"/>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624"/>
          <w:tblHeader/>
        </w:trPr>
        <w:tc>
          <w:tcPr>
            <w:tcW w:w="988" w:type="dxa"/>
            <w:vAlign w:val="center"/>
            <w:textDirection w:val="lrTb"/>
            <w:noWrap w:val="false"/>
          </w:tcPr>
          <w:p>
            <w:pPr>
              <w:pStyle w:val="1023"/>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23"/>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253" w:type="dxa"/>
            <w:vAlign w:val="center"/>
            <w:textDirection w:val="lrTb"/>
            <w:noWrap w:val="false"/>
          </w:tcPr>
          <w:p>
            <w:pPr>
              <w:pStyle w:val="1023"/>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567"/>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23"/>
              <w:jc w:val="center"/>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7253" w:type="dxa"/>
            <w:vAlign w:val="center"/>
            <w:textDirection w:val="lrTb"/>
            <w:noWrap w:val="false"/>
          </w:tcPr>
          <w:p>
            <w:pPr>
              <w:pStyle w:val="1023"/>
              <w:jc w:val="left"/>
              <w:rPr>
                <w:rFonts w:hint="eastAsia" w:ascii="宋体" w:hAnsi="宋体" w:eastAsia="宋体" w:cs="宋体"/>
                <w:sz w:val="24"/>
                <w:u w:val="single"/>
                <w:lang w:eastAsia="zh-CN"/>
              </w:rPr>
            </w:pPr>
            <w:r>
              <w:rPr>
                <w:rFonts w:hint="eastAsia" w:ascii="宋体" w:hAnsi="宋体" w:cs="宋体"/>
                <w:sz w:val="24"/>
              </w:rPr>
              <w:t xml:space="preserve">项目属性：</w:t>
            </w:r>
            <w:r>
              <w:rPr>
                <w:rFonts w:hint="eastAsia" w:ascii="宋体" w:hAnsi="宋体" w:cs="宋体"/>
                <w:sz w:val="24"/>
                <w:lang w:val="en-US" w:eastAsia="zh-CN"/>
              </w:rPr>
              <w:t xml:space="preserve">服务</w:t>
            </w:r>
            <w:r>
              <w:rPr>
                <w:rFonts w:hint="eastAsia" w:ascii="宋体" w:hAnsi="宋体" w:eastAsia="宋体" w:cs="宋体"/>
                <w:sz w:val="24"/>
                <w:u w:val="single"/>
                <w:lang w:eastAsia="zh-CN"/>
              </w:rPr>
            </w:r>
            <w:r/>
          </w:p>
        </w:tc>
      </w:tr>
      <w:tr>
        <w:trPr>
          <w:trHeight w:val="567"/>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23"/>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253" w:type="dxa"/>
            <w:vAlign w:val="center"/>
            <w:textDirection w:val="lrTb"/>
            <w:noWrap w:val="false"/>
          </w:tcPr>
          <w:p>
            <w:pPr>
              <w:pStyle w:val="1023"/>
              <w:jc w:val="left"/>
              <w:rPr>
                <w:rFonts w:hint="eastAsia" w:ascii="宋体" w:hAnsi="宋体" w:cs="宋体"/>
                <w:sz w:val="24"/>
              </w:rPr>
            </w:pPr>
            <w:r>
              <w:rPr>
                <w:rFonts w:hint="eastAsia" w:ascii="宋体" w:hAnsi="宋体" w:cs="宋体"/>
                <w:sz w:val="24"/>
              </w:rPr>
              <w:t xml:space="preserve">是否属于科研仪器设备采购项目：否</w:t>
            </w:r>
            <w:r>
              <w:rPr>
                <w:rFonts w:hint="eastAsia" w:ascii="宋体" w:hAnsi="宋体" w:cs="宋体"/>
                <w:sz w:val="24"/>
              </w:rPr>
            </w:r>
            <w:r/>
          </w:p>
        </w:tc>
      </w:tr>
      <w:tr>
        <w:trPr>
          <w:trHeight w:val="567"/>
        </w:trPr>
        <w:tc>
          <w:tcPr>
            <w:tcW w:w="988" w:type="dxa"/>
            <w:vAlign w:val="center"/>
            <w:vMerge w:val="restart"/>
            <w:textDirection w:val="lrTb"/>
            <w:noWrap w:val="false"/>
          </w:tcPr>
          <w:p>
            <w:pPr>
              <w:pStyle w:val="1056"/>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23"/>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253" w:type="dxa"/>
            <w:vAlign w:val="center"/>
            <w:textDirection w:val="lrTb"/>
            <w:noWrap w:val="false"/>
          </w:tcPr>
          <w:p>
            <w:pPr>
              <w:pStyle w:val="1023"/>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tc>
      </w:tr>
      <w:tr>
        <w:trPr>
          <w:trHeight w:val="567"/>
        </w:trPr>
        <w:tc>
          <w:tcPr>
            <w:tcW w:w="988" w:type="dxa"/>
            <w:vAlign w:val="center"/>
            <w:vMerge w:val="continue"/>
            <w:textDirection w:val="lrTb"/>
            <w:noWrap w:val="false"/>
          </w:tcPr>
          <w:p>
            <w:pPr>
              <w:pStyle w:val="1056"/>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23"/>
              <w:jc w:val="center"/>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7253" w:type="dxa"/>
            <w:vAlign w:val="center"/>
            <w:textDirection w:val="lrTb"/>
            <w:noWrap w:val="false"/>
          </w:tcPr>
          <w:p>
            <w:pPr>
              <w:pStyle w:val="1023"/>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tc>
      </w:tr>
      <w:tr>
        <w:trPr>
          <w:trHeight w:val="816"/>
        </w:trPr>
        <w:tc>
          <w:tcPr>
            <w:tcW w:w="988" w:type="dxa"/>
            <w:vAlign w:val="center"/>
            <w:textDirection w:val="lrTb"/>
            <w:noWrap w:val="false"/>
          </w:tcPr>
          <w:p>
            <w:pPr>
              <w:pStyle w:val="1056"/>
              <w:jc w:val="center"/>
              <w:rPr>
                <w:rFonts w:ascii="Times New Roman" w:hAnsi="Times New Roman"/>
                <w:sz w:val="24"/>
                <w:szCs w:val="24"/>
              </w:rPr>
            </w:pPr>
            <w:r>
              <w:rPr>
                <w:rFonts w:ascii="Times New Roman" w:hAnsi="Times New Roman"/>
                <w:sz w:val="24"/>
                <w:szCs w:val="24"/>
              </w:rPr>
              <w:t xml:space="preserve">5.2.5</w:t>
            </w:r>
            <w:r>
              <w:rPr>
                <w:rFonts w:ascii="Times New Roman" w:hAnsi="Times New Roman"/>
                <w:sz w:val="24"/>
                <w:szCs w:val="24"/>
              </w:rPr>
            </w:r>
            <w:r/>
          </w:p>
        </w:tc>
        <w:tc>
          <w:tcPr>
            <w:tcW w:w="1701" w:type="dxa"/>
            <w:vAlign w:val="center"/>
            <w:textDirection w:val="lrTb"/>
            <w:noWrap w:val="false"/>
          </w:tcPr>
          <w:p>
            <w:pPr>
              <w:pStyle w:val="1023"/>
              <w:jc w:val="center"/>
              <w:rPr>
                <w:rFonts w:hint="eastAsia"/>
                <w:sz w:val="24"/>
              </w:rPr>
            </w:pPr>
            <w:r>
              <w:rPr>
                <w:sz w:val="24"/>
                <w:highlight w:val="none"/>
              </w:rPr>
              <w:t xml:space="preserve">标的所属行业</w:t>
            </w:r>
            <w:r>
              <w:rPr>
                <w:rFonts w:hint="eastAsia"/>
                <w:sz w:val="24"/>
              </w:rPr>
            </w:r>
            <w:r/>
          </w:p>
        </w:tc>
        <w:tc>
          <w:tcPr>
            <w:tcW w:w="7253" w:type="dxa"/>
            <w:vAlign w:val="center"/>
            <w:textDirection w:val="lrTb"/>
            <w:noWrap w:val="false"/>
          </w:tcPr>
          <w:p>
            <w:pPr>
              <w:pStyle w:val="1023"/>
              <w:jc w:val="left"/>
              <w:rPr>
                <w:rFonts w:hint="eastAsia"/>
                <w:sz w:val="24"/>
              </w:rPr>
            </w:pPr>
            <w:r>
              <w:rPr>
                <w:sz w:val="24"/>
              </w:rPr>
              <w:t xml:space="preserve">本项目采购标的对应的中小企业划分标准所属行业：</w:t>
            </w:r>
            <w:r>
              <w:rPr>
                <w:rFonts w:hint="eastAsia"/>
                <w:sz w:val="24"/>
                <w:u w:val="single"/>
                <w:lang w:val="en-US" w:eastAsia="zh-CN"/>
              </w:rPr>
              <w:t xml:space="preserve"> </w:t>
            </w:r>
            <w:r>
              <w:rPr>
                <w:rFonts w:hint="eastAsia" w:ascii="宋体" w:hAnsi="宋体" w:cs="宋体"/>
                <w:color w:val="000000"/>
                <w:sz w:val="24"/>
                <w:szCs w:val="24"/>
                <w:highlight w:val="none"/>
                <w:u w:val="single"/>
                <w:shd w:val="clear" w:color="auto" w:fill="ffffff"/>
              </w:rPr>
              <w:t xml:space="preserve">软件和信息技术服务业</w:t>
            </w:r>
            <w:r>
              <w:rPr>
                <w:rFonts w:hint="eastAsia"/>
                <w:sz w:val="24"/>
                <w:u w:val="single"/>
              </w:rPr>
              <w:t xml:space="preserve"> </w:t>
            </w:r>
            <w:r>
              <w:rPr>
                <w:rFonts w:hint="eastAsia"/>
                <w:sz w:val="24"/>
              </w:rPr>
            </w:r>
            <w:r/>
          </w:p>
        </w:tc>
      </w:tr>
      <w:tr>
        <w:trPr>
          <w:trHeight w:val="531"/>
        </w:trPr>
        <w:tc>
          <w:tcPr>
            <w:tcW w:w="988" w:type="dxa"/>
            <w:vAlign w:val="center"/>
            <w:textDirection w:val="lrTb"/>
            <w:noWrap w:val="false"/>
          </w:tcPr>
          <w:p>
            <w:pPr>
              <w:pStyle w:val="1056"/>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1023"/>
              <w:jc w:val="center"/>
              <w:rPr>
                <w:rFonts w:hint="eastAsia"/>
                <w:sz w:val="24"/>
              </w:rPr>
            </w:pPr>
            <w:r>
              <w:rPr>
                <w:rFonts w:hint="eastAsia"/>
                <w:sz w:val="24"/>
              </w:rPr>
              <w:t xml:space="preserve">投标报价</w:t>
            </w:r>
            <w:r>
              <w:rPr>
                <w:rFonts w:hint="eastAsia"/>
                <w:sz w:val="24"/>
              </w:rPr>
            </w:r>
            <w:r/>
          </w:p>
        </w:tc>
        <w:tc>
          <w:tcPr>
            <w:tcW w:w="7253" w:type="dxa"/>
            <w:vAlign w:val="center"/>
            <w:textDirection w:val="lrTb"/>
            <w:noWrap w:val="false"/>
          </w:tcPr>
          <w:p>
            <w:pPr>
              <w:pStyle w:val="1023"/>
              <w:jc w:val="left"/>
              <w:rPr>
                <w:sz w:val="24"/>
              </w:rPr>
            </w:pPr>
            <w:r>
              <w:rPr>
                <w:rFonts w:hint="eastAsia"/>
                <w:sz w:val="24"/>
              </w:rPr>
              <w:t xml:space="preserve">投标报价的特殊规定：</w:t>
            </w:r>
            <w:r>
              <w:rPr>
                <w:sz w:val="24"/>
              </w:rPr>
              <w:t xml:space="preserve">无</w:t>
            </w:r>
            <w:r>
              <w:rPr>
                <w:sz w:val="24"/>
              </w:rPr>
            </w:r>
            <w:r/>
          </w:p>
        </w:tc>
      </w:tr>
      <w:tr>
        <w:trPr>
          <w:trHeight w:val="567"/>
        </w:trPr>
        <w:tc>
          <w:tcPr>
            <w:tcW w:w="988" w:type="dxa"/>
            <w:vAlign w:val="center"/>
            <w:textDirection w:val="lrTb"/>
            <w:noWrap w:val="false"/>
          </w:tcPr>
          <w:p>
            <w:pPr>
              <w:pStyle w:val="1056"/>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1023"/>
              <w:jc w:val="center"/>
              <w:rPr>
                <w:rFonts w:hint="eastAsia"/>
                <w:sz w:val="24"/>
              </w:rPr>
            </w:pPr>
            <w:r>
              <w:rPr>
                <w:rFonts w:hint="eastAsia"/>
                <w:sz w:val="24"/>
              </w:rPr>
              <w:t xml:space="preserve">投标保证金</w:t>
            </w:r>
            <w:r>
              <w:rPr>
                <w:rFonts w:hint="eastAsia"/>
                <w:sz w:val="24"/>
              </w:rPr>
            </w:r>
            <w:r/>
          </w:p>
        </w:tc>
        <w:tc>
          <w:tcPr>
            <w:tcW w:w="7253" w:type="dxa"/>
            <w:vAlign w:val="center"/>
            <w:textDirection w:val="lrTb"/>
            <w:noWrap w:val="false"/>
          </w:tcPr>
          <w:p>
            <w:pPr>
              <w:pStyle w:val="1023"/>
              <w:jc w:val="left"/>
              <w:rPr>
                <w:rFonts w:hint="eastAsia"/>
                <w:sz w:val="24"/>
              </w:rPr>
            </w:pPr>
            <w:r>
              <w:rPr>
                <w:rFonts w:hint="eastAsia"/>
                <w:sz w:val="24"/>
              </w:rPr>
              <w:t xml:space="preserve">免收</w:t>
            </w:r>
            <w:r>
              <w:rPr>
                <w:rFonts w:hint="eastAsia"/>
                <w:sz w:val="24"/>
              </w:rPr>
            </w:r>
            <w:r/>
          </w:p>
        </w:tc>
      </w:tr>
      <w:tr>
        <w:trPr>
          <w:trHeight w:val="567"/>
        </w:trPr>
        <w:tc>
          <w:tcPr>
            <w:tcW w:w="988" w:type="dxa"/>
            <w:vAlign w:val="center"/>
            <w:textDirection w:val="lrTb"/>
            <w:noWrap w:val="false"/>
          </w:tcPr>
          <w:p>
            <w:pPr>
              <w:pStyle w:val="1056"/>
              <w:jc w:val="center"/>
              <w:rPr>
                <w:rFonts w:ascii="Times New Roman" w:hAnsi="Times New Roman"/>
                <w:sz w:val="24"/>
                <w:szCs w:val="24"/>
              </w:rPr>
            </w:pPr>
            <w:r>
              <w:rPr>
                <w:rFonts w:ascii="Times New Roman" w:hAnsi="Times New Roman"/>
                <w:sz w:val="24"/>
                <w:szCs w:val="24"/>
              </w:rPr>
              <w:t xml:space="preserve">13.1</w:t>
            </w:r>
            <w:r>
              <w:rPr>
                <w:rFonts w:ascii="Times New Roman" w:hAnsi="Times New Roman"/>
                <w:sz w:val="24"/>
                <w:szCs w:val="24"/>
              </w:rPr>
            </w:r>
            <w:r/>
          </w:p>
        </w:tc>
        <w:tc>
          <w:tcPr>
            <w:tcW w:w="1701" w:type="dxa"/>
            <w:vAlign w:val="center"/>
            <w:textDirection w:val="lrTb"/>
            <w:noWrap w:val="false"/>
          </w:tcPr>
          <w:p>
            <w:pPr>
              <w:pStyle w:val="1023"/>
              <w:jc w:val="center"/>
              <w:rPr>
                <w:rFonts w:hint="eastAsia"/>
                <w:sz w:val="24"/>
              </w:rPr>
            </w:pPr>
            <w:r>
              <w:rPr>
                <w:sz w:val="24"/>
              </w:rPr>
              <w:t xml:space="preserve">投标有效期</w:t>
            </w:r>
            <w:r>
              <w:rPr>
                <w:rFonts w:hint="eastAsia"/>
                <w:sz w:val="24"/>
              </w:rPr>
            </w:r>
            <w:r/>
          </w:p>
        </w:tc>
        <w:tc>
          <w:tcPr>
            <w:tcW w:w="7253" w:type="dxa"/>
            <w:vAlign w:val="center"/>
            <w:textDirection w:val="lrTb"/>
            <w:noWrap w:val="false"/>
          </w:tcPr>
          <w:p>
            <w:pPr>
              <w:pStyle w:val="1023"/>
              <w:jc w:val="left"/>
              <w:rPr>
                <w:rFonts w:hint="eastAsia"/>
                <w:sz w:val="24"/>
              </w:rPr>
            </w:pPr>
            <w:r>
              <w:rPr>
                <w:sz w:val="24"/>
              </w:rPr>
              <w:t xml:space="preserve">自提交投标文件的截止之日起算</w:t>
            </w:r>
            <w:r>
              <w:rPr>
                <w:rFonts w:hint="eastAsia"/>
                <w:sz w:val="24"/>
                <w:u w:val="single"/>
              </w:rPr>
              <w:t xml:space="preserve">60</w:t>
            </w:r>
            <w:r>
              <w:rPr>
                <w:sz w:val="24"/>
              </w:rPr>
              <w:t xml:space="preserve">日历天。</w:t>
            </w:r>
            <w:r>
              <w:rPr>
                <w:rFonts w:hint="eastAsia"/>
                <w:sz w:val="24"/>
              </w:rPr>
            </w:r>
            <w:r/>
          </w:p>
        </w:tc>
      </w:tr>
      <w:tr>
        <w:trPr>
          <w:trHeight w:val="567"/>
        </w:trPr>
        <w:tc>
          <w:tcPr>
            <w:tcW w:w="988" w:type="dxa"/>
            <w:vAlign w:val="center"/>
            <w:textDirection w:val="lrTb"/>
            <w:noWrap w:val="false"/>
          </w:tcPr>
          <w:p>
            <w:pPr>
              <w:pStyle w:val="1056"/>
              <w:jc w:val="center"/>
              <w:rPr>
                <w:rFonts w:ascii="Times New Roman" w:hAnsi="Times New Roman"/>
                <w:sz w:val="24"/>
                <w:szCs w:val="24"/>
              </w:rPr>
            </w:pPr>
            <w:r>
              <w:rPr>
                <w:rFonts w:ascii="Times New Roman" w:hAnsi="Times New Roman"/>
                <w:sz w:val="24"/>
                <w:szCs w:val="24"/>
              </w:rPr>
              <w:t xml:space="preserve">25.5</w:t>
            </w:r>
            <w:r>
              <w:rPr>
                <w:rFonts w:ascii="Times New Roman" w:hAnsi="Times New Roman"/>
                <w:sz w:val="24"/>
                <w:szCs w:val="24"/>
              </w:rPr>
            </w:r>
            <w:r/>
          </w:p>
        </w:tc>
        <w:tc>
          <w:tcPr>
            <w:tcW w:w="1701" w:type="dxa"/>
            <w:vAlign w:val="center"/>
            <w:textDirection w:val="lrTb"/>
            <w:noWrap w:val="false"/>
          </w:tcPr>
          <w:p>
            <w:pPr>
              <w:pStyle w:val="1023"/>
              <w:jc w:val="center"/>
              <w:rPr>
                <w:rFonts w:hint="eastAsia"/>
                <w:sz w:val="24"/>
              </w:rPr>
            </w:pPr>
            <w:r>
              <w:rPr>
                <w:sz w:val="24"/>
              </w:rPr>
              <w:t xml:space="preserve">分包</w:t>
            </w:r>
            <w:r>
              <w:rPr>
                <w:rFonts w:hint="eastAsia"/>
                <w:sz w:val="24"/>
              </w:rPr>
            </w:r>
            <w:r/>
          </w:p>
        </w:tc>
        <w:tc>
          <w:tcPr>
            <w:tcW w:w="7253" w:type="dxa"/>
            <w:vAlign w:val="center"/>
            <w:textDirection w:val="lrTb"/>
            <w:noWrap w:val="false"/>
          </w:tcPr>
          <w:p>
            <w:pPr>
              <w:pStyle w:val="1023"/>
              <w:jc w:val="left"/>
              <w:rPr>
                <w:rFonts w:hint="eastAsia"/>
                <w:sz w:val="24"/>
              </w:rPr>
            </w:pPr>
            <w:r>
              <w:rPr>
                <w:sz w:val="24"/>
              </w:rPr>
              <w:t xml:space="preserve">本项目是否允许分包：不允许</w:t>
            </w:r>
            <w:r>
              <w:rPr>
                <w:rFonts w:hint="eastAsia"/>
                <w:sz w:val="24"/>
              </w:rPr>
            </w:r>
            <w:r/>
          </w:p>
        </w:tc>
      </w:tr>
      <w:tr>
        <w:trPr>
          <w:trHeight w:val="567"/>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26.1.1</w:t>
            </w:r>
            <w:r>
              <w:rPr>
                <w:rFonts w:hAnsi="宋体" w:cs="宋体"/>
                <w:sz w:val="24"/>
                <w:szCs w:val="24"/>
              </w:rPr>
            </w:r>
            <w:r/>
          </w:p>
        </w:tc>
        <w:tc>
          <w:tcPr>
            <w:tcW w:w="1701" w:type="dxa"/>
            <w:vAlign w:val="center"/>
            <w:textDirection w:val="lrTb"/>
            <w:noWrap w:val="false"/>
          </w:tcPr>
          <w:p>
            <w:pPr>
              <w:pStyle w:val="1023"/>
              <w:jc w:val="center"/>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7253" w:type="dxa"/>
            <w:vAlign w:val="center"/>
            <w:textDirection w:val="lrTb"/>
            <w:noWrap w:val="false"/>
          </w:tcPr>
          <w:p>
            <w:pPr>
              <w:pStyle w:val="1023"/>
              <w:jc w:val="left"/>
              <w:rPr>
                <w:rFonts w:hint="eastAsia" w:ascii="宋体" w:hAnsi="宋体" w:cs="宋体"/>
                <w:sz w:val="24"/>
              </w:rPr>
            </w:pPr>
            <w:r>
              <w:rPr>
                <w:rFonts w:hint="eastAsia" w:ascii="宋体" w:hAnsi="宋体" w:cs="宋体"/>
                <w:sz w:val="24"/>
              </w:rPr>
              <w:t xml:space="preserve">询问送达形式：</w:t>
            </w:r>
            <w:r>
              <w:rPr>
                <w:rFonts w:hint="eastAsia"/>
                <w:sz w:val="24"/>
              </w:rPr>
              <w:t xml:space="preserve">书面形式</w:t>
            </w:r>
            <w:r>
              <w:rPr>
                <w:rFonts w:hint="eastAsia" w:ascii="宋体" w:hAnsi="宋体" w:cs="宋体"/>
                <w:sz w:val="24"/>
              </w:rPr>
            </w:r>
            <w:r/>
          </w:p>
        </w:tc>
      </w:tr>
      <w:tr>
        <w:trPr>
          <w:trHeight w:val="1601"/>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26.3</w:t>
            </w:r>
            <w:r>
              <w:rPr>
                <w:rFonts w:hAnsi="宋体" w:cs="宋体"/>
                <w:sz w:val="24"/>
                <w:szCs w:val="24"/>
              </w:rPr>
            </w:r>
            <w:r/>
          </w:p>
        </w:tc>
        <w:tc>
          <w:tcPr>
            <w:tcW w:w="1701" w:type="dxa"/>
            <w:vAlign w:val="center"/>
            <w:textDirection w:val="lrTb"/>
            <w:noWrap w:val="false"/>
          </w:tcPr>
          <w:p>
            <w:pPr>
              <w:pStyle w:val="1023"/>
              <w:jc w:val="center"/>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7253" w:type="dxa"/>
            <w:vAlign w:val="center"/>
            <w:textDirection w:val="lrTb"/>
            <w:noWrap w:val="false"/>
          </w:tcPr>
          <w:p>
            <w:pPr>
              <w:pStyle w:val="1023"/>
              <w:jc w:val="left"/>
              <w:rPr>
                <w:rFonts w:hint="eastAsia" w:ascii="宋体" w:hAnsi="宋体" w:cs="宋体"/>
                <w:sz w:val="24"/>
              </w:rPr>
            </w:pPr>
            <w:r>
              <w:rPr>
                <w:rFonts w:hint="eastAsia" w:ascii="宋体" w:hAnsi="宋体" w:cs="宋体"/>
                <w:sz w:val="24"/>
              </w:rPr>
              <w:t xml:space="preserve">接收询问和质疑的联系方式</w:t>
            </w:r>
            <w:r>
              <w:rPr>
                <w:rFonts w:hint="eastAsia" w:ascii="宋体" w:hAnsi="宋体" w:cs="宋体"/>
                <w:sz w:val="24"/>
              </w:rPr>
            </w:r>
            <w:r/>
          </w:p>
          <w:p>
            <w:pPr>
              <w:pStyle w:val="1023"/>
              <w:jc w:val="left"/>
              <w:rPr>
                <w:rFonts w:hint="eastAsia" w:ascii="宋体" w:hAnsi="宋体" w:eastAsia="宋体" w:cs="宋体"/>
                <w:sz w:val="24"/>
                <w:lang w:eastAsia="zh-CN"/>
              </w:rPr>
            </w:pPr>
            <w:r>
              <w:rPr>
                <w:rFonts w:hint="eastAsia" w:ascii="宋体" w:hAnsi="宋体" w:cs="宋体"/>
                <w:sz w:val="24"/>
              </w:rPr>
              <w:t xml:space="preserve">联系部门：</w:t>
            </w:r>
            <w:r>
              <w:rPr>
                <w:rFonts w:hint="eastAsia" w:ascii="宋体" w:hAnsi="宋体" w:cs="宋体"/>
                <w:sz w:val="24"/>
                <w:lang w:eastAsia="zh-CN"/>
              </w:rPr>
              <w:t xml:space="preserve">溧阳市大成招投标有限公司</w:t>
            </w:r>
            <w:r>
              <w:rPr>
                <w:rFonts w:hint="eastAsia" w:ascii="宋体" w:hAnsi="宋体" w:eastAsia="宋体" w:cs="宋体"/>
                <w:sz w:val="24"/>
                <w:lang w:eastAsia="zh-CN"/>
              </w:rPr>
            </w:r>
            <w:r/>
          </w:p>
          <w:p>
            <w:pPr>
              <w:pStyle w:val="1023"/>
              <w:jc w:val="left"/>
              <w:rPr>
                <w:rFonts w:hint="eastAsia" w:ascii="宋体" w:hAnsi="宋体" w:cs="宋体"/>
                <w:sz w:val="24"/>
              </w:rPr>
            </w:pPr>
            <w:r>
              <w:rPr>
                <w:rFonts w:hint="eastAsia" w:ascii="宋体" w:hAnsi="宋体" w:cs="宋体"/>
                <w:sz w:val="24"/>
              </w:rPr>
              <w:t xml:space="preserve">联系电话：</w:t>
            </w:r>
            <w:r>
              <w:rPr>
                <w:rFonts w:hint="eastAsia"/>
                <w:sz w:val="24"/>
              </w:rPr>
              <w:t xml:space="preserve">0519-87100050</w:t>
            </w:r>
            <w:r>
              <w:rPr>
                <w:rFonts w:hint="eastAsia" w:ascii="宋体" w:hAnsi="宋体" w:cs="宋体"/>
                <w:sz w:val="24"/>
              </w:rPr>
            </w:r>
            <w:r/>
          </w:p>
          <w:p>
            <w:pPr>
              <w:pStyle w:val="1023"/>
              <w:jc w:val="left"/>
              <w:rPr>
                <w:rFonts w:hint="eastAsia" w:ascii="宋体" w:hAnsi="宋体" w:cs="宋体"/>
                <w:sz w:val="24"/>
              </w:rPr>
            </w:pPr>
            <w:r>
              <w:rPr>
                <w:rFonts w:hint="eastAsia" w:ascii="宋体" w:hAnsi="宋体" w:cs="宋体"/>
                <w:sz w:val="24"/>
              </w:rPr>
              <w:t xml:space="preserve">通讯地址：溧阳市游子吟大道19号通用大楼3楼310室</w:t>
            </w:r>
            <w:r>
              <w:rPr>
                <w:rFonts w:hint="eastAsia" w:ascii="宋体" w:hAnsi="宋体" w:cs="宋体"/>
                <w:sz w:val="24"/>
              </w:rPr>
            </w:r>
            <w:r/>
          </w:p>
        </w:tc>
      </w:tr>
      <w:tr>
        <w:trPr>
          <w:trHeight w:val="1608"/>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27</w:t>
            </w:r>
            <w:r>
              <w:rPr>
                <w:rFonts w:hAnsi="宋体" w:cs="宋体"/>
                <w:sz w:val="24"/>
                <w:szCs w:val="24"/>
              </w:rPr>
            </w:r>
            <w:r/>
          </w:p>
        </w:tc>
        <w:tc>
          <w:tcPr>
            <w:tcW w:w="1701" w:type="dxa"/>
            <w:vAlign w:val="center"/>
            <w:textDirection w:val="lrTb"/>
            <w:noWrap w:val="false"/>
          </w:tcPr>
          <w:p>
            <w:pPr>
              <w:pStyle w:val="1023"/>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253" w:type="dxa"/>
            <w:vAlign w:val="center"/>
            <w:textDirection w:val="lrTb"/>
            <w:noWrap w:val="false"/>
          </w:tcPr>
          <w:p>
            <w:pPr>
              <w:pStyle w:val="1023"/>
              <w:jc w:val="left"/>
              <w:rPr>
                <w:rFonts w:ascii="宋体" w:hAnsi="宋体" w:eastAsia="宋体" w:cs="宋体"/>
                <w:sz w:val="24"/>
                <w:lang w:val="en-US" w:eastAsia="zh-CN"/>
              </w:rPr>
            </w:pPr>
            <w:r>
              <w:rPr>
                <w:rFonts w:hint="eastAsia" w:ascii="宋体" w:hAnsi="宋体" w:eastAsia="宋体" w:cs="宋体"/>
                <w:sz w:val="24"/>
              </w:rPr>
              <w:t xml:space="preserve">收费对象：</w:t>
            </w:r>
            <w:r>
              <w:rPr>
                <w:rFonts w:hint="eastAsia" w:ascii="宋体" w:hAnsi="宋体" w:eastAsia="宋体" w:cs="宋体"/>
                <w:sz w:val="24"/>
                <w:lang w:val="en-US" w:eastAsia="zh-CN"/>
              </w:rPr>
              <w:t xml:space="preserve">中标供应商</w:t>
            </w:r>
            <w:r>
              <w:rPr>
                <w:rFonts w:ascii="宋体" w:hAnsi="宋体" w:eastAsia="宋体" w:cs="宋体"/>
                <w:sz w:val="24"/>
                <w:lang w:val="en-US" w:eastAsia="zh-CN"/>
              </w:rPr>
            </w:r>
            <w:r/>
          </w:p>
          <w:p>
            <w:pPr>
              <w:pStyle w:val="1023"/>
              <w:jc w:val="left"/>
              <w:rPr>
                <w:rFonts w:hint="eastAsia" w:ascii="宋体" w:hAnsi="宋体" w:eastAsia="宋体" w:cs="宋体"/>
                <w:sz w:val="24"/>
                <w:lang w:eastAsia="zh-CN"/>
              </w:rPr>
            </w:pPr>
            <w:r>
              <w:rPr>
                <w:rFonts w:hint="eastAsia" w:ascii="宋体" w:hAnsi="宋体" w:eastAsia="宋体" w:cs="宋体"/>
                <w:sz w:val="24"/>
              </w:rPr>
              <w:t xml:space="preserve">收费标准：</w:t>
            </w:r>
            <w:r>
              <w:rPr>
                <w:rFonts w:hint="eastAsia" w:ascii="宋体" w:hAnsi="宋体" w:eastAsia="宋体" w:cs="宋体"/>
                <w:sz w:val="24"/>
                <w:lang w:val="en-US" w:eastAsia="zh-CN"/>
              </w:rPr>
              <w:t xml:space="preserve">根据国家发展改革和委员会发改价格(2015)299号文件精神，中标服务费按照苏招协(2022)002号收取</w:t>
            </w:r>
            <w:r>
              <w:rPr>
                <w:rFonts w:hint="eastAsia" w:ascii="宋体" w:hAnsi="宋体" w:eastAsia="宋体" w:cs="宋体"/>
                <w:sz w:val="24"/>
              </w:rPr>
              <w:t xml:space="preserve">；</w:t>
            </w:r>
            <w:r>
              <w:rPr>
                <w:rFonts w:hint="eastAsia" w:ascii="宋体" w:hAnsi="宋体" w:eastAsia="宋体" w:cs="宋体"/>
                <w:sz w:val="24"/>
                <w:lang w:eastAsia="zh-CN"/>
              </w:rPr>
            </w:r>
            <w:r/>
          </w:p>
          <w:p>
            <w:pPr>
              <w:pStyle w:val="1023"/>
              <w:jc w:val="left"/>
              <w:rPr>
                <w:rFonts w:hint="eastAsia" w:ascii="宋体" w:hAnsi="宋体" w:eastAsia="宋体" w:cs="宋体"/>
                <w:sz w:val="24"/>
              </w:rPr>
            </w:pPr>
            <w:r>
              <w:rPr>
                <w:rFonts w:hint="eastAsia" w:ascii="宋体" w:hAnsi="宋体" w:eastAsia="宋体" w:cs="宋体"/>
                <w:sz w:val="24"/>
              </w:rPr>
              <w:t xml:space="preserve">缴纳时间：</w:t>
            </w:r>
            <w:r>
              <w:rPr>
                <w:rFonts w:hint="eastAsia" w:ascii="宋体" w:hAnsi="宋体" w:eastAsia="宋体" w:cs="宋体"/>
                <w:sz w:val="24"/>
                <w:lang w:val="en-US" w:eastAsia="zh-CN"/>
              </w:rPr>
              <w:t xml:space="preserve">领取成交通知书的同时</w:t>
            </w:r>
            <w:r>
              <w:rPr>
                <w:rFonts w:hint="eastAsia" w:ascii="宋体" w:hAnsi="宋体" w:eastAsia="宋体" w:cs="宋体"/>
                <w:sz w:val="24"/>
              </w:rPr>
              <w:t xml:space="preserve">。</w:t>
            </w:r>
            <w:r>
              <w:rPr>
                <w:rFonts w:hint="eastAsia" w:ascii="宋体" w:hAnsi="宋体" w:eastAsia="宋体" w:cs="宋体"/>
                <w:sz w:val="24"/>
              </w:rPr>
            </w:r>
            <w:r/>
          </w:p>
        </w:tc>
      </w:tr>
      <w:tr>
        <w:trPr>
          <w:trHeight w:val="1803"/>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23"/>
              <w:jc w:val="center"/>
              <w:spacing w:line="360" w:lineRule="exact"/>
              <w:rPr>
                <w:rFonts w:hint="eastAsia" w:ascii="宋体" w:hAnsi="宋体" w:cs="宋体"/>
                <w:color w:val="000000"/>
                <w:sz w:val="24"/>
                <w:szCs w:val="24"/>
                <w:lang w:val="en-US" w:eastAsia="zh-CN" w:bidi="ar-SA"/>
              </w:rPr>
            </w:pPr>
            <w:r>
              <w:rPr>
                <w:rFonts w:hint="eastAsia" w:ascii="宋体" w:hAnsi="宋体" w:cs="宋体"/>
                <w:color w:val="000000"/>
                <w:sz w:val="24"/>
              </w:rPr>
              <w:t xml:space="preserve">纸质中标（成交）文件</w:t>
            </w:r>
            <w:r>
              <w:rPr>
                <w:rFonts w:hint="eastAsia" w:ascii="宋体" w:hAnsi="宋体" w:cs="宋体"/>
                <w:color w:val="000000"/>
                <w:sz w:val="24"/>
                <w:szCs w:val="24"/>
                <w:lang w:val="en-US" w:eastAsia="zh-CN" w:bidi="ar-SA"/>
              </w:rPr>
            </w:r>
            <w:r/>
          </w:p>
        </w:tc>
        <w:tc>
          <w:tcPr>
            <w:tcW w:w="7253" w:type="dxa"/>
            <w:vAlign w:val="center"/>
            <w:textDirection w:val="lrTb"/>
            <w:noWrap w:val="false"/>
          </w:tcPr>
          <w:p>
            <w:pPr>
              <w:pStyle w:val="1023"/>
              <w:jc w:val="left"/>
              <w:spacing w:line="360" w:lineRule="exact"/>
              <w:rPr>
                <w:rFonts w:hint="eastAsia" w:ascii="宋体" w:hAnsi="宋体" w:cs="宋体"/>
                <w:color w:val="000000"/>
                <w:sz w:val="24"/>
                <w:szCs w:val="24"/>
                <w:lang w:val="en-US" w:eastAsia="zh-CN" w:bidi="ar-SA"/>
              </w:rPr>
            </w:pPr>
            <w:r>
              <w:rPr>
                <w:rFonts w:hint="eastAsia" w:ascii="宋体" w:hAnsi="宋体" w:cs="宋体"/>
                <w:b/>
                <w:bCs/>
                <w:color w:val="000000"/>
                <w:sz w:val="24"/>
              </w:rPr>
              <w:t xml:space="preserve">中标人在签订合同前需递交与电子投标文件内容一致的纸质投标文件两份（需打印清晰，标注目录及页码），作为项目归档使用。（递交方式可采用邮寄或现场送达,招标人和采购代理机构各一份，联系方式见《第一章 采购邀请》）</w:t>
            </w:r>
            <w:r>
              <w:rPr>
                <w:rFonts w:hint="eastAsia" w:ascii="宋体" w:hAnsi="宋体" w:cs="宋体"/>
                <w:color w:val="000000"/>
                <w:sz w:val="24"/>
                <w:szCs w:val="24"/>
                <w:lang w:val="en-US" w:eastAsia="zh-CN" w:bidi="ar-SA"/>
              </w:rPr>
            </w:r>
            <w:r/>
          </w:p>
        </w:tc>
      </w:tr>
    </w:tbl>
    <w:p>
      <w:pPr>
        <w:pStyle w:val="1023"/>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7" w:right="1134" w:bottom="1417" w:left="1417" w:header="851" w:footer="850" w:gutter="0"/>
          <w:pgNumType w:start="1"/>
          <w:cols w:num="1" w:sep="0" w:space="1701" w:equalWidth="1"/>
          <w:docGrid w:linePitch="360"/>
        </w:sectPr>
      </w:pPr>
      <w:r>
        <w:rPr>
          <w:rFonts w:hint="eastAsia" w:ascii="宋体" w:hAnsi="宋体" w:cs="宋体"/>
          <w:sz w:val="24"/>
        </w:rPr>
      </w:r>
      <w:r/>
    </w:p>
    <w:p>
      <w:pPr>
        <w:pStyle w:val="1023"/>
        <w:jc w:val="center"/>
        <w:rPr>
          <w:b w:val="0"/>
          <w:bCs w:val="0"/>
          <w:color w:val="000000"/>
          <w:sz w:val="28"/>
          <w:szCs w:val="28"/>
          <w:highlight w:val="none"/>
        </w:rPr>
      </w:pPr>
      <w:r/>
      <w:bookmarkStart w:id="72" w:name="_Toc353825542"/>
      <w:r/>
      <w:bookmarkStart w:id="73" w:name="_Toc142311019"/>
      <w:r/>
      <w:bookmarkStart w:id="74" w:name="_Toc226337213"/>
      <w:r/>
      <w:bookmarkStart w:id="75" w:name="_Toc353873662"/>
      <w:r/>
      <w:bookmarkStart w:id="76" w:name="_Toc305158859"/>
      <w:r/>
      <w:bookmarkStart w:id="77" w:name="_Toc127151517"/>
      <w:r/>
      <w:bookmarkStart w:id="78" w:name="_Toc353873932"/>
      <w:r/>
      <w:bookmarkStart w:id="79" w:name="_Toc265228355"/>
      <w:r/>
      <w:bookmarkStart w:id="80" w:name="_Toc305158785"/>
      <w:r/>
      <w:bookmarkStart w:id="81" w:name="_Toc226965790"/>
      <w:r/>
      <w:bookmarkStart w:id="82" w:name="_Toc264969207"/>
      <w:r/>
      <w:bookmarkStart w:id="83" w:name="_Toc195842882"/>
      <w:r/>
      <w:bookmarkStart w:id="84" w:name="_Toc150774722"/>
      <w:r/>
      <w:bookmarkStart w:id="85" w:name="_Toc150480755"/>
      <w:r/>
      <w:bookmarkStart w:id="86" w:name="_Toc150774759"/>
      <w:r/>
      <w:bookmarkStart w:id="87" w:name="_Toc353873934"/>
      <w:r/>
      <w:bookmarkStart w:id="88" w:name="_Toc226337250"/>
      <w:r/>
      <w:bookmarkStart w:id="89" w:name="_Toc265228392"/>
      <w:r/>
      <w:bookmarkStart w:id="90" w:name="_Toc142311056"/>
      <w:r/>
      <w:bookmarkStart w:id="91" w:name="_Toc264969244"/>
      <w:r/>
      <w:bookmarkStart w:id="92" w:name="_Toc127151554"/>
      <w:r/>
      <w:bookmarkStart w:id="93" w:name="_Toc226965827"/>
      <w:r/>
      <w:bookmarkStart w:id="94" w:name="_Toc305158896"/>
      <w:r/>
      <w:bookmarkStart w:id="95" w:name="_Toc353873664"/>
      <w:r/>
      <w:bookmarkStart w:id="96" w:name="_Toc305158822"/>
      <w:r/>
      <w:bookmarkStart w:id="97" w:name="_Toc150480792"/>
      <w:r/>
      <w:bookmarkStart w:id="98" w:name="_Toc353825544"/>
      <w:r>
        <w:rPr>
          <w:b/>
          <w:bCs/>
          <w:color w:val="000000"/>
          <w:sz w:val="28"/>
          <w:szCs w:val="28"/>
          <w:highlight w:val="none"/>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Pr>
          <w:b w:val="0"/>
          <w:bCs w:val="0"/>
          <w:color w:val="000000"/>
          <w:sz w:val="28"/>
          <w:szCs w:val="28"/>
          <w:highlight w:val="none"/>
        </w:rPr>
      </w:r>
      <w:r/>
    </w:p>
    <w:p>
      <w:pPr>
        <w:pStyle w:val="1281"/>
        <w:jc w:val="left"/>
        <w:spacing w:before="0" w:line="360" w:lineRule="auto"/>
        <w:tabs>
          <w:tab w:val="center" w:pos="4592" w:leader="none"/>
          <w:tab w:val="left" w:pos="7860" w:leader="none"/>
        </w:tabs>
        <w:rPr>
          <w:rFonts w:ascii="Times New Roman" w:hAnsi="Times New Roman" w:eastAsia="宋体"/>
          <w:b w:val="0"/>
          <w:bCs w:val="0"/>
          <w:color w:val="000000"/>
          <w:sz w:val="28"/>
          <w:highlight w:val="none"/>
        </w:rPr>
      </w:pPr>
      <w:r/>
      <w:bookmarkStart w:id="99" w:name="_Toc520356143"/>
      <w:r/>
      <w:bookmarkStart w:id="100" w:name="_Toc127151518"/>
      <w:r>
        <w:rPr>
          <w:rFonts w:ascii="Times New Roman" w:hAnsi="Times New Roman" w:eastAsia="宋体"/>
          <w:b w:val="0"/>
          <w:bCs w:val="0"/>
          <w:color w:val="000000"/>
          <w:sz w:val="28"/>
          <w:highlight w:val="none"/>
        </w:rPr>
        <w:tab/>
      </w:r>
      <w:bookmarkStart w:id="101" w:name="_Toc226309762"/>
      <w:r/>
      <w:bookmarkStart w:id="102" w:name="_Toc142311020"/>
      <w:r/>
      <w:bookmarkStart w:id="103" w:name="_Toc226337214"/>
      <w:r/>
      <w:bookmarkStart w:id="104" w:name="_Toc265228356"/>
      <w:r/>
      <w:bookmarkStart w:id="105" w:name="_Toc150774618"/>
      <w:r/>
      <w:bookmarkStart w:id="106" w:name="_Toc305158860"/>
      <w:r/>
      <w:bookmarkStart w:id="107" w:name="_Toc226965791"/>
      <w:r/>
      <w:bookmarkStart w:id="108" w:name="_Toc305158786"/>
      <w:r/>
      <w:bookmarkStart w:id="109" w:name="_Toc150480756"/>
      <w:r/>
      <w:bookmarkStart w:id="110" w:name="_Toc150509269"/>
      <w:r/>
      <w:bookmarkStart w:id="111" w:name="_Toc151193616"/>
      <w:r/>
      <w:bookmarkStart w:id="112" w:name="_Toc151193906"/>
      <w:r/>
      <w:bookmarkStart w:id="113" w:name="_Toc264969208"/>
      <w:r/>
      <w:bookmarkStart w:id="114" w:name="_Toc151190145"/>
      <w:r/>
      <w:bookmarkStart w:id="115" w:name="_Toc151193688"/>
      <w:r/>
      <w:bookmarkStart w:id="116" w:name="_Toc195842883"/>
      <w:r/>
      <w:bookmarkStart w:id="117" w:name="_Toc226965708"/>
      <w:r/>
      <w:bookmarkStart w:id="118" w:name="_Toc151193760"/>
      <w:r/>
      <w:bookmarkStart w:id="119" w:name="_Toc150774723"/>
      <w:r/>
      <w:bookmarkStart w:id="120" w:name="_Toc151193832"/>
      <w:r>
        <w:rPr>
          <w:rFonts w:ascii="Times New Roman" w:hAnsi="Times New Roman" w:eastAsia="宋体"/>
          <w:b/>
          <w:bCs/>
          <w:color w:val="000000"/>
          <w:sz w:val="28"/>
          <w:highlight w:val="none"/>
        </w:rPr>
        <w:t xml:space="preserve">一   说  明</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Times New Roman" w:hAnsi="Times New Roman" w:eastAsia="宋体"/>
          <w:b w:val="0"/>
          <w:bCs w:val="0"/>
          <w:color w:val="000000"/>
          <w:sz w:val="28"/>
          <w:highlight w:val="none"/>
        </w:rPr>
        <w:tab/>
      </w:r>
      <w:r>
        <w:rPr>
          <w:rFonts w:ascii="Times New Roman" w:hAnsi="Times New Roman" w:eastAsia="宋体"/>
          <w:b w:val="0"/>
          <w:bCs w:val="0"/>
          <w:color w:val="000000"/>
          <w:sz w:val="28"/>
          <w:highlight w:val="none"/>
        </w:rPr>
      </w:r>
      <w:r/>
    </w:p>
    <w:p>
      <w:pPr>
        <w:pStyle w:val="1023"/>
        <w:numPr>
          <w:ilvl w:val="0"/>
          <w:numId w:val="8"/>
        </w:numPr>
        <w:ind w:left="357" w:hanging="357"/>
        <w:spacing w:line="360" w:lineRule="auto"/>
        <w:tabs>
          <w:tab w:val="left" w:pos="360" w:leader="none"/>
        </w:tabs>
        <w:rPr>
          <w:b w:val="0"/>
          <w:bCs w:val="0"/>
          <w:color w:val="000000"/>
          <w:sz w:val="24"/>
          <w:highlight w:val="none"/>
        </w:rPr>
        <w:outlineLvl w:val="1"/>
      </w:pPr>
      <w:r/>
      <w:bookmarkStart w:id="121" w:name="_Toc305158861"/>
      <w:r/>
      <w:bookmarkStart w:id="122" w:name="_Toc305158787"/>
      <w:r/>
      <w:bookmarkStart w:id="123" w:name="_Toc264969209"/>
      <w:r/>
      <w:bookmarkStart w:id="124" w:name="_Toc265228357"/>
      <w:r>
        <w:rPr>
          <w:b w:val="0"/>
          <w:bCs w:val="0"/>
          <w:color w:val="000000"/>
          <w:sz w:val="24"/>
          <w:highlight w:val="none"/>
        </w:rPr>
        <w:t xml:space="preserve">采购人、采购代理机构、投标人</w:t>
      </w:r>
      <w:bookmarkEnd w:id="121"/>
      <w:r/>
      <w:bookmarkEnd w:id="122"/>
      <w:r/>
      <w:bookmarkEnd w:id="123"/>
      <w:r/>
      <w:bookmarkEnd w:id="124"/>
      <w:r>
        <w:rPr>
          <w:rFonts w:hint="eastAsia"/>
          <w:b w:val="0"/>
          <w:bCs w:val="0"/>
          <w:color w:val="000000"/>
          <w:sz w:val="24"/>
          <w:highlight w:val="none"/>
        </w:rPr>
        <w:t xml:space="preserve">、联合体</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 w:val="left" w:pos="5521" w:leader="none"/>
        </w:tabs>
        <w:rPr>
          <w:b w:val="0"/>
          <w:bCs w:val="0"/>
          <w:color w:val="000000"/>
          <w:sz w:val="24"/>
          <w:highlight w:val="none"/>
        </w:rPr>
      </w:pPr>
      <w:r>
        <w:rPr>
          <w:b w:val="0"/>
          <w:bCs w:val="0"/>
          <w:color w:val="000000"/>
          <w:sz w:val="24"/>
          <w:highlight w:val="none"/>
        </w:rPr>
        <w:t xml:space="preserve">采购人、采购代理机构：指依法进行政府采购的国家机关、事业单位、团体组织，及其委托的采购代理机构。本项目采购人、采购代理机构见第一章《投标邀请》。</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 w:val="left" w:pos="5521" w:leader="none"/>
        </w:tabs>
        <w:rPr>
          <w:b w:val="0"/>
          <w:bCs w:val="0"/>
          <w:color w:val="000000"/>
          <w:sz w:val="24"/>
          <w:highlight w:val="none"/>
        </w:rPr>
      </w:pPr>
      <w:r>
        <w:rPr>
          <w:b w:val="0"/>
          <w:bCs w:val="0"/>
          <w:color w:val="000000"/>
          <w:sz w:val="24"/>
          <w:highlight w:val="none"/>
        </w:rPr>
        <w:t xml:space="preserve">投标人（也称</w:t>
      </w:r>
      <w:r>
        <w:rPr>
          <w:rFonts w:hint="eastAsia"/>
          <w:b w:val="0"/>
          <w:bCs w:val="0"/>
          <w:color w:val="000000"/>
          <w:sz w:val="24"/>
          <w:highlight w:val="none"/>
        </w:rPr>
        <w:t xml:space="preserve">“供应商”、“</w:t>
      </w:r>
      <w:r>
        <w:rPr>
          <w:b w:val="0"/>
          <w:bCs w:val="0"/>
          <w:color w:val="000000"/>
          <w:sz w:val="24"/>
          <w:highlight w:val="none"/>
        </w:rPr>
        <w:t xml:space="preserve">申请人</w:t>
      </w:r>
      <w:r>
        <w:rPr>
          <w:rFonts w:hint="eastAsia"/>
          <w:b w:val="0"/>
          <w:bCs w:val="0"/>
          <w:color w:val="000000"/>
          <w:sz w:val="24"/>
          <w:highlight w:val="none"/>
        </w:rPr>
        <w:t xml:space="preserve">”</w:t>
      </w:r>
      <w:r>
        <w:rPr>
          <w:b w:val="0"/>
          <w:bCs w:val="0"/>
          <w:color w:val="000000"/>
          <w:sz w:val="24"/>
          <w:highlight w:val="none"/>
        </w:rPr>
        <w:t xml:space="preserve">）：指向采购人提供货物、工程或者服务的法人、其他组织或者自然人。</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 w:val="left" w:pos="5521" w:leader="none"/>
        </w:tabs>
        <w:rPr>
          <w:b w:val="0"/>
          <w:bCs w:val="0"/>
          <w:color w:val="000000"/>
          <w:sz w:val="24"/>
          <w:highlight w:val="none"/>
        </w:rPr>
      </w:pPr>
      <w:r>
        <w:rPr>
          <w:rFonts w:hint="eastAsia"/>
          <w:b w:val="0"/>
          <w:bCs w:val="0"/>
          <w:color w:val="000000"/>
          <w:sz w:val="24"/>
          <w:highlight w:val="none"/>
        </w:rPr>
        <w:t xml:space="preserve">联合体：指两个以上的自然人、法人或者其他组织组成一个联合体，以一个供应商的身份共同参加政府采购。</w:t>
      </w:r>
      <w:r>
        <w:rPr>
          <w:b w:val="0"/>
          <w:bCs w:val="0"/>
          <w:color w:val="000000"/>
          <w:sz w:val="24"/>
          <w:highlight w:val="none"/>
        </w:rPr>
      </w:r>
      <w:r/>
    </w:p>
    <w:p>
      <w:pPr>
        <w:pStyle w:val="1023"/>
        <w:numPr>
          <w:ilvl w:val="0"/>
          <w:numId w:val="8"/>
        </w:numPr>
        <w:ind w:left="357" w:hanging="357"/>
        <w:spacing w:line="360" w:lineRule="auto"/>
        <w:tabs>
          <w:tab w:val="left" w:pos="360" w:leader="none"/>
        </w:tabs>
        <w:rPr>
          <w:b w:val="0"/>
          <w:bCs w:val="0"/>
          <w:color w:val="000000"/>
          <w:sz w:val="24"/>
          <w:highlight w:val="none"/>
        </w:rPr>
        <w:outlineLvl w:val="1"/>
      </w:pPr>
      <w:r/>
      <w:bookmarkStart w:id="125" w:name="_Toc264969210"/>
      <w:r/>
      <w:bookmarkStart w:id="126" w:name="_Toc195842885"/>
      <w:r/>
      <w:bookmarkStart w:id="127" w:name="_Toc226337216"/>
      <w:r/>
      <w:bookmarkStart w:id="128" w:name="_Toc164608634"/>
      <w:r/>
      <w:bookmarkStart w:id="129" w:name="_Toc164229361"/>
      <w:r/>
      <w:bookmarkStart w:id="130" w:name="_Toc164608789"/>
      <w:r/>
      <w:bookmarkStart w:id="131" w:name="_Toc151193690"/>
      <w:r/>
      <w:bookmarkStart w:id="132" w:name="_Toc127151721"/>
      <w:r/>
      <w:bookmarkStart w:id="133" w:name="_Toc164351614"/>
      <w:r/>
      <w:bookmarkStart w:id="134" w:name="_Toc151193834"/>
      <w:r/>
      <w:bookmarkStart w:id="135" w:name="_Toc142311022"/>
      <w:r/>
      <w:bookmarkStart w:id="136" w:name="_Toc151193618"/>
      <w:r/>
      <w:bookmarkStart w:id="137" w:name="_Toc151190147"/>
      <w:r/>
      <w:bookmarkStart w:id="138" w:name="_Toc151193762"/>
      <w:r/>
      <w:bookmarkStart w:id="139" w:name="_Toc127161434"/>
      <w:r/>
      <w:bookmarkStart w:id="140" w:name="_Toc164229215"/>
      <w:r/>
      <w:bookmarkStart w:id="141" w:name="_Toc226965793"/>
      <w:r/>
      <w:bookmarkStart w:id="142" w:name="_Toc226965710"/>
      <w:r/>
      <w:bookmarkStart w:id="143" w:name="_Toc305158788"/>
      <w:r/>
      <w:bookmarkStart w:id="144" w:name="_Toc150509271"/>
      <w:r/>
      <w:bookmarkStart w:id="145" w:name="_Toc305158862"/>
      <w:r/>
      <w:bookmarkStart w:id="146" w:name="_Toc226309764"/>
      <w:r/>
      <w:bookmarkStart w:id="147" w:name="_Toc150480758"/>
      <w:r/>
      <w:bookmarkStart w:id="148" w:name="_Toc150774620"/>
      <w:r/>
      <w:bookmarkStart w:id="149" w:name="_Toc149720813"/>
      <w:r/>
      <w:bookmarkStart w:id="150" w:name="_Toc127151520"/>
      <w:r/>
      <w:bookmarkStart w:id="151" w:name="_Toc265228358"/>
      <w:r/>
      <w:bookmarkStart w:id="152" w:name="_Toc150774725"/>
      <w:r/>
      <w:bookmarkStart w:id="153" w:name="_Toc151193908"/>
      <w:r>
        <w:rPr>
          <w:b w:val="0"/>
          <w:bCs w:val="0"/>
          <w:color w:val="000000"/>
          <w:sz w:val="24"/>
          <w:highlight w:val="none"/>
        </w:rPr>
        <w:t xml:space="preserve">资金来源</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b w:val="0"/>
          <w:bCs w:val="0"/>
          <w:color w:val="000000"/>
          <w:sz w:val="24"/>
          <w:highlight w:val="none"/>
        </w:rPr>
        <w:t xml:space="preserve">、项目属性、科研仪器设备采购</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资金来源为财政性资金或本项目采购中无法与财政性资金分割的非财政性资金。</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项目属性见《投标人须知资料表》。</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是否属于科研仪器设备采购见《投标人须知资料表》。</w:t>
      </w:r>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rPr>
          <w:b w:val="0"/>
          <w:bCs w:val="0"/>
          <w:color w:val="000000"/>
          <w:sz w:val="24"/>
          <w:highlight w:val="none"/>
        </w:rPr>
        <w:t xml:space="preserve">现场考察、开标前答疑会</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8"/>
          <w:highlight w:val="none"/>
        </w:rPr>
      </w:pPr>
      <w:r>
        <w:rPr>
          <w:b w:val="0"/>
          <w:bCs w:val="0"/>
          <w:color w:val="000000"/>
          <w:sz w:val="24"/>
          <w:highlight w:val="none"/>
        </w:rPr>
        <w:t xml:space="preserve">若《投标人须知资料表》中规定了组织现场考察、召开开标前答疑会，则投标人应按要求在规定的时间和地点参加。</w:t>
      </w:r>
      <w:bookmarkStart w:id="154" w:name="_Toc142311024"/>
      <w:r/>
      <w:bookmarkStart w:id="155" w:name="_Toc150509273"/>
      <w:r/>
      <w:bookmarkStart w:id="156" w:name="_Toc150774622"/>
      <w:r/>
      <w:bookmarkStart w:id="157" w:name="_Toc150480760"/>
      <w:r/>
      <w:bookmarkStart w:id="158" w:name="_Toc264969212"/>
      <w:r/>
      <w:bookmarkStart w:id="159" w:name="_Toc151193620"/>
      <w:r/>
      <w:bookmarkStart w:id="160" w:name="_Toc226309766"/>
      <w:r/>
      <w:bookmarkStart w:id="161" w:name="_Toc520356146"/>
      <w:r/>
      <w:bookmarkStart w:id="162" w:name="_Toc151193910"/>
      <w:r/>
      <w:bookmarkStart w:id="163" w:name="_Toc305158790"/>
      <w:r/>
      <w:bookmarkStart w:id="164" w:name="_Toc226965712"/>
      <w:r/>
      <w:bookmarkStart w:id="165" w:name="_Toc195842887"/>
      <w:r/>
      <w:bookmarkStart w:id="166" w:name="_Toc226337218"/>
      <w:r/>
      <w:bookmarkStart w:id="167" w:name="_Toc150774727"/>
      <w:r/>
      <w:bookmarkStart w:id="168" w:name="_Toc151193836"/>
      <w:r/>
      <w:bookmarkStart w:id="169" w:name="_Toc127151522"/>
      <w:r/>
      <w:bookmarkStart w:id="170" w:name="_Toc265228360"/>
      <w:r/>
      <w:bookmarkStart w:id="171" w:name="_Toc151190149"/>
      <w:r/>
      <w:bookmarkStart w:id="172" w:name="_Toc305158864"/>
      <w:r/>
      <w:bookmarkStart w:id="173" w:name="_Toc226965795"/>
      <w:r/>
      <w:bookmarkStart w:id="174" w:name="_Toc151193764"/>
      <w:r/>
      <w:bookmarkStart w:id="175" w:name="_Toc151193692"/>
      <w:r>
        <w:rPr>
          <w:b w:val="0"/>
          <w:bCs w:val="0"/>
          <w:color w:val="000000"/>
          <w:sz w:val="28"/>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rPr>
          <w:b w:val="0"/>
          <w:bCs w:val="0"/>
          <w:color w:val="000000"/>
          <w:sz w:val="24"/>
          <w:highlight w:val="none"/>
        </w:rPr>
        <w:t xml:space="preserve">样品</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本项目</w:t>
      </w:r>
      <w:r>
        <w:rPr>
          <w:rFonts w:hint="eastAsia"/>
          <w:b w:val="0"/>
          <w:bCs w:val="0"/>
          <w:color w:val="000000"/>
          <w:sz w:val="24"/>
          <w:highlight w:val="none"/>
        </w:rPr>
        <w:t xml:space="preserve">不适用</w:t>
      </w:r>
      <w:r>
        <w:rPr>
          <w:b w:val="0"/>
          <w:bCs w:val="0"/>
          <w:color w:val="000000"/>
          <w:sz w:val="24"/>
          <w:highlight w:val="none"/>
        </w:rPr>
        <w:t xml:space="preserve">。</w:t>
      </w:r>
      <w:r>
        <w:rPr>
          <w:b w:val="0"/>
          <w:bCs w:val="0"/>
          <w:color w:val="000000"/>
          <w:sz w:val="24"/>
          <w:highlight w:val="none"/>
        </w:rPr>
      </w:r>
      <w:r/>
    </w:p>
    <w:p>
      <w:pPr>
        <w:pStyle w:val="1023"/>
        <w:numPr>
          <w:ilvl w:val="0"/>
          <w:numId w:val="8"/>
        </w:numPr>
        <w:ind w:left="357" w:hanging="357"/>
        <w:spacing w:line="360" w:lineRule="auto"/>
        <w:tabs>
          <w:tab w:val="left" w:pos="360" w:leader="none"/>
        </w:tabs>
        <w:rPr>
          <w:b w:val="0"/>
          <w:bCs w:val="0"/>
          <w:color w:val="000000"/>
          <w:sz w:val="24"/>
          <w:highlight w:val="none"/>
        </w:rPr>
        <w:outlineLvl w:val="1"/>
      </w:pPr>
      <w:r>
        <w:rPr>
          <w:b w:val="0"/>
          <w:bCs w:val="0"/>
          <w:color w:val="000000"/>
          <w:sz w:val="24"/>
          <w:highlight w:val="none"/>
        </w:rPr>
        <w:t xml:space="preserve">政府采购政策（包括但不限于下列具体政策要求）</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进口产品</w:t>
      </w:r>
      <w:r>
        <w:rPr>
          <w:b w:val="0"/>
          <w:bCs w:val="0"/>
          <w:color w:val="000000"/>
          <w:sz w:val="24"/>
          <w:highlight w:val="none"/>
        </w:rPr>
      </w:r>
      <w:r/>
    </w:p>
    <w:p>
      <w:pPr>
        <w:pStyle w:val="1023"/>
        <w:numPr>
          <w:ilvl w:val="2"/>
          <w:numId w:val="8"/>
        </w:numPr>
        <w:spacing w:line="360" w:lineRule="auto"/>
        <w:tabs>
          <w:tab w:val="left" w:pos="1980" w:leader="none"/>
          <w:tab w:val="left" w:pos="2014" w:leader="none"/>
        </w:tabs>
        <w:rPr>
          <w:b w:val="0"/>
          <w:bCs w:val="0"/>
          <w:color w:val="000000"/>
          <w:sz w:val="24"/>
          <w:highlight w:val="none"/>
        </w:rPr>
      </w:pPr>
      <w:r>
        <w:rPr>
          <w:b w:val="0"/>
          <w:bCs w:val="0"/>
          <w:color w:val="000000"/>
          <w:sz w:val="24"/>
          <w:highlight w:val="none"/>
        </w:rPr>
        <w:t xml:space="preserve">本项目</w:t>
      </w:r>
      <w:r>
        <w:rPr>
          <w:rFonts w:hint="eastAsia"/>
          <w:b w:val="0"/>
          <w:bCs w:val="0"/>
          <w:color w:val="000000"/>
          <w:sz w:val="24"/>
          <w:highlight w:val="none"/>
        </w:rPr>
        <w:t xml:space="preserve">不适用</w:t>
      </w:r>
      <w:r>
        <w:rPr>
          <w:b w:val="0"/>
          <w:bCs w:val="0"/>
          <w:color w:val="000000"/>
          <w:sz w:val="24"/>
          <w:highlight w:val="none"/>
        </w:rPr>
        <w:t xml:space="preserve">。</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中小企业、监狱企业及残疾人福利性单位</w:t>
      </w:r>
      <w:r>
        <w:rPr>
          <w:b w:val="0"/>
          <w:bCs w:val="0"/>
          <w:color w:val="000000"/>
          <w:sz w:val="24"/>
          <w:highlight w:val="none"/>
        </w:rPr>
      </w:r>
      <w:r/>
    </w:p>
    <w:p>
      <w:pPr>
        <w:pStyle w:val="1023"/>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中小企业定义：</w:t>
      </w:r>
      <w:r>
        <w:rPr>
          <w:b w:val="0"/>
          <w:bCs w:val="0"/>
          <w:color w:val="000000"/>
          <w:sz w:val="24"/>
          <w:highlight w:val="none"/>
        </w:rPr>
      </w:r>
      <w:r/>
    </w:p>
    <w:p>
      <w:pPr>
        <w:pStyle w:val="1023"/>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中小企业是</w:t>
      </w:r>
      <w:r>
        <w:rPr>
          <w:b w:val="0"/>
          <w:bCs w:val="0"/>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b w:val="0"/>
          <w:bCs w:val="0"/>
          <w:color w:val="000000"/>
          <w:sz w:val="24"/>
          <w:highlight w:val="none"/>
        </w:rPr>
      </w:r>
      <w:r/>
    </w:p>
    <w:p>
      <w:pPr>
        <w:pStyle w:val="1023"/>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供应商提供的货物符合下列情形的，享受中小企业扶持政策：</w:t>
      </w:r>
      <w:r>
        <w:rPr>
          <w:b w:val="0"/>
          <w:bCs w:val="0"/>
          <w:color w:val="000000"/>
          <w:sz w:val="24"/>
          <w:highlight w:val="none"/>
        </w:rPr>
      </w:r>
      <w:r/>
    </w:p>
    <w:p>
      <w:pPr>
        <w:pStyle w:val="1023"/>
        <w:ind w:left="2835"/>
        <w:spacing w:line="360" w:lineRule="auto"/>
        <w:tabs>
          <w:tab w:val="left" w:pos="1980" w:leader="none"/>
        </w:tabs>
        <w:rPr>
          <w:b w:val="0"/>
          <w:bCs w:val="0"/>
          <w:color w:val="000000"/>
          <w:sz w:val="24"/>
          <w:highlight w:val="none"/>
        </w:rPr>
      </w:pPr>
      <w:r>
        <w:rPr>
          <w:b w:val="0"/>
          <w:bCs w:val="0"/>
          <w:color w:val="000000"/>
          <w:sz w:val="24"/>
          <w:highlight w:val="none"/>
        </w:rPr>
        <w:t xml:space="preserve">在货物采购项目中，货物由中小企业制造，即货物由中小企业生产且使用该中小企业商号或者注册商标。</w:t>
      </w:r>
      <w:r>
        <w:rPr>
          <w:b w:val="0"/>
          <w:bCs w:val="0"/>
          <w:color w:val="000000"/>
          <w:sz w:val="24"/>
          <w:highlight w:val="none"/>
        </w:rPr>
      </w:r>
      <w:r/>
    </w:p>
    <w:p>
      <w:pPr>
        <w:pStyle w:val="1023"/>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在货物采购项目中，供应商提供的货物既有中小企业制造货物，也有大型企业制造货物的，不享受中小企业扶持政策。</w:t>
      </w:r>
      <w:r>
        <w:rPr>
          <w:b w:val="0"/>
          <w:bCs w:val="0"/>
          <w:color w:val="000000"/>
          <w:sz w:val="24"/>
          <w:highlight w:val="none"/>
        </w:rPr>
      </w:r>
      <w:r/>
    </w:p>
    <w:p>
      <w:pPr>
        <w:pStyle w:val="1023"/>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b w:val="0"/>
          <w:bCs w:val="0"/>
          <w:color w:val="000000"/>
          <w:sz w:val="24"/>
          <w:highlight w:val="none"/>
        </w:rPr>
      </w:r>
      <w:r/>
    </w:p>
    <w:p>
      <w:pPr>
        <w:pStyle w:val="1023"/>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残疾人福利单位定义：享受政府采购支持政策的残疾人福利性单位应当同时满足以下条件：</w:t>
      </w:r>
      <w:r>
        <w:rPr>
          <w:b w:val="0"/>
          <w:bCs w:val="0"/>
          <w:color w:val="000000"/>
          <w:sz w:val="24"/>
          <w:highlight w:val="none"/>
        </w:rPr>
      </w:r>
      <w:r/>
    </w:p>
    <w:p>
      <w:pPr>
        <w:pStyle w:val="1023"/>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安置的残疾人占本单位在职职工人数的比例不低于25%（含25%），并且安置的残疾人人数不少于10 人（含10 人）；</w:t>
      </w:r>
      <w:r>
        <w:rPr>
          <w:b w:val="0"/>
          <w:bCs w:val="0"/>
          <w:color w:val="000000"/>
          <w:sz w:val="24"/>
          <w:highlight w:val="none"/>
        </w:rPr>
      </w:r>
      <w:r/>
    </w:p>
    <w:p>
      <w:pPr>
        <w:pStyle w:val="1023"/>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依法与安置的每位残疾人签订了一年以上（含一年）的劳动合同或服务协议；</w:t>
      </w:r>
      <w:r>
        <w:rPr>
          <w:b w:val="0"/>
          <w:bCs w:val="0"/>
          <w:color w:val="000000"/>
          <w:sz w:val="24"/>
          <w:highlight w:val="none"/>
        </w:rPr>
      </w:r>
      <w:r/>
    </w:p>
    <w:p>
      <w:pPr>
        <w:pStyle w:val="1023"/>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为安置的每位残疾人按月足额缴纳了基本养老保险、基本医疗保险、失业保险、工伤保险和生育保险等社会保险费；</w:t>
      </w:r>
      <w:r>
        <w:rPr>
          <w:b w:val="0"/>
          <w:bCs w:val="0"/>
          <w:color w:val="000000"/>
          <w:sz w:val="24"/>
          <w:highlight w:val="none"/>
        </w:rPr>
      </w:r>
      <w:r/>
    </w:p>
    <w:p>
      <w:pPr>
        <w:pStyle w:val="1023"/>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通过银行等金融机构向安置的每位残疾人，按月支付了不低于单位所在区县适用的经省级人民政府批准的月最低工资标准的工资；</w:t>
      </w:r>
      <w:r>
        <w:rPr>
          <w:b w:val="0"/>
          <w:bCs w:val="0"/>
          <w:color w:val="000000"/>
          <w:sz w:val="24"/>
          <w:highlight w:val="none"/>
        </w:rPr>
      </w:r>
      <w:r/>
    </w:p>
    <w:p>
      <w:pPr>
        <w:pStyle w:val="1023"/>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b w:val="0"/>
          <w:bCs w:val="0"/>
          <w:color w:val="000000"/>
          <w:sz w:val="24"/>
          <w:highlight w:val="none"/>
        </w:rPr>
      </w:r>
      <w:r/>
    </w:p>
    <w:p>
      <w:pPr>
        <w:pStyle w:val="1023"/>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b w:val="0"/>
          <w:bCs w:val="0"/>
          <w:color w:val="000000"/>
          <w:sz w:val="24"/>
          <w:highlight w:val="none"/>
        </w:rPr>
      </w:r>
      <w:r/>
    </w:p>
    <w:p>
      <w:pPr>
        <w:pStyle w:val="1023"/>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本项目是否专门面向中小企业预留采购份额见第一章《投标邀请》。</w:t>
      </w:r>
      <w:r>
        <w:rPr>
          <w:b w:val="0"/>
          <w:bCs w:val="0"/>
          <w:color w:val="000000"/>
          <w:sz w:val="24"/>
          <w:highlight w:val="none"/>
        </w:rPr>
      </w:r>
      <w:r/>
    </w:p>
    <w:p>
      <w:pPr>
        <w:pStyle w:val="1023"/>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采购标的对应的中小企业划分标准所属行业见《投标人须知资料表》。</w:t>
      </w:r>
      <w:r>
        <w:rPr>
          <w:b w:val="0"/>
          <w:bCs w:val="0"/>
          <w:color w:val="000000"/>
          <w:sz w:val="24"/>
          <w:highlight w:val="none"/>
        </w:rPr>
      </w:r>
      <w:r/>
    </w:p>
    <w:p>
      <w:pPr>
        <w:pStyle w:val="1023"/>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小微企业价格评审优惠的政策调整：见第四章《评标方法和评标标准》。</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政府采购节能产品、环境标志产品</w:t>
      </w:r>
      <w:r>
        <w:rPr>
          <w:b w:val="0"/>
          <w:bCs w:val="0"/>
          <w:color w:val="000000"/>
          <w:sz w:val="24"/>
          <w:highlight w:val="none"/>
        </w:rPr>
      </w:r>
      <w:r/>
    </w:p>
    <w:p>
      <w:pPr>
        <w:pStyle w:val="1023"/>
        <w:numPr>
          <w:ilvl w:val="2"/>
          <w:numId w:val="8"/>
        </w:numPr>
        <w:spacing w:line="360" w:lineRule="auto"/>
        <w:tabs>
          <w:tab w:val="left" w:pos="1980" w:leader="none"/>
          <w:tab w:val="left" w:pos="2014" w:leader="none"/>
        </w:tabs>
        <w:rPr>
          <w:b w:val="0"/>
          <w:bCs w:val="0"/>
          <w:color w:val="000000"/>
          <w:sz w:val="24"/>
          <w:highlight w:val="none"/>
        </w:rPr>
      </w:pPr>
      <w:r>
        <w:rPr>
          <w:b w:val="0"/>
          <w:bCs w:val="0"/>
          <w:color w:val="000000"/>
          <w:sz w:val="24"/>
          <w:highlight w:val="none"/>
        </w:rPr>
        <w:t xml:space="preserve">本项目</w:t>
      </w:r>
      <w:r>
        <w:rPr>
          <w:rFonts w:hint="eastAsia"/>
          <w:b w:val="0"/>
          <w:bCs w:val="0"/>
          <w:color w:val="000000"/>
          <w:sz w:val="24"/>
          <w:highlight w:val="none"/>
        </w:rPr>
        <w:t xml:space="preserve">不适用。</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支持乡村产业振兴管理</w:t>
      </w:r>
      <w:r>
        <w:rPr>
          <w:b w:val="0"/>
          <w:bCs w:val="0"/>
          <w:color w:val="000000"/>
          <w:sz w:val="24"/>
          <w:highlight w:val="none"/>
        </w:rPr>
      </w:r>
      <w:r/>
    </w:p>
    <w:p>
      <w:pPr>
        <w:pStyle w:val="1023"/>
        <w:numPr>
          <w:ilvl w:val="2"/>
          <w:numId w:val="8"/>
        </w:numPr>
        <w:spacing w:line="360" w:lineRule="auto"/>
        <w:tabs>
          <w:tab w:val="left" w:pos="1980" w:leader="none"/>
          <w:tab w:val="left" w:pos="2014" w:leader="none"/>
        </w:tabs>
        <w:rPr>
          <w:b w:val="0"/>
          <w:bCs w:val="0"/>
          <w:color w:val="000000"/>
          <w:sz w:val="24"/>
          <w:highlight w:val="none"/>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023"/>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023"/>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23"/>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1023"/>
        <w:numPr>
          <w:ilvl w:val="2"/>
          <w:numId w:val="8"/>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投标无效</w:t>
      </w:r>
      <w:r>
        <w:rPr>
          <w:sz w:val="24"/>
        </w:rPr>
        <w:t xml:space="preserve">。关于信息安全相关规定依据《关于信息安全产品实施政府采购的通知》（财库〔2010〕48 号）。</w:t>
      </w:r>
      <w:r>
        <w:rPr>
          <w:rFonts w:hint="eastAsia"/>
          <w:sz w:val="24"/>
        </w:rPr>
      </w:r>
      <w:r/>
    </w:p>
    <w:p>
      <w:pPr>
        <w:pStyle w:val="1023"/>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1023"/>
        <w:numPr>
          <w:ilvl w:val="2"/>
          <w:numId w:val="8"/>
        </w:numPr>
        <w:spacing w:line="360" w:lineRule="auto"/>
        <w:tabs>
          <w:tab w:val="left" w:pos="1980" w:leader="none"/>
          <w:tab w:val="left" w:pos="2014" w:leader="none"/>
        </w:tabs>
        <w:rPr>
          <w:b w:val="0"/>
          <w:bCs w:val="0"/>
          <w:color w:val="000000"/>
          <w:sz w:val="24"/>
          <w:highlight w:val="none"/>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w:t>
      </w:r>
      <w:r>
        <w:rPr>
          <w:rFonts w:hint="eastAsia"/>
          <w:sz w:val="24"/>
          <w:highlight w:val="none"/>
        </w:rPr>
        <w:t xml:space="preserve">绩分值为满分。</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b w:val="0"/>
          <w:bCs w:val="0"/>
          <w:color w:val="000000"/>
          <w:sz w:val="24"/>
          <w:highlight w:val="none"/>
        </w:rPr>
        <w:t xml:space="preserve">绿色采购政策</w:t>
      </w:r>
      <w:r>
        <w:rPr>
          <w:rFonts w:hint="eastAsia" w:ascii="Times New Roman" w:hAnsi="Times New Roman" w:eastAsia="宋体" w:cs="Times New Roman"/>
          <w:sz w:val="24"/>
          <w:highlight w:val="none"/>
        </w:rPr>
      </w:r>
      <w:r/>
    </w:p>
    <w:p>
      <w:pPr>
        <w:pStyle w:val="1023"/>
        <w:numPr>
          <w:ilvl w:val="2"/>
          <w:numId w:val="8"/>
        </w:numPr>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绿色数据中心政策 </w:t>
      </w:r>
      <w:r>
        <w:rPr>
          <w:rFonts w:hint="eastAsia" w:ascii="Times New Roman" w:hAnsi="Times New Roman" w:eastAsia="宋体" w:cs="Times New Roman"/>
          <w:sz w:val="24"/>
        </w:rPr>
      </w:r>
      <w:r/>
    </w:p>
    <w:p>
      <w:pPr>
        <w:pStyle w:val="1023"/>
        <w:numPr>
          <w:ilvl w:val="0"/>
          <w:numId w:val="0"/>
        </w:numPr>
        <w:ind w:left="1080" w:firstLine="96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本项目不适用。</w:t>
      </w:r>
      <w:r>
        <w:rPr>
          <w:rFonts w:hint="eastAsia" w:ascii="Times New Roman" w:hAnsi="Times New Roman" w:eastAsia="宋体" w:cs="Times New Roman"/>
          <w:sz w:val="24"/>
        </w:rPr>
      </w:r>
      <w:r/>
    </w:p>
    <w:p>
      <w:pPr>
        <w:pStyle w:val="1023"/>
        <w:numPr>
          <w:ilvl w:val="2"/>
          <w:numId w:val="8"/>
        </w:numPr>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推广应用绿色建材</w:t>
      </w:r>
      <w:r>
        <w:rPr>
          <w:rFonts w:hint="eastAsia" w:ascii="Times New Roman" w:hAnsi="Times New Roman" w:eastAsia="宋体" w:cs="Times New Roman"/>
          <w:sz w:val="24"/>
        </w:rPr>
      </w:r>
      <w:r/>
    </w:p>
    <w:p>
      <w:pPr>
        <w:pStyle w:val="1023"/>
        <w:numPr>
          <w:ilvl w:val="0"/>
          <w:numId w:val="0"/>
        </w:numPr>
        <w:ind w:firstLine="216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本项目不适用。</w:t>
      </w:r>
      <w:r>
        <w:rPr>
          <w:rFonts w:hint="eastAsia" w:ascii="Times New Roman" w:hAnsi="Times New Roman" w:eastAsia="宋体" w:cs="Times New Roman"/>
          <w:sz w:val="24"/>
        </w:rPr>
      </w:r>
      <w:r/>
    </w:p>
    <w:p>
      <w:pPr>
        <w:pStyle w:val="1023"/>
        <w:numPr>
          <w:ilvl w:val="2"/>
          <w:numId w:val="8"/>
        </w:numPr>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优先使用低挥发性有机化合物产品</w:t>
      </w:r>
      <w:r>
        <w:rPr>
          <w:rFonts w:hint="eastAsia" w:ascii="Times New Roman" w:hAnsi="Times New Roman" w:eastAsia="宋体" w:cs="Times New Roman"/>
          <w:sz w:val="24"/>
        </w:rPr>
      </w:r>
      <w:r/>
    </w:p>
    <w:p>
      <w:pPr>
        <w:pStyle w:val="1023"/>
        <w:numPr>
          <w:ilvl w:val="0"/>
          <w:numId w:val="0"/>
        </w:numPr>
        <w:ind w:left="1080" w:firstLine="96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本项目不适用。</w:t>
      </w:r>
      <w:r>
        <w:rPr>
          <w:rFonts w:hint="eastAsia" w:ascii="Times New Roman" w:hAnsi="Times New Roman" w:eastAsia="宋体" w:cs="Times New Roman"/>
          <w:sz w:val="24"/>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rPr>
          <w:b w:val="0"/>
          <w:bCs w:val="0"/>
          <w:color w:val="000000"/>
          <w:sz w:val="24"/>
          <w:highlight w:val="none"/>
        </w:rPr>
        <w:t xml:space="preserve">投标费用</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8"/>
          <w:highlight w:val="none"/>
        </w:rPr>
      </w:pPr>
      <w:r>
        <w:rPr>
          <w:b w:val="0"/>
          <w:bCs w:val="0"/>
          <w:color w:val="000000"/>
          <w:sz w:val="24"/>
          <w:highlight w:val="none"/>
        </w:rPr>
        <w:t xml:space="preserve">投标人应自行承担所有与准备和参加投标有关的费用，无论投标的结果如何，采购人或采购代理机构在任何情况下均无承担这些费用的义务和责任。</w:t>
      </w:r>
      <w:bookmarkStart w:id="176" w:name="_1.8_计量单位"/>
      <w:r/>
      <w:bookmarkEnd w:id="176"/>
      <w:r>
        <w:rPr>
          <w:b w:val="0"/>
          <w:bCs w:val="0"/>
          <w:color w:val="000000"/>
          <w:sz w:val="28"/>
          <w:highlight w:val="none"/>
        </w:rPr>
      </w:r>
      <w:r/>
    </w:p>
    <w:p>
      <w:pPr>
        <w:pStyle w:val="1281"/>
        <w:spacing w:before="0" w:line="360" w:lineRule="auto"/>
        <w:rPr>
          <w:rFonts w:hint="eastAsia" w:ascii="Times New Roman" w:hAnsi="Times New Roman" w:eastAsia="宋体"/>
          <w:b w:val="0"/>
          <w:bCs w:val="0"/>
          <w:color w:val="000000"/>
          <w:sz w:val="28"/>
          <w:highlight w:val="none"/>
        </w:rPr>
      </w:pPr>
      <w:r>
        <w:rPr>
          <w:rFonts w:ascii="Times New Roman" w:hAnsi="Times New Roman" w:eastAsia="宋体"/>
          <w:b/>
          <w:bCs/>
          <w:color w:val="000000"/>
          <w:sz w:val="28"/>
          <w:highlight w:val="none"/>
        </w:rPr>
        <w:t xml:space="preserve">二   </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Times New Roman" w:hAnsi="Times New Roman" w:eastAsia="宋体"/>
          <w:b/>
          <w:bCs/>
          <w:color w:val="000000"/>
          <w:sz w:val="28"/>
          <w:highlight w:val="none"/>
        </w:rPr>
        <w:t xml:space="preserve">采购文件</w:t>
      </w:r>
      <w:r>
        <w:rPr>
          <w:rFonts w:hint="eastAsia" w:ascii="Times New Roman" w:hAnsi="Times New Roman" w:eastAsia="宋体"/>
          <w:b w:val="0"/>
          <w:bCs w:val="0"/>
          <w:color w:val="000000"/>
          <w:sz w:val="28"/>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177" w:name="_Toc127151724"/>
      <w:r/>
      <w:bookmarkStart w:id="178" w:name="_Toc150480761"/>
      <w:r/>
      <w:bookmarkStart w:id="179" w:name="_Toc150774623"/>
      <w:r/>
      <w:bookmarkStart w:id="180" w:name="_Toc164351617"/>
      <w:r/>
      <w:bookmarkStart w:id="181" w:name="_Toc264969213"/>
      <w:r/>
      <w:bookmarkStart w:id="182" w:name="_Toc151193765"/>
      <w:r/>
      <w:bookmarkStart w:id="183" w:name="_Toc142311025"/>
      <w:r/>
      <w:bookmarkStart w:id="184" w:name="_Toc164608792"/>
      <w:r/>
      <w:bookmarkStart w:id="185" w:name="_Toc305158865"/>
      <w:r/>
      <w:bookmarkStart w:id="186" w:name="_Toc226309767"/>
      <w:r/>
      <w:bookmarkStart w:id="187" w:name="_Toc127161437"/>
      <w:r/>
      <w:bookmarkStart w:id="188" w:name="_Toc195842888"/>
      <w:r/>
      <w:bookmarkStart w:id="189" w:name="_Toc226965796"/>
      <w:r/>
      <w:bookmarkStart w:id="190" w:name="_Toc265228361"/>
      <w:r/>
      <w:bookmarkStart w:id="191" w:name="_Toc305158791"/>
      <w:r/>
      <w:bookmarkStart w:id="192" w:name="_Toc150774728"/>
      <w:r/>
      <w:bookmarkStart w:id="193" w:name="_Toc151193911"/>
      <w:r/>
      <w:bookmarkStart w:id="194" w:name="_Toc127151523"/>
      <w:r/>
      <w:bookmarkStart w:id="195" w:name="_Toc151193621"/>
      <w:r/>
      <w:bookmarkStart w:id="196" w:name="_Toc149720816"/>
      <w:r/>
      <w:bookmarkStart w:id="197" w:name="_Toc151193693"/>
      <w:r/>
      <w:bookmarkStart w:id="198" w:name="_Toc164608637"/>
      <w:r/>
      <w:bookmarkStart w:id="199" w:name="_Toc164229364"/>
      <w:r/>
      <w:bookmarkStart w:id="200" w:name="_Toc151190150"/>
      <w:r/>
      <w:bookmarkStart w:id="201" w:name="_Toc520356147"/>
      <w:r/>
      <w:bookmarkStart w:id="202" w:name="_Toc226965713"/>
      <w:r/>
      <w:bookmarkStart w:id="203" w:name="_Toc150509274"/>
      <w:r/>
      <w:bookmarkStart w:id="204" w:name="_Toc151193837"/>
      <w:r/>
      <w:bookmarkStart w:id="205" w:name="_Toc226337219"/>
      <w:r/>
      <w:bookmarkStart w:id="206" w:name="_Toc164229218"/>
      <w:r>
        <w:rPr>
          <w:rFonts w:hint="eastAsia"/>
          <w:b w:val="0"/>
          <w:bCs w:val="0"/>
          <w:color w:val="000000"/>
          <w:sz w:val="24"/>
          <w:highlight w:val="none"/>
        </w:rPr>
        <w:t xml:space="preserve">采购文件</w:t>
      </w:r>
      <w:r>
        <w:rPr>
          <w:b w:val="0"/>
          <w:bCs w:val="0"/>
          <w:color w:val="000000"/>
          <w:sz w:val="24"/>
          <w:highlight w:val="none"/>
        </w:rPr>
        <w:t xml:space="preserve">构</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Pr>
          <w:b w:val="0"/>
          <w:bCs w:val="0"/>
          <w:color w:val="000000"/>
          <w:sz w:val="24"/>
          <w:highlight w:val="none"/>
        </w:rPr>
        <w:t xml:space="preserve">成</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rFonts w:hint="eastAsia"/>
          <w:b w:val="0"/>
          <w:bCs w:val="0"/>
          <w:color w:val="000000"/>
          <w:sz w:val="24"/>
          <w:highlight w:val="none"/>
        </w:rPr>
        <w:t xml:space="preserve">采购文件</w:t>
      </w:r>
      <w:r>
        <w:rPr>
          <w:b w:val="0"/>
          <w:bCs w:val="0"/>
          <w:color w:val="000000"/>
          <w:sz w:val="24"/>
          <w:highlight w:val="none"/>
        </w:rPr>
        <w:t xml:space="preserve">包括以下部分：</w:t>
      </w:r>
      <w:r>
        <w:rPr>
          <w:b w:val="0"/>
          <w:bCs w:val="0"/>
          <w:color w:val="000000"/>
          <w:sz w:val="24"/>
          <w:highlight w:val="none"/>
        </w:rPr>
      </w:r>
      <w:r/>
    </w:p>
    <w:p>
      <w:pPr>
        <w:pStyle w:val="1023"/>
        <w:numPr>
          <w:ilvl w:val="0"/>
          <w:numId w:val="9"/>
        </w:numPr>
        <w:ind w:left="1440" w:firstLine="5"/>
        <w:spacing w:line="360" w:lineRule="auto"/>
        <w:tabs>
          <w:tab w:val="left" w:pos="1980" w:leader="none"/>
          <w:tab w:val="left" w:pos="2520" w:leader="none"/>
          <w:tab w:val="left" w:pos="4941" w:leader="none"/>
        </w:tabs>
        <w:rPr>
          <w:b w:val="0"/>
          <w:bCs w:val="0"/>
          <w:color w:val="000000"/>
          <w:sz w:val="24"/>
          <w:highlight w:val="none"/>
        </w:rPr>
      </w:pPr>
      <w:r>
        <w:rPr>
          <w:b w:val="0"/>
          <w:bCs w:val="0"/>
          <w:color w:val="000000"/>
          <w:sz w:val="24"/>
          <w:highlight w:val="none"/>
        </w:rPr>
        <w:t xml:space="preserve">投标邀请</w:t>
      </w:r>
      <w:r>
        <w:rPr>
          <w:b w:val="0"/>
          <w:bCs w:val="0"/>
          <w:color w:val="000000"/>
          <w:sz w:val="24"/>
          <w:highlight w:val="none"/>
        </w:rPr>
      </w:r>
      <w:r/>
    </w:p>
    <w:p>
      <w:pPr>
        <w:pStyle w:val="1023"/>
        <w:numPr>
          <w:ilvl w:val="0"/>
          <w:numId w:val="9"/>
        </w:numPr>
        <w:ind w:left="1440" w:firstLine="5"/>
        <w:spacing w:line="360" w:lineRule="auto"/>
        <w:tabs>
          <w:tab w:val="left" w:pos="1980" w:leader="none"/>
          <w:tab w:val="left" w:pos="2520" w:leader="none"/>
          <w:tab w:val="left" w:pos="4941" w:leader="none"/>
        </w:tabs>
        <w:rPr>
          <w:b w:val="0"/>
          <w:bCs w:val="0"/>
          <w:color w:val="000000"/>
          <w:sz w:val="24"/>
          <w:highlight w:val="none"/>
        </w:rPr>
      </w:pPr>
      <w:r>
        <w:rPr>
          <w:b w:val="0"/>
          <w:bCs w:val="0"/>
          <w:color w:val="000000"/>
          <w:sz w:val="24"/>
          <w:highlight w:val="none"/>
        </w:rPr>
        <w:t xml:space="preserve">投标人须知</w:t>
      </w:r>
      <w:r>
        <w:rPr>
          <w:b w:val="0"/>
          <w:bCs w:val="0"/>
          <w:color w:val="000000"/>
          <w:sz w:val="24"/>
          <w:highlight w:val="none"/>
        </w:rPr>
      </w:r>
      <w:r/>
    </w:p>
    <w:p>
      <w:pPr>
        <w:pStyle w:val="1023"/>
        <w:numPr>
          <w:ilvl w:val="0"/>
          <w:numId w:val="9"/>
        </w:numPr>
        <w:ind w:left="1440" w:firstLine="5"/>
        <w:spacing w:line="360" w:lineRule="auto"/>
        <w:tabs>
          <w:tab w:val="left" w:pos="1980" w:leader="none"/>
          <w:tab w:val="left" w:pos="2520" w:leader="none"/>
          <w:tab w:val="left" w:pos="4941" w:leader="none"/>
        </w:tabs>
        <w:rPr>
          <w:b w:val="0"/>
          <w:bCs w:val="0"/>
          <w:color w:val="000000"/>
          <w:sz w:val="24"/>
          <w:highlight w:val="none"/>
        </w:rPr>
      </w:pPr>
      <w:r>
        <w:rPr>
          <w:b w:val="0"/>
          <w:bCs w:val="0"/>
          <w:color w:val="000000"/>
          <w:sz w:val="24"/>
          <w:highlight w:val="none"/>
        </w:rPr>
        <w:t xml:space="preserve">资格审查</w:t>
      </w:r>
      <w:r>
        <w:rPr>
          <w:b w:val="0"/>
          <w:bCs w:val="0"/>
          <w:color w:val="000000"/>
          <w:sz w:val="24"/>
          <w:highlight w:val="none"/>
        </w:rPr>
      </w:r>
      <w:r/>
    </w:p>
    <w:p>
      <w:pPr>
        <w:pStyle w:val="1023"/>
        <w:numPr>
          <w:ilvl w:val="0"/>
          <w:numId w:val="9"/>
        </w:numPr>
        <w:ind w:left="1440" w:firstLine="5"/>
        <w:spacing w:line="360" w:lineRule="auto"/>
        <w:tabs>
          <w:tab w:val="left" w:pos="1980" w:leader="none"/>
          <w:tab w:val="left" w:pos="2520" w:leader="none"/>
          <w:tab w:val="left" w:pos="4941" w:leader="none"/>
        </w:tabs>
        <w:rPr>
          <w:b w:val="0"/>
          <w:bCs w:val="0"/>
          <w:color w:val="000000"/>
          <w:sz w:val="24"/>
          <w:highlight w:val="none"/>
        </w:rPr>
      </w:pPr>
      <w:r>
        <w:rPr>
          <w:b w:val="0"/>
          <w:bCs w:val="0"/>
          <w:color w:val="000000"/>
          <w:sz w:val="24"/>
          <w:highlight w:val="none"/>
        </w:rPr>
        <w:t xml:space="preserve">评标程序、评标方法和评标标准</w:t>
      </w:r>
      <w:r>
        <w:rPr>
          <w:b w:val="0"/>
          <w:bCs w:val="0"/>
          <w:color w:val="000000"/>
          <w:sz w:val="24"/>
          <w:highlight w:val="none"/>
        </w:rPr>
      </w:r>
      <w:r/>
    </w:p>
    <w:p>
      <w:pPr>
        <w:pStyle w:val="1023"/>
        <w:numPr>
          <w:ilvl w:val="0"/>
          <w:numId w:val="9"/>
        </w:numPr>
        <w:ind w:left="1440" w:firstLine="5"/>
        <w:spacing w:line="360" w:lineRule="auto"/>
        <w:tabs>
          <w:tab w:val="left" w:pos="1980" w:leader="none"/>
          <w:tab w:val="left" w:pos="2520" w:leader="none"/>
          <w:tab w:val="left" w:pos="4941" w:leader="none"/>
        </w:tabs>
        <w:rPr>
          <w:b w:val="0"/>
          <w:bCs w:val="0"/>
          <w:color w:val="000000"/>
          <w:sz w:val="24"/>
          <w:highlight w:val="none"/>
        </w:rPr>
      </w:pPr>
      <w:r>
        <w:rPr>
          <w:b w:val="0"/>
          <w:bCs w:val="0"/>
          <w:color w:val="000000"/>
          <w:sz w:val="24"/>
          <w:highlight w:val="none"/>
        </w:rPr>
        <w:t xml:space="preserve">采购需求</w:t>
      </w:r>
      <w:r>
        <w:rPr>
          <w:b w:val="0"/>
          <w:bCs w:val="0"/>
          <w:color w:val="000000"/>
          <w:sz w:val="24"/>
          <w:highlight w:val="none"/>
        </w:rPr>
      </w:r>
      <w:r/>
    </w:p>
    <w:p>
      <w:pPr>
        <w:pStyle w:val="1023"/>
        <w:numPr>
          <w:ilvl w:val="0"/>
          <w:numId w:val="9"/>
        </w:numPr>
        <w:ind w:left="1440" w:firstLine="5"/>
        <w:spacing w:line="360" w:lineRule="auto"/>
        <w:tabs>
          <w:tab w:val="left" w:pos="1980" w:leader="none"/>
          <w:tab w:val="left" w:pos="2520" w:leader="none"/>
          <w:tab w:val="left" w:pos="4941" w:leader="none"/>
        </w:tabs>
        <w:rPr>
          <w:b w:val="0"/>
          <w:bCs w:val="0"/>
          <w:color w:val="000000"/>
          <w:sz w:val="24"/>
          <w:highlight w:val="none"/>
        </w:rPr>
      </w:pPr>
      <w:r>
        <w:rPr>
          <w:b w:val="0"/>
          <w:bCs w:val="0"/>
          <w:color w:val="000000"/>
          <w:sz w:val="24"/>
          <w:highlight w:val="none"/>
        </w:rPr>
        <w:t xml:space="preserve">拟签订的合同文本</w:t>
      </w:r>
      <w:r>
        <w:rPr>
          <w:b w:val="0"/>
          <w:bCs w:val="0"/>
          <w:color w:val="000000"/>
          <w:sz w:val="24"/>
          <w:highlight w:val="none"/>
        </w:rPr>
      </w:r>
      <w:r/>
    </w:p>
    <w:p>
      <w:pPr>
        <w:pStyle w:val="1023"/>
        <w:numPr>
          <w:ilvl w:val="0"/>
          <w:numId w:val="9"/>
        </w:numPr>
        <w:ind w:left="1440" w:firstLine="5"/>
        <w:spacing w:line="360" w:lineRule="auto"/>
        <w:tabs>
          <w:tab w:val="left" w:pos="1980" w:leader="none"/>
          <w:tab w:val="left" w:pos="2520" w:leader="none"/>
          <w:tab w:val="left" w:pos="4941" w:leader="none"/>
        </w:tabs>
        <w:rPr>
          <w:rFonts w:hint="eastAsia"/>
          <w:b w:val="0"/>
          <w:bCs w:val="0"/>
          <w:color w:val="000000"/>
          <w:sz w:val="24"/>
          <w:highlight w:val="none"/>
        </w:rPr>
      </w:pPr>
      <w:r>
        <w:rPr>
          <w:b w:val="0"/>
          <w:bCs w:val="0"/>
          <w:color w:val="000000"/>
          <w:sz w:val="24"/>
          <w:highlight w:val="none"/>
        </w:rPr>
        <w:t xml:space="preserve">投标文件格式</w:t>
      </w:r>
      <w:r>
        <w:rPr>
          <w:rFonts w:hint="eastAsia"/>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投标人应认真阅读</w:t>
      </w:r>
      <w:r>
        <w:rPr>
          <w:rFonts w:hint="eastAsia"/>
          <w:b w:val="0"/>
          <w:bCs w:val="0"/>
          <w:color w:val="000000"/>
          <w:sz w:val="24"/>
          <w:highlight w:val="none"/>
        </w:rPr>
        <w:t xml:space="preserve">采购文件</w:t>
      </w:r>
      <w:r>
        <w:rPr>
          <w:b w:val="0"/>
          <w:bCs w:val="0"/>
          <w:color w:val="000000"/>
          <w:sz w:val="24"/>
          <w:highlight w:val="none"/>
        </w:rPr>
        <w:t xml:space="preserve">的全部内容。投标人应按照</w:t>
      </w:r>
      <w:r>
        <w:rPr>
          <w:rFonts w:hint="eastAsia"/>
          <w:b w:val="0"/>
          <w:bCs w:val="0"/>
          <w:color w:val="000000"/>
          <w:sz w:val="24"/>
          <w:highlight w:val="none"/>
        </w:rPr>
        <w:t xml:space="preserve">采购文件</w:t>
      </w:r>
      <w:r>
        <w:rPr>
          <w:b w:val="0"/>
          <w:bCs w:val="0"/>
          <w:color w:val="000000"/>
          <w:sz w:val="24"/>
          <w:highlight w:val="none"/>
        </w:rPr>
        <w:t xml:space="preserve">要求提交投标文件并保证所提供的全部资料的真实性，并对</w:t>
      </w:r>
      <w:r>
        <w:rPr>
          <w:rFonts w:hint="eastAsia"/>
          <w:b w:val="0"/>
          <w:bCs w:val="0"/>
          <w:color w:val="000000"/>
          <w:sz w:val="24"/>
          <w:highlight w:val="none"/>
        </w:rPr>
        <w:t xml:space="preserve">采购文件</w:t>
      </w:r>
      <w:r>
        <w:rPr>
          <w:b w:val="0"/>
          <w:bCs w:val="0"/>
          <w:color w:val="000000"/>
          <w:sz w:val="24"/>
          <w:highlight w:val="none"/>
        </w:rPr>
        <w:t xml:space="preserve">做出实质性响应，否则投标无效。</w:t>
      </w:r>
      <w:r>
        <w:rPr>
          <w:b w:val="0"/>
          <w:bCs w:val="0"/>
          <w:color w:val="000000"/>
          <w:sz w:val="24"/>
          <w:highlight w:val="none"/>
        </w:rPr>
      </w:r>
      <w:r/>
    </w:p>
    <w:p>
      <w:pPr>
        <w:pStyle w:val="1023"/>
        <w:numPr>
          <w:ilvl w:val="0"/>
          <w:numId w:val="8"/>
        </w:numPr>
        <w:ind w:left="357" w:hanging="357"/>
        <w:spacing w:line="360" w:lineRule="auto"/>
        <w:tabs>
          <w:tab w:val="left" w:pos="900" w:leader="none"/>
          <w:tab w:val="left" w:pos="1080" w:leader="none"/>
          <w:tab w:val="left" w:pos="2014" w:leader="none"/>
        </w:tabs>
        <w:rPr>
          <w:b w:val="0"/>
          <w:bCs w:val="0"/>
          <w:color w:val="000000"/>
          <w:sz w:val="24"/>
          <w:highlight w:val="none"/>
        </w:rPr>
        <w:outlineLvl w:val="1"/>
      </w:pPr>
      <w:r>
        <w:rPr>
          <w:b w:val="0"/>
          <w:bCs w:val="0"/>
          <w:color w:val="000000"/>
          <w:sz w:val="24"/>
          <w:highlight w:val="none"/>
        </w:rPr>
        <w:t xml:space="preserve">对</w:t>
      </w:r>
      <w:r>
        <w:rPr>
          <w:rFonts w:hint="eastAsia"/>
          <w:b w:val="0"/>
          <w:bCs w:val="0"/>
          <w:color w:val="000000"/>
          <w:sz w:val="24"/>
          <w:highlight w:val="none"/>
        </w:rPr>
        <w:t xml:space="preserve">采购文件</w:t>
      </w:r>
      <w:r>
        <w:rPr>
          <w:b w:val="0"/>
          <w:bCs w:val="0"/>
          <w:color w:val="000000"/>
          <w:sz w:val="24"/>
          <w:highlight w:val="none"/>
        </w:rPr>
        <w:t xml:space="preserve">的澄清或修改</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61" w:leader="none"/>
          <w:tab w:val="left" w:pos="1589" w:leader="none"/>
          <w:tab w:val="left" w:pos="2014" w:leader="none"/>
        </w:tabs>
        <w:rPr>
          <w:b w:val="0"/>
          <w:bCs w:val="0"/>
          <w:color w:val="000000"/>
          <w:sz w:val="24"/>
          <w:highlight w:val="none"/>
        </w:rPr>
      </w:pPr>
      <w:r>
        <w:rPr>
          <w:b w:val="0"/>
          <w:bCs w:val="0"/>
          <w:color w:val="000000"/>
          <w:sz w:val="24"/>
          <w:highlight w:val="none"/>
        </w:rPr>
        <w:t xml:space="preserve">采购人或采购代理机构对已发出的</w:t>
      </w:r>
      <w:r>
        <w:rPr>
          <w:rFonts w:hint="eastAsia"/>
          <w:b w:val="0"/>
          <w:bCs w:val="0"/>
          <w:color w:val="000000"/>
          <w:sz w:val="24"/>
          <w:highlight w:val="none"/>
        </w:rPr>
        <w:t xml:space="preserve">采购文件</w:t>
      </w:r>
      <w:r>
        <w:rPr>
          <w:b w:val="0"/>
          <w:bCs w:val="0"/>
          <w:color w:val="000000"/>
          <w:sz w:val="24"/>
          <w:highlight w:val="none"/>
        </w:rPr>
        <w:t xml:space="preserve">进行必要澄清或者修改的，将在原公告发布媒体上以</w:t>
      </w:r>
      <w:r>
        <w:rPr>
          <w:rFonts w:hint="eastAsia"/>
          <w:b w:val="0"/>
          <w:bCs w:val="0"/>
          <w:color w:val="000000"/>
          <w:sz w:val="24"/>
          <w:highlight w:val="none"/>
        </w:rPr>
        <w:t xml:space="preserve">发布</w:t>
      </w:r>
      <w:r>
        <w:rPr>
          <w:b w:val="0"/>
          <w:bCs w:val="0"/>
          <w:color w:val="000000"/>
          <w:sz w:val="24"/>
          <w:highlight w:val="none"/>
        </w:rPr>
        <w:t xml:space="preserve">更正公告</w:t>
      </w:r>
      <w:r>
        <w:rPr>
          <w:rFonts w:hint="eastAsia"/>
          <w:b w:val="0"/>
          <w:bCs w:val="0"/>
          <w:color w:val="000000"/>
          <w:sz w:val="24"/>
          <w:highlight w:val="none"/>
        </w:rPr>
        <w:t xml:space="preserve">的</w:t>
      </w:r>
      <w:r>
        <w:rPr>
          <w:b w:val="0"/>
          <w:bCs w:val="0"/>
          <w:color w:val="000000"/>
          <w:sz w:val="24"/>
          <w:highlight w:val="none"/>
        </w:rPr>
        <w:t xml:space="preserve">形式通知所有获取</w:t>
      </w:r>
      <w:r>
        <w:rPr>
          <w:rFonts w:hint="eastAsia"/>
          <w:b w:val="0"/>
          <w:bCs w:val="0"/>
          <w:color w:val="000000"/>
          <w:sz w:val="24"/>
          <w:highlight w:val="none"/>
        </w:rPr>
        <w:t xml:space="preserve">采购文件</w:t>
      </w:r>
      <w:r>
        <w:rPr>
          <w:b w:val="0"/>
          <w:bCs w:val="0"/>
          <w:color w:val="000000"/>
          <w:sz w:val="24"/>
          <w:highlight w:val="none"/>
        </w:rPr>
        <w:t xml:space="preserve">的潜在投标人。</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61" w:leader="none"/>
          <w:tab w:val="left" w:pos="1589" w:leader="none"/>
          <w:tab w:val="left" w:pos="2014" w:leader="none"/>
        </w:tabs>
        <w:rPr>
          <w:b w:val="0"/>
          <w:bCs w:val="0"/>
          <w:color w:val="000000"/>
          <w:sz w:val="24"/>
          <w:highlight w:val="none"/>
        </w:rPr>
      </w:pPr>
      <w:r>
        <w:rPr>
          <w:b w:val="0"/>
          <w:bCs w:val="0"/>
          <w:color w:val="000000"/>
          <w:sz w:val="24"/>
          <w:highlight w:val="none"/>
        </w:rPr>
        <w:t xml:space="preserve">澄清或者修改的内容为</w:t>
      </w:r>
      <w:r>
        <w:rPr>
          <w:rFonts w:hint="eastAsia"/>
          <w:b w:val="0"/>
          <w:bCs w:val="0"/>
          <w:color w:val="000000"/>
          <w:sz w:val="24"/>
          <w:highlight w:val="none"/>
        </w:rPr>
        <w:t xml:space="preserve">采购文件</w:t>
      </w:r>
      <w:r>
        <w:rPr>
          <w:b w:val="0"/>
          <w:bCs w:val="0"/>
          <w:color w:val="000000"/>
          <w:sz w:val="24"/>
          <w:highlight w:val="none"/>
        </w:rPr>
        <w:t xml:space="preserve">的组成部分，并对所有获取</w:t>
      </w:r>
      <w:r>
        <w:rPr>
          <w:rFonts w:hint="eastAsia"/>
          <w:b w:val="0"/>
          <w:bCs w:val="0"/>
          <w:color w:val="000000"/>
          <w:sz w:val="24"/>
          <w:highlight w:val="none"/>
        </w:rPr>
        <w:t xml:space="preserve">采购文件</w:t>
      </w:r>
      <w:r>
        <w:rPr>
          <w:b w:val="0"/>
          <w:bCs w:val="0"/>
          <w:color w:val="000000"/>
          <w:sz w:val="24"/>
          <w:highlight w:val="none"/>
        </w:rPr>
        <w:t xml:space="preserve">的潜在投标人具有约束力。澄清或者修改的内容可能影响投标文件编制的，将在投标截止时间至少15日前，以更正公告形式通知所有获取</w:t>
      </w:r>
      <w:r>
        <w:rPr>
          <w:rFonts w:hint="eastAsia"/>
          <w:b w:val="0"/>
          <w:bCs w:val="0"/>
          <w:color w:val="000000"/>
          <w:sz w:val="24"/>
          <w:highlight w:val="none"/>
        </w:rPr>
        <w:t xml:space="preserve">采购文件</w:t>
      </w:r>
      <w:r>
        <w:rPr>
          <w:b w:val="0"/>
          <w:bCs w:val="0"/>
          <w:color w:val="000000"/>
          <w:sz w:val="24"/>
          <w:highlight w:val="none"/>
        </w:rPr>
        <w:t xml:space="preserve">的潜在投标人；不足15日的，将顺延提交投标文件的截止时间和开标时间。</w:t>
      </w:r>
      <w:r>
        <w:rPr>
          <w:b w:val="0"/>
          <w:bCs w:val="0"/>
          <w:color w:val="000000"/>
          <w:sz w:val="24"/>
          <w:highlight w:val="none"/>
        </w:rPr>
      </w:r>
      <w:r/>
    </w:p>
    <w:p>
      <w:pPr>
        <w:pStyle w:val="1023"/>
        <w:ind w:left="1080"/>
        <w:spacing w:line="360" w:lineRule="auto"/>
        <w:tabs>
          <w:tab w:val="left" w:pos="1080" w:leader="none"/>
          <w:tab w:val="left" w:pos="1561" w:leader="none"/>
        </w:tabs>
        <w:rPr>
          <w:b w:val="0"/>
          <w:bCs w:val="0"/>
          <w:color w:val="000000"/>
          <w:sz w:val="28"/>
          <w:highlight w:val="none"/>
        </w:rPr>
      </w:pPr>
      <w:r/>
      <w:bookmarkStart w:id="207" w:name="_Toc151193696"/>
      <w:r/>
      <w:bookmarkStart w:id="208" w:name="_Toc195842891"/>
      <w:r/>
      <w:bookmarkStart w:id="209" w:name="_Toc127151526"/>
      <w:r/>
      <w:bookmarkStart w:id="210" w:name="_Toc150774731"/>
      <w:r/>
      <w:bookmarkStart w:id="211" w:name="_Toc150509277"/>
      <w:r/>
      <w:bookmarkStart w:id="212" w:name="_Toc150774626"/>
      <w:r/>
      <w:bookmarkStart w:id="213" w:name="_Toc520356150"/>
      <w:r/>
      <w:bookmarkStart w:id="214" w:name="_Toc516367020"/>
      <w:r/>
      <w:bookmarkStart w:id="215" w:name="_Toc151193840"/>
      <w:r/>
      <w:bookmarkStart w:id="216" w:name="_Toc142311028"/>
      <w:r/>
      <w:bookmarkStart w:id="217" w:name="_Toc226965716"/>
      <w:r/>
      <w:bookmarkStart w:id="218" w:name="_Toc151190153"/>
      <w:r/>
      <w:bookmarkStart w:id="219" w:name="_Toc151193768"/>
      <w:r/>
      <w:bookmarkStart w:id="220" w:name="_Toc265228364"/>
      <w:r/>
      <w:bookmarkStart w:id="221" w:name="_Toc226337222"/>
      <w:r/>
      <w:bookmarkStart w:id="222" w:name="_Toc264969216"/>
      <w:r/>
      <w:bookmarkStart w:id="223" w:name="_Toc305158868"/>
      <w:r/>
      <w:bookmarkStart w:id="224" w:name="_Toc226309770"/>
      <w:r/>
      <w:bookmarkStart w:id="225" w:name="_Toc151193624"/>
      <w:r/>
      <w:bookmarkStart w:id="226" w:name="_Toc305158794"/>
      <w:r/>
      <w:bookmarkStart w:id="227" w:name="_Toc226965799"/>
      <w:r/>
      <w:bookmarkStart w:id="228" w:name="_Toc151193914"/>
      <w:r/>
      <w:bookmarkStart w:id="229" w:name="_Toc150480764"/>
      <w:r>
        <w:rPr>
          <w:b w:val="0"/>
          <w:bCs w:val="0"/>
          <w:color w:val="000000"/>
          <w:sz w:val="28"/>
          <w:highlight w:val="none"/>
        </w:rPr>
      </w:r>
      <w:r/>
    </w:p>
    <w:p>
      <w:pPr>
        <w:pStyle w:val="1281"/>
        <w:spacing w:before="0" w:line="360" w:lineRule="auto"/>
        <w:rPr>
          <w:rFonts w:ascii="Times New Roman" w:hAnsi="Times New Roman" w:eastAsia="宋体"/>
          <w:b w:val="0"/>
          <w:bCs w:val="0"/>
          <w:color w:val="000000"/>
          <w:sz w:val="28"/>
          <w:highlight w:val="none"/>
        </w:rPr>
      </w:pPr>
      <w:r>
        <w:rPr>
          <w:rFonts w:ascii="Times New Roman" w:hAnsi="Times New Roman" w:eastAsia="宋体"/>
          <w:b/>
          <w:bCs/>
          <w:color w:val="000000"/>
          <w:sz w:val="28"/>
          <w:highlight w:val="none"/>
        </w:rPr>
        <w:t xml:space="preserve">三   投标文件</w:t>
      </w:r>
      <w:bookmarkEnd w:id="214"/>
      <w:r>
        <w:rPr>
          <w:rFonts w:ascii="Times New Roman" w:hAnsi="Times New Roman" w:eastAsia="宋体"/>
          <w:b/>
          <w:bCs/>
          <w:color w:val="000000"/>
          <w:sz w:val="28"/>
          <w:highlight w:val="none"/>
        </w:rPr>
        <w:t xml:space="preserve">的编制</w:t>
      </w:r>
      <w:bookmarkEnd w:id="207"/>
      <w:r/>
      <w:bookmarkEnd w:id="208"/>
      <w:r/>
      <w:bookmarkEnd w:id="209"/>
      <w:r/>
      <w:bookmarkEnd w:id="210"/>
      <w:r/>
      <w:bookmarkEnd w:id="211"/>
      <w:r/>
      <w:bookmarkEnd w:id="212"/>
      <w:r/>
      <w:bookmarkEnd w:id="213"/>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ascii="Times New Roman" w:hAnsi="Times New Roman" w:eastAsia="宋体"/>
          <w:b w:val="0"/>
          <w:bCs w:val="0"/>
          <w:color w:val="000000"/>
          <w:sz w:val="28"/>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230" w:name="_Toc127151527"/>
      <w:r/>
      <w:bookmarkStart w:id="231" w:name="_Toc516367021"/>
      <w:r/>
      <w:bookmarkStart w:id="232" w:name="_Toc520356151"/>
      <w:r/>
      <w:bookmarkStart w:id="233" w:name="_Toc226309771"/>
      <w:r/>
      <w:bookmarkStart w:id="234" w:name="_Toc151193841"/>
      <w:r/>
      <w:bookmarkStart w:id="235" w:name="_Toc164351621"/>
      <w:r/>
      <w:bookmarkStart w:id="236" w:name="_Toc226965717"/>
      <w:r/>
      <w:bookmarkStart w:id="237" w:name="_Toc164229368"/>
      <w:r/>
      <w:bookmarkStart w:id="238" w:name="_Toc127151728"/>
      <w:r/>
      <w:bookmarkStart w:id="239" w:name="_Toc149720820"/>
      <w:r/>
      <w:bookmarkStart w:id="240" w:name="_Toc264969217"/>
      <w:r/>
      <w:bookmarkStart w:id="241" w:name="_Toc151190154"/>
      <w:r/>
      <w:bookmarkStart w:id="242" w:name="_Toc127161441"/>
      <w:r/>
      <w:bookmarkStart w:id="243" w:name="_Toc164229222"/>
      <w:r/>
      <w:bookmarkStart w:id="244" w:name="_Toc151193915"/>
      <w:r/>
      <w:bookmarkStart w:id="245" w:name="_Toc195842892"/>
      <w:r/>
      <w:bookmarkStart w:id="246" w:name="_Toc151193625"/>
      <w:r/>
      <w:bookmarkStart w:id="247" w:name="_Toc164608796"/>
      <w:r/>
      <w:bookmarkStart w:id="248" w:name="_Toc150774627"/>
      <w:r/>
      <w:bookmarkStart w:id="249" w:name="_Toc226965800"/>
      <w:r/>
      <w:bookmarkStart w:id="250" w:name="_Toc305158795"/>
      <w:r/>
      <w:bookmarkStart w:id="251" w:name="_Toc151193697"/>
      <w:r/>
      <w:bookmarkStart w:id="252" w:name="_Toc164608641"/>
      <w:r/>
      <w:bookmarkStart w:id="253" w:name="_Toc150509278"/>
      <w:r/>
      <w:bookmarkStart w:id="254" w:name="_Toc150774732"/>
      <w:r/>
      <w:bookmarkStart w:id="255" w:name="_Toc150480765"/>
      <w:r/>
      <w:bookmarkStart w:id="256" w:name="_Toc142311029"/>
      <w:r/>
      <w:bookmarkStart w:id="257" w:name="_Toc265228365"/>
      <w:r/>
      <w:bookmarkStart w:id="258" w:name="_Toc151193769"/>
      <w:r/>
      <w:bookmarkStart w:id="259" w:name="_Toc226337223"/>
      <w:r/>
      <w:bookmarkStart w:id="260" w:name="_Toc305158869"/>
      <w:r>
        <w:rPr>
          <w:b w:val="0"/>
          <w:bCs w:val="0"/>
          <w:color w:val="000000"/>
          <w:sz w:val="24"/>
          <w:highlight w:val="none"/>
        </w:rPr>
        <w:t xml:space="preserve">投标范围、投标文件中计量单位的使用</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b w:val="0"/>
          <w:bCs w:val="0"/>
          <w:color w:val="000000"/>
          <w:sz w:val="24"/>
          <w:highlight w:val="none"/>
        </w:rPr>
        <w:t xml:space="preserve">及投标语言</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除</w:t>
      </w:r>
      <w:r>
        <w:rPr>
          <w:rFonts w:hint="eastAsia"/>
          <w:b w:val="0"/>
          <w:bCs w:val="0"/>
          <w:color w:val="000000"/>
          <w:sz w:val="24"/>
          <w:highlight w:val="none"/>
        </w:rPr>
        <w:t xml:space="preserve">采购文件</w:t>
      </w:r>
      <w:r>
        <w:rPr>
          <w:b w:val="0"/>
          <w:bCs w:val="0"/>
          <w:color w:val="000000"/>
          <w:sz w:val="24"/>
          <w:highlight w:val="none"/>
        </w:rPr>
        <w:t xml:space="preserve">有特殊要求外，本项目投标所使用的计量单位，应采用中华人民共和国法定计量单位。</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261" w:name="_Toc151190155"/>
      <w:r/>
      <w:bookmarkStart w:id="262" w:name="_Toc164229369"/>
      <w:r/>
      <w:bookmarkStart w:id="263" w:name="_Toc127151729"/>
      <w:r/>
      <w:bookmarkStart w:id="264" w:name="_Toc150509279"/>
      <w:r/>
      <w:bookmarkStart w:id="265" w:name="_Toc150774628"/>
      <w:r/>
      <w:bookmarkStart w:id="266" w:name="_Toc305158796"/>
      <w:r/>
      <w:bookmarkStart w:id="267" w:name="_Toc265228366"/>
      <w:r/>
      <w:bookmarkStart w:id="268" w:name="_Toc164351622"/>
      <w:r/>
      <w:bookmarkStart w:id="269" w:name="_Toc151193770"/>
      <w:r/>
      <w:bookmarkStart w:id="270" w:name="_Toc305158870"/>
      <w:r/>
      <w:bookmarkStart w:id="271" w:name="_Toc226965801"/>
      <w:r/>
      <w:bookmarkStart w:id="272" w:name="_Toc127151528"/>
      <w:r/>
      <w:bookmarkStart w:id="273" w:name="_Toc151193916"/>
      <w:r/>
      <w:bookmarkStart w:id="274" w:name="_Toc226337224"/>
      <w:r/>
      <w:bookmarkStart w:id="275" w:name="_Toc164229223"/>
      <w:r/>
      <w:bookmarkStart w:id="276" w:name="_Toc150774733"/>
      <w:r/>
      <w:bookmarkStart w:id="277" w:name="_Toc226309772"/>
      <w:r/>
      <w:bookmarkStart w:id="278" w:name="_Toc150480766"/>
      <w:r/>
      <w:bookmarkStart w:id="279" w:name="_Toc151193626"/>
      <w:r/>
      <w:bookmarkStart w:id="280" w:name="_Toc149720821"/>
      <w:r/>
      <w:bookmarkStart w:id="281" w:name="_Toc127161442"/>
      <w:r/>
      <w:bookmarkStart w:id="282" w:name="_Toc151193698"/>
      <w:r/>
      <w:bookmarkStart w:id="283" w:name="_Toc164608642"/>
      <w:r/>
      <w:bookmarkStart w:id="284" w:name="_Toc226965718"/>
      <w:r/>
      <w:bookmarkStart w:id="285" w:name="_Toc164608797"/>
      <w:r/>
      <w:bookmarkStart w:id="286" w:name="_Toc264969218"/>
      <w:r/>
      <w:bookmarkStart w:id="287" w:name="_Toc142311030"/>
      <w:r/>
      <w:bookmarkStart w:id="288" w:name="_Toc516367022"/>
      <w:r/>
      <w:bookmarkStart w:id="289" w:name="_Ref467306676"/>
      <w:r/>
      <w:bookmarkStart w:id="290" w:name="_Ref467306195"/>
      <w:r/>
      <w:bookmarkStart w:id="291" w:name="_Toc520356152"/>
      <w:r/>
      <w:bookmarkStart w:id="292" w:name="_Toc195842893"/>
      <w:r/>
      <w:bookmarkStart w:id="293" w:name="_Toc151193842"/>
      <w:r>
        <w:rPr>
          <w:b w:val="0"/>
          <w:bCs w:val="0"/>
          <w:color w:val="000000"/>
          <w:sz w:val="24"/>
          <w:highlight w:val="none"/>
        </w:rPr>
        <w:t xml:space="preserve">投标文件</w:t>
      </w:r>
      <w:bookmarkEnd w:id="288"/>
      <w:r/>
      <w:bookmarkEnd w:id="289"/>
      <w:r/>
      <w:bookmarkEnd w:id="290"/>
      <w:r>
        <w:rPr>
          <w:b w:val="0"/>
          <w:bCs w:val="0"/>
          <w:color w:val="000000"/>
          <w:sz w:val="24"/>
          <w:highlight w:val="none"/>
        </w:rPr>
        <w:t xml:space="preserve">构成</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91"/>
      <w:r/>
      <w:bookmarkEnd w:id="292"/>
      <w:r/>
      <w:bookmarkEnd w:id="293"/>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bookmarkStart w:id="294" w:name="_Ref467052588"/>
      <w:r>
        <w:rPr>
          <w:b w:val="0"/>
          <w:bCs w:val="0"/>
          <w:color w:val="000000"/>
          <w:sz w:val="24"/>
          <w:highlight w:val="none"/>
        </w:rPr>
        <w:t xml:space="preserve">投标人应当按照</w:t>
      </w:r>
      <w:r>
        <w:rPr>
          <w:rFonts w:hint="eastAsia"/>
          <w:b w:val="0"/>
          <w:bCs w:val="0"/>
          <w:color w:val="000000"/>
          <w:sz w:val="24"/>
          <w:highlight w:val="none"/>
        </w:rPr>
        <w:t xml:space="preserve">采购文件</w:t>
      </w:r>
      <w:r>
        <w:rPr>
          <w:b w:val="0"/>
          <w:bCs w:val="0"/>
          <w:color w:val="000000"/>
          <w:sz w:val="24"/>
          <w:highlight w:val="none"/>
        </w:rPr>
        <w:t xml:space="preserve">的要求编制投标文件。投标文件应由《资格证明文件》、《商务技术文件》两部分构成。投标文件的部分格式要求，见第七章《投标文件格式》。</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对于</w:t>
      </w:r>
      <w:r>
        <w:rPr>
          <w:rFonts w:hint="eastAsia"/>
          <w:b w:val="0"/>
          <w:bCs w:val="0"/>
          <w:color w:val="000000"/>
          <w:sz w:val="24"/>
          <w:highlight w:val="none"/>
        </w:rPr>
        <w:t xml:space="preserve">采购文件</w:t>
      </w:r>
      <w:r>
        <w:rPr>
          <w:b w:val="0"/>
          <w:bCs w:val="0"/>
          <w:color w:val="000000"/>
          <w:sz w:val="24"/>
          <w:highlight w:val="none"/>
        </w:rPr>
        <w:t xml:space="preserve">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w:t>
      </w:r>
      <w:r>
        <w:rPr>
          <w:rFonts w:hint="eastAsia"/>
          <w:b w:val="0"/>
          <w:bCs w:val="0"/>
          <w:color w:val="000000"/>
          <w:sz w:val="24"/>
          <w:highlight w:val="none"/>
        </w:rPr>
        <w:t xml:space="preserve">采购文件</w:t>
      </w:r>
      <w:r>
        <w:rPr>
          <w:b w:val="0"/>
          <w:bCs w:val="0"/>
          <w:color w:val="000000"/>
          <w:sz w:val="24"/>
          <w:highlight w:val="none"/>
        </w:rPr>
        <w:t xml:space="preserve">未提供格式的内容，可由投标人自行编写。</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第四章《评标程序、评标方法和评标标准》中涉及的证明文件。</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投标人认为应附的其他材料。</w:t>
      </w:r>
      <w:bookmarkEnd w:id="294"/>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295" w:name="_Toc164608644"/>
      <w:r/>
      <w:bookmarkStart w:id="296" w:name="_Toc151193844"/>
      <w:r/>
      <w:bookmarkStart w:id="297" w:name="_Toc164351624"/>
      <w:r/>
      <w:bookmarkStart w:id="298" w:name="_Toc151190157"/>
      <w:r/>
      <w:bookmarkStart w:id="299" w:name="_Toc127151530"/>
      <w:r/>
      <w:bookmarkStart w:id="300" w:name="_Toc127151731"/>
      <w:r/>
      <w:bookmarkStart w:id="301" w:name="_Toc151193772"/>
      <w:r/>
      <w:bookmarkStart w:id="302" w:name="_Toc149720823"/>
      <w:r/>
      <w:bookmarkStart w:id="303" w:name="_Toc150774735"/>
      <w:r/>
      <w:bookmarkStart w:id="304" w:name="_Toc151193628"/>
      <w:r/>
      <w:bookmarkStart w:id="305" w:name="_Toc127161444"/>
      <w:r/>
      <w:bookmarkStart w:id="306" w:name="_Toc195842895"/>
      <w:r/>
      <w:bookmarkStart w:id="307" w:name="_Toc150480768"/>
      <w:r/>
      <w:bookmarkStart w:id="308" w:name="_Toc164229225"/>
      <w:r/>
      <w:bookmarkStart w:id="309" w:name="_Toc164608799"/>
      <w:r/>
      <w:bookmarkStart w:id="310" w:name="_Toc520356155"/>
      <w:r/>
      <w:bookmarkStart w:id="311" w:name="_Toc151193918"/>
      <w:r/>
      <w:bookmarkStart w:id="312" w:name="_Toc150509281"/>
      <w:r/>
      <w:bookmarkStart w:id="313" w:name="_Toc150774630"/>
      <w:r/>
      <w:bookmarkStart w:id="314" w:name="_Toc151193700"/>
      <w:r/>
      <w:bookmarkStart w:id="315" w:name="_Toc164229371"/>
      <w:r/>
      <w:bookmarkStart w:id="316" w:name="_Toc142311032"/>
      <w:r>
        <w:rPr>
          <w:b w:val="0"/>
          <w:bCs w:val="0"/>
          <w:color w:val="000000"/>
          <w:sz w:val="24"/>
          <w:highlight w:val="none"/>
        </w:rPr>
        <w:t xml:space="preserve">投标报价</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所有投标均以人民币报价。</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投标人的报价应包括为完成本项目所发生的一切费用和税费，招标人将不再支付报价以外的任何费用。</w:t>
      </w:r>
      <w:r>
        <w:rPr>
          <w:rFonts w:hint="eastAsia"/>
          <w:b w:val="0"/>
          <w:bCs w:val="0"/>
          <w:color w:val="000000"/>
          <w:sz w:val="24"/>
          <w:highlight w:val="none"/>
        </w:rPr>
        <w:t xml:space="preserve">投标人的报价应包括但不限于下列内容，《投标人须知资料表》中有特殊规定的，从其规定。</w:t>
      </w:r>
      <w:r>
        <w:rPr>
          <w:b w:val="0"/>
          <w:bCs w:val="0"/>
          <w:color w:val="000000"/>
          <w:sz w:val="24"/>
          <w:highlight w:val="none"/>
        </w:rPr>
      </w:r>
      <w:r/>
    </w:p>
    <w:p>
      <w:pPr>
        <w:pStyle w:val="1023"/>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按照</w:t>
      </w:r>
      <w:r>
        <w:rPr>
          <w:rFonts w:hint="eastAsia"/>
          <w:b w:val="0"/>
          <w:bCs w:val="0"/>
          <w:color w:val="000000"/>
          <w:sz w:val="24"/>
          <w:highlight w:val="none"/>
        </w:rPr>
        <w:t xml:space="preserve">采购文件</w:t>
      </w:r>
      <w:r>
        <w:rPr>
          <w:b w:val="0"/>
          <w:bCs w:val="0"/>
          <w:color w:val="000000"/>
          <w:sz w:val="24"/>
          <w:highlight w:val="none"/>
        </w:rPr>
        <w:t xml:space="preserve">要求完成本项目的全部相关服务费用。 </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采购人不得向供应商索要或者接受其给予的赠品、回扣或者与采购无关的其他商品、服务。</w:t>
      </w:r>
      <w:r>
        <w:rPr>
          <w:b w:val="0"/>
          <w:bCs w:val="0"/>
          <w:color w:val="000000"/>
          <w:sz w:val="24"/>
          <w:highlight w:val="none"/>
        </w:rPr>
      </w:r>
      <w:r/>
    </w:p>
    <w:p>
      <w:pPr>
        <w:pStyle w:val="1023"/>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投标人不能提供任何有选择性或可调整的报价，否则其投标无效。</w:t>
      </w:r>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rFonts w:hint="eastAsia"/>
          <w:b w:val="0"/>
          <w:bCs w:val="0"/>
          <w:color w:val="000000"/>
          <w:sz w:val="24"/>
          <w:highlight w:val="none"/>
        </w:rPr>
        <w:outlineLvl w:val="1"/>
      </w:pPr>
      <w:r/>
      <w:bookmarkStart w:id="317" w:name="_Toc164351625"/>
      <w:r/>
      <w:bookmarkStart w:id="318" w:name="_Toc149720824"/>
      <w:r/>
      <w:bookmarkStart w:id="319" w:name="_Toc150774736"/>
      <w:r/>
      <w:bookmarkStart w:id="320" w:name="_Ref467306513"/>
      <w:r/>
      <w:bookmarkStart w:id="321" w:name="_Toc151190158"/>
      <w:r/>
      <w:bookmarkStart w:id="322" w:name="_Toc265228369"/>
      <w:r/>
      <w:bookmarkStart w:id="323" w:name="_Toc195842896"/>
      <w:r/>
      <w:bookmarkStart w:id="324" w:name="_Toc226965804"/>
      <w:r/>
      <w:bookmarkStart w:id="325" w:name="_Toc151193919"/>
      <w:r/>
      <w:bookmarkStart w:id="326" w:name="_Toc142311033"/>
      <w:r/>
      <w:bookmarkStart w:id="327" w:name="_Toc164608645"/>
      <w:r/>
      <w:bookmarkStart w:id="328" w:name="_Toc150509282"/>
      <w:r/>
      <w:bookmarkStart w:id="329" w:name="_Toc150774631"/>
      <w:r/>
      <w:bookmarkStart w:id="330" w:name="_Toc520356156"/>
      <w:r/>
      <w:bookmarkStart w:id="331" w:name="_Toc127151732"/>
      <w:r/>
      <w:bookmarkStart w:id="332" w:name="_Toc264969221"/>
      <w:r/>
      <w:bookmarkStart w:id="333" w:name="_Toc305158873"/>
      <w:r/>
      <w:bookmarkStart w:id="334" w:name="_Toc164229226"/>
      <w:r/>
      <w:bookmarkStart w:id="335" w:name="_Toc151193701"/>
      <w:r/>
      <w:bookmarkStart w:id="336" w:name="_Toc127151531"/>
      <w:r/>
      <w:bookmarkStart w:id="337" w:name="_Toc226965721"/>
      <w:r/>
      <w:bookmarkStart w:id="338" w:name="_Toc151193773"/>
      <w:r/>
      <w:bookmarkStart w:id="339" w:name="_Toc164229372"/>
      <w:r/>
      <w:bookmarkStart w:id="340" w:name="_Toc151193629"/>
      <w:r/>
      <w:bookmarkStart w:id="341" w:name="_Toc150480769"/>
      <w:r/>
      <w:bookmarkStart w:id="342" w:name="_Toc151193845"/>
      <w:r/>
      <w:bookmarkStart w:id="343" w:name="_Toc305158799"/>
      <w:r/>
      <w:bookmarkStart w:id="344" w:name="_Toc226309775"/>
      <w:r/>
      <w:bookmarkStart w:id="345" w:name="_Toc127161445"/>
      <w:r/>
      <w:bookmarkStart w:id="346" w:name="_Toc226337227"/>
      <w:r/>
      <w:bookmarkStart w:id="347" w:name="_Toc164608800"/>
      <w:r>
        <w:rPr>
          <w:b w:val="0"/>
          <w:bCs w:val="0"/>
          <w:color w:val="000000"/>
          <w:sz w:val="24"/>
          <w:highlight w:val="none"/>
        </w:rPr>
        <w:t xml:space="preserve">投标保证金</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hint="eastAsia"/>
          <w:b w:val="0"/>
          <w:bCs w:val="0"/>
          <w:color w:val="000000"/>
          <w:sz w:val="24"/>
          <w:highlight w:val="none"/>
        </w:rPr>
      </w:r>
      <w:r/>
    </w:p>
    <w:p>
      <w:pPr>
        <w:pStyle w:val="1023"/>
        <w:ind w:left="357"/>
        <w:spacing w:line="360" w:lineRule="auto"/>
        <w:tabs>
          <w:tab w:val="left" w:pos="360" w:leader="none"/>
        </w:tabs>
        <w:rPr>
          <w:b w:val="0"/>
          <w:bCs w:val="0"/>
          <w:color w:val="000000"/>
          <w:sz w:val="24"/>
          <w:highlight w:val="none"/>
        </w:rPr>
        <w:outlineLvl w:val="1"/>
      </w:pPr>
      <w:r>
        <w:rPr>
          <w:rFonts w:hint="eastAsia"/>
          <w:b w:val="0"/>
          <w:bCs w:val="0"/>
          <w:color w:val="000000"/>
          <w:sz w:val="24"/>
          <w:highlight w:val="none"/>
        </w:rPr>
        <w:t xml:space="preserve">根据江苏省和常州市的相关文件规定，免收投标保证金。</w:t>
      </w:r>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348" w:name="_Toc264969222"/>
      <w:r/>
      <w:bookmarkStart w:id="349" w:name="_Toc127151733"/>
      <w:r/>
      <w:bookmarkStart w:id="350" w:name="_Toc151193846"/>
      <w:r/>
      <w:bookmarkStart w:id="351" w:name="_Toc164229373"/>
      <w:r/>
      <w:bookmarkStart w:id="352" w:name="_Toc164229227"/>
      <w:r/>
      <w:bookmarkStart w:id="353" w:name="_Toc127161446"/>
      <w:r/>
      <w:bookmarkStart w:id="354" w:name="_Toc305158800"/>
      <w:r/>
      <w:bookmarkStart w:id="355" w:name="_Toc226965805"/>
      <w:r/>
      <w:bookmarkStart w:id="356" w:name="_Toc164608646"/>
      <w:r/>
      <w:bookmarkStart w:id="357" w:name="_Toc151193920"/>
      <w:r/>
      <w:bookmarkStart w:id="358" w:name="_Toc151190159"/>
      <w:r/>
      <w:bookmarkStart w:id="359" w:name="_Toc226965722"/>
      <w:r/>
      <w:bookmarkStart w:id="360" w:name="_Toc164351626"/>
      <w:r/>
      <w:bookmarkStart w:id="361" w:name="_Toc226337228"/>
      <w:r/>
      <w:bookmarkStart w:id="362" w:name="_Toc151193702"/>
      <w:r/>
      <w:bookmarkStart w:id="363" w:name="_Toc164608801"/>
      <w:r/>
      <w:bookmarkStart w:id="364" w:name="_Toc150774632"/>
      <w:r/>
      <w:bookmarkStart w:id="365" w:name="_Toc150509283"/>
      <w:r/>
      <w:bookmarkStart w:id="366" w:name="_Toc150480770"/>
      <w:r/>
      <w:bookmarkStart w:id="367" w:name="_Toc151193630"/>
      <w:r/>
      <w:bookmarkStart w:id="368" w:name="_Toc151193774"/>
      <w:r/>
      <w:bookmarkStart w:id="369" w:name="_Toc150774737"/>
      <w:r/>
      <w:bookmarkStart w:id="370" w:name="_Toc195842897"/>
      <w:r/>
      <w:bookmarkStart w:id="371" w:name="_Toc142311034"/>
      <w:r/>
      <w:bookmarkStart w:id="372" w:name="_Toc226309776"/>
      <w:r/>
      <w:bookmarkStart w:id="373" w:name="_Toc265228370"/>
      <w:r/>
      <w:bookmarkStart w:id="374" w:name="_Toc305158874"/>
      <w:r/>
      <w:bookmarkStart w:id="375" w:name="_Toc149720825"/>
      <w:r/>
      <w:bookmarkStart w:id="376" w:name="_Toc127151532"/>
      <w:r/>
      <w:bookmarkStart w:id="377" w:name="_Toc520356157"/>
      <w:r>
        <w:rPr>
          <w:b w:val="0"/>
          <w:bCs w:val="0"/>
          <w:color w:val="000000"/>
          <w:sz w:val="24"/>
          <w:highlight w:val="none"/>
        </w:rPr>
        <w:t xml:space="preserve">投标有效期</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w:t>
      </w:r>
      <w:r>
        <w:rPr>
          <w:rFonts w:hint="eastAsia"/>
          <w:b w:val="0"/>
          <w:bCs w:val="0"/>
          <w:color w:val="000000"/>
          <w:sz w:val="24"/>
          <w:highlight w:val="none"/>
        </w:rPr>
        <w:t xml:space="preserve">文件</w:t>
      </w:r>
      <w:r>
        <w:rPr>
          <w:b w:val="0"/>
          <w:bCs w:val="0"/>
          <w:color w:val="000000"/>
          <w:sz w:val="24"/>
          <w:highlight w:val="none"/>
        </w:rPr>
        <w:t xml:space="preserve">应在本</w:t>
      </w:r>
      <w:r>
        <w:rPr>
          <w:rFonts w:hint="eastAsia"/>
          <w:b w:val="0"/>
          <w:bCs w:val="0"/>
          <w:color w:val="000000"/>
          <w:sz w:val="24"/>
          <w:highlight w:val="none"/>
        </w:rPr>
        <w:t xml:space="preserve">采购文件</w:t>
      </w:r>
      <w:r>
        <w:rPr>
          <w:b w:val="0"/>
          <w:bCs w:val="0"/>
          <w:color w:val="000000"/>
          <w:sz w:val="24"/>
          <w:highlight w:val="none"/>
        </w:rPr>
        <w:t xml:space="preserve">《投标人须知资料表》中规定的投标有效期内保持有效，投标有效期少于</w:t>
      </w:r>
      <w:r>
        <w:rPr>
          <w:rFonts w:hint="eastAsia"/>
          <w:b w:val="0"/>
          <w:bCs w:val="0"/>
          <w:color w:val="000000"/>
          <w:sz w:val="24"/>
          <w:highlight w:val="none"/>
        </w:rPr>
        <w:t xml:space="preserve">采购文件</w:t>
      </w:r>
      <w:r>
        <w:rPr>
          <w:b w:val="0"/>
          <w:bCs w:val="0"/>
          <w:color w:val="000000"/>
          <w:sz w:val="24"/>
          <w:highlight w:val="none"/>
        </w:rPr>
        <w:t xml:space="preserve">规定期限的，其投标无效。</w:t>
      </w:r>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378" w:name="_Toc226965806"/>
      <w:r/>
      <w:bookmarkStart w:id="379" w:name="_Toc127151533"/>
      <w:r/>
      <w:bookmarkStart w:id="380" w:name="_Toc151193775"/>
      <w:r/>
      <w:bookmarkStart w:id="381" w:name="_Toc520356158"/>
      <w:r/>
      <w:bookmarkStart w:id="382" w:name="_Toc151190160"/>
      <w:r/>
      <w:bookmarkStart w:id="383" w:name="_Toc305158801"/>
      <w:r/>
      <w:bookmarkStart w:id="384" w:name="_Toc149720826"/>
      <w:r/>
      <w:bookmarkStart w:id="385" w:name="_Toc164351627"/>
      <w:r/>
      <w:bookmarkStart w:id="386" w:name="_Toc164229374"/>
      <w:r/>
      <w:bookmarkStart w:id="387" w:name="_Toc142311035"/>
      <w:r/>
      <w:bookmarkStart w:id="388" w:name="_Toc265228371"/>
      <w:r/>
      <w:bookmarkStart w:id="389" w:name="_Toc127161447"/>
      <w:r/>
      <w:bookmarkStart w:id="390" w:name="_Toc150774738"/>
      <w:r/>
      <w:bookmarkStart w:id="391" w:name="_Toc264969223"/>
      <w:r/>
      <w:bookmarkStart w:id="392" w:name="_Toc226337229"/>
      <w:r/>
      <w:bookmarkStart w:id="393" w:name="_Toc150774633"/>
      <w:r/>
      <w:bookmarkStart w:id="394" w:name="_Toc305158875"/>
      <w:r/>
      <w:bookmarkStart w:id="395" w:name="_Toc164608802"/>
      <w:r/>
      <w:bookmarkStart w:id="396" w:name="_Toc151193847"/>
      <w:r/>
      <w:bookmarkStart w:id="397" w:name="_Toc151193921"/>
      <w:r/>
      <w:bookmarkStart w:id="398" w:name="_Toc226965723"/>
      <w:r/>
      <w:bookmarkStart w:id="399" w:name="_Toc150509284"/>
      <w:r/>
      <w:bookmarkStart w:id="400" w:name="_Toc195842898"/>
      <w:r/>
      <w:bookmarkStart w:id="401" w:name="_Toc127151734"/>
      <w:r/>
      <w:bookmarkStart w:id="402" w:name="_Toc226309777"/>
      <w:r/>
      <w:bookmarkStart w:id="403" w:name="_Toc164229228"/>
      <w:r/>
      <w:bookmarkStart w:id="404" w:name="_Toc150480771"/>
      <w:r/>
      <w:bookmarkStart w:id="405" w:name="_Toc151193631"/>
      <w:r/>
      <w:bookmarkStart w:id="406" w:name="_Toc151193703"/>
      <w:r/>
      <w:bookmarkStart w:id="407" w:name="_Toc164608647"/>
      <w:r>
        <w:rPr>
          <w:b w:val="0"/>
          <w:bCs w:val="0"/>
          <w:color w:val="000000"/>
          <w:sz w:val="24"/>
          <w:highlight w:val="none"/>
        </w:rPr>
        <w:t xml:space="preserve">投标文件的签署</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b w:val="0"/>
          <w:bCs w:val="0"/>
          <w:color w:val="000000"/>
          <w:sz w:val="24"/>
          <w:highlight w:val="none"/>
        </w:rPr>
        <w:t xml:space="preserve">、加盖公章</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bookmarkStart w:id="408" w:name="_Toc150509285"/>
      <w:r/>
      <w:bookmarkStart w:id="409" w:name="_Toc150774634"/>
      <w:r/>
      <w:bookmarkStart w:id="410" w:name="_Toc150480772"/>
      <w:r/>
      <w:bookmarkStart w:id="411" w:name="_Toc142311036"/>
      <w:r/>
      <w:bookmarkStart w:id="412" w:name="_Toc151193922"/>
      <w:r/>
      <w:bookmarkStart w:id="413" w:name="_Toc151193776"/>
      <w:r/>
      <w:bookmarkStart w:id="414" w:name="_Toc226965807"/>
      <w:r/>
      <w:bookmarkStart w:id="415" w:name="_Toc520356159"/>
      <w:r/>
      <w:bookmarkStart w:id="416" w:name="_Toc305158802"/>
      <w:r/>
      <w:bookmarkStart w:id="417" w:name="_Toc226965724"/>
      <w:r/>
      <w:bookmarkStart w:id="418" w:name="_Toc265228372"/>
      <w:r/>
      <w:bookmarkStart w:id="419" w:name="_Toc226337230"/>
      <w:r/>
      <w:bookmarkStart w:id="420" w:name="_Toc150774739"/>
      <w:r/>
      <w:bookmarkStart w:id="421" w:name="_Toc226309778"/>
      <w:r/>
      <w:bookmarkStart w:id="422" w:name="_Toc151193848"/>
      <w:r/>
      <w:bookmarkStart w:id="423" w:name="_Toc305158876"/>
      <w:r/>
      <w:bookmarkStart w:id="424" w:name="_Toc151190161"/>
      <w:r/>
      <w:bookmarkStart w:id="425" w:name="_Toc151193632"/>
      <w:r/>
      <w:bookmarkStart w:id="426" w:name="_Toc195842899"/>
      <w:r/>
      <w:bookmarkStart w:id="427" w:name="_Toc127151534"/>
      <w:r/>
      <w:bookmarkStart w:id="428" w:name="_Toc151193704"/>
      <w:r/>
      <w:bookmarkStart w:id="429" w:name="_Toc264969224"/>
      <w:r>
        <w:rPr>
          <w:rFonts w:hint="eastAsia"/>
          <w:b w:val="0"/>
          <w:bCs w:val="0"/>
          <w:color w:val="000000"/>
          <w:sz w:val="24"/>
          <w:highlight w:val="none"/>
        </w:rPr>
        <w:t xml:space="preserve">采购文件</w:t>
      </w:r>
      <w:r>
        <w:rPr>
          <w:b w:val="0"/>
          <w:bCs w:val="0"/>
          <w:color w:val="000000"/>
          <w:sz w:val="24"/>
          <w:highlight w:val="none"/>
        </w:rPr>
        <w:t xml:space="preserve">要求签字的内容（如授权委托书等），</w:t>
      </w:r>
      <w:r>
        <w:rPr>
          <w:rFonts w:hint="eastAsia"/>
          <w:b w:val="0"/>
          <w:bCs w:val="0"/>
          <w:color w:val="000000"/>
          <w:sz w:val="24"/>
          <w:highlight w:val="none"/>
        </w:rPr>
        <w:t xml:space="preserve">可以使用电子签章或使用原件的电子件（电子件指扫描件、照片等形式电子文件）；要求</w:t>
      </w:r>
      <w:r>
        <w:rPr>
          <w:b w:val="0"/>
          <w:bCs w:val="0"/>
          <w:color w:val="000000"/>
          <w:sz w:val="24"/>
          <w:highlight w:val="none"/>
        </w:rPr>
        <w:t xml:space="preserve">第三方出具的加盖公章原件（如联合协议、分包意向协议、制造商授权书等），投标文件中应使用原件的电子件。</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rFonts w:hint="eastAsia"/>
          <w:b w:val="0"/>
          <w:bCs w:val="0"/>
          <w:color w:val="000000"/>
          <w:sz w:val="24"/>
          <w:highlight w:val="none"/>
        </w:rPr>
        <w:t xml:space="preserve">采购文件</w:t>
      </w:r>
      <w:r>
        <w:rPr>
          <w:b w:val="0"/>
          <w:bCs w:val="0"/>
          <w:color w:val="000000"/>
          <w:sz w:val="24"/>
          <w:highlight w:val="none"/>
        </w:rPr>
        <w:t xml:space="preserve">要求加盖公章的内容，</w:t>
      </w:r>
      <w:r>
        <w:rPr>
          <w:rFonts w:hint="eastAsia"/>
          <w:b w:val="0"/>
          <w:bCs w:val="0"/>
          <w:color w:val="000000"/>
          <w:sz w:val="24"/>
          <w:highlight w:val="none"/>
        </w:rPr>
        <w:t xml:space="preserve">一般</w:t>
      </w:r>
      <w:r>
        <w:rPr>
          <w:b w:val="0"/>
          <w:bCs w:val="0"/>
          <w:color w:val="000000"/>
          <w:sz w:val="24"/>
          <w:highlight w:val="none"/>
        </w:rPr>
        <w:t xml:space="preserve">通过投标文件编制工具加盖电子签章。</w:t>
      </w:r>
      <w:r>
        <w:rPr>
          <w:b w:val="0"/>
          <w:bCs w:val="0"/>
          <w:color w:val="000000"/>
          <w:sz w:val="24"/>
          <w:highlight w:val="none"/>
        </w:rPr>
      </w:r>
      <w:r/>
    </w:p>
    <w:p>
      <w:pPr>
        <w:pStyle w:val="1023"/>
        <w:ind w:left="357"/>
        <w:spacing w:line="360" w:lineRule="auto"/>
        <w:tabs>
          <w:tab w:val="left" w:pos="900" w:leader="none"/>
          <w:tab w:val="left" w:pos="1080" w:leader="none"/>
        </w:tabs>
        <w:rPr>
          <w:b w:val="0"/>
          <w:bCs w:val="0"/>
          <w:color w:val="000000"/>
          <w:highlight w:val="none"/>
        </w:rPr>
      </w:pPr>
      <w:r>
        <w:rPr>
          <w:b w:val="0"/>
          <w:bCs w:val="0"/>
          <w:color w:val="000000"/>
          <w:highlight w:val="none"/>
        </w:rPr>
      </w:r>
      <w:r/>
    </w:p>
    <w:p>
      <w:pPr>
        <w:pStyle w:val="1281"/>
        <w:spacing w:before="0" w:line="360" w:lineRule="auto"/>
        <w:rPr>
          <w:rFonts w:ascii="Times New Roman" w:hAnsi="Times New Roman" w:eastAsia="宋体"/>
          <w:b w:val="0"/>
          <w:bCs w:val="0"/>
          <w:color w:val="000000"/>
          <w:sz w:val="28"/>
          <w:highlight w:val="none"/>
        </w:rPr>
      </w:pPr>
      <w:r>
        <w:rPr>
          <w:rFonts w:ascii="Times New Roman" w:hAnsi="Times New Roman" w:eastAsia="宋体"/>
          <w:b/>
          <w:bCs/>
          <w:color w:val="000000"/>
          <w:sz w:val="28"/>
          <w:highlight w:val="none"/>
        </w:rPr>
        <w:t xml:space="preserve">四   投标文件的提交</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ascii="Times New Roman" w:hAnsi="Times New Roman" w:eastAsia="宋体"/>
          <w:b w:val="0"/>
          <w:bCs w:val="0"/>
          <w:color w:val="000000"/>
          <w:sz w:val="28"/>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430" w:name="_Toc149720828"/>
      <w:r/>
      <w:bookmarkStart w:id="431" w:name="_Toc127151535"/>
      <w:r/>
      <w:bookmarkStart w:id="432" w:name="_Toc150774635"/>
      <w:r/>
      <w:bookmarkStart w:id="433" w:name="_Toc264969225"/>
      <w:r/>
      <w:bookmarkStart w:id="434" w:name="_Toc305158877"/>
      <w:r/>
      <w:bookmarkStart w:id="435" w:name="_Toc226965725"/>
      <w:r/>
      <w:bookmarkStart w:id="436" w:name="_Toc265228373"/>
      <w:r/>
      <w:bookmarkStart w:id="437" w:name="_Toc127161449"/>
      <w:r/>
      <w:bookmarkStart w:id="438" w:name="_Toc127151736"/>
      <w:r/>
      <w:bookmarkStart w:id="439" w:name="_Toc164229230"/>
      <w:r/>
      <w:bookmarkStart w:id="440" w:name="_Toc142311037"/>
      <w:r/>
      <w:bookmarkStart w:id="441" w:name="_Toc151193923"/>
      <w:r/>
      <w:bookmarkStart w:id="442" w:name="_Toc151193705"/>
      <w:r/>
      <w:bookmarkStart w:id="443" w:name="_Toc150480773"/>
      <w:r/>
      <w:bookmarkStart w:id="444" w:name="_Toc226337231"/>
      <w:r/>
      <w:bookmarkStart w:id="445" w:name="_Toc164229376"/>
      <w:r/>
      <w:bookmarkStart w:id="446" w:name="_Toc164608649"/>
      <w:r/>
      <w:bookmarkStart w:id="447" w:name="_Toc305158803"/>
      <w:r/>
      <w:bookmarkStart w:id="448" w:name="_Toc151193633"/>
      <w:r/>
      <w:bookmarkStart w:id="449" w:name="_Toc164351629"/>
      <w:r/>
      <w:bookmarkStart w:id="450" w:name="_Toc151193849"/>
      <w:r/>
      <w:bookmarkStart w:id="451" w:name="_Toc164608804"/>
      <w:r/>
      <w:bookmarkStart w:id="452" w:name="_Toc195842900"/>
      <w:r/>
      <w:bookmarkStart w:id="453" w:name="_Toc151193777"/>
      <w:r/>
      <w:bookmarkStart w:id="454" w:name="_Toc226965808"/>
      <w:r/>
      <w:bookmarkStart w:id="455" w:name="_Toc226309779"/>
      <w:r/>
      <w:bookmarkStart w:id="456" w:name="_Toc150774740"/>
      <w:r/>
      <w:bookmarkStart w:id="457" w:name="_Toc151190162"/>
      <w:r/>
      <w:bookmarkStart w:id="458" w:name="_Toc150509286"/>
      <w:r/>
      <w:bookmarkStart w:id="459" w:name="_Toc520356160"/>
      <w:r>
        <w:rPr>
          <w:b w:val="0"/>
          <w:bCs w:val="0"/>
          <w:color w:val="000000"/>
          <w:sz w:val="24"/>
          <w:highlight w:val="none"/>
        </w:rPr>
        <w:t xml:space="preserve">投标文件的</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b w:val="0"/>
          <w:bCs w:val="0"/>
          <w:color w:val="000000"/>
          <w:sz w:val="24"/>
          <w:highlight w:val="none"/>
        </w:rPr>
        <w:t xml:space="preserve">提交</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本项目使用</w:t>
      </w:r>
      <w:r>
        <w:rPr>
          <w:rFonts w:hint="eastAsia"/>
          <w:b w:val="0"/>
          <w:bCs w:val="0"/>
          <w:color w:val="000000"/>
          <w:sz w:val="24"/>
          <w:highlight w:val="none"/>
          <w:lang w:bidi="ar"/>
        </w:rPr>
        <w:t xml:space="preserve">苏采云</w:t>
      </w:r>
      <w:r>
        <w:rPr>
          <w:b w:val="0"/>
          <w:bCs w:val="0"/>
          <w:color w:val="000000"/>
          <w:sz w:val="24"/>
          <w:highlight w:val="none"/>
        </w:rPr>
        <w:t xml:space="preserve">。投标人根据</w:t>
      </w:r>
      <w:r>
        <w:rPr>
          <w:rFonts w:hint="eastAsia"/>
          <w:b w:val="0"/>
          <w:bCs w:val="0"/>
          <w:color w:val="000000"/>
          <w:sz w:val="24"/>
          <w:highlight w:val="none"/>
        </w:rPr>
        <w:t xml:space="preserve">采购文件</w:t>
      </w:r>
      <w:r>
        <w:rPr>
          <w:b w:val="0"/>
          <w:bCs w:val="0"/>
          <w:color w:val="000000"/>
          <w:sz w:val="24"/>
          <w:highlight w:val="none"/>
        </w:rPr>
        <w:t xml:space="preserve">及</w:t>
      </w:r>
      <w:r>
        <w:rPr>
          <w:rFonts w:hint="eastAsia"/>
          <w:b w:val="0"/>
          <w:bCs w:val="0"/>
          <w:color w:val="000000"/>
          <w:sz w:val="24"/>
          <w:highlight w:val="none"/>
          <w:lang w:bidi="ar"/>
        </w:rPr>
        <w:t xml:space="preserve">苏采云</w:t>
      </w:r>
      <w:r>
        <w:rPr>
          <w:b w:val="0"/>
          <w:bCs w:val="0"/>
          <w:color w:val="000000"/>
          <w:sz w:val="24"/>
          <w:highlight w:val="none"/>
        </w:rPr>
        <w:t xml:space="preserve">供应商操作手册要求编制、生成并提交电子投标文件。</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采购人及采购代理机构拒绝接受通过</w:t>
      </w:r>
      <w:r>
        <w:rPr>
          <w:rFonts w:hint="eastAsia"/>
          <w:b w:val="0"/>
          <w:bCs w:val="0"/>
          <w:color w:val="000000"/>
          <w:sz w:val="24"/>
          <w:highlight w:val="none"/>
        </w:rPr>
        <w:t xml:space="preserve">苏采云</w:t>
      </w:r>
      <w:r>
        <w:rPr>
          <w:b w:val="0"/>
          <w:bCs w:val="0"/>
          <w:color w:val="000000"/>
          <w:sz w:val="24"/>
          <w:highlight w:val="none"/>
        </w:rPr>
        <w:t xml:space="preserve">以外任何形式提交的投标文件。</w:t>
      </w:r>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460" w:name="_Toc150774741"/>
      <w:r/>
      <w:bookmarkStart w:id="461" w:name="_Toc226965809"/>
      <w:r/>
      <w:bookmarkStart w:id="462" w:name="_Toc151193706"/>
      <w:r/>
      <w:bookmarkStart w:id="463" w:name="_Toc265228374"/>
      <w:r/>
      <w:bookmarkStart w:id="464" w:name="_Toc150774636"/>
      <w:r/>
      <w:bookmarkStart w:id="465" w:name="_Toc150509287"/>
      <w:r/>
      <w:bookmarkStart w:id="466" w:name="_Toc164229377"/>
      <w:r/>
      <w:bookmarkStart w:id="467" w:name="_Toc305158878"/>
      <w:r/>
      <w:bookmarkStart w:id="468" w:name="_Toc151193850"/>
      <w:r/>
      <w:bookmarkStart w:id="469" w:name="_Toc127151536"/>
      <w:r/>
      <w:bookmarkStart w:id="470" w:name="_Toc151193634"/>
      <w:r/>
      <w:bookmarkStart w:id="471" w:name="_Toc226337232"/>
      <w:r/>
      <w:bookmarkStart w:id="472" w:name="_Toc151193924"/>
      <w:r/>
      <w:bookmarkStart w:id="473" w:name="_Toc305158804"/>
      <w:r/>
      <w:bookmarkStart w:id="474" w:name="_Toc164608805"/>
      <w:r/>
      <w:bookmarkStart w:id="475" w:name="_Toc151193778"/>
      <w:r/>
      <w:bookmarkStart w:id="476" w:name="_Toc149720829"/>
      <w:r/>
      <w:bookmarkStart w:id="477" w:name="_Toc142311038"/>
      <w:r/>
      <w:bookmarkStart w:id="478" w:name="_Toc164229231"/>
      <w:r/>
      <w:bookmarkStart w:id="479" w:name="_Toc195842901"/>
      <w:r/>
      <w:bookmarkStart w:id="480" w:name="_Toc127161450"/>
      <w:r/>
      <w:bookmarkStart w:id="481" w:name="_Toc164351630"/>
      <w:r/>
      <w:bookmarkStart w:id="482" w:name="_Toc226309780"/>
      <w:r/>
      <w:bookmarkStart w:id="483" w:name="_Toc226965726"/>
      <w:r/>
      <w:bookmarkStart w:id="484" w:name="_Toc264969226"/>
      <w:r/>
      <w:bookmarkStart w:id="485" w:name="_Toc150480774"/>
      <w:r/>
      <w:bookmarkStart w:id="486" w:name="_Toc151190163"/>
      <w:r/>
      <w:bookmarkStart w:id="487" w:name="_Toc164608650"/>
      <w:r/>
      <w:bookmarkStart w:id="488" w:name="_Toc127151737"/>
      <w:r/>
      <w:bookmarkStart w:id="489" w:name="_Toc520356161"/>
      <w:r>
        <w:rPr>
          <w:b w:val="0"/>
          <w:bCs w:val="0"/>
          <w:color w:val="000000"/>
          <w:sz w:val="24"/>
          <w:highlight w:val="none"/>
        </w:rPr>
        <w:t xml:space="preserve">投标截止</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b w:val="0"/>
          <w:bCs w:val="0"/>
          <w:color w:val="000000"/>
          <w:sz w:val="24"/>
          <w:highlight w:val="none"/>
        </w:rPr>
        <w:t xml:space="preserve">时间</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投标人应在</w:t>
      </w:r>
      <w:r>
        <w:rPr>
          <w:rFonts w:hint="eastAsia"/>
          <w:b w:val="0"/>
          <w:bCs w:val="0"/>
          <w:color w:val="000000"/>
          <w:sz w:val="24"/>
          <w:highlight w:val="none"/>
        </w:rPr>
        <w:t xml:space="preserve">采购文件</w:t>
      </w:r>
      <w:r>
        <w:rPr>
          <w:b w:val="0"/>
          <w:bCs w:val="0"/>
          <w:color w:val="000000"/>
          <w:sz w:val="24"/>
          <w:highlight w:val="none"/>
        </w:rPr>
        <w:t xml:space="preserve">要求提交投标文件截止时间前，将电子投标文件提交至</w:t>
      </w:r>
      <w:r>
        <w:rPr>
          <w:rFonts w:hint="eastAsia"/>
          <w:b w:val="0"/>
          <w:bCs w:val="0"/>
          <w:color w:val="000000"/>
          <w:sz w:val="24"/>
          <w:highlight w:val="none"/>
        </w:rPr>
        <w:t xml:space="preserve">苏采云</w:t>
      </w:r>
      <w:r>
        <w:rPr>
          <w:b w:val="0"/>
          <w:bCs w:val="0"/>
          <w:color w:val="000000"/>
          <w:sz w:val="24"/>
          <w:highlight w:val="none"/>
        </w:rPr>
        <w:t xml:space="preserve">。</w:t>
      </w:r>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490" w:name="_Toc127151537"/>
      <w:r/>
      <w:bookmarkStart w:id="491" w:name="_Toc142311039"/>
      <w:r/>
      <w:bookmarkStart w:id="492" w:name="_Toc127151738"/>
      <w:r/>
      <w:bookmarkStart w:id="493" w:name="_Toc164229232"/>
      <w:r/>
      <w:bookmarkStart w:id="494" w:name="_Toc164229378"/>
      <w:r/>
      <w:bookmarkStart w:id="495" w:name="_Toc151193925"/>
      <w:r/>
      <w:bookmarkStart w:id="496" w:name="_Toc226965727"/>
      <w:r/>
      <w:bookmarkStart w:id="497" w:name="_Toc127161451"/>
      <w:r/>
      <w:bookmarkStart w:id="498" w:name="_Toc149720830"/>
      <w:r/>
      <w:bookmarkStart w:id="499" w:name="_Toc264969227"/>
      <w:r/>
      <w:bookmarkStart w:id="500" w:name="_Toc150774637"/>
      <w:r/>
      <w:bookmarkStart w:id="501" w:name="_Toc150480775"/>
      <w:r/>
      <w:bookmarkStart w:id="502" w:name="_Toc226309781"/>
      <w:r/>
      <w:bookmarkStart w:id="503" w:name="_Toc195842902"/>
      <w:r/>
      <w:bookmarkStart w:id="504" w:name="_Toc151193779"/>
      <w:r/>
      <w:bookmarkStart w:id="505" w:name="_Toc151193707"/>
      <w:r/>
      <w:bookmarkStart w:id="506" w:name="_Toc150509288"/>
      <w:r/>
      <w:bookmarkStart w:id="507" w:name="_Toc265228375"/>
      <w:r/>
      <w:bookmarkStart w:id="508" w:name="_Toc305158805"/>
      <w:r/>
      <w:bookmarkStart w:id="509" w:name="_Toc151193635"/>
      <w:r/>
      <w:bookmarkStart w:id="510" w:name="_Toc151190164"/>
      <w:r/>
      <w:bookmarkStart w:id="511" w:name="_Toc164351631"/>
      <w:r/>
      <w:bookmarkStart w:id="512" w:name="_Toc226965810"/>
      <w:r/>
      <w:bookmarkStart w:id="513" w:name="_Toc164608651"/>
      <w:r/>
      <w:bookmarkStart w:id="514" w:name="_Toc520356162"/>
      <w:r/>
      <w:bookmarkStart w:id="515" w:name="_Toc150774742"/>
      <w:r/>
      <w:bookmarkStart w:id="516" w:name="_Toc305158879"/>
      <w:r/>
      <w:bookmarkStart w:id="517" w:name="_Toc226337233"/>
      <w:r/>
      <w:bookmarkStart w:id="518" w:name="_Toc151193851"/>
      <w:r/>
      <w:bookmarkStart w:id="519" w:name="_Toc164608806"/>
      <w:r>
        <w:rPr>
          <w:b w:val="0"/>
          <w:bCs w:val="0"/>
          <w:color w:val="000000"/>
          <w:sz w:val="24"/>
          <w:highlight w:val="none"/>
        </w:rPr>
        <w:t xml:space="preserve">投标文件的修改与撤回</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投标截止时间前，投标人可以通过</w:t>
      </w:r>
      <w:r>
        <w:rPr>
          <w:rFonts w:hint="eastAsia"/>
          <w:b w:val="0"/>
          <w:bCs w:val="0"/>
          <w:color w:val="000000"/>
          <w:sz w:val="24"/>
          <w:highlight w:val="none"/>
        </w:rPr>
        <w:t xml:space="preserve">苏采云</w:t>
      </w:r>
      <w:r>
        <w:rPr>
          <w:b w:val="0"/>
          <w:bCs w:val="0"/>
          <w:color w:val="000000"/>
          <w:sz w:val="24"/>
          <w:highlight w:val="none"/>
        </w:rPr>
        <w:t xml:space="preserve">对所提交的投标文件进行补充、修改或者撤回。</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投标人对投标文件的补充、修改的内容应当按照</w:t>
      </w:r>
      <w:r>
        <w:rPr>
          <w:rFonts w:hint="eastAsia"/>
          <w:b w:val="0"/>
          <w:bCs w:val="0"/>
          <w:color w:val="000000"/>
          <w:sz w:val="24"/>
          <w:highlight w:val="none"/>
        </w:rPr>
        <w:t xml:space="preserve">采购文件</w:t>
      </w:r>
      <w:r>
        <w:rPr>
          <w:b w:val="0"/>
          <w:bCs w:val="0"/>
          <w:color w:val="000000"/>
          <w:sz w:val="24"/>
          <w:highlight w:val="none"/>
        </w:rPr>
        <w:t xml:space="preserve">要求签署、加盖公章，作为投标文件的组成部分。</w:t>
      </w:r>
      <w:r>
        <w:rPr>
          <w:b w:val="0"/>
          <w:bCs w:val="0"/>
          <w:color w:val="000000"/>
          <w:sz w:val="24"/>
          <w:highlight w:val="none"/>
        </w:rPr>
      </w:r>
      <w:r/>
    </w:p>
    <w:p>
      <w:pPr>
        <w:pStyle w:val="1023"/>
        <w:spacing w:line="360" w:lineRule="auto"/>
        <w:rPr>
          <w:b w:val="0"/>
          <w:bCs w:val="0"/>
          <w:color w:val="000000"/>
          <w:sz w:val="24"/>
          <w:highlight w:val="none"/>
        </w:rPr>
      </w:pPr>
      <w:r>
        <w:rPr>
          <w:b w:val="0"/>
          <w:bCs w:val="0"/>
          <w:color w:val="000000"/>
          <w:sz w:val="24"/>
          <w:highlight w:val="none"/>
        </w:rPr>
      </w:r>
      <w:r/>
    </w:p>
    <w:p>
      <w:pPr>
        <w:pStyle w:val="1281"/>
        <w:spacing w:before="0" w:line="360" w:lineRule="auto"/>
        <w:rPr>
          <w:rFonts w:ascii="Times New Roman" w:hAnsi="Times New Roman" w:eastAsia="宋体"/>
          <w:b w:val="0"/>
          <w:bCs w:val="0"/>
          <w:color w:val="000000"/>
          <w:sz w:val="28"/>
          <w:highlight w:val="none"/>
        </w:rPr>
      </w:pPr>
      <w:r/>
      <w:bookmarkStart w:id="520" w:name="_Toc305158880"/>
      <w:r/>
      <w:bookmarkStart w:id="521" w:name="_Toc127151538"/>
      <w:r/>
      <w:bookmarkStart w:id="522" w:name="_Toc265228376"/>
      <w:r/>
      <w:bookmarkStart w:id="523" w:name="_Toc151190165"/>
      <w:r/>
      <w:bookmarkStart w:id="524" w:name="_Toc151193708"/>
      <w:r/>
      <w:bookmarkStart w:id="525" w:name="_Toc226965728"/>
      <w:r/>
      <w:bookmarkStart w:id="526" w:name="_Toc151193852"/>
      <w:r/>
      <w:bookmarkStart w:id="527" w:name="_Toc150480776"/>
      <w:r/>
      <w:bookmarkStart w:id="528" w:name="_Toc150774743"/>
      <w:r/>
      <w:bookmarkStart w:id="529" w:name="_Toc520356163"/>
      <w:r/>
      <w:bookmarkStart w:id="530" w:name="_Toc264969228"/>
      <w:r/>
      <w:bookmarkStart w:id="531" w:name="_Toc305158806"/>
      <w:r/>
      <w:bookmarkStart w:id="532" w:name="_Toc195842903"/>
      <w:r/>
      <w:bookmarkStart w:id="533" w:name="_Toc150509289"/>
      <w:r/>
      <w:bookmarkStart w:id="534" w:name="_Toc226337234"/>
      <w:r/>
      <w:bookmarkStart w:id="535" w:name="_Toc226309782"/>
      <w:r/>
      <w:bookmarkStart w:id="536" w:name="_Toc150774638"/>
      <w:r/>
      <w:bookmarkStart w:id="537" w:name="_Toc151193926"/>
      <w:r/>
      <w:bookmarkStart w:id="538" w:name="_Toc151193780"/>
      <w:r/>
      <w:bookmarkStart w:id="539" w:name="_Toc151193636"/>
      <w:r/>
      <w:bookmarkStart w:id="540" w:name="_Toc142311040"/>
      <w:r/>
      <w:bookmarkStart w:id="541" w:name="_Toc226965811"/>
      <w:r>
        <w:rPr>
          <w:rFonts w:ascii="Times New Roman" w:hAnsi="Times New Roman" w:eastAsia="宋体"/>
          <w:b/>
          <w:bCs/>
          <w:color w:val="000000"/>
          <w:sz w:val="28"/>
          <w:highlight w:val="none"/>
        </w:rPr>
        <w:t xml:space="preserve">五   开标、资格审查及评标</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ascii="Times New Roman" w:hAnsi="Times New Roman" w:eastAsia="宋体"/>
          <w:b w:val="0"/>
          <w:bCs w:val="0"/>
          <w:color w:val="000000"/>
          <w:sz w:val="28"/>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542" w:name="_Toc164608808"/>
      <w:r/>
      <w:bookmarkStart w:id="543" w:name="_Toc164229234"/>
      <w:r/>
      <w:bookmarkStart w:id="544" w:name="_Toc305158807"/>
      <w:r/>
      <w:bookmarkStart w:id="545" w:name="_Toc195842904"/>
      <w:r/>
      <w:bookmarkStart w:id="546" w:name="_Toc151190166"/>
      <w:r/>
      <w:bookmarkStart w:id="547" w:name="_Toc520356164"/>
      <w:r/>
      <w:bookmarkStart w:id="548" w:name="_Toc164608653"/>
      <w:r/>
      <w:bookmarkStart w:id="549" w:name="_Toc151193781"/>
      <w:r/>
      <w:bookmarkStart w:id="550" w:name="_Toc226337235"/>
      <w:r/>
      <w:bookmarkStart w:id="551" w:name="_Toc150480777"/>
      <w:r/>
      <w:bookmarkStart w:id="552" w:name="_Toc127151539"/>
      <w:r/>
      <w:bookmarkStart w:id="553" w:name="_Toc127161453"/>
      <w:r/>
      <w:bookmarkStart w:id="554" w:name="_Toc164229380"/>
      <w:r/>
      <w:bookmarkStart w:id="555" w:name="_Toc264969229"/>
      <w:r/>
      <w:bookmarkStart w:id="556" w:name="_Toc151193709"/>
      <w:r/>
      <w:bookmarkStart w:id="557" w:name="_Toc164351633"/>
      <w:r/>
      <w:bookmarkStart w:id="558" w:name="_Toc150774639"/>
      <w:r/>
      <w:bookmarkStart w:id="559" w:name="_Toc265228377"/>
      <w:r/>
      <w:bookmarkStart w:id="560" w:name="_Toc150774744"/>
      <w:r/>
      <w:bookmarkStart w:id="561" w:name="_Toc142311041"/>
      <w:r/>
      <w:bookmarkStart w:id="562" w:name="_Toc226965729"/>
      <w:r/>
      <w:bookmarkStart w:id="563" w:name="_Toc151193927"/>
      <w:r/>
      <w:bookmarkStart w:id="564" w:name="_Toc151193637"/>
      <w:r/>
      <w:bookmarkStart w:id="565" w:name="_Toc226965812"/>
      <w:r/>
      <w:bookmarkStart w:id="566" w:name="_Toc151193853"/>
      <w:r/>
      <w:bookmarkStart w:id="567" w:name="_Toc127151740"/>
      <w:r/>
      <w:bookmarkStart w:id="568" w:name="_Toc149720832"/>
      <w:r/>
      <w:bookmarkStart w:id="569" w:name="_Toc226309783"/>
      <w:r/>
      <w:bookmarkStart w:id="570" w:name="_Toc150509290"/>
      <w:r/>
      <w:bookmarkStart w:id="571" w:name="_Toc305158881"/>
      <w:r>
        <w:rPr>
          <w:b w:val="0"/>
          <w:bCs w:val="0"/>
          <w:color w:val="000000"/>
          <w:sz w:val="24"/>
          <w:highlight w:val="none"/>
        </w:rPr>
        <w:t xml:space="preserve">开标</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采购人或采购代理机构将按</w:t>
      </w:r>
      <w:r>
        <w:rPr>
          <w:rFonts w:hint="eastAsia"/>
          <w:b w:val="0"/>
          <w:bCs w:val="0"/>
          <w:color w:val="000000"/>
          <w:sz w:val="24"/>
          <w:highlight w:val="none"/>
        </w:rPr>
        <w:t xml:space="preserve">采购文件</w:t>
      </w:r>
      <w:r>
        <w:rPr>
          <w:b w:val="0"/>
          <w:bCs w:val="0"/>
          <w:color w:val="000000"/>
          <w:sz w:val="24"/>
          <w:highlight w:val="none"/>
        </w:rPr>
        <w:t xml:space="preserve">的规定，在投标截止时间的同一时间和</w:t>
      </w:r>
      <w:r>
        <w:rPr>
          <w:rFonts w:hint="eastAsia"/>
          <w:b w:val="0"/>
          <w:bCs w:val="0"/>
          <w:color w:val="000000"/>
          <w:sz w:val="24"/>
          <w:highlight w:val="none"/>
        </w:rPr>
        <w:t xml:space="preserve">采购文件</w:t>
      </w:r>
      <w:r>
        <w:rPr>
          <w:b w:val="0"/>
          <w:bCs w:val="0"/>
          <w:color w:val="000000"/>
          <w:sz w:val="24"/>
          <w:highlight w:val="none"/>
        </w:rPr>
        <w:t xml:space="preserve">预先确定的地点组织开标。</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本项目开标</w:t>
      </w:r>
      <w:r>
        <w:rPr>
          <w:rFonts w:ascii="宋体" w:hAnsi="宋体"/>
          <w:b w:val="0"/>
          <w:bCs w:val="0"/>
          <w:color w:val="000000"/>
          <w:sz w:val="24"/>
          <w:highlight w:val="none"/>
        </w:rPr>
        <w:t xml:space="preserve">采用不见面招投标模式</w:t>
      </w:r>
      <w:r>
        <w:rPr>
          <w:rFonts w:hint="eastAsia" w:ascii="宋体" w:hAnsi="宋体"/>
          <w:b w:val="0"/>
          <w:bCs w:val="0"/>
          <w:color w:val="000000"/>
          <w:sz w:val="24"/>
          <w:highlight w:val="none"/>
        </w:rPr>
        <w:t xml:space="preserve">，</w:t>
      </w:r>
      <w:r>
        <w:rPr>
          <w:b w:val="0"/>
          <w:bCs w:val="0"/>
          <w:color w:val="000000"/>
          <w:sz w:val="24"/>
          <w:highlight w:val="none"/>
        </w:rPr>
        <w:t xml:space="preserve">使用</w:t>
      </w:r>
      <w:r>
        <w:rPr>
          <w:rFonts w:hint="eastAsia"/>
          <w:b w:val="0"/>
          <w:bCs w:val="0"/>
          <w:color w:val="000000"/>
          <w:sz w:val="24"/>
          <w:highlight w:val="none"/>
        </w:rPr>
        <w:t xml:space="preserve">苏采云在线进行开标</w:t>
      </w:r>
      <w:r>
        <w:rPr>
          <w:b w:val="0"/>
          <w:bCs w:val="0"/>
          <w:color w:val="000000"/>
          <w:sz w:val="24"/>
          <w:highlight w:val="none"/>
        </w:rPr>
        <w:t xml:space="preserve">。投标人应在规定的时间内对投标文件进行解密，因非系统原因导致的解密失败，视为投标无效。</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开标过程将使用</w:t>
      </w:r>
      <w:r>
        <w:rPr>
          <w:rFonts w:hint="eastAsia"/>
          <w:b w:val="0"/>
          <w:bCs w:val="0"/>
          <w:color w:val="000000"/>
          <w:sz w:val="24"/>
          <w:highlight w:val="none"/>
        </w:rPr>
        <w:t xml:space="preserve">苏采云公</w:t>
      </w:r>
      <w:r>
        <w:rPr>
          <w:b w:val="0"/>
          <w:bCs w:val="0"/>
          <w:color w:val="000000"/>
          <w:sz w:val="24"/>
          <w:highlight w:val="none"/>
        </w:rPr>
        <w:t xml:space="preserve">布投标人名称、投标价格和</w:t>
      </w:r>
      <w:r>
        <w:rPr>
          <w:rFonts w:hint="eastAsia"/>
          <w:b w:val="0"/>
          <w:bCs w:val="0"/>
          <w:color w:val="000000"/>
          <w:sz w:val="24"/>
          <w:highlight w:val="none"/>
        </w:rPr>
        <w:t xml:space="preserve">采购文件</w:t>
      </w:r>
      <w:r>
        <w:rPr>
          <w:b w:val="0"/>
          <w:bCs w:val="0"/>
          <w:color w:val="000000"/>
          <w:sz w:val="24"/>
          <w:highlight w:val="none"/>
        </w:rPr>
        <w:t xml:space="preserve">规定的需要宣布的其他内容并进行记录，并由参加开标的各投标人代表</w:t>
      </w:r>
      <w:r>
        <w:rPr>
          <w:rFonts w:hint="eastAsia"/>
          <w:b w:val="0"/>
          <w:bCs w:val="0"/>
          <w:color w:val="000000"/>
          <w:sz w:val="24"/>
          <w:highlight w:val="none"/>
        </w:rPr>
        <w:t xml:space="preserve">在规定时间内</w:t>
      </w:r>
      <w:r>
        <w:rPr>
          <w:b w:val="0"/>
          <w:bCs w:val="0"/>
          <w:color w:val="000000"/>
          <w:sz w:val="24"/>
          <w:highlight w:val="none"/>
        </w:rPr>
        <w:t xml:space="preserve">确认</w:t>
      </w:r>
      <w:bookmarkStart w:id="572" w:name="_Toc520356165"/>
      <w:r>
        <w:rPr>
          <w:rFonts w:hint="eastAsia"/>
          <w:b w:val="0"/>
          <w:bCs w:val="0"/>
          <w:color w:val="000000"/>
          <w:sz w:val="24"/>
          <w:highlight w:val="none"/>
        </w:rPr>
        <w:t xml:space="preserve">。投标人超过规定时间未确认但是未提出疑义的，系统将视同已确认</w:t>
      </w:r>
      <w:r>
        <w:rPr>
          <w:b w:val="0"/>
          <w:bCs w:val="0"/>
          <w:color w:val="000000"/>
          <w:sz w:val="24"/>
          <w:highlight w:val="none"/>
        </w:rPr>
        <w:t xml:space="preserve">。</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投标人代表对开标过程和开标记录有疑义，以及认为采购人、采购代理机构相关工作人员有需要回避的情形的，应当场</w:t>
      </w:r>
      <w:r>
        <w:rPr>
          <w:rFonts w:hint="eastAsia"/>
          <w:b w:val="0"/>
          <w:bCs w:val="0"/>
          <w:color w:val="000000"/>
          <w:sz w:val="24"/>
          <w:highlight w:val="none"/>
        </w:rPr>
        <w:t xml:space="preserve">通过业务系统</w:t>
      </w:r>
      <w:r>
        <w:rPr>
          <w:b w:val="0"/>
          <w:bCs w:val="0"/>
          <w:color w:val="000000"/>
          <w:sz w:val="24"/>
          <w:highlight w:val="none"/>
        </w:rPr>
        <w:t xml:space="preserve">提出询问或者回避申请。采购人、采购代理机构对投标人代表提出的询问或者回避申请将及时处理。</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rFonts w:hint="eastAsia"/>
          <w:b w:val="0"/>
          <w:bCs w:val="0"/>
          <w:color w:val="000000"/>
          <w:sz w:val="24"/>
          <w:highlight w:val="none"/>
        </w:rPr>
      </w:pPr>
      <w:r>
        <w:rPr>
          <w:b w:val="0"/>
          <w:bCs w:val="0"/>
          <w:color w:val="000000"/>
          <w:sz w:val="24"/>
          <w:highlight w:val="none"/>
        </w:rPr>
        <w:t xml:space="preserve">投标人不足3家的，不予开标。</w:t>
      </w:r>
      <w:r>
        <w:rPr>
          <w:rFonts w:hint="eastAsia"/>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投标人须在开标前使用“验证CA”功能验证本地计算机的控件环境是否正常，并且在开标</w:t>
      </w:r>
      <w:r>
        <w:rPr>
          <w:rFonts w:hint="eastAsia"/>
          <w:b w:val="0"/>
          <w:bCs w:val="0"/>
          <w:color w:val="000000"/>
          <w:sz w:val="24"/>
          <w:highlight w:val="none"/>
        </w:rPr>
        <w:t xml:space="preserve">评审</w:t>
      </w:r>
      <w:r>
        <w:rPr>
          <w:b w:val="0"/>
          <w:bCs w:val="0"/>
          <w:color w:val="000000"/>
          <w:sz w:val="24"/>
          <w:highlight w:val="none"/>
        </w:rPr>
        <w:t xml:space="preserve">过程中不可随意更换</w:t>
      </w:r>
      <w:r>
        <w:rPr>
          <w:rFonts w:hint="eastAsia"/>
          <w:b w:val="0"/>
          <w:bCs w:val="0"/>
          <w:color w:val="000000"/>
          <w:sz w:val="24"/>
          <w:highlight w:val="none"/>
        </w:rPr>
        <w:t xml:space="preserve">计算机</w:t>
      </w:r>
      <w:r>
        <w:rPr>
          <w:b w:val="0"/>
          <w:bCs w:val="0"/>
          <w:color w:val="000000"/>
          <w:sz w:val="24"/>
          <w:highlight w:val="none"/>
        </w:rPr>
        <w:t xml:space="preserve">，必须使用验证成功的计算机进行操作，否则造成相应后果由投标</w:t>
      </w:r>
      <w:r>
        <w:rPr>
          <w:rFonts w:hint="eastAsia"/>
          <w:b w:val="0"/>
          <w:bCs w:val="0"/>
          <w:color w:val="000000"/>
          <w:sz w:val="24"/>
          <w:highlight w:val="none"/>
        </w:rPr>
        <w:t xml:space="preserve">人</w:t>
      </w:r>
      <w:r>
        <w:rPr>
          <w:b w:val="0"/>
          <w:bCs w:val="0"/>
          <w:color w:val="000000"/>
          <w:sz w:val="24"/>
          <w:highlight w:val="none"/>
        </w:rPr>
        <w:t xml:space="preserve">自行承担。本地计算机</w:t>
      </w:r>
      <w:r>
        <w:rPr>
          <w:rFonts w:hint="eastAsia"/>
          <w:b w:val="0"/>
          <w:bCs w:val="0"/>
          <w:color w:val="000000"/>
          <w:sz w:val="24"/>
          <w:highlight w:val="none"/>
        </w:rPr>
        <w:t xml:space="preserve">要求安装摄像头、麦克风和音箱，保持网络通畅。</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rFonts w:hint="eastAsia"/>
          <w:b w:val="0"/>
          <w:bCs w:val="0"/>
          <w:color w:val="000000"/>
          <w:sz w:val="24"/>
          <w:highlight w:val="none"/>
        </w:rPr>
      </w:pPr>
      <w:r>
        <w:rPr>
          <w:rFonts w:hint="eastAsia"/>
          <w:b w:val="0"/>
          <w:bCs w:val="0"/>
          <w:color w:val="000000"/>
          <w:sz w:val="24"/>
          <w:highlight w:val="none"/>
        </w:rPr>
        <w:t xml:space="preserve">因本项目</w:t>
      </w:r>
      <w:r>
        <w:rPr>
          <w:b w:val="0"/>
          <w:bCs w:val="0"/>
          <w:color w:val="000000"/>
          <w:sz w:val="24"/>
          <w:highlight w:val="none"/>
        </w:rPr>
        <w:t xml:space="preserve">采用不见面交易的</w:t>
      </w:r>
      <w:r>
        <w:rPr>
          <w:rFonts w:hint="eastAsia"/>
          <w:b w:val="0"/>
          <w:bCs w:val="0"/>
          <w:color w:val="000000"/>
          <w:sz w:val="24"/>
          <w:highlight w:val="none"/>
        </w:rPr>
        <w:t xml:space="preserve">方式</w:t>
      </w:r>
      <w:r>
        <w:rPr>
          <w:b w:val="0"/>
          <w:bCs w:val="0"/>
          <w:color w:val="000000"/>
          <w:sz w:val="24"/>
          <w:highlight w:val="none"/>
        </w:rPr>
        <w:t xml:space="preserve">，在</w:t>
      </w:r>
      <w:r>
        <w:rPr>
          <w:rFonts w:hint="eastAsia"/>
          <w:b w:val="0"/>
          <w:bCs w:val="0"/>
          <w:color w:val="000000"/>
          <w:sz w:val="24"/>
          <w:highlight w:val="none"/>
        </w:rPr>
        <w:t xml:space="preserve">开标、评审</w:t>
      </w:r>
      <w:r>
        <w:rPr>
          <w:b w:val="0"/>
          <w:bCs w:val="0"/>
          <w:color w:val="000000"/>
          <w:sz w:val="24"/>
          <w:highlight w:val="none"/>
        </w:rPr>
        <w:t xml:space="preserve">过程中，</w:t>
      </w:r>
      <w:r>
        <w:rPr>
          <w:rFonts w:hint="eastAsia"/>
          <w:b w:val="0"/>
          <w:bCs w:val="0"/>
          <w:color w:val="000000"/>
          <w:sz w:val="24"/>
          <w:highlight w:val="none"/>
        </w:rPr>
        <w:t xml:space="preserve">供应商</w:t>
      </w:r>
      <w:r>
        <w:rPr>
          <w:b w:val="0"/>
          <w:bCs w:val="0"/>
          <w:color w:val="000000"/>
          <w:sz w:val="24"/>
          <w:highlight w:val="none"/>
        </w:rPr>
        <w:t xml:space="preserve">需</w:t>
      </w:r>
      <w:r>
        <w:rPr>
          <w:rFonts w:hint="eastAsia"/>
          <w:b w:val="0"/>
          <w:bCs w:val="0"/>
          <w:color w:val="000000"/>
          <w:sz w:val="24"/>
          <w:highlight w:val="none"/>
        </w:rPr>
        <w:t xml:space="preserve">要</w:t>
      </w:r>
      <w:r>
        <w:rPr>
          <w:b w:val="0"/>
          <w:bCs w:val="0"/>
          <w:color w:val="000000"/>
          <w:sz w:val="24"/>
          <w:highlight w:val="none"/>
        </w:rPr>
        <w:t xml:space="preserve">保持操作计算机前有相关责任人</w:t>
      </w:r>
      <w:r>
        <w:rPr>
          <w:rFonts w:hint="eastAsia"/>
          <w:b w:val="0"/>
          <w:bCs w:val="0"/>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b w:val="0"/>
          <w:bCs w:val="0"/>
          <w:color w:val="000000"/>
          <w:sz w:val="24"/>
          <w:highlight w:val="none"/>
        </w:rPr>
        <w:t xml:space="preserve">。</w:t>
      </w:r>
      <w:r>
        <w:rPr>
          <w:rFonts w:hint="eastAsia"/>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rFonts w:hint="eastAsia"/>
          <w:b w:val="0"/>
          <w:bCs w:val="0"/>
          <w:color w:val="000000"/>
          <w:sz w:val="24"/>
          <w:highlight w:val="none"/>
        </w:rPr>
        <w:t xml:space="preserve">如果在</w:t>
      </w:r>
      <w:r>
        <w:rPr>
          <w:b w:val="0"/>
          <w:bCs w:val="0"/>
          <w:color w:val="000000"/>
          <w:sz w:val="24"/>
          <w:highlight w:val="none"/>
        </w:rPr>
        <w:t xml:space="preserve">采购</w:t>
      </w:r>
      <w:r>
        <w:rPr>
          <w:rFonts w:hint="eastAsia"/>
          <w:b w:val="0"/>
          <w:bCs w:val="0"/>
          <w:color w:val="000000"/>
          <w:sz w:val="24"/>
          <w:highlight w:val="none"/>
        </w:rPr>
        <w:t xml:space="preserve">活动</w:t>
      </w:r>
      <w:r>
        <w:rPr>
          <w:b w:val="0"/>
          <w:bCs w:val="0"/>
          <w:color w:val="000000"/>
          <w:sz w:val="24"/>
          <w:highlight w:val="none"/>
        </w:rPr>
        <w:t xml:space="preserve">过程中出现以下情形，导致</w:t>
      </w:r>
      <w:r>
        <w:rPr>
          <w:rFonts w:hint="eastAsia"/>
          <w:b w:val="0"/>
          <w:bCs w:val="0"/>
          <w:color w:val="000000"/>
          <w:sz w:val="24"/>
          <w:highlight w:val="none"/>
        </w:rPr>
        <w:t xml:space="preserve">“</w:t>
      </w:r>
      <w:r>
        <w:rPr>
          <w:rFonts w:hint="eastAsia"/>
          <w:b w:val="0"/>
          <w:bCs w:val="0"/>
          <w:color w:val="000000"/>
          <w:sz w:val="24"/>
          <w:highlight w:val="none"/>
          <w:lang w:bidi="ar"/>
        </w:rPr>
        <w:t xml:space="preserve">苏采云</w:t>
      </w:r>
      <w:r>
        <w:rPr>
          <w:rFonts w:hint="eastAsia"/>
          <w:b w:val="0"/>
          <w:bCs w:val="0"/>
          <w:color w:val="000000"/>
          <w:sz w:val="24"/>
          <w:highlight w:val="none"/>
        </w:rPr>
        <w:t xml:space="preserve">”系统</w:t>
      </w:r>
      <w:r>
        <w:rPr>
          <w:b w:val="0"/>
          <w:bCs w:val="0"/>
          <w:color w:val="000000"/>
          <w:sz w:val="24"/>
          <w:highlight w:val="none"/>
        </w:rPr>
        <w:t xml:space="preserve">无法正常运行，或者无法保证</w:t>
      </w:r>
      <w:r>
        <w:rPr>
          <w:rFonts w:hint="eastAsia"/>
          <w:b w:val="0"/>
          <w:bCs w:val="0"/>
          <w:color w:val="000000"/>
          <w:sz w:val="24"/>
          <w:highlight w:val="none"/>
        </w:rPr>
        <w:t xml:space="preserve">本项目采购活动</w:t>
      </w:r>
      <w:r>
        <w:rPr>
          <w:b w:val="0"/>
          <w:bCs w:val="0"/>
          <w:color w:val="000000"/>
          <w:sz w:val="24"/>
          <w:highlight w:val="none"/>
        </w:rPr>
        <w:t xml:space="preserve">的公平、公正和安全时，</w:t>
      </w:r>
      <w:r>
        <w:rPr>
          <w:rFonts w:hint="eastAsia"/>
          <w:b w:val="0"/>
          <w:bCs w:val="0"/>
          <w:color w:val="000000"/>
          <w:sz w:val="24"/>
          <w:highlight w:val="none"/>
        </w:rPr>
        <w:t xml:space="preserve">代理机构</w:t>
      </w:r>
      <w:r>
        <w:rPr>
          <w:b w:val="0"/>
          <w:bCs w:val="0"/>
          <w:color w:val="000000"/>
          <w:sz w:val="24"/>
          <w:highlight w:val="none"/>
        </w:rPr>
        <w:t xml:space="preserve">可</w:t>
      </w:r>
      <w:r>
        <w:rPr>
          <w:rFonts w:hint="eastAsia"/>
          <w:b w:val="0"/>
          <w:bCs w:val="0"/>
          <w:color w:val="000000"/>
          <w:sz w:val="24"/>
          <w:highlight w:val="none"/>
        </w:rPr>
        <w:t xml:space="preserve">以延缓或者暂停采购活动，情况严重的可以终止采购</w:t>
      </w:r>
      <w:r>
        <w:rPr>
          <w:b w:val="0"/>
          <w:bCs w:val="0"/>
          <w:color w:val="000000"/>
          <w:sz w:val="24"/>
          <w:highlight w:val="none"/>
        </w:rPr>
        <w:t xml:space="preserve">活动：</w:t>
      </w:r>
      <w:r>
        <w:rPr>
          <w:b w:val="0"/>
          <w:bCs w:val="0"/>
          <w:color w:val="000000"/>
          <w:sz w:val="24"/>
          <w:highlight w:val="none"/>
        </w:rPr>
      </w:r>
      <w:r/>
    </w:p>
    <w:p>
      <w:pPr>
        <w:pStyle w:val="1023"/>
        <w:numPr>
          <w:ilvl w:val="0"/>
          <w:numId w:val="0"/>
        </w:numPr>
        <w:ind w:firstLine="1200"/>
        <w:spacing w:line="360" w:lineRule="auto"/>
        <w:tabs>
          <w:tab w:val="left" w:pos="1080" w:leader="none"/>
          <w:tab w:val="left" w:pos="2014" w:leader="none"/>
        </w:tabs>
        <w:rPr>
          <w:b w:val="0"/>
          <w:bCs w:val="0"/>
          <w:color w:val="000000"/>
          <w:sz w:val="24"/>
          <w:highlight w:val="none"/>
        </w:rPr>
      </w:pPr>
      <w:r>
        <w:rPr>
          <w:rFonts w:hint="eastAsia"/>
          <w:b w:val="0"/>
          <w:bCs w:val="0"/>
          <w:color w:val="000000"/>
          <w:sz w:val="24"/>
          <w:highlight w:val="none"/>
        </w:rPr>
        <w:t xml:space="preserve">1)</w:t>
      </w:r>
      <w:r>
        <w:rPr>
          <w:b w:val="0"/>
          <w:bCs w:val="0"/>
          <w:color w:val="000000"/>
          <w:sz w:val="24"/>
          <w:highlight w:val="none"/>
        </w:rPr>
        <w:t xml:space="preserve">平台</w:t>
      </w:r>
      <w:r>
        <w:rPr>
          <w:rFonts w:hint="eastAsia"/>
          <w:b w:val="0"/>
          <w:bCs w:val="0"/>
          <w:color w:val="000000"/>
          <w:sz w:val="24"/>
          <w:highlight w:val="none"/>
        </w:rPr>
        <w:t xml:space="preserve">系统</w:t>
      </w:r>
      <w:r>
        <w:rPr>
          <w:b w:val="0"/>
          <w:bCs w:val="0"/>
          <w:color w:val="000000"/>
          <w:sz w:val="24"/>
          <w:highlight w:val="none"/>
        </w:rPr>
        <w:t xml:space="preserve">发生故障而无法登录访问的；</w:t>
      </w:r>
      <w:r>
        <w:rPr>
          <w:b w:val="0"/>
          <w:bCs w:val="0"/>
          <w:color w:val="000000"/>
          <w:sz w:val="24"/>
          <w:highlight w:val="none"/>
        </w:rPr>
      </w:r>
      <w:r/>
    </w:p>
    <w:p>
      <w:pPr>
        <w:pStyle w:val="1023"/>
        <w:ind w:left="357" w:firstLine="840"/>
        <w:spacing w:line="360" w:lineRule="auto"/>
        <w:tabs>
          <w:tab w:val="left" w:pos="1080" w:leader="none"/>
          <w:tab w:val="left" w:pos="1589" w:leader="none"/>
          <w:tab w:val="left" w:pos="2014" w:leader="none"/>
        </w:tabs>
        <w:rPr>
          <w:b w:val="0"/>
          <w:bCs w:val="0"/>
          <w:color w:val="000000"/>
          <w:sz w:val="24"/>
          <w:highlight w:val="none"/>
        </w:rPr>
      </w:pPr>
      <w:r>
        <w:rPr>
          <w:rFonts w:hint="eastAsia"/>
          <w:b w:val="0"/>
          <w:bCs w:val="0"/>
          <w:color w:val="000000"/>
          <w:sz w:val="24"/>
          <w:highlight w:val="none"/>
        </w:rPr>
        <w:t xml:space="preserve">2)</w:t>
      </w:r>
      <w:r>
        <w:rPr>
          <w:b w:val="0"/>
          <w:bCs w:val="0"/>
          <w:color w:val="000000"/>
          <w:sz w:val="24"/>
          <w:highlight w:val="none"/>
        </w:rPr>
        <w:t xml:space="preserve">平台</w:t>
      </w:r>
      <w:r>
        <w:rPr>
          <w:rFonts w:hint="eastAsia"/>
          <w:b w:val="0"/>
          <w:bCs w:val="0"/>
          <w:color w:val="000000"/>
          <w:sz w:val="24"/>
          <w:highlight w:val="none"/>
        </w:rPr>
        <w:t xml:space="preserve">系统</w:t>
      </w:r>
      <w:r>
        <w:rPr>
          <w:b w:val="0"/>
          <w:bCs w:val="0"/>
          <w:color w:val="000000"/>
          <w:sz w:val="24"/>
          <w:highlight w:val="none"/>
        </w:rPr>
        <w:t xml:space="preserve">应用或数据库出现错误，不能进行正常操作的；</w:t>
      </w:r>
      <w:r>
        <w:rPr>
          <w:b w:val="0"/>
          <w:bCs w:val="0"/>
          <w:color w:val="000000"/>
          <w:sz w:val="24"/>
          <w:highlight w:val="none"/>
        </w:rPr>
      </w:r>
      <w:r/>
    </w:p>
    <w:p>
      <w:pPr>
        <w:pStyle w:val="1023"/>
        <w:ind w:left="357" w:firstLine="840"/>
        <w:spacing w:line="360" w:lineRule="auto"/>
        <w:tabs>
          <w:tab w:val="left" w:pos="1080" w:leader="none"/>
          <w:tab w:val="left" w:pos="1589" w:leader="none"/>
          <w:tab w:val="left" w:pos="2014" w:leader="none"/>
        </w:tabs>
        <w:rPr>
          <w:b w:val="0"/>
          <w:bCs w:val="0"/>
          <w:color w:val="000000"/>
          <w:sz w:val="24"/>
          <w:highlight w:val="none"/>
        </w:rPr>
      </w:pPr>
      <w:r>
        <w:rPr>
          <w:rFonts w:hint="eastAsia"/>
          <w:b w:val="0"/>
          <w:bCs w:val="0"/>
          <w:color w:val="000000"/>
          <w:sz w:val="24"/>
          <w:highlight w:val="none"/>
        </w:rPr>
        <w:t xml:space="preserve">3)</w:t>
      </w:r>
      <w:r>
        <w:rPr>
          <w:b w:val="0"/>
          <w:bCs w:val="0"/>
          <w:color w:val="000000"/>
          <w:sz w:val="24"/>
          <w:highlight w:val="none"/>
        </w:rPr>
        <w:t xml:space="preserve">平台</w:t>
      </w:r>
      <w:r>
        <w:rPr>
          <w:rFonts w:hint="eastAsia"/>
          <w:b w:val="0"/>
          <w:bCs w:val="0"/>
          <w:color w:val="000000"/>
          <w:sz w:val="24"/>
          <w:highlight w:val="none"/>
        </w:rPr>
        <w:t xml:space="preserve">系统</w:t>
      </w:r>
      <w:r>
        <w:rPr>
          <w:b w:val="0"/>
          <w:bCs w:val="0"/>
          <w:color w:val="000000"/>
          <w:sz w:val="24"/>
          <w:highlight w:val="none"/>
        </w:rPr>
        <w:t xml:space="preserve">发现严重安全漏洞，有潜在泄密危险的；</w:t>
      </w:r>
      <w:r>
        <w:rPr>
          <w:b w:val="0"/>
          <w:bCs w:val="0"/>
          <w:color w:val="000000"/>
          <w:sz w:val="24"/>
          <w:highlight w:val="none"/>
        </w:rPr>
      </w:r>
      <w:r/>
    </w:p>
    <w:p>
      <w:pPr>
        <w:pStyle w:val="1023"/>
        <w:ind w:left="357" w:firstLine="840"/>
        <w:spacing w:line="360" w:lineRule="auto"/>
        <w:tabs>
          <w:tab w:val="left" w:pos="1080" w:leader="none"/>
          <w:tab w:val="left" w:pos="1589" w:leader="none"/>
          <w:tab w:val="left" w:pos="2014" w:leader="none"/>
        </w:tabs>
        <w:rPr>
          <w:b w:val="0"/>
          <w:bCs w:val="0"/>
          <w:color w:val="000000"/>
          <w:sz w:val="24"/>
          <w:highlight w:val="none"/>
        </w:rPr>
      </w:pPr>
      <w:r>
        <w:rPr>
          <w:rFonts w:hint="eastAsia"/>
          <w:b w:val="0"/>
          <w:bCs w:val="0"/>
          <w:color w:val="000000"/>
          <w:sz w:val="24"/>
          <w:highlight w:val="none"/>
        </w:rPr>
        <w:t xml:space="preserve">4)</w:t>
      </w:r>
      <w:r>
        <w:rPr>
          <w:b w:val="0"/>
          <w:bCs w:val="0"/>
          <w:color w:val="000000"/>
          <w:sz w:val="24"/>
          <w:highlight w:val="none"/>
        </w:rPr>
        <w:t xml:space="preserve">病毒发作导致平台</w:t>
      </w:r>
      <w:r>
        <w:rPr>
          <w:rFonts w:hint="eastAsia"/>
          <w:b w:val="0"/>
          <w:bCs w:val="0"/>
          <w:color w:val="000000"/>
          <w:sz w:val="24"/>
          <w:highlight w:val="none"/>
        </w:rPr>
        <w:t xml:space="preserve">系统</w:t>
      </w:r>
      <w:r>
        <w:rPr>
          <w:b w:val="0"/>
          <w:bCs w:val="0"/>
          <w:color w:val="000000"/>
          <w:sz w:val="24"/>
          <w:highlight w:val="none"/>
        </w:rPr>
        <w:t xml:space="preserve">不能进行正常操作的；</w:t>
      </w:r>
      <w:r>
        <w:rPr>
          <w:b w:val="0"/>
          <w:bCs w:val="0"/>
          <w:color w:val="000000"/>
          <w:sz w:val="24"/>
          <w:highlight w:val="none"/>
        </w:rPr>
      </w:r>
      <w:r/>
    </w:p>
    <w:p>
      <w:pPr>
        <w:pStyle w:val="1023"/>
        <w:ind w:left="357" w:firstLine="840"/>
        <w:spacing w:line="360" w:lineRule="auto"/>
        <w:tabs>
          <w:tab w:val="left" w:pos="1080" w:leader="none"/>
          <w:tab w:val="left" w:pos="1589" w:leader="none"/>
          <w:tab w:val="left" w:pos="2014" w:leader="none"/>
        </w:tabs>
        <w:rPr>
          <w:rFonts w:hint="eastAsia"/>
          <w:b w:val="0"/>
          <w:bCs w:val="0"/>
          <w:color w:val="000000"/>
          <w:sz w:val="24"/>
          <w:highlight w:val="none"/>
        </w:rPr>
      </w:pPr>
      <w:r>
        <w:rPr>
          <w:rFonts w:hint="eastAsia"/>
          <w:b w:val="0"/>
          <w:bCs w:val="0"/>
          <w:color w:val="000000"/>
          <w:sz w:val="24"/>
          <w:highlight w:val="none"/>
        </w:rPr>
        <w:t xml:space="preserve">5)</w:t>
      </w:r>
      <w:r>
        <w:rPr>
          <w:b w:val="0"/>
          <w:bCs w:val="0"/>
          <w:color w:val="000000"/>
          <w:sz w:val="24"/>
          <w:highlight w:val="none"/>
        </w:rPr>
        <w:t xml:space="preserve">其他无法保证</w:t>
      </w:r>
      <w:r>
        <w:rPr>
          <w:rFonts w:hint="eastAsia"/>
          <w:b w:val="0"/>
          <w:bCs w:val="0"/>
          <w:color w:val="000000"/>
          <w:sz w:val="24"/>
          <w:highlight w:val="none"/>
        </w:rPr>
        <w:t xml:space="preserve">本次采购活动</w:t>
      </w:r>
      <w:r>
        <w:rPr>
          <w:b w:val="0"/>
          <w:bCs w:val="0"/>
          <w:color w:val="000000"/>
          <w:sz w:val="24"/>
          <w:highlight w:val="none"/>
        </w:rPr>
        <w:t xml:space="preserve">的公平、公正和安全的情况。</w:t>
      </w:r>
      <w:r>
        <w:rPr>
          <w:rFonts w:hint="eastAsia"/>
          <w:b w:val="0"/>
          <w:bCs w:val="0"/>
          <w:color w:val="000000"/>
          <w:sz w:val="24"/>
          <w:highlight w:val="none"/>
        </w:rPr>
      </w:r>
      <w:r/>
    </w:p>
    <w:p>
      <w:pPr>
        <w:pStyle w:val="1023"/>
        <w:ind w:left="1134"/>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出现</w:t>
      </w:r>
      <w:r>
        <w:rPr>
          <w:rFonts w:hint="eastAsia"/>
          <w:b w:val="0"/>
          <w:bCs w:val="0"/>
          <w:color w:val="000000"/>
          <w:sz w:val="24"/>
          <w:highlight w:val="none"/>
        </w:rPr>
        <w:t xml:space="preserve">上述</w:t>
      </w:r>
      <w:r>
        <w:rPr>
          <w:b w:val="0"/>
          <w:bCs w:val="0"/>
          <w:color w:val="000000"/>
          <w:sz w:val="24"/>
          <w:highlight w:val="none"/>
        </w:rPr>
        <w:t xml:space="preserve">情形，不影响采购</w:t>
      </w:r>
      <w:r>
        <w:rPr>
          <w:rFonts w:hint="eastAsia"/>
          <w:b w:val="0"/>
          <w:bCs w:val="0"/>
          <w:color w:val="000000"/>
          <w:sz w:val="24"/>
          <w:highlight w:val="none"/>
        </w:rPr>
        <w:t xml:space="preserve">活动</w:t>
      </w:r>
      <w:r>
        <w:rPr>
          <w:b w:val="0"/>
          <w:bCs w:val="0"/>
          <w:color w:val="000000"/>
          <w:sz w:val="24"/>
          <w:highlight w:val="none"/>
        </w:rPr>
        <w:t xml:space="preserve">公平、公正性的，</w:t>
      </w:r>
      <w:r>
        <w:rPr>
          <w:rFonts w:hint="eastAsia"/>
          <w:b w:val="0"/>
          <w:bCs w:val="0"/>
          <w:color w:val="000000"/>
          <w:sz w:val="24"/>
          <w:highlight w:val="none"/>
        </w:rPr>
        <w:t xml:space="preserve">代理机构</w:t>
      </w:r>
      <w:r>
        <w:rPr>
          <w:b w:val="0"/>
          <w:bCs w:val="0"/>
          <w:color w:val="000000"/>
          <w:sz w:val="24"/>
          <w:highlight w:val="none"/>
        </w:rPr>
        <w:t xml:space="preserve">可以待上述情形消除后继续组织</w:t>
      </w:r>
      <w:r>
        <w:rPr>
          <w:rFonts w:hint="eastAsia"/>
          <w:b w:val="0"/>
          <w:bCs w:val="0"/>
          <w:color w:val="000000"/>
          <w:sz w:val="24"/>
          <w:highlight w:val="none"/>
        </w:rPr>
        <w:t xml:space="preserve">不见面</w:t>
      </w:r>
      <w:r>
        <w:rPr>
          <w:b w:val="0"/>
          <w:bCs w:val="0"/>
          <w:color w:val="000000"/>
          <w:sz w:val="24"/>
          <w:highlight w:val="none"/>
        </w:rPr>
        <w:t xml:space="preserve">交易</w:t>
      </w:r>
      <w:r>
        <w:rPr>
          <w:rFonts w:hint="eastAsia"/>
          <w:b w:val="0"/>
          <w:bCs w:val="0"/>
          <w:color w:val="000000"/>
          <w:sz w:val="24"/>
          <w:highlight w:val="none"/>
        </w:rPr>
        <w:t xml:space="preserve">采购</w:t>
      </w:r>
      <w:r>
        <w:rPr>
          <w:b w:val="0"/>
          <w:bCs w:val="0"/>
          <w:color w:val="000000"/>
          <w:sz w:val="24"/>
          <w:highlight w:val="none"/>
        </w:rPr>
        <w:t xml:space="preserve">活动，也可以决定某些环节以纸质形式进行；影响或可能影响采购</w:t>
      </w:r>
      <w:r>
        <w:rPr>
          <w:rFonts w:hint="eastAsia"/>
          <w:b w:val="0"/>
          <w:bCs w:val="0"/>
          <w:color w:val="000000"/>
          <w:sz w:val="24"/>
          <w:highlight w:val="none"/>
        </w:rPr>
        <w:t xml:space="preserve">活动</w:t>
      </w:r>
      <w:r>
        <w:rPr>
          <w:b w:val="0"/>
          <w:bCs w:val="0"/>
          <w:color w:val="000000"/>
          <w:sz w:val="24"/>
          <w:highlight w:val="none"/>
        </w:rPr>
        <w:t xml:space="preserve">公平、公正性的，应当</w:t>
      </w:r>
      <w:r>
        <w:rPr>
          <w:rFonts w:hint="eastAsia"/>
          <w:b w:val="0"/>
          <w:bCs w:val="0"/>
          <w:color w:val="000000"/>
          <w:sz w:val="24"/>
          <w:highlight w:val="none"/>
        </w:rPr>
        <w:t xml:space="preserve">终止本次项目，</w:t>
      </w:r>
      <w:r>
        <w:rPr>
          <w:b w:val="0"/>
          <w:bCs w:val="0"/>
          <w:color w:val="000000"/>
          <w:sz w:val="24"/>
          <w:highlight w:val="none"/>
        </w:rPr>
        <w:t xml:space="preserve">重新</w:t>
      </w:r>
      <w:r>
        <w:rPr>
          <w:rFonts w:hint="eastAsia"/>
          <w:b w:val="0"/>
          <w:bCs w:val="0"/>
          <w:color w:val="000000"/>
          <w:sz w:val="24"/>
          <w:highlight w:val="none"/>
        </w:rPr>
        <w:t xml:space="preserve">组织</w:t>
      </w:r>
      <w:r>
        <w:rPr>
          <w:b w:val="0"/>
          <w:bCs w:val="0"/>
          <w:color w:val="000000"/>
          <w:sz w:val="24"/>
          <w:highlight w:val="none"/>
        </w:rPr>
        <w:t xml:space="preserve">采购。</w:t>
      </w:r>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rPr>
          <w:b w:val="0"/>
          <w:bCs w:val="0"/>
          <w:color w:val="000000"/>
          <w:sz w:val="24"/>
          <w:highlight w:val="none"/>
        </w:rPr>
        <w:t xml:space="preserve">资格审查</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见第三章《资格审查》。</w:t>
      </w:r>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End w:id="572"/>
      <w:r/>
      <w:bookmarkStart w:id="573" w:name="_Toc195842905"/>
      <w:r/>
      <w:bookmarkStart w:id="574" w:name="_Toc265228378"/>
      <w:r/>
      <w:bookmarkStart w:id="575" w:name="_Toc151193854"/>
      <w:r/>
      <w:bookmarkStart w:id="576" w:name="_Toc151193638"/>
      <w:r/>
      <w:bookmarkStart w:id="577" w:name="_Toc151190167"/>
      <w:r/>
      <w:bookmarkStart w:id="578" w:name="_Toc164608809"/>
      <w:r/>
      <w:bookmarkStart w:id="579" w:name="_Toc127151741"/>
      <w:r/>
      <w:bookmarkStart w:id="580" w:name="_Toc127151540"/>
      <w:r/>
      <w:bookmarkStart w:id="581" w:name="_Toc164608654"/>
      <w:r/>
      <w:bookmarkStart w:id="582" w:name="_Toc127161454"/>
      <w:r/>
      <w:bookmarkStart w:id="583" w:name="_Toc150509291"/>
      <w:r/>
      <w:bookmarkStart w:id="584" w:name="_Toc226309784"/>
      <w:r/>
      <w:bookmarkStart w:id="585" w:name="_Toc226965813"/>
      <w:r/>
      <w:bookmarkStart w:id="586" w:name="_Toc150774745"/>
      <w:r/>
      <w:bookmarkStart w:id="587" w:name="_Toc149720833"/>
      <w:r/>
      <w:bookmarkStart w:id="588" w:name="_Toc305158808"/>
      <w:r/>
      <w:bookmarkStart w:id="589" w:name="_Toc164229381"/>
      <w:r/>
      <w:bookmarkStart w:id="590" w:name="_Toc164351634"/>
      <w:r/>
      <w:bookmarkStart w:id="591" w:name="_Toc142311042"/>
      <w:r/>
      <w:bookmarkStart w:id="592" w:name="_Toc151193928"/>
      <w:r/>
      <w:bookmarkStart w:id="593" w:name="_Toc151193782"/>
      <w:r/>
      <w:bookmarkStart w:id="594" w:name="_Toc305158882"/>
      <w:r/>
      <w:bookmarkStart w:id="595" w:name="_Toc151193710"/>
      <w:r/>
      <w:bookmarkStart w:id="596" w:name="_Toc264969230"/>
      <w:r/>
      <w:bookmarkStart w:id="597" w:name="_Toc150480778"/>
      <w:r/>
      <w:bookmarkStart w:id="598" w:name="_Toc164229235"/>
      <w:r/>
      <w:bookmarkStart w:id="599" w:name="_Toc226337236"/>
      <w:r/>
      <w:bookmarkStart w:id="600" w:name="_Toc226965730"/>
      <w:r/>
      <w:bookmarkStart w:id="601" w:name="_Toc150774640"/>
      <w:r>
        <w:rPr>
          <w:b w:val="0"/>
          <w:bCs w:val="0"/>
          <w:color w:val="000000"/>
          <w:sz w:val="24"/>
          <w:highlight w:val="none"/>
        </w:rPr>
        <w:t xml:space="preserve">评标委员会</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评标委员会根据政府采购有关规定和本次招标采购项目的特点进行组建，并负责具体评标事务，独立履行职责。</w:t>
      </w:r>
      <w:bookmarkStart w:id="602" w:name="_Toc520356166"/>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评审专家须符合</w:t>
      </w:r>
      <w:r>
        <w:rPr>
          <w:rFonts w:hint="eastAsia"/>
          <w:b w:val="0"/>
          <w:bCs w:val="0"/>
          <w:color w:val="000000"/>
          <w:sz w:val="24"/>
          <w:highlight w:val="none"/>
        </w:rPr>
        <w:t xml:space="preserve">相关</w:t>
      </w:r>
      <w:r>
        <w:rPr>
          <w:b w:val="0"/>
          <w:bCs w:val="0"/>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602"/>
      <w:r/>
      <w:bookmarkStart w:id="603" w:name="_Toc520356169"/>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rPr>
          <w:b w:val="0"/>
          <w:bCs w:val="0"/>
          <w:color w:val="000000"/>
          <w:sz w:val="24"/>
          <w:highlight w:val="none"/>
        </w:rPr>
        <w:t xml:space="preserve">评标程序、评标方法和评标标准</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见第四章《评标程序、评标方法和评标标准》。</w:t>
      </w:r>
      <w:r>
        <w:rPr>
          <w:b w:val="0"/>
          <w:bCs w:val="0"/>
          <w:color w:val="000000"/>
          <w:sz w:val="24"/>
          <w:highlight w:val="none"/>
        </w:rPr>
      </w:r>
      <w:r/>
    </w:p>
    <w:p>
      <w:pPr>
        <w:pStyle w:val="1023"/>
        <w:ind w:left="1080"/>
        <w:spacing w:line="360" w:lineRule="auto"/>
        <w:tabs>
          <w:tab w:val="left" w:pos="360" w:leader="none"/>
          <w:tab w:val="left" w:pos="1080" w:leader="none"/>
        </w:tabs>
        <w:rPr>
          <w:b w:val="0"/>
          <w:bCs w:val="0"/>
          <w:color w:val="000000"/>
          <w:sz w:val="24"/>
          <w:highlight w:val="none"/>
        </w:rPr>
      </w:pPr>
      <w:r>
        <w:rPr>
          <w:b w:val="0"/>
          <w:bCs w:val="0"/>
          <w:color w:val="000000"/>
          <w:sz w:val="24"/>
          <w:highlight w:val="none"/>
        </w:rPr>
      </w:r>
      <w:r/>
    </w:p>
    <w:p>
      <w:pPr>
        <w:pStyle w:val="1281"/>
        <w:spacing w:before="0" w:line="360" w:lineRule="auto"/>
        <w:rPr>
          <w:rFonts w:ascii="Times New Roman" w:hAnsi="Times New Roman" w:eastAsia="宋体"/>
          <w:b w:val="0"/>
          <w:bCs w:val="0"/>
          <w:color w:val="000000"/>
          <w:sz w:val="28"/>
          <w:highlight w:val="none"/>
        </w:rPr>
      </w:pPr>
      <w:r/>
      <w:bookmarkStart w:id="604" w:name="_Toc226309789"/>
      <w:r/>
      <w:bookmarkStart w:id="605" w:name="_Toc151193787"/>
      <w:r/>
      <w:bookmarkStart w:id="606" w:name="_Toc226337241"/>
      <w:r/>
      <w:bookmarkStart w:id="607" w:name="_Toc151193859"/>
      <w:r/>
      <w:bookmarkStart w:id="608" w:name="_Toc127151545"/>
      <w:r/>
      <w:bookmarkStart w:id="609" w:name="_Toc226965818"/>
      <w:r/>
      <w:bookmarkStart w:id="610" w:name="_Toc305158887"/>
      <w:r/>
      <w:bookmarkStart w:id="611" w:name="_Toc226965735"/>
      <w:r/>
      <w:bookmarkStart w:id="612" w:name="_Toc195842910"/>
      <w:r/>
      <w:bookmarkStart w:id="613" w:name="_Toc150774645"/>
      <w:r/>
      <w:bookmarkStart w:id="614" w:name="_Toc305158813"/>
      <w:r/>
      <w:bookmarkStart w:id="615" w:name="_Toc142311047"/>
      <w:r/>
      <w:bookmarkStart w:id="616" w:name="_Toc151190172"/>
      <w:r/>
      <w:bookmarkStart w:id="617" w:name="_Toc150774750"/>
      <w:r/>
      <w:bookmarkStart w:id="618" w:name="_Toc151193643"/>
      <w:r/>
      <w:bookmarkStart w:id="619" w:name="_Toc265228383"/>
      <w:r/>
      <w:bookmarkStart w:id="620" w:name="_Toc150509296"/>
      <w:r/>
      <w:bookmarkStart w:id="621" w:name="_Toc150480783"/>
      <w:r/>
      <w:bookmarkStart w:id="622" w:name="_Toc151193933"/>
      <w:r/>
      <w:bookmarkStart w:id="623" w:name="_Toc264969235"/>
      <w:r/>
      <w:bookmarkStart w:id="624" w:name="_Toc151193715"/>
      <w:r>
        <w:rPr>
          <w:rFonts w:ascii="Times New Roman" w:hAnsi="Times New Roman" w:eastAsia="宋体"/>
          <w:b/>
          <w:bCs/>
          <w:color w:val="000000"/>
          <w:sz w:val="28"/>
          <w:highlight w:val="none"/>
        </w:rPr>
        <w:t xml:space="preserve">六   </w:t>
      </w:r>
      <w:bookmarkEnd w:id="603"/>
      <w:r>
        <w:rPr>
          <w:rFonts w:ascii="Times New Roman" w:hAnsi="Times New Roman" w:eastAsia="宋体"/>
          <w:b/>
          <w:bCs/>
          <w:color w:val="000000"/>
          <w:sz w:val="28"/>
          <w:highlight w:val="none"/>
        </w:rPr>
        <w:t xml:space="preserve">确定中标</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Start w:id="625" w:name="_Toc265228385"/>
      <w:r/>
      <w:bookmarkStart w:id="626" w:name="_Toc264969237"/>
      <w:r/>
      <w:bookmarkStart w:id="627" w:name="_Toc127161461"/>
      <w:r/>
      <w:bookmarkStart w:id="628" w:name="_Toc151193861"/>
      <w:r/>
      <w:bookmarkStart w:id="629" w:name="_Toc195842912"/>
      <w:r/>
      <w:bookmarkStart w:id="630" w:name="_Toc164229242"/>
      <w:r/>
      <w:bookmarkStart w:id="631" w:name="_Toc164608816"/>
      <w:r/>
      <w:bookmarkStart w:id="632" w:name="_Toc151193645"/>
      <w:r/>
      <w:bookmarkStart w:id="633" w:name="_Toc150774752"/>
      <w:r/>
      <w:bookmarkStart w:id="634" w:name="_Toc150774647"/>
      <w:r/>
      <w:bookmarkStart w:id="635" w:name="_Toc164608661"/>
      <w:r/>
      <w:bookmarkStart w:id="636" w:name="_Toc142311049"/>
      <w:r/>
      <w:bookmarkStart w:id="637" w:name="_Toc150509298"/>
      <w:r/>
      <w:bookmarkStart w:id="638" w:name="_Toc151193935"/>
      <w:r/>
      <w:bookmarkStart w:id="639" w:name="_Toc226337243"/>
      <w:r/>
      <w:bookmarkStart w:id="640" w:name="_Toc226965820"/>
      <w:r/>
      <w:bookmarkStart w:id="641" w:name="_Toc127151748"/>
      <w:r/>
      <w:bookmarkStart w:id="642" w:name="_Toc164229388"/>
      <w:r/>
      <w:bookmarkStart w:id="643" w:name="_Toc226965737"/>
      <w:r/>
      <w:bookmarkStart w:id="644" w:name="_Toc305158815"/>
      <w:r/>
      <w:bookmarkStart w:id="645" w:name="_Toc149720840"/>
      <w:r/>
      <w:bookmarkStart w:id="646" w:name="_Toc150480785"/>
      <w:r/>
      <w:bookmarkStart w:id="647" w:name="_Toc305158889"/>
      <w:r/>
      <w:bookmarkStart w:id="648" w:name="_Toc226309791"/>
      <w:r/>
      <w:bookmarkStart w:id="649" w:name="_Toc127151547"/>
      <w:r/>
      <w:bookmarkStart w:id="650" w:name="_Toc151190174"/>
      <w:r/>
      <w:bookmarkStart w:id="651" w:name="_Toc151193717"/>
      <w:r/>
      <w:bookmarkStart w:id="652" w:name="_Toc164351641"/>
      <w:r/>
      <w:bookmarkStart w:id="653" w:name="_Toc151193789"/>
      <w:r>
        <w:rPr>
          <w:rFonts w:ascii="Times New Roman" w:hAnsi="Times New Roman" w:eastAsia="宋体"/>
          <w:b w:val="0"/>
          <w:bCs w:val="0"/>
          <w:color w:val="000000"/>
          <w:sz w:val="28"/>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rPr>
          <w:b w:val="0"/>
          <w:bCs w:val="0"/>
          <w:color w:val="000000"/>
          <w:sz w:val="24"/>
          <w:highlight w:val="none"/>
        </w:rPr>
        <w:t xml:space="preserve">确定中标人</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采购人将在评标报告确定的中标候选人名单中按顺序确定中标人，中标候选人并列的，由采购人</w:t>
      </w:r>
      <w:r>
        <w:rPr>
          <w:rFonts w:hint="eastAsia"/>
          <w:b w:val="0"/>
          <w:bCs w:val="0"/>
          <w:color w:val="000000"/>
          <w:sz w:val="24"/>
          <w:highlight w:val="none"/>
        </w:rPr>
        <w:t xml:space="preserve">依法</w:t>
      </w:r>
      <w:r>
        <w:rPr>
          <w:b w:val="0"/>
          <w:bCs w:val="0"/>
          <w:color w:val="000000"/>
          <w:sz w:val="24"/>
          <w:highlight w:val="none"/>
        </w:rPr>
        <w:t xml:space="preserve">确定</w:t>
      </w:r>
      <w:r>
        <w:rPr>
          <w:rFonts w:hint="eastAsia"/>
          <w:b w:val="0"/>
          <w:bCs w:val="0"/>
          <w:color w:val="000000"/>
          <w:sz w:val="24"/>
          <w:highlight w:val="none"/>
        </w:rPr>
        <w:t xml:space="preserve">。</w:t>
      </w:r>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654" w:name="_Toc305158891"/>
      <w:r/>
      <w:bookmarkStart w:id="655" w:name="_Toc305158817"/>
      <w:r/>
      <w:bookmarkStart w:id="656" w:name="_Toc265228387"/>
      <w:r/>
      <w:bookmarkStart w:id="657" w:name="_Toc226965822"/>
      <w:r/>
      <w:bookmarkStart w:id="658" w:name="_Toc151193937"/>
      <w:r/>
      <w:bookmarkStart w:id="659" w:name="_Toc226309793"/>
      <w:r/>
      <w:bookmarkStart w:id="660" w:name="_Toc142311051"/>
      <w:r/>
      <w:bookmarkStart w:id="661" w:name="_Ref467306425"/>
      <w:r/>
      <w:bookmarkStart w:id="662" w:name="_Toc520356176"/>
      <w:r/>
      <w:bookmarkStart w:id="663" w:name="_Toc164351643"/>
      <w:r/>
      <w:bookmarkStart w:id="664" w:name="_Toc150774649"/>
      <w:r/>
      <w:bookmarkStart w:id="665" w:name="_Toc127161463"/>
      <w:r/>
      <w:bookmarkStart w:id="666" w:name="_Toc195842914"/>
      <w:r/>
      <w:bookmarkStart w:id="667" w:name="_Toc164608818"/>
      <w:r/>
      <w:bookmarkStart w:id="668" w:name="_Toc151193719"/>
      <w:r/>
      <w:bookmarkStart w:id="669" w:name="_Toc127151549"/>
      <w:r/>
      <w:bookmarkStart w:id="670" w:name="_Toc150774754"/>
      <w:r/>
      <w:bookmarkStart w:id="671" w:name="_Toc150509300"/>
      <w:r/>
      <w:bookmarkStart w:id="672" w:name="_Toc164608663"/>
      <w:r/>
      <w:bookmarkStart w:id="673" w:name="_Toc150480787"/>
      <w:r/>
      <w:bookmarkStart w:id="674" w:name="_Toc226337245"/>
      <w:r/>
      <w:bookmarkStart w:id="675" w:name="_Toc151190176"/>
      <w:r/>
      <w:bookmarkStart w:id="676" w:name="_Toc151193647"/>
      <w:r/>
      <w:bookmarkStart w:id="677" w:name="_Toc264969239"/>
      <w:r/>
      <w:bookmarkStart w:id="678" w:name="_Toc164229390"/>
      <w:r/>
      <w:bookmarkStart w:id="679" w:name="_Toc127151750"/>
      <w:r/>
      <w:bookmarkStart w:id="680" w:name="_Toc226965739"/>
      <w:r/>
      <w:bookmarkStart w:id="681" w:name="_Toc151193863"/>
      <w:r/>
      <w:bookmarkStart w:id="682" w:name="_Toc151193791"/>
      <w:r/>
      <w:bookmarkStart w:id="683" w:name="_Toc164229244"/>
      <w:r/>
      <w:bookmarkStart w:id="684" w:name="_Toc149720842"/>
      <w:r/>
      <w:bookmarkStart w:id="685" w:name="_Ref467307090"/>
      <w:r>
        <w:rPr>
          <w:b w:val="0"/>
          <w:bCs w:val="0"/>
          <w:color w:val="000000"/>
          <w:sz w:val="24"/>
          <w:highlight w:val="none"/>
        </w:rPr>
        <w:t xml:space="preserve">中标公告与中标通知书</w:t>
      </w:r>
      <w:bookmarkEnd w:id="654"/>
      <w:r/>
      <w:bookmarkEnd w:id="655"/>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采购人或采购代理机构自中标人确定之日起2个工作日内，在</w:t>
      </w:r>
      <w:r>
        <w:rPr>
          <w:rFonts w:hint="eastAsia"/>
          <w:b w:val="0"/>
          <w:bCs w:val="0"/>
          <w:color w:val="000000"/>
          <w:sz w:val="24"/>
          <w:highlight w:val="none"/>
        </w:rPr>
        <w:t xml:space="preserve">常州市政府采购网</w:t>
      </w:r>
      <w:r>
        <w:rPr>
          <w:b w:val="0"/>
          <w:bCs w:val="0"/>
          <w:color w:val="000000"/>
          <w:sz w:val="24"/>
          <w:highlight w:val="none"/>
        </w:rPr>
        <w:t xml:space="preserve">公告中标结果，</w:t>
      </w:r>
      <w:r>
        <w:rPr>
          <w:rFonts w:hint="eastAsia"/>
          <w:b w:val="0"/>
          <w:bCs w:val="0"/>
          <w:color w:val="000000"/>
          <w:sz w:val="24"/>
          <w:highlight w:val="none"/>
        </w:rPr>
        <w:t xml:space="preserve">同时向中标人发出中标通知书，</w:t>
      </w:r>
      <w:r>
        <w:rPr>
          <w:b w:val="0"/>
          <w:bCs w:val="0"/>
          <w:color w:val="000000"/>
          <w:sz w:val="24"/>
          <w:highlight w:val="none"/>
        </w:rPr>
        <w:t xml:space="preserve">中标公告期限为1个工作日。</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rPr>
          <w:b w:val="0"/>
          <w:bCs w:val="0"/>
          <w:color w:val="000000"/>
          <w:sz w:val="24"/>
          <w:highlight w:val="none"/>
        </w:rPr>
        <w:t xml:space="preserve">废标</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在招标采购中，出现下列情形之一的，应予废标：</w:t>
      </w:r>
      <w:r>
        <w:rPr>
          <w:b w:val="0"/>
          <w:bCs w:val="0"/>
          <w:color w:val="000000"/>
          <w:sz w:val="24"/>
          <w:highlight w:val="none"/>
        </w:rPr>
      </w:r>
      <w:r/>
    </w:p>
    <w:p>
      <w:pPr>
        <w:pStyle w:val="1023"/>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符合专业条件的供应商或者对</w:t>
      </w:r>
      <w:r>
        <w:rPr>
          <w:rFonts w:hint="eastAsia"/>
          <w:b w:val="0"/>
          <w:bCs w:val="0"/>
          <w:color w:val="000000"/>
          <w:sz w:val="24"/>
          <w:highlight w:val="none"/>
        </w:rPr>
        <w:t xml:space="preserve">采购文件</w:t>
      </w:r>
      <w:r>
        <w:rPr>
          <w:b w:val="0"/>
          <w:bCs w:val="0"/>
          <w:color w:val="000000"/>
          <w:sz w:val="24"/>
          <w:highlight w:val="none"/>
        </w:rPr>
        <w:t xml:space="preserve">作实质响应的供应商不足三家的；</w:t>
      </w:r>
      <w:r>
        <w:rPr>
          <w:b w:val="0"/>
          <w:bCs w:val="0"/>
          <w:color w:val="000000"/>
          <w:sz w:val="24"/>
          <w:highlight w:val="none"/>
        </w:rPr>
      </w:r>
      <w:r/>
    </w:p>
    <w:p>
      <w:pPr>
        <w:pStyle w:val="1023"/>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出现影响采购公正的违法、违规行为的；</w:t>
      </w:r>
      <w:r>
        <w:rPr>
          <w:b w:val="0"/>
          <w:bCs w:val="0"/>
          <w:color w:val="000000"/>
          <w:sz w:val="24"/>
          <w:highlight w:val="none"/>
        </w:rPr>
      </w:r>
      <w:r/>
    </w:p>
    <w:p>
      <w:pPr>
        <w:pStyle w:val="1023"/>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投标人的报价均超过了采购预算，采购人不能支付的；</w:t>
      </w:r>
      <w:r>
        <w:rPr>
          <w:b w:val="0"/>
          <w:bCs w:val="0"/>
          <w:color w:val="000000"/>
          <w:sz w:val="24"/>
          <w:highlight w:val="none"/>
        </w:rPr>
      </w:r>
      <w:r/>
    </w:p>
    <w:p>
      <w:pPr>
        <w:pStyle w:val="1023"/>
        <w:numPr>
          <w:ilvl w:val="2"/>
          <w:numId w:val="8"/>
        </w:numPr>
        <w:spacing w:line="360" w:lineRule="auto"/>
        <w:tabs>
          <w:tab w:val="left" w:pos="1980" w:leader="none"/>
        </w:tabs>
        <w:rPr>
          <w:rFonts w:hint="eastAsia"/>
          <w:b w:val="0"/>
          <w:bCs w:val="0"/>
          <w:color w:val="000000"/>
          <w:sz w:val="24"/>
          <w:highlight w:val="none"/>
        </w:rPr>
      </w:pPr>
      <w:r>
        <w:rPr>
          <w:b w:val="0"/>
          <w:bCs w:val="0"/>
          <w:color w:val="000000"/>
          <w:sz w:val="24"/>
          <w:highlight w:val="none"/>
        </w:rPr>
        <w:t xml:space="preserve">因重大变故，采购任务取消的。</w:t>
      </w:r>
      <w:r>
        <w:rPr>
          <w:rFonts w:hint="eastAsia"/>
          <w:b w:val="0"/>
          <w:bCs w:val="0"/>
          <w:color w:val="000000"/>
          <w:sz w:val="24"/>
          <w:highlight w:val="none"/>
        </w:rPr>
      </w:r>
      <w:r/>
    </w:p>
    <w:p>
      <w:pPr>
        <w:pStyle w:val="1023"/>
        <w:numPr>
          <w:ilvl w:val="2"/>
          <w:numId w:val="8"/>
        </w:numPr>
        <w:spacing w:line="360" w:lineRule="auto"/>
        <w:tabs>
          <w:tab w:val="left" w:pos="1980" w:leader="none"/>
        </w:tabs>
        <w:rPr>
          <w:b w:val="0"/>
          <w:bCs w:val="0"/>
          <w:color w:val="000000"/>
          <w:sz w:val="24"/>
          <w:highlight w:val="none"/>
        </w:rPr>
      </w:pPr>
      <w:r>
        <w:rPr>
          <w:rFonts w:hint="eastAsia" w:ascii="宋体" w:hAnsi="宋体"/>
          <w:b w:val="0"/>
          <w:bCs w:val="0"/>
          <w:color w:val="000000"/>
          <w:spacing w:val="2"/>
          <w:sz w:val="24"/>
          <w:highlight w:val="none"/>
        </w:rPr>
        <w:t xml:space="preserve">平台系统</w:t>
      </w:r>
      <w:r>
        <w:rPr>
          <w:rFonts w:ascii="宋体" w:hAnsi="宋体"/>
          <w:b w:val="0"/>
          <w:bCs w:val="0"/>
          <w:color w:val="000000"/>
          <w:sz w:val="24"/>
          <w:highlight w:val="none"/>
        </w:rPr>
        <w:t xml:space="preserve">出现</w:t>
      </w:r>
      <w:r>
        <w:rPr>
          <w:rFonts w:hint="eastAsia" w:ascii="宋体" w:hAnsi="宋体"/>
          <w:b w:val="0"/>
          <w:bCs w:val="0"/>
          <w:color w:val="000000"/>
          <w:sz w:val="24"/>
          <w:highlight w:val="none"/>
        </w:rPr>
        <w:t xml:space="preserve">序号18.8的所述</w:t>
      </w:r>
      <w:r>
        <w:rPr>
          <w:rFonts w:ascii="宋体" w:hAnsi="宋体"/>
          <w:b w:val="0"/>
          <w:bCs w:val="0"/>
          <w:color w:val="000000"/>
          <w:sz w:val="24"/>
          <w:highlight w:val="none"/>
        </w:rPr>
        <w:t xml:space="preserve">情形，</w:t>
      </w:r>
      <w:r>
        <w:rPr>
          <w:rFonts w:hint="eastAsia" w:ascii="宋体" w:hAnsi="宋体"/>
          <w:b w:val="0"/>
          <w:bCs w:val="0"/>
          <w:color w:val="000000"/>
          <w:sz w:val="24"/>
          <w:highlight w:val="none"/>
        </w:rPr>
        <w:t xml:space="preserve">情况严重且</w:t>
      </w:r>
      <w:r>
        <w:rPr>
          <w:rFonts w:ascii="宋体" w:hAnsi="宋体"/>
          <w:b w:val="0"/>
          <w:bCs w:val="0"/>
          <w:color w:val="000000"/>
          <w:sz w:val="24"/>
          <w:highlight w:val="none"/>
        </w:rPr>
        <w:t xml:space="preserve">影响采购</w:t>
      </w:r>
      <w:r>
        <w:rPr>
          <w:rFonts w:hint="eastAsia" w:ascii="宋体" w:hAnsi="宋体"/>
          <w:b w:val="0"/>
          <w:bCs w:val="0"/>
          <w:color w:val="000000"/>
          <w:sz w:val="24"/>
          <w:highlight w:val="none"/>
        </w:rPr>
        <w:t xml:space="preserve">活动</w:t>
      </w:r>
      <w:r>
        <w:rPr>
          <w:rFonts w:ascii="宋体" w:hAnsi="宋体"/>
          <w:b w:val="0"/>
          <w:bCs w:val="0"/>
          <w:color w:val="000000"/>
          <w:sz w:val="24"/>
          <w:highlight w:val="none"/>
        </w:rPr>
        <w:t xml:space="preserve">公平、公正性的</w:t>
      </w:r>
      <w:r>
        <w:rPr>
          <w:rFonts w:hint="eastAsia" w:ascii="宋体" w:hAnsi="宋体"/>
          <w:b w:val="0"/>
          <w:bCs w:val="0"/>
          <w:color w:val="000000"/>
          <w:sz w:val="24"/>
          <w:highlight w:val="none"/>
        </w:rPr>
        <w:t xml:space="preserve">。</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废标后，采购人将废标理由通知所有投标人。</w:t>
      </w:r>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End w:id="656"/>
      <w:r/>
      <w:bookmarkEnd w:id="657"/>
      <w:r/>
      <w:bookmarkEnd w:id="658"/>
      <w:r/>
      <w:bookmarkEnd w:id="659"/>
      <w:r/>
      <w:bookmarkEnd w:id="660"/>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Start w:id="686" w:name="_Toc151193720"/>
      <w:r/>
      <w:bookmarkStart w:id="687" w:name="_Toc127151751"/>
      <w:r/>
      <w:bookmarkStart w:id="688" w:name="_Toc150774650"/>
      <w:r/>
      <w:bookmarkStart w:id="689" w:name="_Toc164608819"/>
      <w:r/>
      <w:bookmarkStart w:id="690" w:name="_Ref467307062"/>
      <w:r/>
      <w:bookmarkStart w:id="691" w:name="_Toc164351644"/>
      <w:r/>
      <w:bookmarkStart w:id="692" w:name="_Ref467306377"/>
      <w:r/>
      <w:bookmarkStart w:id="693" w:name="_Toc305158892"/>
      <w:r/>
      <w:bookmarkStart w:id="694" w:name="_Toc164229245"/>
      <w:r/>
      <w:bookmarkStart w:id="695" w:name="_Ref467306978"/>
      <w:r/>
      <w:bookmarkStart w:id="696" w:name="_Toc151190177"/>
      <w:r/>
      <w:bookmarkStart w:id="697" w:name="_Toc226309794"/>
      <w:r/>
      <w:bookmarkStart w:id="698" w:name="_Toc226965740"/>
      <w:r/>
      <w:bookmarkStart w:id="699" w:name="_Toc151193792"/>
      <w:r/>
      <w:bookmarkStart w:id="700" w:name="_Toc520356175"/>
      <w:r/>
      <w:bookmarkStart w:id="701" w:name="_Toc149720843"/>
      <w:r/>
      <w:bookmarkStart w:id="702" w:name="_Toc226337246"/>
      <w:r/>
      <w:bookmarkStart w:id="703" w:name="_Toc164229391"/>
      <w:r/>
      <w:bookmarkStart w:id="704" w:name="_Toc164608664"/>
      <w:r/>
      <w:bookmarkStart w:id="705" w:name="_Toc150774755"/>
      <w:r/>
      <w:bookmarkStart w:id="706" w:name="_Toc151193864"/>
      <w:r/>
      <w:bookmarkStart w:id="707" w:name="_Toc195842915"/>
      <w:r/>
      <w:bookmarkStart w:id="708" w:name="_Toc150509301"/>
      <w:r/>
      <w:bookmarkStart w:id="709" w:name="_Toc142311052"/>
      <w:r/>
      <w:bookmarkStart w:id="710" w:name="_Toc151193648"/>
      <w:r/>
      <w:bookmarkStart w:id="711" w:name="_Toc127151550"/>
      <w:r/>
      <w:bookmarkStart w:id="712" w:name="_Toc265228388"/>
      <w:r/>
      <w:bookmarkStart w:id="713" w:name="_Toc127161464"/>
      <w:r/>
      <w:bookmarkStart w:id="714" w:name="_Toc305158818"/>
      <w:r/>
      <w:bookmarkStart w:id="715" w:name="_Toc150480788"/>
      <w:r/>
      <w:bookmarkStart w:id="716" w:name="_Ref467307204"/>
      <w:r/>
      <w:bookmarkStart w:id="717" w:name="_Toc151193938"/>
      <w:r/>
      <w:bookmarkStart w:id="718" w:name="_Toc264969240"/>
      <w:r/>
      <w:bookmarkStart w:id="719" w:name="_Toc226965823"/>
      <w:r>
        <w:rPr>
          <w:b w:val="0"/>
          <w:bCs w:val="0"/>
          <w:color w:val="000000"/>
          <w:sz w:val="24"/>
          <w:highlight w:val="none"/>
        </w:rPr>
        <w:t xml:space="preserve">签订合同</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中标人、采购人应当自中标通知书发出之日起30日内，按照</w:t>
      </w:r>
      <w:r>
        <w:rPr>
          <w:rFonts w:hint="eastAsia"/>
          <w:b w:val="0"/>
          <w:bCs w:val="0"/>
          <w:color w:val="000000"/>
          <w:sz w:val="24"/>
          <w:highlight w:val="none"/>
        </w:rPr>
        <w:t xml:space="preserve">采购文件</w:t>
      </w:r>
      <w:r>
        <w:rPr>
          <w:b w:val="0"/>
          <w:bCs w:val="0"/>
          <w:color w:val="000000"/>
          <w:sz w:val="24"/>
          <w:highlight w:val="none"/>
        </w:rPr>
        <w:t xml:space="preserve">和中标人投标文件的规定签订书面合同。所签订的合同不得对</w:t>
      </w:r>
      <w:r>
        <w:rPr>
          <w:rFonts w:hint="eastAsia"/>
          <w:b w:val="0"/>
          <w:bCs w:val="0"/>
          <w:color w:val="000000"/>
          <w:sz w:val="24"/>
          <w:highlight w:val="none"/>
        </w:rPr>
        <w:t xml:space="preserve">采购文件</w:t>
      </w:r>
      <w:r>
        <w:rPr>
          <w:b w:val="0"/>
          <w:bCs w:val="0"/>
          <w:color w:val="000000"/>
          <w:sz w:val="24"/>
          <w:highlight w:val="none"/>
        </w:rPr>
        <w:t xml:space="preserve">确定的事项和中标人投标文件作实质性修改。</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中标人</w:t>
      </w:r>
      <w:r>
        <w:rPr>
          <w:rFonts w:hint="eastAsia"/>
          <w:b w:val="0"/>
          <w:bCs w:val="0"/>
          <w:color w:val="000000"/>
          <w:sz w:val="24"/>
          <w:highlight w:val="none"/>
        </w:rPr>
        <w:t xml:space="preserve">拒绝</w:t>
      </w:r>
      <w:r>
        <w:rPr>
          <w:b w:val="0"/>
          <w:bCs w:val="0"/>
          <w:color w:val="000000"/>
          <w:sz w:val="24"/>
          <w:highlight w:val="none"/>
        </w:rPr>
        <w:t xml:space="preserve">与采购人签订合同的，采购人</w:t>
      </w:r>
      <w:r>
        <w:rPr>
          <w:rFonts w:hint="eastAsia"/>
          <w:b w:val="0"/>
          <w:bCs w:val="0"/>
          <w:color w:val="000000"/>
          <w:sz w:val="24"/>
          <w:highlight w:val="none"/>
        </w:rPr>
        <w:t xml:space="preserve">可以</w:t>
      </w:r>
      <w:r>
        <w:rPr>
          <w:b w:val="0"/>
          <w:bCs w:val="0"/>
          <w:color w:val="000000"/>
          <w:sz w:val="24"/>
          <w:highlight w:val="none"/>
        </w:rPr>
        <w:t xml:space="preserve">按照评</w:t>
      </w:r>
      <w:r>
        <w:rPr>
          <w:rFonts w:hint="eastAsia"/>
          <w:b w:val="0"/>
          <w:bCs w:val="0"/>
          <w:color w:val="000000"/>
          <w:sz w:val="24"/>
          <w:highlight w:val="none"/>
        </w:rPr>
        <w:t xml:space="preserve">标</w:t>
      </w:r>
      <w:r>
        <w:rPr>
          <w:b w:val="0"/>
          <w:bCs w:val="0"/>
          <w:color w:val="000000"/>
          <w:sz w:val="24"/>
          <w:highlight w:val="none"/>
        </w:rPr>
        <w:t xml:space="preserve">报告推荐的中标候选人名单排序，确定下一候选人为中标人，</w:t>
      </w:r>
      <w:r>
        <w:rPr>
          <w:rFonts w:hint="eastAsia"/>
          <w:b w:val="0"/>
          <w:bCs w:val="0"/>
          <w:color w:val="000000"/>
          <w:sz w:val="24"/>
          <w:highlight w:val="none"/>
        </w:rPr>
        <w:t xml:space="preserve">也可以</w:t>
      </w:r>
      <w:r>
        <w:rPr>
          <w:b w:val="0"/>
          <w:bCs w:val="0"/>
          <w:color w:val="000000"/>
          <w:sz w:val="24"/>
          <w:highlight w:val="none"/>
        </w:rPr>
        <w:t xml:space="preserve">重新开展政府采购活动。</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联合体中标的，联合体各方应当共同与采购人签订合同，就中标项目向采购人承担连带责任。</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政府采购合同不能转包。</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End w:id="661"/>
      <w:r/>
      <w:bookmarkEnd w:id="662"/>
      <w:r/>
      <w:bookmarkEnd w:id="685"/>
      <w:r>
        <w:rPr>
          <w:b w:val="0"/>
          <w:bCs w:val="0"/>
          <w:color w:val="000000"/>
          <w:sz w:val="24"/>
          <w:highlight w:val="none"/>
        </w:rPr>
        <w:t xml:space="preserve">询问与质疑</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询问</w:t>
      </w:r>
      <w:r>
        <w:rPr>
          <w:b w:val="0"/>
          <w:bCs w:val="0"/>
          <w:color w:val="000000"/>
          <w:sz w:val="24"/>
          <w:highlight w:val="none"/>
        </w:rPr>
      </w:r>
      <w:r/>
    </w:p>
    <w:p>
      <w:pPr>
        <w:pStyle w:val="1023"/>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投标人对政府采购活动事项有疑问的，可依法提出询问，并按《投标人须知资料表》载明的形式送达采购人或采购代理机构。</w:t>
      </w:r>
      <w:r>
        <w:rPr>
          <w:b w:val="0"/>
          <w:bCs w:val="0"/>
          <w:color w:val="000000"/>
          <w:sz w:val="24"/>
          <w:highlight w:val="none"/>
        </w:rPr>
      </w:r>
      <w:r/>
    </w:p>
    <w:p>
      <w:pPr>
        <w:pStyle w:val="1023"/>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采购人或采购代理机构对供应商依法提出的询问，在3个工作日内作出答复，但答复的内容不得涉及商业秘密。</w:t>
      </w:r>
      <w:r>
        <w:rPr>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质疑</w:t>
      </w:r>
      <w:r>
        <w:rPr>
          <w:b w:val="0"/>
          <w:bCs w:val="0"/>
          <w:color w:val="000000"/>
          <w:sz w:val="24"/>
          <w:highlight w:val="none"/>
        </w:rPr>
      </w:r>
      <w:r/>
    </w:p>
    <w:p>
      <w:pPr>
        <w:pStyle w:val="1023"/>
        <w:numPr>
          <w:ilvl w:val="2"/>
          <w:numId w:val="8"/>
        </w:numPr>
        <w:spacing w:line="360" w:lineRule="auto"/>
        <w:tabs>
          <w:tab w:val="left" w:pos="1980" w:leader="none"/>
        </w:tabs>
        <w:rPr>
          <w:rFonts w:hint="eastAsia"/>
          <w:b w:val="0"/>
          <w:bCs w:val="0"/>
          <w:color w:val="000000"/>
          <w:sz w:val="24"/>
          <w:highlight w:val="none"/>
        </w:rPr>
      </w:pPr>
      <w:r>
        <w:rPr>
          <w:b w:val="0"/>
          <w:bCs w:val="0"/>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b w:val="0"/>
          <w:bCs w:val="0"/>
          <w:color w:val="000000"/>
          <w:sz w:val="24"/>
          <w:highlight w:val="none"/>
        </w:rPr>
      </w:r>
      <w:r/>
    </w:p>
    <w:p>
      <w:pPr>
        <w:pStyle w:val="1023"/>
        <w:numPr>
          <w:ilvl w:val="2"/>
          <w:numId w:val="8"/>
        </w:numPr>
        <w:spacing w:line="360" w:lineRule="auto"/>
        <w:tabs>
          <w:tab w:val="left" w:pos="1980" w:leader="none"/>
        </w:tabs>
        <w:rPr>
          <w:b w:val="0"/>
          <w:bCs w:val="0"/>
          <w:color w:val="000000"/>
          <w:sz w:val="24"/>
          <w:highlight w:val="none"/>
        </w:rPr>
      </w:pPr>
      <w:r>
        <w:rPr>
          <w:rFonts w:hint="eastAsia" w:ascii="宋体" w:hAnsi="宋体"/>
          <w:b w:val="0"/>
          <w:bCs w:val="0"/>
          <w:color w:val="000000"/>
          <w:sz w:val="24"/>
          <w:highlight w:val="none"/>
        </w:rPr>
        <w:t xml:space="preserve">采购文件中采购需求以及相关部分（第四章、第五章以及投标人资格要求）由采购人负责制定和管理，对该部分内容有询问或者质疑的，投标人应当向采购人书面提出，由采购人负责接收和回复。</w:t>
      </w:r>
      <w:r>
        <w:rPr>
          <w:b w:val="0"/>
          <w:bCs w:val="0"/>
          <w:color w:val="000000"/>
          <w:sz w:val="24"/>
          <w:highlight w:val="none"/>
        </w:rPr>
      </w:r>
      <w:r/>
    </w:p>
    <w:p>
      <w:pPr>
        <w:pStyle w:val="1023"/>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质疑函须使用财政部制定的范本文件。</w:t>
      </w:r>
      <w:r>
        <w:rPr>
          <w:rFonts w:hint="eastAsia"/>
          <w:b w:val="0"/>
          <w:bCs w:val="0"/>
          <w:color w:val="000000"/>
          <w:sz w:val="24"/>
          <w:highlight w:val="none"/>
        </w:rPr>
        <w:t xml:space="preserve">（下载网址：</w:t>
      </w:r>
      <w:r>
        <w:rPr>
          <w:b w:val="0"/>
          <w:bCs w:val="0"/>
          <w:color w:val="000000"/>
          <w:highlight w:val="none"/>
        </w:rPr>
        <w:fldChar w:fldCharType="begin"/>
      </w:r>
      <w:r>
        <w:rPr>
          <w:b w:val="0"/>
          <w:bCs w:val="0"/>
          <w:color w:val="000000"/>
          <w:highlight w:val="none"/>
        </w:rPr>
        <w:instrText xml:space="preserve"> HYPERLINK "http://gks.mof.gov.cn/ztztz/zhengfucaigouguanli/201802/t20180201_2804589.htm" </w:instrText>
      </w:r>
      <w:r>
        <w:rPr>
          <w:b w:val="0"/>
          <w:bCs w:val="0"/>
          <w:color w:val="000000"/>
          <w:highlight w:val="none"/>
        </w:rPr>
        <w:fldChar w:fldCharType="separate"/>
      </w:r>
      <w:r>
        <w:rPr>
          <w:rStyle w:val="1110"/>
          <w:b w:val="0"/>
          <w:bCs w:val="0"/>
          <w:color w:val="000000"/>
          <w:highlight w:val="none"/>
        </w:rPr>
        <w:t xml:space="preserve">http://gk</w:t>
      </w:r>
      <w:bookmarkStart w:id="720" w:name="_Hlt100654014"/>
      <w:r>
        <w:rPr>
          <w:rStyle w:val="1110"/>
          <w:b w:val="0"/>
          <w:bCs w:val="0"/>
          <w:color w:val="000000"/>
          <w:highlight w:val="none"/>
        </w:rPr>
        <w:t xml:space="preserve">s</w:t>
      </w:r>
      <w:bookmarkEnd w:id="720"/>
      <w:r>
        <w:rPr>
          <w:rStyle w:val="1110"/>
          <w:b w:val="0"/>
          <w:bCs w:val="0"/>
          <w:color w:val="000000"/>
          <w:highlight w:val="none"/>
        </w:rPr>
        <w:t xml:space="preserve">.m</w:t>
      </w:r>
      <w:bookmarkStart w:id="721" w:name="_Hlt100653993"/>
      <w:r/>
      <w:bookmarkStart w:id="722" w:name="_Hlt100653994"/>
      <w:r>
        <w:rPr>
          <w:rStyle w:val="1110"/>
          <w:b w:val="0"/>
          <w:bCs w:val="0"/>
          <w:color w:val="000000"/>
          <w:highlight w:val="none"/>
        </w:rPr>
        <w:t xml:space="preserve">o</w:t>
      </w:r>
      <w:bookmarkEnd w:id="721"/>
      <w:r/>
      <w:bookmarkEnd w:id="722"/>
      <w:r>
        <w:rPr>
          <w:rStyle w:val="1110"/>
          <w:b w:val="0"/>
          <w:bCs w:val="0"/>
          <w:color w:val="000000"/>
          <w:highlight w:val="none"/>
        </w:rPr>
        <w:t xml:space="preserve">f.gov.cn/ztztz/zhengfucaigouguanli/201802/t20180201_2804589.htm</w:t>
      </w:r>
      <w:r>
        <w:rPr>
          <w:b w:val="0"/>
          <w:bCs w:val="0"/>
          <w:color w:val="000000"/>
          <w:highlight w:val="none"/>
        </w:rPr>
        <w:fldChar w:fldCharType="end"/>
      </w:r>
      <w:r>
        <w:rPr>
          <w:rFonts w:hint="eastAsia"/>
          <w:b w:val="0"/>
          <w:bCs w:val="0"/>
          <w:color w:val="000000"/>
          <w:highlight w:val="none"/>
        </w:rPr>
        <w:t xml:space="preserve">）</w:t>
      </w:r>
      <w:r>
        <w:rPr>
          <w:b w:val="0"/>
          <w:bCs w:val="0"/>
          <w:color w:val="000000"/>
          <w:sz w:val="24"/>
          <w:highlight w:val="none"/>
        </w:rPr>
      </w:r>
      <w:r/>
    </w:p>
    <w:p>
      <w:pPr>
        <w:pStyle w:val="1023"/>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投标人为自然人的，应当由本人签字；投标人为法人或者其他组织的，应当由法定代表人、主要负责人，或者其授权代表签字或者加盖公章，并加盖公章。</w:t>
      </w:r>
      <w:r>
        <w:rPr>
          <w:b w:val="0"/>
          <w:bCs w:val="0"/>
          <w:color w:val="000000"/>
          <w:sz w:val="24"/>
          <w:highlight w:val="none"/>
        </w:rPr>
      </w:r>
      <w:r/>
    </w:p>
    <w:p>
      <w:pPr>
        <w:pStyle w:val="1023"/>
        <w:numPr>
          <w:ilvl w:val="2"/>
          <w:numId w:val="8"/>
        </w:numPr>
        <w:spacing w:line="360" w:lineRule="auto"/>
        <w:tabs>
          <w:tab w:val="left" w:pos="1980" w:leader="none"/>
        </w:tabs>
        <w:rPr>
          <w:rFonts w:hint="eastAsia"/>
          <w:b w:val="0"/>
          <w:bCs w:val="0"/>
          <w:color w:val="000000"/>
          <w:sz w:val="24"/>
          <w:highlight w:val="none"/>
        </w:rPr>
      </w:pPr>
      <w:r>
        <w:rPr>
          <w:b w:val="0"/>
          <w:bCs w:val="0"/>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b w:val="0"/>
          <w:bCs w:val="0"/>
          <w:color w:val="000000"/>
          <w:sz w:val="24"/>
          <w:highlight w:val="none"/>
        </w:rPr>
      </w:r>
      <w:r/>
    </w:p>
    <w:p>
      <w:pPr>
        <w:pStyle w:val="1023"/>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接收询问和质疑的联系部门、联系电话和通讯地址见《投标人须知资料表》</w:t>
      </w:r>
      <w:r>
        <w:rPr>
          <w:rFonts w:hint="eastAsia"/>
          <w:b w:val="0"/>
          <w:bCs w:val="0"/>
          <w:color w:val="000000"/>
          <w:sz w:val="24"/>
          <w:highlight w:val="none"/>
        </w:rPr>
        <w:t xml:space="preserve">。</w:t>
      </w:r>
      <w:r>
        <w:rPr>
          <w:b w:val="0"/>
          <w:bCs w:val="0"/>
          <w:color w:val="000000"/>
          <w:sz w:val="24"/>
          <w:highlight w:val="none"/>
        </w:rPr>
      </w:r>
      <w:r/>
    </w:p>
    <w:p>
      <w:pPr>
        <w:pStyle w:val="1023"/>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rPr>
          <w:b w:val="0"/>
          <w:bCs w:val="0"/>
          <w:color w:val="000000"/>
          <w:sz w:val="24"/>
          <w:highlight w:val="none"/>
        </w:rPr>
        <w:t xml:space="preserve">代理费</w:t>
      </w:r>
      <w:r>
        <w:rPr>
          <w:b w:val="0"/>
          <w:bCs w:val="0"/>
          <w:color w:val="000000"/>
          <w:sz w:val="24"/>
          <w:highlight w:val="none"/>
        </w:rPr>
      </w:r>
      <w:r/>
    </w:p>
    <w:p>
      <w:pPr>
        <w:pStyle w:val="1023"/>
        <w:numPr>
          <w:ilvl w:val="1"/>
          <w:numId w:val="0"/>
        </w:numPr>
        <w:ind w:left="1077" w:hanging="720"/>
        <w:spacing w:line="360" w:lineRule="auto"/>
        <w:tabs>
          <w:tab w:val="left" w:pos="1080" w:leader="none"/>
          <w:tab w:val="left" w:pos="2014" w:leader="none"/>
        </w:tabs>
        <w:rPr>
          <w:rFonts w:hint="eastAsia" w:ascii="宋体" w:hAnsi="宋体" w:cs="宋体"/>
          <w:sz w:val="24"/>
          <w:highlight w:val="none"/>
        </w:rPr>
        <w:sectPr>
          <w:footerReference w:type="even" r:id="rId18"/>
          <w:footnotePr/>
          <w:endnotePr/>
          <w:type w:val="nextPage"/>
          <w:pgSz w:w="11907" w:h="16840" w:orient="portrait"/>
          <w:pgMar w:top="1417" w:right="1134" w:bottom="1417" w:left="1417" w:header="851" w:footer="850" w:gutter="0"/>
          <w:cols w:num="1" w:sep="0" w:space="1701" w:equalWidth="1"/>
          <w:docGrid w:linePitch="360"/>
        </w:sectPr>
      </w:pPr>
      <w:r>
        <w:rPr>
          <w:rFonts w:hint="eastAsia" w:ascii="Times New Roman" w:hAnsi="Times New Roman" w:cs="Times New Roman"/>
          <w:sz w:val="24"/>
          <w:szCs w:val="24"/>
          <w:lang w:val="en-US" w:eastAsia="zh-CN" w:bidi="ar-SA"/>
        </w:rPr>
        <w:t xml:space="preserve">27.</w:t>
      </w:r>
      <w:r>
        <w:rPr>
          <w:rFonts w:ascii="Times New Roman" w:hAnsi="Times New Roman" w:cs="Times New Roman"/>
          <w:sz w:val="24"/>
          <w:szCs w:val="24"/>
          <w:lang w:val="en-US" w:eastAsia="zh-CN" w:bidi="ar-SA"/>
        </w:rPr>
        <w:t xml:space="preserve">1</w:t>
      </w:r>
      <w:r>
        <w:rPr>
          <w:b w:val="0"/>
          <w:bCs w:val="0"/>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sz w:val="24"/>
          <w:highlight w:val="none"/>
        </w:rPr>
      </w:r>
      <w:r/>
    </w:p>
    <w:p>
      <w:pPr>
        <w:pStyle w:val="1023"/>
        <w:jc w:val="center"/>
        <w:spacing w:line="360" w:lineRule="auto"/>
        <w:rPr>
          <w:rFonts w:ascii="宋体" w:hAnsi="宋体" w:cs="宋体"/>
          <w:b/>
          <w:sz w:val="36"/>
          <w:szCs w:val="36"/>
        </w:rPr>
        <w:outlineLvl w:val="0"/>
      </w:pPr>
      <w:r/>
      <w:bookmarkStart w:id="723" w:name="_Toc10286"/>
      <w:r>
        <w:rPr>
          <w:rFonts w:hint="eastAsia" w:ascii="宋体" w:hAnsi="宋体" w:cs="宋体"/>
          <w:b/>
          <w:sz w:val="36"/>
          <w:szCs w:val="36"/>
        </w:rPr>
        <w:t xml:space="preserve">第三章   </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Start w:id="724" w:name="_Toc487900382"/>
      <w:r>
        <w:rPr>
          <w:rFonts w:hint="eastAsia" w:ascii="宋体" w:hAnsi="宋体" w:cs="宋体"/>
          <w:b/>
          <w:sz w:val="36"/>
          <w:szCs w:val="36"/>
        </w:rPr>
        <w:t xml:space="preserve">资格审查</w:t>
      </w:r>
      <w:bookmarkEnd w:id="723"/>
      <w:r>
        <w:rPr>
          <w:rFonts w:ascii="宋体" w:hAnsi="宋体" w:cs="宋体"/>
          <w:b/>
          <w:sz w:val="36"/>
          <w:szCs w:val="36"/>
        </w:rPr>
      </w:r>
      <w:r/>
    </w:p>
    <w:p>
      <w:pPr>
        <w:pStyle w:val="1023"/>
        <w:jc w:val="center"/>
        <w:spacing w:line="360" w:lineRule="auto"/>
        <w:tabs>
          <w:tab w:val="left" w:pos="360" w:leader="none"/>
          <w:tab w:val="left" w:pos="900" w:leader="none"/>
        </w:tabs>
        <w:rPr>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4"/>
      <w:r/>
      <w:bookmarkStart w:id="725" w:name="_Toc99301422"/>
      <w:r/>
      <w:bookmarkStart w:id="726" w:name="_Toc353873941"/>
      <w:r/>
      <w:bookmarkStart w:id="727" w:name="_Toc150774760"/>
      <w:r/>
      <w:bookmarkStart w:id="728" w:name="_Toc226337251"/>
      <w:r/>
      <w:bookmarkStart w:id="729" w:name="_Toc150480793"/>
      <w:r/>
      <w:bookmarkStart w:id="730" w:name="_Toc265228393"/>
      <w:r/>
      <w:bookmarkStart w:id="731" w:name="_Toc353825545"/>
      <w:r/>
      <w:bookmarkStart w:id="732" w:name="_Toc353825551"/>
      <w:r/>
      <w:bookmarkStart w:id="733" w:name="_Toc142311057"/>
      <w:r/>
      <w:bookmarkStart w:id="734" w:name="_Toc353873665"/>
      <w:r/>
      <w:bookmarkStart w:id="735" w:name="_Toc195842920"/>
      <w:r/>
      <w:bookmarkStart w:id="736" w:name="_Toc353873935"/>
      <w:r/>
      <w:bookmarkStart w:id="737" w:name="_Toc305158823"/>
      <w:r/>
      <w:bookmarkStart w:id="738" w:name="_Toc127151555"/>
      <w:r/>
      <w:bookmarkStart w:id="739" w:name="_Toc305158897"/>
      <w:r/>
      <w:bookmarkStart w:id="740" w:name="_Toc264969245"/>
      <w:r/>
      <w:bookmarkStart w:id="741" w:name="_Toc226965828"/>
      <w:r>
        <w:rPr>
          <w:b/>
          <w:sz w:val="24"/>
        </w:rPr>
        <w:t xml:space="preserve">一、资格审查程序</w:t>
      </w:r>
      <w:bookmarkEnd w:id="725"/>
      <w:r>
        <w:rPr>
          <w:b/>
          <w:sz w:val="24"/>
        </w:rPr>
      </w:r>
      <w:r/>
    </w:p>
    <w:p>
      <w:pPr>
        <w:pStyle w:val="1023"/>
        <w:numPr>
          <w:ilvl w:val="0"/>
          <w:numId w:val="10"/>
        </w:numPr>
        <w:ind w:left="426" w:hanging="426"/>
        <w:spacing w:line="360" w:lineRule="auto"/>
        <w:tabs>
          <w:tab w:val="left" w:pos="426" w:leader="none"/>
          <w:tab w:val="left" w:pos="851" w:leader="none"/>
        </w:tabs>
        <w:rPr>
          <w:sz w:val="24"/>
        </w:rPr>
        <w:outlineLvl w:val="1"/>
      </w:pPr>
      <w:r>
        <w:rPr>
          <w:sz w:val="24"/>
        </w:rPr>
        <w:t xml:space="preserve">开标结束后，采购</w:t>
      </w:r>
      <w:r>
        <w:rPr>
          <w:rFonts w:hint="eastAsia"/>
          <w:sz w:val="24"/>
          <w:lang w:val="en-US" w:eastAsia="zh-CN"/>
        </w:rPr>
        <w:t xml:space="preserve">代理机构</w:t>
      </w:r>
      <w:r>
        <w:rPr>
          <w:sz w:val="24"/>
        </w:rPr>
        <w:t xml:space="preserve">将根据《资格审查要求》中的规定，对投标人进行资格审查，并形成资格审查结果。</w:t>
      </w:r>
      <w:r>
        <w:rPr>
          <w:sz w:val="24"/>
        </w:rPr>
      </w:r>
      <w:r/>
    </w:p>
    <w:p>
      <w:pPr>
        <w:pStyle w:val="1023"/>
        <w:numPr>
          <w:ilvl w:val="0"/>
          <w:numId w:val="10"/>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1023"/>
        <w:numPr>
          <w:ilvl w:val="0"/>
          <w:numId w:val="10"/>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1023"/>
        <w:numPr>
          <w:ilvl w:val="0"/>
          <w:numId w:val="10"/>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1023"/>
        <w:jc w:val="left"/>
        <w:widowControl/>
        <w:rPr>
          <w:sz w:val="24"/>
        </w:rPr>
      </w:pPr>
      <w:r>
        <w:rPr>
          <w:sz w:val="24"/>
        </w:rPr>
      </w:r>
      <w:r/>
    </w:p>
    <w:p>
      <w:pPr>
        <w:pStyle w:val="1023"/>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861"/>
        <w:gridCol w:w="4530"/>
        <w:gridCol w:w="1538"/>
      </w:tblGrid>
      <w:tr>
        <w:trPr>
          <w:cantSplit/>
          <w:trHeight w:val="468"/>
          <w:tblHeader/>
        </w:trPr>
        <w:tc>
          <w:tcPr>
            <w:tcW w:w="454" w:type="dxa"/>
            <w:vAlign w:val="center"/>
            <w:textDirection w:val="lrTb"/>
            <w:noWrap w:val="false"/>
          </w:tcPr>
          <w:p>
            <w:pPr>
              <w:pStyle w:val="1023"/>
              <w:jc w:val="center"/>
              <w:tabs>
                <w:tab w:val="left" w:pos="1080" w:leader="none"/>
              </w:tabs>
              <w:rPr>
                <w:b/>
                <w:sz w:val="24"/>
              </w:rPr>
            </w:pPr>
            <w:r/>
            <w:bookmarkStart w:id="742" w:name="_Hlt487972895"/>
            <w:r/>
            <w:bookmarkEnd w:id="742"/>
            <w:r>
              <w:rPr>
                <w:b/>
                <w:sz w:val="24"/>
              </w:rPr>
              <w:t xml:space="preserve">序号</w:t>
            </w:r>
            <w:r>
              <w:rPr>
                <w:b/>
                <w:sz w:val="24"/>
              </w:rPr>
            </w:r>
            <w:r/>
          </w:p>
        </w:tc>
        <w:tc>
          <w:tcPr>
            <w:tcW w:w="1067" w:type="dxa"/>
            <w:vAlign w:val="center"/>
            <w:textDirection w:val="lrTb"/>
            <w:noWrap w:val="false"/>
          </w:tcPr>
          <w:p>
            <w:pPr>
              <w:pStyle w:val="1023"/>
              <w:jc w:val="center"/>
              <w:tabs>
                <w:tab w:val="left" w:pos="1080" w:leader="none"/>
              </w:tabs>
              <w:rPr>
                <w:b/>
                <w:sz w:val="24"/>
              </w:rPr>
            </w:pPr>
            <w:r>
              <w:rPr>
                <w:b/>
                <w:sz w:val="24"/>
              </w:rPr>
              <w:t xml:space="preserve">审查因素</w:t>
            </w:r>
            <w:r>
              <w:rPr>
                <w:b/>
                <w:sz w:val="24"/>
              </w:rPr>
            </w:r>
            <w:r/>
          </w:p>
        </w:tc>
        <w:tc>
          <w:tcPr>
            <w:tcW w:w="2596" w:type="dxa"/>
            <w:vAlign w:val="center"/>
            <w:textDirection w:val="lrTb"/>
            <w:noWrap w:val="false"/>
          </w:tcPr>
          <w:p>
            <w:pPr>
              <w:pStyle w:val="1023"/>
              <w:jc w:val="center"/>
              <w:tabs>
                <w:tab w:val="left" w:pos="1080" w:leader="none"/>
              </w:tabs>
              <w:rPr>
                <w:b/>
                <w:sz w:val="24"/>
              </w:rPr>
            </w:pPr>
            <w:r>
              <w:rPr>
                <w:b/>
                <w:sz w:val="24"/>
              </w:rPr>
              <w:t xml:space="preserve">审查内容</w:t>
            </w:r>
            <w:r>
              <w:rPr>
                <w:b/>
                <w:sz w:val="24"/>
              </w:rPr>
            </w:r>
            <w:r/>
          </w:p>
        </w:tc>
        <w:tc>
          <w:tcPr>
            <w:tcW w:w="881" w:type="dxa"/>
            <w:vAlign w:val="center"/>
            <w:textDirection w:val="lrTb"/>
            <w:noWrap w:val="false"/>
          </w:tcPr>
          <w:p>
            <w:pPr>
              <w:pStyle w:val="1023"/>
              <w:jc w:val="center"/>
              <w:tabs>
                <w:tab w:val="left" w:pos="1080" w:leader="none"/>
              </w:tabs>
              <w:rPr>
                <w:b/>
                <w:sz w:val="24"/>
              </w:rPr>
            </w:pPr>
            <w:r>
              <w:rPr>
                <w:b/>
                <w:sz w:val="24"/>
              </w:rPr>
              <w:t xml:space="preserve">格式要求</w:t>
            </w:r>
            <w:r>
              <w:rPr>
                <w:b/>
                <w:sz w:val="24"/>
              </w:rPr>
            </w:r>
            <w:r/>
          </w:p>
        </w:tc>
      </w:tr>
      <w:tr>
        <w:trPr>
          <w:cantSplit/>
          <w:trHeight w:val="468"/>
        </w:trPr>
        <w:tc>
          <w:tcPr>
            <w:tcW w:w="454" w:type="dxa"/>
            <w:vAlign w:val="center"/>
            <w:textDirection w:val="lrTb"/>
            <w:noWrap w:val="false"/>
          </w:tcPr>
          <w:p>
            <w:pPr>
              <w:pStyle w:val="1023"/>
              <w:jc w:val="center"/>
              <w:tabs>
                <w:tab w:val="left" w:pos="1080" w:leader="none"/>
              </w:tabs>
              <w:rPr>
                <w:sz w:val="24"/>
              </w:rPr>
            </w:pPr>
            <w:r>
              <w:rPr>
                <w:sz w:val="24"/>
              </w:rPr>
              <w:t xml:space="preserve">1</w:t>
            </w:r>
            <w:r>
              <w:rPr>
                <w:sz w:val="24"/>
              </w:rPr>
            </w:r>
            <w:r/>
          </w:p>
        </w:tc>
        <w:tc>
          <w:tcPr>
            <w:tcW w:w="1067" w:type="dxa"/>
            <w:vAlign w:val="center"/>
            <w:textDirection w:val="lrTb"/>
            <w:noWrap w:val="false"/>
          </w:tcPr>
          <w:p>
            <w:pPr>
              <w:pStyle w:val="1023"/>
              <w:tabs>
                <w:tab w:val="left" w:pos="1080" w:leader="none"/>
              </w:tabs>
              <w:rPr>
                <w:sz w:val="24"/>
              </w:rPr>
            </w:pPr>
            <w:r>
              <w:rPr>
                <w:sz w:val="24"/>
              </w:rPr>
              <w:t xml:space="preserve">满足《中华人民共和国政府采购法》第二十二条规定及法律法规的其他规定</w:t>
            </w:r>
            <w:r>
              <w:rPr>
                <w:sz w:val="24"/>
              </w:rPr>
            </w:r>
            <w:r/>
          </w:p>
        </w:tc>
        <w:tc>
          <w:tcPr>
            <w:tcW w:w="2596" w:type="dxa"/>
            <w:vAlign w:val="center"/>
            <w:textDirection w:val="lrTb"/>
            <w:noWrap w:val="false"/>
          </w:tcPr>
          <w:p>
            <w:pPr>
              <w:pStyle w:val="1023"/>
              <w:tabs>
                <w:tab w:val="left" w:pos="1080" w:leader="none"/>
              </w:tabs>
              <w:rPr>
                <w:sz w:val="24"/>
              </w:rPr>
            </w:pPr>
            <w:r>
              <w:rPr>
                <w:sz w:val="24"/>
              </w:rPr>
              <w:t xml:space="preserve">具体规定见第一章《投标邀请》</w:t>
            </w:r>
            <w:r>
              <w:rPr>
                <w:sz w:val="24"/>
              </w:rPr>
            </w:r>
            <w:r/>
          </w:p>
        </w:tc>
        <w:tc>
          <w:tcPr>
            <w:tcW w:w="881" w:type="dxa"/>
            <w:vAlign w:val="center"/>
            <w:textDirection w:val="lrTb"/>
            <w:noWrap w:val="false"/>
          </w:tcPr>
          <w:p>
            <w:pPr>
              <w:pStyle w:val="1023"/>
              <w:tabs>
                <w:tab w:val="left" w:pos="1080" w:leader="none"/>
              </w:tabs>
              <w:rPr>
                <w:sz w:val="24"/>
              </w:rPr>
            </w:pPr>
            <w:r>
              <w:rPr>
                <w:sz w:val="24"/>
              </w:rPr>
            </w:r>
            <w:r/>
          </w:p>
        </w:tc>
      </w:tr>
      <w:tr>
        <w:trPr>
          <w:cantSplit/>
          <w:trHeight w:val="468"/>
        </w:trPr>
        <w:tc>
          <w:tcPr>
            <w:tcW w:w="454" w:type="dxa"/>
            <w:vAlign w:val="center"/>
            <w:textDirection w:val="lrTb"/>
            <w:noWrap w:val="false"/>
          </w:tcPr>
          <w:p>
            <w:pPr>
              <w:pStyle w:val="1023"/>
              <w:jc w:val="center"/>
              <w:tabs>
                <w:tab w:val="left" w:pos="1080" w:leader="none"/>
              </w:tabs>
              <w:rPr>
                <w:sz w:val="24"/>
              </w:rPr>
            </w:pPr>
            <w:r>
              <w:rPr>
                <w:sz w:val="24"/>
              </w:rPr>
              <w:t xml:space="preserve">1</w:t>
            </w:r>
            <w:r>
              <w:rPr>
                <w:rFonts w:hint="eastAsia"/>
                <w:sz w:val="24"/>
              </w:rPr>
              <w:t xml:space="preserve">-1</w:t>
            </w:r>
            <w:r>
              <w:rPr>
                <w:sz w:val="24"/>
              </w:rPr>
            </w:r>
            <w:r/>
          </w:p>
        </w:tc>
        <w:tc>
          <w:tcPr>
            <w:tcW w:w="1067" w:type="dxa"/>
            <w:vAlign w:val="center"/>
            <w:textDirection w:val="lrTb"/>
            <w:noWrap w:val="false"/>
          </w:tcPr>
          <w:p>
            <w:pPr>
              <w:pStyle w:val="1023"/>
              <w:tabs>
                <w:tab w:val="left" w:pos="1080" w:leader="none"/>
              </w:tabs>
              <w:rPr>
                <w:sz w:val="24"/>
              </w:rPr>
            </w:pPr>
            <w:r>
              <w:rPr>
                <w:rFonts w:hint="eastAsia"/>
                <w:sz w:val="24"/>
              </w:rPr>
              <w:t xml:space="preserve">投标人资格声明函</w:t>
            </w:r>
            <w:r>
              <w:rPr>
                <w:sz w:val="24"/>
              </w:rPr>
            </w:r>
            <w:r/>
          </w:p>
        </w:tc>
        <w:tc>
          <w:tcPr>
            <w:tcW w:w="2596" w:type="dxa"/>
            <w:vAlign w:val="center"/>
            <w:textDirection w:val="lrTb"/>
            <w:noWrap w:val="false"/>
          </w:tcPr>
          <w:p>
            <w:pPr>
              <w:pStyle w:val="1023"/>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881" w:type="dxa"/>
            <w:vAlign w:val="center"/>
            <w:textDirection w:val="lrTb"/>
            <w:noWrap w:val="false"/>
          </w:tcPr>
          <w:p>
            <w:pPr>
              <w:pStyle w:val="1023"/>
              <w:tabs>
                <w:tab w:val="left" w:pos="1080" w:leader="none"/>
              </w:tabs>
              <w:rPr>
                <w:sz w:val="24"/>
              </w:rPr>
            </w:pPr>
            <w:r>
              <w:rPr>
                <w:sz w:val="24"/>
              </w:rPr>
              <w:t xml:space="preserve">格式见《投标文件格式》</w:t>
            </w:r>
            <w:r>
              <w:rPr>
                <w:sz w:val="24"/>
              </w:rPr>
            </w:r>
            <w:r/>
          </w:p>
        </w:tc>
      </w:tr>
      <w:tr>
        <w:trPr>
          <w:cantSplit/>
          <w:trHeight w:val="468"/>
        </w:trPr>
        <w:tc>
          <w:tcPr>
            <w:tcW w:w="454" w:type="dxa"/>
            <w:vAlign w:val="center"/>
            <w:textDirection w:val="lrTb"/>
            <w:noWrap w:val="false"/>
          </w:tcPr>
          <w:p>
            <w:pPr>
              <w:pStyle w:val="1023"/>
              <w:jc w:val="center"/>
              <w:tabs>
                <w:tab w:val="left" w:pos="1080" w:leader="none"/>
              </w:tabs>
              <w:rPr>
                <w:sz w:val="24"/>
              </w:rPr>
            </w:pPr>
            <w:r>
              <w:rPr>
                <w:rFonts w:hint="eastAsia"/>
                <w:sz w:val="24"/>
              </w:rPr>
              <w:t xml:space="preserve">1-2</w:t>
            </w:r>
            <w:r>
              <w:rPr>
                <w:sz w:val="24"/>
              </w:rPr>
            </w:r>
            <w:r/>
          </w:p>
        </w:tc>
        <w:tc>
          <w:tcPr>
            <w:tcW w:w="1067" w:type="dxa"/>
            <w:vAlign w:val="center"/>
            <w:textDirection w:val="lrTb"/>
            <w:noWrap w:val="false"/>
          </w:tcPr>
          <w:p>
            <w:pPr>
              <w:pStyle w:val="1023"/>
              <w:tabs>
                <w:tab w:val="left" w:pos="1080" w:leader="none"/>
              </w:tabs>
              <w:rPr>
                <w:sz w:val="24"/>
              </w:rPr>
            </w:pPr>
            <w:r>
              <w:rPr>
                <w:sz w:val="24"/>
              </w:rPr>
              <w:t xml:space="preserve">投标人信用记录</w:t>
            </w:r>
            <w:r>
              <w:rPr>
                <w:sz w:val="24"/>
              </w:rPr>
            </w:r>
            <w:r/>
          </w:p>
        </w:tc>
        <w:tc>
          <w:tcPr>
            <w:tcW w:w="2596" w:type="dxa"/>
            <w:vAlign w:val="center"/>
            <w:textDirection w:val="lrTb"/>
            <w:noWrap w:val="false"/>
          </w:tcPr>
          <w:p>
            <w:pPr>
              <w:pStyle w:val="1023"/>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1023"/>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1023"/>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23"/>
              <w:tabs>
                <w:tab w:val="left" w:pos="1080" w:leader="none"/>
              </w:tabs>
              <w:rPr>
                <w:sz w:val="24"/>
              </w:rPr>
            </w:pPr>
            <w:r>
              <w:rPr>
                <w:sz w:val="24"/>
              </w:rPr>
              <w:t xml:space="preserve">信用信息的使用原则：经认定的被列入失信被执行人、</w:t>
            </w:r>
            <w:r>
              <w:rPr>
                <w:rFonts w:hint="eastAsia"/>
                <w:sz w:val="24"/>
              </w:rPr>
              <w:t xml:space="preserve">重大税收违法失信主体</w:t>
            </w:r>
            <w:r>
              <w:rPr>
                <w:sz w:val="24"/>
              </w:rPr>
              <w:t xml:space="preserve">、政府采购严重违法失信行为记录名单的投标人，其</w:t>
            </w:r>
            <w:r>
              <w:rPr>
                <w:b/>
                <w:sz w:val="24"/>
              </w:rPr>
              <w:t xml:space="preserve">投标无效</w:t>
            </w:r>
            <w:r>
              <w:rPr>
                <w:sz w:val="24"/>
              </w:rPr>
              <w:t xml:space="preserve">。</w:t>
            </w:r>
            <w:r>
              <w:rPr>
                <w:sz w:val="24"/>
              </w:rPr>
            </w:r>
            <w:r/>
          </w:p>
        </w:tc>
        <w:tc>
          <w:tcPr>
            <w:tcW w:w="881" w:type="dxa"/>
            <w:vAlign w:val="center"/>
            <w:textDirection w:val="lrTb"/>
            <w:noWrap w:val="false"/>
          </w:tcPr>
          <w:p>
            <w:pPr>
              <w:pStyle w:val="1023"/>
              <w:tabs>
                <w:tab w:val="left" w:pos="1080" w:leader="none"/>
              </w:tabs>
              <w:rPr>
                <w:sz w:val="24"/>
              </w:rPr>
            </w:pPr>
            <w:r>
              <w:rPr>
                <w:sz w:val="24"/>
              </w:rPr>
              <w:t xml:space="preserve">无须投标人提供，由采购</w:t>
            </w:r>
            <w:r>
              <w:rPr>
                <w:rFonts w:hint="eastAsia"/>
                <w:sz w:val="24"/>
                <w:lang w:val="en-US" w:eastAsia="zh-CN"/>
              </w:rPr>
              <w:t xml:space="preserve">代理机构</w:t>
            </w:r>
            <w:r>
              <w:rPr>
                <w:sz w:val="24"/>
              </w:rPr>
              <w:t xml:space="preserve">查询。</w:t>
            </w:r>
            <w:r>
              <w:rPr>
                <w:sz w:val="24"/>
              </w:rPr>
            </w:r>
            <w:r/>
          </w:p>
        </w:tc>
      </w:tr>
      <w:tr>
        <w:trPr>
          <w:cantSplit/>
          <w:trHeight w:val="468"/>
        </w:trPr>
        <w:tc>
          <w:tcPr>
            <w:tcW w:w="454" w:type="dxa"/>
            <w:vAlign w:val="center"/>
            <w:textDirection w:val="lrTb"/>
            <w:noWrap w:val="false"/>
          </w:tcPr>
          <w:p>
            <w:pPr>
              <w:pStyle w:val="1023"/>
              <w:jc w:val="center"/>
              <w:tabs>
                <w:tab w:val="left" w:pos="1080" w:leader="none"/>
              </w:tabs>
              <w:rPr>
                <w:sz w:val="24"/>
              </w:rPr>
            </w:pPr>
            <w:r>
              <w:rPr>
                <w:sz w:val="24"/>
              </w:rPr>
              <w:t xml:space="preserve">2</w:t>
            </w:r>
            <w:r>
              <w:rPr>
                <w:sz w:val="24"/>
              </w:rPr>
            </w:r>
            <w:r/>
          </w:p>
        </w:tc>
        <w:tc>
          <w:tcPr>
            <w:tcW w:w="1067" w:type="dxa"/>
            <w:vAlign w:val="center"/>
            <w:textDirection w:val="lrTb"/>
            <w:noWrap w:val="false"/>
          </w:tcPr>
          <w:p>
            <w:pPr>
              <w:pStyle w:val="1023"/>
              <w:tabs>
                <w:tab w:val="left" w:pos="1080" w:leader="none"/>
              </w:tabs>
              <w:rPr>
                <w:sz w:val="24"/>
              </w:rPr>
            </w:pPr>
            <w:r>
              <w:rPr>
                <w:sz w:val="24"/>
              </w:rPr>
              <w:t xml:space="preserve">落实政府采购政策需满足的资格要求</w:t>
            </w:r>
            <w:r>
              <w:rPr>
                <w:sz w:val="24"/>
              </w:rPr>
            </w:r>
            <w:r/>
          </w:p>
        </w:tc>
        <w:tc>
          <w:tcPr>
            <w:tcW w:w="2596" w:type="dxa"/>
            <w:vAlign w:val="center"/>
            <w:textDirection w:val="lrTb"/>
            <w:noWrap w:val="false"/>
          </w:tcPr>
          <w:p>
            <w:pPr>
              <w:pStyle w:val="1023"/>
              <w:tabs>
                <w:tab w:val="left" w:pos="1080" w:leader="none"/>
              </w:tabs>
              <w:rPr>
                <w:sz w:val="24"/>
              </w:rPr>
            </w:pPr>
            <w:r>
              <w:rPr>
                <w:sz w:val="24"/>
              </w:rPr>
              <w:t xml:space="preserve">具体要求见第一章《投标邀请》</w:t>
            </w:r>
            <w:r>
              <w:rPr>
                <w:sz w:val="24"/>
              </w:rPr>
            </w:r>
            <w:r/>
          </w:p>
        </w:tc>
        <w:tc>
          <w:tcPr>
            <w:tcW w:w="881" w:type="dxa"/>
            <w:vAlign w:val="center"/>
            <w:textDirection w:val="lrTb"/>
            <w:noWrap w:val="false"/>
          </w:tcPr>
          <w:p>
            <w:pPr>
              <w:pStyle w:val="1023"/>
              <w:tabs>
                <w:tab w:val="left" w:pos="1080" w:leader="none"/>
              </w:tabs>
              <w:rPr>
                <w:sz w:val="24"/>
              </w:rPr>
            </w:pPr>
            <w:r>
              <w:rPr>
                <w:sz w:val="24"/>
              </w:rPr>
            </w:r>
            <w:r/>
          </w:p>
        </w:tc>
      </w:tr>
      <w:tr>
        <w:trPr>
          <w:cantSplit/>
          <w:trHeight w:val="468"/>
        </w:trPr>
        <w:tc>
          <w:tcPr>
            <w:tcW w:w="454" w:type="dxa"/>
            <w:vAlign w:val="center"/>
            <w:textDirection w:val="lrTb"/>
            <w:noWrap w:val="false"/>
          </w:tcPr>
          <w:p>
            <w:pPr>
              <w:pStyle w:val="1023"/>
              <w:jc w:val="center"/>
              <w:tabs>
                <w:tab w:val="left" w:pos="1080" w:leader="none"/>
              </w:tabs>
              <w:rPr>
                <w:rFonts w:hint="eastAsia"/>
                <w:sz w:val="24"/>
              </w:rPr>
            </w:pPr>
            <w:r>
              <w:rPr>
                <w:sz w:val="24"/>
              </w:rPr>
              <w:t xml:space="preserve">2-</w:t>
            </w:r>
            <w:r>
              <w:rPr>
                <w:rFonts w:hint="eastAsia"/>
                <w:sz w:val="24"/>
              </w:rPr>
              <w:t xml:space="preserve">2</w:t>
            </w:r>
            <w:r>
              <w:rPr>
                <w:rFonts w:hint="eastAsia"/>
                <w:sz w:val="24"/>
              </w:rPr>
            </w:r>
            <w:r/>
          </w:p>
        </w:tc>
        <w:tc>
          <w:tcPr>
            <w:tcW w:w="1067" w:type="dxa"/>
            <w:vAlign w:val="center"/>
            <w:textDirection w:val="lrTb"/>
            <w:noWrap w:val="false"/>
          </w:tcPr>
          <w:p>
            <w:pPr>
              <w:pStyle w:val="1023"/>
              <w:tabs>
                <w:tab w:val="left" w:pos="1080" w:leader="none"/>
              </w:tabs>
              <w:rPr>
                <w:sz w:val="24"/>
              </w:rPr>
            </w:pPr>
            <w:r>
              <w:rPr>
                <w:sz w:val="24"/>
              </w:rPr>
              <w:t xml:space="preserve">其它落实政府采购政策的资格要求</w:t>
            </w:r>
            <w:r>
              <w:rPr>
                <w:sz w:val="24"/>
              </w:rPr>
            </w:r>
            <w:r/>
          </w:p>
        </w:tc>
        <w:tc>
          <w:tcPr>
            <w:tcW w:w="2596" w:type="dxa"/>
            <w:vAlign w:val="center"/>
            <w:textDirection w:val="lrTb"/>
            <w:noWrap w:val="false"/>
          </w:tcPr>
          <w:p>
            <w:pPr>
              <w:pStyle w:val="1023"/>
              <w:tabs>
                <w:tab w:val="left" w:pos="1080" w:leader="none"/>
              </w:tabs>
              <w:rPr>
                <w:sz w:val="24"/>
              </w:rPr>
            </w:pPr>
            <w:r>
              <w:rPr>
                <w:sz w:val="24"/>
              </w:rPr>
              <w:t xml:space="preserve">如有，见第一章《投标邀请》</w:t>
            </w:r>
            <w:r>
              <w:rPr>
                <w:sz w:val="24"/>
              </w:rPr>
            </w:r>
            <w:r/>
          </w:p>
        </w:tc>
        <w:tc>
          <w:tcPr>
            <w:tcW w:w="881" w:type="dxa"/>
            <w:vAlign w:val="center"/>
            <w:textDirection w:val="lrTb"/>
            <w:noWrap w:val="false"/>
          </w:tcPr>
          <w:p>
            <w:pPr>
              <w:pStyle w:val="1023"/>
              <w:tabs>
                <w:tab w:val="left" w:pos="1080" w:leader="none"/>
              </w:tabs>
              <w:rPr>
                <w:sz w:val="24"/>
              </w:rPr>
            </w:pPr>
            <w:r>
              <w:rPr>
                <w:sz w:val="24"/>
              </w:rPr>
            </w:r>
            <w:r/>
          </w:p>
        </w:tc>
      </w:tr>
      <w:tr>
        <w:trPr>
          <w:cantSplit/>
          <w:trHeight w:val="468"/>
        </w:trPr>
        <w:tc>
          <w:tcPr>
            <w:tcW w:w="454" w:type="dxa"/>
            <w:vAlign w:val="center"/>
            <w:textDirection w:val="lrTb"/>
            <w:noWrap w:val="false"/>
          </w:tcPr>
          <w:p>
            <w:pPr>
              <w:pStyle w:val="1023"/>
              <w:jc w:val="center"/>
              <w:tabs>
                <w:tab w:val="left" w:pos="1080" w:leader="none"/>
              </w:tabs>
              <w:rPr>
                <w:sz w:val="24"/>
              </w:rPr>
            </w:pPr>
            <w:r>
              <w:rPr>
                <w:sz w:val="24"/>
              </w:rPr>
              <w:t xml:space="preserve">3</w:t>
            </w:r>
            <w:r>
              <w:rPr>
                <w:sz w:val="24"/>
              </w:rPr>
            </w:r>
            <w:r/>
          </w:p>
        </w:tc>
        <w:tc>
          <w:tcPr>
            <w:tcW w:w="1067" w:type="dxa"/>
            <w:vAlign w:val="center"/>
            <w:textDirection w:val="lrTb"/>
            <w:noWrap w:val="false"/>
          </w:tcPr>
          <w:p>
            <w:pPr>
              <w:pStyle w:val="1023"/>
              <w:tabs>
                <w:tab w:val="left" w:pos="1080" w:leader="none"/>
              </w:tabs>
              <w:rPr>
                <w:sz w:val="24"/>
              </w:rPr>
            </w:pPr>
            <w:r>
              <w:rPr>
                <w:sz w:val="24"/>
              </w:rPr>
              <w:t xml:space="preserve">本项目的特定资格要求</w:t>
            </w:r>
            <w:r>
              <w:rPr>
                <w:sz w:val="24"/>
              </w:rPr>
            </w:r>
            <w:r/>
          </w:p>
        </w:tc>
        <w:tc>
          <w:tcPr>
            <w:tcW w:w="2596" w:type="dxa"/>
            <w:vAlign w:val="center"/>
            <w:textDirection w:val="lrTb"/>
            <w:noWrap w:val="false"/>
          </w:tcPr>
          <w:p>
            <w:pPr>
              <w:pStyle w:val="1023"/>
              <w:tabs>
                <w:tab w:val="left" w:pos="1080" w:leader="none"/>
              </w:tabs>
              <w:rPr>
                <w:sz w:val="24"/>
              </w:rPr>
            </w:pPr>
            <w:r>
              <w:rPr>
                <w:sz w:val="24"/>
              </w:rPr>
              <w:t xml:space="preserve">如有，见第一章《投标邀请》</w:t>
            </w:r>
            <w:r>
              <w:rPr>
                <w:sz w:val="24"/>
              </w:rPr>
            </w:r>
            <w:r/>
          </w:p>
        </w:tc>
        <w:tc>
          <w:tcPr>
            <w:tcW w:w="881" w:type="dxa"/>
            <w:vAlign w:val="center"/>
            <w:textDirection w:val="lrTb"/>
            <w:noWrap w:val="false"/>
          </w:tcPr>
          <w:p>
            <w:pPr>
              <w:pStyle w:val="1023"/>
              <w:tabs>
                <w:tab w:val="left" w:pos="1080" w:leader="none"/>
              </w:tabs>
              <w:rPr>
                <w:sz w:val="24"/>
              </w:rPr>
            </w:pPr>
            <w:r>
              <w:rPr>
                <w:sz w:val="24"/>
              </w:rPr>
            </w:r>
            <w:r/>
          </w:p>
        </w:tc>
      </w:tr>
      <w:tr>
        <w:trPr>
          <w:cantSplit/>
          <w:trHeight w:val="838"/>
        </w:trPr>
        <w:tc>
          <w:tcPr>
            <w:tcW w:w="454" w:type="dxa"/>
            <w:vAlign w:val="center"/>
            <w:textDirection w:val="lrTb"/>
            <w:noWrap w:val="false"/>
          </w:tcPr>
          <w:p>
            <w:pPr>
              <w:pStyle w:val="1023"/>
              <w:jc w:val="center"/>
              <w:tabs>
                <w:tab w:val="left" w:pos="1080" w:leader="none"/>
              </w:tabs>
              <w:rPr>
                <w:sz w:val="24"/>
              </w:rPr>
            </w:pPr>
            <w:r>
              <w:rPr>
                <w:sz w:val="24"/>
              </w:rPr>
              <w:t xml:space="preserve">3-1</w:t>
            </w:r>
            <w:r>
              <w:rPr>
                <w:sz w:val="24"/>
              </w:rPr>
            </w:r>
            <w:r/>
          </w:p>
        </w:tc>
        <w:tc>
          <w:tcPr>
            <w:tcW w:w="1067" w:type="dxa"/>
            <w:vAlign w:val="center"/>
            <w:textDirection w:val="lrTb"/>
            <w:noWrap w:val="false"/>
          </w:tcPr>
          <w:p>
            <w:pPr>
              <w:pStyle w:val="1023"/>
              <w:tabs>
                <w:tab w:val="left" w:pos="1080" w:leader="none"/>
              </w:tabs>
              <w:rPr>
                <w:sz w:val="24"/>
              </w:rPr>
            </w:pPr>
            <w:r>
              <w:rPr>
                <w:sz w:val="24"/>
              </w:rPr>
              <w:t xml:space="preserve">是否接受联合体投标</w:t>
            </w:r>
            <w:r>
              <w:rPr>
                <w:sz w:val="24"/>
              </w:rPr>
            </w:r>
            <w:r/>
          </w:p>
        </w:tc>
        <w:tc>
          <w:tcPr>
            <w:tcW w:w="2596" w:type="dxa"/>
            <w:vAlign w:val="center"/>
            <w:textDirection w:val="lrTb"/>
            <w:noWrap w:val="false"/>
          </w:tcPr>
          <w:p>
            <w:pPr>
              <w:pStyle w:val="1023"/>
              <w:tabs>
                <w:tab w:val="left" w:pos="1080" w:leader="none"/>
              </w:tabs>
              <w:rPr>
                <w:sz w:val="24"/>
              </w:rPr>
            </w:pP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1" w:type="dxa"/>
            <w:vAlign w:val="center"/>
            <w:textDirection w:val="lrTb"/>
            <w:noWrap w:val="false"/>
          </w:tcPr>
          <w:p>
            <w:pPr>
              <w:pStyle w:val="1023"/>
              <w:tabs>
                <w:tab w:val="left" w:pos="1080" w:leader="none"/>
              </w:tabs>
              <w:rPr>
                <w:sz w:val="24"/>
              </w:rPr>
            </w:pPr>
            <w:r>
              <w:rPr>
                <w:sz w:val="24"/>
              </w:rPr>
            </w:r>
            <w:r/>
          </w:p>
        </w:tc>
      </w:tr>
      <w:tr>
        <w:trPr>
          <w:cantSplit/>
          <w:trHeight w:val="460"/>
        </w:trPr>
        <w:tc>
          <w:tcPr>
            <w:tcW w:w="454" w:type="dxa"/>
            <w:vAlign w:val="center"/>
            <w:textDirection w:val="lrTb"/>
            <w:noWrap w:val="false"/>
          </w:tcPr>
          <w:p>
            <w:pPr>
              <w:pStyle w:val="1023"/>
              <w:jc w:val="center"/>
              <w:tabs>
                <w:tab w:val="left" w:pos="1080" w:leader="none"/>
              </w:tabs>
              <w:rPr>
                <w:sz w:val="24"/>
              </w:rPr>
            </w:pPr>
            <w:r>
              <w:rPr>
                <w:sz w:val="24"/>
              </w:rPr>
              <w:t xml:space="preserve">3-2</w:t>
            </w:r>
            <w:r>
              <w:rPr>
                <w:sz w:val="24"/>
              </w:rPr>
            </w:r>
            <w:r/>
          </w:p>
        </w:tc>
        <w:tc>
          <w:tcPr>
            <w:tcW w:w="1067" w:type="dxa"/>
            <w:vAlign w:val="center"/>
            <w:textDirection w:val="lrTb"/>
            <w:noWrap w:val="false"/>
          </w:tcPr>
          <w:p>
            <w:pPr>
              <w:pStyle w:val="1023"/>
              <w:tabs>
                <w:tab w:val="left" w:pos="1080" w:leader="none"/>
              </w:tabs>
              <w:rPr>
                <w:sz w:val="24"/>
              </w:rPr>
            </w:pPr>
            <w:r>
              <w:rPr>
                <w:sz w:val="24"/>
              </w:rPr>
              <w:t xml:space="preserve">其他特定资格要求</w:t>
            </w:r>
            <w:r>
              <w:rPr>
                <w:sz w:val="24"/>
              </w:rPr>
            </w:r>
            <w:r/>
          </w:p>
        </w:tc>
        <w:tc>
          <w:tcPr>
            <w:tcW w:w="2596" w:type="dxa"/>
            <w:vAlign w:val="center"/>
            <w:textDirection w:val="lrTb"/>
            <w:noWrap w:val="false"/>
          </w:tcPr>
          <w:p>
            <w:pPr>
              <w:pStyle w:val="1054"/>
              <w:spacing w:before="0" w:line="360" w:lineRule="auto"/>
              <w:tabs>
                <w:tab w:val="left" w:pos="567" w:leader="none"/>
              </w:tabs>
              <w:rPr>
                <w:rFonts w:hint="eastAsia" w:ascii="宋体" w:hAnsi="宋体"/>
                <w:sz w:val="24"/>
                <w:szCs w:val="24"/>
                <w:lang w:val="en-US" w:eastAsia="zh-CN" w:bidi="ar-SA"/>
              </w:rPr>
            </w:pPr>
            <w:r>
              <w:rPr>
                <w:sz w:val="24"/>
              </w:rPr>
              <w:t xml:space="preserve">如有，见第一章《投标邀请》</w:t>
            </w:r>
            <w:r>
              <w:rPr>
                <w:rFonts w:hint="eastAsia" w:ascii="宋体" w:hAnsi="宋体"/>
                <w:sz w:val="24"/>
                <w:szCs w:val="24"/>
                <w:lang w:val="en-US" w:eastAsia="zh-CN" w:bidi="ar-SA"/>
              </w:rPr>
            </w:r>
            <w:r/>
          </w:p>
        </w:tc>
        <w:tc>
          <w:tcPr>
            <w:tcW w:w="881" w:type="dxa"/>
            <w:vAlign w:val="center"/>
            <w:textDirection w:val="lrTb"/>
            <w:noWrap w:val="false"/>
          </w:tcPr>
          <w:p>
            <w:pPr>
              <w:pStyle w:val="1023"/>
              <w:tabs>
                <w:tab w:val="left" w:pos="1080" w:leader="none"/>
              </w:tabs>
              <w:rPr>
                <w:sz w:val="24"/>
                <w:szCs w:val="24"/>
                <w:lang w:val="en-US" w:eastAsia="zh-CN" w:bidi="ar-SA"/>
              </w:rPr>
            </w:pPr>
            <w:r>
              <w:rPr>
                <w:rFonts w:hint="eastAsia" w:eastAsia="宋体"/>
                <w:sz w:val="24"/>
                <w:highlight w:val="none"/>
                <w:lang w:val="en-US" w:eastAsia="zh-CN"/>
              </w:rPr>
              <w:t xml:space="preserve">提供相关证明文件扫描件加盖公章。</w:t>
            </w:r>
            <w:r>
              <w:rPr>
                <w:sz w:val="24"/>
                <w:szCs w:val="24"/>
                <w:lang w:val="en-US" w:eastAsia="zh-CN" w:bidi="ar-SA"/>
              </w:rPr>
            </w:r>
            <w:r/>
          </w:p>
        </w:tc>
      </w:tr>
    </w:tbl>
    <w:p>
      <w:pPr>
        <w:pStyle w:val="1023"/>
        <w:spacing w:line="360" w:lineRule="auto"/>
        <w:tabs>
          <w:tab w:val="left" w:pos="1080" w:leader="none"/>
        </w:tabs>
        <w:rPr>
          <w:rFonts w:hint="eastAsia" w:ascii="宋体" w:hAnsi="宋体" w:cs="宋体"/>
          <w:sz w:val="24"/>
        </w:rPr>
        <w:outlineLvl w:val="3"/>
      </w:pPr>
      <w:r>
        <w:rPr>
          <w:rFonts w:hint="eastAsia" w:ascii="宋体" w:hAnsi="宋体" w:cs="宋体"/>
          <w:sz w:val="24"/>
        </w:rPr>
      </w:r>
      <w:r/>
    </w:p>
    <w:p>
      <w:pPr>
        <w:pStyle w:val="1023"/>
        <w:spacing w:line="360" w:lineRule="auto"/>
        <w:tabs>
          <w:tab w:val="left" w:pos="1080" w:leader="none"/>
        </w:tabs>
        <w:rPr>
          <w:rFonts w:hint="eastAsia" w:ascii="宋体" w:hAnsi="宋体" w:cs="宋体"/>
          <w:sz w:val="24"/>
        </w:rPr>
        <w:outlineLvl w:val="3"/>
      </w:pPr>
      <w:r>
        <w:rPr>
          <w:rFonts w:hint="eastAsia" w:ascii="宋体" w:hAnsi="宋体" w:cs="宋体"/>
          <w:sz w:val="24"/>
        </w:rPr>
      </w:r>
      <w:r/>
    </w:p>
    <w:p>
      <w:pPr>
        <w:pStyle w:val="1023"/>
        <w:spacing w:line="360" w:lineRule="auto"/>
        <w:tabs>
          <w:tab w:val="left" w:pos="1080" w:leader="none"/>
        </w:tabs>
        <w:rPr>
          <w:rFonts w:hint="eastAsia" w:ascii="宋体" w:hAnsi="宋体" w:cs="宋体"/>
          <w:sz w:val="24"/>
        </w:rPr>
        <w:outlineLvl w:val="3"/>
      </w:pPr>
      <w:r>
        <w:rPr>
          <w:rFonts w:hint="eastAsia" w:ascii="宋体" w:hAnsi="宋体" w:cs="宋体"/>
          <w:sz w:val="24"/>
        </w:rPr>
      </w:r>
      <w:r/>
    </w:p>
    <w:p>
      <w:pPr>
        <w:pStyle w:val="1023"/>
        <w:spacing w:line="360" w:lineRule="auto"/>
        <w:tabs>
          <w:tab w:val="left" w:pos="1080" w:leader="none"/>
        </w:tabs>
        <w:rPr>
          <w:rFonts w:hint="eastAsia" w:ascii="宋体" w:hAnsi="宋体" w:cs="宋体"/>
          <w:sz w:val="24"/>
        </w:rPr>
        <w:outlineLvl w:val="3"/>
      </w:pPr>
      <w:r>
        <w:rPr>
          <w:rFonts w:hint="eastAsia" w:ascii="宋体" w:hAnsi="宋体" w:cs="宋体"/>
          <w:sz w:val="24"/>
        </w:rPr>
      </w:r>
      <w:r/>
    </w:p>
    <w:p>
      <w:pPr>
        <w:pStyle w:val="1023"/>
        <w:spacing w:line="360" w:lineRule="auto"/>
        <w:tabs>
          <w:tab w:val="left" w:pos="1080" w:leader="none"/>
        </w:tabs>
        <w:rPr>
          <w:rFonts w:hint="eastAsia" w:ascii="宋体" w:hAnsi="宋体" w:cs="宋体"/>
          <w:sz w:val="24"/>
        </w:rPr>
        <w:outlineLvl w:val="3"/>
      </w:pPr>
      <w:r>
        <w:rPr>
          <w:rFonts w:hint="eastAsia" w:ascii="宋体" w:hAnsi="宋体" w:cs="宋体"/>
          <w:sz w:val="24"/>
        </w:rPr>
      </w:r>
      <w:r/>
    </w:p>
    <w:p>
      <w:pPr>
        <w:pStyle w:val="1023"/>
        <w:spacing w:line="360" w:lineRule="auto"/>
        <w:tabs>
          <w:tab w:val="left" w:pos="1080" w:leader="none"/>
        </w:tabs>
        <w:rPr>
          <w:rFonts w:hint="eastAsia" w:ascii="宋体" w:hAnsi="宋体" w:cs="宋体"/>
          <w:sz w:val="24"/>
        </w:rPr>
        <w:outlineLvl w:val="3"/>
      </w:pPr>
      <w:r>
        <w:rPr>
          <w:rFonts w:hint="eastAsia" w:ascii="宋体" w:hAnsi="宋体" w:cs="宋体"/>
          <w:sz w:val="24"/>
        </w:rPr>
      </w:r>
      <w:r/>
    </w:p>
    <w:p>
      <w:pPr>
        <w:pStyle w:val="1023"/>
        <w:spacing w:line="360" w:lineRule="auto"/>
        <w:tabs>
          <w:tab w:val="left" w:pos="1080" w:leader="none"/>
        </w:tabs>
        <w:rPr>
          <w:rFonts w:hint="eastAsia" w:ascii="宋体" w:hAnsi="宋体" w:cs="宋体"/>
          <w:sz w:val="24"/>
        </w:rPr>
        <w:outlineLvl w:val="3"/>
      </w:pPr>
      <w:r>
        <w:rPr>
          <w:rFonts w:hint="eastAsia" w:ascii="宋体" w:hAnsi="宋体" w:cs="宋体"/>
          <w:sz w:val="24"/>
        </w:rPr>
      </w:r>
      <w:r/>
    </w:p>
    <w:p>
      <w:pPr>
        <w:pStyle w:val="1023"/>
        <w:spacing w:line="360" w:lineRule="auto"/>
        <w:tabs>
          <w:tab w:val="left" w:pos="1080" w:leader="none"/>
        </w:tabs>
        <w:rPr>
          <w:rFonts w:ascii="宋体" w:hAnsi="宋体" w:cs="宋体"/>
          <w:sz w:val="24"/>
        </w:rPr>
        <w:outlineLvl w:val="3"/>
      </w:pPr>
      <w:r>
        <w:rPr>
          <w:rFonts w:ascii="宋体" w:hAnsi="宋体" w:cs="宋体"/>
          <w:sz w:val="24"/>
        </w:rPr>
      </w:r>
      <w:r/>
    </w:p>
    <w:p>
      <w:pPr>
        <w:pStyle w:val="1054"/>
        <w:tabs>
          <w:tab w:val="left" w:pos="567" w:leader="none"/>
        </w:tabs>
        <w:rPr>
          <w:rFonts w:hint="eastAsia"/>
        </w:rPr>
      </w:pPr>
      <w:r>
        <w:rPr>
          <w:rFonts w:hint="eastAsia"/>
        </w:rPr>
      </w:r>
      <w:r/>
    </w:p>
    <w:p>
      <w:pPr>
        <w:pStyle w:val="1023"/>
        <w:jc w:val="center"/>
        <w:spacing w:line="360" w:lineRule="auto"/>
        <w:rPr>
          <w:b/>
          <w:sz w:val="36"/>
          <w:szCs w:val="36"/>
        </w:rPr>
        <w:outlineLvl w:val="0"/>
      </w:pPr>
      <w:r/>
      <w:bookmarkStart w:id="743" w:name="_Toc99301423"/>
      <w:r>
        <w:rPr>
          <w:b/>
          <w:sz w:val="36"/>
          <w:szCs w:val="36"/>
        </w:rPr>
        <w:br w:type="page" w:clear="all"/>
      </w:r>
      <w:bookmarkStart w:id="744" w:name="_Toc28719"/>
      <w:r>
        <w:rPr>
          <w:b/>
          <w:sz w:val="36"/>
          <w:szCs w:val="36"/>
        </w:rPr>
        <w:t xml:space="preserve">第四章   </w:t>
      </w:r>
      <w:bookmarkStart w:id="745" w:name="_Hlt164229061"/>
      <w:r/>
      <w:bookmarkEnd w:id="745"/>
      <w:r>
        <w:rPr>
          <w:b/>
          <w:sz w:val="36"/>
          <w:szCs w:val="36"/>
        </w:rPr>
        <w:t xml:space="preserve">评标程序、评标方法和评标标准</w:t>
      </w:r>
      <w:bookmarkEnd w:id="743"/>
      <w:r/>
      <w:bookmarkEnd w:id="744"/>
      <w:r>
        <w:rPr>
          <w:b/>
          <w:sz w:val="36"/>
          <w:szCs w:val="36"/>
        </w:rPr>
      </w:r>
      <w:r/>
    </w:p>
    <w:p>
      <w:pPr>
        <w:pStyle w:val="1023"/>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023"/>
        <w:numPr>
          <w:ilvl w:val="0"/>
          <w:numId w:val="11"/>
        </w:numPr>
        <w:spacing w:line="360" w:lineRule="auto"/>
        <w:tabs>
          <w:tab w:val="left" w:pos="360" w:leader="none"/>
          <w:tab w:val="left" w:pos="900" w:leader="none"/>
        </w:tabs>
        <w:rPr>
          <w:sz w:val="24"/>
        </w:rPr>
        <w:outlineLvl w:val="1"/>
      </w:pPr>
      <w:r/>
      <w:bookmarkStart w:id="746" w:name="_Toc142311043"/>
      <w:r/>
      <w:bookmarkStart w:id="747" w:name="_Toc150774746"/>
      <w:r/>
      <w:bookmarkStart w:id="748" w:name="_Toc151190168"/>
      <w:r/>
      <w:bookmarkStart w:id="749" w:name="_Toc127151742"/>
      <w:r/>
      <w:bookmarkStart w:id="750" w:name="_Toc164608810"/>
      <w:r/>
      <w:bookmarkStart w:id="751" w:name="_Toc226337237"/>
      <w:r/>
      <w:bookmarkStart w:id="752" w:name="_Toc226965814"/>
      <w:r/>
      <w:bookmarkStart w:id="753" w:name="_Toc195842906"/>
      <w:r/>
      <w:bookmarkStart w:id="754" w:name="_Toc151193929"/>
      <w:r/>
      <w:bookmarkStart w:id="755" w:name="_Toc305158809"/>
      <w:r/>
      <w:bookmarkStart w:id="756" w:name="_Toc150509292"/>
      <w:r/>
      <w:bookmarkStart w:id="757" w:name="_Toc151193855"/>
      <w:r/>
      <w:bookmarkStart w:id="758" w:name="_Toc150480779"/>
      <w:r/>
      <w:bookmarkStart w:id="759" w:name="_Toc226965731"/>
      <w:r/>
      <w:bookmarkStart w:id="760" w:name="_Toc305158883"/>
      <w:r/>
      <w:bookmarkStart w:id="761" w:name="_Toc149720834"/>
      <w:r/>
      <w:bookmarkStart w:id="762" w:name="_Toc127151541"/>
      <w:r/>
      <w:bookmarkStart w:id="763" w:name="_Toc164351635"/>
      <w:r/>
      <w:bookmarkStart w:id="764" w:name="_Toc265228379"/>
      <w:r/>
      <w:bookmarkStart w:id="765" w:name="_Toc127161455"/>
      <w:r/>
      <w:bookmarkStart w:id="766" w:name="_Toc264969231"/>
      <w:r/>
      <w:bookmarkStart w:id="767" w:name="_Toc150774641"/>
      <w:r/>
      <w:bookmarkStart w:id="768" w:name="_Toc164608655"/>
      <w:r/>
      <w:bookmarkStart w:id="769" w:name="_Toc151193783"/>
      <w:r/>
      <w:bookmarkStart w:id="770" w:name="_Toc164229236"/>
      <w:r/>
      <w:bookmarkStart w:id="771" w:name="_Toc151193639"/>
      <w:r/>
      <w:bookmarkStart w:id="772" w:name="_Toc151193711"/>
      <w:r/>
      <w:bookmarkStart w:id="773" w:name="_Toc226309785"/>
      <w:r/>
      <w:bookmarkStart w:id="774" w:name="_Toc164229382"/>
      <w:r>
        <w:rPr>
          <w:sz w:val="24"/>
        </w:rPr>
        <w:t xml:space="preserve">投标文件的符合性审查</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rPr>
          <w:sz w:val="24"/>
        </w:rPr>
      </w:r>
      <w:r/>
    </w:p>
    <w:p>
      <w:pPr>
        <w:pStyle w:val="1023"/>
        <w:numPr>
          <w:ilvl w:val="1"/>
          <w:numId w:val="11"/>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5" w:name="_Toc520356167"/>
      <w:r>
        <w:rPr>
          <w:sz w:val="24"/>
        </w:rPr>
      </w:r>
      <w:r/>
    </w:p>
    <w:p>
      <w:pPr>
        <w:pStyle w:val="1023"/>
        <w:numPr>
          <w:ilvl w:val="1"/>
          <w:numId w:val="11"/>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5"/>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023"/>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701"/>
        <w:gridCol w:w="6321"/>
      </w:tblGrid>
      <w:tr>
        <w:trPr>
          <w:trHeight w:val="509"/>
        </w:trPr>
        <w:tc>
          <w:tcPr>
            <w:tcW w:w="401" w:type="dxa"/>
            <w:vAlign w:val="center"/>
            <w:textDirection w:val="lrTb"/>
            <w:noWrap w:val="false"/>
          </w:tcPr>
          <w:p>
            <w:pPr>
              <w:pStyle w:val="1023"/>
              <w:jc w:val="center"/>
              <w:widowControl/>
              <w:rPr>
                <w:b/>
                <w:color w:val="000000"/>
                <w:sz w:val="24"/>
              </w:rPr>
            </w:pPr>
            <w:r>
              <w:rPr>
                <w:b/>
                <w:color w:val="000000"/>
                <w:sz w:val="24"/>
              </w:rPr>
              <w:t xml:space="preserve">序号</w:t>
            </w:r>
            <w:r>
              <w:rPr>
                <w:b/>
                <w:color w:val="000000"/>
                <w:sz w:val="24"/>
              </w:rPr>
            </w:r>
            <w:r/>
          </w:p>
        </w:tc>
        <w:tc>
          <w:tcPr>
            <w:tcW w:w="975" w:type="dxa"/>
            <w:vAlign w:val="center"/>
            <w:textDirection w:val="lrTb"/>
            <w:noWrap w:val="false"/>
          </w:tcPr>
          <w:p>
            <w:pPr>
              <w:pStyle w:val="1023"/>
              <w:jc w:val="center"/>
              <w:widowControl/>
              <w:rPr>
                <w:b/>
                <w:color w:val="000000"/>
                <w:sz w:val="24"/>
              </w:rPr>
            </w:pPr>
            <w:r>
              <w:rPr>
                <w:b/>
                <w:color w:val="000000"/>
                <w:sz w:val="24"/>
              </w:rPr>
              <w:t xml:space="preserve">审查因素</w:t>
            </w:r>
            <w:r>
              <w:rPr>
                <w:b/>
                <w:color w:val="000000"/>
                <w:sz w:val="24"/>
              </w:rPr>
            </w:r>
            <w:r/>
          </w:p>
        </w:tc>
        <w:tc>
          <w:tcPr>
            <w:tcW w:w="3623" w:type="dxa"/>
            <w:vAlign w:val="center"/>
            <w:textDirection w:val="lrTb"/>
            <w:noWrap w:val="false"/>
          </w:tcPr>
          <w:p>
            <w:pPr>
              <w:pStyle w:val="1023"/>
              <w:jc w:val="center"/>
              <w:widowControl/>
              <w:rPr>
                <w:b/>
                <w:color w:val="000000"/>
                <w:sz w:val="24"/>
              </w:rPr>
            </w:pPr>
            <w:r>
              <w:rPr>
                <w:b/>
                <w:color w:val="000000"/>
                <w:sz w:val="24"/>
              </w:rPr>
              <w:t xml:space="preserve">审查内容</w:t>
            </w:r>
            <w:r>
              <w:rPr>
                <w:b/>
                <w:color w:val="000000"/>
                <w:sz w:val="24"/>
              </w:rPr>
            </w:r>
            <w:r/>
          </w:p>
        </w:tc>
      </w:tr>
      <w:tr>
        <w:trPr>
          <w:trHeight w:val="1754"/>
        </w:trPr>
        <w:tc>
          <w:tcPr>
            <w:tcW w:w="401" w:type="dxa"/>
            <w:vAlign w:val="center"/>
            <w:textDirection w:val="lrTb"/>
            <w:noWrap w:val="false"/>
          </w:tcPr>
          <w:p>
            <w:pPr>
              <w:pStyle w:val="1023"/>
              <w:jc w:val="center"/>
              <w:widowControl/>
              <w:rPr>
                <w:color w:val="000000"/>
                <w:sz w:val="24"/>
              </w:rPr>
            </w:pPr>
            <w:r>
              <w:rPr>
                <w:color w:val="000000"/>
                <w:sz w:val="24"/>
              </w:rPr>
              <w:t xml:space="preserve">1</w:t>
            </w:r>
            <w:r>
              <w:rPr>
                <w:color w:val="000000"/>
                <w:sz w:val="24"/>
              </w:rPr>
            </w:r>
            <w:r/>
          </w:p>
        </w:tc>
        <w:tc>
          <w:tcPr>
            <w:tcW w:w="975" w:type="dxa"/>
            <w:vAlign w:val="center"/>
            <w:textDirection w:val="lrTb"/>
            <w:noWrap w:val="false"/>
          </w:tcPr>
          <w:p>
            <w:pPr>
              <w:pStyle w:val="1023"/>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623" w:type="dxa"/>
            <w:vAlign w:val="center"/>
            <w:textDirection w:val="lrTb"/>
            <w:noWrap w:val="false"/>
          </w:tcPr>
          <w:p>
            <w:pPr>
              <w:pStyle w:val="1023"/>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401" w:type="dxa"/>
            <w:vAlign w:val="center"/>
            <w:textDirection w:val="lrTb"/>
            <w:noWrap w:val="false"/>
          </w:tcPr>
          <w:p>
            <w:pPr>
              <w:pStyle w:val="1023"/>
              <w:jc w:val="center"/>
              <w:widowControl/>
              <w:rPr>
                <w:color w:val="000000"/>
                <w:sz w:val="24"/>
              </w:rPr>
            </w:pPr>
            <w:r>
              <w:rPr>
                <w:color w:val="000000"/>
                <w:sz w:val="24"/>
              </w:rPr>
              <w:t xml:space="preserve">2</w:t>
            </w:r>
            <w:r>
              <w:rPr>
                <w:color w:val="000000"/>
                <w:sz w:val="24"/>
              </w:rPr>
            </w:r>
            <w:r/>
          </w:p>
        </w:tc>
        <w:tc>
          <w:tcPr>
            <w:tcW w:w="975" w:type="dxa"/>
            <w:vAlign w:val="center"/>
            <w:textDirection w:val="lrTb"/>
            <w:noWrap w:val="false"/>
          </w:tcPr>
          <w:p>
            <w:pPr>
              <w:pStyle w:val="1023"/>
              <w:jc w:val="left"/>
              <w:widowControl/>
              <w:rPr>
                <w:color w:val="000000"/>
                <w:sz w:val="24"/>
              </w:rPr>
            </w:pPr>
            <w:r>
              <w:rPr>
                <w:color w:val="000000"/>
                <w:sz w:val="24"/>
              </w:rPr>
              <w:t xml:space="preserve">投标完整性</w:t>
            </w:r>
            <w:r>
              <w:rPr>
                <w:color w:val="000000"/>
                <w:sz w:val="24"/>
              </w:rPr>
            </w:r>
            <w:r/>
          </w:p>
        </w:tc>
        <w:tc>
          <w:tcPr>
            <w:tcW w:w="3623" w:type="dxa"/>
            <w:vAlign w:val="center"/>
            <w:textDirection w:val="lrTb"/>
            <w:noWrap w:val="false"/>
          </w:tcPr>
          <w:p>
            <w:pPr>
              <w:pStyle w:val="1023"/>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401" w:type="dxa"/>
            <w:vAlign w:val="center"/>
            <w:textDirection w:val="lrTb"/>
            <w:noWrap w:val="false"/>
          </w:tcPr>
          <w:p>
            <w:pPr>
              <w:pStyle w:val="1023"/>
              <w:jc w:val="center"/>
              <w:widowControl/>
              <w:rPr>
                <w:color w:val="000000"/>
                <w:sz w:val="24"/>
              </w:rPr>
            </w:pPr>
            <w:r>
              <w:rPr>
                <w:color w:val="000000"/>
                <w:sz w:val="24"/>
              </w:rPr>
              <w:t xml:space="preserve">3</w:t>
            </w:r>
            <w:r>
              <w:rPr>
                <w:color w:val="000000"/>
                <w:sz w:val="24"/>
              </w:rPr>
            </w:r>
            <w:r/>
          </w:p>
        </w:tc>
        <w:tc>
          <w:tcPr>
            <w:tcW w:w="975" w:type="dxa"/>
            <w:vAlign w:val="center"/>
            <w:textDirection w:val="lrTb"/>
            <w:noWrap w:val="false"/>
          </w:tcPr>
          <w:p>
            <w:pPr>
              <w:pStyle w:val="1023"/>
              <w:jc w:val="left"/>
              <w:widowControl/>
              <w:rPr>
                <w:color w:val="000000"/>
                <w:sz w:val="24"/>
              </w:rPr>
            </w:pPr>
            <w:r>
              <w:rPr>
                <w:b/>
                <w:bCs/>
                <w:color w:val="000000"/>
                <w:sz w:val="24"/>
              </w:rPr>
              <w:t xml:space="preserve">投标报价</w:t>
            </w:r>
            <w:r>
              <w:rPr>
                <w:color w:val="000000"/>
                <w:sz w:val="24"/>
              </w:rPr>
            </w:r>
            <w:r/>
          </w:p>
        </w:tc>
        <w:tc>
          <w:tcPr>
            <w:tcW w:w="3623" w:type="dxa"/>
            <w:vAlign w:val="center"/>
            <w:textDirection w:val="lrTb"/>
            <w:noWrap w:val="false"/>
          </w:tcPr>
          <w:p>
            <w:pPr>
              <w:pStyle w:val="1023"/>
              <w:jc w:val="left"/>
              <w:widowControl/>
              <w:rPr>
                <w:color w:val="000000"/>
                <w:sz w:val="24"/>
              </w:rPr>
            </w:pPr>
            <w:r>
              <w:rPr>
                <w:rFonts w:hint="eastAsia"/>
                <w:b/>
                <w:bCs/>
                <w:color w:val="000000"/>
                <w:sz w:val="24"/>
                <w:highlight w:val="none"/>
              </w:rPr>
              <w:t xml:space="preserve">投标</w:t>
            </w:r>
            <w:r>
              <w:rPr>
                <w:b/>
                <w:bCs/>
                <w:color w:val="000000"/>
                <w:sz w:val="24"/>
                <w:highlight w:val="none"/>
              </w:rPr>
              <w:t xml:space="preserve">报价</w:t>
            </w:r>
            <w:r>
              <w:rPr>
                <w:rFonts w:hint="eastAsia"/>
                <w:b/>
                <w:bCs/>
                <w:color w:val="000000"/>
                <w:sz w:val="24"/>
                <w:highlight w:val="none"/>
              </w:rPr>
              <w:t xml:space="preserve">未</w:t>
            </w:r>
            <w:r>
              <w:rPr>
                <w:b/>
                <w:bCs/>
                <w:color w:val="000000"/>
                <w:sz w:val="24"/>
                <w:highlight w:val="none"/>
              </w:rPr>
              <w:t xml:space="preserve">超过</w:t>
            </w:r>
            <w:r>
              <w:rPr>
                <w:rFonts w:hint="eastAsia"/>
                <w:b/>
                <w:bCs/>
                <w:color w:val="000000"/>
                <w:sz w:val="24"/>
                <w:highlight w:val="none"/>
              </w:rPr>
              <w:t xml:space="preserve">采购文件</w:t>
            </w:r>
            <w:r>
              <w:rPr>
                <w:b/>
                <w:bCs/>
                <w:color w:val="000000"/>
                <w:sz w:val="24"/>
                <w:highlight w:val="none"/>
              </w:rPr>
              <w:t xml:space="preserve">中规定的项目预算金额</w:t>
            </w:r>
            <w:r>
              <w:rPr>
                <w:rFonts w:hint="eastAsia"/>
                <w:b/>
                <w:bCs/>
                <w:color w:val="000000"/>
                <w:sz w:val="24"/>
                <w:highlight w:val="none"/>
              </w:rPr>
              <w:t xml:space="preserve">、</w:t>
            </w:r>
            <w:r>
              <w:rPr>
                <w:b/>
                <w:bCs/>
                <w:color w:val="000000"/>
                <w:sz w:val="24"/>
                <w:highlight w:val="none"/>
              </w:rPr>
              <w:t xml:space="preserve">最高限价；</w:t>
            </w:r>
            <w:r>
              <w:rPr>
                <w:color w:val="000000"/>
                <w:sz w:val="24"/>
              </w:rPr>
            </w:r>
            <w:r/>
          </w:p>
        </w:tc>
      </w:tr>
      <w:tr>
        <w:trPr>
          <w:trHeight w:val="685"/>
        </w:trPr>
        <w:tc>
          <w:tcPr>
            <w:tcW w:w="401" w:type="dxa"/>
            <w:vAlign w:val="center"/>
            <w:textDirection w:val="lrTb"/>
            <w:noWrap w:val="false"/>
          </w:tcPr>
          <w:p>
            <w:pPr>
              <w:pStyle w:val="1023"/>
              <w:jc w:val="center"/>
              <w:widowControl/>
              <w:rPr>
                <w:color w:val="000000"/>
                <w:sz w:val="24"/>
              </w:rPr>
            </w:pPr>
            <w:r>
              <w:rPr>
                <w:color w:val="000000"/>
                <w:sz w:val="24"/>
              </w:rPr>
              <w:t xml:space="preserve">4</w:t>
            </w:r>
            <w:r>
              <w:rPr>
                <w:color w:val="000000"/>
                <w:sz w:val="24"/>
              </w:rPr>
            </w:r>
            <w:r/>
          </w:p>
        </w:tc>
        <w:tc>
          <w:tcPr>
            <w:tcW w:w="975" w:type="dxa"/>
            <w:vAlign w:val="center"/>
            <w:textDirection w:val="lrTb"/>
            <w:noWrap w:val="false"/>
          </w:tcPr>
          <w:p>
            <w:pPr>
              <w:pStyle w:val="1023"/>
              <w:jc w:val="left"/>
              <w:widowControl/>
              <w:rPr>
                <w:color w:val="000000"/>
                <w:sz w:val="24"/>
              </w:rPr>
            </w:pPr>
            <w:r>
              <w:rPr>
                <w:color w:val="000000"/>
                <w:sz w:val="24"/>
              </w:rPr>
              <w:t xml:space="preserve">报价唯一性</w:t>
            </w:r>
            <w:r>
              <w:rPr>
                <w:color w:val="000000"/>
                <w:sz w:val="24"/>
              </w:rPr>
            </w:r>
            <w:r/>
          </w:p>
        </w:tc>
        <w:tc>
          <w:tcPr>
            <w:tcW w:w="3623" w:type="dxa"/>
            <w:vAlign w:val="center"/>
            <w:textDirection w:val="lrTb"/>
            <w:noWrap w:val="false"/>
          </w:tcPr>
          <w:p>
            <w:pPr>
              <w:pStyle w:val="1023"/>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401" w:type="dxa"/>
            <w:vAlign w:val="center"/>
            <w:textDirection w:val="lrTb"/>
            <w:noWrap w:val="false"/>
          </w:tcPr>
          <w:p>
            <w:pPr>
              <w:pStyle w:val="1023"/>
              <w:jc w:val="center"/>
              <w:widowControl/>
              <w:rPr>
                <w:color w:val="000000"/>
                <w:sz w:val="24"/>
              </w:rPr>
            </w:pPr>
            <w:r>
              <w:rPr>
                <w:color w:val="000000"/>
                <w:sz w:val="24"/>
              </w:rPr>
              <w:t xml:space="preserve">5</w:t>
            </w:r>
            <w:r>
              <w:rPr>
                <w:color w:val="000000"/>
                <w:sz w:val="24"/>
              </w:rPr>
            </w:r>
            <w:r/>
          </w:p>
        </w:tc>
        <w:tc>
          <w:tcPr>
            <w:tcW w:w="975" w:type="dxa"/>
            <w:vAlign w:val="center"/>
            <w:textDirection w:val="lrTb"/>
            <w:noWrap w:val="false"/>
          </w:tcPr>
          <w:p>
            <w:pPr>
              <w:pStyle w:val="1023"/>
              <w:jc w:val="left"/>
              <w:widowControl/>
              <w:rPr>
                <w:color w:val="000000"/>
                <w:sz w:val="24"/>
              </w:rPr>
            </w:pPr>
            <w:r>
              <w:rPr>
                <w:color w:val="000000"/>
                <w:sz w:val="24"/>
              </w:rPr>
              <w:t xml:space="preserve">投标有效期</w:t>
            </w:r>
            <w:r>
              <w:rPr>
                <w:color w:val="000000"/>
                <w:sz w:val="24"/>
              </w:rPr>
            </w:r>
            <w:r/>
          </w:p>
        </w:tc>
        <w:tc>
          <w:tcPr>
            <w:tcW w:w="3623" w:type="dxa"/>
            <w:vAlign w:val="center"/>
            <w:textDirection w:val="lrTb"/>
            <w:noWrap w:val="false"/>
          </w:tcPr>
          <w:p>
            <w:pPr>
              <w:pStyle w:val="1023"/>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401" w:type="dxa"/>
            <w:vAlign w:val="center"/>
            <w:textDirection w:val="lrTb"/>
            <w:noWrap w:val="false"/>
          </w:tcPr>
          <w:p>
            <w:pPr>
              <w:pStyle w:val="1023"/>
              <w:jc w:val="center"/>
              <w:widowControl/>
              <w:rPr>
                <w:color w:val="000000"/>
                <w:sz w:val="24"/>
              </w:rPr>
            </w:pPr>
            <w:r>
              <w:rPr>
                <w:color w:val="000000"/>
                <w:sz w:val="24"/>
              </w:rPr>
              <w:t xml:space="preserve">6</w:t>
            </w:r>
            <w:r>
              <w:rPr>
                <w:color w:val="000000"/>
                <w:sz w:val="24"/>
              </w:rPr>
            </w:r>
            <w:r/>
          </w:p>
        </w:tc>
        <w:tc>
          <w:tcPr>
            <w:tcW w:w="975" w:type="dxa"/>
            <w:vAlign w:val="center"/>
            <w:textDirection w:val="lrTb"/>
            <w:noWrap w:val="false"/>
          </w:tcPr>
          <w:p>
            <w:pPr>
              <w:pStyle w:val="1023"/>
              <w:jc w:val="left"/>
              <w:widowControl/>
              <w:rPr>
                <w:color w:val="000000"/>
                <w:sz w:val="24"/>
              </w:rPr>
            </w:pPr>
            <w:r>
              <w:rPr>
                <w:color w:val="000000"/>
                <w:sz w:val="24"/>
              </w:rPr>
              <w:t xml:space="preserve">签署、加盖公章</w:t>
            </w:r>
            <w:r>
              <w:rPr>
                <w:color w:val="000000"/>
                <w:sz w:val="24"/>
              </w:rPr>
            </w:r>
            <w:r/>
          </w:p>
        </w:tc>
        <w:tc>
          <w:tcPr>
            <w:tcW w:w="3623" w:type="dxa"/>
            <w:vAlign w:val="center"/>
            <w:textDirection w:val="lrTb"/>
            <w:noWrap w:val="false"/>
          </w:tcPr>
          <w:p>
            <w:pPr>
              <w:pStyle w:val="1023"/>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401" w:type="dxa"/>
            <w:vAlign w:val="center"/>
            <w:textDirection w:val="lrTb"/>
            <w:noWrap w:val="false"/>
          </w:tcPr>
          <w:p>
            <w:pPr>
              <w:pStyle w:val="1023"/>
              <w:jc w:val="center"/>
              <w:widowControl/>
              <w:rPr>
                <w:color w:val="000000"/>
                <w:sz w:val="24"/>
              </w:rPr>
            </w:pPr>
            <w:r>
              <w:rPr>
                <w:rFonts w:hint="eastAsia"/>
                <w:color w:val="000000"/>
                <w:sz w:val="24"/>
              </w:rPr>
              <w:t xml:space="preserve">7</w:t>
            </w:r>
            <w:r>
              <w:rPr>
                <w:color w:val="000000"/>
                <w:sz w:val="24"/>
              </w:rPr>
            </w:r>
            <w:r/>
          </w:p>
        </w:tc>
        <w:tc>
          <w:tcPr>
            <w:tcW w:w="975" w:type="dxa"/>
            <w:vAlign w:val="center"/>
            <w:textDirection w:val="lrTb"/>
            <w:noWrap w:val="false"/>
          </w:tcPr>
          <w:p>
            <w:pPr>
              <w:pStyle w:val="1023"/>
              <w:jc w:val="left"/>
              <w:widowControl/>
              <w:rPr>
                <w:color w:val="000000"/>
                <w:sz w:val="24"/>
              </w:rPr>
            </w:pPr>
            <w:r>
              <w:rPr>
                <w:rFonts w:hint="eastAsia"/>
                <w:color w:val="000000"/>
                <w:sz w:val="24"/>
              </w:rPr>
              <w:t xml:space="preserve">实质性格式</w:t>
            </w:r>
            <w:r>
              <w:rPr>
                <w:color w:val="000000"/>
                <w:sz w:val="24"/>
              </w:rPr>
            </w:r>
            <w:r/>
          </w:p>
        </w:tc>
        <w:tc>
          <w:tcPr>
            <w:tcW w:w="3623" w:type="dxa"/>
            <w:vAlign w:val="center"/>
            <w:textDirection w:val="lrTb"/>
            <w:noWrap w:val="false"/>
          </w:tcPr>
          <w:p>
            <w:pPr>
              <w:pStyle w:val="1023"/>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918"/>
        </w:trPr>
        <w:tc>
          <w:tcPr>
            <w:tcW w:w="401" w:type="dxa"/>
            <w:vAlign w:val="center"/>
            <w:textDirection w:val="lrTb"/>
            <w:noWrap w:val="false"/>
          </w:tcPr>
          <w:p>
            <w:pPr>
              <w:pStyle w:val="1023"/>
              <w:jc w:val="center"/>
              <w:widowControl/>
              <w:rPr>
                <w:rFonts w:hint="eastAsia" w:eastAsia="宋体"/>
                <w:color w:val="000000"/>
                <w:sz w:val="24"/>
                <w:lang w:val="en-US" w:eastAsia="zh-CN"/>
              </w:rPr>
            </w:pPr>
            <w:r>
              <w:rPr>
                <w:rFonts w:hint="eastAsia"/>
                <w:color w:val="000000"/>
                <w:sz w:val="24"/>
                <w:lang w:val="en-US" w:eastAsia="zh-CN"/>
              </w:rPr>
              <w:t xml:space="preserve">8</w:t>
            </w:r>
            <w:r>
              <w:rPr>
                <w:rFonts w:hint="eastAsia" w:eastAsia="宋体"/>
                <w:color w:val="000000"/>
                <w:sz w:val="24"/>
                <w:lang w:val="en-US" w:eastAsia="zh-CN"/>
              </w:rPr>
            </w:r>
            <w:r/>
          </w:p>
        </w:tc>
        <w:tc>
          <w:tcPr>
            <w:tcW w:w="975" w:type="dxa"/>
            <w:vAlign w:val="center"/>
            <w:textDirection w:val="lrTb"/>
            <w:noWrap w:val="false"/>
          </w:tcPr>
          <w:p>
            <w:pPr>
              <w:pStyle w:val="1023"/>
              <w:jc w:val="left"/>
              <w:widowControl/>
              <w:rPr>
                <w:rFonts w:hint="eastAsia"/>
                <w:b w:val="0"/>
                <w:bCs w:val="0"/>
                <w:color w:val="000000"/>
                <w:sz w:val="24"/>
                <w:szCs w:val="24"/>
                <w:highlight w:val="none"/>
                <w:lang w:val="en-US" w:eastAsia="zh-CN" w:bidi="ar-SA"/>
              </w:rPr>
            </w:pPr>
            <w:r>
              <w:rPr>
                <w:b w:val="0"/>
                <w:bCs w:val="0"/>
                <w:color w:val="000000"/>
                <w:sz w:val="24"/>
                <w:highlight w:val="none"/>
              </w:rPr>
              <w:t xml:space="preserve">报价的修正</w:t>
            </w:r>
            <w:r>
              <w:rPr>
                <w:rFonts w:hint="eastAsia"/>
                <w:b w:val="0"/>
                <w:bCs w:val="0"/>
                <w:color w:val="000000"/>
                <w:sz w:val="24"/>
                <w:szCs w:val="24"/>
                <w:highlight w:val="none"/>
                <w:lang w:val="en-US" w:eastAsia="zh-CN" w:bidi="ar-SA"/>
              </w:rPr>
            </w:r>
            <w:r/>
          </w:p>
        </w:tc>
        <w:tc>
          <w:tcPr>
            <w:tcW w:w="3623" w:type="dxa"/>
            <w:vAlign w:val="center"/>
            <w:textDirection w:val="lrTb"/>
            <w:noWrap w:val="false"/>
          </w:tcPr>
          <w:p>
            <w:pPr>
              <w:pStyle w:val="1023"/>
              <w:jc w:val="left"/>
              <w:widowControl/>
              <w:rPr>
                <w:rFonts w:hint="eastAsia"/>
                <w:b w:val="0"/>
                <w:bCs w:val="0"/>
                <w:color w:val="000000"/>
                <w:sz w:val="24"/>
                <w:szCs w:val="24"/>
                <w:highlight w:val="none"/>
                <w:lang w:val="en-US" w:eastAsia="zh-CN" w:bidi="ar-SA"/>
              </w:rPr>
            </w:pPr>
            <w:r>
              <w:rPr>
                <w:rFonts w:hint="eastAsia"/>
                <w:b w:val="0"/>
                <w:bCs w:val="0"/>
                <w:color w:val="000000"/>
                <w:sz w:val="24"/>
                <w:highlight w:val="none"/>
              </w:rPr>
              <w:t xml:space="preserve">不涉及报价修正</w:t>
            </w:r>
            <w:r>
              <w:rPr>
                <w:b w:val="0"/>
                <w:bCs w:val="0"/>
                <w:color w:val="000000"/>
                <w:sz w:val="24"/>
                <w:highlight w:val="none"/>
              </w:rPr>
              <w:t xml:space="preserve">，或投标文件报价出现前后不一致</w:t>
            </w:r>
            <w:r>
              <w:rPr>
                <w:rFonts w:hint="eastAsia"/>
                <w:b w:val="0"/>
                <w:bCs w:val="0"/>
                <w:color w:val="000000"/>
                <w:sz w:val="24"/>
                <w:highlight w:val="none"/>
              </w:rPr>
              <w:t xml:space="preserve">时</w:t>
            </w:r>
            <w:r>
              <w:rPr>
                <w:b w:val="0"/>
                <w:bCs w:val="0"/>
                <w:color w:val="000000"/>
                <w:sz w:val="24"/>
                <w:highlight w:val="none"/>
              </w:rPr>
              <w:t xml:space="preserve">，投标人对修正后的报价予</w:t>
            </w:r>
            <w:r>
              <w:rPr>
                <w:rFonts w:hint="eastAsia"/>
                <w:b w:val="0"/>
                <w:bCs w:val="0"/>
                <w:color w:val="000000"/>
                <w:sz w:val="24"/>
                <w:highlight w:val="none"/>
              </w:rPr>
              <w:t xml:space="preserve">以</w:t>
            </w:r>
            <w:r>
              <w:rPr>
                <w:b w:val="0"/>
                <w:bCs w:val="0"/>
                <w:color w:val="000000"/>
                <w:sz w:val="24"/>
                <w:highlight w:val="none"/>
              </w:rPr>
              <w:t xml:space="preserve">确认；</w:t>
            </w:r>
            <w:r>
              <w:rPr>
                <w:rFonts w:hint="eastAsia"/>
                <w:b w:val="0"/>
                <w:bCs w:val="0"/>
                <w:color w:val="000000"/>
                <w:sz w:val="24"/>
                <w:szCs w:val="24"/>
                <w:highlight w:val="none"/>
                <w:lang w:val="en-US" w:eastAsia="zh-CN" w:bidi="ar-SA"/>
              </w:rPr>
            </w:r>
            <w:r/>
          </w:p>
        </w:tc>
      </w:tr>
      <w:tr>
        <w:trPr>
          <w:trHeight w:val="1108"/>
        </w:trPr>
        <w:tc>
          <w:tcPr>
            <w:tcW w:w="401" w:type="dxa"/>
            <w:vAlign w:val="center"/>
            <w:textDirection w:val="lrTb"/>
            <w:noWrap w:val="false"/>
          </w:tcPr>
          <w:p>
            <w:pPr>
              <w:pStyle w:val="1023"/>
              <w:jc w:val="center"/>
              <w:widowControl/>
              <w:rPr>
                <w:rFonts w:eastAsia="宋体"/>
                <w:color w:val="000000"/>
                <w:sz w:val="24"/>
                <w:lang w:val="en-US" w:eastAsia="zh-CN"/>
              </w:rPr>
            </w:pPr>
            <w:r>
              <w:rPr>
                <w:rFonts w:hint="eastAsia"/>
                <w:color w:val="000000"/>
                <w:sz w:val="24"/>
                <w:lang w:val="en-US" w:eastAsia="zh-CN"/>
              </w:rPr>
              <w:t xml:space="preserve">9</w:t>
            </w:r>
            <w:r>
              <w:rPr>
                <w:rFonts w:eastAsia="宋体"/>
                <w:color w:val="000000"/>
                <w:sz w:val="24"/>
                <w:lang w:val="en-US" w:eastAsia="zh-CN"/>
              </w:rPr>
            </w:r>
            <w:r/>
          </w:p>
        </w:tc>
        <w:tc>
          <w:tcPr>
            <w:tcW w:w="975" w:type="dxa"/>
            <w:vAlign w:val="center"/>
            <w:textDirection w:val="lrTb"/>
            <w:noWrap w:val="false"/>
          </w:tcPr>
          <w:p>
            <w:pPr>
              <w:pStyle w:val="1023"/>
              <w:jc w:val="left"/>
              <w:widowControl/>
              <w:rPr>
                <w:color w:val="000000"/>
                <w:sz w:val="24"/>
              </w:rPr>
            </w:pPr>
            <w:r>
              <w:rPr>
                <w:color w:val="000000"/>
                <w:sz w:val="24"/>
              </w:rPr>
              <w:t xml:space="preserve">报价合理性</w:t>
            </w:r>
            <w:r>
              <w:rPr>
                <w:color w:val="000000"/>
                <w:sz w:val="24"/>
              </w:rPr>
            </w:r>
            <w:r/>
          </w:p>
        </w:tc>
        <w:tc>
          <w:tcPr>
            <w:tcW w:w="3623" w:type="dxa"/>
            <w:vAlign w:val="center"/>
            <w:textDirection w:val="lrTb"/>
            <w:noWrap w:val="false"/>
          </w:tcPr>
          <w:p>
            <w:pPr>
              <w:pStyle w:val="1023"/>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tc>
      </w:tr>
      <w:tr>
        <w:trPr>
          <w:trHeight w:val="1119"/>
        </w:trPr>
        <w:tc>
          <w:tcPr>
            <w:tcW w:w="401" w:type="dxa"/>
            <w:vAlign w:val="center"/>
            <w:textDirection w:val="lrTb"/>
            <w:noWrap w:val="false"/>
          </w:tcPr>
          <w:p>
            <w:pPr>
              <w:pStyle w:val="1023"/>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tcW w:w="975" w:type="dxa"/>
            <w:vAlign w:val="center"/>
            <w:textDirection w:val="lrTb"/>
            <w:noWrap w:val="false"/>
          </w:tcPr>
          <w:p>
            <w:pPr>
              <w:pStyle w:val="1023"/>
              <w:jc w:val="left"/>
              <w:widowControl/>
              <w:rPr>
                <w:color w:val="000000"/>
                <w:sz w:val="24"/>
              </w:rPr>
            </w:pPr>
            <w:r>
              <w:rPr>
                <w:color w:val="000000"/>
                <w:sz w:val="24"/>
              </w:rPr>
              <w:t xml:space="preserve">公平竞争</w:t>
            </w:r>
            <w:r>
              <w:rPr>
                <w:color w:val="000000"/>
                <w:sz w:val="24"/>
              </w:rPr>
            </w:r>
            <w:r/>
          </w:p>
        </w:tc>
        <w:tc>
          <w:tcPr>
            <w:tcW w:w="3623" w:type="dxa"/>
            <w:vAlign w:val="center"/>
            <w:textDirection w:val="lrTb"/>
            <w:noWrap w:val="false"/>
          </w:tcPr>
          <w:p>
            <w:pPr>
              <w:pStyle w:val="1023"/>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3044"/>
        </w:trPr>
        <w:tc>
          <w:tcPr>
            <w:tcW w:w="401" w:type="dxa"/>
            <w:vAlign w:val="center"/>
            <w:textDirection w:val="lrTb"/>
            <w:noWrap w:val="false"/>
          </w:tcPr>
          <w:p>
            <w:pPr>
              <w:pStyle w:val="1023"/>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975" w:type="dxa"/>
            <w:vAlign w:val="center"/>
            <w:textDirection w:val="lrTb"/>
            <w:noWrap w:val="false"/>
          </w:tcPr>
          <w:p>
            <w:pPr>
              <w:pStyle w:val="1023"/>
              <w:jc w:val="left"/>
              <w:widowControl/>
              <w:rPr>
                <w:color w:val="000000"/>
                <w:sz w:val="24"/>
              </w:rPr>
            </w:pPr>
            <w:r>
              <w:rPr>
                <w:color w:val="000000"/>
                <w:sz w:val="24"/>
              </w:rPr>
              <w:t xml:space="preserve">串通投标</w:t>
            </w:r>
            <w:r>
              <w:rPr>
                <w:color w:val="000000"/>
                <w:sz w:val="24"/>
              </w:rPr>
            </w:r>
            <w:r/>
          </w:p>
        </w:tc>
        <w:tc>
          <w:tcPr>
            <w:tcW w:w="3623" w:type="dxa"/>
            <w:vAlign w:val="center"/>
            <w:textDirection w:val="lrTb"/>
            <w:noWrap w:val="false"/>
          </w:tcPr>
          <w:p>
            <w:pPr>
              <w:pStyle w:val="1023"/>
              <w:jc w:val="left"/>
              <w:widowControl/>
              <w:rPr>
                <w:rFonts w:hint="eastAsia" w:eastAsia="宋体"/>
                <w:color w:val="000000"/>
                <w:sz w:val="24"/>
                <w:lang w:eastAsia="zh-CN"/>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；（三）不同投标人的投标文件载明的项目管理成员或者联系人员为同一人；（四）不同投标人的投标文件异常一致或者投标报价呈规律性差异</w:t>
            </w:r>
            <w:r>
              <w:rPr>
                <w:rFonts w:hint="eastAsia"/>
                <w:color w:val="000000"/>
                <w:sz w:val="24"/>
                <w:lang w:eastAsia="zh-CN"/>
              </w:rPr>
              <w:t xml:space="preserve">；</w:t>
            </w:r>
            <w:r>
              <w:rPr>
                <w:rFonts w:hint="eastAsia" w:eastAsia="宋体"/>
                <w:color w:val="000000"/>
                <w:sz w:val="24"/>
                <w:lang w:eastAsia="zh-CN"/>
              </w:rPr>
            </w:r>
            <w:r/>
          </w:p>
        </w:tc>
      </w:tr>
      <w:tr>
        <w:trPr>
          <w:trHeight w:val="685"/>
        </w:trPr>
        <w:tc>
          <w:tcPr>
            <w:tcW w:w="401" w:type="dxa"/>
            <w:vAlign w:val="center"/>
            <w:textDirection w:val="lrTb"/>
            <w:noWrap w:val="false"/>
          </w:tcPr>
          <w:p>
            <w:pPr>
              <w:pStyle w:val="1023"/>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2</w:t>
            </w:r>
            <w:r>
              <w:rPr>
                <w:rFonts w:hint="eastAsia" w:eastAsia="宋体"/>
                <w:color w:val="000000"/>
                <w:sz w:val="24"/>
                <w:lang w:val="en-US" w:eastAsia="zh-CN"/>
              </w:rPr>
            </w:r>
            <w:r/>
          </w:p>
        </w:tc>
        <w:tc>
          <w:tcPr>
            <w:tcW w:w="975" w:type="dxa"/>
            <w:vAlign w:val="center"/>
            <w:textDirection w:val="lrTb"/>
            <w:noWrap w:val="false"/>
          </w:tcPr>
          <w:p>
            <w:pPr>
              <w:pStyle w:val="1023"/>
              <w:jc w:val="left"/>
              <w:widowControl/>
              <w:rPr>
                <w:color w:val="000000"/>
                <w:sz w:val="24"/>
              </w:rPr>
            </w:pPr>
            <w:r>
              <w:rPr>
                <w:color w:val="000000"/>
                <w:sz w:val="24"/>
              </w:rPr>
              <w:t xml:space="preserve">附加条件</w:t>
            </w:r>
            <w:r>
              <w:rPr>
                <w:color w:val="000000"/>
                <w:sz w:val="24"/>
              </w:rPr>
            </w:r>
            <w:r/>
          </w:p>
        </w:tc>
        <w:tc>
          <w:tcPr>
            <w:tcW w:w="3623" w:type="dxa"/>
            <w:vAlign w:val="center"/>
            <w:textDirection w:val="lrTb"/>
            <w:noWrap w:val="false"/>
          </w:tcPr>
          <w:p>
            <w:pPr>
              <w:pStyle w:val="1023"/>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892"/>
        </w:trPr>
        <w:tc>
          <w:tcPr>
            <w:tcW w:w="401" w:type="dxa"/>
            <w:vAlign w:val="center"/>
            <w:textDirection w:val="lrTb"/>
            <w:noWrap w:val="false"/>
          </w:tcPr>
          <w:p>
            <w:pPr>
              <w:pStyle w:val="1023"/>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3</w:t>
            </w:r>
            <w:r>
              <w:rPr>
                <w:rFonts w:hint="eastAsia" w:eastAsia="宋体"/>
                <w:color w:val="000000"/>
                <w:sz w:val="24"/>
                <w:lang w:val="en-US" w:eastAsia="zh-CN"/>
              </w:rPr>
            </w:r>
            <w:r/>
          </w:p>
        </w:tc>
        <w:tc>
          <w:tcPr>
            <w:tcW w:w="975" w:type="dxa"/>
            <w:vAlign w:val="center"/>
            <w:textDirection w:val="lrTb"/>
            <w:noWrap w:val="false"/>
          </w:tcPr>
          <w:p>
            <w:pPr>
              <w:pStyle w:val="1023"/>
              <w:jc w:val="left"/>
              <w:widowControl/>
              <w:rPr>
                <w:color w:val="000000"/>
                <w:sz w:val="24"/>
              </w:rPr>
            </w:pPr>
            <w:r>
              <w:rPr>
                <w:color w:val="000000"/>
                <w:sz w:val="24"/>
              </w:rPr>
              <w:t xml:space="preserve">其他无效情形</w:t>
            </w:r>
            <w:r>
              <w:rPr>
                <w:color w:val="000000"/>
                <w:sz w:val="24"/>
              </w:rPr>
            </w:r>
            <w:r/>
          </w:p>
        </w:tc>
        <w:tc>
          <w:tcPr>
            <w:tcW w:w="3623" w:type="dxa"/>
            <w:vAlign w:val="center"/>
            <w:textDirection w:val="lrTb"/>
            <w:noWrap w:val="false"/>
          </w:tcPr>
          <w:p>
            <w:pPr>
              <w:pStyle w:val="1023"/>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1023"/>
        <w:numPr>
          <w:ilvl w:val="0"/>
          <w:numId w:val="11"/>
        </w:numPr>
        <w:spacing w:line="360" w:lineRule="auto"/>
        <w:tabs>
          <w:tab w:val="left" w:pos="360" w:leader="none"/>
          <w:tab w:val="left" w:pos="900" w:leader="none"/>
        </w:tabs>
        <w:rPr>
          <w:sz w:val="24"/>
        </w:rPr>
        <w:outlineLvl w:val="1"/>
      </w:pPr>
      <w:r/>
      <w:bookmarkEnd w:id="726"/>
      <w:r/>
      <w:bookmarkEnd w:id="732"/>
      <w:r>
        <w:rPr>
          <w:sz w:val="24"/>
        </w:rPr>
        <w:t xml:space="preserve">投标文件有关事项的澄清或者说明</w:t>
      </w:r>
      <w:r>
        <w:rPr>
          <w:sz w:val="24"/>
        </w:rPr>
      </w:r>
      <w:r/>
    </w:p>
    <w:p>
      <w:pPr>
        <w:pStyle w:val="1023"/>
        <w:numPr>
          <w:ilvl w:val="1"/>
          <w:numId w:val="11"/>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val="en-US" w:eastAsia="zh-CN"/>
        </w:rPr>
        <w:t xml:space="preserve">苏采云</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1023"/>
        <w:numPr>
          <w:ilvl w:val="1"/>
          <w:numId w:val="11"/>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1023"/>
        <w:numPr>
          <w:ilvl w:val="1"/>
          <w:numId w:val="11"/>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1023"/>
        <w:numPr>
          <w:ilvl w:val="1"/>
          <w:numId w:val="11"/>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1023"/>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1023"/>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1023"/>
        <w:ind w:left="2035"/>
        <w:spacing w:line="360" w:lineRule="auto"/>
        <w:tabs>
          <w:tab w:val="left" w:pos="1080" w:leader="none"/>
          <w:tab w:val="left" w:pos="1589" w:leader="none"/>
          <w:tab w:val="left" w:pos="2035" w:leader="none"/>
          <w:tab w:val="left" w:pos="2114" w:leader="none"/>
        </w:tabs>
        <w:rPr>
          <w:sz w:val="24"/>
        </w:rPr>
      </w:pPr>
      <w:r>
        <w:rPr>
          <w:b/>
          <w:color w:val="000000"/>
          <w:sz w:val="24"/>
        </w:rPr>
        <w:t xml:space="preserve">■</w:t>
      </w:r>
      <w:r>
        <w:rPr>
          <w:sz w:val="24"/>
        </w:rPr>
        <w:t xml:space="preserve">无，按下述2.4.2-2.4.7项规定修正。</w:t>
      </w:r>
      <w:r>
        <w:rPr>
          <w:sz w:val="24"/>
        </w:rPr>
      </w:r>
      <w:r/>
    </w:p>
    <w:p>
      <w:pPr>
        <w:pStyle w:val="1023"/>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1023"/>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1023"/>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023"/>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1023"/>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023"/>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1023"/>
        <w:numPr>
          <w:ilvl w:val="1"/>
          <w:numId w:val="11"/>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1023"/>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1023"/>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lang w:val="en-US" w:eastAsia="zh-CN"/>
        </w:rPr>
        <w:t xml:space="preserve">6</w:t>
      </w:r>
      <w:r>
        <w:rPr>
          <w:sz w:val="24"/>
        </w:rPr>
        <w:t xml:space="preserve">%的扣除，用扣除后的价格参加评审。</w:t>
      </w:r>
      <w:r>
        <w:rPr>
          <w:sz w:val="24"/>
        </w:rPr>
      </w:r>
      <w:r/>
    </w:p>
    <w:p>
      <w:pPr>
        <w:pStyle w:val="1023"/>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23"/>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23"/>
        <w:numPr>
          <w:ilvl w:val="2"/>
          <w:numId w:val="11"/>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1023"/>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23"/>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1023"/>
        <w:numPr>
          <w:ilvl w:val="2"/>
          <w:numId w:val="11"/>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1023"/>
        <w:numPr>
          <w:ilvl w:val="0"/>
          <w:numId w:val="11"/>
        </w:numPr>
        <w:spacing w:line="360" w:lineRule="auto"/>
        <w:tabs>
          <w:tab w:val="left" w:pos="360" w:leader="none"/>
          <w:tab w:val="left" w:pos="900" w:leader="none"/>
        </w:tabs>
        <w:rPr>
          <w:sz w:val="24"/>
        </w:rPr>
        <w:outlineLvl w:val="1"/>
      </w:pPr>
      <w:r>
        <w:rPr>
          <w:sz w:val="24"/>
        </w:rPr>
        <w:t xml:space="preserve">投标文件的比较和评价</w:t>
      </w:r>
      <w:r>
        <w:rPr>
          <w:sz w:val="24"/>
        </w:rPr>
      </w:r>
      <w:r/>
    </w:p>
    <w:p>
      <w:pPr>
        <w:pStyle w:val="1023"/>
        <w:numPr>
          <w:ilvl w:val="1"/>
          <w:numId w:val="11"/>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023"/>
        <w:numPr>
          <w:ilvl w:val="1"/>
          <w:numId w:val="11"/>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1023"/>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1023"/>
        <w:ind w:left="1985"/>
        <w:spacing w:line="360" w:lineRule="auto"/>
        <w:tabs>
          <w:tab w:val="left" w:pos="900" w:leader="none"/>
          <w:tab w:val="left" w:pos="1589" w:leader="none"/>
          <w:tab w:val="left" w:pos="1701" w:leader="none"/>
        </w:tabs>
        <w:rPr>
          <w:sz w:val="24"/>
        </w:rPr>
      </w:pPr>
      <w:r>
        <w:rPr>
          <w:b/>
          <w:color w:val="000000"/>
          <w:sz w:val="24"/>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1023"/>
        <w:numPr>
          <w:ilvl w:val="0"/>
          <w:numId w:val="11"/>
        </w:numPr>
        <w:spacing w:line="360" w:lineRule="auto"/>
        <w:tabs>
          <w:tab w:val="left" w:pos="360" w:leader="none"/>
          <w:tab w:val="left" w:pos="900" w:leader="none"/>
        </w:tabs>
        <w:rPr>
          <w:sz w:val="24"/>
        </w:rPr>
        <w:outlineLvl w:val="1"/>
      </w:pPr>
      <w:r>
        <w:rPr>
          <w:sz w:val="24"/>
        </w:rPr>
        <w:t xml:space="preserve">确定</w:t>
      </w:r>
      <w:bookmarkStart w:id="776" w:name="_Toc305158888"/>
      <w:r/>
      <w:bookmarkStart w:id="777" w:name="_Ref467307010"/>
      <w:r/>
      <w:bookmarkStart w:id="778" w:name="_Toc151193644"/>
      <w:r/>
      <w:bookmarkStart w:id="779" w:name="_Toc127151546"/>
      <w:r/>
      <w:bookmarkStart w:id="780" w:name="_Toc150774751"/>
      <w:r/>
      <w:bookmarkStart w:id="781" w:name="_Toc151193716"/>
      <w:r/>
      <w:bookmarkStart w:id="782" w:name="_Toc305158814"/>
      <w:r/>
      <w:bookmarkStart w:id="783" w:name="_Toc151190173"/>
      <w:r/>
      <w:bookmarkStart w:id="784" w:name="_Toc520356170"/>
      <w:r/>
      <w:bookmarkStart w:id="785" w:name="_Toc150509297"/>
      <w:r/>
      <w:bookmarkStart w:id="786" w:name="_Toc150480784"/>
      <w:r/>
      <w:bookmarkStart w:id="787" w:name="_Toc164608815"/>
      <w:r/>
      <w:bookmarkStart w:id="788" w:name="_Toc164351640"/>
      <w:r/>
      <w:bookmarkStart w:id="789" w:name="_Toc226309790"/>
      <w:r/>
      <w:bookmarkStart w:id="790" w:name="_Toc226965736"/>
      <w:r/>
      <w:bookmarkStart w:id="791" w:name="_Toc164608660"/>
      <w:r/>
      <w:bookmarkStart w:id="792" w:name="_Toc264969236"/>
      <w:r/>
      <w:bookmarkStart w:id="793" w:name="_Toc127161460"/>
      <w:r/>
      <w:bookmarkStart w:id="794" w:name="_Toc226337242"/>
      <w:r/>
      <w:bookmarkStart w:id="795" w:name="_Toc195842911"/>
      <w:r/>
      <w:bookmarkStart w:id="796" w:name="_Toc164229387"/>
      <w:r/>
      <w:bookmarkStart w:id="797" w:name="_Toc142311048"/>
      <w:r/>
      <w:bookmarkStart w:id="798" w:name="_Toc151193860"/>
      <w:r/>
      <w:bookmarkStart w:id="799" w:name="_Toc151193788"/>
      <w:r/>
      <w:bookmarkStart w:id="800" w:name="_Toc265228384"/>
      <w:r/>
      <w:bookmarkStart w:id="801" w:name="_Toc149720839"/>
      <w:r/>
      <w:bookmarkStart w:id="802" w:name="_Toc226965819"/>
      <w:r/>
      <w:bookmarkStart w:id="803" w:name="_Toc164229241"/>
      <w:r/>
      <w:bookmarkStart w:id="804" w:name="_Toc150774646"/>
      <w:r/>
      <w:bookmarkStart w:id="805" w:name="_Toc151193934"/>
      <w:r/>
      <w:bookmarkStart w:id="806" w:name="_Toc127151747"/>
      <w:r>
        <w:rPr>
          <w:sz w:val="24"/>
        </w:rPr>
        <w:t xml:space="preserve">中标候选人名单</w:t>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rPr>
          <w:sz w:val="24"/>
        </w:rPr>
      </w:r>
      <w:r/>
    </w:p>
    <w:p>
      <w:pPr>
        <w:pStyle w:val="1023"/>
        <w:numPr>
          <w:ilvl w:val="1"/>
          <w:numId w:val="11"/>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1023"/>
        <w:numPr>
          <w:ilvl w:val="1"/>
          <w:numId w:val="11"/>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1023"/>
        <w:numPr>
          <w:ilvl w:val="1"/>
          <w:numId w:val="11"/>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评标委员会将根据各投标人的评标排序，依次推荐本项目的中标候选人，起草并签署评标报告。本项目评标委员会共推荐</w:t>
      </w:r>
      <w:r>
        <w:rPr>
          <w:rFonts w:hint="eastAsia"/>
          <w:sz w:val="24"/>
        </w:rPr>
        <w:t xml:space="preserve">不少于3</w:t>
      </w:r>
      <w:r>
        <w:rPr>
          <w:sz w:val="24"/>
        </w:rPr>
        <w:t xml:space="preserve">名中标候选人。</w:t>
      </w:r>
      <w:r>
        <w:rPr>
          <w:sz w:val="24"/>
        </w:rPr>
      </w:r>
      <w:r/>
    </w:p>
    <w:p>
      <w:pPr>
        <w:pStyle w:val="1023"/>
        <w:numPr>
          <w:ilvl w:val="0"/>
          <w:numId w:val="11"/>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023"/>
        <w:ind w:left="357"/>
        <w:jc w:val="left"/>
        <w:spacing w:line="360" w:lineRule="auto"/>
        <w:widowControl/>
        <w:tabs>
          <w:tab w:val="left" w:pos="1080" w:leader="none"/>
          <w:tab w:val="left" w:pos="1872" w:leader="none"/>
        </w:tabs>
        <w:rPr>
          <w:rFonts w:hint="eastAsia" w:ascii="宋体" w:hAnsi="宋体" w:cs="宋体"/>
          <w:b/>
          <w:sz w:val="24"/>
        </w:rPr>
      </w:pPr>
      <w:r>
        <w:rPr>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b/>
          <w:sz w:val="24"/>
        </w:rPr>
      </w:r>
      <w:r/>
    </w:p>
    <w:p>
      <w:pPr>
        <w:pStyle w:val="1025"/>
        <w:spacing w:before="0" w:line="360" w:lineRule="auto"/>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二</w:t>
      </w:r>
      <w:r>
        <w:rPr>
          <w:rFonts w:hint="eastAsia" w:ascii="宋体" w:hAnsi="宋体" w:eastAsia="宋体" w:cs="宋体"/>
          <w:sz w:val="24"/>
          <w:szCs w:val="24"/>
          <w:highlight w:val="none"/>
        </w:rPr>
        <w:t xml:space="preserve">、评审标准</w:t>
      </w:r>
      <w:r>
        <w:rPr>
          <w:rFonts w:hint="eastAsia" w:ascii="宋体" w:hAnsi="宋体" w:eastAsia="宋体" w:cs="宋体"/>
          <w:sz w:val="24"/>
          <w:szCs w:val="24"/>
        </w:rPr>
      </w:r>
      <w:r/>
    </w:p>
    <w:tbl>
      <w:tblPr>
        <w:tblW w:w="89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5741"/>
      </w:tblGrid>
      <w:tr>
        <w:trPr>
          <w:trHeight w:val="454"/>
        </w:trPr>
        <w:tc>
          <w:tcPr>
            <w:tcW w:w="835" w:type="dxa"/>
            <w:vAlign w:val="center"/>
            <w:textDirection w:val="lrTb"/>
            <w:noWrap w:val="false"/>
          </w:tcPr>
          <w:p>
            <w:pPr>
              <w:pStyle w:val="1023"/>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462" w:type="dxa"/>
            <w:vAlign w:val="center"/>
            <w:textDirection w:val="lrTb"/>
            <w:noWrap w:val="false"/>
          </w:tcPr>
          <w:p>
            <w:pPr>
              <w:pStyle w:val="1023"/>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913" w:type="dxa"/>
            <w:vAlign w:val="center"/>
            <w:textDirection w:val="lrTb"/>
            <w:noWrap w:val="false"/>
          </w:tcPr>
          <w:p>
            <w:pPr>
              <w:pStyle w:val="1023"/>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5741" w:type="dxa"/>
            <w:vAlign w:val="center"/>
            <w:textDirection w:val="lrTb"/>
            <w:noWrap w:val="false"/>
          </w:tcPr>
          <w:p>
            <w:pPr>
              <w:pStyle w:val="1023"/>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r>
      <w:tr>
        <w:trPr>
          <w:trHeight w:val="1494"/>
        </w:trPr>
        <w:tc>
          <w:tcPr>
            <w:tcW w:w="835" w:type="dxa"/>
            <w:vAlign w:val="center"/>
            <w:textDirection w:val="lrTb"/>
            <w:noWrap w:val="false"/>
          </w:tcPr>
          <w:p>
            <w:pPr>
              <w:pStyle w:val="1023"/>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rPr>
            </w:r>
            <w:r/>
          </w:p>
        </w:tc>
        <w:tc>
          <w:tcPr>
            <w:tcW w:w="1462"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rPr>
            </w:r>
            <w:r/>
          </w:p>
        </w:tc>
        <w:tc>
          <w:tcPr>
            <w:tcW w:w="913" w:type="dxa"/>
            <w:vAlign w:val="center"/>
            <w:textDirection w:val="lrTb"/>
            <w:noWrap w:val="false"/>
          </w:tcPr>
          <w:p>
            <w:pPr>
              <w:pStyle w:val="1023"/>
              <w:ind w:firstLine="28"/>
              <w:jc w:val="center"/>
              <w:rPr>
                <w:rFonts w:ascii="宋体" w:hAnsi="宋体" w:eastAsia="宋体" w:cs="宋体"/>
                <w:sz w:val="24"/>
                <w:szCs w:val="24"/>
                <w:lang w:val="en-US"/>
              </w:rPr>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rPr>
            </w:r>
            <w:r/>
          </w:p>
        </w:tc>
        <w:tc>
          <w:tcPr>
            <w:tcW w:w="5741" w:type="dxa"/>
            <w:vAlign w:val="center"/>
            <w:textDirection w:val="lrTb"/>
            <w:noWrap w:val="false"/>
          </w:tcPr>
          <w:p>
            <w:pPr>
              <w:pStyle w:val="1023"/>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eastAsia="宋体" w:cs="宋体"/>
                <w:sz w:val="24"/>
                <w:szCs w:val="24"/>
              </w:rPr>
            </w:r>
            <w:r/>
          </w:p>
        </w:tc>
      </w:tr>
      <w:tr>
        <w:trPr>
          <w:trHeight w:val="469"/>
        </w:trPr>
        <w:tc>
          <w:tcPr>
            <w:tcW w:w="835"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462"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sz w:val="24"/>
                <w:szCs w:val="24"/>
              </w:rPr>
              <w:t xml:space="preserve">主观分</w:t>
            </w:r>
            <w:r>
              <w:rPr>
                <w:rFonts w:hint="eastAsia" w:ascii="宋体" w:hAnsi="宋体" w:eastAsia="宋体" w:cs="宋体"/>
                <w:sz w:val="24"/>
                <w:szCs w:val="24"/>
              </w:rPr>
            </w:r>
            <w:r/>
          </w:p>
        </w:tc>
        <w:tc>
          <w:tcPr>
            <w:tcW w:w="913" w:type="dxa"/>
            <w:vAlign w:val="center"/>
            <w:textDirection w:val="lrTb"/>
            <w:noWrap w:val="false"/>
          </w:tcPr>
          <w:p>
            <w:pPr>
              <w:pStyle w:val="102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40</w:t>
            </w:r>
            <w:r>
              <w:rPr>
                <w:rFonts w:hint="eastAsia" w:ascii="宋体" w:hAnsi="宋体" w:eastAsia="宋体" w:cs="宋体"/>
                <w:sz w:val="24"/>
                <w:szCs w:val="24"/>
                <w:lang w:val="en-US" w:eastAsia="zh-CN"/>
              </w:rPr>
            </w:r>
            <w:r/>
          </w:p>
        </w:tc>
        <w:tc>
          <w:tcPr>
            <w:tcW w:w="5741" w:type="dxa"/>
            <w:vAlign w:val="center"/>
            <w:textDirection w:val="lrTb"/>
            <w:noWrap w:val="false"/>
          </w:tcPr>
          <w:p>
            <w:pPr>
              <w:pStyle w:val="1023"/>
              <w:rPr>
                <w:rFonts w:hint="eastAsia" w:ascii="宋体" w:hAnsi="宋体" w:eastAsia="宋体" w:cs="宋体"/>
                <w:sz w:val="24"/>
                <w:szCs w:val="24"/>
              </w:rPr>
            </w:pPr>
            <w:r>
              <w:rPr>
                <w:rFonts w:hint="eastAsia" w:ascii="宋体" w:hAnsi="宋体" w:eastAsia="宋体" w:cs="宋体"/>
                <w:sz w:val="24"/>
                <w:szCs w:val="24"/>
              </w:rPr>
            </w:r>
            <w:r/>
          </w:p>
        </w:tc>
      </w:tr>
      <w:tr>
        <w:trPr>
          <w:trHeight w:val="2560"/>
        </w:trPr>
        <w:tc>
          <w:tcPr>
            <w:tcW w:w="835"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1462"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运维服务方案</w:t>
            </w:r>
            <w:r>
              <w:rPr>
                <w:rFonts w:hint="eastAsia" w:ascii="宋体" w:hAnsi="宋体" w:eastAsia="宋体" w:cs="宋体"/>
                <w:sz w:val="24"/>
                <w:szCs w:val="24"/>
              </w:rPr>
            </w:r>
            <w:r/>
          </w:p>
        </w:tc>
        <w:tc>
          <w:tcPr>
            <w:tcW w:w="913" w:type="dxa"/>
            <w:vAlign w:val="center"/>
            <w:textDirection w:val="lrTb"/>
            <w:noWrap w:val="false"/>
          </w:tcPr>
          <w:p>
            <w:pPr>
              <w:pStyle w:val="102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r>
            <w:r/>
          </w:p>
        </w:tc>
        <w:tc>
          <w:tcPr>
            <w:tcW w:w="5741" w:type="dxa"/>
            <w:vAlign w:val="center"/>
            <w:textDirection w:val="lrTb"/>
            <w:noWrap w:val="false"/>
          </w:tcPr>
          <w:p>
            <w:pPr>
              <w:pStyle w:val="1023"/>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投标人应对照招标文件，提供详细的服务总体方案，方案应包含但不限于：</w:t>
            </w:r>
            <w:r>
              <w:rPr>
                <w:rFonts w:hint="eastAsia" w:ascii="宋体" w:hAnsi="宋体" w:eastAsia="宋体" w:cs="宋体"/>
                <w:i w:val="0"/>
                <w:iCs w:val="0"/>
                <w:color w:val="000000"/>
                <w:sz w:val="24"/>
                <w:szCs w:val="24"/>
                <w:u w:val="none"/>
                <w:lang w:val="en-US" w:eastAsia="zh-CN" w:bidi="ar"/>
              </w:rPr>
            </w:r>
            <w:r/>
          </w:p>
          <w:p>
            <w:pPr>
              <w:pStyle w:val="1023"/>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i w:val="0"/>
                <w:iCs w:val="0"/>
                <w:color w:val="000000"/>
                <w:sz w:val="24"/>
                <w:szCs w:val="24"/>
                <w:u w:val="none"/>
                <w:lang w:val="en-US" w:eastAsia="zh-CN" w:bidi="ar"/>
              </w:rPr>
              <w:t xml:space="preserve">项目现状的分析；</w:t>
            </w:r>
            <w:r>
              <w:rPr>
                <w:rFonts w:hint="eastAsia" w:ascii="宋体" w:hAnsi="宋体" w:eastAsia="宋体" w:cs="宋体"/>
                <w:i w:val="0"/>
                <w:iCs w:val="0"/>
                <w:color w:val="000000"/>
                <w:sz w:val="24"/>
                <w:szCs w:val="24"/>
                <w:u w:val="none"/>
                <w:lang w:val="en-US" w:eastAsia="zh-CN" w:bidi="ar"/>
              </w:rPr>
            </w:r>
            <w:r/>
          </w:p>
          <w:p>
            <w:pPr>
              <w:pStyle w:val="1023"/>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i w:val="0"/>
                <w:iCs w:val="0"/>
                <w:color w:val="000000"/>
                <w:sz w:val="24"/>
                <w:szCs w:val="24"/>
                <w:u w:val="none"/>
                <w:lang w:val="en-US" w:eastAsia="zh-CN" w:bidi="ar"/>
              </w:rPr>
              <w:t xml:space="preserve">服务重点难点分析；</w:t>
            </w:r>
            <w:r>
              <w:rPr>
                <w:rFonts w:hint="eastAsia" w:ascii="宋体" w:hAnsi="宋体" w:eastAsia="宋体" w:cs="宋体"/>
                <w:i w:val="0"/>
                <w:iCs w:val="0"/>
                <w:color w:val="000000"/>
                <w:sz w:val="24"/>
                <w:szCs w:val="24"/>
                <w:u w:val="none"/>
                <w:lang w:val="en-US" w:eastAsia="zh-CN" w:bidi="ar"/>
              </w:rPr>
            </w:r>
            <w:r/>
          </w:p>
          <w:p>
            <w:pPr>
              <w:pStyle w:val="1023"/>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lang w:val="en-US" w:eastAsia="zh-CN"/>
              </w:rPr>
              <w:t xml:space="preserve">对应的</w:t>
            </w:r>
            <w:r>
              <w:rPr>
                <w:rFonts w:hint="eastAsia" w:ascii="宋体" w:hAnsi="宋体" w:eastAsia="宋体" w:cs="宋体"/>
                <w:i w:val="0"/>
                <w:iCs w:val="0"/>
                <w:color w:val="000000"/>
                <w:sz w:val="24"/>
                <w:szCs w:val="24"/>
                <w:u w:val="none"/>
                <w:lang w:val="en-US" w:eastAsia="zh-CN" w:bidi="ar"/>
              </w:rPr>
              <w:t xml:space="preserve">解决方案。</w:t>
            </w:r>
            <w:r>
              <w:rPr>
                <w:rFonts w:hint="eastAsia" w:ascii="宋体" w:hAnsi="宋体" w:eastAsia="宋体" w:cs="宋体"/>
                <w:i w:val="0"/>
                <w:iCs w:val="0"/>
                <w:color w:val="000000"/>
                <w:sz w:val="24"/>
                <w:szCs w:val="24"/>
                <w:u w:val="none"/>
                <w:lang w:val="en-US" w:eastAsia="zh-CN" w:bidi="ar"/>
              </w:rPr>
            </w:r>
            <w:r/>
          </w:p>
          <w:p>
            <w:pPr>
              <w:pStyle w:val="1023"/>
              <w:jc w:val="left"/>
              <w:keepLines w:val="0"/>
              <w:keepNext w:val="0"/>
              <w:pageBreakBefore w:val="0"/>
              <w:spacing w:line="32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根据以上内</w:t>
            </w:r>
            <w:r>
              <w:rPr>
                <w:rFonts w:hint="eastAsia" w:ascii="宋体" w:hAnsi="宋体" w:eastAsia="宋体" w:cs="宋体"/>
                <w:sz w:val="24"/>
                <w:szCs w:val="24"/>
              </w:rPr>
              <w:t xml:space="preserve">容进行综合评审，上述内容完整详细且</w:t>
            </w:r>
            <w:r>
              <w:rPr>
                <w:rFonts w:hint="eastAsia" w:ascii="宋体" w:hAnsi="宋体" w:cs="宋体"/>
                <w:sz w:val="24"/>
                <w:szCs w:val="24"/>
              </w:rPr>
              <w:t xml:space="preserve">且满足采购文件及采购需求的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分，每缺</w:t>
            </w:r>
            <w:r>
              <w:rPr>
                <w:rFonts w:hint="eastAsia" w:ascii="宋体" w:hAnsi="宋体" w:eastAsia="宋体" w:cs="宋体"/>
                <w:sz w:val="24"/>
                <w:szCs w:val="24"/>
                <w:lang w:val="en-US" w:eastAsia="zh-CN"/>
              </w:rPr>
              <w:t xml:space="preserve">少</w:t>
            </w:r>
            <w:r>
              <w:rPr>
                <w:rFonts w:hint="eastAsia" w:ascii="宋体" w:hAnsi="宋体" w:eastAsia="宋体" w:cs="宋体"/>
                <w:sz w:val="24"/>
                <w:szCs w:val="24"/>
              </w:rPr>
              <w:t xml:space="preserve">一项内容扣</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评分项</w:t>
            </w:r>
            <w:r>
              <w:rPr>
                <w:rFonts w:hint="eastAsia" w:ascii="宋体" w:hAnsi="宋体" w:eastAsia="宋体" w:cs="宋体"/>
                <w:sz w:val="24"/>
                <w:szCs w:val="24"/>
              </w:rPr>
              <w:t xml:space="preserve">每存在</w:t>
            </w:r>
            <w:r>
              <w:rPr>
                <w:rFonts w:hint="eastAsia" w:ascii="宋体" w:hAnsi="宋体" w:eastAsia="宋体" w:cs="宋体"/>
                <w:sz w:val="24"/>
                <w:szCs w:val="24"/>
                <w:lang w:val="en-US" w:eastAsia="zh-CN"/>
              </w:rPr>
              <w:t xml:space="preserve">一处</w:t>
            </w:r>
            <w:r>
              <w:rPr>
                <w:rFonts w:hint="eastAsia" w:ascii="宋体" w:hAnsi="宋体" w:cs="宋体"/>
                <w:sz w:val="24"/>
                <w:szCs w:val="24"/>
              </w:rPr>
              <w:t xml:space="preserve">错误或瑕疵的扣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分，扣完本项分值为止。</w:t>
            </w:r>
            <w:r>
              <w:rPr>
                <w:rFonts w:hint="eastAsia" w:ascii="宋体" w:hAnsi="宋体" w:cs="宋体"/>
                <w:sz w:val="24"/>
                <w:szCs w:val="24"/>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4"/>
                <w:szCs w:val="24"/>
                <w:highlight w:val="none"/>
              </w:rPr>
              <w:t xml:space="preserve">。</w:t>
            </w:r>
            <w:r>
              <w:rPr>
                <w:rFonts w:hint="eastAsia" w:ascii="宋体" w:hAnsi="宋体" w:cs="宋体"/>
                <w:sz w:val="24"/>
                <w:szCs w:val="24"/>
              </w:rPr>
              <w:t xml:space="preserve">）</w:t>
            </w:r>
            <w:r>
              <w:rPr>
                <w:rFonts w:hint="eastAsia" w:ascii="宋体" w:hAnsi="宋体" w:eastAsia="宋体" w:cs="宋体"/>
                <w:color w:val="000000"/>
                <w:sz w:val="24"/>
                <w:szCs w:val="24"/>
                <w:highlight w:val="none"/>
              </w:rPr>
            </w:r>
            <w:r/>
          </w:p>
          <w:p>
            <w:pPr>
              <w:pStyle w:val="1023"/>
              <w:rPr>
                <w:rFonts w:hint="eastAsia" w:ascii="宋体" w:hAnsi="宋体" w:eastAsia="宋体" w:cs="宋体"/>
                <w:sz w:val="24"/>
                <w:szCs w:val="24"/>
              </w:rPr>
            </w:pPr>
            <w:r>
              <w:rPr>
                <w:rFonts w:hint="eastAsia" w:ascii="宋体" w:hAnsi="宋体" w:eastAsia="宋体" w:cs="宋体"/>
                <w:b/>
                <w:bCs/>
                <w:sz w:val="24"/>
                <w:szCs w:val="24"/>
              </w:rPr>
              <w:t xml:space="preserve">未提供方案不得分。</w:t>
            </w:r>
            <w:r>
              <w:rPr>
                <w:rFonts w:hint="eastAsia" w:ascii="宋体" w:hAnsi="宋体" w:eastAsia="宋体" w:cs="宋体"/>
                <w:sz w:val="24"/>
                <w:szCs w:val="24"/>
              </w:rPr>
            </w:r>
            <w:r/>
          </w:p>
        </w:tc>
      </w:tr>
      <w:tr>
        <w:trPr>
          <w:trHeight w:val="3658"/>
        </w:trPr>
        <w:tc>
          <w:tcPr>
            <w:tcW w:w="835"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1462"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现有系统对接方案</w:t>
            </w:r>
            <w:r>
              <w:rPr>
                <w:rFonts w:hint="eastAsia" w:ascii="宋体" w:hAnsi="宋体" w:eastAsia="宋体" w:cs="宋体"/>
                <w:sz w:val="24"/>
                <w:szCs w:val="24"/>
              </w:rPr>
            </w:r>
            <w:r/>
          </w:p>
        </w:tc>
        <w:tc>
          <w:tcPr>
            <w:tcW w:w="913" w:type="dxa"/>
            <w:vAlign w:val="center"/>
            <w:textDirection w:val="lrTb"/>
            <w:noWrap w:val="false"/>
          </w:tcPr>
          <w:p>
            <w:pPr>
              <w:pStyle w:val="102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r>
            <w:r/>
          </w:p>
        </w:tc>
        <w:tc>
          <w:tcPr>
            <w:tcW w:w="5741" w:type="dxa"/>
            <w:vAlign w:val="center"/>
            <w:textDirection w:val="lrTb"/>
            <w:noWrap w:val="false"/>
          </w:tcPr>
          <w:p>
            <w:pPr>
              <w:pStyle w:val="1023"/>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投标人应提供与现有系统的对接方案，方案应包括但不限于：</w:t>
            </w:r>
            <w:r>
              <w:rPr>
                <w:rFonts w:hint="eastAsia" w:ascii="宋体" w:hAnsi="宋体" w:eastAsia="宋体" w:cs="宋体"/>
                <w:i w:val="0"/>
                <w:iCs w:val="0"/>
                <w:color w:val="000000"/>
                <w:sz w:val="24"/>
                <w:szCs w:val="24"/>
                <w:u w:val="none"/>
                <w:lang w:val="en-US" w:eastAsia="zh-CN" w:bidi="ar"/>
              </w:rPr>
            </w:r>
            <w:r/>
          </w:p>
          <w:p>
            <w:pPr>
              <w:pStyle w:val="1023"/>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i w:val="0"/>
                <w:iCs w:val="0"/>
                <w:color w:val="000000"/>
                <w:sz w:val="24"/>
                <w:szCs w:val="24"/>
                <w:u w:val="none"/>
                <w:lang w:val="en-US" w:eastAsia="zh-CN" w:bidi="ar"/>
              </w:rPr>
              <w:t xml:space="preserve">现有系统的描述；</w:t>
            </w:r>
            <w:r>
              <w:rPr>
                <w:rFonts w:hint="eastAsia" w:ascii="宋体" w:hAnsi="宋体" w:eastAsia="宋体" w:cs="宋体"/>
                <w:i w:val="0"/>
                <w:iCs w:val="0"/>
                <w:color w:val="000000"/>
                <w:sz w:val="24"/>
                <w:szCs w:val="24"/>
                <w:u w:val="none"/>
                <w:lang w:val="en-US" w:eastAsia="zh-CN" w:bidi="ar"/>
              </w:rPr>
            </w:r>
            <w:r/>
          </w:p>
          <w:p>
            <w:pPr>
              <w:pStyle w:val="1023"/>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i w:val="0"/>
                <w:iCs w:val="0"/>
                <w:color w:val="000000"/>
                <w:sz w:val="24"/>
                <w:szCs w:val="24"/>
                <w:u w:val="none"/>
                <w:lang w:val="en-US" w:eastAsia="zh-CN" w:bidi="ar"/>
              </w:rPr>
              <w:t xml:space="preserve">对接实施过程；</w:t>
            </w:r>
            <w:r>
              <w:rPr>
                <w:rFonts w:hint="eastAsia" w:ascii="宋体" w:hAnsi="宋体" w:eastAsia="宋体" w:cs="宋体"/>
                <w:i w:val="0"/>
                <w:iCs w:val="0"/>
                <w:color w:val="000000"/>
                <w:sz w:val="24"/>
                <w:szCs w:val="24"/>
                <w:u w:val="none"/>
                <w:lang w:val="en-US" w:eastAsia="zh-CN" w:bidi="ar"/>
              </w:rPr>
            </w:r>
            <w:r/>
          </w:p>
          <w:p>
            <w:pPr>
              <w:pStyle w:val="1023"/>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i w:val="0"/>
                <w:iCs w:val="0"/>
                <w:color w:val="000000"/>
                <w:sz w:val="24"/>
                <w:szCs w:val="24"/>
                <w:u w:val="none"/>
                <w:lang w:val="en-US" w:eastAsia="zh-CN" w:bidi="ar"/>
              </w:rPr>
              <w:t xml:space="preserve">对接质量保证。</w:t>
            </w:r>
            <w:r>
              <w:rPr>
                <w:rFonts w:hint="eastAsia" w:ascii="宋体" w:hAnsi="宋体" w:eastAsia="宋体" w:cs="宋体"/>
                <w:i w:val="0"/>
                <w:iCs w:val="0"/>
                <w:color w:val="000000"/>
                <w:sz w:val="24"/>
                <w:szCs w:val="24"/>
                <w:u w:val="none"/>
                <w:lang w:val="en-US" w:eastAsia="zh-CN" w:bidi="ar"/>
              </w:rPr>
            </w:r>
            <w:r/>
          </w:p>
          <w:p>
            <w:pPr>
              <w:pStyle w:val="1023"/>
              <w:jc w:val="left"/>
              <w:keepLines w:val="0"/>
              <w:keepNext w:val="0"/>
              <w:pageBreakBefore w:val="0"/>
              <w:spacing w:line="32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根据以上内</w:t>
            </w:r>
            <w:r>
              <w:rPr>
                <w:rFonts w:hint="eastAsia" w:ascii="宋体" w:hAnsi="宋体" w:eastAsia="宋体" w:cs="宋体"/>
                <w:sz w:val="24"/>
                <w:szCs w:val="24"/>
              </w:rPr>
              <w:t xml:space="preserve">容进行综合评审，上述内容完整详细且</w:t>
            </w:r>
            <w:r>
              <w:rPr>
                <w:rFonts w:hint="eastAsia" w:ascii="宋体" w:hAnsi="宋体" w:cs="宋体"/>
                <w:sz w:val="24"/>
                <w:szCs w:val="24"/>
              </w:rPr>
              <w:t xml:space="preserve">且满足采购文件及采购需求的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分，每缺</w:t>
            </w:r>
            <w:r>
              <w:rPr>
                <w:rFonts w:hint="eastAsia" w:ascii="宋体" w:hAnsi="宋体" w:eastAsia="宋体" w:cs="宋体"/>
                <w:sz w:val="24"/>
                <w:szCs w:val="24"/>
                <w:lang w:val="en-US" w:eastAsia="zh-CN"/>
              </w:rPr>
              <w:t xml:space="preserve">少</w:t>
            </w:r>
            <w:r>
              <w:rPr>
                <w:rFonts w:hint="eastAsia" w:ascii="宋体" w:hAnsi="宋体" w:eastAsia="宋体" w:cs="宋体"/>
                <w:sz w:val="24"/>
                <w:szCs w:val="24"/>
              </w:rPr>
              <w:t xml:space="preserve">一项内容扣</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评分项</w:t>
            </w:r>
            <w:r>
              <w:rPr>
                <w:rFonts w:hint="eastAsia" w:ascii="宋体" w:hAnsi="宋体" w:eastAsia="宋体" w:cs="宋体"/>
                <w:sz w:val="24"/>
                <w:szCs w:val="24"/>
              </w:rPr>
              <w:t xml:space="preserve">每存在</w:t>
            </w:r>
            <w:r>
              <w:rPr>
                <w:rFonts w:hint="eastAsia" w:ascii="宋体" w:hAnsi="宋体" w:eastAsia="宋体" w:cs="宋体"/>
                <w:sz w:val="24"/>
                <w:szCs w:val="24"/>
                <w:lang w:val="en-US" w:eastAsia="zh-CN"/>
              </w:rPr>
              <w:t xml:space="preserve">一处</w:t>
            </w:r>
            <w:r>
              <w:rPr>
                <w:rFonts w:hint="eastAsia" w:ascii="宋体" w:hAnsi="宋体" w:cs="宋体"/>
                <w:sz w:val="24"/>
                <w:szCs w:val="24"/>
              </w:rPr>
              <w:t xml:space="preserve">错误或瑕疵的扣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分，扣完本项分值为止。</w:t>
            </w:r>
            <w:r>
              <w:rPr>
                <w:rFonts w:hint="eastAsia" w:ascii="宋体" w:hAnsi="宋体" w:cs="宋体"/>
                <w:sz w:val="24"/>
                <w:szCs w:val="24"/>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4"/>
                <w:szCs w:val="24"/>
                <w:highlight w:val="none"/>
              </w:rPr>
              <w:t xml:space="preserve">。</w:t>
            </w:r>
            <w:r>
              <w:rPr>
                <w:rFonts w:hint="eastAsia" w:ascii="宋体" w:hAnsi="宋体" w:cs="宋体"/>
                <w:sz w:val="24"/>
                <w:szCs w:val="24"/>
              </w:rPr>
              <w:t xml:space="preserve">）</w:t>
            </w:r>
            <w:r>
              <w:rPr>
                <w:rFonts w:hint="eastAsia" w:ascii="宋体" w:hAnsi="宋体" w:eastAsia="宋体" w:cs="宋体"/>
                <w:color w:val="000000"/>
                <w:sz w:val="24"/>
                <w:szCs w:val="24"/>
                <w:highlight w:val="none"/>
              </w:rPr>
            </w:r>
            <w:r/>
          </w:p>
          <w:p>
            <w:pPr>
              <w:pStyle w:val="1023"/>
              <w:rPr>
                <w:rFonts w:hint="eastAsia" w:ascii="宋体" w:hAnsi="宋体" w:eastAsia="宋体" w:cs="宋体"/>
                <w:sz w:val="24"/>
                <w:szCs w:val="24"/>
              </w:rPr>
            </w:pPr>
            <w:r>
              <w:rPr>
                <w:rFonts w:hint="eastAsia" w:ascii="宋体" w:hAnsi="宋体" w:eastAsia="宋体" w:cs="宋体"/>
                <w:b/>
                <w:bCs/>
                <w:sz w:val="24"/>
                <w:szCs w:val="24"/>
              </w:rPr>
              <w:t xml:space="preserve">未提供方案不得分。</w:t>
            </w:r>
            <w:r>
              <w:rPr>
                <w:rFonts w:hint="eastAsia" w:ascii="宋体" w:hAnsi="宋体" w:eastAsia="宋体" w:cs="宋体"/>
                <w:sz w:val="24"/>
                <w:szCs w:val="24"/>
              </w:rPr>
            </w:r>
            <w:r/>
          </w:p>
        </w:tc>
      </w:tr>
      <w:tr>
        <w:trPr>
          <w:trHeight w:val="4038"/>
        </w:trPr>
        <w:tc>
          <w:tcPr>
            <w:tcW w:w="835"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W w:w="1462"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应急响应方案</w:t>
            </w:r>
            <w:r>
              <w:rPr>
                <w:rFonts w:hint="eastAsia" w:ascii="宋体" w:hAnsi="宋体" w:eastAsia="宋体" w:cs="宋体"/>
                <w:sz w:val="24"/>
                <w:szCs w:val="24"/>
              </w:rPr>
            </w:r>
            <w:r/>
          </w:p>
        </w:tc>
        <w:tc>
          <w:tcPr>
            <w:tcW w:w="913" w:type="dxa"/>
            <w:vAlign w:val="center"/>
            <w:textDirection w:val="lrTb"/>
            <w:noWrap w:val="false"/>
          </w:tcPr>
          <w:p>
            <w:pPr>
              <w:pStyle w:val="102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rPr>
            </w:r>
            <w:r/>
          </w:p>
        </w:tc>
        <w:tc>
          <w:tcPr>
            <w:tcW w:w="5741" w:type="dxa"/>
            <w:vAlign w:val="center"/>
            <w:textDirection w:val="lrTb"/>
            <w:noWrap w:val="false"/>
          </w:tcPr>
          <w:p>
            <w:pPr>
              <w:pStyle w:val="1023"/>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根据项目考试保障的特点，制定详细的应急响应方案。方案</w:t>
            </w:r>
            <w:r>
              <w:rPr>
                <w:rFonts w:hint="eastAsia" w:ascii="宋体" w:hAnsi="宋体" w:eastAsia="宋体" w:cs="宋体"/>
                <w:i w:val="0"/>
                <w:iCs w:val="0"/>
                <w:color w:val="000000"/>
                <w:sz w:val="24"/>
                <w:szCs w:val="24"/>
                <w:u w:val="none"/>
                <w:lang w:val="en-US" w:eastAsia="zh-CN" w:bidi="ar"/>
              </w:rPr>
              <w:t xml:space="preserve">包括但不限于：</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Style w:val="1101"/>
                <w:rFonts w:ascii="宋体" w:hAnsi="宋体" w:eastAsia="宋体" w:cs="Times New Roman"/>
                <w:color w:val="000000"/>
                <w:sz w:val="24"/>
                <w:u w:val="none"/>
              </w:rPr>
              <w:t xml:space="preserve">应急响应组织架构</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r>
            <w:r/>
          </w:p>
          <w:p>
            <w:pPr>
              <w:pStyle w:val="1023"/>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color w:val="000000"/>
                <w:sz w:val="24"/>
                <w:szCs w:val="24"/>
                <w:highlight w:val="none"/>
                <w:u w:val="none"/>
              </w:rPr>
              <w:instrText xml:space="preserve"> = 2 \* GB3 </w:instrText>
            </w:r>
            <w:r>
              <w:rPr>
                <w:rFonts w:hint="eastAsia" w:ascii="宋体" w:hAnsi="宋体" w:eastAsia="宋体" w:cs="宋体"/>
                <w:color w:val="000000"/>
                <w:sz w:val="24"/>
                <w:szCs w:val="24"/>
                <w:highlight w:val="none"/>
                <w:u w:val="none"/>
              </w:rPr>
              <w:fldChar w:fldCharType="separate"/>
            </w:r>
            <w:r>
              <w:rPr>
                <w:rFonts w:hint="eastAsia" w:ascii="宋体" w:hAnsi="宋体" w:eastAsia="宋体" w:cs="宋体"/>
                <w:color w:val="000000"/>
                <w:sz w:val="24"/>
                <w:szCs w:val="24"/>
                <w:highlight w:val="none"/>
                <w:u w:val="none"/>
              </w:rPr>
              <w:t xml:space="preserve">②</w:t>
            </w:r>
            <w:r>
              <w:rPr>
                <w:rFonts w:hint="eastAsia" w:ascii="宋体" w:hAnsi="宋体" w:eastAsia="宋体" w:cs="宋体"/>
                <w:color w:val="000000"/>
                <w:sz w:val="24"/>
                <w:szCs w:val="24"/>
                <w:highlight w:val="none"/>
                <w:u w:val="none"/>
              </w:rPr>
              <w:fldChar w:fldCharType="end"/>
            </w:r>
            <w:r>
              <w:rPr>
                <w:rStyle w:val="1101"/>
                <w:rFonts w:ascii="宋体" w:hAnsi="宋体" w:eastAsia="宋体" w:cs="Times New Roman"/>
                <w:color w:val="000000"/>
                <w:sz w:val="24"/>
                <w:u w:val="none"/>
              </w:rPr>
              <w:t xml:space="preserve">设备与网络故障应急措施</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r>
            <w:r/>
          </w:p>
          <w:p>
            <w:pPr>
              <w:pStyle w:val="1023"/>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color w:val="000000"/>
                <w:sz w:val="24"/>
                <w:szCs w:val="24"/>
                <w:highlight w:val="none"/>
                <w:u w:val="none"/>
              </w:rPr>
              <w:instrText xml:space="preserve"> = 3 \* GB3 </w:instrText>
            </w:r>
            <w:r>
              <w:rPr>
                <w:rFonts w:hint="eastAsia" w:ascii="宋体" w:hAnsi="宋体" w:eastAsia="宋体" w:cs="宋体"/>
                <w:color w:val="000000"/>
                <w:sz w:val="24"/>
                <w:szCs w:val="24"/>
                <w:highlight w:val="none"/>
                <w:u w:val="none"/>
              </w:rPr>
              <w:fldChar w:fldCharType="separate"/>
            </w:r>
            <w:r>
              <w:rPr>
                <w:rFonts w:hint="eastAsia" w:ascii="宋体" w:hAnsi="宋体" w:eastAsia="宋体" w:cs="宋体"/>
                <w:color w:val="000000"/>
                <w:sz w:val="24"/>
                <w:szCs w:val="24"/>
                <w:highlight w:val="none"/>
                <w:u w:val="none"/>
              </w:rPr>
              <w:t xml:space="preserve">③</w:t>
            </w:r>
            <w:r>
              <w:rPr>
                <w:rFonts w:hint="eastAsia" w:ascii="宋体" w:hAnsi="宋体" w:eastAsia="宋体" w:cs="宋体"/>
                <w:color w:val="000000"/>
                <w:sz w:val="24"/>
                <w:szCs w:val="24"/>
                <w:highlight w:val="none"/>
                <w:u w:val="none"/>
              </w:rPr>
              <w:fldChar w:fldCharType="end"/>
            </w:r>
            <w:r>
              <w:rPr>
                <w:rStyle w:val="1101"/>
                <w:rFonts w:ascii="宋体" w:hAnsi="宋体" w:eastAsia="宋体" w:cs="Times New Roman"/>
                <w:color w:val="000000"/>
                <w:sz w:val="24"/>
                <w:u w:val="none"/>
              </w:rPr>
              <w:t xml:space="preserve">应急响应操作流程</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r>
            <w:r/>
          </w:p>
          <w:p>
            <w:pPr>
              <w:pStyle w:val="1023"/>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color w:val="000000"/>
                <w:sz w:val="24"/>
                <w:szCs w:val="24"/>
                <w:highlight w:val="none"/>
                <w:u w:val="none"/>
              </w:rPr>
              <w:fldChar w:fldCharType="begin"/>
            </w:r>
            <w:r>
              <w:rPr>
                <w:rFonts w:hint="eastAsia" w:ascii="宋体" w:hAnsi="宋体" w:eastAsia="宋体" w:cs="宋体"/>
                <w:color w:val="000000"/>
                <w:sz w:val="24"/>
                <w:szCs w:val="24"/>
                <w:highlight w:val="none"/>
                <w:u w:val="none"/>
              </w:rPr>
              <w:instrText xml:space="preserve"> = 4 \* GB3 </w:instrText>
            </w:r>
            <w:r>
              <w:rPr>
                <w:rFonts w:hint="eastAsia" w:ascii="宋体" w:hAnsi="宋体" w:eastAsia="宋体" w:cs="宋体"/>
                <w:color w:val="000000"/>
                <w:sz w:val="24"/>
                <w:szCs w:val="24"/>
                <w:highlight w:val="none"/>
                <w:u w:val="none"/>
              </w:rPr>
              <w:fldChar w:fldCharType="separate"/>
            </w:r>
            <w:r>
              <w:rPr>
                <w:rFonts w:hint="eastAsia" w:ascii="宋体" w:hAnsi="宋体" w:eastAsia="宋体" w:cs="宋体"/>
                <w:color w:val="000000"/>
                <w:sz w:val="24"/>
                <w:szCs w:val="24"/>
                <w:highlight w:val="none"/>
                <w:u w:val="none"/>
              </w:rPr>
              <w:t xml:space="preserve">④</w:t>
            </w:r>
            <w:r>
              <w:rPr>
                <w:rFonts w:hint="eastAsia" w:ascii="宋体" w:hAnsi="宋体" w:eastAsia="宋体" w:cs="宋体"/>
                <w:color w:val="000000"/>
                <w:sz w:val="24"/>
                <w:szCs w:val="24"/>
                <w:highlight w:val="none"/>
                <w:u w:val="none"/>
              </w:rPr>
              <w:fldChar w:fldCharType="end"/>
            </w:r>
            <w:r>
              <w:rPr>
                <w:rStyle w:val="1101"/>
                <w:rFonts w:ascii="宋体" w:hAnsi="宋体" w:eastAsia="宋体" w:cs="Times New Roman"/>
                <w:color w:val="000000"/>
                <w:sz w:val="24"/>
                <w:u w:val="none"/>
              </w:rPr>
              <w:t xml:space="preserve">应急保障措施</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r>
            <w:r/>
          </w:p>
          <w:p>
            <w:pPr>
              <w:pStyle w:val="1023"/>
              <w:jc w:val="left"/>
              <w:keepLines w:val="0"/>
              <w:keepNext w:val="0"/>
              <w:pageBreakBefore w:val="0"/>
              <w:spacing w:line="32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根据以上内</w:t>
            </w:r>
            <w:r>
              <w:rPr>
                <w:rFonts w:hint="eastAsia" w:ascii="宋体" w:hAnsi="宋体" w:eastAsia="宋体" w:cs="宋体"/>
                <w:sz w:val="24"/>
                <w:szCs w:val="24"/>
              </w:rPr>
              <w:t xml:space="preserve">容进行综合评审，上述内容完整详细且</w:t>
            </w:r>
            <w:r>
              <w:rPr>
                <w:rFonts w:hint="eastAsia" w:ascii="宋体" w:hAnsi="宋体" w:cs="宋体"/>
                <w:sz w:val="24"/>
                <w:szCs w:val="24"/>
              </w:rPr>
              <w:t xml:space="preserve">且满足采购文件及采购需求的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分，每缺</w:t>
            </w:r>
            <w:r>
              <w:rPr>
                <w:rFonts w:hint="eastAsia" w:ascii="宋体" w:hAnsi="宋体" w:eastAsia="宋体" w:cs="宋体"/>
                <w:sz w:val="24"/>
                <w:szCs w:val="24"/>
                <w:lang w:val="en-US" w:eastAsia="zh-CN"/>
              </w:rPr>
              <w:t xml:space="preserve">少</w:t>
            </w:r>
            <w:r>
              <w:rPr>
                <w:rFonts w:hint="eastAsia" w:ascii="宋体" w:hAnsi="宋体" w:eastAsia="宋体" w:cs="宋体"/>
                <w:sz w:val="24"/>
                <w:szCs w:val="24"/>
              </w:rPr>
              <w:t xml:space="preserve">一项内容扣</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评分项</w:t>
            </w:r>
            <w:r>
              <w:rPr>
                <w:rFonts w:hint="eastAsia" w:ascii="宋体" w:hAnsi="宋体" w:eastAsia="宋体" w:cs="宋体"/>
                <w:sz w:val="24"/>
                <w:szCs w:val="24"/>
              </w:rPr>
              <w:t xml:space="preserve">每存在</w:t>
            </w:r>
            <w:r>
              <w:rPr>
                <w:rFonts w:hint="eastAsia" w:ascii="宋体" w:hAnsi="宋体" w:eastAsia="宋体" w:cs="宋体"/>
                <w:sz w:val="24"/>
                <w:szCs w:val="24"/>
                <w:lang w:val="en-US" w:eastAsia="zh-CN"/>
              </w:rPr>
              <w:t xml:space="preserve">一处</w:t>
            </w:r>
            <w:r>
              <w:rPr>
                <w:rFonts w:hint="eastAsia" w:ascii="宋体" w:hAnsi="宋体" w:cs="宋体"/>
                <w:sz w:val="24"/>
                <w:szCs w:val="24"/>
              </w:rPr>
              <w:t xml:space="preserve">错误或瑕疵的扣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分，扣完本项分值为止。</w:t>
            </w:r>
            <w:r>
              <w:rPr>
                <w:rFonts w:hint="eastAsia" w:ascii="宋体" w:hAnsi="宋体" w:cs="宋体"/>
                <w:sz w:val="24"/>
                <w:szCs w:val="24"/>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4"/>
                <w:szCs w:val="24"/>
                <w:highlight w:val="none"/>
              </w:rPr>
              <w:t xml:space="preserve">。</w:t>
            </w:r>
            <w:r>
              <w:rPr>
                <w:rFonts w:hint="eastAsia" w:ascii="宋体" w:hAnsi="宋体" w:cs="宋体"/>
                <w:sz w:val="24"/>
                <w:szCs w:val="24"/>
              </w:rPr>
              <w:t xml:space="preserve">）</w:t>
            </w:r>
            <w:r>
              <w:rPr>
                <w:rFonts w:hint="eastAsia" w:ascii="宋体" w:hAnsi="宋体" w:eastAsia="宋体" w:cs="宋体"/>
                <w:color w:val="000000"/>
                <w:sz w:val="24"/>
                <w:szCs w:val="24"/>
                <w:highlight w:val="none"/>
              </w:rPr>
            </w:r>
            <w:r/>
          </w:p>
          <w:p>
            <w:pPr>
              <w:pStyle w:val="1023"/>
              <w:rPr>
                <w:rFonts w:hint="eastAsia" w:ascii="宋体" w:hAnsi="宋体" w:eastAsia="宋体" w:cs="宋体"/>
                <w:sz w:val="24"/>
                <w:szCs w:val="24"/>
              </w:rPr>
            </w:pPr>
            <w:r>
              <w:rPr>
                <w:rFonts w:hint="eastAsia" w:ascii="宋体" w:hAnsi="宋体" w:eastAsia="宋体" w:cs="宋体"/>
                <w:b/>
                <w:bCs/>
                <w:sz w:val="24"/>
                <w:szCs w:val="24"/>
              </w:rPr>
              <w:t xml:space="preserve">未提供方案不得分。</w:t>
            </w:r>
            <w:r>
              <w:rPr>
                <w:rFonts w:hint="eastAsia" w:ascii="宋体" w:hAnsi="宋体" w:eastAsia="宋体" w:cs="宋体"/>
                <w:sz w:val="24"/>
                <w:szCs w:val="24"/>
              </w:rPr>
            </w:r>
            <w:r/>
          </w:p>
        </w:tc>
      </w:tr>
      <w:tr>
        <w:trPr>
          <w:trHeight w:val="412"/>
        </w:trPr>
        <w:tc>
          <w:tcPr>
            <w:tcW w:w="835"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462"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sz w:val="24"/>
                <w:szCs w:val="24"/>
              </w:rPr>
              <w:t xml:space="preserve">客观分</w:t>
            </w:r>
            <w:r>
              <w:rPr>
                <w:rFonts w:hint="eastAsia" w:ascii="宋体" w:hAnsi="宋体" w:eastAsia="宋体" w:cs="宋体"/>
                <w:sz w:val="24"/>
                <w:szCs w:val="24"/>
              </w:rPr>
            </w:r>
            <w:r/>
          </w:p>
        </w:tc>
        <w:tc>
          <w:tcPr>
            <w:tcW w:w="913" w:type="dxa"/>
            <w:vAlign w:val="center"/>
            <w:textDirection w:val="lrTb"/>
            <w:noWrap w:val="false"/>
          </w:tcPr>
          <w:p>
            <w:pPr>
              <w:pStyle w:val="1023"/>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45</w:t>
            </w:r>
            <w:r>
              <w:rPr>
                <w:rFonts w:ascii="宋体" w:hAnsi="宋体" w:eastAsia="宋体" w:cs="宋体"/>
                <w:sz w:val="24"/>
                <w:szCs w:val="24"/>
                <w:lang w:val="en-US" w:eastAsia="zh-CN"/>
              </w:rPr>
            </w:r>
            <w:r/>
          </w:p>
        </w:tc>
        <w:tc>
          <w:tcPr>
            <w:tcW w:w="5741" w:type="dxa"/>
            <w:vAlign w:val="center"/>
            <w:textDirection w:val="lrTb"/>
            <w:noWrap w:val="false"/>
          </w:tcPr>
          <w:p>
            <w:pPr>
              <w:pStyle w:val="1023"/>
              <w:rPr>
                <w:rFonts w:hint="eastAsia" w:ascii="宋体" w:hAnsi="宋体" w:eastAsia="宋体" w:cs="宋体"/>
                <w:sz w:val="24"/>
                <w:szCs w:val="24"/>
              </w:rPr>
            </w:pPr>
            <w:r>
              <w:rPr>
                <w:rFonts w:hint="eastAsia" w:ascii="宋体" w:hAnsi="宋体" w:eastAsia="宋体" w:cs="宋体"/>
                <w:sz w:val="24"/>
                <w:szCs w:val="24"/>
              </w:rPr>
            </w:r>
            <w:r/>
          </w:p>
        </w:tc>
      </w:tr>
      <w:tr>
        <w:trPr>
          <w:trHeight w:val="3250"/>
        </w:trPr>
        <w:tc>
          <w:tcPr>
            <w:tcW w:w="835"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1462" w:type="dxa"/>
            <w:vAlign w:val="center"/>
            <w:textDirection w:val="lrTb"/>
            <w:noWrap w:val="false"/>
          </w:tcPr>
          <w:p>
            <w:pPr>
              <w:pStyle w:val="1023"/>
              <w:ind w:firstLine="28"/>
              <w:jc w:val="center"/>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响应程度</w:t>
            </w:r>
            <w:r>
              <w:rPr>
                <w:rFonts w:hint="eastAsia" w:ascii="宋体" w:hAnsi="宋体" w:eastAsia="宋体" w:cs="宋体"/>
                <w:sz w:val="24"/>
                <w:szCs w:val="24"/>
                <w:lang w:val="en-US" w:eastAsia="zh-CN"/>
              </w:rPr>
            </w:r>
            <w:r/>
          </w:p>
        </w:tc>
        <w:tc>
          <w:tcPr>
            <w:tcW w:w="913" w:type="dxa"/>
            <w:vAlign w:val="center"/>
            <w:textDirection w:val="lrTb"/>
            <w:noWrap w:val="false"/>
          </w:tcPr>
          <w:p>
            <w:pPr>
              <w:pStyle w:val="102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r>
            <w:r/>
          </w:p>
        </w:tc>
        <w:tc>
          <w:tcPr>
            <w:tcW w:w="5741" w:type="dxa"/>
            <w:vAlign w:val="center"/>
            <w:textDirection w:val="lrTb"/>
            <w:noWrap w:val="false"/>
          </w:tcPr>
          <w:p>
            <w:pPr>
              <w:pStyle w:val="1023"/>
              <w:ind w:firstLine="480"/>
              <w:keepLines w:val="0"/>
              <w:keepNext w:val="0"/>
              <w:pageBreakBefore w:val="0"/>
              <w:spacing w:line="32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技术参数完全满足或优于招标文件要求的</w:t>
            </w:r>
            <w:r>
              <w:rPr>
                <w:rFonts w:hint="eastAsia" w:ascii="宋体" w:hAnsi="宋体" w:eastAsia="宋体" w:cs="宋体"/>
                <w:color w:val="000000"/>
                <w:sz w:val="24"/>
                <w:szCs w:val="24"/>
                <w:highlight w:val="none"/>
                <w:lang w:val="en-US" w:eastAsia="zh-CN"/>
              </w:rPr>
              <w:t xml:space="preserve">得满分12分</w:t>
            </w:r>
            <w:r>
              <w:rPr>
                <w:rFonts w:hint="eastAsia" w:ascii="宋体" w:hAnsi="宋体" w:eastAsia="宋体" w:cs="宋体"/>
                <w:color w:val="000000"/>
                <w:sz w:val="24"/>
                <w:szCs w:val="24"/>
                <w:highlight w:val="none"/>
                <w:lang w:val="zh-CN"/>
              </w:rPr>
              <w:t xml:space="preserve">；其中带“</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zh-CN"/>
              </w:rPr>
              <w:t xml:space="preserve">”指标若出现负偏离，每项扣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分，其余负偏离每项扣</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lang w:val="zh-CN"/>
              </w:rPr>
              <w:t xml:space="preserve">分，扣完为止</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r>
            <w:r/>
          </w:p>
          <w:p>
            <w:pPr>
              <w:pStyle w:val="1023"/>
              <w:ind w:firstLine="482"/>
              <w:keepLines w:val="0"/>
              <w:keepNext w:val="0"/>
              <w:pageBreakBefore w:val="0"/>
              <w:spacing w:line="288"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注：</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zh-CN" w:eastAsia="zh-CN"/>
              </w:rPr>
              <w:t xml:space="preserve">投标单位应针对本项内容在投标文件《</w:t>
            </w:r>
            <w:r>
              <w:rPr>
                <w:rFonts w:hint="eastAsia" w:ascii="宋体" w:hAnsi="宋体" w:eastAsia="宋体"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lang w:val="zh-CN" w:eastAsia="zh-CN"/>
              </w:rPr>
              <w:t xml:space="preserve">偏离表》中逐条列出响应及偏离情况。</w:t>
            </w:r>
            <w:r>
              <w:rPr>
                <w:rFonts w:hint="eastAsia" w:ascii="宋体" w:hAnsi="宋体" w:eastAsia="宋体" w:cs="宋体"/>
                <w:b/>
                <w:bCs/>
                <w:color w:val="000000"/>
                <w:sz w:val="24"/>
                <w:szCs w:val="24"/>
                <w:highlight w:val="none"/>
                <w:lang w:val="zh-CN" w:eastAsia="zh-CN"/>
              </w:rPr>
            </w:r>
            <w:r/>
          </w:p>
          <w:p>
            <w:pPr>
              <w:pStyle w:val="1023"/>
              <w:numPr>
                <w:ilvl w:val="0"/>
                <w:numId w:val="0"/>
              </w:numPr>
              <w:ind w:firstLine="482"/>
              <w:keepLines w:val="0"/>
              <w:keepNext w:val="0"/>
              <w:pageBreakBefore w:val="0"/>
              <w:spacing w:line="288"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lang w:val="en-US" w:eastAsia="zh-CN" w:bidi="ar-SA"/>
              </w:rPr>
              <w:t xml:space="preserve">2、</w:t>
            </w:r>
            <w:r>
              <w:rPr>
                <w:rFonts w:hint="eastAsia" w:ascii="宋体" w:hAnsi="宋体" w:eastAsia="宋体" w:cs="宋体"/>
                <w:b/>
                <w:bCs/>
                <w:color w:val="000000"/>
                <w:sz w:val="24"/>
                <w:szCs w:val="24"/>
                <w:highlight w:val="none"/>
                <w:lang w:val="en-US" w:eastAsia="zh-CN"/>
              </w:rPr>
              <w:t xml:space="preserve">所有带</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rPr>
              <w:t xml:space="preserve">项参数投标文件需出具相关证明材料复印件并加盖投标人公章，否则视为负偏离。</w:t>
            </w:r>
            <w:r>
              <w:rPr>
                <w:rFonts w:hint="eastAsia" w:ascii="宋体" w:hAnsi="宋体" w:eastAsia="宋体" w:cs="宋体"/>
                <w:b/>
                <w:bCs/>
                <w:color w:val="000000"/>
                <w:sz w:val="24"/>
                <w:szCs w:val="24"/>
                <w:highlight w:val="none"/>
                <w:lang w:val="en-US" w:eastAsia="zh-CN"/>
              </w:rPr>
            </w:r>
            <w:r/>
          </w:p>
          <w:p>
            <w:pPr>
              <w:pStyle w:val="1054"/>
              <w:ind w:firstLine="482"/>
              <w:keepLines w:val="0"/>
              <w:keepNext w:val="0"/>
              <w:pageBreakBefore w:val="0"/>
              <w:spacing w:before="0" w:line="240" w:lineRule="auto"/>
              <w:widowControl w:val="off"/>
              <w:tabs>
                <w:tab w:val="left" w:pos="567" w:leader="none"/>
              </w:tabs>
              <w:rPr>
                <w:rFonts w:hint="eastAsia" w:ascii="宋体" w:hAnsi="宋体" w:eastAsia="宋体" w:cs="宋体"/>
                <w:sz w:val="24"/>
                <w:szCs w:val="24"/>
                <w:lang w:val="en-US" w:eastAsia="zh-CN"/>
              </w:rPr>
            </w:pPr>
            <w:r>
              <w:rPr>
                <w:rFonts w:hint="eastAsia" w:ascii="宋体" w:hAnsi="宋体" w:eastAsia="宋体" w:cs="宋体"/>
                <w:b/>
                <w:bCs/>
                <w:color w:val="000000"/>
                <w:sz w:val="24"/>
                <w:szCs w:val="24"/>
                <w:highlight w:val="none"/>
                <w:lang w:val="en-US" w:eastAsia="zh-CN"/>
              </w:rPr>
              <w:t xml:space="preserve">3、如有提供虚假技术参数的，一经发现作虚假应标处理。</w:t>
            </w:r>
            <w:r>
              <w:rPr>
                <w:rFonts w:hint="eastAsia" w:ascii="宋体" w:hAnsi="宋体" w:eastAsia="宋体" w:cs="宋体"/>
                <w:sz w:val="24"/>
                <w:szCs w:val="24"/>
                <w:lang w:val="en-US" w:eastAsia="zh-CN"/>
              </w:rPr>
            </w:r>
            <w:r/>
          </w:p>
        </w:tc>
      </w:tr>
      <w:tr>
        <w:trPr>
          <w:trHeight w:val="1696"/>
        </w:trPr>
        <w:tc>
          <w:tcPr>
            <w:tcW w:w="835"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r>
            <w:r/>
          </w:p>
        </w:tc>
        <w:tc>
          <w:tcPr>
            <w:tcW w:w="1462" w:type="dxa"/>
            <w:vAlign w:val="center"/>
            <w:textDirection w:val="lrTb"/>
            <w:noWrap w:val="false"/>
          </w:tcPr>
          <w:p>
            <w:pPr>
              <w:pStyle w:val="1023"/>
              <w:ind w:firstLine="28"/>
              <w:jc w:val="center"/>
              <w:rPr>
                <w:rFonts w:hint="eastAsia" w:ascii="宋体" w:hAnsi="宋体" w:eastAsia="宋体" w:cs="宋体"/>
                <w:sz w:val="24"/>
                <w:szCs w:val="24"/>
                <w:lang w:eastAsia="zh-CN"/>
              </w:rPr>
            </w:pPr>
            <w:r>
              <w:rPr>
                <w:rFonts w:hint="eastAsia" w:ascii="宋体" w:hAnsi="宋体" w:eastAsia="宋体" w:cs="宋体"/>
                <w:i w:val="0"/>
                <w:iCs w:val="0"/>
                <w:color w:val="000000"/>
                <w:sz w:val="24"/>
                <w:szCs w:val="24"/>
                <w:u w:val="none"/>
                <w:lang w:val="en-US" w:eastAsia="zh-CN" w:bidi="ar"/>
              </w:rPr>
              <w:t xml:space="preserve">项目业绩</w:t>
            </w:r>
            <w:r>
              <w:rPr>
                <w:rFonts w:hint="eastAsia" w:ascii="宋体" w:hAnsi="宋体" w:eastAsia="宋体" w:cs="宋体"/>
                <w:sz w:val="24"/>
                <w:szCs w:val="24"/>
                <w:lang w:eastAsia="zh-CN"/>
              </w:rPr>
            </w:r>
            <w:r/>
          </w:p>
        </w:tc>
        <w:tc>
          <w:tcPr>
            <w:tcW w:w="913" w:type="dxa"/>
            <w:vAlign w:val="center"/>
            <w:textDirection w:val="lrTb"/>
            <w:noWrap w:val="false"/>
          </w:tcPr>
          <w:p>
            <w:pPr>
              <w:pStyle w:val="1023"/>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5741" w:type="dxa"/>
            <w:vAlign w:val="center"/>
            <w:textDirection w:val="lrTb"/>
            <w:noWrap w:val="false"/>
          </w:tcPr>
          <w:p>
            <w:pPr>
              <w:pStyle w:val="1054"/>
              <w:ind w:firstLine="480"/>
              <w:keepLines w:val="0"/>
              <w:keepNext w:val="0"/>
              <w:pageBreakBefore w:val="0"/>
              <w:spacing w:before="0" w:line="240" w:lineRule="auto"/>
              <w:widowControl w:val="off"/>
              <w:tabs>
                <w:tab w:val="left" w:pos="567" w:leader="none"/>
              </w:tabs>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投标人</w:t>
            </w:r>
            <w:r>
              <w:rPr>
                <w:rFonts w:hint="eastAsia" w:eastAsia="宋体" w:cs="宋体"/>
                <w:i w:val="0"/>
                <w:iCs w:val="0"/>
                <w:color w:val="000000"/>
                <w:sz w:val="24"/>
                <w:szCs w:val="24"/>
                <w:u w:val="none"/>
                <w:lang w:val="en-US" w:eastAsia="zh-CN" w:bidi="ar"/>
              </w:rPr>
              <w:t xml:space="preserve">具有</w:t>
            </w:r>
            <w:r>
              <w:rPr>
                <w:rFonts w:hint="eastAsia" w:ascii="宋体" w:hAnsi="宋体" w:eastAsia="宋体" w:cs="宋体"/>
                <w:i w:val="0"/>
                <w:iCs w:val="0"/>
                <w:color w:val="000000"/>
                <w:sz w:val="24"/>
                <w:szCs w:val="24"/>
                <w:u w:val="none"/>
                <w:lang w:val="en-US" w:eastAsia="zh-CN" w:bidi="ar"/>
              </w:rPr>
              <w:t xml:space="preserve">2023年1月1日以来（以合同签订时间为准）与标准化考点保障服务相关项目业绩，每提供一个业绩得2分，本项最高得6分。</w:t>
            </w:r>
            <w:r>
              <w:rPr>
                <w:rFonts w:hint="eastAsia" w:ascii="宋体" w:hAnsi="宋体" w:eastAsia="宋体" w:cs="宋体"/>
                <w:i w:val="0"/>
                <w:iCs w:val="0"/>
                <w:color w:val="000000"/>
                <w:sz w:val="24"/>
                <w:szCs w:val="24"/>
                <w:u w:val="none"/>
                <w:lang w:val="en-US" w:eastAsia="zh-CN" w:bidi="ar"/>
              </w:rPr>
            </w:r>
            <w:r/>
          </w:p>
          <w:p>
            <w:pPr>
              <w:pStyle w:val="1054"/>
              <w:ind w:firstLine="482"/>
              <w:keepLines w:val="0"/>
              <w:keepNext w:val="0"/>
              <w:pageBreakBefore w:val="0"/>
              <w:spacing w:before="0" w:line="240" w:lineRule="auto"/>
              <w:widowControl w:val="off"/>
              <w:tabs>
                <w:tab w:val="left" w:pos="567" w:leader="none"/>
              </w:tabs>
              <w:rPr>
                <w:rFonts w:hint="eastAsia" w:ascii="宋体" w:hAnsi="宋体" w:eastAsia="宋体" w:cs="宋体"/>
                <w:sz w:val="24"/>
                <w:szCs w:val="24"/>
                <w:lang w:val="en-US" w:eastAsia="zh-CN"/>
              </w:rPr>
            </w:pPr>
            <w:r>
              <w:rPr>
                <w:rFonts w:hint="eastAsia" w:eastAsia="宋体" w:cs="宋体"/>
                <w:b/>
                <w:bCs/>
                <w:i w:val="0"/>
                <w:iCs w:val="0"/>
                <w:color w:val="000000"/>
                <w:sz w:val="24"/>
                <w:szCs w:val="24"/>
                <w:u w:val="none"/>
                <w:lang w:val="en-US" w:eastAsia="zh-CN" w:bidi="ar"/>
              </w:rPr>
              <w:t xml:space="preserve">注：</w:t>
            </w:r>
            <w:r>
              <w:rPr>
                <w:rFonts w:hint="eastAsia" w:ascii="宋体" w:hAnsi="宋体" w:eastAsia="宋体" w:cs="宋体"/>
                <w:b/>
                <w:bCs/>
                <w:i w:val="0"/>
                <w:iCs w:val="0"/>
                <w:color w:val="000000"/>
                <w:sz w:val="24"/>
                <w:szCs w:val="24"/>
                <w:u w:val="none"/>
                <w:lang w:val="en-US" w:eastAsia="zh-CN" w:bidi="ar"/>
              </w:rPr>
              <w:t xml:space="preserve">投标文件中须提供有效的项目合同</w:t>
            </w:r>
            <w:r>
              <w:rPr>
                <w:rFonts w:hint="eastAsia" w:ascii="宋体" w:hAnsi="宋体" w:eastAsia="宋体" w:cs="宋体"/>
                <w:b/>
                <w:bCs/>
                <w:i w:val="0"/>
                <w:iCs w:val="0"/>
                <w:color w:val="000000"/>
                <w:sz w:val="24"/>
                <w:szCs w:val="24"/>
                <w:u w:val="none"/>
                <w:lang w:val="en-US" w:eastAsia="zh-CN" w:bidi="ar"/>
              </w:rPr>
              <w:t xml:space="preserve">及验收报告（或结算发票）</w:t>
            </w:r>
            <w:r>
              <w:rPr>
                <w:rFonts w:hint="eastAsia" w:ascii="宋体" w:hAnsi="宋体" w:eastAsia="宋体" w:cs="宋体"/>
                <w:b/>
                <w:bCs/>
                <w:i w:val="0"/>
                <w:iCs w:val="0"/>
                <w:color w:val="000000"/>
                <w:sz w:val="24"/>
                <w:szCs w:val="24"/>
                <w:u w:val="none"/>
                <w:lang w:val="en-US" w:eastAsia="zh-CN" w:bidi="ar"/>
              </w:rPr>
              <w:t xml:space="preserve">扫描件，否则不得分。</w:t>
            </w:r>
            <w:r>
              <w:rPr>
                <w:rFonts w:hint="eastAsia" w:ascii="宋体" w:hAnsi="宋体" w:eastAsia="宋体" w:cs="宋体"/>
                <w:sz w:val="24"/>
                <w:szCs w:val="24"/>
                <w:lang w:val="en-US" w:eastAsia="zh-CN"/>
              </w:rPr>
            </w:r>
            <w:r/>
          </w:p>
        </w:tc>
      </w:tr>
      <w:tr>
        <w:trPr>
          <w:trHeight w:val="2111"/>
        </w:trPr>
        <w:tc>
          <w:tcPr>
            <w:tcW w:w="835"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rPr>
            </w:r>
            <w:r/>
          </w:p>
        </w:tc>
        <w:tc>
          <w:tcPr>
            <w:tcW w:w="1462"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投标企业资质</w:t>
            </w:r>
            <w:r>
              <w:rPr>
                <w:rFonts w:hint="eastAsia" w:ascii="宋体" w:hAnsi="宋体" w:eastAsia="宋体" w:cs="宋体"/>
                <w:sz w:val="24"/>
                <w:szCs w:val="24"/>
              </w:rPr>
            </w:r>
            <w:r/>
          </w:p>
        </w:tc>
        <w:tc>
          <w:tcPr>
            <w:tcW w:w="913" w:type="dxa"/>
            <w:vAlign w:val="center"/>
            <w:textDirection w:val="lrTb"/>
            <w:noWrap w:val="false"/>
          </w:tcPr>
          <w:p>
            <w:pPr>
              <w:pStyle w:val="1023"/>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W w:w="5741" w:type="dxa"/>
            <w:vAlign w:val="center"/>
            <w:textDirection w:val="lrTb"/>
            <w:noWrap w:val="false"/>
          </w:tcPr>
          <w:p>
            <w:pPr>
              <w:pStyle w:val="1054"/>
              <w:ind w:firstLine="480"/>
              <w:keepLines w:val="0"/>
              <w:keepNext w:val="0"/>
              <w:pageBreakBefore w:val="0"/>
              <w:spacing w:before="0" w:line="240" w:lineRule="auto"/>
              <w:widowControl w:val="off"/>
              <w:tabs>
                <w:tab w:val="left" w:pos="567" w:leader="none"/>
              </w:tabs>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投标人具有：ISO9001/19001质量管理体系认证证书</w:t>
            </w:r>
            <w:r>
              <w:rPr>
                <w:rFonts w:hint="eastAsia"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ISO20000信息技术服务管理体系认证证书</w:t>
            </w:r>
            <w:r>
              <w:rPr>
                <w:rFonts w:hint="eastAsia"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ISO27001信息安全管理体系认证证书</w:t>
            </w:r>
            <w:r>
              <w:rPr>
                <w:rFonts w:hint="eastAsia"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每提供一种证书得</w:t>
            </w:r>
            <w:r>
              <w:rPr>
                <w:rFonts w:hint="eastAsia"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分，</w:t>
            </w:r>
            <w:r>
              <w:rPr>
                <w:rFonts w:hint="eastAsia" w:ascii="宋体" w:hAnsi="宋体" w:eastAsia="宋体" w:cs="宋体"/>
                <w:b w:val="0"/>
                <w:bCs w:val="0"/>
                <w:color w:val="000000"/>
                <w:sz w:val="24"/>
                <w:szCs w:val="24"/>
                <w:lang w:val="en-US" w:eastAsia="zh-CN" w:bidi="ar-SA"/>
              </w:rPr>
              <w:t xml:space="preserve">最高得</w:t>
            </w:r>
            <w:r>
              <w:rPr>
                <w:rFonts w:hint="eastAsia"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
              </w:rPr>
              <w:t xml:space="preserve">分。</w:t>
            </w:r>
            <w:r>
              <w:rPr>
                <w:rFonts w:hint="eastAsia" w:ascii="宋体" w:hAnsi="宋体" w:eastAsia="宋体" w:cs="宋体"/>
                <w:i w:val="0"/>
                <w:iCs w:val="0"/>
                <w:color w:val="000000"/>
                <w:sz w:val="24"/>
                <w:szCs w:val="24"/>
                <w:u w:val="none"/>
                <w:lang w:val="en-US" w:eastAsia="zh-CN" w:bidi="ar"/>
              </w:rPr>
            </w:r>
            <w:r/>
          </w:p>
          <w:p>
            <w:pPr>
              <w:pStyle w:val="1054"/>
              <w:ind w:firstLine="482"/>
              <w:keepLines w:val="0"/>
              <w:keepNext w:val="0"/>
              <w:pageBreakBefore w:val="0"/>
              <w:spacing w:before="0" w:line="240" w:lineRule="auto"/>
              <w:widowControl w:val="off"/>
              <w:tabs>
                <w:tab w:val="left" w:pos="567" w:leader="none"/>
              </w:tabs>
              <w:rPr>
                <w:rFonts w:hint="eastAsia" w:ascii="宋体" w:hAnsi="宋体" w:eastAsia="宋体" w:cs="宋体"/>
                <w:sz w:val="24"/>
                <w:szCs w:val="24"/>
              </w:rPr>
            </w:pPr>
            <w:r>
              <w:rPr>
                <w:rFonts w:hint="eastAsia" w:ascii="宋体" w:hAnsi="宋体" w:eastAsia="宋体" w:cs="宋体"/>
                <w:b/>
                <w:bCs/>
                <w:color w:val="000000"/>
                <w:sz w:val="24"/>
                <w:szCs w:val="24"/>
                <w:lang w:val="en-US" w:eastAsia="zh-CN"/>
              </w:rPr>
              <w:t xml:space="preserve">注：须提供有效期内的证书扫描件加盖投标人公章，不提供不得分。</w:t>
            </w:r>
            <w:r>
              <w:rPr>
                <w:rFonts w:hint="eastAsia" w:ascii="宋体" w:hAnsi="宋体" w:eastAsia="宋体" w:cs="宋体"/>
                <w:sz w:val="24"/>
                <w:szCs w:val="24"/>
              </w:rPr>
            </w:r>
            <w:r/>
          </w:p>
        </w:tc>
      </w:tr>
      <w:tr>
        <w:trPr>
          <w:trHeight w:val="1941"/>
        </w:trPr>
        <w:tc>
          <w:tcPr>
            <w:tcW w:w="835"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r>
            <w:r/>
          </w:p>
        </w:tc>
        <w:tc>
          <w:tcPr>
            <w:tcW w:w="1462" w:type="dxa"/>
            <w:vAlign w:val="center"/>
            <w:textDirection w:val="lrTb"/>
            <w:noWrap w:val="false"/>
          </w:tcPr>
          <w:p>
            <w:pPr>
              <w:pStyle w:val="1023"/>
              <w:ind w:firstLine="28"/>
              <w:jc w:val="center"/>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bidi="ar"/>
              </w:rPr>
              <w:t xml:space="preserve">项目负责人</w:t>
            </w:r>
            <w:r>
              <w:rPr>
                <w:rFonts w:hint="eastAsia" w:ascii="宋体" w:hAnsi="宋体" w:eastAsia="宋体" w:cs="宋体"/>
                <w:sz w:val="24"/>
                <w:szCs w:val="24"/>
                <w:lang w:val="en-US" w:eastAsia="zh-CN"/>
              </w:rPr>
            </w:r>
            <w:r/>
          </w:p>
        </w:tc>
        <w:tc>
          <w:tcPr>
            <w:tcW w:w="913" w:type="dxa"/>
            <w:vAlign w:val="center"/>
            <w:textDirection w:val="lrTb"/>
            <w:noWrap w:val="false"/>
          </w:tcPr>
          <w:p>
            <w:pPr>
              <w:pStyle w:val="102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5741" w:type="dxa"/>
            <w:vAlign w:val="center"/>
            <w:textDirection w:val="lrTb"/>
            <w:noWrap w:val="false"/>
          </w:tcPr>
          <w:p>
            <w:pPr>
              <w:pStyle w:val="1054"/>
              <w:numPr>
                <w:ilvl w:val="0"/>
                <w:numId w:val="0"/>
              </w:numPr>
              <w:ind w:firstLine="480"/>
              <w:keepLines w:val="0"/>
              <w:keepNext w:val="0"/>
              <w:pageBreakBefore w:val="0"/>
              <w:spacing w:before="0" w:line="240" w:lineRule="auto"/>
              <w:widowControl w:val="off"/>
              <w:tabs>
                <w:tab w:val="left" w:pos="567" w:leader="none"/>
              </w:tabs>
              <w:rPr>
                <w:rFonts w:hint="eastAsia" w:ascii="宋体" w:hAnsi="宋体" w:eastAsia="宋体" w:cs="宋体"/>
                <w:i w:val="0"/>
                <w:iCs w:val="0"/>
                <w:color w:val="000000"/>
                <w:sz w:val="24"/>
                <w:szCs w:val="24"/>
                <w:u w:val="none"/>
                <w:lang w:val="en-US" w:eastAsia="zh-CN" w:bidi="ar"/>
              </w:rPr>
            </w:pPr>
            <w:r>
              <w:rPr>
                <w:rFonts w:hint="eastAsia" w:ascii="宋体" w:hAnsi="宋体" w:cs="宋体"/>
                <w:sz w:val="24"/>
                <w:lang w:bidi="ar"/>
              </w:rPr>
              <w:t xml:space="preserve">投标人针对本项目拟派的项目负责人具有</w:t>
            </w:r>
            <w:r>
              <w:rPr>
                <w:rFonts w:hint="eastAsia" w:ascii="宋体" w:hAnsi="宋体" w:eastAsia="宋体" w:cs="宋体"/>
                <w:i w:val="0"/>
                <w:iCs w:val="0"/>
                <w:color w:val="000000"/>
                <w:sz w:val="24"/>
                <w:szCs w:val="24"/>
                <w:u w:val="none"/>
                <w:lang w:val="en-US" w:eastAsia="zh-CN" w:bidi="ar"/>
              </w:rPr>
              <w:t xml:space="preserve">信息化相关专业高级工程师（通信）、系统集成项目管理工程师、CISP的，有1项得2分，本项最高得6分。</w:t>
            </w:r>
            <w:r>
              <w:rPr>
                <w:rFonts w:hint="eastAsia" w:ascii="宋体" w:hAnsi="宋体" w:eastAsia="宋体" w:cs="宋体"/>
                <w:i w:val="0"/>
                <w:iCs w:val="0"/>
                <w:color w:val="000000"/>
                <w:sz w:val="24"/>
                <w:szCs w:val="24"/>
                <w:u w:val="none"/>
                <w:lang w:val="en-US" w:eastAsia="zh-CN" w:bidi="ar"/>
              </w:rPr>
            </w:r>
            <w:r/>
          </w:p>
          <w:p>
            <w:pPr>
              <w:pStyle w:val="1056"/>
              <w:numPr>
                <w:ilvl w:val="0"/>
                <w:numId w:val="0"/>
              </w:numPr>
              <w:ind w:firstLine="482"/>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i w:val="0"/>
                <w:iCs w:val="0"/>
                <w:color w:val="000000"/>
                <w:sz w:val="24"/>
                <w:szCs w:val="24"/>
                <w:u w:val="none"/>
                <w:lang w:val="en-US" w:eastAsia="zh-CN" w:bidi="ar"/>
              </w:rPr>
              <w:t xml:space="preserve">提供证书扫描件并加盖公章，并提供投标单位为其缴纳的近三个月社保缴纳证明加盖公章。</w:t>
            </w:r>
            <w:r>
              <w:rPr>
                <w:rFonts w:hint="eastAsia" w:ascii="宋体" w:hAnsi="宋体" w:eastAsia="宋体" w:cs="宋体"/>
                <w:b/>
                <w:bCs/>
                <w:i w:val="0"/>
                <w:iCs w:val="0"/>
                <w:color w:val="000000"/>
                <w:sz w:val="24"/>
                <w:szCs w:val="24"/>
                <w:u w:val="none"/>
                <w:lang w:val="en-US" w:eastAsia="zh-CN" w:bidi="ar"/>
              </w:rPr>
              <w:t xml:space="preserve">不提供不得分。</w:t>
            </w:r>
            <w:r>
              <w:rPr>
                <w:rFonts w:hint="eastAsia" w:ascii="宋体" w:hAnsi="宋体" w:eastAsia="宋体" w:cs="宋体"/>
                <w:sz w:val="24"/>
                <w:szCs w:val="24"/>
                <w:lang w:val="en-US" w:eastAsia="zh-CN"/>
              </w:rPr>
            </w:r>
            <w:r/>
          </w:p>
        </w:tc>
      </w:tr>
      <w:tr>
        <w:trPr>
          <w:trHeight w:val="2067"/>
        </w:trPr>
        <w:tc>
          <w:tcPr>
            <w:tcW w:w="835" w:type="dxa"/>
            <w:vAlign w:val="center"/>
            <w:textDirection w:val="lrTb"/>
            <w:noWrap w:val="false"/>
          </w:tcPr>
          <w:p>
            <w:pPr>
              <w:pStyle w:val="1023"/>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3.5</w:t>
            </w:r>
            <w:r>
              <w:rPr>
                <w:rFonts w:ascii="宋体" w:hAnsi="宋体" w:eastAsia="宋体" w:cs="宋体"/>
                <w:sz w:val="24"/>
                <w:szCs w:val="24"/>
                <w:lang w:val="en-US" w:eastAsia="zh-CN"/>
              </w:rPr>
            </w:r>
            <w:r/>
          </w:p>
        </w:tc>
        <w:tc>
          <w:tcPr>
            <w:tcW w:w="1462" w:type="dxa"/>
            <w:vAlign w:val="center"/>
            <w:textDirection w:val="lrTb"/>
            <w:noWrap w:val="false"/>
          </w:tcPr>
          <w:p>
            <w:pPr>
              <w:pStyle w:val="1023"/>
              <w:ind w:firstLine="28"/>
              <w:jc w:val="center"/>
              <w:rPr>
                <w:rFonts w:hint="eastAsia" w:ascii="宋体" w:hAnsi="宋体" w:eastAsia="宋体" w:cs="宋体"/>
                <w:sz w:val="24"/>
                <w:szCs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技术负责人</w:t>
            </w:r>
            <w:r>
              <w:rPr>
                <w:rFonts w:hint="eastAsia" w:ascii="宋体" w:hAnsi="宋体" w:eastAsia="宋体" w:cs="宋体"/>
                <w:sz w:val="24"/>
                <w:szCs w:val="24"/>
                <w:highlight w:val="none"/>
                <w:lang w:val="en-US" w:eastAsia="zh-CN"/>
              </w:rPr>
            </w:r>
            <w:r/>
          </w:p>
        </w:tc>
        <w:tc>
          <w:tcPr>
            <w:tcW w:w="913" w:type="dxa"/>
            <w:vAlign w:val="center"/>
            <w:textDirection w:val="lrTb"/>
            <w:noWrap w:val="false"/>
          </w:tcPr>
          <w:p>
            <w:pPr>
              <w:pStyle w:val="1023"/>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ascii="宋体" w:hAnsi="宋体" w:eastAsia="宋体" w:cs="宋体"/>
                <w:sz w:val="24"/>
                <w:szCs w:val="24"/>
                <w:lang w:val="en-US" w:eastAsia="zh-CN"/>
              </w:rPr>
            </w:r>
            <w:r/>
          </w:p>
        </w:tc>
        <w:tc>
          <w:tcPr>
            <w:tcW w:w="5741" w:type="dxa"/>
            <w:vAlign w:val="center"/>
            <w:textDirection w:val="lrTb"/>
            <w:noWrap w:val="false"/>
          </w:tcPr>
          <w:p>
            <w:pPr>
              <w:pStyle w:val="1056"/>
              <w:numPr>
                <w:ilvl w:val="0"/>
                <w:numId w:val="0"/>
              </w:numPr>
              <w:ind w:firstLine="480"/>
              <w:keepLines w:val="0"/>
              <w:keepNext w:val="0"/>
              <w:pageBreakBefore w:val="0"/>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cs="宋体"/>
                <w:sz w:val="24"/>
                <w:lang w:bidi="ar"/>
              </w:rPr>
              <w:t xml:space="preserve">投标人针对本项目拟派的</w:t>
            </w:r>
            <w:r>
              <w:rPr>
                <w:rFonts w:hint="eastAsia" w:ascii="宋体" w:hAnsi="宋体" w:cs="宋体"/>
                <w:sz w:val="24"/>
                <w:lang w:val="en-US" w:eastAsia="zh-CN" w:bidi="ar"/>
              </w:rPr>
              <w:t xml:space="preserve">技术</w:t>
            </w:r>
            <w:r>
              <w:rPr>
                <w:rFonts w:hint="eastAsia" w:ascii="宋体" w:hAnsi="宋体" w:cs="宋体"/>
                <w:sz w:val="24"/>
                <w:lang w:bidi="ar"/>
              </w:rPr>
              <w:t xml:space="preserve">负责人</w:t>
            </w:r>
            <w:r>
              <w:rPr>
                <w:rFonts w:hint="eastAsia" w:ascii="宋体" w:hAnsi="宋体" w:eastAsia="宋体" w:cs="宋体"/>
                <w:i w:val="0"/>
                <w:iCs w:val="0"/>
                <w:color w:val="000000"/>
                <w:sz w:val="24"/>
                <w:szCs w:val="24"/>
                <w:u w:val="none"/>
                <w:lang w:val="en-US" w:eastAsia="zh-CN" w:bidi="ar"/>
              </w:rPr>
              <w:t xml:space="preserve">具有PMP、高级程序员、高级系统分析师的，有1项得2分，本项最高得6分。</w:t>
            </w:r>
            <w:r>
              <w:rPr>
                <w:rFonts w:hint="eastAsia" w:ascii="宋体" w:hAnsi="宋体" w:eastAsia="宋体" w:cs="宋体"/>
                <w:i w:val="0"/>
                <w:iCs w:val="0"/>
                <w:color w:val="000000"/>
                <w:sz w:val="24"/>
                <w:szCs w:val="24"/>
                <w:u w:val="none"/>
                <w:lang w:val="en-US" w:eastAsia="zh-CN" w:bidi="ar"/>
              </w:rPr>
            </w:r>
            <w:r/>
          </w:p>
          <w:p>
            <w:pPr>
              <w:pStyle w:val="1056"/>
              <w:numPr>
                <w:ilvl w:val="0"/>
                <w:numId w:val="0"/>
              </w:numPr>
              <w:ind w:firstLine="482"/>
              <w:keepLines w:val="0"/>
              <w:keepNext w:val="0"/>
              <w:pageBreakBefore w:val="0"/>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sz w:val="24"/>
                <w:szCs w:val="24"/>
                <w:lang w:val="en-US" w:eastAsia="zh-CN"/>
              </w:rPr>
              <w:t xml:space="preserve">注：</w:t>
            </w:r>
            <w:r>
              <w:rPr>
                <w:rFonts w:hint="eastAsia" w:ascii="宋体" w:hAnsi="宋体" w:eastAsia="宋体" w:cs="宋体"/>
                <w:b/>
                <w:bCs/>
                <w:i w:val="0"/>
                <w:iCs w:val="0"/>
                <w:color w:val="000000"/>
                <w:sz w:val="24"/>
                <w:szCs w:val="24"/>
                <w:u w:val="none"/>
                <w:lang w:val="en-US" w:eastAsia="zh-CN" w:bidi="ar"/>
              </w:rPr>
              <w:t xml:space="preserve">提供证书扫描件并加盖公章，并提供投标单位为其缴纳的近三个月社保缴纳证明加盖公章。不提供不得分。</w:t>
            </w:r>
            <w:r>
              <w:rPr>
                <w:rFonts w:hint="eastAsia" w:ascii="宋体" w:hAnsi="宋体" w:eastAsia="宋体" w:cs="宋体"/>
                <w:i w:val="0"/>
                <w:iCs w:val="0"/>
                <w:color w:val="000000"/>
                <w:sz w:val="24"/>
                <w:szCs w:val="24"/>
                <w:u w:val="none"/>
                <w:lang w:val="en-US" w:eastAsia="zh-CN" w:bidi="ar"/>
              </w:rPr>
            </w:r>
            <w:r/>
          </w:p>
        </w:tc>
      </w:tr>
      <w:tr>
        <w:trPr>
          <w:trHeight w:val="2307"/>
        </w:trPr>
        <w:tc>
          <w:tcPr>
            <w:tcW w:w="835" w:type="dxa"/>
            <w:vAlign w:val="center"/>
            <w:textDirection w:val="lrTb"/>
            <w:noWrap w:val="false"/>
          </w:tcPr>
          <w:p>
            <w:pPr>
              <w:pStyle w:val="1023"/>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3.6</w:t>
            </w:r>
            <w:r>
              <w:rPr>
                <w:rFonts w:ascii="宋体" w:hAnsi="宋体" w:eastAsia="宋体" w:cs="宋体"/>
                <w:sz w:val="24"/>
                <w:szCs w:val="24"/>
                <w:lang w:val="en-US" w:eastAsia="zh-CN"/>
              </w:rPr>
            </w:r>
            <w:r/>
          </w:p>
        </w:tc>
        <w:tc>
          <w:tcPr>
            <w:tcW w:w="1462" w:type="dxa"/>
            <w:vAlign w:val="center"/>
            <w:textDirection w:val="lrTb"/>
            <w:noWrap w:val="false"/>
          </w:tcPr>
          <w:p>
            <w:pPr>
              <w:pStyle w:val="1023"/>
              <w:ind w:firstLine="28"/>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安全负责人</w:t>
            </w:r>
            <w:r>
              <w:rPr>
                <w:rFonts w:ascii="宋体" w:hAnsi="宋体" w:eastAsia="宋体" w:cs="宋体"/>
                <w:sz w:val="24"/>
                <w:szCs w:val="24"/>
                <w:highlight w:val="none"/>
                <w:lang w:val="en-US" w:eastAsia="zh-CN"/>
              </w:rPr>
            </w:r>
            <w:r/>
          </w:p>
        </w:tc>
        <w:tc>
          <w:tcPr>
            <w:tcW w:w="913" w:type="dxa"/>
            <w:vAlign w:val="center"/>
            <w:textDirection w:val="lrTb"/>
            <w:noWrap w:val="false"/>
          </w:tcPr>
          <w:p>
            <w:pPr>
              <w:pStyle w:val="1023"/>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lang w:val="en-US" w:eastAsia="zh-CN"/>
              </w:rPr>
            </w:r>
            <w:r/>
          </w:p>
        </w:tc>
        <w:tc>
          <w:tcPr>
            <w:tcW w:w="5741" w:type="dxa"/>
            <w:vAlign w:val="center"/>
            <w:textDirection w:val="lrTb"/>
            <w:noWrap w:val="false"/>
          </w:tcPr>
          <w:p>
            <w:pPr>
              <w:pStyle w:val="1056"/>
              <w:numPr>
                <w:ilvl w:val="0"/>
                <w:numId w:val="0"/>
              </w:numPr>
              <w:ind w:firstLine="480"/>
              <w:keepLines w:val="0"/>
              <w:keepNext w:val="0"/>
              <w:pageBreakBefore w:val="0"/>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cs="宋体"/>
                <w:sz w:val="24"/>
                <w:lang w:bidi="ar"/>
              </w:rPr>
              <w:t xml:space="preserve">投标人针对本项目拟派的</w:t>
            </w:r>
            <w:r>
              <w:rPr>
                <w:rFonts w:hint="eastAsia" w:ascii="宋体" w:hAnsi="宋体" w:eastAsia="宋体" w:cs="宋体"/>
                <w:i w:val="0"/>
                <w:iCs w:val="0"/>
                <w:color w:val="000000"/>
                <w:sz w:val="24"/>
                <w:szCs w:val="24"/>
                <w:u w:val="none"/>
                <w:lang w:val="en-US" w:eastAsia="zh-CN" w:bidi="ar"/>
              </w:rPr>
              <w:t xml:space="preserve">安全负责人具有CISE(注册信息安全工程师)、CISAW(信息安全保障人员认证证书)-应急服务（专业级）的，有1项得2分，本项最高得4分。</w:t>
            </w:r>
            <w:r>
              <w:rPr>
                <w:rFonts w:hint="eastAsia" w:ascii="宋体" w:hAnsi="宋体" w:eastAsia="宋体" w:cs="宋体"/>
                <w:i w:val="0"/>
                <w:iCs w:val="0"/>
                <w:color w:val="000000"/>
                <w:sz w:val="24"/>
                <w:szCs w:val="24"/>
                <w:u w:val="none"/>
                <w:lang w:val="en-US" w:eastAsia="zh-CN" w:bidi="ar"/>
              </w:rPr>
            </w:r>
            <w:r/>
          </w:p>
          <w:p>
            <w:pPr>
              <w:pStyle w:val="1056"/>
              <w:numPr>
                <w:ilvl w:val="0"/>
                <w:numId w:val="0"/>
              </w:numPr>
              <w:ind w:firstLine="482"/>
              <w:keepLines w:val="0"/>
              <w:keepNext w:val="0"/>
              <w:pageBreakBefore w:val="0"/>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sz w:val="24"/>
                <w:szCs w:val="24"/>
                <w:lang w:val="en-US" w:eastAsia="zh-CN"/>
              </w:rPr>
              <w:t xml:space="preserve">注：</w:t>
            </w:r>
            <w:r>
              <w:rPr>
                <w:rFonts w:hint="eastAsia" w:ascii="宋体" w:hAnsi="宋体" w:eastAsia="宋体" w:cs="宋体"/>
                <w:b/>
                <w:bCs/>
                <w:i w:val="0"/>
                <w:iCs w:val="0"/>
                <w:color w:val="000000"/>
                <w:sz w:val="24"/>
                <w:szCs w:val="24"/>
                <w:u w:val="none"/>
                <w:lang w:val="en-US" w:eastAsia="zh-CN" w:bidi="ar"/>
              </w:rPr>
              <w:t xml:space="preserve">提供证书扫描件并加盖公章，并提供投标单位为其缴纳的近三个月社保缴纳证明加盖公章。不提供不得分。</w:t>
            </w:r>
            <w:r>
              <w:rPr>
                <w:rFonts w:hint="eastAsia" w:ascii="宋体" w:hAnsi="宋体" w:eastAsia="宋体" w:cs="宋体"/>
                <w:i w:val="0"/>
                <w:iCs w:val="0"/>
                <w:color w:val="000000"/>
                <w:sz w:val="24"/>
                <w:szCs w:val="24"/>
                <w:u w:val="none"/>
                <w:lang w:val="en-US" w:eastAsia="zh-CN" w:bidi="ar"/>
              </w:rPr>
            </w:r>
            <w:r/>
          </w:p>
        </w:tc>
      </w:tr>
      <w:tr>
        <w:trPr>
          <w:trHeight w:val="1719"/>
        </w:trPr>
        <w:tc>
          <w:tcPr>
            <w:tcW w:w="835" w:type="dxa"/>
            <w:vAlign w:val="center"/>
            <w:textDirection w:val="lrTb"/>
            <w:noWrap w:val="false"/>
          </w:tcPr>
          <w:p>
            <w:pPr>
              <w:pStyle w:val="1023"/>
              <w:ind w:firstLine="28"/>
              <w:jc w:val="center"/>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r>
            <w:r/>
          </w:p>
        </w:tc>
        <w:tc>
          <w:tcPr>
            <w:tcW w:w="1462"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现场保障</w:t>
            </w:r>
            <w:r>
              <w:rPr>
                <w:rFonts w:hint="eastAsia" w:ascii="宋体" w:hAnsi="宋体" w:eastAsia="宋体" w:cs="宋体"/>
                <w:sz w:val="24"/>
                <w:szCs w:val="24"/>
              </w:rPr>
            </w:r>
            <w:r/>
          </w:p>
        </w:tc>
        <w:tc>
          <w:tcPr>
            <w:tcW w:w="913" w:type="dxa"/>
            <w:vAlign w:val="center"/>
            <w:textDirection w:val="lrTb"/>
            <w:noWrap w:val="false"/>
          </w:tcPr>
          <w:p>
            <w:pPr>
              <w:pStyle w:val="102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5741" w:type="dxa"/>
            <w:vAlign w:val="center"/>
            <w:textDirection w:val="lrTb"/>
            <w:noWrap w:val="false"/>
          </w:tcPr>
          <w:p>
            <w:pPr>
              <w:pStyle w:val="1054"/>
              <w:ind w:firstLine="480"/>
              <w:keepLines w:val="0"/>
              <w:keepNext w:val="0"/>
              <w:pageBreakBefore w:val="0"/>
              <w:spacing w:before="0" w:line="240" w:lineRule="auto"/>
              <w:widowControl w:val="off"/>
              <w:tabs>
                <w:tab w:val="left" w:pos="567" w:leader="none"/>
              </w:tabs>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承诺在省、市考试院明确要求使用标准化考场的重要考试期间，向全市所有考点派驻现场技术保障服务人员，每个考点至少3人。每增加1人，得2分</w:t>
            </w:r>
            <w:r>
              <w:rPr>
                <w:rFonts w:hint="eastAsia"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最高得4分</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p>
            <w:pPr>
              <w:pStyle w:val="1054"/>
              <w:ind w:firstLine="482"/>
              <w:keepLines w:val="0"/>
              <w:keepNext w:val="0"/>
              <w:pageBreakBefore w:val="0"/>
              <w:spacing w:before="0" w:line="240" w:lineRule="auto"/>
              <w:widowControl w:val="off"/>
              <w:tabs>
                <w:tab w:val="left" w:pos="567" w:leader="none"/>
              </w:tabs>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注：</w:t>
            </w:r>
            <w:r>
              <w:rPr>
                <w:rFonts w:hint="eastAsia" w:ascii="宋体" w:hAnsi="宋体" w:eastAsia="宋体" w:cs="宋体"/>
                <w:b/>
                <w:bCs/>
                <w:i w:val="0"/>
                <w:iCs w:val="0"/>
                <w:color w:val="000000"/>
                <w:sz w:val="24"/>
                <w:szCs w:val="24"/>
                <w:u w:val="none"/>
                <w:lang w:val="en-US" w:eastAsia="zh-CN" w:bidi="ar"/>
              </w:rPr>
              <w:t xml:space="preserve">提供承诺函（自拟格式），不提供不得分。</w:t>
            </w:r>
            <w:r>
              <w:rPr>
                <w:rFonts w:hint="eastAsia" w:ascii="宋体" w:hAnsi="宋体" w:eastAsia="宋体" w:cs="宋体"/>
                <w:sz w:val="24"/>
                <w:szCs w:val="24"/>
              </w:rPr>
            </w:r>
            <w:r/>
          </w:p>
        </w:tc>
      </w:tr>
      <w:tr>
        <w:trPr>
          <w:trHeight w:val="906"/>
        </w:trPr>
        <w:tc>
          <w:tcPr>
            <w:tcW w:w="835" w:type="dxa"/>
            <w:vAlign w:val="center"/>
            <w:textDirection w:val="lrTb"/>
            <w:noWrap w:val="false"/>
          </w:tcPr>
          <w:p>
            <w:pPr>
              <w:pStyle w:val="102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3.8</w:t>
            </w:r>
            <w:r>
              <w:rPr>
                <w:rFonts w:hint="eastAsia" w:ascii="宋体" w:hAnsi="宋体" w:eastAsia="宋体" w:cs="宋体"/>
                <w:sz w:val="24"/>
                <w:szCs w:val="24"/>
                <w:lang w:val="en-US" w:eastAsia="zh-CN"/>
              </w:rPr>
            </w:r>
            <w:r/>
          </w:p>
        </w:tc>
        <w:tc>
          <w:tcPr>
            <w:tcW w:w="1462"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运维延保</w:t>
            </w:r>
            <w:r>
              <w:rPr>
                <w:rFonts w:hint="eastAsia" w:ascii="宋体" w:hAnsi="宋体" w:eastAsia="宋体" w:cs="宋体"/>
                <w:sz w:val="24"/>
                <w:szCs w:val="24"/>
              </w:rPr>
            </w:r>
            <w:r/>
          </w:p>
        </w:tc>
        <w:tc>
          <w:tcPr>
            <w:tcW w:w="913" w:type="dxa"/>
            <w:vAlign w:val="center"/>
            <w:textDirection w:val="lrTb"/>
            <w:noWrap w:val="false"/>
          </w:tcPr>
          <w:p>
            <w:pPr>
              <w:pStyle w:val="102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5741" w:type="dxa"/>
            <w:vAlign w:val="center"/>
            <w:textDirection w:val="lrTb"/>
            <w:noWrap w:val="false"/>
          </w:tcPr>
          <w:p>
            <w:pPr>
              <w:pStyle w:val="1054"/>
              <w:ind w:firstLine="480"/>
              <w:keepLines w:val="0"/>
              <w:keepNext w:val="0"/>
              <w:pageBreakBefore w:val="0"/>
              <w:spacing w:before="0" w:line="240" w:lineRule="auto"/>
              <w:widowControl w:val="off"/>
              <w:tabs>
                <w:tab w:val="left" w:pos="567" w:leader="none"/>
              </w:tabs>
              <w:rPr>
                <w:rFonts w:hint="eastAsia"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承诺免费延长1年服务期</w:t>
            </w:r>
            <w:r>
              <w:rPr>
                <w:rFonts w:hint="eastAsia" w:eastAsia="宋体" w:cs="宋体"/>
                <w:i w:val="0"/>
                <w:iCs w:val="0"/>
                <w:color w:val="000000"/>
                <w:sz w:val="24"/>
                <w:szCs w:val="24"/>
                <w:u w:val="none"/>
                <w:lang w:val="en-US" w:eastAsia="zh-CN" w:bidi="ar"/>
              </w:rPr>
              <w:t xml:space="preserve">。</w:t>
            </w:r>
            <w:r>
              <w:rPr>
                <w:rFonts w:hint="eastAsia" w:eastAsia="宋体" w:cs="宋体"/>
                <w:i w:val="0"/>
                <w:iCs w:val="0"/>
                <w:color w:val="000000"/>
                <w:sz w:val="24"/>
                <w:szCs w:val="24"/>
                <w:u w:val="none"/>
                <w:lang w:val="en-US" w:eastAsia="zh-CN" w:bidi="ar"/>
              </w:rPr>
            </w:r>
            <w:r/>
          </w:p>
          <w:p>
            <w:pPr>
              <w:pStyle w:val="1054"/>
              <w:ind w:firstLine="482"/>
              <w:keepLines w:val="0"/>
              <w:keepNext w:val="0"/>
              <w:pageBreakBefore w:val="0"/>
              <w:spacing w:before="0" w:line="240" w:lineRule="auto"/>
              <w:widowControl w:val="off"/>
              <w:tabs>
                <w:tab w:val="left" w:pos="567" w:leader="none"/>
              </w:tabs>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注：</w:t>
            </w:r>
            <w:r>
              <w:rPr>
                <w:rFonts w:hint="eastAsia" w:ascii="宋体" w:hAnsi="宋体" w:eastAsia="宋体" w:cs="宋体"/>
                <w:b/>
                <w:bCs/>
                <w:i w:val="0"/>
                <w:iCs w:val="0"/>
                <w:color w:val="000000"/>
                <w:sz w:val="24"/>
                <w:szCs w:val="24"/>
                <w:u w:val="none"/>
                <w:lang w:val="en-US" w:eastAsia="zh-CN" w:bidi="ar"/>
              </w:rPr>
              <w:t xml:space="preserve">提供承诺函（自拟格式），不提供不得分。</w:t>
            </w:r>
            <w:r>
              <w:rPr>
                <w:rFonts w:hint="eastAsia" w:ascii="宋体" w:hAnsi="宋体" w:eastAsia="宋体" w:cs="宋体"/>
                <w:sz w:val="24"/>
                <w:szCs w:val="24"/>
              </w:rPr>
            </w:r>
            <w:r/>
          </w:p>
        </w:tc>
      </w:tr>
      <w:tr>
        <w:trPr>
          <w:trHeight w:val="906"/>
        </w:trPr>
        <w:tc>
          <w:tcPr>
            <w:tcW w:w="835" w:type="dxa"/>
            <w:vAlign w:val="center"/>
            <w:textDirection w:val="lrTb"/>
            <w:noWrap w:val="false"/>
          </w:tcPr>
          <w:p>
            <w:pPr>
              <w:pStyle w:val="1023"/>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3.9</w:t>
            </w:r>
            <w:r>
              <w:rPr>
                <w:rFonts w:ascii="宋体" w:hAnsi="宋体" w:eastAsia="宋体" w:cs="宋体"/>
                <w:sz w:val="24"/>
                <w:szCs w:val="24"/>
                <w:lang w:val="en-US" w:eastAsia="zh-CN"/>
              </w:rPr>
            </w:r>
            <w:r/>
          </w:p>
        </w:tc>
        <w:tc>
          <w:tcPr>
            <w:tcW w:w="1462" w:type="dxa"/>
            <w:vAlign w:val="center"/>
            <w:textDirection w:val="lrTb"/>
            <w:noWrap w:val="false"/>
          </w:tcPr>
          <w:p>
            <w:pPr>
              <w:pStyle w:val="1023"/>
              <w:ind w:firstLine="28"/>
              <w:jc w:val="center"/>
              <w:rPr>
                <w:rFonts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产品演示</w:t>
            </w:r>
            <w:r>
              <w:rPr>
                <w:rFonts w:ascii="宋体" w:hAnsi="宋体" w:eastAsia="宋体" w:cs="宋体"/>
                <w:i w:val="0"/>
                <w:iCs w:val="0"/>
                <w:color w:val="000000"/>
                <w:sz w:val="24"/>
                <w:szCs w:val="24"/>
                <w:u w:val="none"/>
                <w:lang w:val="en-US" w:eastAsia="zh-CN" w:bidi="ar"/>
              </w:rPr>
            </w:r>
            <w:r/>
          </w:p>
        </w:tc>
        <w:tc>
          <w:tcPr>
            <w:tcW w:w="913" w:type="dxa"/>
            <w:vAlign w:val="center"/>
            <w:textDirection w:val="lrTb"/>
            <w:noWrap w:val="false"/>
          </w:tcPr>
          <w:p>
            <w:pPr>
              <w:pStyle w:val="1023"/>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ascii="宋体" w:hAnsi="宋体" w:eastAsia="宋体" w:cs="宋体"/>
                <w:sz w:val="24"/>
                <w:szCs w:val="24"/>
                <w:lang w:val="en-US" w:eastAsia="zh-CN"/>
              </w:rPr>
            </w:r>
            <w:r/>
          </w:p>
        </w:tc>
        <w:tc>
          <w:tcPr>
            <w:tcW w:w="5741" w:type="dxa"/>
            <w:vAlign w:val="center"/>
            <w:textDirection w:val="lrTb"/>
            <w:noWrap w:val="false"/>
          </w:tcPr>
          <w:p>
            <w:pPr>
              <w:pStyle w:val="1054"/>
              <w:ind w:firstLine="480"/>
              <w:keepLines w:val="0"/>
              <w:keepNext w:val="0"/>
              <w:pageBreakBefore w:val="0"/>
              <w:spacing w:before="0" w:line="240" w:lineRule="auto"/>
              <w:widowControl w:val="off"/>
              <w:tabs>
                <w:tab w:val="left" w:pos="567"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演示智能安检门功能：</w:t>
            </w:r>
            <w:r>
              <w:rPr>
                <w:rFonts w:hint="eastAsia" w:ascii="宋体" w:hAnsi="宋体" w:eastAsia="宋体" w:cs="宋体"/>
                <w:b w:val="0"/>
                <w:bCs w:val="0"/>
                <w:sz w:val="24"/>
                <w:szCs w:val="24"/>
                <w:lang w:val="en-US" w:eastAsia="zh-CN"/>
              </w:rPr>
            </w:r>
            <w:r/>
          </w:p>
          <w:p>
            <w:pPr>
              <w:pStyle w:val="1054"/>
              <w:ind w:firstLine="480"/>
              <w:keepLines w:val="0"/>
              <w:keepNext w:val="0"/>
              <w:pageBreakBefore w:val="0"/>
              <w:spacing w:before="0" w:line="240" w:lineRule="auto"/>
              <w:widowControl w:val="off"/>
              <w:tabs>
                <w:tab w:val="left" w:pos="567"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（1）分别演示在电子产品探测模式下，对金属皮带扣、钥匙通过安检门时不报警。</w:t>
            </w:r>
            <w:r>
              <w:rPr>
                <w:rFonts w:hint="eastAsia" w:ascii="宋体" w:hAnsi="宋体" w:eastAsia="宋体" w:cs="宋体"/>
                <w:b w:val="0"/>
                <w:bCs w:val="0"/>
                <w:sz w:val="24"/>
                <w:szCs w:val="24"/>
                <w:lang w:val="en-US" w:eastAsia="zh-CN"/>
              </w:rPr>
            </w:r>
            <w:r/>
          </w:p>
          <w:p>
            <w:pPr>
              <w:pStyle w:val="1054"/>
              <w:ind w:firstLine="480"/>
              <w:keepLines w:val="0"/>
              <w:keepNext w:val="0"/>
              <w:pageBreakBefore w:val="0"/>
              <w:spacing w:before="0" w:line="240" w:lineRule="auto"/>
              <w:widowControl w:val="off"/>
              <w:tabs>
                <w:tab w:val="left" w:pos="567"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（2）分别演示在电子产品探测模式下，对手机、移动硬盘、电脑、照相机、摄像机通过安检门时，能实时报警。</w:t>
            </w:r>
            <w:r>
              <w:rPr>
                <w:rFonts w:hint="eastAsia" w:ascii="宋体" w:hAnsi="宋体" w:eastAsia="宋体" w:cs="宋体"/>
                <w:b w:val="0"/>
                <w:bCs w:val="0"/>
                <w:sz w:val="24"/>
                <w:szCs w:val="24"/>
                <w:lang w:val="en-US" w:eastAsia="zh-CN"/>
              </w:rPr>
            </w:r>
            <w:r/>
          </w:p>
          <w:p>
            <w:pPr>
              <w:pStyle w:val="1054"/>
              <w:ind w:firstLine="480"/>
              <w:keepLines w:val="0"/>
              <w:keepNext w:val="0"/>
              <w:pageBreakBefore w:val="0"/>
              <w:spacing w:before="0" w:line="240" w:lineRule="auto"/>
              <w:widowControl w:val="off"/>
              <w:tabs>
                <w:tab w:val="left" w:pos="567" w:leader="none"/>
              </w:tabs>
              <w:rPr>
                <w:rFonts w:hint="eastAsia"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全部演示成功得2分，有任意一个未演示、演示不符合要求或使用PPT等非真实系统方式进行演示，本项不得分。</w:t>
            </w:r>
            <w:r>
              <w:rPr>
                <w:rFonts w:hint="eastAsia" w:ascii="宋体" w:hAnsi="宋体" w:eastAsia="宋体" w:cs="宋体"/>
                <w:b/>
                <w:bCs/>
                <w:sz w:val="24"/>
                <w:szCs w:val="24"/>
                <w:lang w:val="en-US" w:eastAsia="zh-CN"/>
              </w:rPr>
            </w:r>
            <w:r/>
          </w:p>
        </w:tc>
      </w:tr>
      <w:tr>
        <w:trPr>
          <w:trHeight w:val="411"/>
        </w:trPr>
        <w:tc>
          <w:tcPr>
            <w:gridSpan w:val="2"/>
            <w:tcW w:w="2297" w:type="dxa"/>
            <w:vAlign w:val="center"/>
            <w:textDirection w:val="lrTb"/>
            <w:noWrap w:val="false"/>
          </w:tcPr>
          <w:p>
            <w:pPr>
              <w:pStyle w:val="1023"/>
              <w:ind w:firstLine="28"/>
              <w:jc w:val="center"/>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913" w:type="dxa"/>
            <w:vAlign w:val="center"/>
            <w:textDirection w:val="lrTb"/>
            <w:noWrap w:val="false"/>
          </w:tcPr>
          <w:p>
            <w:pPr>
              <w:pStyle w:val="1023"/>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100</w:t>
            </w:r>
            <w:r>
              <w:rPr>
                <w:rFonts w:hint="eastAsia" w:ascii="宋体" w:hAnsi="宋体" w:eastAsia="宋体" w:cs="宋体"/>
                <w:sz w:val="24"/>
                <w:szCs w:val="24"/>
                <w:lang w:val="en-US" w:eastAsia="zh-CN"/>
              </w:rPr>
            </w:r>
            <w:r/>
          </w:p>
        </w:tc>
        <w:tc>
          <w:tcPr>
            <w:tcW w:w="5741" w:type="dxa"/>
            <w:vAlign w:val="center"/>
            <w:textDirection w:val="lrTb"/>
            <w:noWrap w:val="false"/>
          </w:tcPr>
          <w:p>
            <w:pPr>
              <w:pStyle w:val="1054"/>
              <w:keepLines w:val="0"/>
              <w:keepNext w:val="0"/>
              <w:pageBreakBefore w:val="0"/>
              <w:spacing w:before="0" w:line="240" w:lineRule="auto"/>
              <w:tabs>
                <w:tab w:val="left" w:pos="567"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bl>
    <w:p>
      <w:pPr>
        <w:pStyle w:val="1023"/>
        <w:spacing w:line="360" w:lineRule="auto"/>
        <w:tabs>
          <w:tab w:val="left" w:pos="360" w:leader="none"/>
          <w:tab w:val="left" w:pos="1080" w:leader="none"/>
        </w:tabs>
        <w:rPr>
          <w:rFonts w:hint="eastAsia" w:ascii="宋体" w:hAnsi="宋体" w:cs="宋体"/>
          <w:b/>
          <w:bCs/>
          <w:color w:val="000000"/>
          <w:sz w:val="24"/>
        </w:rPr>
      </w:pPr>
      <w:r>
        <w:rPr>
          <w:rFonts w:hint="eastAsia" w:ascii="宋体" w:hAnsi="宋体" w:cs="宋体"/>
          <w:b/>
          <w:bCs/>
          <w:color w:val="000000"/>
          <w:sz w:val="24"/>
        </w:rPr>
      </w:r>
      <w:r/>
    </w:p>
    <w:p>
      <w:pPr>
        <w:pStyle w:val="1023"/>
        <w:ind w:firstLine="482"/>
        <w:keepLines w:val="0"/>
        <w:keepNext w:val="0"/>
        <w:pageBreakBefore w:val="0"/>
        <w:spacing w:line="360" w:lineRule="auto"/>
        <w:widowControl w:val="off"/>
        <w:tabs>
          <w:tab w:val="left" w:pos="360" w:leader="none"/>
          <w:tab w:val="left" w:pos="1080"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注：1、评分标准中要求提供的证明文件及资料通过“政府采购一体化平台“苏采云””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b/>
          <w:bCs/>
          <w:color w:val="000000"/>
          <w:sz w:val="24"/>
        </w:rPr>
      </w:r>
      <w:r/>
    </w:p>
    <w:p>
      <w:pPr>
        <w:pStyle w:val="1023"/>
        <w:ind w:firstLine="482"/>
        <w:keepLines w:val="0"/>
        <w:keepNext w:val="0"/>
        <w:pageBreakBefore w:val="0"/>
        <w:spacing w:line="360" w:lineRule="auto"/>
        <w:widowControl w:val="off"/>
        <w:tabs>
          <w:tab w:val="left" w:pos="360" w:leader="none"/>
          <w:tab w:val="left" w:pos="1080"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2、证明材料由投标供应商自行提供，评标委员会根据投标供应商提供的相关证明材料进行评审，相关证明材料的全面性、有效性、完整性、真实性由投标供应商自行负责。</w:t>
      </w:r>
      <w:r>
        <w:rPr>
          <w:rFonts w:hint="eastAsia" w:ascii="宋体" w:hAnsi="宋体" w:eastAsia="宋体" w:cs="宋体"/>
          <w:b/>
          <w:bCs/>
          <w:color w:val="000000"/>
          <w:sz w:val="24"/>
        </w:rPr>
      </w:r>
      <w:r/>
    </w:p>
    <w:p>
      <w:pPr>
        <w:pStyle w:val="1023"/>
        <w:ind w:firstLine="482"/>
        <w:keepLines w:val="0"/>
        <w:keepNext w:val="0"/>
        <w:pageBreakBefore w:val="0"/>
        <w:spacing w:line="360" w:lineRule="auto"/>
        <w:widowControl w:val="off"/>
        <w:tabs>
          <w:tab w:val="left" w:pos="360" w:leader="none"/>
          <w:tab w:val="left" w:pos="108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rPr>
        <w:t xml:space="preserve">3、评标办法中所需材料均应真实、有效，如发现供应商涉嫌资料造假等，采购人将有权取消其成交资格，并保留进一步追究其法律责任的权利。</w:t>
      </w:r>
      <w:r>
        <w:rPr>
          <w:rFonts w:hint="eastAsia" w:ascii="宋体" w:hAnsi="宋体" w:eastAsia="宋体" w:cs="宋体"/>
          <w:b w:val="0"/>
          <w:bCs w:val="0"/>
          <w:color w:val="000000"/>
          <w:sz w:val="24"/>
          <w:szCs w:val="24"/>
          <w:highlight w:val="none"/>
          <w:lang w:val="en-US" w:eastAsia="zh-CN" w:bidi="ar-SA"/>
        </w:rPr>
      </w:r>
      <w:r/>
    </w:p>
    <w:p>
      <w:pPr>
        <w:pStyle w:val="1054"/>
        <w:jc w:val="center"/>
        <w:spacing w:line="360" w:lineRule="auto"/>
        <w:tabs>
          <w:tab w:val="left" w:pos="567" w:leader="none"/>
        </w:tabs>
        <w:rPr>
          <w:rFonts w:hint="eastAsia" w:cs="宋体"/>
          <w:b/>
          <w:sz w:val="36"/>
          <w:szCs w:val="36"/>
          <w:highlight w:val="none"/>
        </w:rPr>
        <w:outlineLvl w:val="0"/>
      </w:pPr>
      <w:r/>
      <w:bookmarkStart w:id="807" w:name="_Toc300"/>
      <w:r>
        <w:rPr>
          <w:rFonts w:hint="eastAsia" w:cs="宋体"/>
          <w:b/>
          <w:sz w:val="36"/>
          <w:szCs w:val="36"/>
        </w:rPr>
        <w:br w:type="page" w:clear="all"/>
      </w:r>
      <w:r>
        <w:rPr>
          <w:rFonts w:hint="eastAsia" w:cs="宋体"/>
          <w:b/>
          <w:sz w:val="36"/>
          <w:szCs w:val="36"/>
        </w:rPr>
        <w:t xml:space="preserve">第五章   </w:t>
      </w:r>
      <w:r>
        <w:rPr>
          <w:rFonts w:hint="eastAsia" w:cs="宋体"/>
          <w:b/>
          <w:sz w:val="36"/>
          <w:szCs w:val="36"/>
          <w:highlight w:val="none"/>
        </w:rPr>
        <w:t xml:space="preserve">采购需求</w:t>
      </w:r>
      <w:bookmarkEnd w:id="807"/>
      <w:r>
        <w:rPr>
          <w:rFonts w:hint="eastAsia" w:cs="宋体"/>
          <w:b/>
          <w:sz w:val="36"/>
          <w:szCs w:val="36"/>
          <w:highlight w:val="none"/>
        </w:rPr>
      </w:r>
      <w:r/>
    </w:p>
    <w:p>
      <w:pPr>
        <w:pStyle w:val="1128"/>
        <w:numPr>
          <w:ilvl w:val="0"/>
          <w:numId w:val="12"/>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采购标的</w:t>
      </w:r>
      <w:r>
        <w:rPr>
          <w:rFonts w:ascii="Times New Roman" w:hAnsi="Times New Roman"/>
          <w:b/>
          <w:sz w:val="24"/>
          <w:szCs w:val="24"/>
          <w:highlight w:val="none"/>
        </w:rPr>
      </w:r>
      <w:r/>
    </w:p>
    <w:p>
      <w:pPr>
        <w:pStyle w:val="1023"/>
        <w:numPr>
          <w:ilvl w:val="0"/>
          <w:numId w:val="0"/>
        </w:numPr>
        <w:contextualSpacing/>
        <w:spacing w:line="360" w:lineRule="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 采购标的：溧阳市标准化考场运行维护服务项目</w:t>
      </w:r>
      <w:r>
        <w:rPr>
          <w:rFonts w:hint="eastAsia" w:ascii="宋体" w:hAnsi="宋体" w:eastAsia="宋体" w:cs="宋体"/>
          <w:b w:val="0"/>
          <w:bCs/>
          <w:color w:val="000000"/>
          <w:sz w:val="24"/>
          <w:szCs w:val="24"/>
          <w:highlight w:val="none"/>
          <w:lang w:val="en-US" w:eastAsia="zh-CN" w:bidi="ar-SA"/>
        </w:rPr>
      </w:r>
      <w:r/>
    </w:p>
    <w:p>
      <w:pPr>
        <w:pStyle w:val="1023"/>
        <w:numPr>
          <w:ilvl w:val="0"/>
          <w:numId w:val="0"/>
        </w:numPr>
        <w:contextualSpacing/>
        <w:spacing w:line="360" w:lineRule="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 项目概况：</w:t>
      </w:r>
      <w:r>
        <w:rPr>
          <w:rFonts w:hint="eastAsia" w:ascii="宋体" w:hAnsi="宋体" w:eastAsia="宋体" w:cs="宋体"/>
          <w:b w:val="0"/>
          <w:bCs/>
          <w:color w:val="000000"/>
          <w:sz w:val="24"/>
          <w:szCs w:val="24"/>
          <w:highlight w:val="none"/>
          <w:lang w:val="en-US" w:eastAsia="zh-CN" w:bidi="ar-SA"/>
        </w:rPr>
      </w:r>
      <w:r/>
    </w:p>
    <w:p>
      <w:pPr>
        <w:pStyle w:val="1023"/>
        <w:numPr>
          <w:ilvl w:val="0"/>
          <w:numId w:val="0"/>
        </w:numPr>
        <w:contextualSpacing/>
        <w:ind w:firstLine="480"/>
        <w:spacing w:line="360" w:lineRule="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sz w:val="24"/>
          <w:szCs w:val="32"/>
        </w:rPr>
        <w:t xml:space="preserve">根据关于省教育厅关于进一步加强国家教育考试标准化考点建设工作的通知，及常州市教育考试院建设要求，为市级指挥中心以及4个标准化考点学校，提供运维升级服务。服务内容包括但不限于摄像头、存储服务器、</w:t>
      </w:r>
      <w:r>
        <w:rPr>
          <w:rFonts w:hint="eastAsia" w:ascii="宋体" w:hAnsi="宋体" w:eastAsia="宋体" w:cs="宋体"/>
          <w:sz w:val="24"/>
          <w:szCs w:val="32"/>
          <w:lang w:val="en-US" w:eastAsia="zh-CN"/>
        </w:rPr>
        <w:t xml:space="preserve">安检门、</w:t>
      </w:r>
      <w:r>
        <w:rPr>
          <w:rFonts w:hint="eastAsia" w:ascii="宋体" w:hAnsi="宋体" w:eastAsia="宋体" w:cs="宋体"/>
          <w:sz w:val="24"/>
          <w:szCs w:val="32"/>
        </w:rPr>
        <w:t xml:space="preserve">信号屏蔽仪、考务通、智能巡检和金属探测仪等设备的升级建设及后期维护。服务延续时间为3年。</w:t>
      </w:r>
      <w:r>
        <w:rPr>
          <w:rFonts w:hint="eastAsia" w:ascii="宋体" w:hAnsi="宋体" w:eastAsia="宋体" w:cs="宋体"/>
          <w:b w:val="0"/>
          <w:bCs/>
          <w:color w:val="000000"/>
          <w:sz w:val="24"/>
          <w:szCs w:val="24"/>
          <w:highlight w:val="none"/>
          <w:lang w:val="en-US" w:eastAsia="zh-CN" w:bidi="ar-SA"/>
        </w:rPr>
      </w:r>
      <w:r/>
    </w:p>
    <w:p>
      <w:pPr>
        <w:pStyle w:val="1023"/>
        <w:numPr>
          <w:ilvl w:val="0"/>
          <w:numId w:val="0"/>
        </w:numPr>
        <w:contextualSpacing/>
        <w:spacing w:line="360" w:lineRule="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p>
      <w:pPr>
        <w:pStyle w:val="1128"/>
        <w:numPr>
          <w:ilvl w:val="0"/>
          <w:numId w:val="12"/>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商务要求</w:t>
      </w:r>
      <w:r>
        <w:rPr>
          <w:rFonts w:ascii="Times New Roman" w:hAnsi="Times New Roman"/>
          <w:b/>
          <w:sz w:val="24"/>
          <w:szCs w:val="24"/>
          <w:highlight w:val="none"/>
        </w:rPr>
      </w:r>
      <w:r/>
    </w:p>
    <w:p>
      <w:pPr>
        <w:pStyle w:val="1023"/>
        <w:numPr>
          <w:ilvl w:val="0"/>
          <w:numId w:val="0"/>
        </w:numPr>
        <w:contextualSpacing/>
        <w:spacing w:line="360" w:lineRule="auto"/>
        <w:rPr>
          <w:i/>
          <w:sz w:val="24"/>
          <w:lang w:val="en-US"/>
        </w:rPr>
      </w:pPr>
      <w:r>
        <w:rPr>
          <w:sz w:val="24"/>
        </w:rPr>
        <w:t xml:space="preserve">1. </w:t>
      </w:r>
      <w:r>
        <w:rPr>
          <w:rFonts w:hint="eastAsia"/>
          <w:sz w:val="24"/>
          <w:lang w:val="en-US" w:eastAsia="zh-CN"/>
        </w:rPr>
        <w:t xml:space="preserve">合同履行期限：三年，</w:t>
      </w:r>
      <w:r>
        <w:rPr>
          <w:rFonts w:hint="eastAsia" w:ascii="Times New Roman" w:hAnsi="Times New Roman" w:eastAsia="宋体" w:cs="Times New Roman"/>
          <w:sz w:val="24"/>
          <w:lang w:val="en-US" w:eastAsia="zh-CN"/>
        </w:rPr>
        <w:t xml:space="preserve">承诺延长服务期限的另行约定。</w:t>
      </w:r>
      <w:r>
        <w:rPr>
          <w:rFonts w:hint="eastAsia"/>
          <w:sz w:val="24"/>
          <w:lang w:val="en-US" w:eastAsia="zh-CN"/>
        </w:rPr>
        <w:t xml:space="preserve"> </w:t>
      </w:r>
      <w:r>
        <w:rPr>
          <w:i/>
          <w:sz w:val="24"/>
          <w:lang w:val="en-US"/>
        </w:rPr>
      </w:r>
      <w:r/>
    </w:p>
    <w:p>
      <w:pPr>
        <w:pStyle w:val="1023"/>
        <w:numPr>
          <w:ilvl w:val="0"/>
          <w:numId w:val="0"/>
        </w:numPr>
        <w:contextualSpacing/>
        <w:spacing w:line="360" w:lineRule="auto"/>
        <w:rPr>
          <w:rFonts w:hint="eastAsia"/>
          <w:sz w:val="24"/>
          <w:highlight w:val="none"/>
          <w:lang w:eastAsia="zh-CN"/>
        </w:rPr>
      </w:pPr>
      <w:r>
        <w:rPr>
          <w:sz w:val="24"/>
          <w:highlight w:val="none"/>
        </w:rPr>
        <w:t xml:space="preserve">2. 付款方式</w:t>
      </w:r>
      <w:r>
        <w:rPr>
          <w:rFonts w:hint="eastAsia"/>
          <w:sz w:val="24"/>
          <w:highlight w:val="none"/>
          <w:lang w:eastAsia="zh-CN"/>
        </w:rPr>
        <w:t xml:space="preserve">：</w:t>
      </w:r>
      <w:r>
        <w:rPr>
          <w:rFonts w:hint="eastAsia"/>
          <w:sz w:val="24"/>
          <w:highlight w:val="none"/>
          <w:lang w:eastAsia="zh-CN"/>
        </w:rPr>
      </w:r>
      <w:r/>
    </w:p>
    <w:p>
      <w:pPr>
        <w:pStyle w:val="1023"/>
        <w:numPr>
          <w:ilvl w:val="0"/>
          <w:numId w:val="0"/>
        </w:numPr>
        <w:contextualSpacing/>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第一年：服务费为中标金额的40%。</w:t>
      </w:r>
      <w:r>
        <w:rPr>
          <w:rFonts w:hint="eastAsia" w:ascii="Times New Roman" w:hAnsi="Times New Roman" w:eastAsia="宋体" w:cs="Times New Roman"/>
          <w:sz w:val="24"/>
          <w:lang w:val="en-US" w:eastAsia="zh-CN"/>
        </w:rPr>
      </w:r>
      <w:r/>
    </w:p>
    <w:p>
      <w:pPr>
        <w:pStyle w:val="1023"/>
        <w:numPr>
          <w:ilvl w:val="0"/>
          <w:numId w:val="0"/>
        </w:numPr>
        <w:contextualSpacing/>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（1）签订合同后支付中标金额的20%；</w:t>
      </w:r>
      <w:r>
        <w:rPr>
          <w:rFonts w:hint="eastAsia" w:ascii="Times New Roman" w:hAnsi="Times New Roman" w:eastAsia="宋体" w:cs="Times New Roman"/>
          <w:sz w:val="24"/>
          <w:lang w:val="en-US" w:eastAsia="zh-CN"/>
        </w:rPr>
      </w:r>
      <w:r/>
    </w:p>
    <w:p>
      <w:pPr>
        <w:pStyle w:val="1023"/>
        <w:numPr>
          <w:ilvl w:val="0"/>
          <w:numId w:val="0"/>
        </w:numPr>
        <w:contextualSpacing/>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（2）服务结束，按付款条件支付当年剩余服务费。</w:t>
      </w:r>
      <w:r>
        <w:rPr>
          <w:rFonts w:hint="eastAsia" w:ascii="Times New Roman" w:hAnsi="Times New Roman" w:eastAsia="宋体" w:cs="Times New Roman"/>
          <w:sz w:val="24"/>
          <w:lang w:val="en-US" w:eastAsia="zh-CN"/>
        </w:rPr>
      </w:r>
      <w:r/>
    </w:p>
    <w:p>
      <w:pPr>
        <w:pStyle w:val="1023"/>
        <w:numPr>
          <w:ilvl w:val="0"/>
          <w:numId w:val="0"/>
        </w:numPr>
        <w:contextualSpacing/>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第二年：服务费为中标金额的30%，服务结束，按付款条件支付当年服务费。</w:t>
      </w:r>
      <w:r>
        <w:rPr>
          <w:rFonts w:hint="eastAsia" w:ascii="Times New Roman" w:hAnsi="Times New Roman" w:eastAsia="宋体" w:cs="Times New Roman"/>
          <w:sz w:val="24"/>
          <w:lang w:val="en-US" w:eastAsia="zh-CN"/>
        </w:rPr>
      </w:r>
      <w:r/>
    </w:p>
    <w:p>
      <w:pPr>
        <w:pStyle w:val="1023"/>
        <w:numPr>
          <w:ilvl w:val="0"/>
          <w:numId w:val="0"/>
        </w:numPr>
        <w:contextualSpacing/>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第三年：服务费为中标金额的30%，合同全部履约完毕（包含承诺延长服务的时间），按付款条件支付剩余服务费。</w:t>
      </w:r>
      <w:r>
        <w:rPr>
          <w:rFonts w:hint="eastAsia" w:ascii="Times New Roman" w:hAnsi="Times New Roman" w:eastAsia="宋体" w:cs="Times New Roman"/>
          <w:sz w:val="24"/>
          <w:lang w:val="en-US" w:eastAsia="zh-CN"/>
        </w:rPr>
      </w:r>
      <w:r/>
    </w:p>
    <w:p>
      <w:pPr>
        <w:pStyle w:val="1023"/>
        <w:numPr>
          <w:ilvl w:val="0"/>
          <w:numId w:val="13"/>
        </w:numPr>
        <w:contextualSpacing/>
        <w:spacing w:line="360" w:lineRule="auto"/>
        <w:tabs>
          <w:tab w:val="left" w:pos="312"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付款条件：</w:t>
      </w:r>
      <w:r>
        <w:rPr>
          <w:rFonts w:hint="eastAsia" w:ascii="Times New Roman" w:hAnsi="Times New Roman" w:eastAsia="宋体" w:cs="Times New Roman"/>
          <w:sz w:val="24"/>
          <w:lang w:val="en-US" w:eastAsia="zh-CN"/>
        </w:rPr>
      </w:r>
      <w:r/>
    </w:p>
    <w:p>
      <w:pPr>
        <w:pStyle w:val="1023"/>
        <w:numPr>
          <w:ilvl w:val="0"/>
          <w:numId w:val="0"/>
        </w:numPr>
        <w:contextualSpacing/>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（1）每场考试时，各考点学校严格按照采购文件要求，对中标供应商提供的服务质量进行考核。每场考试后，由各考点学校填写《标准化考点运维服务考点考核评分表》，并将评分表上交至溧阳招办。</w:t>
      </w:r>
      <w:r>
        <w:rPr>
          <w:rFonts w:hint="eastAsia" w:ascii="Times New Roman" w:hAnsi="Times New Roman" w:eastAsia="宋体" w:cs="Times New Roman"/>
          <w:sz w:val="24"/>
          <w:lang w:val="en-US" w:eastAsia="zh-CN"/>
        </w:rPr>
      </w:r>
      <w:r/>
    </w:p>
    <w:p>
      <w:pPr>
        <w:pStyle w:val="1023"/>
        <w:numPr>
          <w:ilvl w:val="0"/>
          <w:numId w:val="0"/>
        </w:numPr>
        <w:contextualSpacing/>
        <w:spacing w:line="36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（2）每年度服务结束后，由溧阳招办负责汇总各考点全年考核分数，得出考核综合得分（小数部分四舍五入），按如下方式付款：</w:t>
      </w:r>
      <w:r>
        <w:rPr>
          <w:rFonts w:hint="eastAsia" w:ascii="Times New Roman" w:hAnsi="Times New Roman" w:eastAsia="宋体" w:cs="Times New Roman"/>
          <w:sz w:val="24"/>
          <w:lang w:val="en-US" w:eastAsia="zh-CN"/>
        </w:rPr>
      </w:r>
      <w:r/>
    </w:p>
    <w:p>
      <w:pPr>
        <w:pStyle w:val="1023"/>
        <w:numPr>
          <w:ilvl w:val="0"/>
          <w:numId w:val="0"/>
        </w:numPr>
        <w:contextualSpacing/>
        <w:ind w:firstLine="480"/>
        <w:keepLines w:val="0"/>
        <w:keepNext w:val="0"/>
        <w:pageBreakBefore w:val="0"/>
        <w:spacing w:line="360" w:lineRule="auto"/>
        <w:widowControl w:val="off"/>
        <w:rPr>
          <w:rFonts w:hint="eastAsia" w:ascii="Times New Roman" w:hAnsi="Times New Roman" w:eastAsia="宋体" w:cs="Times New Roman"/>
          <w:sz w:val="24"/>
          <w:lang w:val="en-US" w:eastAsia="zh-CN"/>
        </w:rPr>
      </w:pPr>
      <w:r>
        <w:rPr>
          <w:rFonts w:hint="eastAsia" w:ascii="宋体" w:hAnsi="宋体" w:eastAsia="宋体" w:cs="宋体"/>
          <w:sz w:val="24"/>
          <w:lang w:val="en-US" w:eastAsia="zh-CN"/>
        </w:rPr>
        <w:t xml:space="preserve">①</w:t>
      </w:r>
      <w:r>
        <w:rPr>
          <w:rFonts w:hint="eastAsia" w:ascii="Times New Roman" w:hAnsi="Times New Roman" w:eastAsia="宋体" w:cs="Times New Roman"/>
          <w:sz w:val="24"/>
          <w:lang w:val="en-US" w:eastAsia="zh-CN"/>
        </w:rPr>
        <w:t xml:space="preserve">年度考核综合得分90分以上全额支付当年款项。</w:t>
      </w:r>
      <w:r>
        <w:rPr>
          <w:rFonts w:hint="eastAsia" w:ascii="Times New Roman" w:hAnsi="Times New Roman" w:eastAsia="宋体" w:cs="Times New Roman"/>
          <w:sz w:val="24"/>
          <w:lang w:val="en-US" w:eastAsia="zh-CN"/>
        </w:rPr>
      </w:r>
      <w:r/>
    </w:p>
    <w:p>
      <w:pPr>
        <w:pStyle w:val="1023"/>
        <w:numPr>
          <w:ilvl w:val="0"/>
          <w:numId w:val="0"/>
        </w:numPr>
        <w:contextualSpacing/>
        <w:ind w:firstLine="480"/>
        <w:keepLines w:val="0"/>
        <w:keepNext w:val="0"/>
        <w:pageBreakBefore w:val="0"/>
        <w:spacing w:line="360" w:lineRule="auto"/>
        <w:widowControl w:val="off"/>
        <w:rPr>
          <w:rFonts w:hint="eastAsia" w:ascii="Times New Roman" w:hAnsi="Times New Roman" w:eastAsia="宋体" w:cs="Times New Roman"/>
          <w:sz w:val="24"/>
          <w:lang w:val="en-US" w:eastAsia="zh-CN"/>
        </w:rPr>
      </w:pPr>
      <w:r>
        <w:rPr>
          <w:rFonts w:hint="eastAsia" w:ascii="宋体" w:hAnsi="宋体" w:eastAsia="宋体" w:cs="宋体"/>
          <w:sz w:val="24"/>
          <w:lang w:val="en-US" w:eastAsia="zh-CN"/>
        </w:rPr>
        <w:t xml:space="preserve">②</w:t>
      </w:r>
      <w:r>
        <w:rPr>
          <w:rFonts w:hint="eastAsia" w:ascii="Times New Roman" w:hAnsi="Times New Roman" w:eastAsia="宋体" w:cs="Times New Roman"/>
          <w:sz w:val="24"/>
          <w:lang w:val="en-US" w:eastAsia="zh-CN"/>
        </w:rPr>
        <w:t xml:space="preserve">年度考核综合得分75-89分支付当年款项的70%。</w:t>
      </w:r>
      <w:r>
        <w:rPr>
          <w:rFonts w:hint="eastAsia" w:ascii="Times New Roman" w:hAnsi="Times New Roman" w:eastAsia="宋体" w:cs="Times New Roman"/>
          <w:sz w:val="24"/>
          <w:lang w:val="en-US" w:eastAsia="zh-CN"/>
        </w:rPr>
      </w:r>
      <w:r/>
    </w:p>
    <w:p>
      <w:pPr>
        <w:pStyle w:val="1023"/>
        <w:numPr>
          <w:ilvl w:val="0"/>
          <w:numId w:val="0"/>
        </w:numPr>
        <w:contextualSpacing/>
        <w:ind w:firstLine="480"/>
        <w:keepLines w:val="0"/>
        <w:keepNext w:val="0"/>
        <w:pageBreakBefore w:val="0"/>
        <w:spacing w:line="360" w:lineRule="auto"/>
        <w:widowControl w:val="off"/>
        <w:rPr>
          <w:rFonts w:hint="eastAsia" w:ascii="Times New Roman" w:hAnsi="Times New Roman" w:eastAsia="宋体" w:cs="Times New Roman"/>
          <w:sz w:val="24"/>
          <w:lang w:val="en-US" w:eastAsia="zh-CN"/>
        </w:rPr>
      </w:pPr>
      <w:r>
        <w:rPr>
          <w:rFonts w:hint="eastAsia" w:ascii="宋体" w:hAnsi="宋体" w:eastAsia="宋体" w:cs="宋体"/>
          <w:sz w:val="24"/>
          <w:lang w:val="en-US" w:eastAsia="zh-CN"/>
        </w:rPr>
        <w:t xml:space="preserve">③</w:t>
      </w:r>
      <w:r>
        <w:rPr>
          <w:rFonts w:hint="eastAsia" w:ascii="Times New Roman" w:hAnsi="Times New Roman" w:eastAsia="宋体" w:cs="Times New Roman"/>
          <w:sz w:val="24"/>
          <w:lang w:val="en-US" w:eastAsia="zh-CN"/>
        </w:rPr>
        <w:t xml:space="preserve">年度考核综合得分60-74分支付当年款项的40%。</w:t>
      </w:r>
      <w:r>
        <w:rPr>
          <w:rFonts w:hint="eastAsia" w:ascii="Times New Roman" w:hAnsi="Times New Roman" w:eastAsia="宋体" w:cs="Times New Roman"/>
          <w:sz w:val="24"/>
          <w:lang w:val="en-US" w:eastAsia="zh-CN"/>
        </w:rPr>
      </w:r>
      <w:r/>
    </w:p>
    <w:p>
      <w:pPr>
        <w:pStyle w:val="1023"/>
        <w:numPr>
          <w:ilvl w:val="0"/>
          <w:numId w:val="0"/>
        </w:numPr>
        <w:contextualSpacing/>
        <w:ind w:firstLine="480"/>
        <w:keepLines w:val="0"/>
        <w:keepNext w:val="0"/>
        <w:pageBreakBefore w:val="0"/>
        <w:spacing w:line="360" w:lineRule="auto"/>
        <w:widowControl w:val="off"/>
        <w:rPr>
          <w:rFonts w:ascii="Times New Roman" w:hAnsi="Times New Roman" w:eastAsia="宋体" w:cs="Times New Roman"/>
          <w:sz w:val="24"/>
          <w:lang w:val="en-US" w:eastAsia="zh-CN"/>
        </w:rPr>
      </w:pPr>
      <w:r>
        <w:rPr>
          <w:rFonts w:ascii="宋体" w:hAnsi="宋体" w:eastAsia="宋体" w:cs="宋体"/>
          <w:sz w:val="24"/>
          <w:lang w:val="en-US" w:eastAsia="zh-CN"/>
        </w:rPr>
        <w:t xml:space="preserve">④</w:t>
      </w:r>
      <w:r>
        <w:rPr>
          <w:rFonts w:hint="eastAsia" w:ascii="Times New Roman" w:hAnsi="Times New Roman" w:eastAsia="宋体" w:cs="Times New Roman"/>
          <w:sz w:val="24"/>
          <w:lang w:val="en-US" w:eastAsia="zh-CN"/>
        </w:rPr>
        <w:t xml:space="preserve">年度考核综合得分60分以下不予支付当年款项，并追究相关法律责任。</w:t>
      </w:r>
      <w:r>
        <w:rPr>
          <w:rFonts w:ascii="Times New Roman" w:hAnsi="Times New Roman" w:eastAsia="宋体" w:cs="Times New Roman"/>
          <w:sz w:val="24"/>
          <w:lang w:val="en-US" w:eastAsia="zh-CN"/>
        </w:rPr>
      </w:r>
      <w:r/>
    </w:p>
    <w:p>
      <w:pPr>
        <w:pStyle w:val="1128"/>
        <w:numPr>
          <w:ilvl w:val="0"/>
          <w:numId w:val="12"/>
        </w:numPr>
        <w:contextualSpacing/>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技术要求</w:t>
      </w:r>
      <w:r>
        <w:rPr>
          <w:rFonts w:hint="eastAsia" w:ascii="宋体" w:hAnsi="宋体" w:cs="宋体"/>
          <w:b/>
          <w:sz w:val="24"/>
          <w:szCs w:val="24"/>
          <w:highlight w:val="none"/>
        </w:rPr>
      </w:r>
      <w:r/>
    </w:p>
    <w:p>
      <w:pPr>
        <w:pStyle w:val="1025"/>
        <w:jc w:val="left"/>
        <w:pageBreakBefore w:val="0"/>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（一）项目概况</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本项目针对溧阳市标准化考场，提供符合标准化考点要求软硬件设备并负责集成安装、日常运维及考试保障等服务。服务范围涵盖</w:t>
      </w:r>
      <w:r>
        <w:rPr>
          <w:rFonts w:hint="eastAsia" w:ascii="宋体" w:hAnsi="宋体" w:eastAsia="宋体" w:cs="宋体"/>
          <w:sz w:val="24"/>
          <w:szCs w:val="24"/>
          <w:lang w:val="en-US" w:eastAsia="zh-CN"/>
        </w:rPr>
        <w:t xml:space="preserve">1个市级指挥中心及4个标准化考点学校，分别是溧阳招办、省溧中、光华高中、燕山中学、溧阳中专。</w:t>
      </w:r>
      <w:r>
        <w:rPr>
          <w:rFonts w:hint="eastAsia" w:ascii="宋体" w:hAnsi="宋体" w:eastAsia="宋体" w:cs="宋体"/>
          <w:sz w:val="24"/>
          <w:szCs w:val="24"/>
          <w:lang w:val="en-US" w:eastAsia="zh-CN"/>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当前</w:t>
      </w:r>
      <w:r>
        <w:rPr>
          <w:rFonts w:hint="eastAsia" w:ascii="宋体" w:hAnsi="宋体" w:eastAsia="宋体" w:cs="宋体"/>
          <w:sz w:val="24"/>
          <w:szCs w:val="24"/>
          <w:lang w:val="en-US" w:eastAsia="zh-CN"/>
        </w:rPr>
        <w:t xml:space="preserve">项目于</w:t>
      </w:r>
      <w:r>
        <w:rPr>
          <w:rFonts w:hint="eastAsia" w:ascii="宋体" w:hAnsi="宋体" w:eastAsia="宋体" w:cs="宋体"/>
          <w:sz w:val="24"/>
          <w:szCs w:val="24"/>
        </w:rPr>
        <w:t xml:space="preserve">2018年建设，包括管理平台软件、核心交换机、SIP路由和媒体分发服务器、网络音视频解码器、拾音器、集中存储服务器、存储硬盘、摄像机、网络时钟、考务通、UPS备用电源等软硬件设备，由中标方提供设备的安装、调试、保养维修及重大考试现场保障服务。</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本次招标服务内容包括但不限于网络设备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安全设备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主机设备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音视频设备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桌面及外围设备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软件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电路费等软硬件设备的保养维修</w:t>
      </w:r>
      <w:r>
        <w:rPr>
          <w:rFonts w:hint="eastAsia" w:ascii="宋体" w:hAnsi="宋体" w:eastAsia="宋体" w:cs="宋体"/>
          <w:sz w:val="24"/>
          <w:szCs w:val="24"/>
          <w:lang w:eastAsia="zh-CN"/>
        </w:rPr>
        <w:t xml:space="preserve">；考务通更新服务、智能巡检服务</w:t>
      </w:r>
      <w:r>
        <w:rPr>
          <w:rFonts w:hint="eastAsia" w:ascii="宋体" w:hAnsi="宋体" w:eastAsia="宋体" w:cs="宋体"/>
          <w:sz w:val="24"/>
          <w:szCs w:val="24"/>
        </w:rPr>
        <w:t xml:space="preserve">及重大考试现场保障服务。</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次招标服务，提供的硬件设备及软件系统，必须与“江苏省国家教育考试综合管理系统”对接，要求能同步考务数据，考点、区县、地市、省四级专网网络畅通，保证视频流正常实时传输、画面稳定（码流2M-4M）（提供承诺函）。</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供应商承诺按《国家教育考试网上巡查系统视频标准技术规范（2017版）》（以下简称《国考视频标准》）要求提供用于本项目的设施设备，若《国考视频标准》中未提及的，应符合相关国家标准和行业标准（提供承诺函）。</w:t>
      </w:r>
      <w:r>
        <w:rPr>
          <w:rFonts w:hint="eastAsia" w:ascii="宋体" w:hAnsi="宋体" w:eastAsia="宋体" w:cs="宋体"/>
          <w:sz w:val="24"/>
          <w:szCs w:val="24"/>
        </w:rPr>
      </w:r>
      <w:r/>
    </w:p>
    <w:p>
      <w:pPr>
        <w:pStyle w:val="1025"/>
        <w:jc w:val="left"/>
        <w:pageBreakBefore w:val="0"/>
        <w:spacing w:before="0" w:line="360" w:lineRule="auto"/>
        <w:rPr>
          <w:rFonts w:hint="eastAsia" w:ascii="宋体" w:hAnsi="宋体" w:eastAsia="宋体" w:cs="宋体"/>
          <w:b/>
          <w:sz w:val="24"/>
          <w:szCs w:val="24"/>
        </w:rPr>
      </w:pPr>
      <w:r>
        <w:rPr>
          <w:rFonts w:hint="eastAsia" w:ascii="宋体" w:hAnsi="宋体" w:eastAsia="宋体" w:cs="宋体"/>
          <w:b/>
          <w:sz w:val="24"/>
          <w:szCs w:val="24"/>
        </w:rPr>
        <w:t xml:space="preserve">（二）履行本项目所需设备</w:t>
      </w:r>
      <w:r>
        <w:rPr>
          <w:rFonts w:hint="eastAsia" w:ascii="宋体" w:hAnsi="宋体" w:eastAsia="宋体" w:cs="宋体"/>
          <w:b/>
          <w:sz w:val="24"/>
          <w:szCs w:val="24"/>
        </w:rPr>
      </w:r>
      <w:r/>
    </w:p>
    <w:p>
      <w:pPr>
        <w:pStyle w:val="1023"/>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4个</w:t>
      </w:r>
      <w:r>
        <w:rPr>
          <w:rFonts w:hint="eastAsia" w:ascii="宋体" w:hAnsi="宋体" w:eastAsia="宋体" w:cs="宋体"/>
          <w:b/>
          <w:bCs/>
          <w:sz w:val="24"/>
          <w:szCs w:val="24"/>
        </w:rPr>
        <w:t xml:space="preserve">考点设备</w:t>
      </w:r>
      <w:r>
        <w:rPr>
          <w:rFonts w:hint="eastAsia" w:ascii="宋体" w:hAnsi="宋体" w:eastAsia="宋体" w:cs="宋体"/>
          <w:b/>
          <w:bCs/>
          <w:sz w:val="24"/>
          <w:szCs w:val="24"/>
          <w:lang w:val="en-US" w:eastAsia="zh-CN"/>
        </w:rPr>
        <w:t xml:space="preserve">清单</w:t>
      </w:r>
      <w:r>
        <w:rPr>
          <w:rFonts w:hint="eastAsia" w:ascii="宋体" w:hAnsi="宋体" w:eastAsia="宋体" w:cs="宋体"/>
          <w:b/>
          <w:bCs/>
          <w:sz w:val="24"/>
          <w:szCs w:val="24"/>
          <w:lang w:val="en-US" w:eastAsia="zh-CN"/>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★（1）考点设备</w:t>
      </w:r>
      <w:r>
        <w:rPr>
          <w:rFonts w:hint="eastAsia" w:ascii="宋体" w:hAnsi="宋体" w:eastAsia="宋体" w:cs="宋体"/>
          <w:sz w:val="24"/>
          <w:szCs w:val="24"/>
          <w:lang w:val="en-US" w:eastAsia="zh-CN"/>
        </w:rPr>
        <w:t xml:space="preserve">维护</w:t>
      </w:r>
      <w:r>
        <w:rPr>
          <w:rFonts w:hint="eastAsia" w:ascii="宋体" w:hAnsi="宋体" w:eastAsia="宋体" w:cs="宋体"/>
          <w:sz w:val="24"/>
          <w:szCs w:val="24"/>
        </w:rPr>
        <w:t xml:space="preserve">清单见附件</w:t>
      </w:r>
      <w:r>
        <w:rPr>
          <w:rFonts w:hint="eastAsia" w:ascii="宋体" w:hAnsi="宋体" w:eastAsia="宋体" w:cs="宋体"/>
          <w:sz w:val="24"/>
          <w:szCs w:val="24"/>
          <w:lang w:eastAsia="zh-CN"/>
        </w:rPr>
        <w:t xml:space="preserve">《溧阳考点维护清单》</w:t>
      </w:r>
      <w:r>
        <w:rPr>
          <w:rFonts w:hint="eastAsia" w:ascii="宋体" w:hAnsi="宋体" w:eastAsia="宋体" w:cs="宋体"/>
          <w:sz w:val="24"/>
          <w:szCs w:val="24"/>
        </w:rPr>
        <w:t xml:space="preserve">，投标供应商应为考点提供不低于清单中规格参数的设备（按清单提供用于本项目的设备品牌及型号规格）。</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★（2）本清单中的设备由中标供应商提供，需按照数量要求</w:t>
      </w:r>
      <w:r>
        <w:rPr>
          <w:rFonts w:hint="eastAsia" w:ascii="宋体" w:hAnsi="宋体" w:eastAsia="宋体" w:cs="宋体"/>
          <w:sz w:val="24"/>
          <w:szCs w:val="24"/>
          <w:lang w:val="en-US" w:eastAsia="zh-CN"/>
        </w:rPr>
        <w:t xml:space="preserve">提供</w:t>
      </w:r>
      <w:r>
        <w:rPr>
          <w:rFonts w:hint="eastAsia" w:ascii="宋体" w:hAnsi="宋体" w:eastAsia="宋体" w:cs="宋体"/>
          <w:sz w:val="24"/>
          <w:szCs w:val="24"/>
        </w:rPr>
        <w:t xml:space="preserve">至各考点，做好定期维护维修，并备足相关备品备件（提供承诺函）。</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★（3）清单中列出的采购数量为最低要求，投标供应商必须承诺在服务期间，提供满足考场数量和考试要求的设备（提供承诺函）。</w:t>
      </w:r>
      <w:r>
        <w:rPr>
          <w:rFonts w:hint="eastAsia" w:ascii="宋体" w:hAnsi="宋体" w:eastAsia="宋体" w:cs="宋体"/>
          <w:sz w:val="24"/>
          <w:szCs w:val="24"/>
        </w:rPr>
      </w:r>
      <w:r/>
    </w:p>
    <w:p>
      <w:pPr>
        <w:pStyle w:val="1023"/>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2、溧阳招办</w:t>
      </w:r>
      <w:r>
        <w:rPr>
          <w:rFonts w:hint="eastAsia" w:ascii="宋体" w:hAnsi="宋体" w:eastAsia="宋体" w:cs="宋体"/>
          <w:b/>
          <w:bCs/>
          <w:sz w:val="24"/>
          <w:szCs w:val="24"/>
        </w:rPr>
        <w:t xml:space="preserve">设备</w:t>
      </w:r>
      <w:r>
        <w:rPr>
          <w:rFonts w:hint="eastAsia" w:ascii="宋体" w:hAnsi="宋体" w:eastAsia="宋体" w:cs="宋体"/>
          <w:b/>
          <w:bCs/>
          <w:sz w:val="24"/>
          <w:szCs w:val="24"/>
          <w:lang w:val="en-US" w:eastAsia="zh-CN"/>
        </w:rPr>
        <w:t xml:space="preserve">清单</w:t>
      </w:r>
      <w:r>
        <w:rPr>
          <w:rFonts w:hint="eastAsia" w:ascii="宋体" w:hAnsi="宋体" w:eastAsia="宋体" w:cs="宋体"/>
          <w:b/>
          <w:bCs/>
          <w:sz w:val="24"/>
          <w:szCs w:val="24"/>
          <w:lang w:val="en-US" w:eastAsia="zh-CN"/>
        </w:rPr>
      </w:r>
      <w:r/>
    </w:p>
    <w:p>
      <w:pPr>
        <w:pStyle w:val="1023"/>
        <w:ind w:firstLine="72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现有设备</w:t>
      </w:r>
      <w:r>
        <w:rPr>
          <w:rFonts w:hint="eastAsia" w:ascii="宋体" w:hAnsi="宋体" w:eastAsia="宋体" w:cs="宋体"/>
          <w:sz w:val="24"/>
          <w:szCs w:val="24"/>
          <w:lang w:val="en-US" w:eastAsia="zh-CN"/>
        </w:rPr>
        <w:t xml:space="preserve">维护</w:t>
      </w:r>
      <w:r>
        <w:rPr>
          <w:rFonts w:hint="eastAsia" w:ascii="宋体" w:hAnsi="宋体" w:eastAsia="宋体" w:cs="宋体"/>
          <w:sz w:val="24"/>
          <w:szCs w:val="24"/>
        </w:rPr>
        <w:t xml:space="preserve">清单</w:t>
      </w:r>
      <w:r>
        <w:rPr>
          <w:rFonts w:hint="eastAsia" w:ascii="宋体" w:hAnsi="宋体" w:eastAsia="宋体" w:cs="宋体"/>
          <w:sz w:val="24"/>
          <w:szCs w:val="24"/>
        </w:rPr>
      </w:r>
      <w:r/>
    </w:p>
    <w:tbl>
      <w:tblPr>
        <w:tblW w:w="4926" w:type="pct"/>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3100"/>
        <w:gridCol w:w="2748"/>
        <w:gridCol w:w="898"/>
        <w:gridCol w:w="832"/>
      </w:tblGrid>
      <w:tr>
        <w:trPr>
          <w:trHeight w:val="454"/>
        </w:trPr>
        <w:tc>
          <w:tcPr>
            <w:tcW w:w="590" w:type="dxa"/>
            <w:vAlign w:val="center"/>
            <w:textDirection w:val="lrTb"/>
            <w:noWrap/>
          </w:tcPr>
          <w:p>
            <w:pPr>
              <w:pStyle w:val="1023"/>
              <w:jc w:val="left"/>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W w:w="1803" w:type="dxa"/>
            <w:vAlign w:val="center"/>
            <w:textDirection w:val="lrTb"/>
            <w:noWrap/>
          </w:tcPr>
          <w:p>
            <w:pPr>
              <w:pStyle w:val="1023"/>
              <w:jc w:val="left"/>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名称</w:t>
            </w:r>
            <w:r>
              <w:rPr>
                <w:rFonts w:hint="eastAsia" w:ascii="宋体" w:hAnsi="宋体" w:eastAsia="宋体" w:cs="宋体"/>
                <w:b/>
                <w:bCs/>
                <w:color w:val="000000"/>
                <w:sz w:val="24"/>
                <w:szCs w:val="24"/>
                <w:highlight w:val="none"/>
              </w:rPr>
            </w:r>
            <w:r/>
          </w:p>
        </w:tc>
        <w:tc>
          <w:tcPr>
            <w:tcW w:w="1598" w:type="dxa"/>
            <w:vAlign w:val="center"/>
            <w:textDirection w:val="lrTb"/>
            <w:noWrap/>
          </w:tcPr>
          <w:p>
            <w:pPr>
              <w:pStyle w:val="1023"/>
              <w:jc w:val="left"/>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品牌、规格</w:t>
            </w:r>
            <w:r>
              <w:rPr>
                <w:rFonts w:hint="eastAsia" w:ascii="宋体" w:hAnsi="宋体" w:eastAsia="宋体" w:cs="宋体"/>
                <w:b/>
                <w:bCs/>
                <w:color w:val="000000"/>
                <w:sz w:val="24"/>
                <w:szCs w:val="24"/>
                <w:highlight w:val="none"/>
              </w:rPr>
            </w:r>
            <w:r/>
          </w:p>
        </w:tc>
        <w:tc>
          <w:tcPr>
            <w:tcW w:w="522" w:type="dxa"/>
            <w:vAlign w:val="center"/>
            <w:textDirection w:val="lrTb"/>
            <w:noWrap/>
          </w:tcPr>
          <w:p>
            <w:pPr>
              <w:pStyle w:val="1023"/>
              <w:jc w:val="left"/>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单位</w:t>
            </w:r>
            <w:r>
              <w:rPr>
                <w:rFonts w:hint="eastAsia" w:ascii="宋体" w:hAnsi="宋体" w:eastAsia="宋体" w:cs="宋体"/>
                <w:b/>
                <w:bCs/>
                <w:color w:val="000000"/>
                <w:sz w:val="24"/>
                <w:szCs w:val="24"/>
                <w:highlight w:val="none"/>
              </w:rPr>
            </w:r>
            <w:r/>
          </w:p>
        </w:tc>
        <w:tc>
          <w:tcPr>
            <w:tcW w:w="484" w:type="dxa"/>
            <w:vAlign w:val="center"/>
            <w:textDirection w:val="lrTb"/>
            <w:noWrap/>
          </w:tcPr>
          <w:p>
            <w:pPr>
              <w:pStyle w:val="1023"/>
              <w:jc w:val="left"/>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数量</w:t>
            </w:r>
            <w:r>
              <w:rPr>
                <w:rFonts w:hint="eastAsia" w:ascii="宋体" w:hAnsi="宋体" w:eastAsia="宋体" w:cs="宋体"/>
                <w:b/>
                <w:bCs/>
                <w:color w:val="000000"/>
                <w:sz w:val="24"/>
                <w:szCs w:val="24"/>
                <w:highlight w:val="none"/>
              </w:rPr>
            </w:r>
            <w:r/>
          </w:p>
        </w:tc>
      </w:tr>
      <w:tr>
        <w:trPr>
          <w:trHeight w:val="454"/>
        </w:trPr>
        <w:tc>
          <w:tcPr>
            <w:tcW w:w="590"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eastAsia="zh-CN"/>
              </w:rPr>
            </w:r>
            <w:r/>
          </w:p>
        </w:tc>
        <w:tc>
          <w:tcPr>
            <w:tcW w:w="1803"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路网络音视频解码器</w:t>
            </w:r>
            <w:r>
              <w:rPr>
                <w:rFonts w:hint="eastAsia" w:ascii="宋体" w:hAnsi="宋体" w:eastAsia="宋体" w:cs="宋体"/>
                <w:color w:val="000000"/>
                <w:sz w:val="24"/>
                <w:szCs w:val="24"/>
                <w:highlight w:val="none"/>
              </w:rPr>
            </w:r>
            <w:r/>
          </w:p>
        </w:tc>
        <w:tc>
          <w:tcPr>
            <w:tcW w:w="1598"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佳发</w:t>
            </w:r>
            <w:r>
              <w:rPr>
                <w:rFonts w:hint="eastAsia" w:ascii="宋体" w:hAnsi="宋体" w:eastAsia="宋体" w:cs="宋体"/>
                <w:color w:val="000000"/>
                <w:sz w:val="24"/>
                <w:szCs w:val="24"/>
                <w:highlight w:val="none"/>
              </w:rPr>
            </w:r>
            <w:r/>
          </w:p>
        </w:tc>
        <w:tc>
          <w:tcPr>
            <w:tcW w:w="522"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484"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454"/>
        </w:trPr>
        <w:tc>
          <w:tcPr>
            <w:tcW w:w="590"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W w:w="1803"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网上巡查管理软件</w:t>
            </w:r>
            <w:r>
              <w:rPr>
                <w:rFonts w:hint="eastAsia" w:ascii="宋体" w:hAnsi="宋体" w:eastAsia="宋体" w:cs="宋体"/>
                <w:color w:val="000000"/>
                <w:sz w:val="24"/>
                <w:szCs w:val="24"/>
                <w:highlight w:val="none"/>
              </w:rPr>
            </w:r>
            <w:r/>
          </w:p>
        </w:tc>
        <w:tc>
          <w:tcPr>
            <w:tcW w:w="1598"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佳发JF-WR</w:t>
            </w:r>
            <w:r>
              <w:rPr>
                <w:rFonts w:hint="eastAsia" w:ascii="宋体" w:hAnsi="宋体" w:eastAsia="宋体" w:cs="宋体"/>
                <w:color w:val="000000"/>
                <w:sz w:val="24"/>
                <w:szCs w:val="24"/>
                <w:highlight w:val="none"/>
              </w:rPr>
            </w:r>
            <w:r/>
          </w:p>
        </w:tc>
        <w:tc>
          <w:tcPr>
            <w:tcW w:w="522"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484"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454"/>
        </w:trPr>
        <w:tc>
          <w:tcPr>
            <w:tcW w:w="590"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W w:w="1803"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SIP服务器</w:t>
            </w:r>
            <w:r>
              <w:rPr>
                <w:rFonts w:hint="eastAsia" w:ascii="宋体" w:hAnsi="宋体" w:eastAsia="宋体" w:cs="宋体"/>
                <w:color w:val="000000"/>
                <w:sz w:val="24"/>
                <w:szCs w:val="24"/>
                <w:highlight w:val="none"/>
              </w:rPr>
            </w:r>
            <w:r/>
          </w:p>
        </w:tc>
        <w:tc>
          <w:tcPr>
            <w:tcW w:w="1598"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佳发 JF-SVW6100</w:t>
            </w:r>
            <w:r>
              <w:rPr>
                <w:rFonts w:hint="eastAsia" w:ascii="宋体" w:hAnsi="宋体" w:eastAsia="宋体" w:cs="宋体"/>
                <w:color w:val="000000"/>
                <w:sz w:val="24"/>
                <w:szCs w:val="24"/>
                <w:highlight w:val="none"/>
              </w:rPr>
            </w:r>
            <w:r/>
          </w:p>
        </w:tc>
        <w:tc>
          <w:tcPr>
            <w:tcW w:w="522"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484"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454"/>
        </w:trPr>
        <w:tc>
          <w:tcPr>
            <w:tcW w:w="590"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W w:w="1803"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媒体分发服务器</w:t>
            </w:r>
            <w:r>
              <w:rPr>
                <w:rFonts w:hint="eastAsia" w:ascii="宋体" w:hAnsi="宋体" w:eastAsia="宋体" w:cs="宋体"/>
                <w:color w:val="000000"/>
                <w:sz w:val="24"/>
                <w:szCs w:val="24"/>
                <w:highlight w:val="none"/>
              </w:rPr>
            </w:r>
            <w:r/>
          </w:p>
        </w:tc>
        <w:tc>
          <w:tcPr>
            <w:tcW w:w="1598"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佳发 JF-SVW6100</w:t>
            </w:r>
            <w:r>
              <w:rPr>
                <w:rFonts w:hint="eastAsia" w:ascii="宋体" w:hAnsi="宋体" w:eastAsia="宋体" w:cs="宋体"/>
                <w:color w:val="000000"/>
                <w:sz w:val="24"/>
                <w:szCs w:val="24"/>
                <w:highlight w:val="none"/>
              </w:rPr>
            </w:r>
            <w:r/>
          </w:p>
        </w:tc>
        <w:tc>
          <w:tcPr>
            <w:tcW w:w="522"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484"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454"/>
        </w:trPr>
        <w:tc>
          <w:tcPr>
            <w:tcW w:w="590"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W w:w="1803"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定焦广角摄像机</w:t>
            </w:r>
            <w:r>
              <w:rPr>
                <w:rFonts w:hint="eastAsia" w:ascii="宋体" w:hAnsi="宋体" w:eastAsia="宋体" w:cs="宋体"/>
                <w:color w:val="000000"/>
                <w:sz w:val="24"/>
                <w:szCs w:val="24"/>
                <w:highlight w:val="none"/>
              </w:rPr>
            </w:r>
            <w:r/>
          </w:p>
        </w:tc>
        <w:tc>
          <w:tcPr>
            <w:tcW w:w="1598"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佳发 JF-NC302RP</w:t>
            </w:r>
            <w:r>
              <w:rPr>
                <w:rFonts w:hint="eastAsia" w:ascii="宋体" w:hAnsi="宋体" w:eastAsia="宋体" w:cs="宋体"/>
                <w:color w:val="000000"/>
                <w:sz w:val="24"/>
                <w:szCs w:val="24"/>
                <w:highlight w:val="none"/>
              </w:rPr>
            </w:r>
            <w:r/>
          </w:p>
        </w:tc>
        <w:tc>
          <w:tcPr>
            <w:tcW w:w="522"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484"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eastAsia="zh-CN"/>
              </w:rPr>
            </w:r>
            <w:r/>
          </w:p>
        </w:tc>
      </w:tr>
      <w:tr>
        <w:trPr>
          <w:trHeight w:val="454"/>
        </w:trPr>
        <w:tc>
          <w:tcPr>
            <w:tcW w:w="590"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W w:w="1803"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门禁系统</w:t>
            </w:r>
            <w:r>
              <w:rPr>
                <w:rFonts w:hint="eastAsia" w:ascii="宋体" w:hAnsi="宋体" w:eastAsia="宋体" w:cs="宋体"/>
                <w:color w:val="000000"/>
                <w:sz w:val="24"/>
                <w:szCs w:val="24"/>
                <w:highlight w:val="none"/>
              </w:rPr>
            </w:r>
            <w:r/>
          </w:p>
        </w:tc>
        <w:tc>
          <w:tcPr>
            <w:tcW w:w="1598"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Facepad</w:t>
            </w:r>
            <w:r>
              <w:rPr>
                <w:rFonts w:hint="eastAsia" w:ascii="宋体" w:hAnsi="宋体" w:eastAsia="宋体" w:cs="宋体"/>
                <w:color w:val="000000"/>
                <w:sz w:val="24"/>
                <w:szCs w:val="24"/>
                <w:highlight w:val="none"/>
              </w:rPr>
            </w:r>
            <w:r/>
          </w:p>
        </w:tc>
        <w:tc>
          <w:tcPr>
            <w:tcW w:w="522"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套</w:t>
            </w:r>
            <w:r>
              <w:rPr>
                <w:rFonts w:hint="eastAsia" w:ascii="宋体" w:hAnsi="宋体" w:eastAsia="宋体" w:cs="宋体"/>
                <w:color w:val="000000"/>
                <w:sz w:val="24"/>
                <w:szCs w:val="24"/>
                <w:highlight w:val="none"/>
              </w:rPr>
            </w:r>
            <w:r/>
          </w:p>
        </w:tc>
        <w:tc>
          <w:tcPr>
            <w:tcW w:w="484"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r>
        <w:trPr>
          <w:trHeight w:val="454"/>
        </w:trPr>
        <w:tc>
          <w:tcPr>
            <w:tcW w:w="590"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W w:w="1803"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全向拾音器</w:t>
            </w:r>
            <w:r>
              <w:rPr>
                <w:rFonts w:hint="eastAsia" w:ascii="宋体" w:hAnsi="宋体" w:eastAsia="宋体" w:cs="宋体"/>
                <w:color w:val="000000"/>
                <w:sz w:val="24"/>
                <w:szCs w:val="24"/>
                <w:highlight w:val="none"/>
              </w:rPr>
            </w:r>
            <w:r/>
          </w:p>
        </w:tc>
        <w:tc>
          <w:tcPr>
            <w:tcW w:w="1598"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快鱼</w:t>
            </w:r>
            <w:r>
              <w:rPr>
                <w:rFonts w:hint="eastAsia" w:ascii="宋体" w:hAnsi="宋体" w:eastAsia="宋体" w:cs="宋体"/>
                <w:color w:val="000000"/>
                <w:sz w:val="24"/>
                <w:szCs w:val="24"/>
                <w:highlight w:val="none"/>
              </w:rPr>
            </w:r>
            <w:r/>
          </w:p>
        </w:tc>
        <w:tc>
          <w:tcPr>
            <w:tcW w:w="522"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484"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454"/>
        </w:trPr>
        <w:tc>
          <w:tcPr>
            <w:tcW w:w="590"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tcW w:w="1803"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NVR存储设备（8路）</w:t>
            </w:r>
            <w:r>
              <w:rPr>
                <w:rFonts w:hint="eastAsia" w:ascii="宋体" w:hAnsi="宋体" w:eastAsia="宋体" w:cs="宋体"/>
                <w:color w:val="000000"/>
                <w:sz w:val="24"/>
                <w:szCs w:val="24"/>
                <w:highlight w:val="none"/>
              </w:rPr>
            </w:r>
            <w:r/>
          </w:p>
        </w:tc>
        <w:tc>
          <w:tcPr>
            <w:tcW w:w="1598"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佳发JF-VER008K</w:t>
            </w:r>
            <w:r>
              <w:rPr>
                <w:rFonts w:hint="eastAsia" w:ascii="宋体" w:hAnsi="宋体" w:eastAsia="宋体" w:cs="宋体"/>
                <w:color w:val="000000"/>
                <w:sz w:val="24"/>
                <w:szCs w:val="24"/>
                <w:highlight w:val="none"/>
              </w:rPr>
            </w:r>
            <w:r/>
          </w:p>
        </w:tc>
        <w:tc>
          <w:tcPr>
            <w:tcW w:w="522"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484"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r>
      <w:tr>
        <w:trPr>
          <w:trHeight w:val="454"/>
        </w:trPr>
        <w:tc>
          <w:tcPr>
            <w:tcW w:w="590"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W w:w="1803"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硬盘</w:t>
            </w:r>
            <w:r>
              <w:rPr>
                <w:rFonts w:hint="eastAsia" w:ascii="宋体" w:hAnsi="宋体" w:eastAsia="宋体" w:cs="宋体"/>
                <w:color w:val="000000"/>
                <w:sz w:val="24"/>
                <w:szCs w:val="24"/>
                <w:highlight w:val="none"/>
              </w:rPr>
            </w:r>
            <w:r/>
          </w:p>
        </w:tc>
        <w:tc>
          <w:tcPr>
            <w:tcW w:w="1598"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希捷</w:t>
            </w:r>
            <w:r>
              <w:rPr>
                <w:rFonts w:hint="eastAsia" w:ascii="宋体" w:hAnsi="宋体" w:eastAsia="宋体" w:cs="宋体"/>
                <w:color w:val="000000"/>
                <w:sz w:val="24"/>
                <w:szCs w:val="24"/>
                <w:highlight w:val="none"/>
              </w:rPr>
            </w:r>
            <w:r/>
          </w:p>
        </w:tc>
        <w:tc>
          <w:tcPr>
            <w:tcW w:w="522"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rPr>
            </w:r>
            <w:r/>
          </w:p>
        </w:tc>
        <w:tc>
          <w:tcPr>
            <w:tcW w:w="484" w:type="dxa"/>
            <w:vAlign w:val="center"/>
            <w:textDirection w:val="lrTb"/>
            <w:noWrap/>
          </w:tcPr>
          <w:p>
            <w:pPr>
              <w:pStyle w:val="1023"/>
              <w:jc w:val="left"/>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r>
    </w:tbl>
    <w:p>
      <w:pPr>
        <w:pStyle w:val="1023"/>
        <w:numPr>
          <w:ilvl w:val="0"/>
          <w:numId w:val="14"/>
        </w:numPr>
        <w:ind w:firstLine="72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需为</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提供的</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320"/>
        <w:gridCol w:w="5021"/>
        <w:gridCol w:w="890"/>
        <w:gridCol w:w="829"/>
      </w:tblGrid>
      <w:tr>
        <w:trPr>
          <w:trHeight w:val="474"/>
        </w:trPr>
        <w:tc>
          <w:tcPr>
            <w:tcW w:w="378" w:type="dxa"/>
            <w:vAlign w:val="center"/>
            <w:textDirection w:val="lrTb"/>
            <w:noWrap/>
          </w:tcPr>
          <w:p>
            <w:pPr>
              <w:pStyle w:val="1023"/>
              <w:jc w:val="cente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W w:w="756" w:type="dxa"/>
            <w:vAlign w:val="center"/>
            <w:textDirection w:val="lrTb"/>
            <w:noWrap/>
          </w:tcPr>
          <w:p>
            <w:pPr>
              <w:pStyle w:val="1023"/>
              <w:jc w:val="cente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名称</w:t>
            </w:r>
            <w:r>
              <w:rPr>
                <w:rFonts w:hint="eastAsia" w:ascii="宋体" w:hAnsi="宋体" w:eastAsia="宋体" w:cs="宋体"/>
                <w:b/>
                <w:bCs/>
                <w:color w:val="000000"/>
                <w:sz w:val="24"/>
                <w:szCs w:val="24"/>
                <w:highlight w:val="none"/>
              </w:rPr>
            </w:r>
            <w:r/>
          </w:p>
        </w:tc>
        <w:tc>
          <w:tcPr>
            <w:tcW w:w="2878" w:type="dxa"/>
            <w:vAlign w:val="center"/>
            <w:textDirection w:val="lrTb"/>
            <w:noWrap/>
          </w:tcPr>
          <w:p>
            <w:pPr>
              <w:pStyle w:val="1023"/>
              <w:jc w:val="center"/>
              <w:keepLines w:val="0"/>
              <w:keepNext w:val="0"/>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
              </w:rPr>
              <w:t xml:space="preserve">参数要求</w:t>
            </w:r>
            <w:r>
              <w:rPr>
                <w:rFonts w:hint="eastAsia" w:ascii="宋体" w:hAnsi="宋体" w:eastAsia="宋体" w:cs="宋体"/>
                <w:b/>
                <w:bCs/>
                <w:color w:val="000000"/>
                <w:sz w:val="24"/>
                <w:szCs w:val="24"/>
                <w:highlight w:val="none"/>
                <w:lang w:val="en-US" w:eastAsia="zh-CN"/>
              </w:rPr>
            </w:r>
            <w:r/>
          </w:p>
        </w:tc>
        <w:tc>
          <w:tcPr>
            <w:tcW w:w="510" w:type="dxa"/>
            <w:vAlign w:val="center"/>
            <w:textDirection w:val="lrTb"/>
            <w:noWrap/>
          </w:tcPr>
          <w:p>
            <w:pPr>
              <w:pStyle w:val="1023"/>
              <w:jc w:val="cente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单位</w:t>
            </w:r>
            <w:r>
              <w:rPr>
                <w:rFonts w:hint="eastAsia" w:ascii="宋体" w:hAnsi="宋体" w:eastAsia="宋体" w:cs="宋体"/>
                <w:b/>
                <w:bCs/>
                <w:color w:val="000000"/>
                <w:sz w:val="24"/>
                <w:szCs w:val="24"/>
                <w:highlight w:val="none"/>
              </w:rPr>
            </w:r>
            <w:r/>
          </w:p>
        </w:tc>
        <w:tc>
          <w:tcPr>
            <w:tcW w:w="475" w:type="dxa"/>
            <w:vAlign w:val="center"/>
            <w:textDirection w:val="lrTb"/>
            <w:noWrap/>
          </w:tcPr>
          <w:p>
            <w:pPr>
              <w:pStyle w:val="1023"/>
              <w:jc w:val="center"/>
              <w:keepLines w:val="0"/>
              <w:keepNext w:val="0"/>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参考</w:t>
            </w:r>
            <w:r>
              <w:rPr>
                <w:rFonts w:hint="eastAsia" w:ascii="宋体" w:hAnsi="宋体" w:eastAsia="宋体" w:cs="宋体"/>
                <w:b/>
                <w:bCs/>
                <w:color w:val="000000"/>
                <w:sz w:val="24"/>
                <w:szCs w:val="24"/>
                <w:highlight w:val="none"/>
                <w:lang w:bidi="ar"/>
              </w:rPr>
              <w:t xml:space="preserve">数量</w:t>
            </w:r>
            <w:r>
              <w:rPr>
                <w:rFonts w:hint="eastAsia" w:ascii="宋体" w:hAnsi="宋体" w:eastAsia="宋体" w:cs="宋体"/>
                <w:b/>
                <w:bCs/>
                <w:color w:val="000000"/>
                <w:sz w:val="24"/>
                <w:szCs w:val="24"/>
                <w:highlight w:val="none"/>
              </w:rPr>
            </w:r>
            <w:r/>
          </w:p>
        </w:tc>
      </w:tr>
      <w:tr>
        <w:trPr>
          <w:trHeight w:val="1512"/>
        </w:trPr>
        <w:tc>
          <w:tcPr>
            <w:tcW w:w="378" w:type="dxa"/>
            <w:vAlign w:val="center"/>
            <w:textDirection w:val="lrTb"/>
            <w:noWrap/>
          </w:tcPr>
          <w:p>
            <w:pPr>
              <w:pStyle w:val="1023"/>
              <w:jc w:val="cente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756" w:type="dxa"/>
            <w:vAlign w:val="center"/>
            <w:textDirection w:val="lrTb"/>
            <w:noWrap/>
          </w:tcPr>
          <w:p>
            <w:pPr>
              <w:pStyle w:val="1023"/>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考务通更新服务</w:t>
            </w:r>
            <w:r>
              <w:rPr>
                <w:rFonts w:hint="eastAsia" w:ascii="宋体" w:hAnsi="宋体" w:eastAsia="宋体" w:cs="宋体"/>
                <w:color w:val="000000"/>
                <w:sz w:val="24"/>
                <w:szCs w:val="24"/>
                <w:highlight w:val="none"/>
                <w:lang w:val="en-US" w:eastAsia="zh-CN"/>
              </w:rPr>
            </w:r>
            <w:r/>
          </w:p>
        </w:tc>
        <w:tc>
          <w:tcPr>
            <w:tcW w:w="2878" w:type="dxa"/>
            <w:vAlign w:val="center"/>
            <w:textDirection w:val="lrTb"/>
            <w:noWrap/>
          </w:tcPr>
          <w:p>
            <w:pPr>
              <w:pStyle w:val="1023"/>
              <w:jc w:val="both"/>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内置声光语音提示刷卡（读取二代证信息）、拍照以及身份验证软件；系统能与综合考务系统对接，将验证数据实时上传至考务平台，可在考务平台查看验证结果、入场进度、验证情况等信息。</w:t>
            </w:r>
            <w:r>
              <w:rPr>
                <w:rFonts w:hint="eastAsia" w:ascii="宋体" w:hAnsi="宋体" w:eastAsia="宋体" w:cs="宋体"/>
                <w:color w:val="000000"/>
                <w:sz w:val="24"/>
                <w:szCs w:val="24"/>
                <w:highlight w:val="none"/>
                <w:lang w:eastAsia="zh-CN"/>
              </w:rPr>
            </w:r>
            <w:r/>
          </w:p>
        </w:tc>
        <w:tc>
          <w:tcPr>
            <w:tcW w:w="510" w:type="dxa"/>
            <w:vAlign w:val="center"/>
            <w:textDirection w:val="lrTb"/>
            <w:noWrap/>
          </w:tcPr>
          <w:p>
            <w:pPr>
              <w:pStyle w:val="1023"/>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lang w:val="en-US" w:eastAsia="zh-CN"/>
              </w:rPr>
            </w:r>
            <w:r/>
          </w:p>
        </w:tc>
        <w:tc>
          <w:tcPr>
            <w:tcW w:w="475" w:type="dxa"/>
            <w:vAlign w:val="center"/>
            <w:textDirection w:val="lrTb"/>
            <w:noWrap/>
          </w:tcPr>
          <w:p>
            <w:pPr>
              <w:pStyle w:val="1023"/>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84</w:t>
            </w:r>
            <w:r>
              <w:rPr>
                <w:rFonts w:hint="eastAsia" w:ascii="宋体" w:hAnsi="宋体" w:eastAsia="宋体" w:cs="宋体"/>
                <w:color w:val="000000"/>
                <w:sz w:val="24"/>
                <w:szCs w:val="24"/>
                <w:highlight w:val="none"/>
                <w:lang w:val="en-US" w:eastAsia="zh-CN"/>
              </w:rPr>
            </w:r>
            <w:r/>
          </w:p>
        </w:tc>
      </w:tr>
      <w:tr>
        <w:trPr>
          <w:trHeight w:val="9491"/>
        </w:trPr>
        <w:tc>
          <w:tcPr>
            <w:tcW w:w="378" w:type="dxa"/>
            <w:vAlign w:val="center"/>
            <w:textDirection w:val="lrTb"/>
            <w:noWrap/>
          </w:tcPr>
          <w:p>
            <w:pPr>
              <w:pStyle w:val="1023"/>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r>
            <w:r/>
          </w:p>
        </w:tc>
        <w:tc>
          <w:tcPr>
            <w:tcW w:w="756" w:type="dxa"/>
            <w:vAlign w:val="center"/>
            <w:textDirection w:val="lrTb"/>
            <w:noWrap/>
          </w:tcPr>
          <w:p>
            <w:pPr>
              <w:pStyle w:val="1023"/>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智能巡检服务</w:t>
            </w:r>
            <w:r>
              <w:rPr>
                <w:rFonts w:hint="eastAsia" w:ascii="宋体" w:hAnsi="宋体" w:eastAsia="宋体" w:cs="宋体"/>
                <w:color w:val="000000"/>
                <w:sz w:val="24"/>
                <w:szCs w:val="24"/>
                <w:highlight w:val="none"/>
                <w:lang w:val="en-US" w:eastAsia="zh-CN"/>
              </w:rPr>
            </w:r>
            <w:r/>
          </w:p>
        </w:tc>
        <w:tc>
          <w:tcPr>
            <w:tcW w:w="2878" w:type="dxa"/>
            <w:vAlign w:val="center"/>
            <w:textDirection w:val="lrTb"/>
            <w:noWrap/>
          </w:tcPr>
          <w:p>
            <w:pPr>
              <w:pStyle w:val="1023"/>
              <w:jc w:val="both"/>
              <w:keepLines w:val="0"/>
              <w:keepNext w:val="0"/>
              <w:pageBreakBefore w:val="0"/>
              <w:spacing w:line="24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.支持手动获取上级下发的考试计划，新建考试计划，一键调用已配置考试计划模板。</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.支持MPEG4、H.264、H.264H、H.264M、H.264B、H.265、MJPEG视频格式。</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.支持G.722、G.711A、G.726、G.711U、MPEG2-L2、AAC音频格式。</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.支持标准SIP2.0；SIP URI统一命名规则、分级命名、联合定位；SIP URI组、用户、树形列表管理；SIP URI地址解析；支持TS（Transition Stream）、PS（Program Stream）流封装。</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.支持SIP网关向上级的主动注册与多级注册的管理，支持NAT穿越控制。</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.支持启用 / 关闭具体行为分析功能、自定义配置相应的告警等级，告警等级包含一级、二级、三级，还可为不同告警等级配置差异化处理方式。</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bidi="ar"/>
              </w:rPr>
              <w:t xml:space="preserve">.支持列表查看本级自建、上级下发考试计划，可按年度、考试名称搜索考试计划，查看考试计划详情，涵盖诸多相关信息。</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.采用基于B/S架构的管理模式，通过WEB浏览器访问管理平台；</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bidi="ar"/>
              </w:rPr>
              <w:t xml:space="preserve">.能实现系统核心数据库的备份。</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0</w:t>
            </w:r>
            <w:r>
              <w:rPr>
                <w:rFonts w:hint="eastAsia" w:ascii="宋体" w:hAnsi="宋体" w:eastAsia="宋体" w:cs="宋体"/>
                <w:color w:val="000000"/>
                <w:sz w:val="24"/>
                <w:szCs w:val="24"/>
                <w:highlight w:val="none"/>
                <w:lang w:bidi="ar"/>
              </w:rPr>
              <w:t xml:space="preserve">.支持巡查事务功能，包括考试计划管理、机构或设备注册情况查看（</w:t>
            </w:r>
            <w:r>
              <w:rPr>
                <w:rFonts w:hint="eastAsia" w:ascii="宋体" w:hAnsi="宋体" w:eastAsia="宋体" w:cs="宋体"/>
                <w:b/>
                <w:bCs/>
                <w:color w:val="000000"/>
                <w:sz w:val="24"/>
                <w:szCs w:val="24"/>
                <w:highlight w:val="none"/>
              </w:rPr>
              <w:t xml:space="preserve">提供软件截图，截图须清晰展示各功能界面</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.智能分析并发能力：支持最大60路视频流的行为智能分析（</w:t>
            </w:r>
            <w:r>
              <w:rPr>
                <w:rFonts w:hint="eastAsia" w:ascii="宋体" w:hAnsi="宋体" w:eastAsia="宋体" w:cs="宋体"/>
                <w:b/>
                <w:bCs/>
                <w:color w:val="000000"/>
                <w:sz w:val="24"/>
                <w:szCs w:val="24"/>
                <w:highlight w:val="none"/>
                <w:lang w:eastAsia="zh-CN"/>
              </w:rPr>
              <w:t xml:space="preserve">提供具有</w:t>
            </w:r>
            <w:r>
              <w:rPr>
                <w:rFonts w:hint="eastAsia" w:ascii="宋体" w:hAnsi="宋体" w:eastAsia="宋体" w:cs="宋体"/>
                <w:b/>
                <w:bCs/>
                <w:color w:val="000000"/>
                <w:sz w:val="24"/>
                <w:szCs w:val="24"/>
                <w:highlight w:val="none"/>
                <w:lang w:val="en-US" w:eastAsia="zh-CN"/>
              </w:rPr>
              <w:t xml:space="preserve">权威部门认证的</w:t>
            </w:r>
            <w:r>
              <w:rPr>
                <w:rFonts w:hint="eastAsia" w:ascii="宋体" w:hAnsi="宋体" w:eastAsia="宋体" w:cs="宋体"/>
                <w:b/>
                <w:bCs/>
                <w:color w:val="000000"/>
                <w:sz w:val="24"/>
                <w:szCs w:val="24"/>
                <w:highlight w:val="none"/>
                <w:lang w:eastAsia="zh-CN"/>
              </w:rPr>
              <w:t xml:space="preserve">检测报告原件的扫描件，</w:t>
            </w:r>
            <w:r>
              <w:rPr>
                <w:rFonts w:hint="eastAsia" w:ascii="宋体" w:hAnsi="宋体" w:eastAsia="宋体" w:cs="宋体"/>
                <w:b/>
                <w:bCs/>
                <w:color w:val="000000"/>
                <w:sz w:val="24"/>
                <w:szCs w:val="24"/>
                <w:highlight w:val="none"/>
                <w:lang w:val="en-US" w:eastAsia="zh-CN"/>
              </w:rPr>
              <w:t xml:space="preserve">检测依据为：GB 4943.1-2022《音视频、信息技术和通信技术设备 第1部分：安全要求》</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.支持查看告警记录关联的多方面详细信息，可对告警行为进行多种操作，查看异常行为的审核过程。</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.支持不少于6种考生行为智能监测：包括考生多人停止作答、考生举手、考生站立、考生两人或多人交头接耳、多人向同一方向偏头、个人或多人考后继续作答（</w:t>
            </w:r>
            <w:r>
              <w:rPr>
                <w:rFonts w:hint="eastAsia" w:ascii="宋体" w:hAnsi="宋体" w:eastAsia="宋体" w:cs="宋体"/>
                <w:b/>
                <w:bCs/>
                <w:color w:val="000000"/>
                <w:sz w:val="24"/>
                <w:szCs w:val="24"/>
                <w:highlight w:val="none"/>
                <w:lang w:eastAsia="zh-CN"/>
              </w:rPr>
              <w:t xml:space="preserve">提供具有</w:t>
            </w:r>
            <w:r>
              <w:rPr>
                <w:rFonts w:hint="eastAsia" w:ascii="宋体" w:hAnsi="宋体" w:eastAsia="宋体" w:cs="宋体"/>
                <w:b/>
                <w:bCs/>
                <w:color w:val="000000"/>
                <w:sz w:val="24"/>
                <w:szCs w:val="24"/>
                <w:highlight w:val="none"/>
                <w:lang w:val="en-US" w:eastAsia="zh-CN"/>
              </w:rPr>
              <w:t xml:space="preserve">权威部门认证的</w:t>
            </w:r>
            <w:r>
              <w:rPr>
                <w:rFonts w:hint="eastAsia" w:ascii="宋体" w:hAnsi="宋体" w:eastAsia="宋体" w:cs="宋体"/>
                <w:b/>
                <w:bCs/>
                <w:color w:val="000000"/>
                <w:sz w:val="24"/>
                <w:szCs w:val="24"/>
                <w:highlight w:val="none"/>
                <w:lang w:eastAsia="zh-CN"/>
              </w:rPr>
              <w:t xml:space="preserve">检测报告原件的扫描件，</w:t>
            </w:r>
            <w:r>
              <w:rPr>
                <w:rFonts w:hint="eastAsia" w:ascii="宋体" w:hAnsi="宋体" w:eastAsia="宋体" w:cs="宋体"/>
                <w:b/>
                <w:bCs/>
                <w:color w:val="000000"/>
                <w:sz w:val="24"/>
                <w:szCs w:val="24"/>
                <w:highlight w:val="none"/>
                <w:lang w:val="en-US" w:eastAsia="zh-CN"/>
              </w:rPr>
              <w:t xml:space="preserve">检测依据为：GB 4943.1-2022《音视频、信息技术和通信技术设备 第1部分：安全要求》</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.支持数据导出，并可根据实际需求选择导出的数据包含图片、包含视频，满足多样化的报表需求（</w:t>
            </w:r>
            <w:r>
              <w:rPr>
                <w:rFonts w:hint="eastAsia" w:ascii="宋体" w:hAnsi="宋体" w:eastAsia="宋体" w:cs="宋体"/>
                <w:b/>
                <w:bCs/>
                <w:color w:val="000000"/>
                <w:sz w:val="24"/>
                <w:szCs w:val="24"/>
                <w:highlight w:val="none"/>
                <w:lang w:eastAsia="zh-CN"/>
              </w:rPr>
              <w:t xml:space="preserve">提供具有</w:t>
            </w:r>
            <w:r>
              <w:rPr>
                <w:rFonts w:hint="eastAsia" w:ascii="宋体" w:hAnsi="宋体" w:eastAsia="宋体" w:cs="宋体"/>
                <w:b/>
                <w:bCs/>
                <w:color w:val="000000"/>
                <w:sz w:val="24"/>
                <w:szCs w:val="24"/>
                <w:highlight w:val="none"/>
                <w:lang w:val="en-US" w:eastAsia="zh-CN"/>
              </w:rPr>
              <w:t xml:space="preserve">权威部门认证的</w:t>
            </w:r>
            <w:r>
              <w:rPr>
                <w:rFonts w:hint="eastAsia" w:ascii="宋体" w:hAnsi="宋体" w:eastAsia="宋体" w:cs="宋体"/>
                <w:b/>
                <w:bCs/>
                <w:color w:val="000000"/>
                <w:sz w:val="24"/>
                <w:szCs w:val="24"/>
                <w:highlight w:val="none"/>
                <w:lang w:eastAsia="zh-CN"/>
              </w:rPr>
              <w:t xml:space="preserve">检测报告原件的扫描件，</w:t>
            </w:r>
            <w:r>
              <w:rPr>
                <w:rFonts w:hint="eastAsia" w:ascii="宋体" w:hAnsi="宋体" w:eastAsia="宋体" w:cs="宋体"/>
                <w:b/>
                <w:bCs/>
                <w:color w:val="000000"/>
                <w:sz w:val="24"/>
                <w:szCs w:val="24"/>
                <w:highlight w:val="none"/>
                <w:lang w:val="en-US" w:eastAsia="zh-CN"/>
              </w:rPr>
              <w:t xml:space="preserve">检测依据为：GB 4943.1-2022《音视频、信息技术和通信技术设备 第1部分：安全要求》</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.支持两种审核应用模式，即网页端审核、客户端审核。支持对考试计划进行编辑、查看、删除以及状态管理，如强制结束、终止审核（</w:t>
            </w:r>
            <w:r>
              <w:rPr>
                <w:rFonts w:hint="eastAsia" w:ascii="宋体" w:hAnsi="宋体" w:eastAsia="宋体" w:cs="宋体"/>
                <w:b/>
                <w:bCs/>
                <w:color w:val="000000"/>
                <w:sz w:val="24"/>
                <w:szCs w:val="24"/>
                <w:highlight w:val="none"/>
                <w:lang w:eastAsia="zh-CN"/>
              </w:rPr>
              <w:t xml:space="preserve">提供具有</w:t>
            </w:r>
            <w:r>
              <w:rPr>
                <w:rFonts w:hint="eastAsia" w:ascii="宋体" w:hAnsi="宋体" w:eastAsia="宋体" w:cs="宋体"/>
                <w:b/>
                <w:bCs/>
                <w:color w:val="000000"/>
                <w:sz w:val="24"/>
                <w:szCs w:val="24"/>
                <w:highlight w:val="none"/>
                <w:lang w:val="en-US" w:eastAsia="zh-CN"/>
              </w:rPr>
              <w:t xml:space="preserve">权威部门认证的</w:t>
            </w:r>
            <w:r>
              <w:rPr>
                <w:rFonts w:hint="eastAsia" w:ascii="宋体" w:hAnsi="宋体" w:eastAsia="宋体" w:cs="宋体"/>
                <w:b/>
                <w:bCs/>
                <w:color w:val="000000"/>
                <w:sz w:val="24"/>
                <w:szCs w:val="24"/>
                <w:highlight w:val="none"/>
                <w:lang w:eastAsia="zh-CN"/>
              </w:rPr>
              <w:t xml:space="preserve">检测报告原件的扫描件，</w:t>
            </w:r>
            <w:r>
              <w:rPr>
                <w:rFonts w:hint="eastAsia" w:ascii="宋体" w:hAnsi="宋体" w:eastAsia="宋体" w:cs="宋体"/>
                <w:b/>
                <w:bCs/>
                <w:color w:val="000000"/>
                <w:sz w:val="24"/>
                <w:szCs w:val="24"/>
                <w:highlight w:val="none"/>
                <w:lang w:val="en-US" w:eastAsia="zh-CN"/>
              </w:rPr>
              <w:t xml:space="preserve">检测依据为：GB 4943.1-2022《音视频、信息技术和通信技术设备 第1部分：安全要求》</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支持本级平台向上级管理平台主动注册，实现行为分析业务与数据的级联互通。支持按多维度对异常告警数据进行列表统计展示、快捷定位查询，查看相关告警详情，还支持一键导出统计数据与关联的图片、视频片段。</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bidi="ar"/>
              </w:rPr>
              <w:t xml:space="preserve">.支持考试计划管理：实现对AI行为分析任务的管理，包括考试信息配置、监考考场选择、审核员选择以及监考任务分配。</w:t>
            </w:r>
            <w:r>
              <w:rPr>
                <w:rFonts w:hint="eastAsia" w:ascii="宋体" w:hAnsi="宋体" w:eastAsia="宋体" w:cs="宋体"/>
                <w:color w:val="000000"/>
                <w:sz w:val="24"/>
                <w:szCs w:val="24"/>
                <w:highlight w:val="none"/>
                <w:lang w:bidi="ar"/>
              </w:rPr>
            </w:r>
            <w:r/>
          </w:p>
          <w:p>
            <w:pPr>
              <w:pStyle w:val="1023"/>
              <w:jc w:val="both"/>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18</w:t>
            </w:r>
            <w:r>
              <w:rPr>
                <w:rFonts w:hint="eastAsia" w:ascii="宋体" w:hAnsi="宋体" w:eastAsia="宋体" w:cs="宋体"/>
                <w:color w:val="000000"/>
                <w:sz w:val="24"/>
                <w:szCs w:val="24"/>
                <w:highlight w:val="none"/>
                <w:lang w:bidi="ar"/>
              </w:rPr>
              <w:t xml:space="preserve">.视频审核：实现对AI自动识别的告警事件的人工复核；复核支持初审和复审；支持分场次、类型、审核状态、考场名称、告警等级筛选告警事件。</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19</w:t>
            </w:r>
            <w:r>
              <w:rPr>
                <w:rFonts w:hint="eastAsia" w:ascii="宋体" w:hAnsi="宋体" w:eastAsia="宋体" w:cs="宋体"/>
                <w:color w:val="000000"/>
                <w:sz w:val="24"/>
                <w:szCs w:val="24"/>
                <w:highlight w:val="none"/>
                <w:lang w:bidi="ar"/>
              </w:rPr>
              <w:t xml:space="preserve">.总览看板：汇总展示所选考试计划的各项业务数据，包括审核员处理情况、标记违规数据、</w:t>
            </w:r>
            <w:r>
              <w:rPr>
                <w:rFonts w:hint="eastAsia" w:ascii="宋体" w:hAnsi="宋体" w:eastAsia="宋体" w:cs="宋体"/>
                <w:color w:val="000000"/>
                <w:sz w:val="24"/>
                <w:szCs w:val="24"/>
                <w:highlight w:val="none"/>
                <w:lang w:val="en-US" w:eastAsia="zh-CN" w:bidi="ar"/>
              </w:rPr>
              <w:t xml:space="preserve">考生入场率</w:t>
            </w:r>
            <w:r>
              <w:rPr>
                <w:rFonts w:hint="eastAsia" w:ascii="宋体" w:hAnsi="宋体" w:eastAsia="宋体" w:cs="宋体"/>
                <w:color w:val="000000"/>
                <w:sz w:val="24"/>
                <w:szCs w:val="24"/>
                <w:highlight w:val="none"/>
                <w:lang w:bidi="ar"/>
              </w:rPr>
              <w:t xml:space="preserve">、考场异常告警统计和异常行为类型统计；并支持按场次查看（</w:t>
            </w:r>
            <w:r>
              <w:rPr>
                <w:rFonts w:hint="eastAsia" w:ascii="宋体" w:hAnsi="宋体" w:eastAsia="宋体" w:cs="宋体"/>
                <w:b/>
                <w:bCs/>
                <w:color w:val="000000"/>
                <w:sz w:val="24"/>
                <w:szCs w:val="24"/>
                <w:highlight w:val="none"/>
              </w:rPr>
              <w:t xml:space="preserve">提供软件截图，截图须清晰展示各功能界面</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val="en-US" w:eastAsia="zh-CN" w:bidi="ar"/>
              </w:rPr>
              <w:t xml:space="preserve">0</w:t>
            </w:r>
            <w:r>
              <w:rPr>
                <w:rFonts w:hint="eastAsia" w:ascii="宋体" w:hAnsi="宋体" w:eastAsia="宋体" w:cs="宋体"/>
                <w:color w:val="000000"/>
                <w:sz w:val="24"/>
                <w:szCs w:val="24"/>
                <w:highlight w:val="none"/>
                <w:lang w:bidi="ar"/>
              </w:rPr>
              <w:t xml:space="preserve">.支持查看考试计划对应的告警记录，并可按多种条件快捷搜索，还支持查看考务规范监测情况等信息。</w:t>
            </w:r>
            <w:r>
              <w:rPr>
                <w:rFonts w:hint="eastAsia" w:ascii="宋体" w:hAnsi="宋体" w:eastAsia="宋体" w:cs="宋体"/>
                <w:color w:val="000000"/>
                <w:sz w:val="24"/>
                <w:szCs w:val="24"/>
                <w:highlight w:val="none"/>
                <w:lang w:eastAsia="zh-CN"/>
              </w:rPr>
            </w:r>
            <w:r/>
          </w:p>
        </w:tc>
        <w:tc>
          <w:tcPr>
            <w:tcW w:w="510" w:type="dxa"/>
            <w:vAlign w:val="center"/>
            <w:textDirection w:val="lrTb"/>
            <w:noWrap/>
          </w:tcPr>
          <w:p>
            <w:pPr>
              <w:pStyle w:val="1023"/>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路</w:t>
            </w:r>
            <w:r>
              <w:rPr>
                <w:rFonts w:hint="eastAsia" w:ascii="宋体" w:hAnsi="宋体" w:eastAsia="宋体" w:cs="宋体"/>
                <w:color w:val="000000"/>
                <w:sz w:val="24"/>
                <w:szCs w:val="24"/>
                <w:highlight w:val="none"/>
                <w:lang w:val="en-US" w:eastAsia="zh-CN"/>
              </w:rPr>
            </w:r>
            <w:r/>
          </w:p>
        </w:tc>
        <w:tc>
          <w:tcPr>
            <w:tcW w:w="475" w:type="dxa"/>
            <w:vAlign w:val="center"/>
            <w:textDirection w:val="lrTb"/>
            <w:noWrap/>
          </w:tcPr>
          <w:p>
            <w:pPr>
              <w:pStyle w:val="1023"/>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150</w:t>
            </w:r>
            <w:r>
              <w:rPr>
                <w:rFonts w:hint="eastAsia" w:ascii="宋体" w:hAnsi="宋体" w:eastAsia="宋体" w:cs="宋体"/>
                <w:color w:val="000000"/>
                <w:sz w:val="24"/>
                <w:szCs w:val="24"/>
                <w:highlight w:val="none"/>
                <w:lang w:val="en-US" w:eastAsia="zh-CN"/>
              </w:rPr>
            </w:r>
            <w:r/>
          </w:p>
        </w:tc>
      </w:tr>
      <w:tr>
        <w:trPr>
          <w:trHeight w:val="636"/>
        </w:trPr>
        <w:tc>
          <w:tcPr>
            <w:tcW w:w="378" w:type="dxa"/>
            <w:vAlign w:val="center"/>
            <w:textDirection w:val="lrTb"/>
            <w:noWrap/>
          </w:tcPr>
          <w:p>
            <w:pPr>
              <w:pStyle w:val="1023"/>
              <w:jc w:val="center"/>
              <w:keepLines w:val="0"/>
              <w:keepNext w:val="0"/>
              <w:pageBreakBefore w:val="0"/>
              <w:spacing w:line="240" w:lineRule="auto"/>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w:t>
            </w:r>
            <w:r>
              <w:rPr>
                <w:rFonts w:ascii="宋体" w:hAnsi="宋体" w:eastAsia="宋体" w:cs="宋体"/>
                <w:color w:val="000000"/>
                <w:sz w:val="24"/>
                <w:szCs w:val="24"/>
                <w:highlight w:val="none"/>
                <w:lang w:val="en-US" w:eastAsia="zh-CN" w:bidi="ar"/>
              </w:rPr>
            </w:r>
            <w:r/>
          </w:p>
        </w:tc>
        <w:tc>
          <w:tcPr>
            <w:tcW w:w="756" w:type="dxa"/>
            <w:vAlign w:val="center"/>
            <w:textDirection w:val="lrTb"/>
            <w:noWrap/>
          </w:tcPr>
          <w:p>
            <w:pPr>
              <w:pStyle w:val="1023"/>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智能安检门</w:t>
            </w:r>
            <w:r>
              <w:rPr>
                <w:rFonts w:hint="eastAsia" w:ascii="宋体" w:hAnsi="宋体" w:eastAsia="宋体" w:cs="宋体"/>
                <w:color w:val="000000"/>
                <w:sz w:val="24"/>
                <w:szCs w:val="24"/>
                <w:highlight w:val="none"/>
                <w:lang w:val="en-US" w:eastAsia="zh-CN"/>
              </w:rPr>
            </w:r>
            <w:r/>
          </w:p>
        </w:tc>
        <w:tc>
          <w:tcPr>
            <w:tcW w:w="2878" w:type="dxa"/>
            <w:vAlign w:val="center"/>
            <w:textDirection w:val="lrTb"/>
            <w:noWrap/>
          </w:tcPr>
          <w:p>
            <w:pPr>
              <w:pStyle w:val="1023"/>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aps w:val="0"/>
                <w:color w:val="000000"/>
                <w:sz w:val="24"/>
                <w:szCs w:val="24"/>
                <w:highlight w:val="none"/>
                <w:lang w:val="en-US" w:eastAsia="zh-CN"/>
              </w:rPr>
              <w:t xml:space="preserve">见“（3）智能安检门功能要求”</w:t>
            </w:r>
            <w:r>
              <w:rPr>
                <w:rFonts w:hint="eastAsia" w:ascii="宋体" w:hAnsi="宋体" w:eastAsia="宋体" w:cs="宋体"/>
                <w:color w:val="000000"/>
                <w:sz w:val="24"/>
                <w:szCs w:val="24"/>
                <w:highlight w:val="none"/>
                <w:lang w:val="en-US" w:eastAsia="zh-CN" w:bidi="ar-SA"/>
              </w:rPr>
            </w:r>
            <w:r/>
          </w:p>
        </w:tc>
        <w:tc>
          <w:tcPr>
            <w:tcW w:w="510" w:type="dxa"/>
            <w:vAlign w:val="center"/>
            <w:textDirection w:val="lrTb"/>
            <w:noWrap/>
          </w:tcPr>
          <w:p>
            <w:pPr>
              <w:pStyle w:val="1023"/>
              <w:jc w:val="center"/>
              <w:keepLines w:val="0"/>
              <w:keepNext w:val="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cs="宋体"/>
                <w:caps w:val="0"/>
                <w:color w:val="000000"/>
                <w:sz w:val="21"/>
                <w:szCs w:val="21"/>
                <w:highlight w:val="none"/>
                <w:lang w:val="en-US" w:eastAsia="zh-CN"/>
              </w:rPr>
              <w:t xml:space="preserve">套</w:t>
            </w:r>
            <w:r>
              <w:rPr>
                <w:rFonts w:hint="eastAsia" w:ascii="宋体" w:hAnsi="宋体" w:eastAsia="宋体" w:cs="宋体"/>
                <w:color w:val="000000"/>
                <w:sz w:val="24"/>
                <w:szCs w:val="24"/>
                <w:highlight w:val="none"/>
                <w:lang w:val="en-US" w:eastAsia="zh-CN"/>
              </w:rPr>
            </w:r>
            <w:r/>
          </w:p>
        </w:tc>
        <w:tc>
          <w:tcPr>
            <w:tcW w:w="475" w:type="dxa"/>
            <w:vAlign w:val="center"/>
            <w:textDirection w:val="lrTb"/>
            <w:noWrap/>
          </w:tcPr>
          <w:p>
            <w:pPr>
              <w:pStyle w:val="1023"/>
              <w:jc w:val="center"/>
              <w:keepLines w:val="0"/>
              <w:keepNext w:val="0"/>
              <w:pageBreakBefore w:val="0"/>
              <w:spacing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w:t>
            </w:r>
            <w:r>
              <w:rPr>
                <w:rFonts w:ascii="宋体" w:hAnsi="宋体" w:eastAsia="宋体" w:cs="宋体"/>
                <w:color w:val="000000"/>
                <w:sz w:val="24"/>
                <w:szCs w:val="24"/>
                <w:highlight w:val="none"/>
                <w:lang w:val="en-US" w:eastAsia="zh-CN"/>
              </w:rPr>
            </w:r>
            <w:r/>
          </w:p>
        </w:tc>
      </w:tr>
    </w:tbl>
    <w:p>
      <w:pPr>
        <w:pStyle w:val="1296"/>
        <w:ind w:left="0"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智能安检门功能要求</w:t>
      </w:r>
      <w:r>
        <w:rPr>
          <w:rFonts w:ascii="宋体" w:hAnsi="宋体" w:eastAsia="宋体" w:cs="宋体"/>
          <w:color w:val="000000"/>
          <w:sz w:val="24"/>
          <w:szCs w:val="24"/>
          <w:highlight w:val="none"/>
        </w:rPr>
      </w:r>
      <w:r/>
    </w:p>
    <w:p>
      <w:pPr>
        <w:pStyle w:val="1023"/>
        <w:ind w:left="0" w:firstLine="42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①</w:t>
      </w:r>
      <w:r>
        <w:rPr>
          <w:rFonts w:hint="eastAsia" w:ascii="宋体" w:hAnsi="宋体" w:cs="宋体"/>
          <w:color w:val="000000"/>
          <w:sz w:val="24"/>
          <w:szCs w:val="24"/>
          <w:highlight w:val="none"/>
        </w:rPr>
        <w:t xml:space="preserve">智能安检门需满足</w:t>
      </w:r>
      <w:r>
        <w:rPr>
          <w:rFonts w:hint="eastAsia" w:ascii="宋体" w:hAnsi="宋体" w:cs="宋体"/>
          <w:color w:val="000000"/>
          <w:sz w:val="24"/>
          <w:szCs w:val="24"/>
          <w:highlight w:val="none"/>
          <w:lang w:bidi="ar"/>
        </w:rPr>
        <w:t xml:space="preserve">《通过式金属探测门通用技术规范》（GB15210-2018）</w:t>
      </w:r>
      <w:r>
        <w:rPr>
          <w:rFonts w:hint="eastAsia" w:ascii="宋体" w:hAnsi="宋体" w:cs="宋体"/>
          <w:color w:val="000000"/>
          <w:sz w:val="24"/>
          <w:szCs w:val="24"/>
          <w:highlight w:val="none"/>
        </w:rPr>
        <w:t xml:space="preserve">，可检出手机、智能手表（手环）、无线耳机等通信设备，能有效过滤日常金属物品（钥匙、皮带扣、眼镜、文具等），同时保证考生通行效率。安检门需具备联网功能，能将报警数据统计等传输至上级管理平台，并与市级、省级、国家教育考试综合管理平台对接。安检门同时需配套足够数量的手机存储柜，供考生在考试期间存放通信工具。</w:t>
      </w:r>
      <w:r>
        <w:rPr>
          <w:rFonts w:hint="eastAsia" w:ascii="宋体" w:hAnsi="宋体" w:cs="宋体"/>
          <w:color w:val="000000"/>
          <w:sz w:val="24"/>
          <w:szCs w:val="24"/>
          <w:highlight w:val="none"/>
        </w:rPr>
      </w:r>
      <w:r/>
    </w:p>
    <w:p>
      <w:pPr>
        <w:pStyle w:val="1023"/>
        <w:ind w:left="0" w:firstLine="420"/>
        <w:spacing w:line="360" w:lineRule="auto"/>
        <w:rPr>
          <w:rFonts w:hint="eastAsia" w:ascii="宋体" w:hAnsi="宋体" w:cs="宋体"/>
          <w:color w:val="000000"/>
          <w:sz w:val="24"/>
          <w:szCs w:val="24"/>
          <w:highlight w:val="none"/>
        </w:rPr>
      </w:pPr>
      <w:r>
        <w:rPr>
          <w:rFonts w:hint="eastAsia" w:ascii="宋体" w:hAnsi="宋体" w:eastAsia="宋体" w:cs="宋体"/>
          <w:sz w:val="24"/>
          <w:szCs w:val="24"/>
        </w:rPr>
        <w:t xml:space="preserve">★</w:t>
      </w:r>
      <w:r>
        <w:rPr>
          <w:rFonts w:hint="eastAsia" w:ascii="宋体" w:hAnsi="宋体" w:eastAsia="宋体" w:cs="宋体"/>
          <w:color w:val="000000"/>
          <w:sz w:val="24"/>
          <w:szCs w:val="24"/>
          <w:highlight w:val="none"/>
        </w:rPr>
        <w:t xml:space="preserve">②</w:t>
      </w:r>
      <w:r>
        <w:rPr>
          <w:rFonts w:hint="eastAsia" w:ascii="宋体" w:hAnsi="宋体" w:cs="宋体"/>
          <w:color w:val="000000"/>
          <w:sz w:val="24"/>
          <w:szCs w:val="24"/>
          <w:highlight w:val="none"/>
        </w:rPr>
        <w:t xml:space="preserve">每次考试需将安检门运送至各考点，每个安检门需至少配备一名技术人员现场保障（提供承诺函）。</w:t>
      </w:r>
      <w:r>
        <w:rPr>
          <w:rFonts w:hint="eastAsia" w:ascii="宋体" w:hAnsi="宋体" w:cs="宋体"/>
          <w:color w:val="000000"/>
          <w:sz w:val="24"/>
          <w:szCs w:val="24"/>
          <w:highlight w:val="none"/>
        </w:rPr>
      </w:r>
      <w:r/>
    </w:p>
    <w:p>
      <w:pPr>
        <w:pStyle w:val="1023"/>
        <w:ind w:left="0" w:firstLine="42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cs="宋体"/>
          <w:color w:val="000000"/>
          <w:sz w:val="24"/>
          <w:szCs w:val="24"/>
          <w:highlight w:val="none"/>
        </w:rPr>
        <w:t xml:space="preserve">所有安检门均应在标准化考场监控范围之内。</w:t>
      </w:r>
      <w:r>
        <w:rPr>
          <w:rFonts w:hint="eastAsia" w:ascii="宋体" w:hAnsi="宋体" w:cs="宋体"/>
          <w:color w:val="000000"/>
          <w:sz w:val="24"/>
          <w:szCs w:val="24"/>
          <w:highlight w:val="none"/>
        </w:rPr>
      </w:r>
      <w:r/>
    </w:p>
    <w:p>
      <w:pPr>
        <w:pStyle w:val="1023"/>
        <w:ind w:left="0" w:firstLine="420"/>
        <w:spacing w:line="360" w:lineRule="auto"/>
        <w:rPr>
          <w:rFonts w:hint="eastAsia" w:ascii="宋体" w:hAnsi="宋体" w:cs="宋体"/>
          <w:color w:val="000000"/>
          <w:sz w:val="24"/>
          <w:szCs w:val="24"/>
          <w:highlight w:val="none"/>
        </w:rPr>
      </w:pPr>
      <w:r>
        <w:rPr>
          <w:rFonts w:ascii="宋体" w:hAnsi="宋体" w:eastAsia="宋体" w:cs="宋体"/>
          <w:color w:val="000000"/>
          <w:sz w:val="24"/>
          <w:szCs w:val="24"/>
          <w:highlight w:val="none"/>
        </w:rPr>
        <w:t xml:space="preserve">④</w:t>
      </w:r>
      <w:r>
        <w:rPr>
          <w:rFonts w:hint="eastAsia" w:ascii="宋体" w:hAnsi="宋体" w:cs="宋体"/>
          <w:color w:val="000000"/>
          <w:sz w:val="24"/>
          <w:szCs w:val="24"/>
          <w:highlight w:val="none"/>
        </w:rPr>
        <w:t xml:space="preserve">设备参数要求。</w:t>
      </w:r>
      <w:r>
        <w:rPr>
          <w:rFonts w:hint="eastAsia" w:ascii="宋体" w:hAnsi="宋体" w:cs="宋体"/>
          <w:color w:val="000000"/>
          <w:sz w:val="24"/>
          <w:szCs w:val="24"/>
          <w:highlight w:val="none"/>
        </w:rPr>
      </w:r>
      <w:r/>
    </w:p>
    <w:tbl>
      <w:tblPr>
        <w:tblW w:w="4999" w:type="pct"/>
        <w:tblInd w:w="-216" w:type="dxa"/>
        <w:tblLayout w:type="autofit"/>
        <w:tblCellMar>
          <w:left w:w="108" w:type="dxa"/>
          <w:top w:w="0" w:type="dxa"/>
          <w:right w:w="108" w:type="dxa"/>
          <w:bottom w:w="0" w:type="dxa"/>
        </w:tblCellMar>
        <w:tblLook w:val="04A0" w:firstRow="1" w:lastRow="0" w:firstColumn="1" w:lastColumn="0" w:noHBand="0" w:noVBand="1"/>
      </w:tblPr>
      <w:tblGrid>
        <w:gridCol w:w="475"/>
        <w:gridCol w:w="702"/>
        <w:gridCol w:w="7542"/>
      </w:tblGrid>
      <w:tr>
        <w:trPr>
          <w:trHeight w:val="270"/>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102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序号</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2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服务名称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tcPr>
          <w:p>
            <w:pPr>
              <w:pStyle w:val="102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功能参数要求</w:t>
            </w:r>
            <w:r>
              <w:rPr>
                <w:rFonts w:hint="eastAsia" w:ascii="宋体" w:hAnsi="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102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2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智能安检门</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3" w:type="dxa"/>
            <w:vAlign w:val="center"/>
            <w:textDirection w:val="lrTb"/>
            <w:noWrap w:val="false"/>
          </w:tcPr>
          <w:p>
            <w:pPr>
              <w:pStyle w:val="1023"/>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1.结构布局：</w:t>
            </w:r>
            <w:r>
              <w:rPr>
                <w:rFonts w:hint="eastAsia" w:ascii="宋体" w:hAnsi="宋体" w:cs="宋体"/>
                <w:color w:val="000000"/>
                <w:sz w:val="24"/>
                <w:szCs w:val="24"/>
                <w:highlight w:val="none"/>
                <w:lang w:bidi="ar"/>
              </w:rPr>
            </w:r>
            <w:r/>
          </w:p>
          <w:p>
            <w:pPr>
              <w:pStyle w:val="1023"/>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（1）设有操作面板。</w:t>
            </w:r>
            <w:r>
              <w:rPr>
                <w:rFonts w:hint="eastAsia" w:ascii="宋体" w:hAnsi="宋体" w:cs="宋体"/>
                <w:color w:val="000000"/>
                <w:sz w:val="24"/>
                <w:szCs w:val="24"/>
                <w:highlight w:val="none"/>
                <w:lang w:bidi="ar"/>
              </w:rPr>
            </w:r>
            <w:r/>
          </w:p>
          <w:p>
            <w:pPr>
              <w:pStyle w:val="1023"/>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（2）在人走进通道的一面设有是否允许通行的显示屏。</w:t>
            </w:r>
            <w:r>
              <w:rPr>
                <w:rFonts w:hint="eastAsia" w:ascii="宋体" w:hAnsi="宋体" w:cs="宋体"/>
                <w:color w:val="000000"/>
                <w:sz w:val="24"/>
                <w:szCs w:val="24"/>
                <w:highlight w:val="none"/>
                <w:lang w:bidi="ar"/>
              </w:rPr>
            </w:r>
            <w:r/>
          </w:p>
          <w:p>
            <w:pPr>
              <w:pStyle w:val="1023"/>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（3）设有报警信息指示装置。</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2.智能安检门应至少具有电子产品探测模式与电子产品加违禁品探测模式。</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3.在电子产品探测模式下，智能安检门应能对皮带扣、钥匙等此类日常金属物品不报警,但当探测到手机、移动硬盘、电脑、照相机、摄像机等电子产品时，应实时报警。</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4.智能安检门在电子产品探测模式下进行这两项功能性能测试时，探测灵敏度应保持不变：</w:t>
            </w:r>
            <w:r>
              <w:rPr>
                <w:rFonts w:hint="eastAsia" w:ascii="宋体" w:hAnsi="宋体" w:cs="宋体"/>
                <w:color w:val="000000"/>
                <w:sz w:val="24"/>
                <w:szCs w:val="24"/>
                <w:highlight w:val="none"/>
                <w:lang w:bidi="ar"/>
              </w:rPr>
            </w:r>
            <w:r/>
          </w:p>
          <w:p>
            <w:pPr>
              <w:pStyle w:val="1023"/>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（1）正常着装小金属误报率性能测试；</w:t>
            </w:r>
            <w:r>
              <w:rPr>
                <w:rFonts w:hint="eastAsia" w:ascii="宋体" w:hAnsi="宋体" w:cs="宋体"/>
                <w:color w:val="000000"/>
                <w:sz w:val="24"/>
                <w:szCs w:val="24"/>
                <w:highlight w:val="none"/>
                <w:lang w:bidi="ar"/>
              </w:rPr>
            </w:r>
            <w:r/>
          </w:p>
          <w:p>
            <w:pPr>
              <w:pStyle w:val="1023"/>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（2）电子产品探测功能性能测试。</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t xml:space="preserve">5.正常着装小金属误报率性能测试与电子产品探测功能性能测试：人员以标准姿势通过智能安检门时，正常着装上的金属纽扣、项链、打火机、钥匙、硬币、皮带扣等小金属通过时系统应不报警，误报率应≤5%；与此同时，对智能手机的检出率应≥9</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w:t>
            </w:r>
            <w:r>
              <w:rPr>
                <w:rFonts w:hint="eastAsia" w:ascii="宋体" w:hAnsi="宋体" w:cs="宋体"/>
                <w:b/>
                <w:bCs/>
                <w:color w:val="000000"/>
                <w:highlight w:val="none"/>
                <w:lang w:bidi="ar"/>
              </w:rPr>
              <w:t xml:space="preserve">（</w:t>
            </w:r>
            <w:r>
              <w:rPr>
                <w:rFonts w:hint="eastAsia" w:ascii="宋体" w:hAnsi="宋体" w:eastAsia="宋体" w:cs="宋体"/>
                <w:b/>
                <w:bCs/>
                <w:color w:val="000000"/>
                <w:sz w:val="24"/>
                <w:szCs w:val="24"/>
                <w:highlight w:val="none"/>
                <w:lang w:eastAsia="zh-CN"/>
              </w:rPr>
              <w:t xml:space="preserve">提供具有</w:t>
            </w:r>
            <w:r>
              <w:rPr>
                <w:rFonts w:hint="eastAsia" w:ascii="宋体" w:hAnsi="宋体" w:eastAsia="宋体" w:cs="宋体"/>
                <w:b/>
                <w:bCs/>
                <w:color w:val="000000"/>
                <w:sz w:val="24"/>
                <w:szCs w:val="24"/>
                <w:highlight w:val="none"/>
                <w:lang w:val="en-US" w:eastAsia="zh-CN"/>
              </w:rPr>
              <w:t xml:space="preserve">权威部门认证的</w:t>
            </w:r>
            <w:r>
              <w:rPr>
                <w:rFonts w:hint="eastAsia" w:ascii="宋体" w:hAnsi="宋体" w:eastAsia="宋体" w:cs="宋体"/>
                <w:b/>
                <w:bCs/>
                <w:color w:val="000000"/>
                <w:sz w:val="24"/>
                <w:szCs w:val="24"/>
                <w:highlight w:val="none"/>
                <w:lang w:eastAsia="zh-CN"/>
              </w:rPr>
              <w:t xml:space="preserve">检测报告原件的扫描件，</w:t>
            </w:r>
            <w:r>
              <w:rPr>
                <w:rFonts w:hint="eastAsia" w:ascii="宋体" w:hAnsi="宋体" w:eastAsia="宋体" w:cs="宋体"/>
                <w:b/>
                <w:bCs/>
                <w:color w:val="000000"/>
                <w:sz w:val="24"/>
                <w:szCs w:val="24"/>
                <w:highlight w:val="none"/>
                <w:lang w:val="en-US" w:eastAsia="zh-CN"/>
              </w:rPr>
              <w:t xml:space="preserve">检测依据为：</w:t>
            </w:r>
            <w:r>
              <w:rPr>
                <w:rFonts w:hint="eastAsia" w:ascii="宋体" w:hAnsi="宋体" w:eastAsia="宋体" w:cs="宋体"/>
                <w:b/>
                <w:bCs/>
                <w:color w:val="000000"/>
                <w:sz w:val="24"/>
                <w:szCs w:val="24"/>
                <w:highlight w:val="none"/>
                <w:lang w:eastAsia="zh-CN"/>
              </w:rPr>
              <w:t xml:space="preserve">GB15210-2018）</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6.当通过人员携带手机通过智能安检门时，设备能够实时图文显示手机藏匿的手机藏匿于身体的前面或后面、以及藏匿时的姿态：屏幕平行于地面，屏幕平行于门板，屏幕垂直于门板与地面等。</w:t>
            </w:r>
            <w:r>
              <w:rPr>
                <w:rFonts w:hint="eastAsia" w:ascii="宋体" w:hAnsi="宋体" w:cs="宋体"/>
                <w:color w:val="000000"/>
                <w:sz w:val="24"/>
                <w:szCs w:val="24"/>
                <w:highlight w:val="none"/>
                <w:lang w:bidi="ar"/>
              </w:rPr>
            </w:r>
            <w:r/>
          </w:p>
          <w:p>
            <w:pPr>
              <w:pStyle w:val="1023"/>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7.当手机紧贴着门头机箱下沿中间处通过、置于地面通过时，智能安检门都能探测到，并声光报警。</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▲8.当手机以各种姿态（不限于屏幕平行于地面，屏幕平行于门板，屏幕垂直于门板与地面）藏匿于身上任何部位，均不会漏检</w:t>
            </w:r>
            <w:r>
              <w:rPr>
                <w:rFonts w:hint="eastAsia" w:ascii="宋体" w:hAnsi="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eastAsia="zh-CN"/>
              </w:rPr>
              <w:t xml:space="preserve">提供具有</w:t>
            </w:r>
            <w:r>
              <w:rPr>
                <w:rFonts w:hint="eastAsia" w:ascii="宋体" w:hAnsi="宋体" w:eastAsia="宋体" w:cs="宋体"/>
                <w:b/>
                <w:bCs/>
                <w:color w:val="000000"/>
                <w:sz w:val="24"/>
                <w:szCs w:val="24"/>
                <w:highlight w:val="none"/>
                <w:lang w:val="en-US" w:eastAsia="zh-CN"/>
              </w:rPr>
              <w:t xml:space="preserve">权威部门认证的</w:t>
            </w:r>
            <w:r>
              <w:rPr>
                <w:rFonts w:hint="eastAsia" w:ascii="宋体" w:hAnsi="宋体" w:eastAsia="宋体" w:cs="宋体"/>
                <w:b/>
                <w:bCs/>
                <w:color w:val="000000"/>
                <w:sz w:val="24"/>
                <w:szCs w:val="24"/>
                <w:highlight w:val="none"/>
                <w:lang w:eastAsia="zh-CN"/>
              </w:rPr>
              <w:t xml:space="preserve">检测报告原件的扫描件，</w:t>
            </w:r>
            <w:r>
              <w:rPr>
                <w:rFonts w:hint="eastAsia" w:ascii="宋体" w:hAnsi="宋体" w:cs="宋体"/>
                <w:b/>
                <w:bCs/>
                <w:color w:val="000000"/>
                <w:sz w:val="24"/>
                <w:szCs w:val="24"/>
                <w:highlight w:val="none"/>
                <w:lang w:val="en-US" w:eastAsia="zh-CN" w:bidi="ar"/>
              </w:rPr>
              <w:t xml:space="preserve">检测依据为：</w:t>
            </w:r>
            <w:r>
              <w:rPr>
                <w:rFonts w:hint="eastAsia" w:ascii="宋体" w:hAnsi="宋体" w:cs="宋体"/>
                <w:b/>
                <w:bCs/>
                <w:color w:val="000000"/>
                <w:sz w:val="24"/>
                <w:szCs w:val="24"/>
                <w:highlight w:val="none"/>
                <w:lang w:bidi="ar"/>
              </w:rPr>
              <w:t xml:space="preserve">GB15210-2018）</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t xml:space="preserve">9.</w:t>
            </w:r>
            <w:r>
              <w:rPr>
                <w:rFonts w:hint="eastAsia" w:ascii="宋体" w:hAnsi="宋体" w:cs="宋体"/>
                <w:color w:val="000000"/>
                <w:sz w:val="24"/>
                <w:szCs w:val="24"/>
                <w:highlight w:val="none"/>
                <w:lang w:val="en-US" w:eastAsia="zh-CN" w:bidi="ar"/>
              </w:rPr>
              <w:t xml:space="preserve">安检门更换工作地点后，应在开机后14秒内进入待机状态进行违禁品检测。当内置工控机因故障被拆除时，安检门本地手机与违禁品探测功能仍应正常。</w:t>
            </w:r>
            <w:r>
              <w:rPr>
                <w:rFonts w:hint="eastAsia" w:ascii="宋体" w:hAnsi="宋体" w:cs="宋体"/>
                <w:b/>
                <w:bCs/>
                <w:color w:val="000000"/>
                <w:sz w:val="24"/>
                <w:szCs w:val="24"/>
                <w:highlight w:val="none"/>
              </w:rPr>
              <w:t xml:space="preserve">（以延误不超过10人测算，</w:t>
            </w:r>
            <w:r>
              <w:rPr>
                <w:rFonts w:hint="eastAsia" w:ascii="宋体" w:hAnsi="宋体" w:eastAsia="宋体" w:cs="宋体"/>
                <w:b/>
                <w:bCs/>
                <w:color w:val="000000"/>
                <w:sz w:val="24"/>
                <w:szCs w:val="24"/>
                <w:highlight w:val="none"/>
                <w:lang w:eastAsia="zh-CN"/>
              </w:rPr>
              <w:t xml:space="preserve">提供具有</w:t>
            </w:r>
            <w:r>
              <w:rPr>
                <w:rFonts w:hint="eastAsia" w:ascii="宋体" w:hAnsi="宋体" w:eastAsia="宋体" w:cs="宋体"/>
                <w:b/>
                <w:bCs/>
                <w:color w:val="000000"/>
                <w:sz w:val="24"/>
                <w:szCs w:val="24"/>
                <w:highlight w:val="none"/>
                <w:lang w:val="en-US" w:eastAsia="zh-CN"/>
              </w:rPr>
              <w:t xml:space="preserve">权威部门认证的</w:t>
            </w:r>
            <w:r>
              <w:rPr>
                <w:rFonts w:hint="eastAsia" w:ascii="宋体" w:hAnsi="宋体" w:eastAsia="宋体" w:cs="宋体"/>
                <w:b/>
                <w:bCs/>
                <w:color w:val="000000"/>
                <w:sz w:val="24"/>
                <w:szCs w:val="24"/>
                <w:highlight w:val="none"/>
                <w:lang w:eastAsia="zh-CN"/>
              </w:rPr>
              <w:t xml:space="preserve">检测报告原件的扫描件</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val="en-US" w:eastAsia="zh-CN" w:bidi="ar"/>
              </w:rPr>
              <w:t xml:space="preserve">检测依据为：</w:t>
            </w:r>
            <w:r>
              <w:rPr>
                <w:rFonts w:hint="eastAsia" w:ascii="宋体" w:hAnsi="宋体" w:cs="宋体"/>
                <w:b/>
                <w:bCs/>
                <w:color w:val="000000"/>
                <w:sz w:val="24"/>
                <w:szCs w:val="24"/>
                <w:highlight w:val="none"/>
                <w:lang w:bidi="ar"/>
              </w:rPr>
              <w:t xml:space="preserve">GB15210-2018）</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10.在电子产品加违禁品探测模式下，智能安检门也可以探测到刀枪、马口铁罐等其他违禁金属，并报警。</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11.对测试人以极慢的速度(时间可根据用户要求设定，例如 6 秒)，通过时智能安检门依然报警。</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12.智能安检门配置≥10英寸液晶触摸功能屏，能够显示通过人数、报警人数、报警物品类别、报警物品所在人体虚拟区位、通过的金属物品在交变电磁场中的相位信息等。在安装时，无需连接电脑进行远程调试。</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13.智能安检门能进行基础数据的采集和标定。标定完成后，在各区位进行数据采集，显示的数值偏差应小于±5度。</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14.抗干扰能力：设备并排且外沿间距为20cm时，设备均能正常独立工作，互不干扰；智能安检门探测性能不受地面0.1m以下的金属结构影响。</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▲15.计数功能：智能安检门应能记录有效受检人数和发生过报警的人次,并能复位清零</w:t>
            </w:r>
            <w:r>
              <w:rPr>
                <w:rFonts w:hint="eastAsia" w:ascii="宋体" w:hAnsi="宋体" w:cs="宋体"/>
                <w:b/>
                <w:bCs/>
                <w:color w:val="000000"/>
                <w:sz w:val="24"/>
                <w:szCs w:val="24"/>
                <w:highlight w:val="none"/>
                <w:lang w:bidi="ar"/>
              </w:rPr>
              <w:t xml:space="preserve">（提供设备照片或功能截图）</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r>
            <w:r/>
          </w:p>
          <w:p>
            <w:pPr>
              <w:pStyle w:val="1023"/>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▲16.智能安检门应具有不少于15个探测区位（或防区）</w:t>
            </w:r>
            <w:r>
              <w:rPr>
                <w:rFonts w:hint="eastAsia" w:ascii="宋体" w:hAnsi="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eastAsia="zh-CN"/>
              </w:rPr>
              <w:t xml:space="preserve">提供具有</w:t>
            </w:r>
            <w:r>
              <w:rPr>
                <w:rFonts w:hint="eastAsia" w:ascii="宋体" w:hAnsi="宋体" w:eastAsia="宋体" w:cs="宋体"/>
                <w:b/>
                <w:bCs/>
                <w:color w:val="000000"/>
                <w:sz w:val="24"/>
                <w:szCs w:val="24"/>
                <w:highlight w:val="none"/>
                <w:lang w:val="en-US" w:eastAsia="zh-CN"/>
              </w:rPr>
              <w:t xml:space="preserve">权威部门认证的</w:t>
            </w:r>
            <w:r>
              <w:rPr>
                <w:rFonts w:hint="eastAsia" w:ascii="宋体" w:hAnsi="宋体" w:eastAsia="宋体" w:cs="宋体"/>
                <w:b/>
                <w:bCs/>
                <w:color w:val="000000"/>
                <w:sz w:val="24"/>
                <w:szCs w:val="24"/>
                <w:highlight w:val="none"/>
                <w:lang w:eastAsia="zh-CN"/>
              </w:rPr>
              <w:t xml:space="preserve">检测报告原件的扫描件</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val="en-US" w:eastAsia="zh-CN" w:bidi="ar"/>
              </w:rPr>
              <w:t xml:space="preserve">检测依据为：</w:t>
            </w:r>
            <w:r>
              <w:rPr>
                <w:rFonts w:hint="eastAsia" w:ascii="宋体" w:hAnsi="宋体" w:cs="宋体"/>
                <w:b/>
                <w:bCs/>
                <w:color w:val="000000"/>
                <w:sz w:val="24"/>
                <w:szCs w:val="24"/>
                <w:highlight w:val="none"/>
                <w:lang w:bidi="ar"/>
              </w:rPr>
              <w:t xml:space="preserve">GB15210-2018）</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102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2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通道型雨棚</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1023"/>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刮风、下雨天气等会对外露的智能安检门构成影响检测、甚至倾斜，危害考生与工作人员安全，所以需要配备通道型雨棚，长度不少于3米、宽度不少于3米，全封闭用于考生入场，遮风挡雨防晒。</w:t>
            </w:r>
            <w:r>
              <w:rPr>
                <w:rFonts w:hint="eastAsia" w:ascii="宋体" w:hAnsi="宋体" w:cs="宋体"/>
                <w:color w:val="000000"/>
                <w:sz w:val="24"/>
                <w:szCs w:val="24"/>
                <w:highlight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102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1023"/>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手机存储柜</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pStyle w:val="1023"/>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t xml:space="preserve">1.单个手机存储柜配备不低于200门</w:t>
            </w:r>
            <w:r>
              <w:rPr>
                <w:rFonts w:hint="eastAsia" w:ascii="宋体" w:hAnsi="宋体" w:cs="宋体"/>
                <w:b/>
                <w:bCs/>
                <w:color w:val="000000"/>
                <w:highlight w:val="none"/>
                <w:lang w:bidi="ar"/>
              </w:rPr>
              <w:t xml:space="preserve">（提供承诺函）</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2.手机存储柜需放室外使用，柜顶应配套安装雨棚。</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3.手机存储柜应配备可用于地面固定的地角。</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4.每个柜门配备两把钥匙，柜门和钥匙需有标签一一对应，所有柜门之间钥匙标签不得重复。</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5.钥匙应配备手环方便考生佩戴在手腕。</w:t>
            </w:r>
            <w:r>
              <w:rPr>
                <w:rFonts w:hint="eastAsia" w:ascii="宋体" w:hAnsi="宋体" w:cs="宋体"/>
                <w:color w:val="000000"/>
                <w:sz w:val="24"/>
                <w:szCs w:val="24"/>
                <w:highlight w:val="none"/>
              </w:rPr>
            </w:r>
            <w:r/>
          </w:p>
        </w:tc>
      </w:tr>
    </w:tbl>
    <w:p>
      <w:pPr>
        <w:pStyle w:val="1025"/>
        <w:jc w:val="left"/>
        <w:pageBreakBefore w:val="0"/>
        <w:spacing w:before="0" w:line="36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r>
      <w:r/>
    </w:p>
    <w:p>
      <w:pPr>
        <w:pStyle w:val="1025"/>
        <w:jc w:val="left"/>
        <w:pageBreakBefore w:val="0"/>
        <w:spacing w:before="0" w:line="360" w:lineRule="auto"/>
        <w:widowControl w:val="off"/>
        <w:rPr>
          <w:rFonts w:hint="eastAsia" w:ascii="宋体" w:hAnsi="宋体" w:eastAsia="宋体" w:cs="宋体"/>
          <w:b/>
          <w:sz w:val="24"/>
          <w:szCs w:val="24"/>
          <w:highlight w:val="yellow"/>
        </w:rPr>
      </w:pP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highlight w:val="none"/>
          <w:lang w:val="en-US" w:eastAsia="zh-CN"/>
        </w:rPr>
        <w:t xml:space="preserve">（三）服务要求（以下所有服务要求均为实质性要求，不接受负偏离，提</w:t>
      </w:r>
      <w:r>
        <w:rPr>
          <w:rFonts w:hint="eastAsia" w:ascii="宋体" w:hAnsi="宋体" w:eastAsia="宋体" w:cs="宋体"/>
          <w:b/>
          <w:sz w:val="24"/>
          <w:szCs w:val="24"/>
          <w:highlight w:val="none"/>
        </w:rPr>
        <w:t xml:space="preserve">供承诺函）</w:t>
      </w:r>
      <w:r>
        <w:rPr>
          <w:rFonts w:hint="eastAsia" w:ascii="宋体" w:hAnsi="宋体" w:eastAsia="宋体" w:cs="宋体"/>
          <w:b/>
          <w:sz w:val="24"/>
          <w:szCs w:val="24"/>
          <w:highlight w:val="yellow"/>
        </w:rPr>
      </w:r>
      <w:r/>
    </w:p>
    <w:p>
      <w:pPr>
        <w:pStyle w:val="1023"/>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1、溧阳招办</w:t>
      </w:r>
      <w:r>
        <w:rPr>
          <w:rFonts w:hint="eastAsia" w:ascii="宋体" w:hAnsi="宋体" w:eastAsia="宋体" w:cs="宋体"/>
          <w:b/>
          <w:bCs/>
          <w:sz w:val="24"/>
          <w:szCs w:val="24"/>
        </w:rPr>
        <w:t xml:space="preserve">：</w:t>
      </w:r>
      <w:r>
        <w:rPr>
          <w:rFonts w:hint="eastAsia" w:ascii="宋体" w:hAnsi="宋体" w:eastAsia="宋体" w:cs="宋体"/>
          <w:b/>
          <w:bCs/>
          <w:sz w:val="24"/>
          <w:szCs w:val="24"/>
        </w:rPr>
      </w:r>
      <w:r/>
    </w:p>
    <w:p>
      <w:pPr>
        <w:pStyle w:val="1023"/>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（1）对接</w:t>
      </w:r>
      <w:r>
        <w:rPr>
          <w:rFonts w:hint="eastAsia" w:ascii="宋体" w:hAnsi="宋体" w:eastAsia="宋体" w:cs="宋体"/>
          <w:sz w:val="24"/>
          <w:szCs w:val="24"/>
          <w:lang w:val="en-US" w:eastAsia="zh-CN"/>
        </w:rPr>
        <w:t xml:space="preserve">市级</w:t>
      </w:r>
      <w:r>
        <w:rPr>
          <w:rFonts w:hint="eastAsia" w:ascii="宋体" w:hAnsi="宋体" w:eastAsia="宋体" w:cs="宋体"/>
          <w:sz w:val="24"/>
          <w:szCs w:val="24"/>
        </w:rPr>
        <w:t xml:space="preserve">视频会议系统，会议期间不得出现设备故障、网络中断等影响会议系统正常使用的情况。</w:t>
      </w:r>
      <w:r>
        <w:rPr>
          <w:rFonts w:hint="eastAsia" w:ascii="宋体" w:hAnsi="宋体" w:eastAsia="宋体" w:cs="宋体"/>
          <w:sz w:val="24"/>
          <w:szCs w:val="24"/>
        </w:rPr>
      </w:r>
      <w:r/>
    </w:p>
    <w:p>
      <w:pPr>
        <w:pStyle w:val="1023"/>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（2）市、区、考点之间网络互联互通，需提供双链路热备，确保在一个考试周期（7*24小时）内里，不得出现网络故障等影响标准化考点正常使用的情况。</w:t>
      </w:r>
      <w:r>
        <w:rPr>
          <w:rFonts w:hint="eastAsia" w:ascii="宋体" w:hAnsi="宋体" w:eastAsia="宋体" w:cs="宋体"/>
          <w:sz w:val="24"/>
          <w:szCs w:val="24"/>
        </w:rPr>
      </w:r>
      <w:r/>
    </w:p>
    <w:p>
      <w:pPr>
        <w:pStyle w:val="1023"/>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（3）保密室摄像头需满足《国家教育考试网上巡查系统视频标准技术规范（2017）》中的音视频控制传输协议（SIP 协议）中关于录像、检索、回放和下载要求，确保图像清晰无死角，可统一管理，进行录像查询、回放等操作。在一个考试周期（7*24小时）内里，不得出现死机、视频中断、录像中断、存储卡损坏等影响正常使用的情况。</w:t>
      </w:r>
      <w:r>
        <w:rPr>
          <w:rFonts w:hint="eastAsia" w:ascii="宋体" w:hAnsi="宋体" w:eastAsia="宋体" w:cs="宋体"/>
          <w:sz w:val="24"/>
          <w:szCs w:val="24"/>
        </w:rPr>
      </w:r>
      <w:r/>
    </w:p>
    <w:p>
      <w:pPr>
        <w:pStyle w:val="1023"/>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（4）保密室门禁需符合国家相关标准，确保安全性和有效性，包括身份识别、监控记录等功能。在一个考试周期（7*24小时）内，不得出现死机、重启等影响正常使用的情况。</w:t>
      </w:r>
      <w:r>
        <w:rPr>
          <w:rFonts w:hint="eastAsia" w:ascii="宋体" w:hAnsi="宋体" w:eastAsia="宋体" w:cs="宋体"/>
          <w:sz w:val="24"/>
          <w:szCs w:val="24"/>
        </w:rPr>
      </w:r>
      <w:r/>
    </w:p>
    <w:p>
      <w:pPr>
        <w:pStyle w:val="1023"/>
        <w:numPr>
          <w:ilvl w:val="0"/>
          <w:numId w:val="0"/>
        </w:numPr>
        <w:ind w:firstLine="480"/>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rPr>
        <w:t xml:space="preserve">（5）文件存储服务器需满足标准化考试录像存储要求，保存一年内各项考试录像。在一个考试周期（7*24小时）内，不得出现死机、无法写入、无法读取等影响正常使用的情况。</w:t>
      </w:r>
      <w:r>
        <w:rPr>
          <w:rFonts w:hint="eastAsia" w:ascii="宋体" w:hAnsi="宋体" w:eastAsia="宋体" w:cs="宋体"/>
          <w:b/>
          <w:bCs/>
          <w:sz w:val="24"/>
          <w:szCs w:val="24"/>
          <w:lang w:val="en-US" w:eastAsia="zh-CN"/>
        </w:rPr>
      </w:r>
      <w:r/>
    </w:p>
    <w:p>
      <w:pPr>
        <w:pStyle w:val="1023"/>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考点学校：</w:t>
      </w:r>
      <w:r>
        <w:rPr>
          <w:rFonts w:hint="eastAsia" w:ascii="宋体" w:hAnsi="宋体" w:eastAsia="宋体" w:cs="宋体"/>
          <w:b/>
          <w:bCs/>
          <w:sz w:val="24"/>
          <w:szCs w:val="24"/>
        </w:rPr>
      </w:r>
      <w:r/>
    </w:p>
    <w:p>
      <w:pPr>
        <w:pStyle w:val="1023"/>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（1）考点与</w:t>
      </w:r>
      <w:r>
        <w:rPr>
          <w:rFonts w:hint="eastAsia" w:ascii="宋体" w:hAnsi="宋体" w:eastAsia="宋体" w:cs="宋体"/>
          <w:sz w:val="24"/>
          <w:szCs w:val="24"/>
          <w:lang w:val="en-US" w:eastAsia="zh-CN"/>
        </w:rPr>
        <w:t xml:space="preserve">溧阳招办、溧阳招办与市考试院</w:t>
      </w:r>
      <w:r>
        <w:rPr>
          <w:rFonts w:hint="eastAsia" w:ascii="宋体" w:hAnsi="宋体" w:eastAsia="宋体" w:cs="宋体"/>
          <w:sz w:val="24"/>
          <w:szCs w:val="24"/>
        </w:rPr>
        <w:t xml:space="preserve">之间网络互联互通，需提供双链路热备，确保在一个考试周期（7*24小时）内，不得出现网络故障等影响标准化考点正常使用的情况。</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（2）考点摄像头需满足《国家教育考试网上巡查系统视频标准技术规范（2017）》中的音视频控制传输协议（SIP 协议）中关于录像、检索、回放和下载要求，确保整个考点相关重要场所（考场、试卷保管室、考务室、监控室、播音室等）全覆盖、无死角。在一个考试周期（7*24小时）内，不得出现死机、视频中断、录像中断、存储卡损坏等影响正常使用的情况。</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（3）考点拾音器需提供考场实时录音功能，声音清晰无干扰，能全面覆盖考场。在一个考试周期（7*24小时）内，不得出现录音中断、录音丢失等影响正常使用的情况。</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（4）考点网络时钟需提供准确的网络时间，实时校时，显示清晰且无反光。在一个考试周期（7*24小时）内，不得出现死机、无显示、时间错误等影响正常使用的情况。</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考点考务通设备需具备身份证识别、人脸比对等验证方式，支持省考试院下发的不同考试模式及考生数据，支持高考体检信息识别功能。考务通电池使用时间需大于8小时，保证一日一充即可满足考试全天使用要求。考务通相关业务件日常操作无卡顿，考试签到数据需实时上传至省考试院服务器</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（6）考点信号屏蔽仪应符合工信厅、教育厅、司法厅相关文件的功能需求，可屏蔽通信运营商的全部2G、3G、4G、5G手机信号，以及其</w:t>
      </w:r>
      <w:r>
        <w:rPr>
          <w:rFonts w:hint="eastAsia" w:ascii="宋体" w:hAnsi="宋体" w:eastAsia="宋体" w:cs="宋体"/>
          <w:sz w:val="24"/>
          <w:szCs w:val="24"/>
        </w:rPr>
        <w:t xml:space="preserve">它信号种类：对讲机U段、对讲机V段、WIFI、蓝牙、无线隐形耳机、骨传导耳机、无线数字传输接收工具（作弊用橡皮擦、手表、格尺、看字笔、眼镜探头等）。应配有智能控制系统的平台，可跨地市、多单位、远程联网统一集中控制；可支持远程控制设备开关；支持远程监测设备运行状态；支持定时计划、分组计划开启、关闭设备等功能；支持信号屏蔽仪的运行状态实时反馈，自动报警出现故障的屏蔽器；支持开关控制、支持7*24小时，连续工作，性能稳定；支持手动查询、自动查询，故障屏蔽仪报警，支持日志查询状态浏览，支持数据备份，恢复权限划分等。</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（7）考点金属探测仪应满足相关国家标准，具备声音报警及供振动报警功能。在一个考试周期（7*24小时）内里，如出现无法报警或误报等故障，应提供足够数量的备件及时更换，不影响考生入场检查。</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（8）考点UPS需保障停电后机房核心设备2小时以上不间断供电，定期进行电池检查与维护，包括检查电池外观、端电压、连接是否松动等，并定期进行放电测试，及时发现并更换老化或失效的电池。</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（9）各考点与</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之间通过裸光纤互联组成标考专网，并与省考试院实现互联互通，要求单点双路由，至少保证1000M带宽。</w:t>
      </w:r>
      <w:r>
        <w:rPr>
          <w:rFonts w:hint="eastAsia" w:ascii="宋体" w:hAnsi="宋体" w:eastAsia="宋体" w:cs="宋体"/>
          <w:sz w:val="24"/>
          <w:szCs w:val="24"/>
        </w:rPr>
      </w:r>
      <w:r/>
    </w:p>
    <w:p>
      <w:pPr>
        <w:pStyle w:val="1023"/>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保障要求</w:t>
      </w:r>
      <w:r>
        <w:rPr>
          <w:rFonts w:hint="eastAsia" w:ascii="宋体" w:hAnsi="宋体" w:eastAsia="宋体" w:cs="宋体"/>
          <w:b/>
          <w:bCs/>
          <w:sz w:val="24"/>
          <w:szCs w:val="24"/>
        </w:rPr>
      </w:r>
      <w:r/>
    </w:p>
    <w:p>
      <w:pPr>
        <w:pStyle w:val="1023"/>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.1 提供设备保障服务</w:t>
      </w:r>
      <w:r>
        <w:rPr>
          <w:rFonts w:hint="eastAsia" w:ascii="宋体" w:hAnsi="宋体" w:eastAsia="宋体" w:cs="宋体"/>
          <w:b/>
          <w:bCs/>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（1）保证摄像机安装到指定位置，考场监控不能有死角，考点重要场所不能有遗漏。</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（2）需提供满足各项考试需求的足够数量考务通、金属探测仪等移动设备，并提供足够数量的备件，安排专人在考试周期内及时更换故障设备。</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（3）确保在一个考试周期（7*24小时）的时间里，</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及考点的关键设备（包括会议系统、大屏、摄像头、拾音器、考务通、屏蔽仪等）不得出现死机、视频中断、管理平台出错等影响标准化考点正常使用的现象，考试周期内提供关键设备的备品备件。</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（4）至少以半年为周期，对</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学校等各级系统操作人员进行培训，使考点人员能熟练使用标考相关软件及设备。</w:t>
      </w:r>
      <w:r>
        <w:rPr>
          <w:rFonts w:hint="eastAsia" w:ascii="宋体" w:hAnsi="宋体" w:eastAsia="宋体" w:cs="宋体"/>
          <w:sz w:val="24"/>
          <w:szCs w:val="24"/>
        </w:rPr>
      </w:r>
      <w:r/>
    </w:p>
    <w:p>
      <w:pPr>
        <w:pStyle w:val="1023"/>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.2 提供考试保障服务</w:t>
      </w:r>
      <w:r>
        <w:rPr>
          <w:rFonts w:hint="eastAsia" w:ascii="宋体" w:hAnsi="宋体" w:eastAsia="宋体" w:cs="宋体"/>
          <w:b/>
          <w:bCs/>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针对单次考试，由</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每年向中标单位提供考试安排表，</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在考前二周向中标单位提出标准化考点保障要求，中标单位要提供如下保障服务。</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考前：</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（1）提前二周向无管委报备屏蔽仪启用情况。</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（2）提前一周向</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提供保障方案。</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（3）提前一周检查涉考考点网络运行情况，确保网络正常。</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（4）提前一周检查涉考考点网上巡查系统，确保每个考场互联互通，并且存储正常，并协助考点为考场进行标识。</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（5）提前一周检查涉考考点监控机房、网络时钟设备，确保考点监控中心设备、授时系统正常。</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（6）提前一周将涉考考点的屏蔽设备（侦测服务器、管理服务器、阻断终端）调试到位。</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（7）提前三天检查、调试涉考考点的考务通、</w:t>
      </w:r>
      <w:r>
        <w:rPr>
          <w:rFonts w:hint="eastAsia" w:ascii="宋体" w:hAnsi="宋体" w:eastAsia="宋体" w:cs="宋体"/>
          <w:sz w:val="24"/>
          <w:szCs w:val="24"/>
          <w:lang w:val="en-US" w:eastAsia="zh-CN"/>
        </w:rPr>
        <w:t xml:space="preserve">安检门、</w:t>
      </w:r>
      <w:r>
        <w:rPr>
          <w:rFonts w:hint="eastAsia" w:ascii="宋体" w:hAnsi="宋体" w:eastAsia="宋体" w:cs="宋体"/>
          <w:sz w:val="24"/>
          <w:szCs w:val="24"/>
        </w:rPr>
        <w:t xml:space="preserve">金属探测仪，送至考点后按考点要求安装、摆放到位。</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考中：</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（1）在</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及每个涉考考点均安排至少3名的技术人员进行运维保障（若</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另有要求的，以其要求为准）。</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（2）确保标准化考点系统应急维修的备件充足。</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（3）对考务通进行网络、数据及充电保障。</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（4）协助考点进行信号屏蔽设备的开启与关闭管理。</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考后：</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（1）对考务通、</w:t>
      </w:r>
      <w:r>
        <w:rPr>
          <w:rFonts w:hint="eastAsia" w:ascii="宋体" w:hAnsi="宋体" w:eastAsia="宋体" w:cs="宋体"/>
          <w:sz w:val="24"/>
          <w:szCs w:val="24"/>
          <w:lang w:val="en-US" w:eastAsia="zh-CN"/>
        </w:rPr>
        <w:t xml:space="preserve">安检门、</w:t>
      </w:r>
      <w:r>
        <w:rPr>
          <w:rFonts w:hint="eastAsia" w:ascii="宋体" w:hAnsi="宋体" w:eastAsia="宋体" w:cs="宋体"/>
          <w:sz w:val="24"/>
          <w:szCs w:val="24"/>
        </w:rPr>
        <w:t xml:space="preserve">金属探测仪等设备进行检查回收。</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（2）协助考点完成考试录像、违纪录像的上传上报工作，做好数据备份。</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（3）考点根据中标单位服务情况进行量化评估，填写标考服务考核表，交至</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留存。</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汇总考点上交的考核表，每年进行一次年度考核，作为下一年度继续履行合同的依据。</w:t>
      </w:r>
      <w:r>
        <w:rPr>
          <w:rFonts w:hint="eastAsia" w:ascii="宋体" w:hAnsi="宋体" w:eastAsia="宋体" w:cs="宋体"/>
          <w:sz w:val="24"/>
          <w:szCs w:val="24"/>
        </w:rPr>
      </w:r>
      <w:r/>
    </w:p>
    <w:p>
      <w:pPr>
        <w:pStyle w:val="1023"/>
        <w:ind w:firstLine="482"/>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.3 提供日常保障服务</w:t>
      </w:r>
      <w:r>
        <w:rPr>
          <w:rFonts w:hint="eastAsia" w:ascii="宋体" w:hAnsi="宋体" w:eastAsia="宋体" w:cs="宋体"/>
          <w:b/>
          <w:bCs/>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（1）中标单位制定日常巡检及运维计划并向</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备案。</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（2）中标单位负责标准化考试系统的日常管理与定期巡检，确保设备完整无缺并且不受人为损坏。</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）服务期间，考点学校发生改造搬迁等情况需拆装、迁移设备，中标单位需协助学校进行拆装和迁移，并将设备变动情况上报</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，根据</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的批复进行施工。</w:t>
      </w:r>
      <w:r>
        <w:rPr>
          <w:rFonts w:hint="eastAsia" w:ascii="宋体" w:hAnsi="宋体" w:eastAsia="宋体" w:cs="宋体"/>
          <w:sz w:val="24"/>
          <w:szCs w:val="24"/>
        </w:rPr>
      </w:r>
      <w:r/>
    </w:p>
    <w:p>
      <w:pPr>
        <w:pStyle w:val="1023"/>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3.4 服务范围</w:t>
      </w:r>
      <w:r>
        <w:rPr>
          <w:rFonts w:hint="eastAsia" w:ascii="宋体" w:hAnsi="宋体" w:eastAsia="宋体" w:cs="宋体"/>
          <w:b/>
          <w:bCs/>
          <w:sz w:val="24"/>
          <w:szCs w:val="24"/>
          <w:lang w:val="en-US" w:eastAsia="zh-CN"/>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中标单位对高考、中考、职教高考、研究生考试、成人高考、自学考试、教师资格证考试、公共英语考试等省、市考试院明确要求使用标准化考场的重要考试进行保障。</w:t>
      </w:r>
      <w:r>
        <w:rPr>
          <w:rFonts w:hint="eastAsia" w:ascii="宋体" w:hAnsi="宋体" w:eastAsia="宋体" w:cs="宋体"/>
          <w:sz w:val="24"/>
          <w:szCs w:val="24"/>
        </w:rPr>
      </w:r>
      <w:r/>
    </w:p>
    <w:p>
      <w:pPr>
        <w:pStyle w:val="1023"/>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3.5 考点及溧阳招办标考建设服务</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（1）总体要求</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用于本项目的相关设备必须遵循《国家教育考试网上巡查系统视频标准技术规范（2017版）》所规定的各项技术要求，并按照教育部有关要求配置、更新、升级。</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考点的网上巡查系统需对接到常州市国家教育考试标准化考点网上巡查系统（目前市指挥中心使用佳发品牌产品）。需确保下级网上巡查平台正常向上一级传输音视频图像，确保网上巡查的功能均能实现，确保上传的视频图像中的OSD（摄像机通道标签）标签能正常显示，并能清晰解码到上级监控系统。</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（2）设备提供与质量保证。</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人提供的相关设备必须遵循《国家教育考试网上巡查系统视频标准技术规范（2017版）》所规定的各项技术要求，并按照教育部有关要求配置、更新、升级。在《国家教育考试网上巡查系统视频标准技术规范（2017版）》以外的设备需满足相应的国家标准。</w:t>
      </w:r>
      <w:r>
        <w:rPr>
          <w:rFonts w:hint="eastAsia" w:ascii="宋体" w:hAnsi="宋体" w:eastAsia="宋体" w:cs="宋体"/>
          <w:sz w:val="24"/>
          <w:szCs w:val="24"/>
        </w:rPr>
      </w:r>
      <w:r/>
    </w:p>
    <w:p>
      <w:pPr>
        <w:pStyle w:val="1025"/>
        <w:jc w:val="left"/>
        <w:pageBreakBefore w:val="0"/>
        <w:spacing w:before="0" w:line="360" w:lineRule="auto"/>
        <w:rPr>
          <w:rFonts w:hint="eastAsia" w:ascii="宋体" w:hAnsi="宋体" w:eastAsia="宋体" w:cs="宋体"/>
          <w:b/>
          <w:sz w:val="24"/>
          <w:szCs w:val="24"/>
        </w:rPr>
      </w:pPr>
      <w:r>
        <w:rPr>
          <w:rFonts w:hint="eastAsia" w:ascii="宋体" w:hAnsi="宋体" w:eastAsia="宋体" w:cs="宋体"/>
          <w:b/>
          <w:sz w:val="24"/>
          <w:szCs w:val="24"/>
        </w:rPr>
        <w:t xml:space="preserve">（四）其他事项</w:t>
      </w:r>
      <w:r>
        <w:rPr>
          <w:rFonts w:hint="eastAsia" w:ascii="宋体" w:hAnsi="宋体" w:eastAsia="宋体" w:cs="宋体"/>
          <w:b/>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★1.中标供应商必须根据</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要求，每学期对各考点设备和线路进行巡检，巡检结束出具巡检报告（提供承诺函）。</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★2.根据巡检结果，及时对相关设备进行更换或维修，以满足最新的考试需求，涉及设备更换、升级等行为，必须报</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备案后方可进行（提供承诺函）。</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★3.设备维修或更换需学校在工单上签字，并将工单复印件加盖中标供应商公章后交</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备案（提供承诺函）。</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4.中标供应商应及时提供完成服务相对应的配套软件、设备、辅材、安装调试、培训和售后等工作。</w:t>
      </w:r>
      <w:r>
        <w:rPr>
          <w:rFonts w:hint="eastAsia" w:ascii="宋体" w:hAnsi="宋体" w:eastAsia="宋体" w:cs="宋体"/>
          <w:sz w:val="24"/>
          <w:szCs w:val="24"/>
        </w:rPr>
      </w:r>
      <w:r/>
    </w:p>
    <w:p>
      <w:pPr>
        <w:pStyle w:val="1025"/>
        <w:jc w:val="left"/>
        <w:pageBreakBefore w:val="0"/>
        <w:spacing w:before="0" w:line="360" w:lineRule="auto"/>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验收</w:t>
      </w:r>
      <w:r>
        <w:rPr>
          <w:rFonts w:hint="eastAsia" w:ascii="宋体" w:hAnsi="宋体" w:eastAsia="宋体" w:cs="宋体"/>
          <w:b/>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1.每场考试时，各考点学校严格按照采购文件要求，对中标供应商提供的服务质量进行考核。每场考试后，由各考点学校填写《标准化考点运维服务考点考核评分表》，并将评分表上交至</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2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2.每年度服务结束后，由</w:t>
      </w:r>
      <w:r>
        <w:rPr>
          <w:rFonts w:hint="eastAsia" w:ascii="宋体" w:hAnsi="宋体" w:eastAsia="宋体" w:cs="宋体"/>
          <w:sz w:val="24"/>
          <w:szCs w:val="24"/>
          <w:lang w:val="en-US" w:eastAsia="zh-CN"/>
        </w:rPr>
        <w:t xml:space="preserve">溧阳招办</w:t>
      </w:r>
      <w:r>
        <w:rPr>
          <w:rFonts w:hint="eastAsia" w:ascii="宋体" w:hAnsi="宋体" w:eastAsia="宋体" w:cs="宋体"/>
          <w:sz w:val="24"/>
          <w:szCs w:val="24"/>
        </w:rPr>
        <w:t xml:space="preserve">负责汇总各考点全年考核分数，计算得出考核综合得分。</w:t>
      </w:r>
      <w:r>
        <w:rPr>
          <w:rFonts w:hint="eastAsia" w:ascii="宋体" w:hAnsi="宋体" w:eastAsia="宋体" w:cs="宋体"/>
          <w:sz w:val="24"/>
          <w:szCs w:val="24"/>
        </w:rPr>
      </w:r>
      <w:r/>
    </w:p>
    <w:p>
      <w:pPr>
        <w:pStyle w:val="1023"/>
        <w:jc w:val="center"/>
        <w:pageBreakBefore w:val="0"/>
        <w:spacing w:line="360" w:lineRule="auto"/>
        <w:widowControl/>
        <w:rPr>
          <w:rStyle w:val="1104"/>
          <w:rFonts w:hint="eastAsia" w:ascii="宋体" w:hAnsi="宋体" w:eastAsia="宋体" w:cs="宋体"/>
          <w:color w:val="000000"/>
          <w:sz w:val="24"/>
          <w:szCs w:val="24"/>
          <w:highlight w:val="none"/>
          <w:lang w:bidi="ar"/>
        </w:rPr>
      </w:pPr>
      <w:r>
        <w:rPr>
          <w:rStyle w:val="1104"/>
          <w:rFonts w:hint="eastAsia" w:ascii="宋体" w:hAnsi="宋体" w:eastAsia="宋体" w:cs="宋体"/>
          <w:b/>
          <w:bCs/>
          <w:color w:val="000000"/>
          <w:sz w:val="24"/>
          <w:szCs w:val="24"/>
          <w:highlight w:val="none"/>
          <w:lang w:bidi="ar"/>
        </w:rPr>
        <w:br w:type="page" w:clear="all"/>
      </w:r>
      <w:r>
        <w:rPr>
          <w:rStyle w:val="1104"/>
          <w:rFonts w:hint="eastAsia" w:ascii="宋体" w:hAnsi="宋体" w:eastAsia="宋体" w:cs="宋体"/>
          <w:b/>
          <w:bCs/>
          <w:color w:val="000000"/>
          <w:sz w:val="24"/>
          <w:szCs w:val="24"/>
          <w:highlight w:val="none"/>
          <w:lang w:bidi="ar"/>
        </w:rPr>
        <w:t xml:space="preserve">标准化考点运维服务考点考核评分表</w:t>
      </w:r>
      <w:r>
        <w:rPr>
          <w:rStyle w:val="1104"/>
          <w:rFonts w:hint="eastAsia" w:ascii="宋体" w:hAnsi="宋体" w:eastAsia="宋体" w:cs="宋体"/>
          <w:color w:val="000000"/>
          <w:sz w:val="24"/>
          <w:szCs w:val="24"/>
          <w:highlight w:val="none"/>
          <w:lang w:bidi="ar"/>
        </w:rPr>
      </w:r>
      <w:r/>
    </w:p>
    <w:tbl>
      <w:tblPr>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693"/>
        <w:gridCol w:w="508"/>
        <w:gridCol w:w="5646"/>
        <w:gridCol w:w="568"/>
        <w:gridCol w:w="522"/>
        <w:gridCol w:w="781"/>
      </w:tblGrid>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pStyle w:val="1023"/>
              <w:jc w:val="center"/>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考核项目</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center"/>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评分要求与标准</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分值</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得分</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扣分理由</w:t>
            </w:r>
            <w:r>
              <w:rPr>
                <w:rFonts w:hint="eastAsia" w:ascii="宋体" w:hAnsi="宋体" w:eastAsia="宋体" w:cs="宋体"/>
                <w:b/>
                <w:bCs/>
                <w:color w:val="000000"/>
                <w:sz w:val="24"/>
                <w:szCs w:val="24"/>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pStyle w:val="1023"/>
              <w:jc w:val="center"/>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标考</w:t>
            </w:r>
            <w:r>
              <w:rPr>
                <w:rFonts w:hint="eastAsia" w:ascii="宋体" w:hAnsi="宋体" w:eastAsia="宋体" w:cs="宋体"/>
                <w:b/>
                <w:bCs/>
                <w:color w:val="000000"/>
                <w:sz w:val="24"/>
                <w:szCs w:val="24"/>
                <w:highlight w:val="none"/>
                <w:lang w:bidi="ar"/>
              </w:rPr>
              <w:br w:type="textWrapping" w:clear="all"/>
            </w:r>
            <w:r>
              <w:rPr>
                <w:rFonts w:hint="eastAsia" w:ascii="宋体" w:hAnsi="宋体" w:eastAsia="宋体" w:cs="宋体"/>
                <w:b/>
                <w:bCs/>
                <w:color w:val="000000"/>
                <w:sz w:val="24"/>
                <w:szCs w:val="24"/>
                <w:highlight w:val="none"/>
                <w:lang w:bidi="ar"/>
              </w:rPr>
              <w:t xml:space="preserve">设备</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摄像头画面无死角，图像清晰。考试期间每发现1处死角或图像模糊、故障扣1分。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1023"/>
              <w:jc w:val="center"/>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拾音器录音清晰，无杂音。考试期间每发现1处无法录音或声音模糊扣1分。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1023"/>
              <w:jc w:val="center"/>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SIP服务器、流媒体服务器、编解码器、NVR等核心设备运行正常，配置正确。考试期间每有1类设备发生故障扣2分。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1023"/>
              <w:jc w:val="center"/>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网络时钟文字显示清晰，时间正确。考试期间每发现1处显示故障或时间错误扣1分。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1023"/>
              <w:jc w:val="center"/>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考点所有相关设备（摄像头、服务器、考务终端等）时间同步，误差在±2秒内。考试期间每发现1处不同步扣1分。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1023"/>
              <w:jc w:val="center"/>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视频画面的OSD按要求修改正确。考试期间每发现1处未修改或信息错误扣0.5分。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1023"/>
              <w:jc w:val="center"/>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考务通提前下载考试数据，确保每场考试电量充足。考试期间如有考务通因故障影响入场检验使用，每发现1例扣1分。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1023"/>
              <w:jc w:val="center"/>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安检门和手机柜按</w:t>
            </w:r>
            <w:r>
              <w:rPr>
                <w:rFonts w:hint="eastAsia" w:ascii="宋体" w:hAnsi="宋体" w:eastAsia="宋体" w:cs="宋体"/>
                <w:color w:val="000000"/>
                <w:sz w:val="24"/>
                <w:szCs w:val="24"/>
                <w:highlight w:val="none"/>
                <w:lang w:val="en-US" w:eastAsia="zh-CN" w:bidi="ar"/>
              </w:rPr>
              <w:t xml:space="preserve">溧阳招办</w:t>
            </w:r>
            <w:r>
              <w:rPr>
                <w:rFonts w:hint="eastAsia" w:ascii="宋体" w:hAnsi="宋体" w:eastAsia="宋体" w:cs="宋体"/>
                <w:color w:val="000000"/>
                <w:sz w:val="24"/>
                <w:szCs w:val="24"/>
                <w:highlight w:val="none"/>
                <w:lang w:bidi="ar"/>
              </w:rPr>
              <w:t xml:space="preserve">要求数量安装到位，设备通电且功能正常。如有设备故障影响考生安检按时入场，每处扣1分。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1023"/>
              <w:jc w:val="center"/>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按</w:t>
            </w:r>
            <w:r>
              <w:rPr>
                <w:rFonts w:hint="eastAsia" w:ascii="宋体" w:hAnsi="宋体" w:eastAsia="宋体" w:cs="宋体"/>
                <w:color w:val="000000"/>
                <w:sz w:val="24"/>
                <w:szCs w:val="24"/>
                <w:highlight w:val="none"/>
                <w:lang w:val="en-US" w:eastAsia="zh-CN" w:bidi="ar"/>
              </w:rPr>
              <w:t xml:space="preserve">溧阳招办</w:t>
            </w:r>
            <w:r>
              <w:rPr>
                <w:rFonts w:hint="eastAsia" w:ascii="宋体" w:hAnsi="宋体" w:eastAsia="宋体" w:cs="宋体"/>
                <w:color w:val="000000"/>
                <w:sz w:val="24"/>
                <w:szCs w:val="24"/>
                <w:highlight w:val="none"/>
                <w:lang w:bidi="ar"/>
              </w:rPr>
              <w:t xml:space="preserve">要求数量，为考点提供金属探测仪。考试期间金属探测仪因故障无法满足考点要求扣2分。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1023"/>
              <w:jc w:val="center"/>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若考试启用考场智能巡查，系统配置需到位，功能可用；至少考前一天为考点视频巡查员创建并分配操作用户。未及时完成扣3分，未启用则不扣分。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restart"/>
            <w:textDirection w:val="lrTb"/>
            <w:noWrap w:val="false"/>
          </w:tcPr>
          <w:p>
            <w:pPr>
              <w:pStyle w:val="1023"/>
              <w:jc w:val="center"/>
              <w:pageBreakBefore w:val="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标考</w:t>
            </w:r>
            <w:r>
              <w:rPr>
                <w:rFonts w:hint="eastAsia" w:ascii="宋体" w:hAnsi="宋体" w:eastAsia="宋体" w:cs="宋体"/>
                <w:b/>
                <w:bCs/>
                <w:color w:val="000000"/>
                <w:sz w:val="24"/>
                <w:szCs w:val="24"/>
                <w:highlight w:val="none"/>
                <w:lang w:bidi="ar"/>
              </w:rPr>
              <w:br w:type="textWrapping" w:clear="all"/>
            </w:r>
            <w:r>
              <w:rPr>
                <w:rFonts w:hint="eastAsia" w:ascii="宋体" w:hAnsi="宋体" w:eastAsia="宋体" w:cs="宋体"/>
                <w:b/>
                <w:bCs/>
                <w:color w:val="000000"/>
                <w:sz w:val="24"/>
                <w:szCs w:val="24"/>
                <w:highlight w:val="none"/>
                <w:lang w:bidi="ar"/>
              </w:rPr>
              <w:t xml:space="preserve">服务</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服务方考前一周完成所有考点设备检查，损坏设备在2日内维修或更换完毕，考试结束后向</w:t>
            </w:r>
            <w:r>
              <w:rPr>
                <w:rFonts w:hint="eastAsia" w:ascii="宋体" w:hAnsi="宋体" w:eastAsia="宋体" w:cs="宋体"/>
                <w:color w:val="000000"/>
                <w:sz w:val="24"/>
                <w:szCs w:val="24"/>
                <w:highlight w:val="none"/>
                <w:lang w:val="en-US" w:eastAsia="zh-CN" w:bidi="ar"/>
              </w:rPr>
              <w:t xml:space="preserve">溧阳招办</w:t>
            </w:r>
            <w:r>
              <w:rPr>
                <w:rFonts w:hint="eastAsia" w:ascii="宋体" w:hAnsi="宋体" w:eastAsia="宋体" w:cs="宋体"/>
                <w:color w:val="000000"/>
                <w:sz w:val="24"/>
                <w:szCs w:val="24"/>
                <w:highlight w:val="none"/>
                <w:lang w:bidi="ar"/>
              </w:rPr>
              <w:t xml:space="preserve">提供维修及设备更换清单。未按时完成检查扣2分，维修超时扣2分，未按要求提供报告扣1分。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1023"/>
              <w:jc w:val="center"/>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对考点非考试期反映的故障，能及时回复、详细记录，并在下次巡检或考前两周内解决，记录报备市院。响应不及时、未按期解决，每例扣1分。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1023"/>
              <w:jc w:val="center"/>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每个考点考试期间配备足够数量的技术保障人员（高考、中考不少于3人，其他国家性考试不少于2人），人员全程在岗。发现1例考点保障人员数量不足或无故脱岗，扣2分。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5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1023"/>
              <w:jc w:val="center"/>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考试期间发生设备或网络故障时，驻点人员能迅速解决问题。不影响当场考试不扣分；下场考试前及时修复，每起扣2分；故障处理不及时影响下一场考试，每起扣5分；造成考试延误等严重后果，每起扣10分。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1023"/>
              <w:jc w:val="center"/>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考试结束后完整备份当次考试视频录像数据，并按规定格式、路径及时上传至</w:t>
            </w:r>
            <w:r>
              <w:rPr>
                <w:rFonts w:hint="eastAsia" w:ascii="宋体" w:hAnsi="宋体" w:eastAsia="宋体" w:cs="宋体"/>
                <w:color w:val="000000"/>
                <w:sz w:val="24"/>
                <w:szCs w:val="24"/>
                <w:highlight w:val="none"/>
                <w:lang w:val="en-US" w:eastAsia="zh-CN" w:bidi="ar"/>
              </w:rPr>
              <w:t xml:space="preserve">溧阳招办</w:t>
            </w:r>
            <w:r>
              <w:rPr>
                <w:rFonts w:hint="eastAsia" w:ascii="宋体" w:hAnsi="宋体" w:eastAsia="宋体" w:cs="宋体"/>
                <w:color w:val="000000"/>
                <w:sz w:val="24"/>
                <w:szCs w:val="24"/>
                <w:highlight w:val="none"/>
                <w:lang w:bidi="ar"/>
              </w:rPr>
              <w:t xml:space="preserve">服务器。备份或上传不完整、不及时，每例扣2分。无法提供省考试院抽查录像，扣10分。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2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1023"/>
              <w:jc w:val="center"/>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若启用考场智能巡查，能协助考点准确保存、筛选违纪视频/图片，并按要求完成上报。违纪数据遗漏或上报错误，每例扣2分，无法提供违纪视频扣10分；未启用则不扣分。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1023"/>
              <w:jc w:val="center"/>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0"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39" w:type="dxa"/>
            <w:vAlign w:val="center"/>
            <w:textDirection w:val="lrTb"/>
            <w:noWrap w:val="false"/>
          </w:tcPr>
          <w:p>
            <w:pPr>
              <w:pStyle w:val="1023"/>
              <w:jc w:val="both"/>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根据考点需求，组织开展标准化考点相关业务培训，培训有记录、有效果反馈。培训不满足需求或效果不佳扣4分。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0"/>
        </w:trPr>
        <w:tc>
          <w:tcPr>
            <w:gridSpan w:val="3"/>
            <w:tcBorders>
              <w:top w:val="single" w:color="000000" w:sz="4" w:space="0"/>
              <w:left w:val="single" w:color="000000" w:sz="4" w:space="0"/>
              <w:bottom w:val="single" w:color="000000" w:sz="4" w:space="0"/>
              <w:right w:val="single" w:color="000000" w:sz="4" w:space="0"/>
            </w:tcBorders>
            <w:tcW w:w="6847" w:type="dxa"/>
            <w:vAlign w:val="center"/>
            <w:textDirection w:val="lrTb"/>
            <w:noWrap/>
          </w:tcPr>
          <w:p>
            <w:pPr>
              <w:pStyle w:val="1023"/>
              <w:jc w:val="both"/>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总分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25"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1023"/>
              <w:jc w:val="center"/>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47" w:type="dxa"/>
            <w:vAlign w:val="center"/>
            <w:textDirection w:val="lrTb"/>
            <w:noWrap w:val="false"/>
          </w:tcPr>
          <w:p>
            <w:pPr>
              <w:pStyle w:val="1023"/>
              <w:jc w:val="cente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23"/>
        <w:jc w:val="left"/>
        <w:pageBreakBefore w:val="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1023"/>
        <w:jc w:val="left"/>
        <w:pageBreakBefore w:val="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考核说明：</w:t>
      </w:r>
      <w:r>
        <w:rPr>
          <w:rFonts w:hint="eastAsia" w:ascii="宋体" w:hAnsi="宋体" w:eastAsia="宋体" w:cs="宋体"/>
          <w:color w:val="000000"/>
          <w:sz w:val="24"/>
          <w:szCs w:val="24"/>
          <w:highlight w:val="none"/>
          <w:lang w:bidi="ar"/>
        </w:rPr>
      </w:r>
      <w:r/>
    </w:p>
    <w:p>
      <w:pPr>
        <w:pStyle w:val="1023"/>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1.考核表评分应基于事实证据，扣分点需明确记录具体事由，每一小项分数扣完为止。</w:t>
      </w:r>
      <w:r>
        <w:rPr>
          <w:rFonts w:hint="eastAsia" w:ascii="宋体" w:hAnsi="宋体" w:eastAsia="宋体" w:cs="宋体"/>
          <w:color w:val="000000"/>
          <w:sz w:val="24"/>
          <w:szCs w:val="24"/>
          <w:highlight w:val="none"/>
        </w:rPr>
      </w:r>
      <w:r/>
    </w:p>
    <w:p>
      <w:pPr>
        <w:pStyle w:val="1023"/>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2.如存在以下三种情况，</w:t>
      </w:r>
      <w:r>
        <w:rPr>
          <w:rFonts w:hint="eastAsia" w:ascii="宋体" w:hAnsi="宋体" w:eastAsia="宋体" w:cs="宋体"/>
          <w:color w:val="000000"/>
          <w:sz w:val="24"/>
          <w:szCs w:val="24"/>
          <w:highlight w:val="none"/>
          <w:lang w:val="en-US" w:eastAsia="zh-CN" w:bidi="ar"/>
        </w:rPr>
        <w:t xml:space="preserve">招办</w:t>
      </w:r>
      <w:r>
        <w:rPr>
          <w:rFonts w:hint="eastAsia" w:ascii="宋体" w:hAnsi="宋体" w:eastAsia="宋体" w:cs="宋体"/>
          <w:color w:val="000000"/>
          <w:sz w:val="24"/>
          <w:szCs w:val="24"/>
          <w:highlight w:val="none"/>
          <w:lang w:bidi="ar"/>
        </w:rPr>
        <w:t xml:space="preserve">将在考核总分中扣除相应分数，扣完为止:</w:t>
      </w:r>
      <w:r>
        <w:rPr>
          <w:rFonts w:hint="eastAsia" w:ascii="宋体" w:hAnsi="宋体" w:eastAsia="宋体" w:cs="宋体"/>
          <w:color w:val="000000"/>
          <w:sz w:val="24"/>
          <w:szCs w:val="24"/>
          <w:highlight w:val="none"/>
        </w:rPr>
      </w:r>
      <w:r/>
    </w:p>
    <w:p>
      <w:pPr>
        <w:pStyle w:val="1023"/>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(1)派驻运维人员发生任何与考试相关的失泄密事件，每次扣50分，并依法依规追究相关人员责任。</w:t>
      </w:r>
      <w:r>
        <w:rPr>
          <w:rFonts w:hint="eastAsia" w:ascii="宋体" w:hAnsi="宋体" w:eastAsia="宋体" w:cs="宋体"/>
          <w:color w:val="000000"/>
          <w:sz w:val="24"/>
          <w:szCs w:val="24"/>
          <w:highlight w:val="none"/>
        </w:rPr>
      </w:r>
      <w:r/>
    </w:p>
    <w:p>
      <w:pPr>
        <w:pStyle w:val="1023"/>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(2)考试期间发生设备或网络故障，处理不及时造成考试延误等严重后果，每次扣50分。</w:t>
      </w:r>
      <w:r>
        <w:rPr>
          <w:rFonts w:hint="eastAsia" w:ascii="宋体" w:hAnsi="宋体" w:eastAsia="宋体" w:cs="宋体"/>
          <w:color w:val="000000"/>
          <w:sz w:val="24"/>
          <w:szCs w:val="24"/>
          <w:highlight w:val="none"/>
        </w:rPr>
      </w:r>
      <w:r/>
    </w:p>
    <w:p>
      <w:pPr>
        <w:pStyle w:val="1023"/>
        <w:jc w:val="left"/>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lang w:bidi="ar"/>
        </w:rPr>
        <w:t xml:space="preserve">(3)无法按</w:t>
      </w:r>
      <w:r>
        <w:rPr>
          <w:rFonts w:hint="eastAsia" w:ascii="宋体" w:hAnsi="宋体" w:eastAsia="宋体" w:cs="宋体"/>
          <w:color w:val="000000"/>
          <w:sz w:val="24"/>
          <w:szCs w:val="24"/>
          <w:highlight w:val="none"/>
          <w:lang w:val="en-US" w:eastAsia="zh-CN" w:bidi="ar"/>
        </w:rPr>
        <w:t xml:space="preserve">溧阳招办</w:t>
      </w:r>
      <w:r>
        <w:rPr>
          <w:rFonts w:hint="eastAsia" w:ascii="宋体" w:hAnsi="宋体" w:eastAsia="宋体" w:cs="宋体"/>
          <w:color w:val="000000"/>
          <w:sz w:val="24"/>
          <w:szCs w:val="24"/>
          <w:highlight w:val="none"/>
          <w:lang w:bidi="ar"/>
        </w:rPr>
        <w:t xml:space="preserve">要求提供考试抽查录像或违纪视频，每次扣50分。</w:t>
      </w:r>
      <w:r>
        <w:rPr>
          <w:rFonts w:hint="eastAsia" w:ascii="宋体" w:hAnsi="宋体" w:eastAsia="宋体" w:cs="宋体"/>
          <w:color w:val="000000"/>
          <w:sz w:val="24"/>
          <w:szCs w:val="24"/>
          <w:lang w:eastAsia="zh-CN"/>
        </w:rPr>
      </w:r>
      <w:r/>
    </w:p>
    <w:p>
      <w:pPr>
        <w:pStyle w:val="1294"/>
        <w:ind w:firstLine="880"/>
        <w:jc w:val="left"/>
        <w:rPr>
          <w:rFonts w:hint="eastAsia" w:ascii="黑体" w:eastAsia="黑体"/>
          <w:bCs/>
          <w:sz w:val="44"/>
        </w:rPr>
      </w:pPr>
      <w:r>
        <w:rPr>
          <w:rFonts w:hint="eastAsia" w:ascii="黑体" w:eastAsia="黑体"/>
          <w:bCs/>
          <w:sz w:val="44"/>
        </w:rPr>
      </w:r>
      <w:r/>
    </w:p>
    <w:p>
      <w:pPr>
        <w:pStyle w:val="1294"/>
        <w:ind w:firstLine="880"/>
        <w:jc w:val="left"/>
        <w:rPr>
          <w:rFonts w:hint="eastAsia" w:ascii="黑体" w:eastAsia="黑体"/>
          <w:bCs/>
          <w:sz w:val="44"/>
        </w:rPr>
      </w:pPr>
      <w:r>
        <w:rPr>
          <w:rFonts w:hint="eastAsia" w:ascii="黑体" w:eastAsia="黑体"/>
          <w:bCs/>
          <w:sz w:val="44"/>
        </w:rPr>
      </w:r>
      <w:r/>
    </w:p>
    <w:p>
      <w:pPr>
        <w:pStyle w:val="1023"/>
        <w:spacing w:line="360" w:lineRule="auto"/>
        <w:rPr>
          <w:rFonts w:hint="eastAsia" w:ascii="宋体" w:hAnsi="宋体" w:eastAsia="宋体" w:cs="宋体"/>
          <w:b/>
          <w:sz w:val="36"/>
          <w:szCs w:val="36"/>
          <w:lang w:eastAsia="zh-CN"/>
        </w:rPr>
        <w:sectPr>
          <w:footnotePr/>
          <w:endnotePr/>
          <w:type w:val="nextPage"/>
          <w:pgSz w:w="11907" w:h="16840" w:orient="portrait"/>
          <w:pgMar w:top="1417" w:right="1701" w:bottom="1417" w:left="1701" w:header="851" w:footer="850" w:gutter="0"/>
          <w:cols w:num="1" w:sep="0" w:space="1701" w:equalWidth="1"/>
          <w:docGrid w:linePitch="360"/>
        </w:sectPr>
      </w:pPr>
      <w:r>
        <w:rPr>
          <w:rFonts w:hint="eastAsia" w:ascii="宋体" w:hAnsi="宋体" w:eastAsia="宋体" w:cs="宋体"/>
          <w:b/>
          <w:sz w:val="36"/>
          <w:szCs w:val="36"/>
          <w:lang w:eastAsia="zh-CN"/>
        </w:rPr>
      </w:r>
      <w:r/>
    </w:p>
    <w:p>
      <w:pPr>
        <w:pStyle w:val="1023"/>
        <w:jc w:val="center"/>
        <w:spacing w:line="360" w:lineRule="auto"/>
        <w:rPr>
          <w:rFonts w:ascii="宋体" w:hAnsi="宋体" w:cs="宋体"/>
          <w:b/>
          <w:sz w:val="36"/>
          <w:szCs w:val="36"/>
        </w:rPr>
        <w:outlineLvl w:val="0"/>
      </w:pPr>
      <w:r/>
      <w:bookmarkStart w:id="808" w:name="_Toc18924"/>
      <w:r>
        <w:rPr>
          <w:rFonts w:hint="eastAsia" w:ascii="宋体" w:hAnsi="宋体" w:cs="宋体"/>
          <w:b/>
          <w:sz w:val="36"/>
          <w:szCs w:val="36"/>
        </w:rPr>
        <w:t xml:space="preserve">第六章   </w:t>
      </w:r>
      <w:r>
        <w:rPr>
          <w:b/>
          <w:sz w:val="36"/>
          <w:szCs w:val="36"/>
        </w:rPr>
        <w:t xml:space="preserve">拟签订的合同文本</w:t>
      </w:r>
      <w:bookmarkEnd w:id="808"/>
      <w:r>
        <w:rPr>
          <w:rFonts w:ascii="宋体" w:hAnsi="宋体" w:cs="宋体"/>
          <w:b/>
          <w:sz w:val="36"/>
          <w:szCs w:val="36"/>
        </w:rPr>
      </w:r>
      <w:r/>
    </w:p>
    <w:p>
      <w:pPr>
        <w:pStyle w:val="1023"/>
        <w:jc w:val="center"/>
        <w:rPr>
          <w:rFonts w:ascii="宋体" w:hAnsi="宋体"/>
          <w:b/>
          <w:bCs/>
          <w:color w:val="000000"/>
          <w:sz w:val="30"/>
          <w:szCs w:val="20"/>
          <w:highlight w:val="none"/>
        </w:rPr>
      </w:pPr>
      <w:r>
        <w:rPr>
          <w:rFonts w:hint="eastAsia" w:ascii="宋体" w:hAnsi="宋体"/>
          <w:b/>
          <w:color w:val="000000"/>
          <w:sz w:val="30"/>
          <w:highlight w:val="none"/>
        </w:rPr>
        <w:t xml:space="preserve">常州市政府采购合同（服务）（合同编号）</w:t>
      </w:r>
      <w:r>
        <w:rPr>
          <w:rFonts w:ascii="宋体" w:hAnsi="宋体"/>
          <w:b/>
          <w:bCs/>
          <w:color w:val="000000"/>
          <w:sz w:val="30"/>
          <w:szCs w:val="20"/>
          <w:highlight w:val="none"/>
        </w:rPr>
      </w:r>
      <w:r/>
    </w:p>
    <w:p>
      <w:pPr>
        <w:pStyle w:val="1295"/>
        <w:ind w:firstLine="480"/>
        <w:keepLines w:val="0"/>
        <w:keepNext w:val="0"/>
        <w:pageBreakBefore w:val="0"/>
        <w:spacing w:before="120" w:after="120" w:line="400" w:lineRule="exact"/>
        <w:widowControl w:val="off"/>
        <w:rPr>
          <w:rFonts w:hAnsi="宋体"/>
          <w:color w:val="000000"/>
          <w:sz w:val="24"/>
          <w:szCs w:val="24"/>
          <w:highlight w:val="none"/>
        </w:rPr>
      </w:pPr>
      <w:r>
        <w:rPr>
          <w:rFonts w:hAnsi="宋体"/>
          <w:color w:val="000000"/>
          <w:sz w:val="24"/>
          <w:szCs w:val="24"/>
          <w:highlight w:val="none"/>
        </w:rPr>
        <w:t xml:space="preserve">项目名称：                                       项目编号：</w:t>
      </w:r>
      <w:r>
        <w:rPr>
          <w:rFonts w:hAnsi="宋体"/>
          <w:color w:val="000000"/>
          <w:sz w:val="24"/>
          <w:szCs w:val="24"/>
          <w:highlight w:val="none"/>
        </w:rPr>
      </w:r>
      <w:r/>
    </w:p>
    <w:p>
      <w:pPr>
        <w:pStyle w:val="1295"/>
        <w:ind w:firstLine="480"/>
        <w:keepLines w:val="0"/>
        <w:keepNext w:val="0"/>
        <w:pageBreakBefore w:val="0"/>
        <w:spacing w:before="120" w:after="120" w:line="400" w:lineRule="exact"/>
        <w:widowControl w:val="off"/>
        <w:rPr>
          <w:rFonts w:hAnsi="宋体"/>
          <w:color w:val="000000"/>
          <w:sz w:val="24"/>
          <w:szCs w:val="24"/>
          <w:highlight w:val="none"/>
        </w:rPr>
      </w:pPr>
      <w:r>
        <w:rPr>
          <w:rFonts w:hAnsi="宋体"/>
          <w:color w:val="000000"/>
          <w:sz w:val="24"/>
          <w:szCs w:val="24"/>
          <w:highlight w:val="none"/>
        </w:rPr>
        <w:t xml:space="preserve">甲方：（买方）_________</w:t>
      </w:r>
      <w:r>
        <w:rPr>
          <w:rFonts w:hAnsi="宋体"/>
          <w:color w:val="000000"/>
          <w:sz w:val="24"/>
          <w:szCs w:val="24"/>
          <w:highlight w:val="none"/>
        </w:rPr>
      </w:r>
      <w:r/>
    </w:p>
    <w:p>
      <w:pPr>
        <w:pStyle w:val="1295"/>
        <w:ind w:firstLine="480"/>
        <w:keepLines w:val="0"/>
        <w:keepNext w:val="0"/>
        <w:pageBreakBefore w:val="0"/>
        <w:spacing w:before="120" w:after="120" w:line="400" w:lineRule="exact"/>
        <w:widowControl w:val="off"/>
        <w:rPr>
          <w:rFonts w:hint="eastAsia" w:hAnsi="宋体"/>
          <w:color w:val="000000"/>
          <w:sz w:val="24"/>
          <w:szCs w:val="24"/>
          <w:highlight w:val="none"/>
        </w:rPr>
      </w:pPr>
      <w:r>
        <w:rPr>
          <w:rFonts w:hAnsi="宋体"/>
          <w:color w:val="000000"/>
          <w:sz w:val="24"/>
          <w:szCs w:val="24"/>
          <w:highlight w:val="none"/>
        </w:rPr>
        <w:t xml:space="preserve">乙方：（卖方）_________</w:t>
      </w:r>
      <w:r>
        <w:rPr>
          <w:rFonts w:hint="eastAsia" w:hAnsi="宋体"/>
          <w:color w:val="000000"/>
          <w:sz w:val="24"/>
          <w:szCs w:val="24"/>
          <w:highlight w:val="none"/>
        </w:rPr>
      </w:r>
      <w:r/>
    </w:p>
    <w:p>
      <w:pPr>
        <w:pStyle w:val="1295"/>
        <w:ind w:firstLine="482"/>
        <w:keepLines w:val="0"/>
        <w:keepNext w:val="0"/>
        <w:pageBreakBefore w:val="0"/>
        <w:spacing w:before="120" w:after="120" w:line="400" w:lineRule="exact"/>
        <w:widowControl w:val="off"/>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u w:val="single"/>
        </w:rPr>
        <w:t xml:space="preserve">      </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1295"/>
        <w:ind w:firstLine="482"/>
        <w:keepLines w:val="0"/>
        <w:keepNext w:val="0"/>
        <w:pageBreakBefore w:val="0"/>
        <w:spacing w:before="120" w:after="120" w:line="400" w:lineRule="exact"/>
        <w:widowControl w:val="off"/>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1295"/>
        <w:ind w:firstLine="480"/>
        <w:keepLines w:val="0"/>
        <w:keepNext w:val="0"/>
        <w:pageBreakBefore w:val="0"/>
        <w:spacing w:before="120" w:after="120" w:line="400" w:lineRule="exact"/>
        <w:widowControl w:val="off"/>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Ansi="宋体"/>
          <w:color w:val="000000"/>
          <w:sz w:val="24"/>
          <w:szCs w:val="24"/>
          <w:highlight w:val="none"/>
        </w:rPr>
      </w:r>
      <w:r/>
    </w:p>
    <w:p>
      <w:pPr>
        <w:pStyle w:val="1295"/>
        <w:ind w:firstLine="480"/>
        <w:keepLines w:val="0"/>
        <w:keepNext w:val="0"/>
        <w:pageBreakBefore w:val="0"/>
        <w:spacing w:before="120" w:after="120" w:line="400" w:lineRule="exact"/>
        <w:widowControl w:val="off"/>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rPr>
      </w:r>
      <w:r/>
    </w:p>
    <w:p>
      <w:pPr>
        <w:pStyle w:val="1295"/>
        <w:ind w:firstLine="480"/>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1.3 标的数量（规模）：</w:t>
      </w:r>
      <w:r>
        <w:rPr>
          <w:rFonts w:hint="eastAsia" w:hAnsi="宋体"/>
          <w:color w:val="000000"/>
          <w:sz w:val="24"/>
          <w:szCs w:val="24"/>
          <w:highlight w:val="none"/>
        </w:rPr>
      </w:r>
      <w:r/>
    </w:p>
    <w:p>
      <w:pPr>
        <w:pStyle w:val="1295"/>
        <w:ind w:firstLine="480"/>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1.4 履行时间（期限）：</w:t>
      </w:r>
      <w:r>
        <w:rPr>
          <w:rFonts w:hint="eastAsia" w:hAnsi="宋体"/>
          <w:color w:val="000000"/>
          <w:sz w:val="24"/>
          <w:szCs w:val="24"/>
          <w:highlight w:val="none"/>
        </w:rPr>
      </w:r>
      <w:r/>
    </w:p>
    <w:p>
      <w:pPr>
        <w:pStyle w:val="1295"/>
        <w:ind w:firstLine="480"/>
        <w:keepLines w:val="0"/>
        <w:keepNext w:val="0"/>
        <w:pageBreakBefore w:val="0"/>
        <w:spacing w:before="120" w:after="120" w:line="400" w:lineRule="exact"/>
        <w:widowControl w:val="off"/>
        <w:rPr>
          <w:rFonts w:hAnsi="宋体"/>
          <w:color w:val="000000"/>
          <w:sz w:val="24"/>
          <w:szCs w:val="24"/>
          <w:highlight w:val="none"/>
        </w:rPr>
      </w:pPr>
      <w:r>
        <w:rPr>
          <w:rFonts w:hint="eastAsia" w:hAnsi="宋体"/>
          <w:color w:val="000000"/>
          <w:sz w:val="24"/>
          <w:szCs w:val="24"/>
          <w:highlight w:val="none"/>
        </w:rPr>
        <w:t xml:space="preserve">1.5 履行地点：</w:t>
      </w:r>
      <w:r>
        <w:rPr>
          <w:rFonts w:hAnsi="宋体"/>
          <w:color w:val="000000"/>
          <w:sz w:val="24"/>
          <w:szCs w:val="24"/>
          <w:highlight w:val="none"/>
        </w:rPr>
      </w:r>
      <w:r/>
    </w:p>
    <w:p>
      <w:pPr>
        <w:pStyle w:val="1295"/>
        <w:ind w:firstLine="480"/>
        <w:keepLines w:val="0"/>
        <w:keepNext w:val="0"/>
        <w:pageBreakBefore w:val="0"/>
        <w:spacing w:before="120" w:after="120" w:line="400" w:lineRule="exact"/>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6履行方式：</w:t>
      </w:r>
      <w:r>
        <w:rPr>
          <w:rFonts w:hAnsi="宋体"/>
          <w:color w:val="000000"/>
          <w:sz w:val="24"/>
          <w:szCs w:val="24"/>
          <w:highlight w:val="none"/>
        </w:rPr>
      </w:r>
      <w:r/>
    </w:p>
    <w:p>
      <w:pPr>
        <w:pStyle w:val="1295"/>
        <w:ind w:firstLine="482"/>
        <w:keepLines w:val="0"/>
        <w:keepNext w:val="0"/>
        <w:pageBreakBefore w:val="0"/>
        <w:spacing w:before="120" w:after="120" w:line="400" w:lineRule="exact"/>
        <w:widowControl w:val="off"/>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1295"/>
        <w:ind w:left="410" w:firstLine="480"/>
        <w:keepLines w:val="0"/>
        <w:keepNext w:val="0"/>
        <w:pageBreakBefore w:val="0"/>
        <w:spacing w:before="120" w:after="120" w:line="400" w:lineRule="exact"/>
        <w:widowControl w:val="off"/>
        <w:rPr>
          <w:rFonts w:hAnsi="宋体"/>
          <w:color w:val="000000"/>
          <w:sz w:val="24"/>
          <w:szCs w:val="24"/>
          <w:highlight w:val="none"/>
        </w:rPr>
      </w:pPr>
      <w:r>
        <w:rPr>
          <w:rFonts w:hAnsi="宋体"/>
          <w:color w:val="000000"/>
          <w:sz w:val="24"/>
          <w:szCs w:val="24"/>
          <w:highlight w:val="none"/>
        </w:rPr>
        <w:t xml:space="preserve">2.1 本合同金额为（大写）：____________________________________</w:t>
      </w:r>
      <w:r>
        <w:rPr>
          <w:rFonts w:hint="eastAsia" w:hAnsi="宋体"/>
          <w:color w:val="000000"/>
          <w:sz w:val="24"/>
          <w:szCs w:val="24"/>
          <w:highlight w:val="none"/>
        </w:rPr>
        <w:t xml:space="preserve">圆</w:t>
      </w:r>
      <w:r>
        <w:rPr>
          <w:rFonts w:hAnsi="宋体"/>
          <w:color w:val="000000"/>
          <w:sz w:val="24"/>
          <w:szCs w:val="24"/>
          <w:highlight w:val="none"/>
        </w:rPr>
        <w:t xml:space="preserve">（_______________元）人民币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rFonts w:hAnsi="宋体"/>
          <w:color w:val="000000"/>
          <w:sz w:val="24"/>
          <w:szCs w:val="24"/>
          <w:highlight w:val="none"/>
        </w:rPr>
      </w:r>
      <w:r/>
    </w:p>
    <w:p>
      <w:pPr>
        <w:pStyle w:val="1295"/>
        <w:ind w:firstLine="482"/>
        <w:keepLines w:val="0"/>
        <w:keepNext w:val="0"/>
        <w:pageBreakBefore w:val="0"/>
        <w:spacing w:before="120" w:after="120" w:line="400" w:lineRule="exact"/>
        <w:widowControl w:val="off"/>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1295"/>
        <w:ind w:left="410" w:firstLine="480"/>
        <w:keepLines w:val="0"/>
        <w:keepNext w:val="0"/>
        <w:pageBreakBefore w:val="0"/>
        <w:spacing w:before="120" w:after="120" w:line="400" w:lineRule="exact"/>
        <w:widowControl w:val="off"/>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rFonts w:hint="eastAsia" w:hAnsi="宋体"/>
          <w:color w:val="000000"/>
          <w:sz w:val="24"/>
          <w:szCs w:val="24"/>
          <w:highlight w:val="none"/>
        </w:rPr>
      </w:r>
      <w:r/>
    </w:p>
    <w:p>
      <w:pPr>
        <w:pStyle w:val="1295"/>
        <w:ind w:left="410" w:firstLine="480"/>
        <w:keepLines w:val="0"/>
        <w:keepNext w:val="0"/>
        <w:pageBreakBefore w:val="0"/>
        <w:spacing w:before="120" w:after="120" w:line="400" w:lineRule="exact"/>
        <w:widowControl w:val="off"/>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highlight w:val="none"/>
        </w:rPr>
      </w:r>
      <w:r/>
    </w:p>
    <w:p>
      <w:pPr>
        <w:pStyle w:val="1295"/>
        <w:ind w:left="412" w:firstLine="482"/>
        <w:keepLines w:val="0"/>
        <w:keepNext w:val="0"/>
        <w:pageBreakBefore w:val="0"/>
        <w:spacing w:before="120" w:after="120" w:line="400" w:lineRule="exact"/>
        <w:widowControl w:val="off"/>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1295"/>
        <w:ind w:left="408" w:firstLine="480"/>
        <w:keepLines w:val="0"/>
        <w:keepNext w:val="0"/>
        <w:pageBreakBefore w:val="0"/>
        <w:spacing w:before="120" w:after="120" w:line="400" w:lineRule="exact"/>
        <w:widowControl w:val="off"/>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highlight w:val="none"/>
        </w:rPr>
      </w:r>
      <w:r/>
    </w:p>
    <w:p>
      <w:pPr>
        <w:pStyle w:val="1295"/>
        <w:ind w:firstLine="482"/>
        <w:keepLines w:val="0"/>
        <w:keepNext w:val="0"/>
        <w:pageBreakBefore w:val="0"/>
        <w:spacing w:before="120" w:after="120" w:line="400" w:lineRule="exact"/>
        <w:widowControl w:val="off"/>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1295"/>
        <w:ind w:left="408" w:firstLine="480"/>
        <w:keepLines w:val="0"/>
        <w:keepNext w:val="0"/>
        <w:pageBreakBefore w:val="0"/>
        <w:spacing w:before="120" w:after="120" w:line="400" w:lineRule="exact"/>
        <w:widowControl w:val="off"/>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rFonts w:hAnsi="宋体"/>
          <w:color w:val="000000"/>
          <w:sz w:val="24"/>
          <w:szCs w:val="24"/>
          <w:highlight w:val="none"/>
          <w:u w:val="single"/>
        </w:rPr>
      </w:r>
      <w:r/>
    </w:p>
    <w:p>
      <w:pPr>
        <w:pStyle w:val="1295"/>
        <w:ind w:left="410" w:firstLine="482"/>
        <w:keepLines w:val="0"/>
        <w:keepNext w:val="0"/>
        <w:pageBreakBefore w:val="0"/>
        <w:spacing w:before="120" w:after="120" w:line="400" w:lineRule="exact"/>
        <w:widowControl w:val="off"/>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1295"/>
        <w:ind w:left="408" w:firstLine="480"/>
        <w:keepLines w:val="0"/>
        <w:keepNext w:val="0"/>
        <w:pageBreakBefore w:val="0"/>
        <w:spacing w:before="120" w:after="120" w:line="400" w:lineRule="exact"/>
        <w:widowControl w:val="off"/>
        <w:rPr>
          <w:rFonts w:hAnsi="宋体"/>
          <w:color w:val="000000"/>
          <w:sz w:val="24"/>
          <w:szCs w:val="24"/>
          <w:highlight w:val="none"/>
        </w:rPr>
      </w:pPr>
      <w:r>
        <w:rPr>
          <w:rFonts w:hint="eastAsia" w:hAnsi="宋体"/>
          <w:color w:val="000000"/>
          <w:sz w:val="24"/>
          <w:szCs w:val="24"/>
          <w:highlight w:val="none"/>
        </w:rPr>
        <w:t xml:space="preserve">本项目</w:t>
      </w:r>
      <w:r>
        <w:rPr>
          <w:rFonts w:hint="eastAsia" w:hAnsi="宋体"/>
          <w:color w:val="000000"/>
          <w:sz w:val="24"/>
          <w:szCs w:val="24"/>
          <w:highlight w:val="none"/>
          <w:u w:val="single"/>
        </w:rPr>
        <w:t xml:space="preserve">不收取</w:t>
      </w:r>
      <w:r>
        <w:rPr>
          <w:rFonts w:hint="eastAsia" w:hAnsi="宋体"/>
          <w:color w:val="000000"/>
          <w:sz w:val="24"/>
          <w:szCs w:val="24"/>
          <w:highlight w:val="none"/>
        </w:rPr>
        <w:t xml:space="preserve">履约保证金。</w:t>
      </w:r>
      <w:r>
        <w:rPr>
          <w:rFonts w:hAnsi="宋体"/>
          <w:color w:val="000000"/>
          <w:sz w:val="24"/>
          <w:szCs w:val="24"/>
          <w:highlight w:val="none"/>
        </w:rPr>
      </w:r>
      <w:r/>
    </w:p>
    <w:p>
      <w:pPr>
        <w:pStyle w:val="1295"/>
        <w:ind w:left="408" w:firstLine="480"/>
        <w:keepLines w:val="0"/>
        <w:keepNext w:val="0"/>
        <w:pageBreakBefore w:val="0"/>
        <w:spacing w:before="120" w:after="120" w:line="400" w:lineRule="exact"/>
        <w:widowControl w:val="off"/>
        <w:rPr>
          <w:rFonts w:hAnsi="宋体"/>
          <w:color w:val="000000"/>
          <w:sz w:val="24"/>
          <w:szCs w:val="24"/>
          <w:highlight w:val="none"/>
        </w:rPr>
      </w:pPr>
      <w:r>
        <w:rPr>
          <w:rFonts w:hint="eastAsia" w:hAnsi="宋体"/>
          <w:color w:val="000000"/>
          <w:sz w:val="24"/>
          <w:szCs w:val="24"/>
          <w:highlight w:val="none"/>
        </w:rPr>
        <w:t xml:space="preserve">6.1 </w:t>
      </w:r>
      <w:r>
        <w:rPr>
          <w:rFonts w:hAnsi="宋体"/>
          <w:color w:val="000000"/>
          <w:sz w:val="24"/>
          <w:szCs w:val="24"/>
          <w:highlight w:val="none"/>
        </w:rPr>
        <w:t xml:space="preserve">乙方交纳人民币</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u w:val="single"/>
        </w:rPr>
        <w:t xml:space="preserve">/</w:t>
      </w:r>
      <w:r>
        <w:rPr>
          <w:rFonts w:hint="eastAsia" w:hAnsi="宋体"/>
          <w:color w:val="000000"/>
          <w:sz w:val="24"/>
          <w:szCs w:val="24"/>
          <w:highlight w:val="none"/>
          <w:u w:val="single"/>
          <w:lang w:val="en-US" w:eastAsia="zh-CN"/>
        </w:rPr>
        <w:t xml:space="preserve">  </w:t>
      </w:r>
      <w:r>
        <w:rPr>
          <w:rFonts w:hAnsi="宋体"/>
          <w:color w:val="000000"/>
          <w:sz w:val="24"/>
          <w:szCs w:val="24"/>
          <w:highlight w:val="none"/>
        </w:rPr>
        <w:t xml:space="preserve">元作为本合同的履约保证金。（不得超过合同金额的5%）。供应商可以自主选择以支票、汇票、本票、保函（保险）等非现金形式</w:t>
      </w:r>
      <w:r>
        <w:rPr>
          <w:rFonts w:hint="eastAsia" w:hAnsi="宋体"/>
          <w:color w:val="000000"/>
          <w:sz w:val="24"/>
          <w:szCs w:val="24"/>
          <w:highlight w:val="none"/>
        </w:rPr>
        <w:t xml:space="preserve">交纳</w:t>
      </w:r>
      <w:r>
        <w:rPr>
          <w:rFonts w:hAnsi="宋体"/>
          <w:color w:val="000000"/>
          <w:sz w:val="24"/>
          <w:szCs w:val="24"/>
          <w:highlight w:val="none"/>
        </w:rPr>
        <w:t xml:space="preserve">或提交，按照省市有关文件精神，鼓励优先采用电子履约保函（保险）形式。</w:t>
      </w:r>
      <w:r>
        <w:rPr>
          <w:rFonts w:hAnsi="宋体"/>
          <w:color w:val="000000"/>
          <w:sz w:val="24"/>
          <w:szCs w:val="24"/>
          <w:highlight w:val="none"/>
        </w:rPr>
      </w:r>
      <w:r/>
    </w:p>
    <w:p>
      <w:pPr>
        <w:pStyle w:val="1295"/>
        <w:ind w:left="408" w:firstLine="480"/>
        <w:keepLines w:val="0"/>
        <w:keepNext w:val="0"/>
        <w:pageBreakBefore w:val="0"/>
        <w:spacing w:before="120" w:after="120" w:line="400" w:lineRule="exact"/>
        <w:widowControl w:val="off"/>
        <w:rPr>
          <w:rFonts w:hAnsi="宋体"/>
          <w:color w:val="000000"/>
          <w:sz w:val="24"/>
          <w:szCs w:val="24"/>
          <w:highlight w:val="none"/>
        </w:rPr>
      </w:pPr>
      <w:r>
        <w:rPr>
          <w:rFonts w:hint="eastAsia" w:hAnsi="宋体"/>
          <w:color w:val="000000"/>
          <w:sz w:val="24"/>
          <w:szCs w:val="24"/>
          <w:highlight w:val="none"/>
        </w:rPr>
        <w:t xml:space="preserve">6.2合同履行结束后，甲方应及时退还交纳的履约保证金。</w:t>
      </w:r>
      <w:r>
        <w:rPr>
          <w:rFonts w:hAnsi="宋体"/>
          <w:color w:val="000000"/>
          <w:sz w:val="24"/>
          <w:szCs w:val="24"/>
          <w:highlight w:val="none"/>
        </w:rPr>
      </w:r>
      <w:r/>
    </w:p>
    <w:p>
      <w:pPr>
        <w:pStyle w:val="1295"/>
        <w:ind w:left="408" w:firstLine="480"/>
        <w:keepLines w:val="0"/>
        <w:keepNext w:val="0"/>
        <w:pageBreakBefore w:val="0"/>
        <w:spacing w:before="120" w:after="120" w:line="400" w:lineRule="exact"/>
        <w:widowControl w:val="off"/>
        <w:rPr>
          <w:rFonts w:hAnsi="宋体"/>
          <w:color w:val="000000"/>
          <w:sz w:val="24"/>
          <w:szCs w:val="24"/>
          <w:highlight w:val="none"/>
        </w:rPr>
      </w:pPr>
      <w:r>
        <w:rPr>
          <w:rFonts w:hint="eastAsia" w:hAnsi="宋体"/>
          <w:color w:val="000000"/>
          <w:sz w:val="24"/>
          <w:szCs w:val="24"/>
          <w:highlight w:val="none"/>
        </w:rPr>
        <w:t xml:space="preserve">6.2.1履约保证金退还方式：/</w:t>
      </w:r>
      <w:r>
        <w:rPr>
          <w:rFonts w:hAnsi="宋体"/>
          <w:color w:val="000000"/>
          <w:sz w:val="24"/>
          <w:szCs w:val="24"/>
          <w:highlight w:val="none"/>
        </w:rPr>
      </w:r>
      <w:r/>
    </w:p>
    <w:p>
      <w:pPr>
        <w:pStyle w:val="1295"/>
        <w:ind w:left="408" w:firstLine="480"/>
        <w:keepLines w:val="0"/>
        <w:keepNext w:val="0"/>
        <w:pageBreakBefore w:val="0"/>
        <w:spacing w:before="120" w:after="120" w:line="400" w:lineRule="exact"/>
        <w:widowControl w:val="off"/>
        <w:rPr>
          <w:rFonts w:hAnsi="宋体"/>
          <w:color w:val="000000"/>
          <w:sz w:val="24"/>
          <w:szCs w:val="24"/>
          <w:highlight w:val="none"/>
        </w:rPr>
      </w:pPr>
      <w:r>
        <w:rPr>
          <w:rFonts w:hint="eastAsia" w:hAnsi="宋体"/>
          <w:color w:val="000000"/>
          <w:sz w:val="24"/>
          <w:szCs w:val="24"/>
          <w:highlight w:val="none"/>
        </w:rPr>
        <w:t xml:space="preserve">6.2.2履约保证金退还时间：/</w:t>
      </w:r>
      <w:r>
        <w:rPr>
          <w:rFonts w:hAnsi="宋体"/>
          <w:color w:val="000000"/>
          <w:sz w:val="24"/>
          <w:szCs w:val="24"/>
          <w:highlight w:val="none"/>
        </w:rPr>
      </w:r>
      <w:r/>
    </w:p>
    <w:p>
      <w:pPr>
        <w:pStyle w:val="1295"/>
        <w:ind w:left="408" w:firstLine="480"/>
        <w:keepLines w:val="0"/>
        <w:keepNext w:val="0"/>
        <w:pageBreakBefore w:val="0"/>
        <w:spacing w:before="120" w:after="120" w:line="400" w:lineRule="exact"/>
        <w:widowControl w:val="off"/>
        <w:rPr>
          <w:rFonts w:hAnsi="宋体"/>
          <w:color w:val="000000"/>
          <w:sz w:val="24"/>
          <w:szCs w:val="24"/>
          <w:highlight w:val="none"/>
        </w:rPr>
      </w:pPr>
      <w:r>
        <w:rPr>
          <w:rFonts w:hint="eastAsia" w:hAnsi="宋体"/>
          <w:color w:val="000000"/>
          <w:sz w:val="24"/>
          <w:szCs w:val="24"/>
          <w:highlight w:val="none"/>
        </w:rPr>
        <w:t xml:space="preserve">6.2.3履约保证金退还条件：/</w:t>
      </w:r>
      <w:r>
        <w:rPr>
          <w:rFonts w:hAnsi="宋体"/>
          <w:color w:val="000000"/>
          <w:sz w:val="24"/>
          <w:szCs w:val="24"/>
          <w:highlight w:val="none"/>
        </w:rPr>
      </w:r>
      <w:r/>
    </w:p>
    <w:p>
      <w:pPr>
        <w:pStyle w:val="1295"/>
        <w:ind w:left="408" w:firstLine="480"/>
        <w:keepLines w:val="0"/>
        <w:keepNext w:val="0"/>
        <w:pageBreakBefore w:val="0"/>
        <w:spacing w:before="120" w:after="120" w:line="400" w:lineRule="exact"/>
        <w:widowControl w:val="off"/>
        <w:rPr>
          <w:rFonts w:hAnsi="宋体"/>
          <w:color w:val="000000"/>
          <w:sz w:val="24"/>
          <w:szCs w:val="24"/>
          <w:highlight w:val="none"/>
        </w:rPr>
      </w:pPr>
      <w:r>
        <w:rPr>
          <w:rFonts w:hint="eastAsia" w:hAnsi="宋体"/>
          <w:color w:val="000000"/>
          <w:sz w:val="24"/>
          <w:szCs w:val="24"/>
          <w:highlight w:val="none"/>
        </w:rPr>
        <w:t xml:space="preserve">6.2.4履约保证金不予退还的情形：/</w:t>
      </w:r>
      <w:r>
        <w:rPr>
          <w:rFonts w:hAnsi="宋体"/>
          <w:color w:val="000000"/>
          <w:sz w:val="24"/>
          <w:szCs w:val="24"/>
          <w:highlight w:val="none"/>
        </w:rPr>
      </w:r>
      <w:r/>
    </w:p>
    <w:p>
      <w:pPr>
        <w:pStyle w:val="1023"/>
        <w:ind w:firstLine="482"/>
        <w:keepLines w:val="0"/>
        <w:keepNext w:val="0"/>
        <w:pageBreakBefore w:val="0"/>
        <w:spacing w:before="156" w:after="156" w:line="400" w:lineRule="exact"/>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1023"/>
        <w:ind w:firstLine="480"/>
        <w:keepLines w:val="0"/>
        <w:keepNext w:val="0"/>
        <w:pageBreakBefore w:val="0"/>
        <w:spacing w:before="156" w:after="156"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1023"/>
        <w:ind w:firstLine="480"/>
        <w:keepLines w:val="0"/>
        <w:keepNext w:val="0"/>
        <w:pageBreakBefore w:val="0"/>
        <w:spacing w:before="156" w:after="156" w:line="4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rFonts w:hint="eastAsia" w:ascii="宋体" w:hAnsi="宋体"/>
          <w:color w:val="000000"/>
          <w:sz w:val="24"/>
          <w:szCs w:val="24"/>
          <w:highlight w:val="none"/>
        </w:rPr>
      </w:r>
      <w:r/>
    </w:p>
    <w:p>
      <w:pPr>
        <w:pStyle w:val="1023"/>
        <w:ind w:firstLine="480"/>
        <w:keepLines w:val="0"/>
        <w:keepNext w:val="0"/>
        <w:pageBreakBefore w:val="0"/>
        <w:spacing w:before="156" w:after="156" w:line="400" w:lineRule="exact"/>
        <w:widowControl w:val="off"/>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1295"/>
        <w:ind w:firstLine="482"/>
        <w:keepLines w:val="0"/>
        <w:keepNext w:val="0"/>
        <w:pageBreakBefore w:val="0"/>
        <w:spacing w:before="120" w:after="120" w:line="400" w:lineRule="exact"/>
        <w:widowControl w:val="off"/>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1023"/>
        <w:ind w:firstLine="480"/>
        <w:keepLines w:val="0"/>
        <w:keepNext w:val="0"/>
        <w:pageBreakBefore w:val="0"/>
        <w:spacing w:before="156" w:after="156" w:line="400" w:lineRule="exact"/>
        <w:widowControl w:val="off"/>
        <w:rPr>
          <w:rFonts w:ascii="宋体" w:hAnsi="宋体"/>
          <w:color w:val="000000"/>
          <w:sz w:val="24"/>
          <w:highlight w:val="none"/>
        </w:rPr>
      </w:pPr>
      <w:r>
        <w:rPr>
          <w:rFonts w:hint="eastAsia" w:ascii="宋体" w:hAnsi="宋体"/>
          <w:color w:val="000000"/>
          <w:sz w:val="24"/>
          <w:highlight w:val="none"/>
        </w:rPr>
        <w:t xml:space="preserve">8.1分期付款：</w:t>
      </w:r>
      <w:r>
        <w:rPr>
          <w:rFonts w:ascii="宋体" w:hAnsi="宋体"/>
          <w:color w:val="000000"/>
          <w:sz w:val="24"/>
          <w:highlight w:val="none"/>
        </w:rPr>
      </w:r>
      <w:r/>
    </w:p>
    <w:p>
      <w:pPr>
        <w:pStyle w:val="1023"/>
        <w:ind w:firstLine="482"/>
        <w:keepLines w:val="0"/>
        <w:keepNext w:val="0"/>
        <w:pageBreakBefore w:val="0"/>
        <w:spacing w:before="156" w:after="156" w:line="400" w:lineRule="exact"/>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1023"/>
        <w:ind w:firstLine="480"/>
        <w:keepLines w:val="0"/>
        <w:keepNext w:val="0"/>
        <w:pageBreakBefore w:val="0"/>
        <w:spacing w:before="156" w:after="156" w:line="400" w:lineRule="exact"/>
        <w:widowControl w:val="off"/>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1295"/>
        <w:ind w:firstLine="482"/>
        <w:keepLines w:val="0"/>
        <w:keepNext w:val="0"/>
        <w:pageBreakBefore w:val="0"/>
        <w:spacing w:before="120" w:after="120" w:line="400" w:lineRule="exact"/>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1295"/>
        <w:ind w:left="480" w:firstLine="480"/>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rPr>
          <w:rFonts w:hint="eastAsia" w:hAnsi="宋体"/>
          <w:color w:val="000000"/>
          <w:sz w:val="24"/>
          <w:szCs w:val="24"/>
          <w:highlight w:val="none"/>
        </w:rPr>
      </w:r>
      <w:r/>
    </w:p>
    <w:p>
      <w:pPr>
        <w:pStyle w:val="1295"/>
        <w:ind w:left="480" w:firstLine="480"/>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highlight w:val="none"/>
        </w:rPr>
      </w:r>
      <w:r/>
    </w:p>
    <w:p>
      <w:pPr>
        <w:pStyle w:val="1295"/>
        <w:ind w:left="480" w:firstLine="480"/>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rPr>
          <w:rFonts w:hint="eastAsia" w:hAnsi="宋体"/>
          <w:color w:val="000000"/>
          <w:sz w:val="24"/>
          <w:szCs w:val="24"/>
          <w:highlight w:val="none"/>
        </w:rPr>
      </w:r>
      <w:r/>
    </w:p>
    <w:p>
      <w:pPr>
        <w:pStyle w:val="1295"/>
        <w:ind w:left="480" w:firstLine="480"/>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hAnsi="宋体"/>
          <w:color w:val="000000"/>
          <w:sz w:val="24"/>
          <w:szCs w:val="24"/>
          <w:highlight w:val="none"/>
        </w:rPr>
      </w:r>
      <w:r/>
    </w:p>
    <w:p>
      <w:pPr>
        <w:pStyle w:val="1295"/>
        <w:ind w:left="480" w:firstLine="480"/>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highlight w:val="none"/>
        </w:rPr>
      </w:r>
      <w:r/>
    </w:p>
    <w:p>
      <w:pPr>
        <w:pStyle w:val="1295"/>
        <w:ind w:left="480" w:firstLine="480"/>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highlight w:val="none"/>
        </w:rPr>
      </w:r>
      <w:r/>
    </w:p>
    <w:p>
      <w:pPr>
        <w:pStyle w:val="1295"/>
        <w:ind w:firstLine="482"/>
        <w:keepLines w:val="0"/>
        <w:keepNext w:val="0"/>
        <w:pageBreakBefore w:val="0"/>
        <w:spacing w:before="120" w:after="120" w:line="400" w:lineRule="exact"/>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rPr>
          <w:rFonts w:hAnsi="宋体"/>
          <w:b/>
          <w:color w:val="000000"/>
          <w:sz w:val="24"/>
          <w:szCs w:val="24"/>
          <w:highlight w:val="none"/>
        </w:rPr>
      </w:r>
      <w:r/>
    </w:p>
    <w:p>
      <w:pPr>
        <w:pStyle w:val="1295"/>
        <w:ind w:left="410" w:firstLine="480"/>
        <w:keepLines w:val="0"/>
        <w:keepNext w:val="0"/>
        <w:pageBreakBefore w:val="0"/>
        <w:spacing w:before="120" w:after="120" w:line="400" w:lineRule="exact"/>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w:t>
      </w:r>
      <w:r>
        <w:rPr>
          <w:rFonts w:hAnsi="宋体"/>
          <w:color w:val="000000"/>
          <w:sz w:val="24"/>
          <w:szCs w:val="24"/>
          <w:highlight w:val="none"/>
        </w:rPr>
      </w:r>
      <w:r/>
    </w:p>
    <w:p>
      <w:pPr>
        <w:pStyle w:val="1295"/>
        <w:ind w:left="410" w:firstLine="480"/>
        <w:keepLines w:val="0"/>
        <w:keepNext w:val="0"/>
        <w:pageBreakBefore w:val="0"/>
        <w:spacing w:before="120" w:after="120" w:line="400" w:lineRule="exact"/>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支付手续的,甲方应按逾期付款总额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每日向乙方支付违约金。</w:t>
      </w:r>
      <w:r>
        <w:rPr>
          <w:rFonts w:hAnsi="宋体"/>
          <w:color w:val="000000"/>
          <w:sz w:val="24"/>
          <w:szCs w:val="24"/>
          <w:highlight w:val="none"/>
        </w:rPr>
      </w:r>
      <w:r/>
    </w:p>
    <w:p>
      <w:pPr>
        <w:pStyle w:val="1295"/>
        <w:ind w:left="410" w:firstLine="480"/>
        <w:keepLines w:val="0"/>
        <w:keepNext w:val="0"/>
        <w:pageBreakBefore w:val="0"/>
        <w:spacing w:before="120" w:after="120" w:line="400" w:lineRule="exact"/>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的违约金，如造成甲方损失超过违约金的，超出部分由乙方继续承担赔偿责任。 </w:t>
      </w:r>
      <w:r>
        <w:rPr>
          <w:rFonts w:hAnsi="宋体"/>
          <w:color w:val="000000"/>
          <w:sz w:val="24"/>
          <w:szCs w:val="24"/>
          <w:highlight w:val="none"/>
        </w:rPr>
      </w:r>
      <w:r/>
    </w:p>
    <w:p>
      <w:pPr>
        <w:pStyle w:val="1295"/>
        <w:ind w:left="410" w:firstLine="480"/>
        <w:keepLines w:val="0"/>
        <w:keepNext w:val="0"/>
        <w:pageBreakBefore w:val="0"/>
        <w:spacing w:before="120" w:after="120" w:line="400" w:lineRule="exact"/>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rPr>
          <w:rFonts w:hAnsi="宋体"/>
          <w:color w:val="000000"/>
          <w:sz w:val="24"/>
          <w:szCs w:val="24"/>
          <w:highlight w:val="none"/>
        </w:rPr>
      </w:r>
      <w:r/>
    </w:p>
    <w:p>
      <w:pPr>
        <w:pStyle w:val="1295"/>
        <w:ind w:firstLine="482"/>
        <w:keepLines w:val="0"/>
        <w:keepNext w:val="0"/>
        <w:pageBreakBefore w:val="0"/>
        <w:spacing w:before="120" w:after="120" w:line="400" w:lineRule="exact"/>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1295"/>
        <w:ind w:left="480" w:firstLine="480"/>
        <w:keepLines w:val="0"/>
        <w:keepNext w:val="0"/>
        <w:pageBreakBefore w:val="0"/>
        <w:spacing w:before="120" w:after="120" w:line="400" w:lineRule="exact"/>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rFonts w:hAnsi="宋体"/>
          <w:color w:val="000000"/>
          <w:sz w:val="24"/>
          <w:szCs w:val="24"/>
          <w:highlight w:val="none"/>
        </w:rPr>
      </w:r>
      <w:r/>
    </w:p>
    <w:p>
      <w:pPr>
        <w:pStyle w:val="1295"/>
        <w:ind w:firstLine="480"/>
        <w:keepLines w:val="0"/>
        <w:keepNext w:val="0"/>
        <w:pageBreakBefore w:val="0"/>
        <w:spacing w:before="120" w:after="120" w:line="400" w:lineRule="exact"/>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rPr>
          <w:rFonts w:hAnsi="宋体"/>
          <w:color w:val="000000"/>
          <w:sz w:val="24"/>
          <w:szCs w:val="24"/>
          <w:highlight w:val="none"/>
        </w:rPr>
      </w:r>
      <w:r/>
    </w:p>
    <w:p>
      <w:pPr>
        <w:pStyle w:val="1295"/>
        <w:ind w:firstLine="480"/>
        <w:keepLines w:val="0"/>
        <w:keepNext w:val="0"/>
        <w:pageBreakBefore w:val="0"/>
        <w:spacing w:before="120" w:after="120" w:line="400" w:lineRule="exact"/>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rPr>
          <w:rFonts w:hAnsi="宋体"/>
          <w:color w:val="000000"/>
          <w:sz w:val="24"/>
          <w:szCs w:val="24"/>
          <w:highlight w:val="none"/>
        </w:rPr>
      </w:r>
      <w:r/>
    </w:p>
    <w:p>
      <w:pPr>
        <w:pStyle w:val="1295"/>
        <w:ind w:firstLine="482"/>
        <w:keepLines w:val="0"/>
        <w:keepNext w:val="0"/>
        <w:pageBreakBefore w:val="0"/>
        <w:spacing w:before="120" w:after="120" w:line="400" w:lineRule="exact"/>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1295"/>
        <w:ind w:firstLine="480"/>
        <w:keepLines w:val="0"/>
        <w:keepNext w:val="0"/>
        <w:pageBreakBefore w:val="0"/>
        <w:spacing w:before="120" w:after="120" w:line="400" w:lineRule="exact"/>
        <w:widowControl w:val="off"/>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rPr>
          <w:rFonts w:hint="eastAsia" w:hAnsi="宋体"/>
          <w:color w:val="000000"/>
          <w:sz w:val="24"/>
          <w:szCs w:val="24"/>
          <w:highlight w:val="none"/>
        </w:rPr>
      </w:r>
      <w:r/>
    </w:p>
    <w:p>
      <w:pPr>
        <w:pStyle w:val="1295"/>
        <w:ind w:firstLine="482"/>
        <w:keepLines w:val="0"/>
        <w:keepNext w:val="0"/>
        <w:pageBreakBefore w:val="0"/>
        <w:spacing w:before="120" w:after="120" w:line="400" w:lineRule="exact"/>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、合同生效及其它</w:t>
      </w:r>
      <w:r>
        <w:rPr>
          <w:rFonts w:hAnsi="宋体"/>
          <w:b/>
          <w:color w:val="000000"/>
          <w:sz w:val="24"/>
          <w:szCs w:val="24"/>
          <w:highlight w:val="none"/>
        </w:rPr>
      </w:r>
      <w:r/>
    </w:p>
    <w:p>
      <w:pPr>
        <w:pStyle w:val="1295"/>
        <w:ind w:firstLine="480"/>
        <w:keepLines w:val="0"/>
        <w:keepNext w:val="0"/>
        <w:pageBreakBefore w:val="0"/>
        <w:spacing w:before="120" w:after="120" w:line="400" w:lineRule="exact"/>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rFonts w:hAnsi="宋体"/>
          <w:color w:val="000000"/>
          <w:sz w:val="24"/>
          <w:szCs w:val="24"/>
          <w:highlight w:val="none"/>
        </w:rPr>
      </w:r>
      <w:r/>
    </w:p>
    <w:p>
      <w:pPr>
        <w:pStyle w:val="1295"/>
        <w:ind w:firstLine="480"/>
        <w:keepLines w:val="0"/>
        <w:keepNext w:val="0"/>
        <w:pageBreakBefore w:val="0"/>
        <w:spacing w:before="120" w:after="120" w:line="400" w:lineRule="exact"/>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《民法典》、《政府采购法》</w:t>
      </w:r>
      <w:r>
        <w:rPr>
          <w:rFonts w:hAnsi="宋体"/>
          <w:color w:val="000000"/>
          <w:sz w:val="24"/>
          <w:szCs w:val="24"/>
          <w:highlight w:val="none"/>
        </w:rPr>
        <w:t xml:space="preserve">有关条文执行。</w:t>
      </w:r>
      <w:r>
        <w:rPr>
          <w:rFonts w:hAnsi="宋体"/>
          <w:color w:val="000000"/>
          <w:sz w:val="24"/>
          <w:szCs w:val="24"/>
          <w:highlight w:val="none"/>
        </w:rPr>
      </w:r>
      <w:r/>
    </w:p>
    <w:p>
      <w:pPr>
        <w:pStyle w:val="1295"/>
        <w:ind w:firstLine="480"/>
        <w:keepLines w:val="0"/>
        <w:keepNext w:val="0"/>
        <w:pageBreakBefore w:val="0"/>
        <w:spacing w:before="120" w:after="120" w:line="400" w:lineRule="exact"/>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 本合同正本一式</w:t>
      </w:r>
      <w:r>
        <w:rPr>
          <w:rFonts w:hint="eastAsia" w:hAnsi="宋体"/>
          <w:color w:val="000000"/>
          <w:sz w:val="24"/>
          <w:szCs w:val="24"/>
          <w:highlight w:val="none"/>
        </w:rPr>
        <w:t xml:space="preserve">两</w:t>
      </w:r>
      <w:r>
        <w:rPr>
          <w:rFonts w:hAnsi="宋体"/>
          <w:color w:val="000000"/>
          <w:sz w:val="24"/>
          <w:szCs w:val="24"/>
          <w:highlight w:val="none"/>
        </w:rPr>
        <w:t xml:space="preserve">份，具有同等法律效力，甲</w:t>
      </w:r>
      <w:r>
        <w:rPr>
          <w:rFonts w:hint="eastAsia" w:hAnsi="宋体"/>
          <w:color w:val="000000"/>
          <w:sz w:val="24"/>
          <w:szCs w:val="24"/>
          <w:highlight w:val="none"/>
        </w:rPr>
        <w:t xml:space="preserve">方、</w:t>
      </w:r>
      <w:r>
        <w:rPr>
          <w:rFonts w:hAnsi="宋体"/>
          <w:color w:val="000000"/>
          <w:sz w:val="24"/>
          <w:szCs w:val="24"/>
          <w:highlight w:val="none"/>
        </w:rPr>
        <w:t xml:space="preserve">乙方各执一份。</w:t>
      </w:r>
      <w:r>
        <w:rPr>
          <w:rFonts w:hAnsi="宋体"/>
          <w:color w:val="000000"/>
          <w:sz w:val="24"/>
          <w:szCs w:val="24"/>
          <w:highlight w:val="none"/>
        </w:rPr>
      </w:r>
      <w:r/>
    </w:p>
    <w:p>
      <w:pPr>
        <w:pStyle w:val="1295"/>
        <w:ind w:left="480" w:hanging="480"/>
        <w:spacing w:before="120" w:after="120" w:line="0" w:lineRule="atLeast"/>
        <w:rPr>
          <w:rFonts w:hAnsi="宋体"/>
          <w:color w:val="000000"/>
          <w:sz w:val="24"/>
          <w:szCs w:val="24"/>
          <w:highlight w:val="none"/>
        </w:rPr>
      </w:pPr>
      <w:r>
        <w:rPr>
          <w:rFonts w:hAnsi="宋体"/>
          <w:color w:val="000000"/>
          <w:sz w:val="24"/>
          <w:szCs w:val="24"/>
          <w:highlight w:val="none"/>
        </w:rPr>
        <w:t xml:space="preserve">  </w:t>
      </w:r>
      <w:r>
        <w:rPr>
          <w:rFonts w:hAnsi="宋体"/>
          <w:color w:val="000000"/>
          <w:sz w:val="24"/>
          <w:szCs w:val="24"/>
          <w:highlight w:val="none"/>
        </w:rPr>
      </w:r>
      <w:r/>
    </w:p>
    <w:tbl>
      <w:tblPr>
        <w:tblStyle w:val="1095"/>
        <w:tblpPr w:horzAnchor="page" w:tblpX="1413" w:vertAnchor="text" w:tblpY="399" w:leftFromText="180" w:topFromText="0" w:rightFromText="180" w:bottomFromText="0"/>
        <w:tblW w:w="8883"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399"/>
        <w:gridCol w:w="4484"/>
      </w:tblGrid>
      <w:tr>
        <w:trPr>
          <w:trHeight w:val="850"/>
        </w:trPr>
        <w:tc>
          <w:tcPr>
            <w:tcW w:w="4399" w:type="dxa"/>
            <w:vAlign w:val="top"/>
            <w:textDirection w:val="lrTb"/>
            <w:noWrap w:val="false"/>
          </w:tcPr>
          <w:p>
            <w:pPr>
              <w:pStyle w:val="1056"/>
              <w:jc w:val="both"/>
              <w:spacing w:line="560" w:lineRule="exact"/>
              <w:rPr>
                <w:rFonts w:hint="eastAsia" w:ascii="方正仿宋_GB2312" w:hAnsi="方正仿宋_GB2312" w:eastAsia="方正仿宋_GB2312" w:cs="方正仿宋_GB2312"/>
                <w:bCs/>
                <w:sz w:val="28"/>
                <w:szCs w:val="28"/>
                <w:vertAlign w:val="baseline"/>
              </w:rPr>
              <w:framePr w:vAnchor="text" w:hAnchor="page" w:x="1413" w:y="399"/>
            </w:pPr>
            <w:r>
              <w:rPr>
                <w:rFonts w:hint="eastAsia" w:ascii="方正仿宋_GB2312" w:hAnsi="方正仿宋_GB2312" w:eastAsia="方正仿宋_GB2312" w:cs="方正仿宋_GB2312"/>
                <w:bCs/>
                <w:sz w:val="28"/>
                <w:szCs w:val="28"/>
              </w:rPr>
              <w:t xml:space="preserve">甲方：</w:t>
            </w:r>
            <w:r>
              <w:rPr>
                <w:rFonts w:hint="eastAsia" w:ascii="方正仿宋_GB2312" w:hAnsi="方正仿宋_GB2312" w:eastAsia="方正仿宋_GB2312" w:cs="方正仿宋_GB2312"/>
                <w:bCs/>
                <w:sz w:val="28"/>
                <w:szCs w:val="28"/>
                <w:vertAlign w:val="baseline"/>
              </w:rPr>
            </w:r>
            <w:r/>
          </w:p>
        </w:tc>
        <w:tc>
          <w:tcPr>
            <w:tcW w:w="4484" w:type="dxa"/>
            <w:vAlign w:val="top"/>
            <w:textDirection w:val="lrTb"/>
            <w:noWrap w:val="false"/>
          </w:tcPr>
          <w:p>
            <w:pPr>
              <w:pStyle w:val="1056"/>
              <w:jc w:val="both"/>
              <w:spacing w:line="560" w:lineRule="exact"/>
              <w:rPr>
                <w:rFonts w:ascii="方正仿宋_GB2312" w:hAnsi="方正仿宋_GB2312" w:eastAsia="方正仿宋_GB2312" w:cs="方正仿宋_GB2312"/>
                <w:bCs/>
                <w:sz w:val="28"/>
                <w:szCs w:val="28"/>
                <w:vertAlign w:val="baseline"/>
                <w:lang w:val="en-US"/>
              </w:rPr>
              <w:framePr w:vAnchor="text" w:hAnchor="page" w:x="1413" w:y="399"/>
            </w:pPr>
            <w:r>
              <w:rPr>
                <w:rFonts w:hint="eastAsia" w:ascii="方正仿宋_GB2312" w:hAnsi="方正仿宋_GB2312" w:eastAsia="方正仿宋_GB2312" w:cs="方正仿宋_GB2312"/>
                <w:bCs/>
                <w:sz w:val="28"/>
                <w:szCs w:val="28"/>
                <w:lang w:val="en-US" w:eastAsia="zh-CN"/>
              </w:rPr>
              <w:t xml:space="preserve">乙方：</w:t>
            </w:r>
            <w:r>
              <w:rPr>
                <w:rFonts w:ascii="方正仿宋_GB2312" w:hAnsi="方正仿宋_GB2312" w:eastAsia="方正仿宋_GB2312" w:cs="方正仿宋_GB2312"/>
                <w:bCs/>
                <w:sz w:val="28"/>
                <w:szCs w:val="28"/>
                <w:vertAlign w:val="baseline"/>
                <w:lang w:val="en-US"/>
              </w:rPr>
            </w:r>
            <w:r/>
          </w:p>
        </w:tc>
      </w:tr>
      <w:tr>
        <w:trPr>
          <w:trHeight w:val="850"/>
        </w:trPr>
        <w:tc>
          <w:tcPr>
            <w:tcW w:w="4399" w:type="dxa"/>
            <w:vAlign w:val="top"/>
            <w:textDirection w:val="lrTb"/>
            <w:noWrap w:val="false"/>
          </w:tcPr>
          <w:p>
            <w:pPr>
              <w:pStyle w:val="1056"/>
              <w:jc w:val="both"/>
              <w:spacing w:line="560" w:lineRule="exact"/>
              <w:rPr>
                <w:rFonts w:hint="eastAsia" w:ascii="方正仿宋_GB2312" w:hAnsi="方正仿宋_GB2312" w:eastAsia="方正仿宋_GB2312" w:cs="方正仿宋_GB2312"/>
                <w:bCs/>
                <w:sz w:val="28"/>
                <w:szCs w:val="28"/>
                <w:vertAlign w:val="baseline"/>
              </w:rPr>
              <w:framePr w:vAnchor="text" w:hAnchor="page" w:x="1413" w:y="399"/>
            </w:pPr>
            <w:r>
              <w:rPr>
                <w:rFonts w:hint="eastAsia" w:ascii="方正仿宋_GB2312" w:hAnsi="方正仿宋_GB2312" w:eastAsia="方正仿宋_GB2312" w:cs="方正仿宋_GB2312"/>
                <w:bCs/>
                <w:sz w:val="28"/>
                <w:szCs w:val="28"/>
                <w:lang w:val="en-US" w:eastAsia="zh-CN"/>
              </w:rPr>
              <w:t xml:space="preserve">地址</w:t>
            </w:r>
            <w:r>
              <w:rPr>
                <w:rFonts w:hint="eastAsia" w:ascii="方正仿宋_GB2312" w:hAnsi="方正仿宋_GB2312" w:eastAsia="方正仿宋_GB2312" w:cs="方正仿宋_GB2312"/>
                <w:bCs/>
                <w:sz w:val="28"/>
                <w:szCs w:val="28"/>
              </w:rPr>
              <w:t xml:space="preserve">：</w:t>
            </w:r>
            <w:r>
              <w:rPr>
                <w:rFonts w:hint="eastAsia" w:ascii="方正仿宋_GB2312" w:hAnsi="方正仿宋_GB2312" w:eastAsia="方正仿宋_GB2312" w:cs="方正仿宋_GB2312"/>
                <w:bCs/>
                <w:sz w:val="28"/>
                <w:szCs w:val="28"/>
                <w:vertAlign w:val="baseline"/>
              </w:rPr>
            </w:r>
            <w:r/>
          </w:p>
        </w:tc>
        <w:tc>
          <w:tcPr>
            <w:tcW w:w="4484" w:type="dxa"/>
            <w:vAlign w:val="top"/>
            <w:textDirection w:val="lrTb"/>
            <w:noWrap w:val="false"/>
          </w:tcPr>
          <w:p>
            <w:pPr>
              <w:pStyle w:val="1056"/>
              <w:jc w:val="both"/>
              <w:spacing w:line="560" w:lineRule="exact"/>
              <w:rPr>
                <w:rFonts w:hint="eastAsia" w:ascii="方正仿宋_GB2312" w:hAnsi="方正仿宋_GB2312" w:eastAsia="方正仿宋_GB2312" w:cs="方正仿宋_GB2312"/>
                <w:bCs/>
                <w:sz w:val="28"/>
                <w:szCs w:val="28"/>
                <w:vertAlign w:val="baseline"/>
              </w:rPr>
              <w:framePr w:vAnchor="text" w:hAnchor="page" w:x="1413" w:y="399"/>
            </w:pPr>
            <w:r>
              <w:rPr>
                <w:rFonts w:hint="eastAsia" w:ascii="方正仿宋_GB2312" w:hAnsi="方正仿宋_GB2312" w:eastAsia="方正仿宋_GB2312" w:cs="方正仿宋_GB2312"/>
                <w:bCs/>
                <w:sz w:val="28"/>
                <w:szCs w:val="28"/>
                <w:lang w:val="en-US" w:eastAsia="zh-CN"/>
              </w:rPr>
              <w:t xml:space="preserve">地址</w:t>
            </w:r>
            <w:r>
              <w:rPr>
                <w:rFonts w:hint="eastAsia" w:ascii="方正仿宋_GB2312" w:hAnsi="方正仿宋_GB2312" w:eastAsia="方正仿宋_GB2312" w:cs="方正仿宋_GB2312"/>
                <w:bCs/>
                <w:sz w:val="28"/>
                <w:szCs w:val="28"/>
              </w:rPr>
              <w:t xml:space="preserve">：</w:t>
            </w:r>
            <w:r>
              <w:rPr>
                <w:rFonts w:hint="eastAsia" w:ascii="方正仿宋_GB2312" w:hAnsi="方正仿宋_GB2312" w:eastAsia="方正仿宋_GB2312" w:cs="方正仿宋_GB2312"/>
                <w:bCs/>
                <w:sz w:val="28"/>
                <w:szCs w:val="28"/>
                <w:vertAlign w:val="baseline"/>
              </w:rPr>
            </w:r>
            <w:r/>
          </w:p>
        </w:tc>
      </w:tr>
      <w:tr>
        <w:trPr>
          <w:trHeight w:val="850"/>
        </w:trPr>
        <w:tc>
          <w:tcPr>
            <w:tcW w:w="4399" w:type="dxa"/>
            <w:vAlign w:val="top"/>
            <w:textDirection w:val="lrTb"/>
            <w:noWrap w:val="false"/>
          </w:tcPr>
          <w:p>
            <w:pPr>
              <w:pStyle w:val="1056"/>
              <w:jc w:val="both"/>
              <w:spacing w:line="560" w:lineRule="exact"/>
              <w:rPr>
                <w:rFonts w:hint="eastAsia" w:ascii="方正仿宋_GB2312" w:hAnsi="方正仿宋_GB2312" w:eastAsia="方正仿宋_GB2312" w:cs="方正仿宋_GB2312"/>
                <w:bCs/>
                <w:sz w:val="28"/>
                <w:szCs w:val="28"/>
                <w:vertAlign w:val="baseline"/>
              </w:rPr>
              <w:framePr w:vAnchor="text" w:hAnchor="page" w:x="1413" w:y="399"/>
            </w:pPr>
            <w:r>
              <w:rPr>
                <w:rFonts w:hint="eastAsia" w:ascii="方正仿宋_GB2312" w:hAnsi="方正仿宋_GB2312" w:eastAsia="方正仿宋_GB2312" w:cs="方正仿宋_GB2312"/>
                <w:bCs/>
                <w:sz w:val="28"/>
                <w:szCs w:val="28"/>
              </w:rPr>
              <w:t xml:space="preserve">法定代表人：</w:t>
            </w:r>
            <w:r>
              <w:rPr>
                <w:rFonts w:hint="eastAsia" w:ascii="方正仿宋_GB2312" w:hAnsi="方正仿宋_GB2312" w:eastAsia="方正仿宋_GB2312" w:cs="方正仿宋_GB2312"/>
                <w:bCs/>
                <w:sz w:val="28"/>
                <w:szCs w:val="28"/>
                <w:vertAlign w:val="baseline"/>
              </w:rPr>
            </w:r>
            <w:r/>
          </w:p>
        </w:tc>
        <w:tc>
          <w:tcPr>
            <w:tcW w:w="4484" w:type="dxa"/>
            <w:vAlign w:val="top"/>
            <w:textDirection w:val="lrTb"/>
            <w:noWrap w:val="false"/>
          </w:tcPr>
          <w:p>
            <w:pPr>
              <w:pStyle w:val="1056"/>
              <w:jc w:val="both"/>
              <w:spacing w:line="560" w:lineRule="exact"/>
              <w:rPr>
                <w:rFonts w:hint="eastAsia" w:ascii="方正仿宋_GB2312" w:hAnsi="方正仿宋_GB2312" w:eastAsia="方正仿宋_GB2312" w:cs="方正仿宋_GB2312"/>
                <w:bCs/>
                <w:sz w:val="28"/>
                <w:szCs w:val="28"/>
                <w:vertAlign w:val="baseline"/>
              </w:rPr>
              <w:framePr w:vAnchor="text" w:hAnchor="page" w:x="1413" w:y="399"/>
            </w:pPr>
            <w:r>
              <w:rPr>
                <w:rFonts w:hint="eastAsia" w:ascii="方正仿宋_GB2312" w:hAnsi="方正仿宋_GB2312" w:eastAsia="方正仿宋_GB2312" w:cs="方正仿宋_GB2312"/>
                <w:bCs/>
                <w:sz w:val="28"/>
                <w:szCs w:val="28"/>
              </w:rPr>
              <w:t xml:space="preserve">法定代表人：</w:t>
            </w:r>
            <w:r>
              <w:rPr>
                <w:rFonts w:hint="eastAsia" w:ascii="方正仿宋_GB2312" w:hAnsi="方正仿宋_GB2312" w:eastAsia="方正仿宋_GB2312" w:cs="方正仿宋_GB2312"/>
                <w:bCs/>
                <w:sz w:val="28"/>
                <w:szCs w:val="28"/>
                <w:vertAlign w:val="baseline"/>
              </w:rPr>
            </w:r>
            <w:r/>
          </w:p>
        </w:tc>
      </w:tr>
      <w:tr>
        <w:trPr>
          <w:trHeight w:val="850"/>
        </w:trPr>
        <w:tc>
          <w:tcPr>
            <w:tcW w:w="4399" w:type="dxa"/>
            <w:vAlign w:val="top"/>
            <w:textDirection w:val="lrTb"/>
            <w:noWrap w:val="false"/>
          </w:tcPr>
          <w:p>
            <w:pPr>
              <w:pStyle w:val="1056"/>
              <w:jc w:val="both"/>
              <w:spacing w:line="560" w:lineRule="exact"/>
              <w:rPr>
                <w:rFonts w:hint="eastAsia" w:ascii="方正仿宋_GB2312" w:hAnsi="方正仿宋_GB2312" w:eastAsia="方正仿宋_GB2312" w:cs="方正仿宋_GB2312"/>
                <w:bCs/>
                <w:sz w:val="28"/>
                <w:szCs w:val="28"/>
                <w:vertAlign w:val="baseline"/>
              </w:rPr>
              <w:framePr w:vAnchor="text" w:hAnchor="page" w:x="1413" w:y="399"/>
            </w:pPr>
            <w:r>
              <w:rPr>
                <w:rFonts w:hint="eastAsia" w:ascii="方正仿宋_GB2312" w:hAnsi="方正仿宋_GB2312" w:eastAsia="方正仿宋_GB2312" w:cs="方正仿宋_GB2312"/>
                <w:bCs/>
                <w:sz w:val="28"/>
                <w:szCs w:val="28"/>
              </w:rPr>
              <w:t xml:space="preserve">（或委托代理人）</w:t>
            </w:r>
            <w:r>
              <w:rPr>
                <w:rFonts w:hint="eastAsia" w:ascii="方正仿宋_GB2312" w:hAnsi="方正仿宋_GB2312" w:eastAsia="方正仿宋_GB2312" w:cs="方正仿宋_GB2312"/>
                <w:bCs/>
                <w:sz w:val="28"/>
                <w:szCs w:val="28"/>
                <w:vertAlign w:val="baseline"/>
              </w:rPr>
            </w:r>
            <w:r/>
          </w:p>
        </w:tc>
        <w:tc>
          <w:tcPr>
            <w:tcW w:w="4484" w:type="dxa"/>
            <w:vAlign w:val="top"/>
            <w:textDirection w:val="lrTb"/>
            <w:noWrap w:val="false"/>
          </w:tcPr>
          <w:p>
            <w:pPr>
              <w:pStyle w:val="1056"/>
              <w:jc w:val="both"/>
              <w:spacing w:line="560" w:lineRule="exact"/>
              <w:rPr>
                <w:rFonts w:hint="eastAsia" w:ascii="方正仿宋_GB2312" w:hAnsi="方正仿宋_GB2312" w:eastAsia="方正仿宋_GB2312" w:cs="方正仿宋_GB2312"/>
                <w:bCs/>
                <w:sz w:val="28"/>
                <w:szCs w:val="28"/>
                <w:vertAlign w:val="baseline"/>
              </w:rPr>
              <w:framePr w:vAnchor="text" w:hAnchor="page" w:x="1413" w:y="399"/>
            </w:pPr>
            <w:r>
              <w:rPr>
                <w:rFonts w:hint="eastAsia" w:ascii="方正仿宋_GB2312" w:hAnsi="方正仿宋_GB2312" w:eastAsia="方正仿宋_GB2312" w:cs="方正仿宋_GB2312"/>
                <w:bCs/>
                <w:sz w:val="28"/>
                <w:szCs w:val="28"/>
              </w:rPr>
              <w:t xml:space="preserve">（或委托代理人）</w:t>
            </w:r>
            <w:r>
              <w:rPr>
                <w:rFonts w:hint="eastAsia" w:ascii="方正仿宋_GB2312" w:hAnsi="方正仿宋_GB2312" w:eastAsia="方正仿宋_GB2312" w:cs="方正仿宋_GB2312"/>
                <w:bCs/>
                <w:sz w:val="28"/>
                <w:szCs w:val="28"/>
                <w:vertAlign w:val="baseline"/>
              </w:rPr>
            </w:r>
            <w:r/>
          </w:p>
        </w:tc>
      </w:tr>
      <w:tr>
        <w:trPr>
          <w:trHeight w:val="850"/>
        </w:trPr>
        <w:tc>
          <w:tcPr>
            <w:tcW w:w="4399" w:type="dxa"/>
            <w:vAlign w:val="top"/>
            <w:textDirection w:val="lrTb"/>
            <w:noWrap w:val="false"/>
          </w:tcPr>
          <w:p>
            <w:pPr>
              <w:pStyle w:val="1056"/>
              <w:jc w:val="both"/>
              <w:spacing w:line="560" w:lineRule="exact"/>
              <w:rPr>
                <w:rFonts w:ascii="方正仿宋_GB2312" w:hAnsi="方正仿宋_GB2312" w:eastAsia="方正仿宋_GB2312" w:cs="方正仿宋_GB2312"/>
                <w:bCs/>
                <w:sz w:val="28"/>
                <w:szCs w:val="28"/>
                <w:vertAlign w:val="baseline"/>
                <w:lang w:val="en-US" w:eastAsia="zh-CN"/>
              </w:rPr>
              <w:framePr w:vAnchor="text" w:hAnchor="page" w:x="1413" w:y="399"/>
            </w:pPr>
            <w:r>
              <w:rPr>
                <w:rFonts w:hint="eastAsia" w:ascii="方正仿宋_GB2312" w:hAnsi="方正仿宋_GB2312" w:eastAsia="方正仿宋_GB2312" w:cs="方正仿宋_GB2312"/>
                <w:bCs/>
                <w:sz w:val="28"/>
                <w:szCs w:val="28"/>
                <w:lang w:val="en-US" w:eastAsia="zh-CN"/>
              </w:rPr>
              <w:t xml:space="preserve">签订</w:t>
            </w:r>
            <w:r>
              <w:rPr>
                <w:rFonts w:hint="eastAsia" w:ascii="方正仿宋_GB2312" w:hAnsi="方正仿宋_GB2312" w:eastAsia="方正仿宋_GB2312" w:cs="方正仿宋_GB2312"/>
                <w:bCs/>
                <w:sz w:val="28"/>
                <w:szCs w:val="28"/>
              </w:rPr>
              <w:t xml:space="preserve">日期：</w:t>
            </w:r>
            <w:r>
              <w:rPr>
                <w:rFonts w:ascii="方正仿宋_GB2312" w:hAnsi="方正仿宋_GB2312" w:eastAsia="方正仿宋_GB2312" w:cs="方正仿宋_GB2312"/>
                <w:bCs/>
                <w:sz w:val="28"/>
                <w:szCs w:val="28"/>
                <w:vertAlign w:val="baseline"/>
                <w:lang w:val="en-US" w:eastAsia="zh-CN"/>
              </w:rPr>
            </w:r>
            <w:r/>
          </w:p>
        </w:tc>
        <w:tc>
          <w:tcPr>
            <w:tcW w:w="4484" w:type="dxa"/>
            <w:vAlign w:val="top"/>
            <w:textDirection w:val="lrTb"/>
            <w:noWrap w:val="false"/>
          </w:tcPr>
          <w:p>
            <w:pPr>
              <w:pStyle w:val="1056"/>
              <w:jc w:val="both"/>
              <w:spacing w:line="560" w:lineRule="exact"/>
              <w:rPr>
                <w:rFonts w:hint="eastAsia" w:ascii="方正仿宋_GB2312" w:hAnsi="方正仿宋_GB2312" w:eastAsia="方正仿宋_GB2312" w:cs="方正仿宋_GB2312"/>
                <w:bCs/>
                <w:sz w:val="28"/>
                <w:szCs w:val="28"/>
                <w:vertAlign w:val="baseline"/>
              </w:rPr>
              <w:framePr w:vAnchor="text" w:hAnchor="page" w:x="1413" w:y="399"/>
            </w:pPr>
            <w:r>
              <w:rPr>
                <w:rFonts w:hint="eastAsia" w:ascii="方正仿宋_GB2312" w:hAnsi="方正仿宋_GB2312" w:eastAsia="方正仿宋_GB2312" w:cs="方正仿宋_GB2312"/>
                <w:bCs/>
                <w:sz w:val="28"/>
                <w:szCs w:val="28"/>
                <w:vertAlign w:val="baseline"/>
              </w:rPr>
            </w:r>
            <w:r/>
          </w:p>
        </w:tc>
      </w:tr>
    </w:tbl>
    <w:p>
      <w:pPr>
        <w:pStyle w:val="1023"/>
        <w:jc w:val="center"/>
        <w:rPr>
          <w:rFonts w:ascii="宋体" w:hAnsi="宋体" w:cs="宋体"/>
          <w:b/>
          <w:bCs/>
          <w:sz w:val="30"/>
          <w:szCs w:val="30"/>
        </w:rPr>
      </w:pPr>
      <w:r>
        <w:rPr>
          <w:rFonts w:ascii="宋体" w:hAnsi="宋体" w:cs="宋体"/>
          <w:b/>
          <w:bCs/>
          <w:sz w:val="30"/>
          <w:szCs w:val="30"/>
        </w:rPr>
      </w:r>
      <w:r/>
    </w:p>
    <w:p>
      <w:pPr>
        <w:pStyle w:val="1023"/>
        <w:jc w:val="center"/>
        <w:spacing w:line="360" w:lineRule="auto"/>
        <w:rPr>
          <w:rFonts w:hint="eastAsia" w:ascii="宋体" w:hAnsi="宋体" w:cs="宋体"/>
          <w:b/>
          <w:sz w:val="36"/>
          <w:szCs w:val="36"/>
        </w:rPr>
        <w:outlineLvl w:val="0"/>
      </w:pPr>
      <w:r>
        <w:rPr>
          <w:rFonts w:hint="eastAsia" w:ascii="宋体" w:hAnsi="宋体" w:cs="宋体"/>
          <w:b/>
          <w:sz w:val="36"/>
          <w:szCs w:val="36"/>
        </w:rPr>
        <w:br w:type="page" w:clear="all"/>
      </w:r>
      <w:bookmarkStart w:id="809" w:name="_Toc6264"/>
      <w:r>
        <w:rPr>
          <w:rFonts w:hint="eastAsia" w:ascii="宋体" w:hAnsi="宋体" w:cs="宋体"/>
          <w:b/>
          <w:sz w:val="36"/>
          <w:szCs w:val="36"/>
        </w:rPr>
        <w:t xml:space="preserve">第七章   投标文件格式</w:t>
      </w:r>
      <w:bookmarkEnd w:id="809"/>
      <w:r>
        <w:rPr>
          <w:rFonts w:hint="eastAsia" w:ascii="宋体" w:hAnsi="宋体" w:cs="宋体"/>
          <w:b/>
          <w:sz w:val="36"/>
          <w:szCs w:val="36"/>
        </w:rPr>
      </w:r>
      <w:r/>
    </w:p>
    <w:p>
      <w:pPr>
        <w:pStyle w:val="1023"/>
        <w:jc w:val="left"/>
        <w:spacing w:line="360" w:lineRule="auto"/>
        <w:widowControl/>
        <w:rPr>
          <w:rFonts w:hint="eastAsia" w:ascii="宋体" w:hAnsi="宋体" w:cs="宋体"/>
          <w:b/>
          <w:sz w:val="24"/>
        </w:rPr>
      </w:pPr>
      <w:r>
        <w:rPr>
          <w:rFonts w:hint="eastAsia" w:ascii="宋体" w:hAnsi="宋体" w:cs="宋体"/>
          <w:b/>
          <w:sz w:val="24"/>
        </w:rPr>
      </w:r>
      <w:r/>
    </w:p>
    <w:p>
      <w:pPr>
        <w:pStyle w:val="1023"/>
        <w:jc w:val="left"/>
        <w:spacing w:line="360" w:lineRule="auto"/>
        <w:widowControl/>
        <w:rPr>
          <w:rFonts w:hint="eastAsia" w:ascii="宋体" w:hAnsi="宋体" w:cs="宋体"/>
          <w:b/>
          <w:sz w:val="24"/>
        </w:rPr>
      </w:pPr>
      <w:r>
        <w:rPr>
          <w:rFonts w:hint="eastAsia" w:ascii="宋体" w:hAnsi="宋体" w:cs="宋体"/>
          <w:b/>
          <w:sz w:val="24"/>
        </w:rPr>
      </w:r>
      <w:r/>
    </w:p>
    <w:p>
      <w:pPr>
        <w:pStyle w:val="1023"/>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1023"/>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1023"/>
        <w:ind w:left="142"/>
        <w:spacing w:line="360" w:lineRule="auto"/>
        <w:tabs>
          <w:tab w:val="left" w:pos="900" w:leader="none"/>
          <w:tab w:val="left" w:pos="1980" w:leader="none"/>
        </w:tabs>
        <w:rPr>
          <w:sz w:val="24"/>
        </w:rPr>
      </w:pPr>
      <w:r>
        <w:rPr>
          <w:sz w:val="24"/>
        </w:rPr>
        <w:t xml:space="preserve">2、</w:t>
      </w:r>
      <w:r>
        <w:rPr>
          <w:sz w:val="24"/>
        </w:rPr>
        <w:t xml:space="preserve">对于</w:t>
      </w:r>
      <w:r>
        <w:rPr>
          <w:rFonts w:hint="eastAsia"/>
          <w:sz w:val="24"/>
        </w:rPr>
        <w:t xml:space="preserve">采购文件</w:t>
      </w:r>
      <w:r>
        <w:rPr>
          <w:sz w:val="24"/>
        </w:rPr>
        <w:t xml:space="preserve">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w:t>
      </w:r>
      <w:r>
        <w:rPr>
          <w:rFonts w:hint="eastAsia"/>
          <w:sz w:val="24"/>
        </w:rPr>
        <w:t xml:space="preserve">采购文件</w:t>
      </w:r>
      <w:r>
        <w:rPr>
          <w:sz w:val="24"/>
        </w:rPr>
        <w:t xml:space="preserve">未提供格式的内容，可由投标人自行编写。</w:t>
      </w:r>
      <w:r>
        <w:rPr>
          <w:sz w:val="24"/>
        </w:rPr>
      </w:r>
      <w:r/>
    </w:p>
    <w:p>
      <w:pPr>
        <w:pStyle w:val="1023"/>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1023"/>
        <w:ind w:left="142"/>
        <w:spacing w:line="360" w:lineRule="auto"/>
        <w:tabs>
          <w:tab w:val="left" w:pos="900" w:leader="none"/>
          <w:tab w:val="left" w:pos="1980" w:leader="none"/>
        </w:tabs>
        <w:rPr>
          <w:rFonts w:hint="eastAsia" w:ascii="宋体" w:hAnsi="宋体" w:cs="宋体"/>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rFonts w:hint="eastAsia" w:ascii="宋体" w:hAnsi="宋体" w:cs="宋体"/>
          <w:sz w:val="24"/>
        </w:rPr>
      </w:r>
      <w:r/>
    </w:p>
    <w:p>
      <w:pPr>
        <w:pStyle w:val="1023"/>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r>
      <w:r/>
    </w:p>
    <w:p>
      <w:pPr>
        <w:pStyle w:val="1023"/>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1023"/>
        <w:rPr>
          <w:rFonts w:hint="eastAsia" w:ascii="宋体" w:hAnsi="宋体" w:cs="宋体"/>
          <w:b/>
          <w:spacing w:val="20"/>
          <w:szCs w:val="21"/>
        </w:rPr>
      </w:pPr>
      <w:r/>
      <w:bookmarkEnd w:id="727"/>
      <w:r/>
      <w:bookmarkEnd w:id="728"/>
      <w:r/>
      <w:bookmarkEnd w:id="729"/>
      <w:r/>
      <w:bookmarkEnd w:id="730"/>
      <w:r/>
      <w:bookmarkEnd w:id="731"/>
      <w:r/>
      <w:bookmarkEnd w:id="733"/>
      <w:r/>
      <w:bookmarkEnd w:id="734"/>
      <w:r/>
      <w:bookmarkEnd w:id="735"/>
      <w:r/>
      <w:bookmarkEnd w:id="736"/>
      <w:r/>
      <w:bookmarkEnd w:id="737"/>
      <w:r/>
      <w:bookmarkEnd w:id="738"/>
      <w:r/>
      <w:bookmarkEnd w:id="739"/>
      <w:r/>
      <w:bookmarkEnd w:id="740"/>
      <w:r/>
      <w:bookmarkEnd w:id="741"/>
      <w:r>
        <w:rPr>
          <w:rFonts w:hint="eastAsia" w:ascii="宋体" w:hAnsi="宋体" w:cs="宋体"/>
          <w:b/>
          <w:spacing w:val="20"/>
          <w:szCs w:val="21"/>
        </w:rPr>
      </w:r>
      <w:r/>
    </w:p>
    <w:p>
      <w:pPr>
        <w:pStyle w:val="1023"/>
        <w:jc w:val="left"/>
        <w:keepLines/>
        <w:keepNext/>
        <w:spacing w:before="120" w:line="300" w:lineRule="auto"/>
        <w:rPr>
          <w:b/>
          <w:sz w:val="30"/>
          <w:szCs w:val="20"/>
        </w:rPr>
        <w:outlineLvl w:val="1"/>
      </w:pPr>
      <w:r>
        <w:rPr>
          <w:b/>
          <w:spacing w:val="20"/>
          <w:sz w:val="24"/>
        </w:rPr>
        <w:t xml:space="preserve">一、资格证明文件格式</w:t>
      </w:r>
      <w:r>
        <w:rPr>
          <w:b/>
          <w:sz w:val="30"/>
          <w:szCs w:val="20"/>
        </w:rPr>
      </w:r>
      <w:r/>
    </w:p>
    <w:p>
      <w:pPr>
        <w:pStyle w:val="1023"/>
        <w:rPr>
          <w:b/>
          <w:spacing w:val="20"/>
          <w:szCs w:val="21"/>
        </w:rPr>
      </w:pPr>
      <w:r>
        <w:rPr>
          <w:b/>
          <w:spacing w:val="20"/>
          <w:szCs w:val="21"/>
        </w:rPr>
      </w:r>
      <w:r/>
    </w:p>
    <w:p>
      <w:pPr>
        <w:pStyle w:val="1023"/>
        <w:rPr>
          <w:b/>
          <w:sz w:val="24"/>
        </w:rPr>
      </w:pPr>
      <w:r>
        <w:rPr>
          <w:b/>
          <w:spacing w:val="20"/>
          <w:sz w:val="24"/>
        </w:rPr>
        <w:t xml:space="preserve">投标文件</w:t>
      </w:r>
      <w:r>
        <w:rPr>
          <w:b/>
          <w:sz w:val="24"/>
        </w:rPr>
        <w:t xml:space="preserve">封面（非实质性格式）</w:t>
      </w:r>
      <w:r>
        <w:rPr>
          <w:b/>
          <w:sz w:val="24"/>
        </w:rPr>
      </w:r>
      <w:r/>
    </w:p>
    <w:p>
      <w:pPr>
        <w:pStyle w:val="1023"/>
        <w:jc w:val="center"/>
        <w:rPr>
          <w:szCs w:val="21"/>
        </w:rPr>
      </w:pPr>
      <w:r>
        <w:rPr>
          <w:szCs w:val="21"/>
        </w:rPr>
      </w:r>
      <w:r/>
    </w:p>
    <w:p>
      <w:pPr>
        <w:pStyle w:val="1023"/>
        <w:jc w:val="center"/>
        <w:rPr>
          <w:b/>
          <w:spacing w:val="60"/>
          <w:sz w:val="84"/>
          <w:szCs w:val="84"/>
        </w:rPr>
      </w:pPr>
      <w:r>
        <w:rPr>
          <w:b/>
          <w:spacing w:val="60"/>
          <w:sz w:val="84"/>
          <w:szCs w:val="84"/>
        </w:rPr>
        <w:t xml:space="preserve">投 标 文 件</w:t>
      </w:r>
      <w:r>
        <w:rPr>
          <w:b/>
          <w:spacing w:val="60"/>
          <w:sz w:val="84"/>
          <w:szCs w:val="84"/>
        </w:rPr>
      </w:r>
      <w:r/>
    </w:p>
    <w:p>
      <w:pPr>
        <w:pStyle w:val="1023"/>
        <w:ind w:firstLine="963"/>
        <w:rPr>
          <w:rFonts w:hint="eastAsia"/>
          <w:b/>
          <w:spacing w:val="60"/>
          <w:sz w:val="52"/>
          <w:szCs w:val="52"/>
        </w:rPr>
      </w:pPr>
      <w:r>
        <w:rPr>
          <w:rFonts w:hint="eastAsia"/>
          <w:b/>
          <w:spacing w:val="60"/>
          <w:sz w:val="52"/>
          <w:szCs w:val="52"/>
        </w:rPr>
      </w:r>
      <w:r/>
    </w:p>
    <w:p>
      <w:pPr>
        <w:pStyle w:val="1023"/>
        <w:ind w:firstLine="963"/>
        <w:rPr>
          <w:rFonts w:hint="eastAsia"/>
          <w:b/>
          <w:spacing w:val="60"/>
          <w:sz w:val="52"/>
          <w:szCs w:val="52"/>
        </w:rPr>
      </w:pPr>
      <w:r>
        <w:rPr>
          <w:rFonts w:hint="eastAsia"/>
          <w:b/>
          <w:spacing w:val="60"/>
          <w:sz w:val="52"/>
          <w:szCs w:val="52"/>
        </w:rPr>
      </w:r>
      <w:r/>
    </w:p>
    <w:p>
      <w:pPr>
        <w:pStyle w:val="1023"/>
        <w:ind w:firstLine="542"/>
        <w:rPr>
          <w:b/>
          <w:spacing w:val="20"/>
          <w:sz w:val="32"/>
          <w:szCs w:val="32"/>
        </w:rPr>
      </w:pPr>
      <w:r>
        <w:rPr>
          <w:b/>
          <w:spacing w:val="20"/>
          <w:sz w:val="32"/>
          <w:szCs w:val="32"/>
        </w:rPr>
      </w:r>
      <w:r/>
    </w:p>
    <w:p>
      <w:pPr>
        <w:pStyle w:val="1023"/>
        <w:ind w:firstLine="542"/>
        <w:rPr>
          <w:b/>
          <w:spacing w:val="20"/>
          <w:sz w:val="32"/>
          <w:szCs w:val="32"/>
        </w:rPr>
      </w:pPr>
      <w:r>
        <w:rPr>
          <w:b/>
          <w:spacing w:val="20"/>
          <w:sz w:val="32"/>
          <w:szCs w:val="32"/>
        </w:rPr>
      </w:r>
      <w:r/>
    </w:p>
    <w:p>
      <w:pPr>
        <w:pStyle w:val="102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2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2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2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23"/>
        <w:jc w:val="center"/>
        <w:rPr>
          <w:b/>
          <w:sz w:val="32"/>
          <w:szCs w:val="32"/>
        </w:rPr>
      </w:pPr>
      <w:r>
        <w:rPr>
          <w:b/>
          <w:sz w:val="32"/>
          <w:szCs w:val="32"/>
        </w:rPr>
      </w:r>
      <w:r/>
    </w:p>
    <w:p>
      <w:pPr>
        <w:pStyle w:val="1023"/>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23"/>
        <w:rPr>
          <w:b/>
        </w:rPr>
      </w:pPr>
      <w:r>
        <w:rPr>
          <w:b/>
        </w:rPr>
      </w:r>
      <w:r/>
    </w:p>
    <w:p>
      <w:pPr>
        <w:pStyle w:val="1023"/>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1026"/>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投标人资格声明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02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23"/>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45"/>
        <w:ind w:firstLine="480"/>
        <w:spacing w:line="460" w:lineRule="exact"/>
      </w:pPr>
      <w:r/>
      <w:r/>
    </w:p>
    <w:p>
      <w:pPr>
        <w:pStyle w:val="1045"/>
        <w:ind w:firstLine="480"/>
        <w:spacing w:line="460" w:lineRule="exact"/>
        <w:rPr>
          <w:rFonts w:hint="eastAsia" w:eastAsia="宋体"/>
          <w:lang w:eastAsia="zh-CN"/>
        </w:rPr>
      </w:pPr>
      <w:r>
        <w:rPr>
          <w:rFonts w:hint="eastAsia"/>
        </w:rPr>
        <w:t xml:space="preserve">致：</w:t>
      </w:r>
      <w:r>
        <w:rPr>
          <w:rFonts w:hint="eastAsia"/>
          <w:lang w:eastAsia="zh-CN"/>
        </w:rPr>
        <w:t xml:space="preserve">溧阳市大成招投标有限公司</w:t>
      </w:r>
      <w:r>
        <w:rPr>
          <w:rFonts w:hint="eastAsia" w:eastAsia="宋体"/>
          <w:lang w:eastAsia="zh-CN"/>
        </w:rPr>
      </w:r>
      <w:r/>
    </w:p>
    <w:p>
      <w:pPr>
        <w:pStyle w:val="1045"/>
        <w:ind w:firstLine="960"/>
        <w:spacing w:line="460" w:lineRule="exact"/>
        <w:rPr>
          <w:u w:val="single"/>
        </w:rPr>
      </w:pPr>
      <w:r>
        <w:rPr>
          <w:rFonts w:hint="eastAsia"/>
          <w:u w:val="single"/>
        </w:rPr>
        <w:t xml:space="preserve">（采购人名称）</w:t>
      </w:r>
      <w:r>
        <w:rPr>
          <w:u w:val="single"/>
        </w:rPr>
      </w:r>
      <w:r/>
    </w:p>
    <w:p>
      <w:pPr>
        <w:pStyle w:val="1045"/>
        <w:ind w:firstLine="480"/>
        <w:spacing w:line="460" w:lineRule="exact"/>
      </w:pPr>
      <w:r/>
      <w:r/>
    </w:p>
    <w:p>
      <w:pPr>
        <w:pStyle w:val="1045"/>
        <w:ind w:firstLine="480"/>
        <w:spacing w:line="460" w:lineRule="exact"/>
      </w:pPr>
      <w:r>
        <w:rPr>
          <w:rFonts w:hint="eastAsia"/>
        </w:rPr>
        <w:t xml:space="preserve">按照《中华人民共和国政府采购法》第二十二条和招标文件的规定，我单位郑重声明如下：</w:t>
      </w:r>
      <w:r/>
    </w:p>
    <w:p>
      <w:pPr>
        <w:pStyle w:val="104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p>
    <w:p>
      <w:pPr>
        <w:pStyle w:val="1045"/>
        <w:ind w:firstLine="480"/>
        <w:spacing w:line="460" w:lineRule="exact"/>
      </w:pPr>
      <w:r>
        <w:rPr>
          <w:rFonts w:hint="eastAsia"/>
        </w:rPr>
        <w:t xml:space="preserve">二、我单位具有良好的商业信誉（指投标人经营状况良好，无本资格声明第十条情形）和健全的财务会计制度。</w:t>
      </w:r>
      <w:r/>
    </w:p>
    <w:p>
      <w:pPr>
        <w:pStyle w:val="1045"/>
        <w:ind w:firstLine="480"/>
        <w:spacing w:line="460" w:lineRule="exact"/>
      </w:pPr>
      <w:r>
        <w:rPr>
          <w:rFonts w:hint="eastAsia"/>
        </w:rPr>
        <w:t xml:space="preserve">三、我单位依法进行纳税和社会保险申报并实际履行了义务。</w:t>
      </w:r>
      <w:r/>
    </w:p>
    <w:p>
      <w:pPr>
        <w:pStyle w:val="104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45"/>
        <w:ind w:firstLine="480"/>
        <w:spacing w:line="460" w:lineRule="exact"/>
      </w:pPr>
      <w:r>
        <w:rPr>
          <w:rFonts w:hint="eastAsia"/>
        </w:rPr>
        <w:t xml:space="preserve">主要设备有：</w:t>
      </w:r>
      <w:r>
        <w:rPr>
          <w:u w:val="single"/>
        </w:rPr>
        <w:t xml:space="preserve">            </w:t>
      </w:r>
      <w:r/>
    </w:p>
    <w:p>
      <w:pPr>
        <w:pStyle w:val="1045"/>
        <w:ind w:firstLine="480"/>
        <w:spacing w:line="460" w:lineRule="exact"/>
      </w:pPr>
      <w:r>
        <w:rPr>
          <w:rFonts w:hint="eastAsia"/>
        </w:rPr>
        <w:t xml:space="preserve">主要专业技术能力有</w:t>
      </w:r>
      <w:r>
        <w:rPr>
          <w:rFonts w:hint="eastAsia"/>
          <w:u w:val="single"/>
        </w:rPr>
        <w:t xml:space="preserve">                 </w:t>
      </w:r>
      <w:r/>
    </w:p>
    <w:p>
      <w:pPr>
        <w:pStyle w:val="104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45"/>
        <w:ind w:firstLine="480"/>
        <w:spacing w:line="460" w:lineRule="exact"/>
      </w:pPr>
      <w:r>
        <w:rPr>
          <w:rFonts w:hint="eastAsia"/>
        </w:rPr>
        <w:t xml:space="preserve">六、我单位具备法律、行政法规规定的其他条件。</w:t>
      </w:r>
      <w:r/>
    </w:p>
    <w:p>
      <w:pPr>
        <w:pStyle w:val="104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4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4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4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4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45"/>
        <w:ind w:firstLine="480"/>
        <w:spacing w:line="460" w:lineRule="exact"/>
      </w:pPr>
      <w:r>
        <w:rPr>
          <w:rFonts w:hint="eastAsia"/>
        </w:rPr>
        <w:t xml:space="preserve">九、</w:t>
      </w:r>
      <w:r>
        <w:t xml:space="preserve">我单位无以下不良信用记录情形：</w:t>
      </w:r>
      <w:r/>
    </w:p>
    <w:p>
      <w:pPr>
        <w:pStyle w:val="1045"/>
        <w:ind w:firstLine="480"/>
        <w:spacing w:line="460" w:lineRule="exact"/>
      </w:pPr>
      <w:r>
        <w:t xml:space="preserve">1</w:t>
      </w:r>
      <w:r>
        <w:rPr>
          <w:rFonts w:hint="eastAsia"/>
        </w:rPr>
        <w:t xml:space="preserve">、在“信用中国”网站被列入失信被执行人和重大税收违法案件当事人名单；</w:t>
      </w:r>
      <w:r/>
    </w:p>
    <w:p>
      <w:pPr>
        <w:pStyle w:val="1045"/>
        <w:ind w:firstLine="480"/>
        <w:spacing w:line="460" w:lineRule="exact"/>
      </w:pPr>
      <w:r>
        <w:t xml:space="preserve">2</w:t>
      </w:r>
      <w:r>
        <w:rPr>
          <w:rFonts w:hint="eastAsia"/>
        </w:rPr>
        <w:t xml:space="preserve">、在“中国政府采购网”网站被列入政府采购严重违法失信行为记录名单；</w:t>
      </w:r>
      <w:r/>
    </w:p>
    <w:p>
      <w:pPr>
        <w:pStyle w:val="1045"/>
        <w:ind w:firstLine="480"/>
        <w:spacing w:line="460" w:lineRule="exact"/>
      </w:pPr>
      <w:r>
        <w:t xml:space="preserve">3</w:t>
      </w:r>
      <w:r>
        <w:rPr>
          <w:rFonts w:hint="eastAsia"/>
        </w:rPr>
        <w:t xml:space="preserve">、</w:t>
      </w:r>
      <w:r>
        <w:t xml:space="preserve">不符合《政府采购法》第二十二条规定的条件。</w:t>
      </w:r>
      <w:r/>
    </w:p>
    <w:p>
      <w:pPr>
        <w:pStyle w:val="1045"/>
        <w:ind w:firstLine="480"/>
        <w:spacing w:line="460" w:lineRule="exact"/>
      </w:pPr>
      <w:r/>
      <w:r/>
    </w:p>
    <w:p>
      <w:pPr>
        <w:pStyle w:val="104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45"/>
        <w:ind w:firstLine="480"/>
        <w:spacing w:line="460" w:lineRule="exact"/>
      </w:pPr>
      <w:r/>
      <w:r/>
    </w:p>
    <w:p>
      <w:pPr>
        <w:pStyle w:val="1045"/>
        <w:ind w:firstLine="480"/>
        <w:spacing w:line="460" w:lineRule="exact"/>
      </w:pPr>
      <w:r/>
      <w:r/>
    </w:p>
    <w:p>
      <w:pPr>
        <w:pStyle w:val="1045"/>
        <w:ind w:firstLine="480"/>
        <w:spacing w:line="460" w:lineRule="exact"/>
      </w:pPr>
      <w:r>
        <w:rPr>
          <w:rFonts w:hint="eastAsia"/>
        </w:rPr>
        <w:t xml:space="preserve">                                            投标人：（加盖公章）</w:t>
      </w:r>
      <w:r/>
    </w:p>
    <w:p>
      <w:pPr>
        <w:pStyle w:val="1045"/>
        <w:ind w:firstLine="480"/>
        <w:spacing w:line="460" w:lineRule="exact"/>
      </w:pPr>
      <w:r>
        <w:rPr>
          <w:rFonts w:hint="eastAsia"/>
        </w:rPr>
        <w:t xml:space="preserve">                                           法定代表人（或单位负责人）签字或盖章：</w:t>
      </w:r>
      <w:r/>
    </w:p>
    <w:p>
      <w:pPr>
        <w:pStyle w:val="1045"/>
        <w:ind w:firstLine="4920"/>
        <w:spacing w:line="460" w:lineRule="exact"/>
        <w:rPr>
          <w:rFonts w:hint="eastAsia"/>
        </w:rPr>
      </w:pPr>
      <w:r>
        <w:rPr>
          <w:rFonts w:hint="eastAsia"/>
        </w:rPr>
        <w:t xml:space="preserve">日期：    年    月    日</w:t>
      </w:r>
      <w:r>
        <w:rPr>
          <w:rFonts w:hint="eastAsia"/>
        </w:rPr>
      </w:r>
      <w:r/>
    </w:p>
    <w:p>
      <w:pPr>
        <w:pStyle w:val="1023"/>
        <w:spacing w:line="360" w:lineRule="auto"/>
        <w:rPr>
          <w:rFonts w:hint="eastAsia"/>
          <w:sz w:val="24"/>
        </w:rPr>
      </w:pPr>
      <w:r>
        <w:rPr>
          <w:rFonts w:hint="eastAsia"/>
          <w:sz w:val="24"/>
        </w:rPr>
      </w:r>
      <w:r/>
    </w:p>
    <w:p>
      <w:pPr>
        <w:pStyle w:val="1023"/>
        <w:spacing w:line="360" w:lineRule="auto"/>
        <w:rPr>
          <w:rFonts w:hint="eastAsia"/>
          <w:sz w:val="24"/>
        </w:rPr>
      </w:pPr>
      <w:r>
        <w:rPr>
          <w:rFonts w:hint="eastAsia"/>
          <w:sz w:val="24"/>
        </w:rPr>
      </w:r>
      <w:r/>
    </w:p>
    <w:p>
      <w:pPr>
        <w:pStyle w:val="1023"/>
        <w:spacing w:line="360" w:lineRule="auto"/>
        <w:rPr>
          <w:rFonts w:hint="eastAsia"/>
          <w:sz w:val="24"/>
        </w:rPr>
      </w:pPr>
      <w:r>
        <w:rPr>
          <w:rFonts w:hint="eastAsia"/>
          <w:sz w:val="24"/>
        </w:rPr>
      </w:r>
      <w:r/>
    </w:p>
    <w:p>
      <w:pPr>
        <w:pStyle w:val="1023"/>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23"/>
        <w:spacing w:line="360" w:lineRule="auto"/>
        <w:tabs>
          <w:tab w:val="left" w:pos="5580" w:leader="none"/>
        </w:tabs>
        <w:rPr>
          <w:sz w:val="24"/>
        </w:rPr>
        <w:sectPr>
          <w:footnotePr/>
          <w:endnotePr/>
          <w:type w:val="nextPage"/>
          <w:pgSz w:w="11907" w:h="16840" w:orient="portrait"/>
          <w:pgMar w:top="1417" w:right="1134" w:bottom="1417" w:left="1417" w:header="851" w:footer="850" w:gutter="0"/>
          <w:cols w:num="1" w:sep="0" w:space="1701" w:equalWidth="1"/>
          <w:docGrid w:linePitch="360"/>
        </w:sectPr>
      </w:pPr>
      <w:r>
        <w:rPr>
          <w:sz w:val="24"/>
        </w:rPr>
      </w:r>
      <w:r/>
    </w:p>
    <w:p>
      <w:pPr>
        <w:pStyle w:val="1023"/>
        <w:jc w:val="left"/>
        <w:widowControl/>
        <w:rPr>
          <w:color w:val="000000"/>
          <w:sz w:val="24"/>
        </w:rPr>
      </w:pPr>
      <w:r>
        <w:rPr>
          <w:color w:val="000000"/>
          <w:sz w:val="24"/>
        </w:rPr>
      </w:r>
      <w:r/>
    </w:p>
    <w:p>
      <w:pPr>
        <w:pStyle w:val="1023"/>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1023"/>
        <w:spacing w:line="360" w:lineRule="auto"/>
        <w:rPr>
          <w:color w:val="000000"/>
          <w:sz w:val="24"/>
          <w:szCs w:val="20"/>
        </w:rPr>
        <w:outlineLvl w:val="2"/>
      </w:pPr>
      <w:r>
        <w:rPr>
          <w:color w:val="000000"/>
          <w:sz w:val="24"/>
          <w:szCs w:val="20"/>
        </w:rPr>
        <w:t xml:space="preserve">2-1中小企业声明函</w:t>
      </w:r>
      <w:r>
        <w:rPr>
          <w:color w:val="000000"/>
          <w:sz w:val="24"/>
          <w:szCs w:val="20"/>
        </w:rPr>
      </w:r>
      <w:r/>
    </w:p>
    <w:p>
      <w:pPr>
        <w:pStyle w:val="1023"/>
        <w:spacing w:line="360" w:lineRule="auto"/>
        <w:tabs>
          <w:tab w:val="left" w:pos="5580" w:leader="none"/>
        </w:tabs>
        <w:rPr>
          <w:sz w:val="24"/>
        </w:rPr>
      </w:pPr>
      <w:r>
        <w:rPr>
          <w:sz w:val="24"/>
        </w:rPr>
      </w:r>
      <w:r/>
    </w:p>
    <w:p>
      <w:pPr>
        <w:pStyle w:val="1023"/>
        <w:spacing w:line="360" w:lineRule="auto"/>
        <w:tabs>
          <w:tab w:val="left" w:pos="5580" w:leader="none"/>
        </w:tabs>
        <w:rPr>
          <w:sz w:val="24"/>
        </w:rPr>
      </w:pPr>
      <w:r>
        <w:rPr>
          <w:sz w:val="24"/>
        </w:rPr>
        <w:t xml:space="preserve">说明：</w:t>
      </w:r>
      <w:r>
        <w:rPr>
          <w:sz w:val="24"/>
        </w:rPr>
      </w:r>
      <w:r/>
    </w:p>
    <w:p>
      <w:pPr>
        <w:pStyle w:val="1023"/>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rPr>
          <w:sz w:val="24"/>
        </w:rPr>
      </w:r>
      <w:r/>
    </w:p>
    <w:p>
      <w:pPr>
        <w:pStyle w:val="1023"/>
        <w:spacing w:line="360" w:lineRule="auto"/>
        <w:tabs>
          <w:tab w:val="left" w:pos="5580" w:leader="none"/>
        </w:tabs>
        <w:rPr>
          <w:sz w:val="24"/>
        </w:rPr>
      </w:pPr>
      <w:r>
        <w:rPr>
          <w:sz w:val="24"/>
        </w:rPr>
        <w:t xml:space="preserve">（2）</w:t>
      </w:r>
      <w:r>
        <w:rPr>
          <w:rFonts w:hint="eastAsia"/>
          <w:sz w:val="24"/>
        </w:rPr>
        <w:t xml:space="preserve">中小企业参加政府采购活动，应当出具此格式文件。《中小企业声明函》由参加政府采购活动的投标人出具。</w:t>
      </w:r>
      <w:r>
        <w:rPr>
          <w:sz w:val="24"/>
        </w:rPr>
      </w:r>
      <w:r/>
    </w:p>
    <w:p>
      <w:pPr>
        <w:pStyle w:val="1023"/>
        <w:spacing w:line="360" w:lineRule="auto"/>
        <w:tabs>
          <w:tab w:val="left" w:pos="5580" w:leader="none"/>
        </w:tabs>
        <w:rPr>
          <w:rFonts w:hint="eastAsia"/>
          <w:sz w:val="24"/>
        </w:rPr>
      </w:pPr>
      <w:r>
        <w:rPr>
          <w:rFonts w:hint="eastAsia"/>
          <w:sz w:val="24"/>
        </w:rPr>
        <w:t xml:space="preserve">（</w:t>
      </w:r>
      <w:r>
        <w:rPr>
          <w:rFonts w:hint="eastAsia"/>
          <w:sz w:val="24"/>
          <w:lang w:val="en-US" w:eastAsia="zh-CN"/>
        </w:rPr>
        <w:t xml:space="preserve">3</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r>
      <w:r/>
    </w:p>
    <w:p>
      <w:pPr>
        <w:pStyle w:val="1023"/>
        <w:spacing w:line="360" w:lineRule="auto"/>
        <w:tabs>
          <w:tab w:val="left" w:pos="5580" w:leader="none"/>
        </w:tabs>
        <w:rPr>
          <w:sz w:val="24"/>
        </w:rPr>
      </w:pPr>
      <w:r>
        <w:rPr>
          <w:sz w:val="24"/>
        </w:rPr>
      </w:r>
      <w:r/>
    </w:p>
    <w:p>
      <w:pPr>
        <w:pStyle w:val="1023"/>
        <w:jc w:val="left"/>
        <w:widowControl/>
        <w:rPr>
          <w:sz w:val="24"/>
        </w:rPr>
      </w:pPr>
      <w:r>
        <w:rPr>
          <w:sz w:val="24"/>
        </w:rPr>
        <w:br w:type="page" w:clear="all"/>
      </w:r>
      <w:r>
        <w:rPr>
          <w:sz w:val="24"/>
        </w:rPr>
      </w:r>
      <w:r/>
    </w:p>
    <w:p>
      <w:pPr>
        <w:pStyle w:val="1023"/>
        <w:jc w:val="center"/>
        <w:spacing w:before="240" w:after="240" w:line="360" w:lineRule="auto"/>
        <w:rPr>
          <w:b/>
          <w:bCs/>
          <w:color w:val="000000"/>
          <w:sz w:val="36"/>
          <w:szCs w:val="36"/>
        </w:rPr>
      </w:pPr>
      <w:r>
        <w:rPr>
          <w:rFonts w:hint="eastAsia"/>
          <w:b/>
          <w:bCs/>
          <w:color w:val="000000"/>
          <w:sz w:val="36"/>
          <w:szCs w:val="36"/>
        </w:rPr>
        <w:t xml:space="preserve">中小企业声明函（服务）格式</w:t>
      </w:r>
      <w:r>
        <w:rPr>
          <w:b/>
          <w:bCs/>
          <w:color w:val="000000"/>
          <w:sz w:val="36"/>
          <w:szCs w:val="36"/>
        </w:rPr>
      </w:r>
      <w:r/>
    </w:p>
    <w:p>
      <w:pPr>
        <w:pStyle w:val="1023"/>
        <w:ind w:firstLine="504"/>
        <w:spacing w:line="360" w:lineRule="auto"/>
        <w:rPr>
          <w:spacing w:val="6"/>
          <w:sz w:val="24"/>
        </w:rPr>
      </w:pPr>
      <w:r>
        <w:rPr>
          <w:spacing w:val="6"/>
          <w:sz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spacing w:val="6"/>
          <w:sz w:val="24"/>
        </w:rPr>
      </w:r>
      <w:r/>
    </w:p>
    <w:p>
      <w:pPr>
        <w:pStyle w:val="1023"/>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023"/>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023"/>
        <w:ind w:firstLine="504"/>
        <w:spacing w:line="360" w:lineRule="auto"/>
        <w:rPr>
          <w:spacing w:val="6"/>
          <w:sz w:val="24"/>
        </w:rPr>
      </w:pPr>
      <w:r>
        <w:rPr>
          <w:spacing w:val="6"/>
          <w:sz w:val="24"/>
        </w:rPr>
      </w:r>
      <w:r/>
    </w:p>
    <w:p>
      <w:pPr>
        <w:pStyle w:val="1023"/>
        <w:ind w:firstLine="504"/>
        <w:spacing w:line="360" w:lineRule="auto"/>
        <w:rPr>
          <w:spacing w:val="6"/>
          <w:sz w:val="24"/>
        </w:rPr>
      </w:pPr>
      <w:r>
        <w:rPr>
          <w:spacing w:val="6"/>
          <w:sz w:val="24"/>
        </w:rPr>
        <w:t xml:space="preserve">……</w:t>
      </w:r>
      <w:r>
        <w:rPr>
          <w:spacing w:val="6"/>
          <w:sz w:val="24"/>
        </w:rPr>
      </w:r>
      <w:r/>
    </w:p>
    <w:p>
      <w:pPr>
        <w:pStyle w:val="1023"/>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023"/>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023"/>
        <w:ind w:right="360" w:firstLine="480"/>
        <w:jc w:val="right"/>
        <w:spacing w:line="360" w:lineRule="auto"/>
        <w:rPr>
          <w:color w:val="000000"/>
          <w:sz w:val="24"/>
        </w:rPr>
      </w:pPr>
      <w:r>
        <w:rPr>
          <w:color w:val="000000"/>
          <w:sz w:val="24"/>
        </w:rPr>
      </w:r>
      <w:r/>
    </w:p>
    <w:p>
      <w:pPr>
        <w:pStyle w:val="1023"/>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23"/>
        <w:ind w:right="360" w:firstLine="480"/>
        <w:jc w:val="right"/>
        <w:spacing w:line="360" w:lineRule="auto"/>
        <w:rPr>
          <w:color w:val="000000"/>
          <w:sz w:val="24"/>
        </w:rPr>
      </w:pPr>
      <w:r>
        <w:rPr>
          <w:color w:val="000000"/>
          <w:sz w:val="24"/>
        </w:rPr>
        <w:t xml:space="preserve">日 期：________</w:t>
      </w:r>
      <w:r>
        <w:rPr>
          <w:color w:val="000000"/>
          <w:sz w:val="24"/>
        </w:rPr>
      </w:r>
      <w:r/>
    </w:p>
    <w:p>
      <w:pPr>
        <w:pStyle w:val="1023"/>
        <w:jc w:val="left"/>
        <w:rPr>
          <w:color w:val="000000"/>
          <w:sz w:val="24"/>
          <w:szCs w:val="21"/>
        </w:rPr>
      </w:pPr>
      <w:r>
        <w:rPr>
          <w:color w:val="000000"/>
          <w:sz w:val="24"/>
          <w:szCs w:val="21"/>
        </w:rPr>
      </w:r>
      <w:r/>
    </w:p>
    <w:p>
      <w:pPr>
        <w:pStyle w:val="1023"/>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23"/>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23"/>
        <w:ind w:firstLine="420"/>
        <w:jc w:val="left"/>
        <w:rPr>
          <w:sz w:val="24"/>
        </w:rPr>
      </w:pPr>
      <w:r>
        <w:rPr>
          <w:sz w:val="24"/>
        </w:rPr>
      </w:r>
      <w:r/>
    </w:p>
    <w:p>
      <w:pPr>
        <w:pStyle w:val="1023"/>
        <w:spacing w:line="360" w:lineRule="auto"/>
        <w:rPr>
          <w:color w:val="000000"/>
          <w:sz w:val="24"/>
        </w:rPr>
      </w:pPr>
      <w:r>
        <w:rPr>
          <w:color w:val="000000"/>
          <w:sz w:val="24"/>
        </w:rPr>
      </w:r>
      <w:r/>
    </w:p>
    <w:p>
      <w:pPr>
        <w:pStyle w:val="1023"/>
        <w:jc w:val="left"/>
        <w:rPr>
          <w:color w:val="000000"/>
          <w:sz w:val="24"/>
        </w:rPr>
      </w:pPr>
      <w:r>
        <w:rPr>
          <w:color w:val="000000"/>
          <w:sz w:val="24"/>
        </w:rPr>
        <w:br w:type="page" w:clear="all"/>
      </w:r>
      <w:r>
        <w:rPr>
          <w:color w:val="000000"/>
          <w:sz w:val="24"/>
        </w:rPr>
      </w:r>
      <w:r/>
    </w:p>
    <w:p>
      <w:pPr>
        <w:pStyle w:val="1025"/>
      </w:pPr>
      <w:r/>
      <w:r/>
    </w:p>
    <w:p>
      <w:pPr>
        <w:pStyle w:val="1023"/>
        <w:jc w:val="center"/>
        <w:spacing w:before="240" w:after="240" w:line="360" w:lineRule="auto"/>
        <w:rPr>
          <w:b/>
          <w:color w:val="000000"/>
          <w:sz w:val="36"/>
          <w:szCs w:val="36"/>
        </w:rPr>
      </w:pPr>
      <w:r>
        <w:rPr>
          <w:rFonts w:hint="eastAsia"/>
          <w:b/>
          <w:bCs/>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023"/>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23"/>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23"/>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23"/>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23"/>
        <w:ind w:firstLine="504"/>
        <w:spacing w:line="588" w:lineRule="exact"/>
        <w:rPr>
          <w:spacing w:val="6"/>
          <w:sz w:val="24"/>
        </w:rPr>
      </w:pPr>
      <w:r>
        <w:rPr>
          <w:spacing w:val="6"/>
          <w:sz w:val="24"/>
        </w:rPr>
      </w:r>
      <w:r/>
    </w:p>
    <w:p>
      <w:pPr>
        <w:pStyle w:val="1023"/>
        <w:ind w:firstLine="504"/>
        <w:spacing w:line="588" w:lineRule="exact"/>
        <w:rPr>
          <w:spacing w:val="6"/>
          <w:sz w:val="24"/>
        </w:rPr>
      </w:pPr>
      <w:r>
        <w:rPr>
          <w:spacing w:val="6"/>
          <w:sz w:val="24"/>
        </w:rPr>
      </w:r>
      <w:r/>
    </w:p>
    <w:p>
      <w:pPr>
        <w:pStyle w:val="1023"/>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023"/>
        <w:ind w:right="1560" w:firstLine="504"/>
        <w:jc w:val="center"/>
        <w:spacing w:line="588" w:lineRule="exact"/>
        <w:tabs>
          <w:tab w:val="left" w:pos="4860" w:leader="none"/>
        </w:tabs>
        <w:rPr>
          <w:rFonts w:hint="eastAsia"/>
          <w:spacing w:val="6"/>
          <w:sz w:val="24"/>
        </w:rPr>
      </w:pPr>
      <w:r>
        <w:rPr>
          <w:spacing w:val="6"/>
          <w:sz w:val="24"/>
        </w:rPr>
        <w:t xml:space="preserve">       日  期：</w:t>
      </w:r>
      <w:r>
        <w:rPr>
          <w:rFonts w:hint="eastAsia"/>
          <w:spacing w:val="6"/>
          <w:sz w:val="24"/>
        </w:rPr>
      </w:r>
      <w:r/>
    </w:p>
    <w:p>
      <w:pPr>
        <w:pStyle w:val="1023"/>
        <w:jc w:val="center"/>
        <w:spacing w:line="360" w:lineRule="auto"/>
        <w:rPr>
          <w:rFonts w:ascii="宋体" w:hAnsi="宋体"/>
          <w:b/>
          <w:sz w:val="32"/>
          <w:szCs w:val="32"/>
        </w:rPr>
      </w:pPr>
      <w:r>
        <w:rPr>
          <w:rFonts w:ascii="宋体" w:hAnsi="宋体"/>
          <w:b/>
          <w:sz w:val="32"/>
          <w:szCs w:val="32"/>
        </w:rPr>
      </w:r>
      <w:r/>
    </w:p>
    <w:p>
      <w:pPr>
        <w:pStyle w:val="1025"/>
        <w:rPr>
          <w:rFonts w:ascii="宋体" w:hAnsi="宋体"/>
          <w:b w:val="0"/>
          <w:sz w:val="32"/>
        </w:rPr>
      </w:pPr>
      <w:r>
        <w:rPr>
          <w:rFonts w:ascii="宋体" w:hAnsi="宋体"/>
          <w:b w:val="0"/>
          <w:sz w:val="32"/>
        </w:rPr>
      </w:r>
      <w:r/>
    </w:p>
    <w:p>
      <w:pPr>
        <w:pStyle w:val="1023"/>
        <w:rPr>
          <w:rFonts w:ascii="宋体" w:hAnsi="宋体"/>
          <w:b/>
          <w:sz w:val="32"/>
          <w:szCs w:val="32"/>
        </w:rPr>
      </w:pPr>
      <w:r>
        <w:rPr>
          <w:rFonts w:ascii="宋体" w:hAnsi="宋体"/>
          <w:b/>
          <w:sz w:val="32"/>
          <w:szCs w:val="32"/>
        </w:rPr>
      </w:r>
      <w:r/>
    </w:p>
    <w:p>
      <w:pPr>
        <w:pStyle w:val="1025"/>
        <w:rPr>
          <w:rFonts w:ascii="宋体" w:hAnsi="宋体"/>
          <w:b w:val="0"/>
          <w:sz w:val="32"/>
        </w:rPr>
      </w:pPr>
      <w:r>
        <w:rPr>
          <w:rFonts w:ascii="宋体" w:hAnsi="宋体"/>
          <w:b w:val="0"/>
          <w:sz w:val="32"/>
        </w:rPr>
      </w:r>
      <w:r/>
    </w:p>
    <w:p>
      <w:pPr>
        <w:pStyle w:val="1023"/>
        <w:rPr>
          <w:rFonts w:ascii="宋体" w:hAnsi="宋体"/>
          <w:b/>
          <w:sz w:val="32"/>
          <w:szCs w:val="32"/>
        </w:rPr>
      </w:pPr>
      <w:r>
        <w:rPr>
          <w:rFonts w:ascii="宋体" w:hAnsi="宋体"/>
          <w:b/>
          <w:sz w:val="32"/>
          <w:szCs w:val="32"/>
        </w:rPr>
      </w:r>
      <w:r/>
    </w:p>
    <w:p>
      <w:pPr>
        <w:pStyle w:val="1025"/>
        <w:rPr>
          <w:rFonts w:ascii="宋体" w:hAnsi="宋体"/>
          <w:b w:val="0"/>
          <w:sz w:val="32"/>
        </w:rPr>
      </w:pPr>
      <w:r>
        <w:rPr>
          <w:rFonts w:ascii="宋体" w:hAnsi="宋体"/>
          <w:b w:val="0"/>
          <w:sz w:val="32"/>
        </w:rPr>
      </w:r>
      <w:r/>
    </w:p>
    <w:p>
      <w:pPr>
        <w:pStyle w:val="1023"/>
        <w:rPr>
          <w:rFonts w:ascii="宋体" w:hAnsi="宋体"/>
          <w:b/>
          <w:sz w:val="32"/>
          <w:szCs w:val="32"/>
        </w:rPr>
      </w:pPr>
      <w:r>
        <w:rPr>
          <w:rFonts w:ascii="宋体" w:hAnsi="宋体"/>
          <w:b/>
          <w:sz w:val="32"/>
          <w:szCs w:val="32"/>
        </w:rPr>
      </w:r>
      <w:r/>
    </w:p>
    <w:p>
      <w:pPr>
        <w:pStyle w:val="1025"/>
        <w:rPr>
          <w:rFonts w:ascii="宋体" w:hAnsi="宋体"/>
          <w:b w:val="0"/>
          <w:sz w:val="32"/>
        </w:rPr>
      </w:pPr>
      <w:r>
        <w:rPr>
          <w:rFonts w:ascii="宋体" w:hAnsi="宋体"/>
          <w:b w:val="0"/>
          <w:sz w:val="32"/>
        </w:rPr>
      </w:r>
      <w:r/>
    </w:p>
    <w:p>
      <w:pPr>
        <w:pStyle w:val="1023"/>
        <w:rPr>
          <w:rFonts w:ascii="宋体" w:hAnsi="宋体"/>
          <w:b/>
          <w:sz w:val="32"/>
          <w:szCs w:val="32"/>
        </w:rPr>
      </w:pPr>
      <w:r>
        <w:rPr>
          <w:rFonts w:ascii="宋体" w:hAnsi="宋体"/>
          <w:b/>
          <w:sz w:val="32"/>
          <w:szCs w:val="32"/>
        </w:rPr>
      </w:r>
      <w:r/>
    </w:p>
    <w:p>
      <w:pPr>
        <w:pStyle w:val="1025"/>
      </w:pPr>
      <w:r/>
      <w:r/>
    </w:p>
    <w:p>
      <w:pPr>
        <w:pStyle w:val="1023"/>
        <w:jc w:val="center"/>
        <w:spacing w:line="360" w:lineRule="auto"/>
        <w:rPr>
          <w:rFonts w:hint="eastAsia" w:ascii="宋体" w:hAnsi="宋体"/>
          <w:b/>
          <w:sz w:val="32"/>
          <w:szCs w:val="32"/>
        </w:rPr>
      </w:pPr>
      <w:r>
        <w:rPr>
          <w:rFonts w:ascii="宋体" w:hAnsi="宋体"/>
          <w:b/>
          <w:sz w:val="32"/>
          <w:szCs w:val="32"/>
        </w:rPr>
        <w:t xml:space="preserve">二、商务技术文件格式</w:t>
      </w:r>
      <w:bookmarkStart w:id="810" w:name="_Ref467988698"/>
      <w:r/>
      <w:bookmarkStart w:id="811" w:name="_Toc195842921"/>
      <w:r/>
      <w:bookmarkStart w:id="812" w:name="_Toc226309800"/>
      <w:r/>
      <w:bookmarkStart w:id="813" w:name="_Toc150480794"/>
      <w:r/>
      <w:bookmarkStart w:id="814" w:name="_Toc226965829"/>
      <w:r/>
      <w:bookmarkStart w:id="815" w:name="_Toc520356217"/>
      <w:r/>
      <w:bookmarkStart w:id="816" w:name="_Toc150774761"/>
      <w:r/>
      <w:bookmarkStart w:id="817" w:name="_Toc226337252"/>
      <w:r/>
      <w:bookmarkStart w:id="818" w:name="_Toc226965746"/>
      <w:r/>
      <w:bookmarkStart w:id="819" w:name="_Toc142311058"/>
      <w:r/>
      <w:bookmarkStart w:id="820" w:name="_Toc480942349"/>
      <w:r/>
      <w:bookmarkStart w:id="821" w:name="_Toc127151556"/>
      <w:r>
        <w:rPr>
          <w:rFonts w:hint="eastAsia" w:ascii="宋体" w:hAnsi="宋体"/>
          <w:b/>
          <w:sz w:val="32"/>
          <w:szCs w:val="32"/>
        </w:rPr>
      </w:r>
      <w:r/>
    </w:p>
    <w:p>
      <w:pPr>
        <w:pStyle w:val="1023"/>
        <w:jc w:val="center"/>
        <w:widowControl/>
        <w:rPr>
          <w:rFonts w:hint="eastAsia" w:ascii="宋体" w:hAnsi="宋体"/>
          <w:b/>
          <w:sz w:val="32"/>
          <w:szCs w:val="32"/>
        </w:rPr>
      </w:pPr>
      <w:r>
        <w:rPr>
          <w:rFonts w:hint="eastAsia" w:ascii="宋体" w:hAnsi="宋体"/>
          <w:b/>
          <w:sz w:val="32"/>
          <w:szCs w:val="32"/>
        </w:rPr>
      </w:r>
      <w:r/>
    </w:p>
    <w:p>
      <w:pPr>
        <w:pStyle w:val="1023"/>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rPr>
          <w:rFonts w:hint="eastAsia"/>
          <w:color w:val="000000"/>
          <w:sz w:val="24"/>
        </w:rPr>
        <w:t xml:space="preserve">函</w:t>
      </w:r>
      <w:r>
        <w:rPr>
          <w:color w:val="000000"/>
          <w:sz w:val="24"/>
          <w:szCs w:val="20"/>
        </w:rPr>
        <w:t xml:space="preserve">（实质性格式）</w:t>
      </w:r>
      <w:r>
        <w:rPr>
          <w:color w:val="000000"/>
          <w:sz w:val="24"/>
          <w:szCs w:val="20"/>
        </w:rPr>
      </w:r>
      <w:r/>
    </w:p>
    <w:p>
      <w:pPr>
        <w:pStyle w:val="1023"/>
        <w:spacing w:line="360" w:lineRule="auto"/>
        <w:tabs>
          <w:tab w:val="left" w:pos="5580" w:leader="none"/>
        </w:tabs>
        <w:rPr>
          <w:color w:val="000000"/>
          <w:sz w:val="24"/>
        </w:rPr>
      </w:pPr>
      <w:r>
        <w:rPr>
          <w:color w:val="000000"/>
          <w:sz w:val="24"/>
        </w:rPr>
      </w:r>
      <w:r/>
    </w:p>
    <w:p>
      <w:pPr>
        <w:pStyle w:val="1023"/>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1023"/>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23"/>
        <w:spacing w:line="360" w:lineRule="auto"/>
        <w:tabs>
          <w:tab w:val="left" w:pos="5580" w:leader="none"/>
        </w:tabs>
        <w:rPr>
          <w:color w:val="000000"/>
          <w:sz w:val="24"/>
          <w:szCs w:val="20"/>
        </w:rPr>
      </w:pPr>
      <w:r>
        <w:rPr>
          <w:color w:val="000000"/>
          <w:sz w:val="24"/>
          <w:szCs w:val="20"/>
        </w:rPr>
      </w:r>
      <w:r/>
    </w:p>
    <w:p>
      <w:pPr>
        <w:pStyle w:val="1023"/>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1023"/>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1023"/>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23"/>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1023"/>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23"/>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1023"/>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23"/>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1023"/>
        <w:ind w:left="420"/>
        <w:spacing w:line="360" w:lineRule="auto"/>
        <w:tabs>
          <w:tab w:val="left" w:pos="5580" w:leader="none"/>
        </w:tabs>
        <w:rPr>
          <w:color w:val="000000"/>
          <w:sz w:val="24"/>
          <w:szCs w:val="20"/>
        </w:rPr>
      </w:pPr>
      <w:r>
        <w:rPr>
          <w:color w:val="000000"/>
          <w:sz w:val="24"/>
          <w:szCs w:val="20"/>
        </w:rPr>
      </w:r>
      <w:r/>
    </w:p>
    <w:p>
      <w:pPr>
        <w:pStyle w:val="1023"/>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23"/>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23"/>
        <w:ind w:left="420"/>
        <w:spacing w:line="360" w:lineRule="auto"/>
        <w:tabs>
          <w:tab w:val="left" w:pos="5580" w:leader="none"/>
        </w:tabs>
        <w:rPr>
          <w:color w:val="000000"/>
          <w:sz w:val="24"/>
          <w:szCs w:val="20"/>
        </w:rPr>
      </w:pPr>
      <w:r>
        <w:rPr>
          <w:color w:val="000000"/>
          <w:sz w:val="24"/>
          <w:szCs w:val="20"/>
        </w:rPr>
      </w:r>
      <w:r/>
    </w:p>
    <w:p>
      <w:pPr>
        <w:pStyle w:val="1023"/>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1023"/>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23"/>
        <w:ind w:left="420"/>
        <w:spacing w:line="360" w:lineRule="auto"/>
        <w:tabs>
          <w:tab w:val="left" w:pos="5580" w:leader="none"/>
        </w:tabs>
        <w:rPr>
          <w:color w:val="000000"/>
          <w:sz w:val="24"/>
          <w:szCs w:val="20"/>
          <w:u w:val="single"/>
        </w:rPr>
      </w:pPr>
      <w:r>
        <w:rPr>
          <w:color w:val="000000"/>
          <w:sz w:val="24"/>
          <w:szCs w:val="20"/>
          <w:u w:val="single"/>
        </w:rPr>
      </w:r>
      <w:r/>
    </w:p>
    <w:p>
      <w:pPr>
        <w:pStyle w:val="1023"/>
        <w:jc w:val="left"/>
        <w:widowControl/>
        <w:rPr>
          <w:rFonts w:hint="eastAsia"/>
          <w:color w:val="000000"/>
          <w:sz w:val="24"/>
        </w:rPr>
      </w:pPr>
      <w:r/>
      <w:bookmarkStart w:id="822" w:name="_Hlt520355938"/>
      <w:r/>
      <w:bookmarkEnd w:id="822"/>
      <w:r/>
      <w:bookmarkStart w:id="823" w:name="_Hlt520356243"/>
      <w:r/>
      <w:bookmarkEnd w:id="823"/>
      <w:r>
        <w:rPr>
          <w:color w:val="000000"/>
          <w:sz w:val="24"/>
        </w:rPr>
        <w:br w:type="page" w:clear="all"/>
      </w: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023"/>
        <w:jc w:val="center"/>
        <w:spacing w:line="360" w:lineRule="auto"/>
        <w:rPr>
          <w:rFonts w:hint="eastAsia" w:ascii="宋体" w:hAnsi="宋体"/>
          <w:b/>
          <w:sz w:val="32"/>
          <w:szCs w:val="32"/>
        </w:rPr>
      </w:pPr>
      <w:r>
        <w:rPr>
          <w:rFonts w:hint="eastAsia" w:ascii="宋体" w:hAnsi="宋体"/>
          <w:b/>
          <w:sz w:val="32"/>
          <w:szCs w:val="32"/>
        </w:rPr>
      </w:r>
      <w:r/>
    </w:p>
    <w:p>
      <w:pPr>
        <w:pStyle w:val="102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23"/>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23"/>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23"/>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2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2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23"/>
        <w:spacing w:line="560" w:lineRule="exact"/>
        <w:rPr>
          <w:rFonts w:ascii="宋体" w:hAnsi="宋体"/>
          <w:sz w:val="24"/>
        </w:rPr>
      </w:pPr>
      <w:r>
        <w:rPr>
          <w:rFonts w:ascii="宋体" w:hAnsi="宋体"/>
          <w:sz w:val="24"/>
        </w:rPr>
      </w:r>
      <w:r/>
    </w:p>
    <w:p>
      <w:pPr>
        <w:pStyle w:val="105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2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23"/>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23"/>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2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23"/>
        <w:jc w:val="left"/>
        <w:widowControl/>
        <w:rPr>
          <w:rFonts w:hint="eastAsia"/>
          <w:color w:val="000000"/>
          <w:sz w:val="24"/>
        </w:rPr>
      </w:pPr>
      <w:r>
        <w:rPr>
          <w:rFonts w:hint="eastAsia"/>
          <w:color w:val="000000"/>
          <w:sz w:val="24"/>
        </w:rPr>
      </w:r>
      <w:r/>
    </w:p>
    <w:p>
      <w:pPr>
        <w:pStyle w:val="1023"/>
        <w:jc w:val="left"/>
        <w:widowControl/>
        <w:rPr>
          <w:rFonts w:hint="eastAsia"/>
          <w:color w:val="000000"/>
          <w:sz w:val="24"/>
        </w:rPr>
      </w:pPr>
      <w:r>
        <w:rPr>
          <w:rFonts w:hint="eastAsia"/>
          <w:color w:val="000000"/>
          <w:sz w:val="24"/>
        </w:rPr>
      </w:r>
      <w:r/>
    </w:p>
    <w:p>
      <w:pPr>
        <w:pStyle w:val="1023"/>
        <w:jc w:val="left"/>
        <w:widowControl/>
        <w:rPr>
          <w:rFonts w:hint="eastAsia"/>
          <w:color w:val="000000"/>
          <w:sz w:val="24"/>
        </w:rPr>
      </w:pPr>
      <w:r>
        <w:rPr>
          <w:rFonts w:hint="eastAsia"/>
          <w:color w:val="000000"/>
          <w:sz w:val="24"/>
        </w:rPr>
      </w:r>
      <w:r/>
    </w:p>
    <w:p>
      <w:pPr>
        <w:pStyle w:val="1023"/>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23"/>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23"/>
        <w:jc w:val="left"/>
        <w:widowControl/>
        <w:rPr>
          <w:rFonts w:hint="eastAsia"/>
          <w:color w:val="000000"/>
          <w:sz w:val="24"/>
        </w:rPr>
      </w:pPr>
      <w:r>
        <w:rPr>
          <w:rFonts w:hint="eastAsia"/>
          <w:color w:val="000000"/>
          <w:sz w:val="24"/>
        </w:rPr>
      </w:r>
      <w:r/>
    </w:p>
    <w:p>
      <w:pPr>
        <w:pStyle w:val="1023"/>
        <w:jc w:val="left"/>
        <w:widowControl/>
        <w:rPr>
          <w:rFonts w:hint="eastAsia"/>
          <w:color w:val="000000"/>
          <w:sz w:val="24"/>
        </w:rPr>
      </w:pPr>
      <w:r>
        <w:rPr>
          <w:rFonts w:hint="eastAsia"/>
          <w:color w:val="000000"/>
          <w:sz w:val="24"/>
        </w:rPr>
      </w:r>
      <w:r/>
    </w:p>
    <w:p>
      <w:pPr>
        <w:pStyle w:val="1023"/>
        <w:jc w:val="left"/>
        <w:widowControl/>
        <w:rPr>
          <w:rFonts w:hint="eastAsia"/>
          <w:color w:val="000000"/>
          <w:sz w:val="24"/>
        </w:rPr>
      </w:pPr>
      <w:r>
        <w:rPr>
          <w:rFonts w:hint="eastAsia"/>
          <w:color w:val="000000"/>
          <w:sz w:val="24"/>
        </w:rPr>
      </w:r>
      <w:r/>
    </w:p>
    <w:p>
      <w:pPr>
        <w:pStyle w:val="1023"/>
        <w:jc w:val="left"/>
        <w:widowControl/>
        <w:rPr>
          <w:rFonts w:hint="eastAsia"/>
          <w:color w:val="000000"/>
          <w:sz w:val="24"/>
        </w:rPr>
      </w:pPr>
      <w:r>
        <w:rPr>
          <w:rFonts w:hint="eastAsia"/>
          <w:color w:val="000000"/>
          <w:sz w:val="24"/>
        </w:rPr>
      </w:r>
      <w:r/>
    </w:p>
    <w:p>
      <w:pPr>
        <w:pStyle w:val="1023"/>
        <w:jc w:val="left"/>
        <w:widowControl/>
        <w:rPr>
          <w:rFonts w:hint="eastAsia"/>
          <w:color w:val="000000"/>
          <w:sz w:val="24"/>
        </w:rPr>
      </w:pPr>
      <w:r>
        <w:rPr>
          <w:rFonts w:hint="eastAsia"/>
          <w:color w:val="000000"/>
          <w:sz w:val="24"/>
        </w:rPr>
      </w:r>
      <w:r/>
    </w:p>
    <w:p>
      <w:pPr>
        <w:pStyle w:val="1023"/>
        <w:jc w:val="left"/>
        <w:widowControl/>
        <w:rPr>
          <w:rFonts w:hint="eastAsia"/>
          <w:color w:val="000000"/>
          <w:sz w:val="24"/>
        </w:rPr>
      </w:pPr>
      <w:r>
        <w:rPr>
          <w:rFonts w:hint="eastAsia"/>
          <w:color w:val="000000"/>
          <w:sz w:val="24"/>
        </w:rPr>
      </w:r>
      <w:r/>
    </w:p>
    <w:p>
      <w:pPr>
        <w:pStyle w:val="1023"/>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102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23"/>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23"/>
        <w:ind w:firstLine="640"/>
      </w:pPr>
      <w:r/>
      <w:r/>
    </w:p>
    <w:p>
      <w:pPr>
        <w:pStyle w:val="102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2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2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2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2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2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2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2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2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2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2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2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79"/>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23"/>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2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3"/>
        <w:jc w:val="left"/>
        <w:widowControl/>
        <w:rPr>
          <w:color w:val="000000"/>
          <w:sz w:val="24"/>
          <w:szCs w:val="20"/>
        </w:rPr>
      </w:pPr>
      <w:r/>
      <w:bookmarkStart w:id="824" w:name="_Hlt520355504"/>
      <w:r/>
      <w:bookmarkEnd w:id="824"/>
      <w:r/>
      <w:bookmarkStart w:id="825" w:name="_Hlt520274065"/>
      <w:r/>
      <w:bookmarkEnd w:id="825"/>
      <w:r/>
      <w:bookmarkStart w:id="826" w:name="_Hlt520343392"/>
      <w:r/>
      <w:bookmarkEnd w:id="826"/>
      <w:r/>
      <w:bookmarkStart w:id="827" w:name="_Hlt520274407"/>
      <w:r/>
      <w:bookmarkEnd w:id="827"/>
      <w:r/>
      <w:bookmarkStart w:id="828" w:name="_Hlt520343000"/>
      <w:r/>
      <w:bookmarkEnd w:id="828"/>
      <w:r/>
      <w:bookmarkStart w:id="829" w:name="_Hlt520274393"/>
      <w:r/>
      <w:bookmarkEnd w:id="829"/>
      <w:r/>
      <w:bookmarkStart w:id="830" w:name="_Hlt520273711"/>
      <w:r/>
      <w:bookmarkEnd w:id="830"/>
      <w:r/>
      <w:bookmarkStart w:id="831" w:name="_Hlt520350918"/>
      <w:r/>
      <w:bookmarkEnd w:id="831"/>
      <w:r/>
      <w:bookmarkStart w:id="832" w:name="_Hlt520274121"/>
      <w:r/>
      <w:bookmarkEnd w:id="832"/>
      <w:r/>
      <w:bookmarkStart w:id="833" w:name="_Hlt520271212"/>
      <w:r/>
      <w:bookmarkEnd w:id="833"/>
      <w:r/>
      <w:bookmarkStart w:id="834" w:name="_Toc226309801"/>
      <w:r/>
      <w:bookmarkStart w:id="835" w:name="_Toc142311059"/>
      <w:r/>
      <w:bookmarkStart w:id="836" w:name="_Toc480942350"/>
      <w:r/>
      <w:bookmarkStart w:id="837" w:name="_Toc264969247"/>
      <w:r/>
      <w:bookmarkStart w:id="838" w:name="_Ref467988705"/>
      <w:r/>
      <w:bookmarkStart w:id="839" w:name="_Toc305158899"/>
      <w:r/>
      <w:bookmarkStart w:id="840" w:name="_Toc226337253"/>
      <w:r/>
      <w:bookmarkStart w:id="841" w:name="_Toc150774762"/>
      <w:r/>
      <w:bookmarkStart w:id="842" w:name="_Toc195842922"/>
      <w:r/>
      <w:bookmarkStart w:id="843" w:name="_Toc520356218"/>
      <w:r/>
      <w:bookmarkStart w:id="844" w:name="_Toc305158825"/>
      <w:r/>
      <w:bookmarkStart w:id="845" w:name="_Toc226965830"/>
      <w:r/>
      <w:bookmarkStart w:id="846" w:name="_Toc265228395"/>
      <w:r/>
      <w:bookmarkStart w:id="847" w:name="_Toc150480795"/>
      <w:r/>
      <w:bookmarkStart w:id="848" w:name="_Toc127151557"/>
      <w:r/>
      <w:bookmarkStart w:id="849" w:name="_Toc226965747"/>
      <w:r>
        <w:rPr>
          <w:color w:val="000000"/>
          <w:sz w:val="24"/>
          <w:szCs w:val="20"/>
        </w:rPr>
        <w:br w:type="page" w:clear="all"/>
      </w:r>
      <w:r>
        <w:rPr>
          <w:rFonts w:hint="eastAsia"/>
          <w:color w:val="000000"/>
          <w:sz w:val="24"/>
          <w:szCs w:val="20"/>
        </w:rPr>
        <w:t xml:space="preserve">4</w:t>
      </w:r>
      <w:r>
        <w:rPr>
          <w:color w:val="000000"/>
          <w:sz w:val="24"/>
          <w:szCs w:val="20"/>
        </w:rPr>
        <w:t xml:space="preserve">  开标一览表</w:t>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rPr>
          <w:color w:val="000000"/>
          <w:sz w:val="24"/>
          <w:szCs w:val="20"/>
        </w:rPr>
        <w:t xml:space="preserve">（实质性格式）</w:t>
      </w:r>
      <w:r>
        <w:rPr>
          <w:color w:val="000000"/>
          <w:sz w:val="24"/>
          <w:szCs w:val="20"/>
        </w:rPr>
      </w:r>
      <w:r/>
    </w:p>
    <w:p>
      <w:pPr>
        <w:pStyle w:val="1023"/>
        <w:jc w:val="center"/>
        <w:spacing w:line="360" w:lineRule="exact"/>
        <w:rPr>
          <w:b/>
          <w:color w:val="000000"/>
          <w:sz w:val="36"/>
          <w:szCs w:val="36"/>
        </w:rPr>
      </w:pPr>
      <w:r/>
      <w:bookmarkStart w:id="850" w:name="_Toc226309802"/>
      <w:r/>
      <w:bookmarkStart w:id="851" w:name="_Toc226337254"/>
      <w:r/>
      <w:bookmarkStart w:id="852" w:name="_Toc226965748"/>
      <w:r/>
      <w:bookmarkStart w:id="853" w:name="_Toc195842923"/>
      <w:r/>
      <w:bookmarkStart w:id="854" w:name="_Toc164608672"/>
      <w:r/>
      <w:bookmarkStart w:id="855" w:name="_Toc264969248"/>
      <w:r/>
      <w:bookmarkStart w:id="856" w:name="_Toc305158826"/>
      <w:r/>
      <w:bookmarkStart w:id="857" w:name="_Toc226965831"/>
      <w:r/>
      <w:bookmarkStart w:id="858" w:name="_Toc305158900"/>
      <w:r/>
      <w:bookmarkStart w:id="859" w:name="_Toc164608827"/>
      <w:r/>
      <w:bookmarkStart w:id="860" w:name="_Toc265228396"/>
      <w:r>
        <w:rPr>
          <w:rFonts w:hint="eastAsia"/>
          <w:b/>
          <w:color w:val="000000"/>
          <w:sz w:val="36"/>
          <w:szCs w:val="36"/>
          <w:highlight w:val="none"/>
        </w:rPr>
        <w:t xml:space="preserve">开标一览表</w:t>
      </w:r>
      <w:bookmarkEnd w:id="850"/>
      <w:r/>
      <w:bookmarkEnd w:id="851"/>
      <w:r/>
      <w:bookmarkEnd w:id="852"/>
      <w:r/>
      <w:bookmarkEnd w:id="853"/>
      <w:r/>
      <w:bookmarkEnd w:id="854"/>
      <w:r/>
      <w:bookmarkEnd w:id="855"/>
      <w:r/>
      <w:bookmarkEnd w:id="856"/>
      <w:r/>
      <w:bookmarkEnd w:id="857"/>
      <w:r/>
      <w:bookmarkEnd w:id="858"/>
      <w:r/>
      <w:bookmarkEnd w:id="859"/>
      <w:r/>
      <w:bookmarkEnd w:id="860"/>
      <w:r>
        <w:rPr>
          <w:b/>
          <w:color w:val="000000"/>
          <w:sz w:val="36"/>
          <w:szCs w:val="36"/>
        </w:rPr>
      </w:r>
      <w:r/>
    </w:p>
    <w:p>
      <w:pPr>
        <w:pStyle w:val="1023"/>
        <w:jc w:val="left"/>
        <w:spacing w:line="360" w:lineRule="auto"/>
        <w:tabs>
          <w:tab w:val="left" w:pos="1800" w:leader="none"/>
          <w:tab w:val="left" w:pos="5580" w:leader="none"/>
        </w:tabs>
        <w:rPr>
          <w:i/>
          <w:color w:val="ff0000"/>
          <w:sz w:val="24"/>
        </w:rPr>
      </w:pPr>
      <w:r>
        <w:rPr>
          <w:i/>
          <w:color w:val="ff0000"/>
          <w:sz w:val="24"/>
        </w:rPr>
      </w:r>
      <w:r/>
    </w:p>
    <w:p>
      <w:pPr>
        <w:pStyle w:val="1023"/>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5"/>
      </w:tblGrid>
      <w:tr>
        <w:trPr>
          <w:trHeight w:val="531"/>
        </w:trPr>
        <w:tc>
          <w:tcPr>
            <w:tcW w:w="412" w:type="dxa"/>
            <w:vAlign w:val="center"/>
            <w:vMerge w:val="restart"/>
            <w:textDirection w:val="lrTb"/>
            <w:noWrap w:val="false"/>
          </w:tcPr>
          <w:p>
            <w:pPr>
              <w:pStyle w:val="1023"/>
              <w:jc w:val="center"/>
              <w:tabs>
                <w:tab w:val="left" w:pos="5580" w:leader="none"/>
              </w:tabs>
              <w:rPr>
                <w:b/>
                <w:sz w:val="24"/>
              </w:rPr>
            </w:pPr>
            <w:r>
              <w:rPr>
                <w:b/>
                <w:sz w:val="24"/>
              </w:rPr>
              <w:t xml:space="preserve">序号</w:t>
            </w:r>
            <w:r>
              <w:rPr>
                <w:b/>
                <w:sz w:val="24"/>
              </w:rPr>
            </w:r>
            <w:r/>
          </w:p>
        </w:tc>
        <w:tc>
          <w:tcPr>
            <w:tcW w:w="2215" w:type="dxa"/>
            <w:vAlign w:val="center"/>
            <w:vMerge w:val="restart"/>
            <w:textDirection w:val="lrTb"/>
            <w:noWrap w:val="false"/>
          </w:tcPr>
          <w:p>
            <w:pPr>
              <w:pStyle w:val="1023"/>
              <w:jc w:val="center"/>
              <w:tabs>
                <w:tab w:val="left" w:pos="5580" w:leader="none"/>
              </w:tabs>
              <w:rPr>
                <w:b/>
                <w:sz w:val="24"/>
              </w:rPr>
            </w:pPr>
            <w:r>
              <w:rPr>
                <w:b/>
                <w:sz w:val="24"/>
              </w:rPr>
              <w:t xml:space="preserve">投标人名称</w:t>
            </w:r>
            <w:r>
              <w:rPr>
                <w:b/>
                <w:sz w:val="24"/>
              </w:rPr>
            </w:r>
            <w:r/>
          </w:p>
        </w:tc>
        <w:tc>
          <w:tcPr>
            <w:gridSpan w:val="2"/>
            <w:tcW w:w="3974" w:type="dxa"/>
            <w:vAlign w:val="center"/>
            <w:textDirection w:val="lrTb"/>
            <w:noWrap w:val="false"/>
          </w:tcPr>
          <w:p>
            <w:pPr>
              <w:pStyle w:val="1023"/>
              <w:jc w:val="center"/>
              <w:tabs>
                <w:tab w:val="left" w:pos="5580" w:leader="none"/>
              </w:tabs>
              <w:rPr>
                <w:b/>
                <w:sz w:val="24"/>
              </w:rPr>
            </w:pPr>
            <w:r>
              <w:rPr>
                <w:b/>
                <w:sz w:val="24"/>
              </w:rPr>
              <w:t xml:space="preserve">投标报价</w:t>
            </w:r>
            <w:r>
              <w:rPr>
                <w:b/>
                <w:sz w:val="24"/>
              </w:rPr>
            </w:r>
            <w:r/>
          </w:p>
        </w:tc>
      </w:tr>
      <w:tr>
        <w:trPr>
          <w:trHeight w:val="674"/>
        </w:trPr>
        <w:tc>
          <w:tcPr>
            <w:tcW w:w="412" w:type="dxa"/>
            <w:vAlign w:val="center"/>
            <w:vMerge w:val="continue"/>
            <w:textDirection w:val="lrTb"/>
            <w:noWrap w:val="false"/>
          </w:tcPr>
          <w:p>
            <w:pPr>
              <w:pStyle w:val="1023"/>
              <w:jc w:val="center"/>
              <w:tabs>
                <w:tab w:val="left" w:pos="5580" w:leader="none"/>
              </w:tabs>
              <w:rPr>
                <w:sz w:val="24"/>
              </w:rPr>
            </w:pPr>
            <w:r>
              <w:rPr>
                <w:sz w:val="24"/>
              </w:rPr>
            </w:r>
            <w:r/>
          </w:p>
        </w:tc>
        <w:tc>
          <w:tcPr>
            <w:tcW w:w="2215" w:type="dxa"/>
            <w:vAlign w:val="center"/>
            <w:vMerge w:val="continue"/>
            <w:textDirection w:val="lrTb"/>
            <w:noWrap w:val="false"/>
          </w:tcPr>
          <w:p>
            <w:pPr>
              <w:pStyle w:val="1023"/>
              <w:jc w:val="center"/>
              <w:tabs>
                <w:tab w:val="left" w:pos="5580" w:leader="none"/>
              </w:tabs>
              <w:rPr>
                <w:sz w:val="24"/>
              </w:rPr>
            </w:pPr>
            <w:r>
              <w:rPr>
                <w:sz w:val="24"/>
              </w:rPr>
            </w:r>
            <w:r/>
          </w:p>
        </w:tc>
        <w:tc>
          <w:tcPr>
            <w:tcW w:w="1188" w:type="dxa"/>
            <w:vAlign w:val="center"/>
            <w:textDirection w:val="lrTb"/>
            <w:noWrap w:val="false"/>
          </w:tcPr>
          <w:p>
            <w:pPr>
              <w:pStyle w:val="1023"/>
              <w:jc w:val="center"/>
              <w:tabs>
                <w:tab w:val="left" w:pos="5580" w:leader="none"/>
              </w:tabs>
              <w:rPr>
                <w:b/>
                <w:sz w:val="24"/>
              </w:rPr>
            </w:pPr>
            <w:r>
              <w:rPr>
                <w:b/>
                <w:sz w:val="24"/>
              </w:rPr>
              <w:t xml:space="preserve">大写</w:t>
            </w:r>
            <w:r>
              <w:rPr>
                <w:b/>
                <w:sz w:val="24"/>
              </w:rPr>
            </w:r>
            <w:r/>
          </w:p>
        </w:tc>
        <w:tc>
          <w:tcPr>
            <w:tcW w:w="1182" w:type="dxa"/>
            <w:vAlign w:val="center"/>
            <w:textDirection w:val="lrTb"/>
            <w:noWrap w:val="false"/>
          </w:tcPr>
          <w:p>
            <w:pPr>
              <w:pStyle w:val="1023"/>
              <w:jc w:val="center"/>
              <w:tabs>
                <w:tab w:val="left" w:pos="5580" w:leader="none"/>
              </w:tabs>
              <w:rPr>
                <w:b/>
                <w:sz w:val="24"/>
              </w:rPr>
            </w:pPr>
            <w:r>
              <w:rPr>
                <w:b/>
                <w:sz w:val="24"/>
              </w:rPr>
              <w:t xml:space="preserve">小写</w:t>
            </w:r>
            <w:r>
              <w:rPr>
                <w:b/>
                <w:sz w:val="24"/>
              </w:rPr>
            </w:r>
            <w:r/>
          </w:p>
        </w:tc>
      </w:tr>
      <w:tr>
        <w:trPr>
          <w:trHeight w:val="976"/>
        </w:trPr>
        <w:tc>
          <w:tcPr>
            <w:tcW w:w="412" w:type="dxa"/>
            <w:vAlign w:val="center"/>
            <w:textDirection w:val="lrTb"/>
            <w:noWrap w:val="false"/>
          </w:tcPr>
          <w:p>
            <w:pPr>
              <w:pStyle w:val="1023"/>
              <w:jc w:val="center"/>
              <w:tabs>
                <w:tab w:val="left" w:pos="5580" w:leader="none"/>
              </w:tabs>
              <w:rPr>
                <w:sz w:val="24"/>
              </w:rPr>
            </w:pPr>
            <w:r>
              <w:rPr>
                <w:sz w:val="24"/>
              </w:rPr>
            </w:r>
            <w:r/>
          </w:p>
        </w:tc>
        <w:tc>
          <w:tcPr>
            <w:tcW w:w="2215" w:type="dxa"/>
            <w:vAlign w:val="center"/>
            <w:textDirection w:val="lrTb"/>
            <w:noWrap w:val="false"/>
          </w:tcPr>
          <w:p>
            <w:pPr>
              <w:pStyle w:val="1023"/>
              <w:jc w:val="center"/>
              <w:tabs>
                <w:tab w:val="left" w:pos="5580" w:leader="none"/>
              </w:tabs>
              <w:rPr>
                <w:sz w:val="24"/>
              </w:rPr>
            </w:pPr>
            <w:r>
              <w:rPr>
                <w:sz w:val="24"/>
              </w:rPr>
            </w:r>
            <w:r/>
          </w:p>
        </w:tc>
        <w:tc>
          <w:tcPr>
            <w:tcW w:w="1188" w:type="dxa"/>
            <w:vAlign w:val="center"/>
            <w:textDirection w:val="lrTb"/>
            <w:noWrap w:val="false"/>
          </w:tcPr>
          <w:p>
            <w:pPr>
              <w:pStyle w:val="1023"/>
              <w:jc w:val="center"/>
              <w:tabs>
                <w:tab w:val="left" w:pos="5580" w:leader="none"/>
              </w:tabs>
              <w:rPr>
                <w:sz w:val="24"/>
              </w:rPr>
            </w:pPr>
            <w:r>
              <w:rPr>
                <w:sz w:val="24"/>
              </w:rPr>
            </w:r>
            <w:r/>
          </w:p>
        </w:tc>
        <w:tc>
          <w:tcPr>
            <w:tcW w:w="1182" w:type="dxa"/>
            <w:vAlign w:val="center"/>
            <w:textDirection w:val="lrTb"/>
            <w:noWrap w:val="false"/>
          </w:tcPr>
          <w:p>
            <w:pPr>
              <w:pStyle w:val="1023"/>
              <w:jc w:val="center"/>
              <w:tabs>
                <w:tab w:val="left" w:pos="5580" w:leader="none"/>
              </w:tabs>
              <w:rPr>
                <w:sz w:val="24"/>
              </w:rPr>
            </w:pPr>
            <w:r>
              <w:rPr>
                <w:sz w:val="24"/>
              </w:rPr>
            </w:r>
            <w:r/>
          </w:p>
        </w:tc>
      </w:tr>
    </w:tbl>
    <w:p>
      <w:pPr>
        <w:pStyle w:val="1023"/>
        <w:jc w:val="left"/>
        <w:rPr>
          <w:color w:val="000000"/>
          <w:sz w:val="24"/>
        </w:rPr>
      </w:pPr>
      <w:r>
        <w:rPr>
          <w:color w:val="000000"/>
          <w:sz w:val="24"/>
        </w:rPr>
      </w:r>
      <w:r/>
    </w:p>
    <w:p>
      <w:pPr>
        <w:pStyle w:val="102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3"/>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2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3"/>
        <w:jc w:val="left"/>
        <w:widowControl/>
        <w:rPr>
          <w:color w:val="000000"/>
          <w:sz w:val="24"/>
          <w:szCs w:val="20"/>
        </w:rPr>
      </w:pPr>
      <w:r/>
      <w:bookmarkStart w:id="861" w:name="_Toc142311060"/>
      <w:r/>
      <w:bookmarkStart w:id="862" w:name="_Toc305158827"/>
      <w:r/>
      <w:bookmarkStart w:id="863" w:name="_Toc265228397"/>
      <w:r/>
      <w:bookmarkStart w:id="864" w:name="_Toc226337255"/>
      <w:r/>
      <w:bookmarkStart w:id="865" w:name="_Toc150774763"/>
      <w:r/>
      <w:bookmarkStart w:id="866" w:name="_Toc264969249"/>
      <w:r/>
      <w:bookmarkStart w:id="867" w:name="_Toc127151558"/>
      <w:r/>
      <w:bookmarkStart w:id="868" w:name="_Toc226965749"/>
      <w:r/>
      <w:bookmarkStart w:id="869" w:name="_Toc195842924"/>
      <w:r/>
      <w:bookmarkStart w:id="870" w:name="_Toc226309803"/>
      <w:r/>
      <w:bookmarkStart w:id="871" w:name="_Toc305158901"/>
      <w:r/>
      <w:bookmarkStart w:id="872" w:name="_Toc226965832"/>
      <w:r/>
      <w:bookmarkStart w:id="873" w:name="_Toc150480796"/>
      <w:r>
        <w:rPr>
          <w:color w:val="000000"/>
          <w:sz w:val="24"/>
          <w:szCs w:val="20"/>
        </w:rPr>
        <w:br w:type="page" w:clear="all"/>
      </w:r>
      <w:r>
        <w:rPr>
          <w:rFonts w:hint="eastAsia"/>
          <w:color w:val="000000"/>
          <w:sz w:val="24"/>
          <w:szCs w:val="20"/>
        </w:rPr>
        <w:t xml:space="preserve">5</w:t>
      </w:r>
      <w:r>
        <w:rPr>
          <w:color w:val="000000"/>
          <w:sz w:val="24"/>
          <w:szCs w:val="20"/>
        </w:rPr>
        <w:t xml:space="preserve">  投标分项报价表</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Pr>
          <w:color w:val="000000"/>
          <w:sz w:val="24"/>
          <w:szCs w:val="20"/>
        </w:rPr>
        <w:t xml:space="preserve">（实质性格式）</w:t>
      </w:r>
      <w:r>
        <w:rPr>
          <w:color w:val="000000"/>
          <w:sz w:val="24"/>
          <w:szCs w:val="20"/>
        </w:rPr>
      </w:r>
      <w:r/>
    </w:p>
    <w:p>
      <w:pPr>
        <w:pStyle w:val="1023"/>
        <w:jc w:val="center"/>
        <w:spacing w:line="360" w:lineRule="exact"/>
        <w:rPr>
          <w:color w:val="000000"/>
          <w:sz w:val="36"/>
          <w:szCs w:val="36"/>
          <w:highlight w:val="none"/>
        </w:rPr>
      </w:pPr>
      <w:r>
        <w:rPr>
          <w:color w:val="000000"/>
          <w:sz w:val="36"/>
          <w:szCs w:val="36"/>
          <w:highlight w:val="none"/>
        </w:rPr>
      </w:r>
      <w:r/>
    </w:p>
    <w:p>
      <w:pPr>
        <w:pStyle w:val="1023"/>
        <w:jc w:val="center"/>
        <w:spacing w:line="360" w:lineRule="exact"/>
        <w:rPr>
          <w:b/>
          <w:color w:val="000000"/>
          <w:sz w:val="36"/>
          <w:szCs w:val="36"/>
          <w:highlight w:val="none"/>
        </w:rPr>
      </w:pPr>
      <w:r>
        <w:rPr>
          <w:rFonts w:hint="eastAsia"/>
          <w:b/>
          <w:color w:val="000000"/>
          <w:sz w:val="36"/>
          <w:szCs w:val="36"/>
          <w:highlight w:val="none"/>
        </w:rPr>
        <w:t xml:space="preserve">投标分项报价表</w:t>
      </w:r>
      <w:r>
        <w:rPr>
          <w:b/>
          <w:color w:val="000000"/>
          <w:sz w:val="36"/>
          <w:szCs w:val="36"/>
          <w:highlight w:val="none"/>
        </w:rPr>
      </w:r>
      <w:r/>
    </w:p>
    <w:p>
      <w:pPr>
        <w:pStyle w:val="1023"/>
        <w:jc w:val="center"/>
        <w:spacing w:line="260" w:lineRule="exact"/>
        <w:rPr>
          <w:color w:val="000000"/>
          <w:sz w:val="36"/>
          <w:szCs w:val="36"/>
        </w:rPr>
      </w:pPr>
      <w:r>
        <w:rPr>
          <w:color w:val="000000"/>
          <w:sz w:val="36"/>
          <w:szCs w:val="36"/>
        </w:rPr>
      </w:r>
      <w:r/>
    </w:p>
    <w:p>
      <w:pPr>
        <w:pStyle w:val="1023"/>
        <w:tabs>
          <w:tab w:val="left" w:pos="1800" w:leader="none"/>
          <w:tab w:val="left" w:pos="5580" w:leader="none"/>
        </w:tabs>
        <w:rPr>
          <w:color w:val="000000"/>
          <w:sz w:val="24"/>
        </w:rPr>
      </w:pPr>
      <w:r/>
      <w:bookmarkStart w:id="874" w:name="_Toc264969252"/>
      <w:r/>
      <w:bookmarkStart w:id="875" w:name="_Toc195842927"/>
      <w:r/>
      <w:bookmarkStart w:id="876" w:name="_Toc265228400"/>
      <w:r/>
      <w:bookmarkStart w:id="877" w:name="_Toc305158904"/>
      <w:r/>
      <w:bookmarkStart w:id="878" w:name="_Toc150774765"/>
      <w:r/>
      <w:bookmarkStart w:id="879" w:name="_Toc150480798"/>
      <w:r/>
      <w:bookmarkStart w:id="880" w:name="_Toc305158830"/>
      <w:r/>
      <w:bookmarkStart w:id="881" w:name="_Toc226309806"/>
      <w:r/>
      <w:bookmarkStart w:id="882" w:name="_Toc142311062"/>
      <w:r/>
      <w:bookmarkStart w:id="883" w:name="_Toc226337258"/>
      <w:r/>
      <w:bookmarkStart w:id="884" w:name="_Toc226965752"/>
      <w:r/>
      <w:bookmarkStart w:id="885" w:name="_Toc226965835"/>
      <w:r/>
      <w:bookmarkStart w:id="886" w:name="_Toc127151562"/>
      <w:r/>
      <w:bookmarkStart w:id="887" w:name="_Toc150774764"/>
      <w:r/>
      <w:bookmarkStart w:id="888" w:name="_Toc226337257"/>
      <w:r/>
      <w:bookmarkStart w:id="889" w:name="_Toc265228399"/>
      <w:r/>
      <w:bookmarkStart w:id="890" w:name="_Toc150480797"/>
      <w:r/>
      <w:bookmarkStart w:id="891" w:name="_Toc127151561"/>
      <w:r/>
      <w:bookmarkStart w:id="892" w:name="_Toc195842926"/>
      <w:r/>
      <w:bookmarkStart w:id="893" w:name="_Toc142311061"/>
      <w:r/>
      <w:bookmarkStart w:id="894" w:name="_Toc226965834"/>
      <w:r/>
      <w:bookmarkStart w:id="895" w:name="_Toc305158903"/>
      <w:r/>
      <w:bookmarkStart w:id="896" w:name="_Toc305158829"/>
      <w:r/>
      <w:bookmarkStart w:id="897" w:name="_Toc226309805"/>
      <w:r/>
      <w:bookmarkStart w:id="898" w:name="_Toc264969251"/>
      <w:r/>
      <w:bookmarkStart w:id="899" w:name="_Toc226965751"/>
      <w:r>
        <w:rPr>
          <w:color w:val="000000"/>
          <w:sz w:val="24"/>
        </w:rPr>
        <w:t xml:space="preserve">项目编号/包号：___________ 项目名称：__________报价单位：人民币元</w:t>
      </w:r>
      <w:r>
        <w:rPr>
          <w:color w:val="000000"/>
          <w:sz w:val="24"/>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847"/>
        <w:gridCol w:w="3137"/>
        <w:gridCol w:w="788"/>
        <w:gridCol w:w="787"/>
        <w:gridCol w:w="1086"/>
        <w:gridCol w:w="888"/>
      </w:tblGrid>
      <w:tr>
        <w:trPr>
          <w:cantSplit/>
          <w:trHeight w:val="659"/>
        </w:trPr>
        <w:tc>
          <w:tcPr>
            <w:tcW w:w="756" w:type="dxa"/>
            <w:vAlign w:val="center"/>
            <w:textDirection w:val="lrTb"/>
            <w:noWrap w:val="false"/>
          </w:tcPr>
          <w:p>
            <w:pPr>
              <w:pStyle w:val="1023"/>
              <w:jc w:val="center"/>
              <w:spacing w:line="0" w:lineRule="atLeast"/>
              <w:rPr>
                <w:rFonts w:ascii="宋体" w:hAnsi="宋体"/>
                <w:color w:val="000000"/>
                <w:sz w:val="24"/>
                <w:szCs w:val="24"/>
                <w:highlight w:val="none"/>
              </w:rPr>
            </w:pPr>
            <w:r/>
            <w:bookmarkStart w:id="900" w:name="_Hlk149920023"/>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847" w:type="dxa"/>
            <w:vAlign w:val="center"/>
            <w:textDirection w:val="lrTb"/>
            <w:noWrap w:val="false"/>
          </w:tcPr>
          <w:p>
            <w:pPr>
              <w:pStyle w:val="10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服务名称</w:t>
            </w:r>
            <w:r>
              <w:rPr>
                <w:rFonts w:hint="eastAsia" w:ascii="宋体" w:hAnsi="宋体"/>
                <w:color w:val="000000"/>
                <w:sz w:val="24"/>
                <w:szCs w:val="24"/>
                <w:highlight w:val="none"/>
              </w:rPr>
            </w:r>
            <w:r/>
          </w:p>
        </w:tc>
        <w:tc>
          <w:tcPr>
            <w:tcW w:w="3137" w:type="dxa"/>
            <w:vAlign w:val="center"/>
            <w:textDirection w:val="lrTb"/>
            <w:noWrap w:val="false"/>
          </w:tcPr>
          <w:p>
            <w:pPr>
              <w:pStyle w:val="102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服务内容</w:t>
            </w:r>
            <w:r>
              <w:rPr>
                <w:rFonts w:ascii="宋体" w:hAnsi="宋体"/>
                <w:color w:val="000000"/>
                <w:sz w:val="24"/>
                <w:szCs w:val="24"/>
                <w:highlight w:val="none"/>
              </w:rPr>
            </w:r>
            <w:r/>
          </w:p>
        </w:tc>
        <w:tc>
          <w:tcPr>
            <w:tcW w:w="788" w:type="dxa"/>
            <w:vAlign w:val="center"/>
            <w:textDirection w:val="lrTb"/>
            <w:noWrap w:val="false"/>
          </w:tcPr>
          <w:p>
            <w:pPr>
              <w:pStyle w:val="102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单位</w:t>
            </w:r>
            <w:r>
              <w:rPr>
                <w:rFonts w:ascii="宋体" w:hAnsi="宋体"/>
                <w:color w:val="000000"/>
                <w:sz w:val="24"/>
                <w:szCs w:val="24"/>
                <w:highlight w:val="none"/>
              </w:rPr>
            </w:r>
            <w:r/>
          </w:p>
        </w:tc>
        <w:tc>
          <w:tcPr>
            <w:tcW w:w="787" w:type="dxa"/>
            <w:vAlign w:val="center"/>
            <w:textDirection w:val="lrTb"/>
            <w:noWrap w:val="false"/>
          </w:tcPr>
          <w:p>
            <w:pPr>
              <w:pStyle w:val="102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数量</w:t>
            </w:r>
            <w:r>
              <w:rPr>
                <w:rFonts w:ascii="宋体" w:hAnsi="宋体"/>
                <w:color w:val="000000"/>
                <w:sz w:val="24"/>
                <w:szCs w:val="24"/>
                <w:highlight w:val="none"/>
              </w:rPr>
            </w:r>
            <w:r/>
          </w:p>
        </w:tc>
        <w:tc>
          <w:tcPr>
            <w:tcW w:w="1086" w:type="dxa"/>
            <w:vAlign w:val="center"/>
            <w:textDirection w:val="lrTb"/>
            <w:noWrap w:val="false"/>
          </w:tcPr>
          <w:p>
            <w:pPr>
              <w:pStyle w:val="102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w:t>
            </w:r>
            <w:r>
              <w:rPr>
                <w:rFonts w:ascii="宋体" w:hAnsi="宋体"/>
                <w:color w:val="000000"/>
                <w:sz w:val="24"/>
                <w:szCs w:val="24"/>
                <w:highlight w:val="none"/>
              </w:rPr>
            </w:r>
            <w:r/>
          </w:p>
        </w:tc>
        <w:tc>
          <w:tcPr>
            <w:tcW w:w="888" w:type="dxa"/>
            <w:vAlign w:val="center"/>
            <w:textDirection w:val="lrTb"/>
            <w:noWrap w:val="false"/>
          </w:tcPr>
          <w:p>
            <w:pPr>
              <w:pStyle w:val="102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总价</w:t>
            </w:r>
            <w:r>
              <w:rPr>
                <w:rFonts w:ascii="宋体" w:hAnsi="宋体"/>
                <w:color w:val="000000"/>
                <w:sz w:val="24"/>
                <w:szCs w:val="24"/>
                <w:highlight w:val="none"/>
              </w:rPr>
            </w:r>
            <w:r/>
          </w:p>
        </w:tc>
      </w:tr>
      <w:tr>
        <w:trPr>
          <w:cantSplit/>
          <w:trHeight w:val="654"/>
        </w:trPr>
        <w:tc>
          <w:tcPr>
            <w:tcW w:w="756" w:type="dxa"/>
            <w:vAlign w:val="center"/>
            <w:textDirection w:val="lrTb"/>
            <w:noWrap w:val="false"/>
          </w:tcPr>
          <w:p>
            <w:pPr>
              <w:pStyle w:val="102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847" w:type="dxa"/>
            <w:vAlign w:val="center"/>
            <w:textDirection w:val="lrTb"/>
            <w:noWrap w:val="false"/>
          </w:tcPr>
          <w:p>
            <w:pPr>
              <w:pStyle w:val="1023"/>
              <w:jc w:val="both"/>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137" w:type="dxa"/>
            <w:vAlign w:val="center"/>
            <w:textDirection w:val="lrTb"/>
            <w:noWrap w:val="false"/>
          </w:tcPr>
          <w:p>
            <w:pPr>
              <w:pStyle w:val="1023"/>
              <w:jc w:val="both"/>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88" w:type="dxa"/>
            <w:vAlign w:val="center"/>
            <w:textDirection w:val="lrTb"/>
            <w:noWrap w:val="false"/>
          </w:tcPr>
          <w:p>
            <w:pPr>
              <w:pStyle w:val="1023"/>
              <w:jc w:val="center"/>
              <w:spacing w:line="0" w:lineRule="atLeas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W w:w="787" w:type="dxa"/>
            <w:vAlign w:val="center"/>
            <w:textDirection w:val="lrTb"/>
            <w:noWrap w:val="false"/>
          </w:tcPr>
          <w:p>
            <w:pPr>
              <w:pStyle w:val="1023"/>
              <w:jc w:val="center"/>
              <w:spacing w:line="0" w:lineRule="atLeast"/>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W w:w="1086" w:type="dxa"/>
            <w:vAlign w:val="center"/>
            <w:textDirection w:val="lrTb"/>
            <w:noWrap w:val="false"/>
          </w:tcPr>
          <w:p>
            <w:pPr>
              <w:pStyle w:val="1023"/>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888" w:type="dxa"/>
            <w:vAlign w:val="center"/>
            <w:textDirection w:val="lrTb"/>
            <w:noWrap w:val="false"/>
          </w:tcPr>
          <w:p>
            <w:pPr>
              <w:pStyle w:val="1023"/>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54"/>
        </w:trPr>
        <w:tc>
          <w:tcPr>
            <w:tcW w:w="756" w:type="dxa"/>
            <w:vAlign w:val="center"/>
            <w:textDirection w:val="lrTb"/>
            <w:noWrap w:val="false"/>
          </w:tcPr>
          <w:p>
            <w:pPr>
              <w:pStyle w:val="102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1847" w:type="dxa"/>
            <w:vAlign w:val="center"/>
            <w:textDirection w:val="lrTb"/>
            <w:noWrap w:val="false"/>
          </w:tcPr>
          <w:p>
            <w:pPr>
              <w:pStyle w:val="1023"/>
              <w:jc w:val="both"/>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137" w:type="dxa"/>
            <w:vAlign w:val="center"/>
            <w:textDirection w:val="lrTb"/>
            <w:noWrap w:val="false"/>
          </w:tcPr>
          <w:p>
            <w:pPr>
              <w:pStyle w:val="1023"/>
              <w:jc w:val="both"/>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88" w:type="dxa"/>
            <w:vAlign w:val="center"/>
            <w:textDirection w:val="lrTb"/>
            <w:noWrap w:val="false"/>
          </w:tcPr>
          <w:p>
            <w:pPr>
              <w:pStyle w:val="1023"/>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87" w:type="dxa"/>
            <w:vAlign w:val="center"/>
            <w:textDirection w:val="lrTb"/>
            <w:noWrap w:val="false"/>
          </w:tcPr>
          <w:p>
            <w:pPr>
              <w:pStyle w:val="1023"/>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086" w:type="dxa"/>
            <w:vAlign w:val="center"/>
            <w:textDirection w:val="lrTb"/>
            <w:noWrap w:val="false"/>
          </w:tcPr>
          <w:p>
            <w:pPr>
              <w:pStyle w:val="1023"/>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888" w:type="dxa"/>
            <w:vAlign w:val="center"/>
            <w:textDirection w:val="lrTb"/>
            <w:noWrap w:val="false"/>
          </w:tcPr>
          <w:p>
            <w:pPr>
              <w:pStyle w:val="1023"/>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54"/>
        </w:trPr>
        <w:tc>
          <w:tcPr>
            <w:tcW w:w="756" w:type="dxa"/>
            <w:vAlign w:val="center"/>
            <w:textDirection w:val="lrTb"/>
            <w:noWrap w:val="false"/>
          </w:tcPr>
          <w:p>
            <w:pPr>
              <w:pStyle w:val="102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1847" w:type="dxa"/>
            <w:vAlign w:val="center"/>
            <w:textDirection w:val="lrTb"/>
            <w:noWrap w:val="false"/>
          </w:tcPr>
          <w:p>
            <w:pPr>
              <w:pStyle w:val="1023"/>
              <w:jc w:val="both"/>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137" w:type="dxa"/>
            <w:vAlign w:val="center"/>
            <w:textDirection w:val="lrTb"/>
            <w:noWrap w:val="false"/>
          </w:tcPr>
          <w:p>
            <w:pPr>
              <w:pStyle w:val="1023"/>
              <w:jc w:val="both"/>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88" w:type="dxa"/>
            <w:vAlign w:val="center"/>
            <w:textDirection w:val="lrTb"/>
            <w:noWrap w:val="false"/>
          </w:tcPr>
          <w:p>
            <w:pPr>
              <w:pStyle w:val="1023"/>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87" w:type="dxa"/>
            <w:vAlign w:val="center"/>
            <w:textDirection w:val="lrTb"/>
            <w:noWrap w:val="false"/>
          </w:tcPr>
          <w:p>
            <w:pPr>
              <w:pStyle w:val="1023"/>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086" w:type="dxa"/>
            <w:vAlign w:val="center"/>
            <w:textDirection w:val="lrTb"/>
            <w:noWrap w:val="false"/>
          </w:tcPr>
          <w:p>
            <w:pPr>
              <w:pStyle w:val="1023"/>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888" w:type="dxa"/>
            <w:vAlign w:val="center"/>
            <w:textDirection w:val="lrTb"/>
            <w:noWrap w:val="false"/>
          </w:tcPr>
          <w:p>
            <w:pPr>
              <w:pStyle w:val="1023"/>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54"/>
        </w:trPr>
        <w:tc>
          <w:tcPr>
            <w:tcW w:w="756" w:type="dxa"/>
            <w:vAlign w:val="center"/>
            <w:textDirection w:val="lrTb"/>
            <w:noWrap w:val="false"/>
          </w:tcPr>
          <w:p>
            <w:pPr>
              <w:pStyle w:val="1023"/>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1847" w:type="dxa"/>
            <w:vAlign w:val="center"/>
            <w:textDirection w:val="lrTb"/>
            <w:noWrap w:val="false"/>
          </w:tcPr>
          <w:p>
            <w:pPr>
              <w:pStyle w:val="1023"/>
              <w:jc w:val="both"/>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137" w:type="dxa"/>
            <w:vAlign w:val="center"/>
            <w:textDirection w:val="lrTb"/>
            <w:noWrap w:val="false"/>
          </w:tcPr>
          <w:p>
            <w:pPr>
              <w:pStyle w:val="1023"/>
              <w:jc w:val="both"/>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88" w:type="dxa"/>
            <w:vAlign w:val="center"/>
            <w:textDirection w:val="lrTb"/>
            <w:noWrap w:val="false"/>
          </w:tcPr>
          <w:p>
            <w:pPr>
              <w:pStyle w:val="1023"/>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87" w:type="dxa"/>
            <w:vAlign w:val="center"/>
            <w:textDirection w:val="lrTb"/>
            <w:noWrap w:val="false"/>
          </w:tcPr>
          <w:p>
            <w:pPr>
              <w:pStyle w:val="1023"/>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1086" w:type="dxa"/>
            <w:vAlign w:val="center"/>
            <w:textDirection w:val="lrTb"/>
            <w:noWrap w:val="false"/>
          </w:tcPr>
          <w:p>
            <w:pPr>
              <w:pStyle w:val="1023"/>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888" w:type="dxa"/>
            <w:vAlign w:val="center"/>
            <w:textDirection w:val="lrTb"/>
            <w:noWrap w:val="false"/>
          </w:tcPr>
          <w:p>
            <w:pPr>
              <w:pStyle w:val="1023"/>
              <w:jc w:val="center"/>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734"/>
        </w:trPr>
        <w:tc>
          <w:tcPr>
            <w:tcW w:w="756" w:type="dxa"/>
            <w:vAlign w:val="top"/>
            <w:textDirection w:val="lrTb"/>
            <w:noWrap w:val="false"/>
          </w:tcPr>
          <w:p>
            <w:pPr>
              <w:pStyle w:val="102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gridSpan w:val="5"/>
            <w:tcW w:w="7645" w:type="dxa"/>
            <w:vAlign w:val="center"/>
            <w:textDirection w:val="lrTb"/>
            <w:noWrap w:val="false"/>
          </w:tcPr>
          <w:p>
            <w:pPr>
              <w:pStyle w:val="1023"/>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ascii="宋体" w:hAnsi="宋体"/>
                <w:color w:val="000000"/>
                <w:sz w:val="24"/>
                <w:szCs w:val="24"/>
                <w:highlight w:val="none"/>
              </w:rPr>
            </w:r>
            <w:r/>
          </w:p>
        </w:tc>
        <w:tc>
          <w:tcPr>
            <w:tcW w:w="888" w:type="dxa"/>
            <w:vAlign w:val="top"/>
            <w:textDirection w:val="lrTb"/>
            <w:noWrap w:val="false"/>
          </w:tcPr>
          <w:p>
            <w:pPr>
              <w:pStyle w:val="1023"/>
              <w:spacing w:line="0" w:lineRule="atLeast"/>
              <w:rPr>
                <w:rFonts w:ascii="宋体" w:hAnsi="宋体"/>
                <w:color w:val="000000"/>
                <w:sz w:val="24"/>
                <w:szCs w:val="24"/>
                <w:highlight w:val="none"/>
              </w:rPr>
            </w:pPr>
            <w:r>
              <w:rPr>
                <w:rFonts w:ascii="宋体" w:hAnsi="宋体"/>
                <w:color w:val="000000"/>
                <w:sz w:val="24"/>
                <w:szCs w:val="24"/>
                <w:highlight w:val="none"/>
              </w:rPr>
            </w:r>
            <w:r/>
          </w:p>
        </w:tc>
      </w:tr>
    </w:tbl>
    <w:p>
      <w:pPr>
        <w:pStyle w:val="1023"/>
        <w:ind w:firstLine="480"/>
        <w:jc w:val="left"/>
        <w:spacing w:line="360" w:lineRule="auto"/>
        <w:widowControl/>
        <w:rPr>
          <w:rFonts w:hint="eastAsia" w:ascii="宋体" w:hAnsi="宋体" w:cs="宋体"/>
          <w:sz w:val="24"/>
        </w:rPr>
      </w:pPr>
      <w:r>
        <w:rPr>
          <w:rFonts w:hint="eastAsia" w:ascii="宋体" w:hAnsi="宋体" w:cs="宋体"/>
          <w:sz w:val="24"/>
        </w:rPr>
      </w:r>
      <w:r/>
    </w:p>
    <w:p>
      <w:pPr>
        <w:pStyle w:val="1023"/>
        <w:ind w:firstLine="480"/>
        <w:jc w:val="left"/>
        <w:spacing w:line="360" w:lineRule="auto"/>
        <w:widowControl/>
        <w:rPr>
          <w:rFonts w:hint="eastAsia" w:ascii="宋体" w:hAnsi="宋体" w:cs="宋体"/>
          <w:sz w:val="24"/>
        </w:rPr>
      </w:pPr>
      <w:r>
        <w:rPr>
          <w:rFonts w:hint="eastAsia" w:ascii="宋体" w:hAnsi="宋体" w:cs="宋体"/>
          <w:sz w:val="24"/>
        </w:rPr>
      </w:r>
      <w:r/>
    </w:p>
    <w:p>
      <w:pPr>
        <w:pStyle w:val="1023"/>
        <w:jc w:val="left"/>
        <w:tabs>
          <w:tab w:val="left" w:pos="1800" w:leader="none"/>
          <w:tab w:val="left" w:pos="5580" w:leader="none"/>
        </w:tabs>
        <w:rPr>
          <w:rFonts w:hint="eastAsia" w:ascii="宋体" w:hAnsi="宋体"/>
          <w:color w:val="000000"/>
          <w:sz w:val="24"/>
          <w:szCs w:val="24"/>
          <w:highlight w:val="none"/>
        </w:rPr>
      </w:pPr>
      <w:r/>
      <w:bookmarkEnd w:id="900"/>
      <w:r>
        <w:rPr>
          <w:rFonts w:hint="eastAsia" w:ascii="宋体" w:hAnsi="宋体"/>
          <w:color w:val="000000"/>
          <w:sz w:val="24"/>
          <w:szCs w:val="24"/>
          <w:highlight w:val="none"/>
        </w:rPr>
      </w:r>
      <w:r/>
    </w:p>
    <w:p>
      <w:pPr>
        <w:pStyle w:val="1023"/>
        <w:jc w:val="left"/>
        <w:tabs>
          <w:tab w:val="left" w:pos="1800" w:leader="none"/>
          <w:tab w:val="left" w:pos="558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p>
      <w:pPr>
        <w:pStyle w:val="1023"/>
        <w:jc w:val="left"/>
        <w:tabs>
          <w:tab w:val="left" w:pos="1800" w:leader="none"/>
          <w:tab w:val="left" w:pos="558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color w:val="000000"/>
          <w:sz w:val="24"/>
          <w:szCs w:val="24"/>
          <w:highlight w:val="none"/>
        </w:rPr>
      </w:r>
      <w:r/>
    </w:p>
    <w:p>
      <w:pPr>
        <w:pStyle w:val="1023"/>
        <w:jc w:val="left"/>
        <w:tabs>
          <w:tab w:val="left" w:pos="1800" w:leader="none"/>
          <w:tab w:val="left" w:pos="5580" w:leader="none"/>
        </w:tabs>
        <w:rPr>
          <w:rFonts w:hint="eastAsia"/>
          <w:color w:val="000000"/>
          <w:sz w:val="24"/>
        </w:rPr>
      </w:pPr>
      <w:r>
        <w:rPr>
          <w:rFonts w:hint="eastAsia" w:ascii="宋体" w:hAnsi="宋体"/>
          <w:color w:val="000000"/>
          <w:sz w:val="24"/>
          <w:szCs w:val="24"/>
          <w:highlight w:val="none"/>
        </w:rPr>
        <w:t xml:space="preserve">2.“投标分项报价表”中“投标总报价”数额应当与“开标一览表”中“投标报价”数额一致。</w:t>
      </w:r>
      <w:r>
        <w:rPr>
          <w:rFonts w:hint="eastAsia"/>
          <w:color w:val="000000"/>
          <w:sz w:val="24"/>
        </w:rPr>
      </w:r>
      <w:r/>
    </w:p>
    <w:p>
      <w:pPr>
        <w:pStyle w:val="1023"/>
        <w:jc w:val="left"/>
        <w:tabs>
          <w:tab w:val="left" w:pos="1800" w:leader="none"/>
          <w:tab w:val="left" w:pos="5580" w:leader="none"/>
        </w:tabs>
        <w:rPr>
          <w:b/>
          <w:bCs/>
          <w:color w:val="000000"/>
          <w:sz w:val="24"/>
        </w:rPr>
      </w:pPr>
      <w:r>
        <w:rPr>
          <w:b/>
          <w:bCs/>
          <w:color w:val="000000"/>
          <w:sz w:val="24"/>
        </w:rPr>
      </w:r>
      <w:r/>
    </w:p>
    <w:p>
      <w:pPr>
        <w:pStyle w:val="1023"/>
        <w:jc w:val="left"/>
        <w:tabs>
          <w:tab w:val="left" w:pos="1800" w:leader="none"/>
          <w:tab w:val="left" w:pos="5580" w:leader="none"/>
        </w:tabs>
        <w:rPr>
          <w:rFonts w:hint="eastAsia" w:ascii="Times New Roman" w:hAnsi="Times New Roman" w:eastAsia="宋体" w:cs="Times New Roman"/>
          <w:sz w:val="24"/>
          <w:highlight w:val="none"/>
          <w:lang w:val="zh-CN"/>
        </w:rPr>
      </w:pPr>
      <w:r>
        <w:rPr>
          <w:rFonts w:hint="eastAsia" w:ascii="Times New Roman" w:hAnsi="Times New Roman" w:eastAsia="宋体" w:cs="Times New Roman"/>
          <w:sz w:val="24"/>
          <w:highlight w:val="none"/>
          <w:lang w:val="zh-CN"/>
        </w:rPr>
        <w:t xml:space="preserve">                  </w:t>
      </w:r>
      <w:r>
        <w:rPr>
          <w:rFonts w:hint="eastAsia" w:ascii="Times New Roman" w:hAnsi="Times New Roman" w:eastAsia="宋体" w:cs="Times New Roman"/>
          <w:sz w:val="24"/>
          <w:highlight w:val="none"/>
          <w:lang w:val="zh-CN"/>
        </w:rPr>
      </w:r>
      <w:r/>
    </w:p>
    <w:p>
      <w:pPr>
        <w:pStyle w:val="102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2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3"/>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6</w:t>
      </w:r>
      <w:r>
        <w:rPr>
          <w:color w:val="000000"/>
          <w:sz w:val="24"/>
          <w:szCs w:val="20"/>
        </w:rPr>
        <w:t xml:space="preserve">  合同条款偏离表</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color w:val="000000"/>
          <w:sz w:val="24"/>
          <w:szCs w:val="20"/>
        </w:rPr>
        <w:t xml:space="preserve">（实质性格式）</w:t>
      </w:r>
      <w:r>
        <w:rPr>
          <w:color w:val="000000"/>
          <w:sz w:val="24"/>
          <w:szCs w:val="20"/>
        </w:rPr>
      </w:r>
      <w:r/>
    </w:p>
    <w:p>
      <w:pPr>
        <w:pStyle w:val="1023"/>
        <w:spacing w:line="360" w:lineRule="auto"/>
        <w:rPr>
          <w:color w:val="000000"/>
          <w:sz w:val="24"/>
          <w:szCs w:val="20"/>
        </w:rPr>
      </w:pPr>
      <w:r>
        <w:rPr>
          <w:color w:val="000000"/>
          <w:sz w:val="24"/>
          <w:szCs w:val="20"/>
        </w:rPr>
      </w:r>
      <w:r/>
    </w:p>
    <w:p>
      <w:pPr>
        <w:pStyle w:val="1023"/>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rPr>
          <w:b/>
          <w:color w:val="000000"/>
          <w:sz w:val="36"/>
          <w:szCs w:val="36"/>
        </w:rPr>
      </w:r>
      <w:r/>
    </w:p>
    <w:p>
      <w:pPr>
        <w:pStyle w:val="1023"/>
        <w:spacing w:line="360" w:lineRule="auto"/>
        <w:rPr>
          <w:color w:val="000000"/>
          <w:sz w:val="24"/>
          <w:szCs w:val="20"/>
        </w:rPr>
      </w:pPr>
      <w:r>
        <w:rPr>
          <w:color w:val="000000"/>
          <w:sz w:val="24"/>
          <w:szCs w:val="20"/>
        </w:rPr>
      </w:r>
      <w:r/>
    </w:p>
    <w:p>
      <w:pPr>
        <w:pStyle w:val="1023"/>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1"/>
        <w:gridCol w:w="1980"/>
        <w:gridCol w:w="1981"/>
        <w:gridCol w:w="2423"/>
        <w:gridCol w:w="782"/>
      </w:tblGrid>
      <w:tr>
        <w:trPr>
          <w:trHeight w:val="930"/>
        </w:trPr>
        <w:tc>
          <w:tcPr>
            <w:gridSpan w:val="6"/>
            <w:tcW w:w="9289" w:type="dxa"/>
            <w:vAlign w:val="center"/>
            <w:textDirection w:val="lrTb"/>
            <w:noWrap w:val="false"/>
          </w:tcPr>
          <w:p>
            <w:pPr>
              <w:pStyle w:val="1023"/>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1023"/>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23"/>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4" w:type="dxa"/>
            <w:vAlign w:val="center"/>
            <w:textDirection w:val="lrTb"/>
            <w:noWrap w:val="false"/>
          </w:tcPr>
          <w:p>
            <w:pPr>
              <w:pStyle w:val="1023"/>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1023"/>
              <w:jc w:val="center"/>
              <w:rPr>
                <w:color w:val="000000"/>
                <w:sz w:val="24"/>
              </w:rPr>
            </w:pPr>
            <w:r>
              <w:rPr>
                <w:color w:val="000000"/>
                <w:sz w:val="24"/>
                <w:szCs w:val="21"/>
              </w:rPr>
              <w:t xml:space="preserve">招标文件</w:t>
            </w:r>
            <w:r>
              <w:rPr>
                <w:color w:val="000000"/>
                <w:sz w:val="24"/>
              </w:rPr>
              <w:t xml:space="preserve">条目号（页码）</w:t>
            </w:r>
            <w:r>
              <w:rPr>
                <w:color w:val="000000"/>
                <w:sz w:val="24"/>
              </w:rPr>
            </w:r>
            <w:r/>
          </w:p>
        </w:tc>
        <w:tc>
          <w:tcPr>
            <w:tcW w:w="2007" w:type="dxa"/>
            <w:vAlign w:val="center"/>
            <w:textDirection w:val="lrTb"/>
            <w:noWrap w:val="false"/>
          </w:tcPr>
          <w:p>
            <w:pPr>
              <w:pStyle w:val="1023"/>
              <w:jc w:val="center"/>
              <w:rPr>
                <w:color w:val="000000"/>
                <w:sz w:val="24"/>
              </w:rPr>
            </w:pPr>
            <w:r>
              <w:rPr>
                <w:color w:val="000000"/>
                <w:sz w:val="24"/>
                <w:szCs w:val="21"/>
              </w:rPr>
              <w:t xml:space="preserve">招标文件</w:t>
            </w:r>
            <w:r>
              <w:rPr>
                <w:color w:val="000000"/>
                <w:sz w:val="24"/>
              </w:rPr>
              <w:t xml:space="preserve">要求</w:t>
            </w:r>
            <w:r>
              <w:rPr>
                <w:color w:val="000000"/>
                <w:sz w:val="24"/>
              </w:rPr>
            </w:r>
            <w:r/>
          </w:p>
        </w:tc>
        <w:tc>
          <w:tcPr>
            <w:tcW w:w="2008" w:type="dxa"/>
            <w:vAlign w:val="center"/>
            <w:textDirection w:val="lrTb"/>
            <w:noWrap w:val="false"/>
          </w:tcPr>
          <w:p>
            <w:pPr>
              <w:pStyle w:val="1023"/>
              <w:jc w:val="center"/>
              <w:rPr>
                <w:color w:val="000000"/>
                <w:sz w:val="24"/>
              </w:rPr>
            </w:pPr>
            <w:r>
              <w:rPr>
                <w:color w:val="000000"/>
                <w:sz w:val="24"/>
              </w:rPr>
              <w:t xml:space="preserve">投标文件内容</w:t>
            </w:r>
            <w:r>
              <w:rPr>
                <w:color w:val="000000"/>
                <w:sz w:val="24"/>
              </w:rPr>
            </w:r>
            <w:r/>
          </w:p>
        </w:tc>
        <w:tc>
          <w:tcPr>
            <w:tcW w:w="2458" w:type="dxa"/>
            <w:vAlign w:val="center"/>
            <w:textDirection w:val="lrTb"/>
            <w:noWrap w:val="false"/>
          </w:tcPr>
          <w:p>
            <w:pPr>
              <w:pStyle w:val="1023"/>
              <w:jc w:val="center"/>
              <w:rPr>
                <w:color w:val="000000"/>
                <w:sz w:val="24"/>
              </w:rPr>
            </w:pPr>
            <w:r>
              <w:rPr>
                <w:color w:val="000000"/>
                <w:sz w:val="24"/>
              </w:rPr>
              <w:t xml:space="preserve">偏离情况</w:t>
            </w:r>
            <w:r>
              <w:rPr>
                <w:color w:val="000000"/>
                <w:sz w:val="24"/>
              </w:rPr>
            </w:r>
            <w:r/>
          </w:p>
        </w:tc>
        <w:tc>
          <w:tcPr>
            <w:tcW w:w="788" w:type="dxa"/>
            <w:vAlign w:val="center"/>
            <w:textDirection w:val="lrTb"/>
            <w:noWrap w:val="false"/>
          </w:tcPr>
          <w:p>
            <w:pPr>
              <w:pStyle w:val="1023"/>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023"/>
              <w:jc w:val="center"/>
              <w:rPr>
                <w:color w:val="000000"/>
                <w:sz w:val="24"/>
              </w:rPr>
            </w:pPr>
            <w:r>
              <w:rPr>
                <w:color w:val="000000"/>
                <w:sz w:val="24"/>
              </w:rPr>
            </w:r>
            <w:r/>
          </w:p>
        </w:tc>
        <w:tc>
          <w:tcPr>
            <w:tcW w:w="1301" w:type="dxa"/>
            <w:vAlign w:val="center"/>
            <w:textDirection w:val="lrTb"/>
            <w:noWrap w:val="false"/>
          </w:tcPr>
          <w:p>
            <w:pPr>
              <w:pStyle w:val="1023"/>
              <w:jc w:val="center"/>
              <w:rPr>
                <w:color w:val="000000"/>
                <w:sz w:val="24"/>
              </w:rPr>
            </w:pPr>
            <w:r>
              <w:rPr>
                <w:color w:val="000000"/>
                <w:sz w:val="24"/>
              </w:rPr>
            </w:r>
            <w:r/>
          </w:p>
        </w:tc>
        <w:tc>
          <w:tcPr>
            <w:tcW w:w="2007" w:type="dxa"/>
            <w:vAlign w:val="center"/>
            <w:textDirection w:val="lrTb"/>
            <w:noWrap w:val="false"/>
          </w:tcPr>
          <w:p>
            <w:pPr>
              <w:pStyle w:val="1023"/>
              <w:jc w:val="center"/>
              <w:rPr>
                <w:color w:val="000000"/>
                <w:sz w:val="24"/>
              </w:rPr>
            </w:pPr>
            <w:r>
              <w:rPr>
                <w:color w:val="000000"/>
                <w:sz w:val="24"/>
              </w:rPr>
            </w:r>
            <w:r/>
          </w:p>
        </w:tc>
        <w:tc>
          <w:tcPr>
            <w:tcW w:w="2008" w:type="dxa"/>
            <w:vAlign w:val="center"/>
            <w:textDirection w:val="lrTb"/>
            <w:noWrap w:val="false"/>
          </w:tcPr>
          <w:p>
            <w:pPr>
              <w:pStyle w:val="1023"/>
              <w:jc w:val="center"/>
              <w:rPr>
                <w:color w:val="000000"/>
                <w:sz w:val="24"/>
              </w:rPr>
            </w:pPr>
            <w:r>
              <w:rPr>
                <w:color w:val="000000"/>
                <w:sz w:val="24"/>
              </w:rPr>
            </w:r>
            <w:r/>
          </w:p>
        </w:tc>
        <w:tc>
          <w:tcPr>
            <w:tcW w:w="2458" w:type="dxa"/>
            <w:vAlign w:val="center"/>
            <w:textDirection w:val="lrTb"/>
            <w:noWrap w:val="false"/>
          </w:tcPr>
          <w:p>
            <w:pPr>
              <w:pStyle w:val="1023"/>
              <w:jc w:val="center"/>
              <w:rPr>
                <w:color w:val="000000"/>
                <w:sz w:val="24"/>
              </w:rPr>
            </w:pPr>
            <w:r>
              <w:rPr>
                <w:color w:val="000000"/>
                <w:sz w:val="24"/>
              </w:rPr>
            </w:r>
            <w:r/>
          </w:p>
        </w:tc>
        <w:tc>
          <w:tcPr>
            <w:tcW w:w="788" w:type="dxa"/>
            <w:vAlign w:val="center"/>
            <w:textDirection w:val="lrTb"/>
            <w:noWrap w:val="false"/>
          </w:tcPr>
          <w:p>
            <w:pPr>
              <w:pStyle w:val="1023"/>
              <w:jc w:val="center"/>
              <w:rPr>
                <w:color w:val="000000"/>
                <w:sz w:val="24"/>
              </w:rPr>
            </w:pPr>
            <w:r>
              <w:rPr>
                <w:color w:val="000000"/>
                <w:sz w:val="24"/>
              </w:rPr>
            </w:r>
            <w:r/>
          </w:p>
        </w:tc>
      </w:tr>
      <w:tr>
        <w:trPr>
          <w:trHeight w:val="930"/>
        </w:trPr>
        <w:tc>
          <w:tcPr>
            <w:tcW w:w="834" w:type="dxa"/>
            <w:vAlign w:val="center"/>
            <w:textDirection w:val="lrTb"/>
            <w:noWrap w:val="false"/>
          </w:tcPr>
          <w:p>
            <w:pPr>
              <w:pStyle w:val="1023"/>
              <w:jc w:val="center"/>
              <w:rPr>
                <w:color w:val="000000"/>
                <w:sz w:val="24"/>
              </w:rPr>
            </w:pPr>
            <w:r>
              <w:rPr>
                <w:color w:val="000000"/>
                <w:sz w:val="24"/>
              </w:rPr>
            </w:r>
            <w:r/>
          </w:p>
        </w:tc>
        <w:tc>
          <w:tcPr>
            <w:tcW w:w="1301" w:type="dxa"/>
            <w:vAlign w:val="center"/>
            <w:textDirection w:val="lrTb"/>
            <w:noWrap w:val="false"/>
          </w:tcPr>
          <w:p>
            <w:pPr>
              <w:pStyle w:val="1023"/>
              <w:jc w:val="center"/>
              <w:rPr>
                <w:color w:val="000000"/>
                <w:sz w:val="24"/>
              </w:rPr>
            </w:pPr>
            <w:r>
              <w:rPr>
                <w:color w:val="000000"/>
                <w:sz w:val="24"/>
              </w:rPr>
            </w:r>
            <w:r/>
          </w:p>
        </w:tc>
        <w:tc>
          <w:tcPr>
            <w:tcW w:w="2007" w:type="dxa"/>
            <w:vAlign w:val="center"/>
            <w:textDirection w:val="lrTb"/>
            <w:noWrap w:val="false"/>
          </w:tcPr>
          <w:p>
            <w:pPr>
              <w:pStyle w:val="1023"/>
              <w:jc w:val="center"/>
              <w:rPr>
                <w:color w:val="000000"/>
                <w:sz w:val="24"/>
              </w:rPr>
            </w:pPr>
            <w:r>
              <w:rPr>
                <w:color w:val="000000"/>
                <w:sz w:val="24"/>
              </w:rPr>
            </w:r>
            <w:r/>
          </w:p>
        </w:tc>
        <w:tc>
          <w:tcPr>
            <w:tcW w:w="2008" w:type="dxa"/>
            <w:vAlign w:val="center"/>
            <w:textDirection w:val="lrTb"/>
            <w:noWrap w:val="false"/>
          </w:tcPr>
          <w:p>
            <w:pPr>
              <w:pStyle w:val="1023"/>
              <w:jc w:val="center"/>
              <w:rPr>
                <w:color w:val="000000"/>
                <w:sz w:val="24"/>
              </w:rPr>
            </w:pPr>
            <w:r>
              <w:rPr>
                <w:color w:val="000000"/>
                <w:sz w:val="24"/>
              </w:rPr>
            </w:r>
            <w:r/>
          </w:p>
        </w:tc>
        <w:tc>
          <w:tcPr>
            <w:tcW w:w="2458" w:type="dxa"/>
            <w:vAlign w:val="center"/>
            <w:textDirection w:val="lrTb"/>
            <w:noWrap w:val="false"/>
          </w:tcPr>
          <w:p>
            <w:pPr>
              <w:pStyle w:val="1023"/>
              <w:jc w:val="center"/>
              <w:rPr>
                <w:color w:val="000000"/>
                <w:sz w:val="24"/>
              </w:rPr>
            </w:pPr>
            <w:r>
              <w:rPr>
                <w:color w:val="000000"/>
                <w:sz w:val="24"/>
              </w:rPr>
            </w:r>
            <w:r/>
          </w:p>
        </w:tc>
        <w:tc>
          <w:tcPr>
            <w:tcW w:w="788" w:type="dxa"/>
            <w:vAlign w:val="center"/>
            <w:textDirection w:val="lrTb"/>
            <w:noWrap w:val="false"/>
          </w:tcPr>
          <w:p>
            <w:pPr>
              <w:pStyle w:val="1023"/>
              <w:jc w:val="center"/>
              <w:rPr>
                <w:color w:val="000000"/>
                <w:sz w:val="24"/>
              </w:rPr>
            </w:pPr>
            <w:r>
              <w:rPr>
                <w:color w:val="000000"/>
                <w:sz w:val="24"/>
              </w:rPr>
            </w:r>
            <w:r/>
          </w:p>
        </w:tc>
      </w:tr>
      <w:tr>
        <w:trPr>
          <w:trHeight w:val="930"/>
        </w:trPr>
        <w:tc>
          <w:tcPr>
            <w:tcW w:w="834" w:type="dxa"/>
            <w:vAlign w:val="center"/>
            <w:textDirection w:val="lrTb"/>
            <w:noWrap w:val="false"/>
          </w:tcPr>
          <w:p>
            <w:pPr>
              <w:pStyle w:val="1023"/>
              <w:jc w:val="center"/>
              <w:rPr>
                <w:color w:val="000000"/>
                <w:sz w:val="24"/>
              </w:rPr>
            </w:pPr>
            <w:r>
              <w:rPr>
                <w:color w:val="000000"/>
                <w:sz w:val="24"/>
              </w:rPr>
            </w:r>
            <w:r/>
          </w:p>
        </w:tc>
        <w:tc>
          <w:tcPr>
            <w:tcW w:w="1301" w:type="dxa"/>
            <w:vAlign w:val="center"/>
            <w:textDirection w:val="lrTb"/>
            <w:noWrap w:val="false"/>
          </w:tcPr>
          <w:p>
            <w:pPr>
              <w:pStyle w:val="1023"/>
              <w:jc w:val="center"/>
              <w:rPr>
                <w:color w:val="000000"/>
                <w:sz w:val="24"/>
              </w:rPr>
            </w:pPr>
            <w:r>
              <w:rPr>
                <w:color w:val="000000"/>
                <w:sz w:val="24"/>
              </w:rPr>
            </w:r>
            <w:r/>
          </w:p>
        </w:tc>
        <w:tc>
          <w:tcPr>
            <w:tcW w:w="2007" w:type="dxa"/>
            <w:vAlign w:val="center"/>
            <w:textDirection w:val="lrTb"/>
            <w:noWrap w:val="false"/>
          </w:tcPr>
          <w:p>
            <w:pPr>
              <w:pStyle w:val="1023"/>
              <w:jc w:val="center"/>
              <w:rPr>
                <w:color w:val="000000"/>
                <w:sz w:val="24"/>
              </w:rPr>
            </w:pPr>
            <w:r>
              <w:rPr>
                <w:color w:val="000000"/>
                <w:sz w:val="24"/>
              </w:rPr>
            </w:r>
            <w:r/>
          </w:p>
        </w:tc>
        <w:tc>
          <w:tcPr>
            <w:tcW w:w="2008" w:type="dxa"/>
            <w:vAlign w:val="center"/>
            <w:textDirection w:val="lrTb"/>
            <w:noWrap w:val="false"/>
          </w:tcPr>
          <w:p>
            <w:pPr>
              <w:pStyle w:val="1023"/>
              <w:jc w:val="center"/>
              <w:rPr>
                <w:color w:val="000000"/>
                <w:sz w:val="24"/>
              </w:rPr>
            </w:pPr>
            <w:r>
              <w:rPr>
                <w:color w:val="000000"/>
                <w:sz w:val="24"/>
              </w:rPr>
            </w:r>
            <w:r/>
          </w:p>
        </w:tc>
        <w:tc>
          <w:tcPr>
            <w:tcW w:w="2458" w:type="dxa"/>
            <w:vAlign w:val="center"/>
            <w:textDirection w:val="lrTb"/>
            <w:noWrap w:val="false"/>
          </w:tcPr>
          <w:p>
            <w:pPr>
              <w:pStyle w:val="1023"/>
              <w:jc w:val="center"/>
              <w:rPr>
                <w:color w:val="000000"/>
                <w:sz w:val="24"/>
              </w:rPr>
            </w:pPr>
            <w:r>
              <w:rPr>
                <w:color w:val="000000"/>
                <w:sz w:val="24"/>
              </w:rPr>
            </w:r>
            <w:r/>
          </w:p>
        </w:tc>
        <w:tc>
          <w:tcPr>
            <w:tcW w:w="788" w:type="dxa"/>
            <w:vAlign w:val="center"/>
            <w:textDirection w:val="lrTb"/>
            <w:noWrap w:val="false"/>
          </w:tcPr>
          <w:p>
            <w:pPr>
              <w:pStyle w:val="1023"/>
              <w:jc w:val="center"/>
              <w:rPr>
                <w:color w:val="000000"/>
                <w:sz w:val="24"/>
              </w:rPr>
            </w:pPr>
            <w:r>
              <w:rPr>
                <w:color w:val="000000"/>
                <w:sz w:val="24"/>
              </w:rPr>
            </w:r>
            <w:r/>
          </w:p>
        </w:tc>
      </w:tr>
      <w:tr>
        <w:trPr>
          <w:trHeight w:val="930"/>
        </w:trPr>
        <w:tc>
          <w:tcPr>
            <w:tcW w:w="834" w:type="dxa"/>
            <w:vAlign w:val="center"/>
            <w:textDirection w:val="lrTb"/>
            <w:noWrap w:val="false"/>
          </w:tcPr>
          <w:p>
            <w:pPr>
              <w:pStyle w:val="1023"/>
              <w:jc w:val="center"/>
              <w:rPr>
                <w:color w:val="000000"/>
                <w:sz w:val="24"/>
              </w:rPr>
            </w:pPr>
            <w:r>
              <w:rPr>
                <w:color w:val="000000"/>
                <w:sz w:val="24"/>
              </w:rPr>
              <w:t xml:space="preserve">……</w:t>
            </w:r>
            <w:r>
              <w:rPr>
                <w:color w:val="000000"/>
                <w:sz w:val="24"/>
              </w:rPr>
            </w:r>
            <w:r/>
          </w:p>
        </w:tc>
        <w:tc>
          <w:tcPr>
            <w:tcW w:w="1301" w:type="dxa"/>
            <w:vAlign w:val="center"/>
            <w:textDirection w:val="lrTb"/>
            <w:noWrap w:val="false"/>
          </w:tcPr>
          <w:p>
            <w:pPr>
              <w:pStyle w:val="1023"/>
              <w:jc w:val="center"/>
              <w:rPr>
                <w:color w:val="000000"/>
                <w:sz w:val="24"/>
              </w:rPr>
            </w:pPr>
            <w:r>
              <w:rPr>
                <w:color w:val="000000"/>
                <w:sz w:val="24"/>
              </w:rPr>
            </w:r>
            <w:r/>
          </w:p>
        </w:tc>
        <w:tc>
          <w:tcPr>
            <w:tcW w:w="2007" w:type="dxa"/>
            <w:vAlign w:val="center"/>
            <w:textDirection w:val="lrTb"/>
            <w:noWrap w:val="false"/>
          </w:tcPr>
          <w:p>
            <w:pPr>
              <w:pStyle w:val="1023"/>
              <w:jc w:val="center"/>
              <w:rPr>
                <w:color w:val="000000"/>
                <w:sz w:val="24"/>
              </w:rPr>
            </w:pPr>
            <w:r>
              <w:rPr>
                <w:color w:val="000000"/>
                <w:sz w:val="24"/>
              </w:rPr>
            </w:r>
            <w:r/>
          </w:p>
        </w:tc>
        <w:tc>
          <w:tcPr>
            <w:tcW w:w="2008" w:type="dxa"/>
            <w:vAlign w:val="center"/>
            <w:textDirection w:val="lrTb"/>
            <w:noWrap w:val="false"/>
          </w:tcPr>
          <w:p>
            <w:pPr>
              <w:pStyle w:val="1023"/>
              <w:jc w:val="center"/>
              <w:rPr>
                <w:color w:val="000000"/>
                <w:sz w:val="24"/>
              </w:rPr>
            </w:pPr>
            <w:r>
              <w:rPr>
                <w:color w:val="000000"/>
                <w:sz w:val="24"/>
              </w:rPr>
            </w:r>
            <w:r/>
          </w:p>
        </w:tc>
        <w:tc>
          <w:tcPr>
            <w:tcW w:w="2458" w:type="dxa"/>
            <w:vAlign w:val="center"/>
            <w:textDirection w:val="lrTb"/>
            <w:noWrap w:val="false"/>
          </w:tcPr>
          <w:p>
            <w:pPr>
              <w:pStyle w:val="1023"/>
              <w:jc w:val="center"/>
              <w:rPr>
                <w:color w:val="000000"/>
                <w:sz w:val="24"/>
              </w:rPr>
            </w:pPr>
            <w:r>
              <w:rPr>
                <w:color w:val="000000"/>
                <w:sz w:val="24"/>
              </w:rPr>
            </w:r>
            <w:r/>
          </w:p>
        </w:tc>
        <w:tc>
          <w:tcPr>
            <w:tcW w:w="788" w:type="dxa"/>
            <w:vAlign w:val="center"/>
            <w:textDirection w:val="lrTb"/>
            <w:noWrap w:val="false"/>
          </w:tcPr>
          <w:p>
            <w:pPr>
              <w:pStyle w:val="1023"/>
              <w:jc w:val="center"/>
              <w:rPr>
                <w:color w:val="000000"/>
                <w:sz w:val="24"/>
              </w:rPr>
            </w:pPr>
            <w:r>
              <w:rPr>
                <w:color w:val="000000"/>
                <w:sz w:val="24"/>
              </w:rPr>
            </w:r>
            <w:r/>
          </w:p>
        </w:tc>
      </w:tr>
    </w:tbl>
    <w:p>
      <w:pPr>
        <w:pStyle w:val="1023"/>
        <w:jc w:val="left"/>
        <w:tabs>
          <w:tab w:val="left" w:pos="1800" w:leader="none"/>
          <w:tab w:val="left" w:pos="5580" w:leader="none"/>
        </w:tabs>
        <w:rPr>
          <w:color w:val="000000"/>
          <w:sz w:val="24"/>
        </w:rPr>
      </w:pPr>
      <w:r>
        <w:rPr>
          <w:color w:val="000000"/>
          <w:sz w:val="24"/>
        </w:rPr>
      </w:r>
      <w:r/>
    </w:p>
    <w:p>
      <w:pPr>
        <w:pStyle w:val="1023"/>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023"/>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1023"/>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1023"/>
        <w:spacing w:line="360" w:lineRule="auto"/>
        <w:rPr>
          <w:color w:val="000000"/>
          <w:sz w:val="24"/>
          <w:szCs w:val="20"/>
        </w:rPr>
      </w:pPr>
      <w:r>
        <w:rPr>
          <w:color w:val="000000"/>
          <w:sz w:val="24"/>
          <w:szCs w:val="20"/>
        </w:rPr>
      </w:r>
      <w:r/>
    </w:p>
    <w:p>
      <w:pPr>
        <w:pStyle w:val="102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3"/>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102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3"/>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7</w:t>
      </w:r>
      <w:r>
        <w:rPr>
          <w:color w:val="000000"/>
          <w:sz w:val="24"/>
          <w:szCs w:val="20"/>
        </w:rPr>
        <w:t xml:space="preserve">  </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color w:val="000000"/>
          <w:sz w:val="24"/>
          <w:szCs w:val="20"/>
        </w:rPr>
        <w:t xml:space="preserve">采购需求偏离表（实质性格式）</w:t>
      </w:r>
      <w:r>
        <w:rPr>
          <w:color w:val="000000"/>
          <w:sz w:val="24"/>
          <w:szCs w:val="20"/>
        </w:rPr>
      </w:r>
      <w:r/>
    </w:p>
    <w:p>
      <w:pPr>
        <w:pStyle w:val="1023"/>
        <w:jc w:val="center"/>
        <w:spacing w:line="360" w:lineRule="auto"/>
        <w:rPr>
          <w:rFonts w:hint="eastAsia"/>
          <w:b/>
          <w:color w:val="000000"/>
          <w:sz w:val="36"/>
          <w:szCs w:val="36"/>
        </w:rPr>
      </w:pPr>
      <w:r>
        <w:rPr>
          <w:rFonts w:hint="eastAsia"/>
          <w:b/>
          <w:color w:val="000000"/>
          <w:sz w:val="36"/>
          <w:szCs w:val="36"/>
        </w:rPr>
      </w:r>
      <w:r/>
    </w:p>
    <w:p>
      <w:pPr>
        <w:pStyle w:val="1023"/>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1023"/>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23"/>
              <w:jc w:val="left"/>
              <w:rPr>
                <w:b/>
                <w:color w:val="000000"/>
                <w:sz w:val="24"/>
                <w:highlight w:val="none"/>
              </w:rPr>
            </w:pPr>
            <w:r>
              <w:rPr>
                <w:rFonts w:hint="eastAsia"/>
                <w:b/>
                <w:color w:val="000000"/>
                <w:sz w:val="24"/>
                <w:highlight w:val="none"/>
              </w:rPr>
              <w:t xml:space="preserve">对本项目采购需求的偏离情况（请进行勾选）：</w:t>
            </w:r>
            <w:r>
              <w:rPr>
                <w:b/>
                <w:color w:val="000000"/>
                <w:sz w:val="24"/>
                <w:highlight w:val="none"/>
              </w:rPr>
            </w:r>
            <w:r/>
          </w:p>
          <w:p>
            <w:pPr>
              <w:pStyle w:val="1023"/>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23"/>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1053"/>
        </w:trPr>
        <w:tc>
          <w:tcPr>
            <w:tcW w:w="775" w:type="dxa"/>
            <w:vAlign w:val="center"/>
            <w:textDirection w:val="lrTb"/>
            <w:noWrap w:val="false"/>
          </w:tcPr>
          <w:p>
            <w:pPr>
              <w:pStyle w:val="1023"/>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rFonts w:hint="eastAsia"/>
                <w:color w:val="000000"/>
                <w:sz w:val="24"/>
                <w:highlight w:val="none"/>
                <w:lang w:val="en-US" w:eastAsia="zh-CN"/>
              </w:rPr>
              <w:t xml:space="preserve">招标</w:t>
            </w:r>
            <w:r>
              <w:rPr>
                <w:color w:val="000000"/>
                <w:sz w:val="24"/>
                <w:highlight w:val="none"/>
              </w:rPr>
              <w:t xml:space="preserve">文件条目号(页码)</w:t>
            </w: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rFonts w:hint="eastAsia"/>
                <w:color w:val="000000"/>
                <w:sz w:val="24"/>
                <w:highlight w:val="none"/>
                <w:lang w:val="en-US" w:eastAsia="zh-CN"/>
              </w:rPr>
              <w:t xml:space="preserve">招标</w:t>
            </w:r>
            <w:r>
              <w:rPr>
                <w:color w:val="000000"/>
                <w:sz w:val="24"/>
                <w:highlight w:val="none"/>
              </w:rPr>
              <w:t xml:space="preserve">文件要求</w:t>
            </w: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t xml:space="preserve">偏离情况</w:t>
            </w:r>
            <w:r>
              <w:rPr>
                <w:color w:val="000000"/>
                <w:sz w:val="24"/>
                <w:highlight w:val="none"/>
              </w:rPr>
            </w:r>
            <w:r/>
          </w:p>
          <w:p>
            <w:pPr>
              <w:pStyle w:val="1023"/>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bl>
    <w:p>
      <w:pPr>
        <w:pStyle w:val="102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23"/>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023"/>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sz w:val="24"/>
        </w:rPr>
      </w:r>
      <w:r/>
    </w:p>
    <w:p>
      <w:pPr>
        <w:pStyle w:val="1023"/>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填写“正偏离”、“负偏离”或“无偏离”。</w:t>
      </w:r>
      <w:r>
        <w:rPr>
          <w:color w:val="000000"/>
          <w:sz w:val="24"/>
        </w:rPr>
      </w:r>
      <w:r/>
    </w:p>
    <w:p>
      <w:pPr>
        <w:pStyle w:val="1023"/>
        <w:jc w:val="left"/>
        <w:tabs>
          <w:tab w:val="left" w:pos="1800" w:leader="none"/>
          <w:tab w:val="left" w:pos="5580" w:leader="none"/>
        </w:tabs>
        <w:rPr>
          <w:sz w:val="24"/>
        </w:rPr>
      </w:pPr>
      <w:r>
        <w:rPr>
          <w:sz w:val="24"/>
        </w:rPr>
      </w:r>
      <w:r/>
    </w:p>
    <w:p>
      <w:pPr>
        <w:pStyle w:val="1023"/>
        <w:jc w:val="left"/>
        <w:tabs>
          <w:tab w:val="left" w:pos="1800" w:leader="none"/>
          <w:tab w:val="left" w:pos="5580" w:leader="none"/>
        </w:tabs>
        <w:rPr>
          <w:color w:val="000000"/>
          <w:sz w:val="24"/>
        </w:rPr>
      </w:pPr>
      <w:r>
        <w:rPr>
          <w:color w:val="000000"/>
          <w:sz w:val="24"/>
        </w:rPr>
      </w:r>
      <w:r/>
    </w:p>
    <w:p>
      <w:pPr>
        <w:pStyle w:val="1023"/>
        <w:rPr>
          <w:color w:val="000000"/>
          <w:sz w:val="24"/>
          <w:szCs w:val="20"/>
        </w:rPr>
      </w:pPr>
      <w:r>
        <w:rPr>
          <w:color w:val="000000"/>
          <w:sz w:val="24"/>
          <w:szCs w:val="20"/>
        </w:rPr>
      </w:r>
      <w:r/>
    </w:p>
    <w:p>
      <w:pPr>
        <w:pStyle w:val="102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3"/>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102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3"/>
        <w:rPr>
          <w:color w:val="000000"/>
          <w:sz w:val="24"/>
          <w:szCs w:val="20"/>
        </w:rPr>
      </w:pPr>
      <w:r>
        <w:rPr>
          <w:rFonts w:hint="eastAsia"/>
          <w:color w:val="000000"/>
          <w:sz w:val="24"/>
          <w:szCs w:val="20"/>
          <w:lang w:val="en-US" w:eastAsia="zh-CN"/>
        </w:rPr>
        <w:t xml:space="preserve">8</w:t>
      </w:r>
      <w:r>
        <w:rPr>
          <w:rFonts w:hint="eastAsia"/>
          <w:color w:val="000000"/>
          <w:sz w:val="24"/>
          <w:szCs w:val="20"/>
        </w:rPr>
        <w:t xml:space="preserve">  参加本项目人员一览表</w:t>
      </w:r>
      <w:r>
        <w:rPr>
          <w:color w:val="000000"/>
          <w:sz w:val="24"/>
          <w:szCs w:val="20"/>
        </w:rPr>
      </w:r>
      <w:r/>
    </w:p>
    <w:p>
      <w:pPr>
        <w:pStyle w:val="1023"/>
        <w:jc w:val="center"/>
        <w:spacing w:line="360" w:lineRule="auto"/>
        <w:rPr>
          <w:rFonts w:hint="eastAsia" w:ascii="宋体" w:hAnsi="宋体"/>
          <w:b/>
          <w:sz w:val="32"/>
          <w:szCs w:val="32"/>
        </w:rPr>
      </w:pPr>
      <w:r>
        <w:rPr>
          <w:rFonts w:hint="eastAsia" w:ascii="宋体" w:hAnsi="宋体"/>
          <w:b/>
          <w:sz w:val="32"/>
          <w:szCs w:val="32"/>
        </w:rPr>
      </w:r>
      <w:r/>
    </w:p>
    <w:p>
      <w:pPr>
        <w:pStyle w:val="102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23"/>
        <w:spacing w:line="360" w:lineRule="auto"/>
        <w:rPr>
          <w:rFonts w:ascii="宋体" w:hAnsi="宋体"/>
          <w:sz w:val="22"/>
        </w:rPr>
      </w:pPr>
      <w:r>
        <w:rPr>
          <w:rFonts w:ascii="宋体" w:hAnsi="宋体"/>
          <w:sz w:val="22"/>
        </w:rPr>
      </w:r>
      <w:r/>
    </w:p>
    <w:p>
      <w:pPr>
        <w:pStyle w:val="102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2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2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2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2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2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2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2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2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2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2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2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2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23"/>
        <w:tabs>
          <w:tab w:val="left" w:pos="9765" w:leader="none"/>
        </w:tabs>
        <w:rPr>
          <w:rFonts w:ascii="宋体" w:hAnsi="宋体" w:cs="宋体"/>
          <w:b/>
          <w:sz w:val="24"/>
          <w:lang w:val="zh-CN"/>
        </w:rPr>
      </w:pPr>
      <w:r>
        <w:rPr>
          <w:rFonts w:ascii="宋体" w:hAnsi="宋体" w:cs="宋体"/>
          <w:b/>
          <w:sz w:val="24"/>
          <w:lang w:val="zh-CN"/>
        </w:rPr>
      </w:r>
      <w:r/>
    </w:p>
    <w:p>
      <w:pPr>
        <w:pStyle w:val="102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23"/>
        <w:spacing w:line="360" w:lineRule="auto"/>
        <w:rPr>
          <w:rFonts w:ascii="宋体" w:hAnsi="宋体"/>
          <w:sz w:val="24"/>
        </w:rPr>
      </w:pPr>
      <w:r>
        <w:rPr>
          <w:rFonts w:ascii="宋体" w:hAnsi="宋体"/>
          <w:sz w:val="24"/>
        </w:rPr>
      </w:r>
      <w:r/>
    </w:p>
    <w:p>
      <w:pPr>
        <w:pStyle w:val="1023"/>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102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3"/>
        <w:rPr>
          <w:color w:val="000000"/>
          <w:sz w:val="24"/>
          <w:szCs w:val="20"/>
        </w:rPr>
      </w:pPr>
      <w:r>
        <w:rPr>
          <w:sz w:val="22"/>
        </w:rPr>
        <w:br w:type="page" w:clear="all"/>
      </w:r>
      <w:bookmarkStart w:id="901" w:name="_Toc288738397"/>
      <w:r/>
      <w:bookmarkStart w:id="902" w:name="_Toc288738839"/>
      <w:r>
        <w:rPr>
          <w:rFonts w:hint="eastAsia"/>
          <w:color w:val="000000"/>
          <w:sz w:val="24"/>
          <w:szCs w:val="20"/>
          <w:lang w:val="en-US" w:eastAsia="zh-CN"/>
        </w:rPr>
        <w:t xml:space="preserve">9</w:t>
      </w:r>
      <w:r>
        <w:rPr>
          <w:rFonts w:hint="eastAsia"/>
          <w:color w:val="000000"/>
          <w:sz w:val="24"/>
          <w:szCs w:val="20"/>
        </w:rPr>
        <w:t xml:space="preserve">  相关业绩案例一览表</w:t>
      </w:r>
      <w:r>
        <w:rPr>
          <w:color w:val="000000"/>
          <w:sz w:val="24"/>
          <w:szCs w:val="20"/>
        </w:rPr>
      </w:r>
      <w:r/>
    </w:p>
    <w:p>
      <w:pPr>
        <w:pStyle w:val="1023"/>
        <w:rPr>
          <w:color w:val="000000"/>
          <w:sz w:val="24"/>
          <w:szCs w:val="20"/>
        </w:rPr>
      </w:pPr>
      <w:r>
        <w:rPr>
          <w:color w:val="000000"/>
          <w:sz w:val="24"/>
          <w:szCs w:val="20"/>
        </w:rPr>
      </w:r>
      <w:r/>
    </w:p>
    <w:p>
      <w:pPr>
        <w:pStyle w:val="1023"/>
        <w:jc w:val="center"/>
        <w:rPr>
          <w:rFonts w:ascii="宋体" w:hAnsi="宋体"/>
          <w:b/>
          <w:sz w:val="32"/>
          <w:szCs w:val="32"/>
        </w:rPr>
      </w:pPr>
      <w:r>
        <w:rPr>
          <w:rFonts w:hint="eastAsia" w:ascii="宋体" w:hAnsi="宋体"/>
          <w:b/>
          <w:sz w:val="32"/>
          <w:szCs w:val="32"/>
        </w:rPr>
        <w:t xml:space="preserve">相关业绩案例一览表</w:t>
      </w:r>
      <w:bookmarkEnd w:id="901"/>
      <w:r/>
      <w:bookmarkEnd w:id="902"/>
      <w:r>
        <w:rPr>
          <w:rFonts w:ascii="宋体" w:hAnsi="宋体"/>
          <w:b/>
          <w:sz w:val="32"/>
          <w:szCs w:val="32"/>
        </w:rPr>
      </w:r>
      <w:r/>
    </w:p>
    <w:p>
      <w:pPr>
        <w:pStyle w:val="1023"/>
        <w:jc w:val="center"/>
        <w:spacing w:line="360" w:lineRule="auto"/>
        <w:rPr>
          <w:rFonts w:ascii="宋体" w:hAnsi="宋体"/>
          <w:b/>
          <w:sz w:val="28"/>
          <w:szCs w:val="30"/>
        </w:rPr>
      </w:pPr>
      <w:r>
        <w:rPr>
          <w:rFonts w:ascii="宋体" w:hAnsi="宋体"/>
          <w:b/>
          <w:sz w:val="28"/>
          <w:szCs w:val="30"/>
        </w:rPr>
      </w:r>
      <w:r/>
    </w:p>
    <w:p>
      <w:pPr>
        <w:pStyle w:val="1023"/>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3"/>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3"/>
              <w:spacing w:line="360" w:lineRule="auto"/>
              <w:tabs>
                <w:tab w:val="left" w:pos="9765" w:leader="none"/>
              </w:tabs>
              <w:rPr>
                <w:rFonts w:ascii="宋体" w:hAnsi="宋体" w:cs="宋体"/>
                <w:sz w:val="24"/>
              </w:rPr>
            </w:pPr>
            <w:r>
              <w:rPr>
                <w:rFonts w:ascii="宋体" w:hAnsi="宋体" w:cs="宋体"/>
                <w:sz w:val="24"/>
              </w:rPr>
            </w:r>
            <w:r/>
          </w:p>
        </w:tc>
      </w:tr>
    </w:tbl>
    <w:p>
      <w:pPr>
        <w:pStyle w:val="1023"/>
        <w:tabs>
          <w:tab w:val="left" w:pos="9765" w:leader="none"/>
        </w:tabs>
        <w:rPr>
          <w:rFonts w:ascii="宋体" w:hAnsi="宋体" w:cs="宋体"/>
          <w:sz w:val="24"/>
          <w:lang w:val="zh-CN"/>
        </w:rPr>
      </w:pPr>
      <w:r>
        <w:rPr>
          <w:rFonts w:ascii="宋体" w:hAnsi="宋体" w:cs="宋体"/>
          <w:sz w:val="24"/>
          <w:lang w:val="zh-CN"/>
        </w:rPr>
      </w:r>
      <w:r/>
    </w:p>
    <w:p>
      <w:pPr>
        <w:pStyle w:val="1023"/>
        <w:spacing w:line="360" w:lineRule="auto"/>
        <w:rPr>
          <w:rFonts w:ascii="宋体" w:hAnsi="宋体" w:cs="宋体"/>
          <w:sz w:val="24"/>
        </w:rPr>
      </w:pPr>
      <w:r>
        <w:rPr>
          <w:rFonts w:ascii="宋体" w:hAnsi="宋体" w:cs="宋体"/>
          <w:sz w:val="24"/>
        </w:rPr>
      </w:r>
      <w:r/>
    </w:p>
    <w:p>
      <w:pPr>
        <w:pStyle w:val="1023"/>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1023"/>
        <w:jc w:val="left"/>
        <w:widowControl/>
        <w:rPr>
          <w:color w:val="000000"/>
          <w:sz w:val="24"/>
          <w:szCs w:val="20"/>
        </w:rPr>
      </w:pPr>
      <w:r>
        <w:rPr>
          <w:color w:val="000000"/>
          <w:sz w:val="24"/>
          <w:szCs w:val="20"/>
        </w:rPr>
        <w:t xml:space="preserve">日期：_____年______月______日 </w:t>
      </w:r>
      <w:r>
        <w:rPr>
          <w:color w:val="000000"/>
          <w:sz w:val="24"/>
          <w:szCs w:val="20"/>
        </w:rPr>
      </w:r>
      <w:r/>
    </w:p>
    <w:p>
      <w:pPr>
        <w:pStyle w:val="1023"/>
        <w:jc w:val="left"/>
        <w:widowControl/>
        <w:rPr>
          <w:color w:val="000000"/>
          <w:sz w:val="24"/>
          <w:szCs w:val="20"/>
        </w:rPr>
      </w:pPr>
      <w:r>
        <w:rPr>
          <w:color w:val="000000"/>
          <w:sz w:val="24"/>
          <w:szCs w:val="20"/>
        </w:rPr>
        <w:br w:type="page" w:clear="all"/>
      </w:r>
      <w:r>
        <w:rPr>
          <w:rFonts w:hint="eastAsia"/>
          <w:color w:val="000000"/>
          <w:sz w:val="24"/>
          <w:szCs w:val="20"/>
        </w:rPr>
        <w:t xml:space="preserve">1</w:t>
      </w:r>
      <w:r>
        <w:rPr>
          <w:rFonts w:hint="eastAsia"/>
          <w:color w:val="000000"/>
          <w:sz w:val="24"/>
          <w:szCs w:val="20"/>
          <w:lang w:val="en-US" w:eastAsia="zh-CN"/>
        </w:rPr>
        <w:t xml:space="preserve">0</w:t>
      </w:r>
      <w:r>
        <w:rPr>
          <w:rFonts w:hint="eastAsia"/>
          <w:color w:val="000000"/>
          <w:sz w:val="24"/>
          <w:szCs w:val="20"/>
        </w:rPr>
        <w:t xml:space="preserve"> </w:t>
      </w:r>
      <w:r>
        <w:rPr>
          <w:rFonts w:hint="eastAsia"/>
          <w:color w:val="000000"/>
          <w:sz w:val="24"/>
          <w:szCs w:val="20"/>
          <w:lang w:val="en-US" w:eastAsia="zh-CN"/>
        </w:rPr>
        <w:t xml:space="preserve"> </w:t>
      </w:r>
      <w:r>
        <w:rPr>
          <w:color w:val="000000"/>
          <w:sz w:val="24"/>
          <w:szCs w:val="20"/>
        </w:rPr>
        <w:t xml:space="preserve">招标文件要求提供或投标人认为应附的其他材料</w:t>
      </w:r>
      <w:r/>
    </w:p>
    <w:sectPr>
      <w:headerReference w:type="even" r:id="rId11"/>
      <w:headerReference w:type="first" r:id="rId12"/>
      <w:footerReference w:type="even" r:id="rId19"/>
      <w:footerReference w:type="first" r:id="rId20"/>
      <w:footnotePr/>
      <w:endnotePr/>
      <w:type w:val="nextPage"/>
      <w:pgSz w:w="11907" w:h="16840" w:orient="portrait"/>
      <w:pgMar w:top="1417" w:right="1417" w:bottom="1417" w:left="1417"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Wingdings">
    <w:panose1 w:val="05000000000000000000"/>
  </w:font>
  <w:font w:name="Symbol">
    <w:panose1 w:val="05050102010706020507"/>
  </w:font>
  <w:font w:name="方正仿宋简体">
    <w:panose1 w:val="020B0503020202020204"/>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rPr>
        <w:rStyle w:val="1098"/>
      </w:rPr>
      <w:framePr w:wrap="around" w:vAnchor="text" w:hAnchor="margin" w:xAlign="center" w:y="1"/>
    </w:pPr>
    <w:r>
      <w:fldChar w:fldCharType="begin"/>
    </w:r>
    <w:r>
      <w:rPr>
        <w:rStyle w:val="1098"/>
      </w:rPr>
      <w:instrText xml:space="preserve">PAGE  </w:instrText>
    </w:r>
    <w:r>
      <w:fldChar w:fldCharType="end"/>
    </w:r>
    <w:r>
      <w:rPr>
        <w:rStyle w:val="1098"/>
      </w:rPr>
    </w:r>
    <w:r/>
  </w:p>
  <w:p>
    <w:pPr>
      <w:pStyle w:val="107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1"/>
                            <w:spacing w:after="0"/>
                            <w:tabs>
                              <w:tab w:val="clear" w:pos="4153" w:leader="none"/>
                              <w:tab w:val="clear" w:pos="8306" w:leader="none"/>
                            </w:tabs>
                            <w:rPr>
                              <w:rFonts w:ascii="Times New Roman"/>
                            </w:rPr>
                            <w:pBdr>
                              <w:top w:val="none" w:color="000000" w:sz="0" w:space="0"/>
                              <w:left w:val="none" w:color="000000" w:sz="0" w:space="0"/>
                              <w:bottom w:val="none" w:color="000000" w:sz="0" w:space="0"/>
                              <w:right w:val="none" w:color="000000" w:sz="0" w:space="0"/>
                              <w:between w:val="none" w:color="000000" w:sz="0" w:space="0"/>
                            </w:pBdr>
                          </w:pPr>
                          <w:r>
                            <w:rPr>
                              <w:rStyle w:val="1098"/>
                              <w:rFonts w:ascii="Times New Roman"/>
                            </w:rPr>
                            <w:fldChar w:fldCharType="begin"/>
                          </w:r>
                          <w:r>
                            <w:rPr>
                              <w:rStyle w:val="1098"/>
                              <w:rFonts w:ascii="Times New Roman"/>
                            </w:rPr>
                            <w:instrText xml:space="preserve"> PAGE </w:instrText>
                          </w:r>
                          <w:r>
                            <w:rPr>
                              <w:rStyle w:val="1098"/>
                              <w:rFonts w:ascii="Times New Roman"/>
                            </w:rPr>
                            <w:fldChar w:fldCharType="separate"/>
                          </w:r>
                          <w:r>
                            <w:rPr>
                              <w:rStyle w:val="1098"/>
                              <w:rFonts w:ascii="Times New Roman"/>
                            </w:rPr>
                            <w:t xml:space="preserve">2</w:t>
                          </w:r>
                          <w:r>
                            <w:rPr>
                              <w:rStyle w:val="1098"/>
                              <w:rFonts w:ascii="Times New Roman"/>
                            </w:rPr>
                            <w:fldChar w:fldCharType="end"/>
                          </w:r>
                          <w:r>
                            <w:rPr>
                              <w:rFonts w:ascii="Times New Roman"/>
                            </w:rPr>
                          </w:r>
                          <w:r/>
                        </w:p>
                        <w:p>
                          <w:pPr>
                            <w:pStyle w:val="10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spacing w:after="0"/>
                      <w:tabs>
                        <w:tab w:val="clear" w:pos="4153" w:leader="none"/>
                        <w:tab w:val="clear" w:pos="8306" w:leader="none"/>
                      </w:tabs>
                      <w:rPr>
                        <w:rFonts w:ascii="Times New Roman"/>
                      </w:rPr>
                      <w:pBdr>
                        <w:top w:val="none" w:color="000000" w:sz="0" w:space="0"/>
                        <w:left w:val="none" w:color="000000" w:sz="0" w:space="0"/>
                        <w:bottom w:val="none" w:color="000000" w:sz="0" w:space="0"/>
                        <w:right w:val="none" w:color="000000" w:sz="0" w:space="0"/>
                        <w:between w:val="none" w:color="000000" w:sz="0" w:space="0"/>
                      </w:pBdr>
                    </w:pPr>
                    <w:r>
                      <w:rPr>
                        <w:rStyle w:val="1098"/>
                        <w:rFonts w:ascii="Times New Roman"/>
                      </w:rPr>
                      <w:fldChar w:fldCharType="begin"/>
                    </w:r>
                    <w:r>
                      <w:rPr>
                        <w:rStyle w:val="1098"/>
                        <w:rFonts w:ascii="Times New Roman"/>
                      </w:rPr>
                      <w:instrText xml:space="preserve"> PAGE </w:instrText>
                    </w:r>
                    <w:r>
                      <w:rPr>
                        <w:rStyle w:val="1098"/>
                        <w:rFonts w:ascii="Times New Roman"/>
                      </w:rPr>
                      <w:fldChar w:fldCharType="separate"/>
                    </w:r>
                    <w:r>
                      <w:rPr>
                        <w:rStyle w:val="1098"/>
                        <w:rFonts w:ascii="Times New Roman"/>
                      </w:rPr>
                      <w:t xml:space="preserve">2</w:t>
                    </w:r>
                    <w:r>
                      <w:rPr>
                        <w:rStyle w:val="1098"/>
                        <w:rFonts w:ascii="Times New Roman"/>
                      </w:rPr>
                      <w:fldChar w:fldCharType="end"/>
                    </w:r>
                    <w:r>
                      <w:rPr>
                        <w:rFonts w:ascii="Times New Roman"/>
                      </w:rPr>
                    </w:r>
                    <w:r/>
                  </w:p>
                  <w:p>
                    <w:pPr>
                      <w:pStyle w:val="1023"/>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rPr>
        <w:rStyle w:val="1098"/>
      </w:rPr>
      <w:framePr w:wrap="around" w:vAnchor="text" w:hAnchor="margin" w:xAlign="right" w:y="1"/>
    </w:pPr>
    <w:r>
      <w:rPr>
        <w:rStyle w:val="1098"/>
      </w:rPr>
      <w:fldChar w:fldCharType="begin"/>
    </w:r>
    <w:r>
      <w:rPr>
        <w:rStyle w:val="1098"/>
      </w:rPr>
      <w:instrText xml:space="preserve">PAGE  </w:instrText>
    </w:r>
    <w:r>
      <w:rPr>
        <w:rStyle w:val="1098"/>
      </w:rPr>
      <w:fldChar w:fldCharType="end"/>
    </w:r>
    <w:r>
      <w:rPr>
        <w:rStyle w:val="1098"/>
      </w:rPr>
    </w:r>
    <w:r/>
  </w:p>
  <w:p>
    <w:pPr>
      <w:pStyle w:val="1071"/>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rPr>
        <w:rStyle w:val="1098"/>
      </w:rPr>
      <w:framePr w:wrap="around" w:vAnchor="text" w:hAnchor="margin" w:xAlign="right" w:y="1"/>
    </w:pPr>
    <w:r>
      <w:rPr>
        <w:rStyle w:val="1098"/>
      </w:rPr>
      <w:fldChar w:fldCharType="begin"/>
    </w:r>
    <w:r>
      <w:rPr>
        <w:rStyle w:val="1098"/>
      </w:rPr>
      <w:instrText xml:space="preserve">PAGE  </w:instrText>
    </w:r>
    <w:r>
      <w:rPr>
        <w:rStyle w:val="1098"/>
      </w:rPr>
      <w:fldChar w:fldCharType="end"/>
    </w:r>
    <w:r>
      <w:rPr>
        <w:rStyle w:val="1098"/>
      </w:rPr>
    </w:r>
    <w:r/>
  </w:p>
  <w:p>
    <w:pPr>
      <w:pStyle w:val="1071"/>
      <w:ind w:right="360"/>
      <w:tabs>
        <w:tab w:val="center" w:pos="4153" w:leader="none"/>
        <w:tab w:val="right" w:pos="8306" w:leader="none"/>
      </w:tabs>
    </w:pPr>
    <w:r/>
    <w:r/>
  </w:p>
  <w:p>
    <w:pPr>
      <w:pStyle w:val="102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right"/>
      <w:tabs>
        <w:tab w:val="center" w:pos="4153" w:leader="none"/>
        <w:tab w:val="right" w:pos="8306" w:leader="none"/>
      </w:tabs>
      <w:pBdr>
        <w:bottom w:val="none" w:color="000000" w:sz="0" w:space="1"/>
      </w:pBdr>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right"/>
      <w:tabs>
        <w:tab w:val="center" w:pos="4153" w:leader="none"/>
        <w:tab w:val="right" w:pos="8306" w:leader="none"/>
      </w:tabs>
      <w:pBdr>
        <w:bottom w:val="none" w:color="000000" w:sz="0" w:space="1"/>
      </w:pBdr>
    </w:pPr>
    <w:r>
      <w:rPr>
        <w:rFonts w:hint="eastAsia"/>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Pr>
    <w:r/>
    <w:r/>
  </w:p>
  <w:p>
    <w:pPr>
      <w:pStyle w:val="102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102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0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40"/>
      <w:isLgl w:val="false"/>
      <w:suff w:val="tab"/>
      <w:lvlText w:val="%1."/>
      <w:lvlJc w:val="left"/>
      <w:pPr>
        <w:pStyle w:val="1023"/>
        <w:ind w:left="420" w:hanging="420"/>
      </w:pPr>
    </w:lvl>
    <w:lvl w:ilvl="1">
      <w:start w:val="1"/>
      <w:numFmt w:val="decimal"/>
      <w:isLgl w:val="false"/>
      <w:suff w:val="tab"/>
      <w:lvlText w:val="（%2）"/>
      <w:lvlJc w:val="left"/>
      <w:pPr>
        <w:pStyle w:val="1023"/>
        <w:ind w:left="1140" w:hanging="720"/>
        <w:tabs>
          <w:tab w:val="num" w:pos="1140" w:leader="none"/>
        </w:tabs>
      </w:pPr>
      <w:rPr>
        <w:rFonts w:hint="eastAsia"/>
      </w:rPr>
    </w:lvl>
    <w:lvl w:ilvl="2">
      <w:start w:val="1"/>
      <w:numFmt w:val="lowerRoman"/>
      <w:isLgl w:val="false"/>
      <w:suff w:val="tab"/>
      <w:lvlText w:val="%3."/>
      <w:lvlJc w:val="right"/>
      <w:pPr>
        <w:pStyle w:val="1023"/>
        <w:ind w:left="1260" w:hanging="420"/>
      </w:pPr>
    </w:lvl>
    <w:lvl w:ilvl="3">
      <w:start w:val="1"/>
      <w:numFmt w:val="decimal"/>
      <w:isLgl w:val="false"/>
      <w:suff w:val="tab"/>
      <w:lvlText w:val="%4."/>
      <w:lvlJc w:val="left"/>
      <w:pPr>
        <w:pStyle w:val="1023"/>
        <w:ind w:left="1680" w:hanging="420"/>
      </w:pPr>
    </w:lvl>
    <w:lvl w:ilvl="4">
      <w:start w:val="1"/>
      <w:numFmt w:val="lowerLetter"/>
      <w:isLgl w:val="false"/>
      <w:suff w:val="tab"/>
      <w:lvlText w:val="%5)"/>
      <w:lvlJc w:val="left"/>
      <w:pPr>
        <w:pStyle w:val="1023"/>
        <w:ind w:left="2100" w:hanging="420"/>
      </w:pPr>
    </w:lvl>
    <w:lvl w:ilvl="5">
      <w:start w:val="1"/>
      <w:numFmt w:val="lowerRoman"/>
      <w:isLgl w:val="false"/>
      <w:suff w:val="tab"/>
      <w:lvlText w:val="%6."/>
      <w:lvlJc w:val="right"/>
      <w:pPr>
        <w:pStyle w:val="1023"/>
        <w:ind w:left="2520" w:hanging="420"/>
      </w:pPr>
    </w:lvl>
    <w:lvl w:ilvl="6">
      <w:start w:val="1"/>
      <w:numFmt w:val="decimal"/>
      <w:isLgl w:val="false"/>
      <w:suff w:val="tab"/>
      <w:lvlText w:val="%7."/>
      <w:lvlJc w:val="left"/>
      <w:pPr>
        <w:pStyle w:val="1023"/>
        <w:ind w:left="2940" w:hanging="420"/>
      </w:pPr>
    </w:lvl>
    <w:lvl w:ilvl="7">
      <w:start w:val="1"/>
      <w:numFmt w:val="lowerLetter"/>
      <w:isLgl w:val="false"/>
      <w:suff w:val="tab"/>
      <w:lvlText w:val="%8)"/>
      <w:lvlJc w:val="left"/>
      <w:pPr>
        <w:pStyle w:val="1023"/>
        <w:ind w:left="3360" w:hanging="420"/>
      </w:pPr>
    </w:lvl>
    <w:lvl w:ilvl="8">
      <w:start w:val="1"/>
      <w:numFmt w:val="lowerRoman"/>
      <w:isLgl w:val="false"/>
      <w:suff w:val="tab"/>
      <w:lvlText w:val="%9."/>
      <w:lvlJc w:val="right"/>
      <w:pPr>
        <w:pStyle w:val="1023"/>
        <w:ind w:left="3780" w:hanging="420"/>
      </w:pPr>
    </w:lvl>
  </w:abstractNum>
  <w:abstractNum w:abstractNumId="3">
    <w:multiLevelType w:val="hybridMultilevel"/>
    <w:lvl w:ilvl="0">
      <w:start w:val="1"/>
      <w:numFmt w:val="lowerLetter"/>
      <w:pStyle w:val="1215"/>
      <w:isLgl w:val="false"/>
      <w:suff w:val="tab"/>
      <w:lvlText w:val="%1)"/>
      <w:lvlJc w:val="left"/>
      <w:pPr>
        <w:pStyle w:val="1023"/>
        <w:ind w:left="902" w:hanging="420"/>
      </w:pPr>
      <w:rPr>
        <w:color w:val="000000"/>
      </w:rPr>
    </w:lvl>
    <w:lvl w:ilvl="1">
      <w:start w:val="1"/>
      <w:numFmt w:val="lowerLetter"/>
      <w:isLgl w:val="false"/>
      <w:suff w:val="tab"/>
      <w:lvlText w:val="%2)"/>
      <w:lvlJc w:val="left"/>
      <w:pPr>
        <w:pStyle w:val="1023"/>
        <w:ind w:left="1322" w:hanging="420"/>
      </w:pPr>
    </w:lvl>
    <w:lvl w:ilvl="2">
      <w:start w:val="1"/>
      <w:numFmt w:val="lowerRoman"/>
      <w:isLgl w:val="false"/>
      <w:suff w:val="tab"/>
      <w:lvlText w:val="%3."/>
      <w:lvlJc w:val="right"/>
      <w:pPr>
        <w:pStyle w:val="1023"/>
        <w:ind w:left="1742" w:hanging="420"/>
      </w:pPr>
    </w:lvl>
    <w:lvl w:ilvl="3">
      <w:start w:val="1"/>
      <w:numFmt w:val="decimal"/>
      <w:isLgl w:val="false"/>
      <w:suff w:val="tab"/>
      <w:lvlText w:val="%4."/>
      <w:lvlJc w:val="left"/>
      <w:pPr>
        <w:pStyle w:val="1023"/>
        <w:ind w:left="2162" w:hanging="420"/>
      </w:pPr>
    </w:lvl>
    <w:lvl w:ilvl="4">
      <w:start w:val="1"/>
      <w:numFmt w:val="lowerLetter"/>
      <w:isLgl w:val="false"/>
      <w:suff w:val="tab"/>
      <w:lvlText w:val="%5)"/>
      <w:lvlJc w:val="left"/>
      <w:pPr>
        <w:pStyle w:val="1023"/>
        <w:ind w:left="2582" w:hanging="420"/>
      </w:pPr>
    </w:lvl>
    <w:lvl w:ilvl="5">
      <w:start w:val="1"/>
      <w:numFmt w:val="lowerRoman"/>
      <w:isLgl w:val="false"/>
      <w:suff w:val="tab"/>
      <w:lvlText w:val="%6."/>
      <w:lvlJc w:val="right"/>
      <w:pPr>
        <w:pStyle w:val="1023"/>
        <w:ind w:left="3002" w:hanging="420"/>
      </w:pPr>
    </w:lvl>
    <w:lvl w:ilvl="6">
      <w:start w:val="1"/>
      <w:numFmt w:val="decimal"/>
      <w:isLgl w:val="false"/>
      <w:suff w:val="tab"/>
      <w:lvlText w:val="%7."/>
      <w:lvlJc w:val="left"/>
      <w:pPr>
        <w:pStyle w:val="1023"/>
        <w:ind w:left="3422" w:hanging="420"/>
      </w:pPr>
    </w:lvl>
    <w:lvl w:ilvl="7">
      <w:start w:val="1"/>
      <w:numFmt w:val="lowerLetter"/>
      <w:isLgl w:val="false"/>
      <w:suff w:val="tab"/>
      <w:lvlText w:val="%8)"/>
      <w:lvlJc w:val="left"/>
      <w:pPr>
        <w:pStyle w:val="1023"/>
        <w:ind w:left="3842" w:hanging="420"/>
      </w:pPr>
    </w:lvl>
    <w:lvl w:ilvl="8">
      <w:start w:val="1"/>
      <w:numFmt w:val="lowerRoman"/>
      <w:isLgl w:val="false"/>
      <w:suff w:val="tab"/>
      <w:lvlText w:val="%9."/>
      <w:lvlJc w:val="right"/>
      <w:pPr>
        <w:pStyle w:val="1023"/>
        <w:ind w:left="4262" w:hanging="420"/>
      </w:pPr>
    </w:lvl>
  </w:abstractNum>
  <w:abstractNum w:abstractNumId="4">
    <w:multiLevelType w:val="hybridMultilevel"/>
    <w:lvl w:ilvl="0">
      <w:start w:val="1"/>
      <w:numFmt w:val="decimal"/>
      <w:pStyle w:val="1185"/>
      <w:isLgl w:val="false"/>
      <w:suff w:val="tab"/>
      <w:lvlText w:val="%1."/>
      <w:lvlJc w:val="left"/>
      <w:pPr>
        <w:pStyle w:val="102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07"/>
      <w:isLgl w:val="false"/>
      <w:suff w:val="nothing"/>
      <w:lvlText w:val="%1　"/>
      <w:lvlJc w:val="left"/>
      <w:pPr>
        <w:pStyle w:val="102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23"/>
        <w:ind w:left="81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23"/>
        <w:ind w:left="-25" w:firstLine="0"/>
      </w:pPr>
      <w:rPr>
        <w:rFonts w:ascii="Times New Roman" w:hAnsi="Times New Roman" w:eastAsia="黑体"/>
        <w:b/>
        <w:i w:val="0"/>
        <w:sz w:val="28"/>
      </w:rPr>
    </w:lvl>
    <w:lvl w:ilvl="3">
      <w:start w:val="1"/>
      <w:numFmt w:val="decimal"/>
      <w:pStyle w:val="1170"/>
      <w:isLgl w:val="false"/>
      <w:suff w:val="nothing"/>
      <w:lvlText w:val="%1.%2.%3.%4　"/>
      <w:lvlJc w:val="left"/>
      <w:pPr>
        <w:pStyle w:val="102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2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23"/>
        <w:ind w:left="-25" w:firstLine="0"/>
      </w:pPr>
      <w:rPr>
        <w:rFonts w:ascii="Times New Roman" w:hAnsi="Times New Roman" w:eastAsia="宋体"/>
        <w:b/>
        <w:i w:val="0"/>
        <w:sz w:val="28"/>
      </w:rPr>
    </w:lvl>
    <w:lvl w:ilvl="6">
      <w:start w:val="1"/>
      <w:numFmt w:val="lowerLetter"/>
      <w:pStyle w:val="1191"/>
      <w:isLgl w:val="false"/>
      <w:suff w:val="tab"/>
      <w:lvlText w:val="%7) "/>
      <w:lvlJc w:val="left"/>
      <w:pPr>
        <w:pStyle w:val="1023"/>
        <w:ind w:left="-125" w:firstLine="400"/>
        <w:tabs>
          <w:tab w:val="num" w:pos="635" w:leader="none"/>
        </w:tabs>
      </w:pPr>
      <w:rPr>
        <w:rFonts w:ascii="Times New Roman" w:hAnsi="Times New Roman" w:eastAsia="宋体"/>
        <w:b/>
        <w:i w:val="0"/>
        <w:color w:val="000000"/>
        <w:sz w:val="28"/>
        <w:u w:val="none"/>
      </w:rPr>
    </w:lvl>
    <w:lvl w:ilvl="7">
      <w:start w:val="1"/>
      <w:numFmt w:val="decimal"/>
      <w:pStyle w:val="1154"/>
      <w:isLgl w:val="false"/>
      <w:suff w:val="tab"/>
      <w:lvlText w:val="%8) "/>
      <w:lvlJc w:val="left"/>
      <w:pPr>
        <w:pStyle w:val="102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23"/>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23"/>
        <w:ind w:left="768" w:hanging="360"/>
        <w:tabs>
          <w:tab w:val="num" w:pos="768" w:leader="none"/>
        </w:tabs>
      </w:pPr>
      <w:rPr>
        <w:rFonts w:hint="eastAsia"/>
      </w:rPr>
    </w:lvl>
    <w:lvl w:ilvl="1">
      <w:start w:val="1"/>
      <w:numFmt w:val="decimal"/>
      <w:pStyle w:val="1172"/>
      <w:isLgl w:val="false"/>
      <w:suff w:val="tab"/>
      <w:lvlText w:val="%2、"/>
      <w:lvlJc w:val="left"/>
      <w:pPr>
        <w:pStyle w:val="1023"/>
        <w:ind w:left="1188" w:hanging="360"/>
        <w:tabs>
          <w:tab w:val="num" w:pos="1188" w:leader="none"/>
        </w:tabs>
      </w:pPr>
      <w:rPr>
        <w:rFonts w:hint="eastAsia"/>
      </w:rPr>
    </w:lvl>
    <w:lvl w:ilvl="2">
      <w:start w:val="1"/>
      <w:numFmt w:val="decimal"/>
      <w:isLgl w:val="false"/>
      <w:suff w:val="tab"/>
      <w:lvlText w:val="（%3）"/>
      <w:lvlJc w:val="left"/>
      <w:pPr>
        <w:pStyle w:val="1023"/>
        <w:ind w:left="1968" w:hanging="720"/>
        <w:tabs>
          <w:tab w:val="num" w:pos="1968" w:leader="none"/>
        </w:tabs>
      </w:pPr>
      <w:rPr>
        <w:rFonts w:hint="eastAsia"/>
        <w:u w:val="none"/>
      </w:rPr>
    </w:lvl>
    <w:lvl w:ilvl="3">
      <w:start w:val="1"/>
      <w:numFmt w:val="decimal"/>
      <w:isLgl w:val="false"/>
      <w:suff w:val="tab"/>
      <w:lvlText w:val="%4."/>
      <w:lvlJc w:val="left"/>
      <w:pPr>
        <w:pStyle w:val="1023"/>
        <w:ind w:left="2088" w:hanging="420"/>
        <w:tabs>
          <w:tab w:val="num" w:pos="2088" w:leader="none"/>
        </w:tabs>
      </w:pPr>
    </w:lvl>
    <w:lvl w:ilvl="4">
      <w:start w:val="1"/>
      <w:numFmt w:val="lowerLetter"/>
      <w:isLgl w:val="false"/>
      <w:suff w:val="tab"/>
      <w:lvlText w:val="%5)"/>
      <w:lvlJc w:val="left"/>
      <w:pPr>
        <w:pStyle w:val="1023"/>
        <w:ind w:left="2508" w:hanging="420"/>
        <w:tabs>
          <w:tab w:val="num" w:pos="2508" w:leader="none"/>
        </w:tabs>
      </w:pPr>
    </w:lvl>
    <w:lvl w:ilvl="5">
      <w:start w:val="1"/>
      <w:numFmt w:val="lowerRoman"/>
      <w:isLgl w:val="false"/>
      <w:suff w:val="tab"/>
      <w:lvlText w:val="%6."/>
      <w:lvlJc w:val="right"/>
      <w:pPr>
        <w:pStyle w:val="1023"/>
        <w:ind w:left="2928" w:hanging="420"/>
        <w:tabs>
          <w:tab w:val="num" w:pos="2928" w:leader="none"/>
        </w:tabs>
      </w:pPr>
    </w:lvl>
    <w:lvl w:ilvl="6">
      <w:start w:val="1"/>
      <w:numFmt w:val="decimal"/>
      <w:isLgl w:val="false"/>
      <w:suff w:val="tab"/>
      <w:lvlText w:val="%7."/>
      <w:lvlJc w:val="left"/>
      <w:pPr>
        <w:pStyle w:val="1023"/>
        <w:ind w:left="3348" w:hanging="420"/>
        <w:tabs>
          <w:tab w:val="num" w:pos="3348" w:leader="none"/>
        </w:tabs>
      </w:pPr>
    </w:lvl>
    <w:lvl w:ilvl="7">
      <w:start w:val="1"/>
      <w:numFmt w:val="lowerLetter"/>
      <w:isLgl w:val="false"/>
      <w:suff w:val="tab"/>
      <w:lvlText w:val="%8)"/>
      <w:lvlJc w:val="left"/>
      <w:pPr>
        <w:pStyle w:val="1023"/>
        <w:ind w:left="3768" w:hanging="420"/>
        <w:tabs>
          <w:tab w:val="num" w:pos="3768" w:leader="none"/>
        </w:tabs>
      </w:pPr>
    </w:lvl>
    <w:lvl w:ilvl="8">
      <w:start w:val="1"/>
      <w:numFmt w:val="lowerRoman"/>
      <w:isLgl w:val="false"/>
      <w:suff w:val="tab"/>
      <w:lvlText w:val="%9."/>
      <w:lvlJc w:val="right"/>
      <w:pPr>
        <w:pStyle w:val="1023"/>
        <w:ind w:left="4188" w:hanging="420"/>
        <w:tabs>
          <w:tab w:val="num" w:pos="4188" w:leader="none"/>
        </w:tabs>
      </w:pPr>
    </w:lvl>
  </w:abstractNum>
  <w:abstractNum w:abstractNumId="7">
    <w:multiLevelType w:val="hybridMultilevel"/>
    <w:lvl w:ilvl="0">
      <w:start w:val="1"/>
      <w:numFmt w:val="decimal"/>
      <w:pStyle w:val="1139"/>
      <w:isLgl w:val="false"/>
      <w:suff w:val="tab"/>
      <w:lvlText w:val="%1)"/>
      <w:lvlJc w:val="left"/>
      <w:pPr>
        <w:pStyle w:val="1023"/>
        <w:ind w:left="420" w:hanging="420"/>
      </w:pPr>
    </w:lvl>
    <w:lvl w:ilvl="1">
      <w:start w:val="1"/>
      <w:numFmt w:val="lowerLetter"/>
      <w:isLgl w:val="false"/>
      <w:suff w:val="tab"/>
      <w:lvlText w:val="%2)"/>
      <w:lvlJc w:val="left"/>
      <w:pPr>
        <w:pStyle w:val="1023"/>
        <w:ind w:left="840" w:hanging="420"/>
      </w:pPr>
    </w:lvl>
    <w:lvl w:ilvl="2">
      <w:start w:val="1"/>
      <w:numFmt w:val="lowerRoman"/>
      <w:isLgl w:val="false"/>
      <w:suff w:val="tab"/>
      <w:lvlText w:val="%3."/>
      <w:lvlJc w:val="right"/>
      <w:pPr>
        <w:pStyle w:val="1023"/>
        <w:ind w:left="1260" w:hanging="420"/>
      </w:pPr>
    </w:lvl>
    <w:lvl w:ilvl="3">
      <w:start w:val="1"/>
      <w:numFmt w:val="decimal"/>
      <w:isLgl w:val="false"/>
      <w:suff w:val="tab"/>
      <w:lvlText w:val="%4."/>
      <w:lvlJc w:val="left"/>
      <w:pPr>
        <w:pStyle w:val="1023"/>
        <w:ind w:left="1680" w:hanging="420"/>
      </w:pPr>
    </w:lvl>
    <w:lvl w:ilvl="4">
      <w:start w:val="1"/>
      <w:numFmt w:val="lowerLetter"/>
      <w:isLgl w:val="false"/>
      <w:suff w:val="tab"/>
      <w:lvlText w:val="%5)"/>
      <w:lvlJc w:val="left"/>
      <w:pPr>
        <w:pStyle w:val="1023"/>
        <w:ind w:left="2100" w:hanging="420"/>
      </w:pPr>
    </w:lvl>
    <w:lvl w:ilvl="5">
      <w:start w:val="1"/>
      <w:numFmt w:val="lowerRoman"/>
      <w:isLgl w:val="false"/>
      <w:suff w:val="tab"/>
      <w:lvlText w:val="%6."/>
      <w:lvlJc w:val="right"/>
      <w:pPr>
        <w:pStyle w:val="1023"/>
        <w:ind w:left="2520" w:hanging="420"/>
      </w:pPr>
    </w:lvl>
    <w:lvl w:ilvl="6">
      <w:start w:val="1"/>
      <w:numFmt w:val="decimal"/>
      <w:isLgl w:val="false"/>
      <w:suff w:val="tab"/>
      <w:lvlText w:val="%7."/>
      <w:lvlJc w:val="left"/>
      <w:pPr>
        <w:pStyle w:val="1023"/>
        <w:ind w:left="2940" w:hanging="420"/>
      </w:pPr>
    </w:lvl>
    <w:lvl w:ilvl="7">
      <w:start w:val="1"/>
      <w:numFmt w:val="lowerLetter"/>
      <w:isLgl w:val="false"/>
      <w:suff w:val="tab"/>
      <w:lvlText w:val="%8)"/>
      <w:lvlJc w:val="left"/>
      <w:pPr>
        <w:pStyle w:val="1023"/>
        <w:ind w:left="3360" w:hanging="420"/>
      </w:pPr>
    </w:lvl>
    <w:lvl w:ilvl="8">
      <w:start w:val="1"/>
      <w:numFmt w:val="lowerRoman"/>
      <w:isLgl w:val="false"/>
      <w:suff w:val="tab"/>
      <w:lvlText w:val="%9."/>
      <w:lvlJc w:val="right"/>
      <w:pPr>
        <w:pStyle w:val="1023"/>
        <w:ind w:left="3780" w:hanging="420"/>
      </w:pPr>
    </w:lvl>
  </w:abstractNum>
  <w:abstractNum w:abstractNumId="8">
    <w:multiLevelType w:val="hybridMultilevel"/>
    <w:lvl w:ilvl="0">
      <w:start w:val="1"/>
      <w:numFmt w:val="japaneseCounting"/>
      <w:isLgl w:val="false"/>
      <w:suff w:val="tab"/>
      <w:lvlText w:val="第%1章"/>
      <w:lvlJc w:val="left"/>
      <w:pPr>
        <w:pStyle w:val="1023"/>
        <w:ind w:left="4941" w:hanging="1140"/>
        <w:tabs>
          <w:tab w:val="num" w:pos="4941" w:leader="none"/>
        </w:tabs>
      </w:pPr>
      <w:rPr>
        <w:rFonts w:hint="eastAsia"/>
      </w:rPr>
    </w:lvl>
    <w:lvl w:ilvl="1">
      <w:start w:val="1"/>
      <w:numFmt w:val="lowerLetter"/>
      <w:isLgl w:val="false"/>
      <w:suff w:val="tab"/>
      <w:lvlText w:val="%2)"/>
      <w:lvlJc w:val="left"/>
      <w:pPr>
        <w:pStyle w:val="1023"/>
        <w:ind w:left="4641" w:hanging="420"/>
        <w:tabs>
          <w:tab w:val="num" w:pos="4641" w:leader="none"/>
        </w:tabs>
      </w:pPr>
    </w:lvl>
    <w:lvl w:ilvl="2">
      <w:start w:val="1"/>
      <w:numFmt w:val="lowerRoman"/>
      <w:isLgl w:val="false"/>
      <w:suff w:val="tab"/>
      <w:lvlText w:val="%3."/>
      <w:lvlJc w:val="right"/>
      <w:pPr>
        <w:pStyle w:val="1023"/>
        <w:ind w:left="5061" w:hanging="420"/>
        <w:tabs>
          <w:tab w:val="num" w:pos="5061" w:leader="none"/>
        </w:tabs>
      </w:pPr>
    </w:lvl>
    <w:lvl w:ilvl="3">
      <w:start w:val="1"/>
      <w:numFmt w:val="decimal"/>
      <w:isLgl w:val="false"/>
      <w:suff w:val="tab"/>
      <w:lvlText w:val="%4."/>
      <w:lvlJc w:val="left"/>
      <w:pPr>
        <w:pStyle w:val="1023"/>
        <w:ind w:left="5481" w:hanging="420"/>
        <w:tabs>
          <w:tab w:val="num" w:pos="5481" w:leader="none"/>
        </w:tabs>
      </w:pPr>
    </w:lvl>
    <w:lvl w:ilvl="4">
      <w:start w:val="1"/>
      <w:numFmt w:val="lowerLetter"/>
      <w:isLgl w:val="false"/>
      <w:suff w:val="tab"/>
      <w:lvlText w:val="%5)"/>
      <w:lvlJc w:val="left"/>
      <w:pPr>
        <w:pStyle w:val="1023"/>
        <w:ind w:left="5901" w:hanging="420"/>
        <w:tabs>
          <w:tab w:val="num" w:pos="5901" w:leader="none"/>
        </w:tabs>
      </w:pPr>
    </w:lvl>
    <w:lvl w:ilvl="5">
      <w:start w:val="1"/>
      <w:numFmt w:val="lowerRoman"/>
      <w:isLgl w:val="false"/>
      <w:suff w:val="tab"/>
      <w:lvlText w:val="%6."/>
      <w:lvlJc w:val="right"/>
      <w:pPr>
        <w:pStyle w:val="1023"/>
        <w:ind w:left="6321" w:hanging="420"/>
        <w:tabs>
          <w:tab w:val="num" w:pos="6321" w:leader="none"/>
        </w:tabs>
      </w:pPr>
    </w:lvl>
    <w:lvl w:ilvl="6">
      <w:start w:val="1"/>
      <w:numFmt w:val="decimal"/>
      <w:isLgl w:val="false"/>
      <w:suff w:val="tab"/>
      <w:lvlText w:val="%7."/>
      <w:lvlJc w:val="left"/>
      <w:pPr>
        <w:pStyle w:val="1023"/>
        <w:ind w:left="6741" w:hanging="420"/>
        <w:tabs>
          <w:tab w:val="num" w:pos="6741" w:leader="none"/>
        </w:tabs>
      </w:pPr>
    </w:lvl>
    <w:lvl w:ilvl="7">
      <w:start w:val="1"/>
      <w:numFmt w:val="lowerLetter"/>
      <w:isLgl w:val="false"/>
      <w:suff w:val="tab"/>
      <w:lvlText w:val="%8)"/>
      <w:lvlJc w:val="left"/>
      <w:pPr>
        <w:pStyle w:val="1023"/>
        <w:ind w:left="7161" w:hanging="420"/>
        <w:tabs>
          <w:tab w:val="num" w:pos="7161" w:leader="none"/>
        </w:tabs>
      </w:pPr>
    </w:lvl>
    <w:lvl w:ilvl="8">
      <w:start w:val="1"/>
      <w:numFmt w:val="lowerRoman"/>
      <w:isLgl w:val="false"/>
      <w:suff w:val="tab"/>
      <w:lvlText w:val="%9."/>
      <w:lvlJc w:val="right"/>
      <w:pPr>
        <w:pStyle w:val="1023"/>
        <w:ind w:left="7581" w:hanging="420"/>
        <w:tabs>
          <w:tab w:val="num" w:pos="7581" w:leader="none"/>
        </w:tabs>
      </w:pPr>
    </w:lvl>
  </w:abstractNum>
  <w:abstractNum w:abstractNumId="9">
    <w:multiLevelType w:val="hybridMultilevel"/>
    <w:lvl w:ilvl="0">
      <w:start w:val="1"/>
      <w:numFmt w:val="decimal"/>
      <w:pStyle w:val="1240"/>
      <w:isLgl w:val="false"/>
      <w:suff w:val="tab"/>
      <w:lvlText w:val="%1"/>
      <w:lvlJc w:val="left"/>
      <w:pPr>
        <w:pStyle w:val="1023"/>
        <w:ind w:left="680" w:hanging="680"/>
      </w:pPr>
      <w:rPr>
        <w:rFonts w:hint="eastAsia" w:ascii="宋体" w:hAnsi="宋体" w:eastAsia="宋体"/>
      </w:rPr>
    </w:lvl>
    <w:lvl w:ilvl="1">
      <w:start w:val="1"/>
      <w:numFmt w:val="decimal"/>
      <w:pStyle w:val="1241"/>
      <w:isLgl w:val="false"/>
      <w:suff w:val="tab"/>
      <w:lvlText w:val="%1.%2"/>
      <w:lvlJc w:val="left"/>
      <w:pPr>
        <w:pStyle w:val="1023"/>
        <w:ind w:left="851" w:hanging="851"/>
      </w:pPr>
      <w:rPr>
        <w:rFonts w:hint="eastAsia" w:ascii="宋体" w:hAnsi="宋体" w:eastAsia="宋体"/>
        <w:color w:val="000000"/>
      </w:rPr>
    </w:lvl>
    <w:lvl w:ilvl="2">
      <w:start w:val="1"/>
      <w:numFmt w:val="decimal"/>
      <w:pStyle w:val="1242"/>
      <w:isLgl w:val="false"/>
      <w:suff w:val="tab"/>
      <w:lvlText w:val="%1.%2.%3"/>
      <w:lvlJc w:val="left"/>
      <w:pPr>
        <w:pStyle w:val="1023"/>
        <w:ind w:left="851" w:hanging="851"/>
      </w:pPr>
      <w:rPr>
        <w:rFonts w:hint="eastAsia"/>
      </w:rPr>
    </w:lvl>
    <w:lvl w:ilvl="3">
      <w:start w:val="1"/>
      <w:numFmt w:val="decimal"/>
      <w:isLgl w:val="false"/>
      <w:suff w:val="tab"/>
      <w:lvlText w:val="%1.%2.%3.%4"/>
      <w:lvlJc w:val="left"/>
      <w:pPr>
        <w:pStyle w:val="1023"/>
        <w:ind w:left="680" w:hanging="680"/>
      </w:pPr>
      <w:rPr>
        <w:rFonts w:hint="eastAsia"/>
      </w:rPr>
    </w:lvl>
    <w:lvl w:ilvl="4">
      <w:start w:val="1"/>
      <w:numFmt w:val="decimal"/>
      <w:isLgl w:val="false"/>
      <w:suff w:val="tab"/>
      <w:lvlText w:val="%1.%2.%3.%4.%5"/>
      <w:lvlJc w:val="left"/>
      <w:pPr>
        <w:pStyle w:val="1023"/>
        <w:ind w:left="680" w:hanging="680"/>
      </w:pPr>
      <w:rPr>
        <w:rFonts w:hint="eastAsia"/>
      </w:rPr>
    </w:lvl>
    <w:lvl w:ilvl="5">
      <w:start w:val="1"/>
      <w:numFmt w:val="decimal"/>
      <w:isLgl w:val="false"/>
      <w:suff w:val="tab"/>
      <w:lvlText w:val="%1.%2.%3.%4.%5.%6"/>
      <w:lvlJc w:val="left"/>
      <w:pPr>
        <w:pStyle w:val="1023"/>
        <w:ind w:left="680" w:hanging="680"/>
      </w:pPr>
      <w:rPr>
        <w:rFonts w:hint="eastAsia"/>
      </w:rPr>
    </w:lvl>
    <w:lvl w:ilvl="6">
      <w:start w:val="1"/>
      <w:numFmt w:val="decimal"/>
      <w:isLgl w:val="false"/>
      <w:suff w:val="tab"/>
      <w:lvlText w:val="%1.%2.%3.%4.%5.%6.%7"/>
      <w:lvlJc w:val="left"/>
      <w:pPr>
        <w:pStyle w:val="1023"/>
        <w:ind w:left="680" w:hanging="680"/>
      </w:pPr>
      <w:rPr>
        <w:rFonts w:hint="eastAsia"/>
      </w:rPr>
    </w:lvl>
    <w:lvl w:ilvl="7">
      <w:start w:val="1"/>
      <w:numFmt w:val="decimal"/>
      <w:isLgl w:val="false"/>
      <w:suff w:val="tab"/>
      <w:lvlText w:val="%1.%2.%3.%4.%5.%6.%7.%8"/>
      <w:lvlJc w:val="left"/>
      <w:pPr>
        <w:pStyle w:val="1023"/>
        <w:ind w:left="680" w:hanging="680"/>
      </w:pPr>
      <w:rPr>
        <w:rFonts w:hint="eastAsia"/>
      </w:rPr>
    </w:lvl>
    <w:lvl w:ilvl="8">
      <w:start w:val="1"/>
      <w:numFmt w:val="decimal"/>
      <w:isLgl w:val="false"/>
      <w:suff w:val="tab"/>
      <w:lvlText w:val="%1.%2.%3.%4.%5.%6.%7.%8.%9"/>
      <w:lvlJc w:val="left"/>
      <w:pPr>
        <w:pStyle w:val="1023"/>
        <w:ind w:left="680" w:hanging="680"/>
      </w:pPr>
      <w:rPr>
        <w:rFonts w:hint="eastAsia"/>
      </w:rPr>
    </w:lvl>
  </w:abstractNum>
  <w:abstractNum w:abstractNumId="10">
    <w:multiLevelType w:val="hybridMultilevel"/>
    <w:lvl w:ilvl="0">
      <w:start w:val="1"/>
      <w:numFmt w:val="decimal"/>
      <w:isLgl w:val="false"/>
      <w:suff w:val="tab"/>
      <w:lvlText w:val="%1"/>
      <w:lvlJc w:val="left"/>
      <w:pPr>
        <w:pStyle w:val="1023"/>
        <w:ind w:left="900" w:hanging="900"/>
        <w:tabs>
          <w:tab w:val="num" w:pos="900" w:leader="none"/>
        </w:tabs>
      </w:pPr>
      <w:rPr>
        <w:rFonts w:hint="eastAsia"/>
      </w:rPr>
    </w:lvl>
    <w:lvl w:ilvl="1">
      <w:start w:val="1"/>
      <w:numFmt w:val="decimal"/>
      <w:isLgl w:val="false"/>
      <w:suff w:val="tab"/>
      <w:lvlText w:val="%1.%2"/>
      <w:lvlJc w:val="left"/>
      <w:pPr>
        <w:pStyle w:val="1023"/>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23"/>
        <w:ind w:left="1980" w:hanging="900"/>
        <w:tabs>
          <w:tab w:val="num" w:pos="1980" w:leader="none"/>
        </w:tabs>
      </w:pPr>
      <w:rPr>
        <w:rFonts w:hint="eastAsia"/>
      </w:rPr>
    </w:lvl>
    <w:lvl w:ilvl="3">
      <w:start w:val="1"/>
      <w:numFmt w:val="decimal"/>
      <w:isLgl w:val="false"/>
      <w:suff w:val="tab"/>
      <w:lvlText w:val="%1.%2.%3.%4"/>
      <w:lvlJc w:val="left"/>
      <w:pPr>
        <w:pStyle w:val="1023"/>
        <w:ind w:left="900" w:hanging="900"/>
        <w:tabs>
          <w:tab w:val="num" w:pos="900" w:leader="none"/>
        </w:tabs>
      </w:pPr>
      <w:rPr>
        <w:rFonts w:hint="eastAsia"/>
      </w:rPr>
    </w:lvl>
    <w:lvl w:ilvl="4">
      <w:start w:val="1"/>
      <w:numFmt w:val="decimal"/>
      <w:isLgl w:val="false"/>
      <w:suff w:val="tab"/>
      <w:lvlText w:val="%1.%2.%3.%4.%5"/>
      <w:lvlJc w:val="left"/>
      <w:pPr>
        <w:pStyle w:val="1023"/>
        <w:ind w:left="900" w:hanging="900"/>
        <w:tabs>
          <w:tab w:val="num" w:pos="900" w:leader="none"/>
        </w:tabs>
      </w:pPr>
      <w:rPr>
        <w:rFonts w:hint="eastAsia"/>
      </w:rPr>
    </w:lvl>
    <w:lvl w:ilvl="5">
      <w:start w:val="1"/>
      <w:numFmt w:val="decimal"/>
      <w:isLgl w:val="false"/>
      <w:suff w:val="tab"/>
      <w:lvlText w:val="%1.%2.%3.%4.%5.%6"/>
      <w:lvlJc w:val="left"/>
      <w:pPr>
        <w:pStyle w:val="1023"/>
        <w:ind w:left="900" w:hanging="900"/>
        <w:tabs>
          <w:tab w:val="num" w:pos="900" w:leader="none"/>
        </w:tabs>
      </w:pPr>
      <w:rPr>
        <w:rFonts w:hint="eastAsia"/>
      </w:rPr>
    </w:lvl>
    <w:lvl w:ilvl="6">
      <w:start w:val="1"/>
      <w:numFmt w:val="decimal"/>
      <w:isLgl w:val="false"/>
      <w:suff w:val="tab"/>
      <w:lvlText w:val="%1.%2.%3.%4.%5.%6.%7"/>
      <w:lvlJc w:val="left"/>
      <w:pPr>
        <w:pStyle w:val="1023"/>
        <w:ind w:left="900" w:hanging="900"/>
        <w:tabs>
          <w:tab w:val="num" w:pos="900" w:leader="none"/>
        </w:tabs>
      </w:pPr>
      <w:rPr>
        <w:rFonts w:hint="eastAsia"/>
      </w:rPr>
    </w:lvl>
    <w:lvl w:ilvl="7">
      <w:start w:val="1"/>
      <w:numFmt w:val="decimal"/>
      <w:isLgl w:val="false"/>
      <w:suff w:val="tab"/>
      <w:lvlText w:val="%1.%2.%3.%4.%5.%6.%7.%8"/>
      <w:lvlJc w:val="left"/>
      <w:pPr>
        <w:pStyle w:val="1023"/>
        <w:ind w:left="900" w:hanging="900"/>
        <w:tabs>
          <w:tab w:val="num" w:pos="900" w:leader="none"/>
        </w:tabs>
      </w:pPr>
      <w:rPr>
        <w:rFonts w:hint="eastAsia"/>
      </w:rPr>
    </w:lvl>
    <w:lvl w:ilvl="8">
      <w:start w:val="1"/>
      <w:numFmt w:val="decimal"/>
      <w:isLgl w:val="false"/>
      <w:suff w:val="tab"/>
      <w:lvlText w:val="%1.%2.%3.%4.%5.%6.%7.%8.%9"/>
      <w:lvlJc w:val="left"/>
      <w:pPr>
        <w:pStyle w:val="1023"/>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1、"/>
      <w:lvlJc w:val="left"/>
      <w:pPr>
        <w:pStyle w:val="1023"/>
        <w:ind w:left="500" w:hanging="500"/>
      </w:pPr>
    </w:lvl>
    <w:lvl w:ilvl="1">
      <w:start w:val="1"/>
      <w:numFmt w:val="lowerLetter"/>
      <w:isLgl w:val="false"/>
      <w:suff w:val="tab"/>
      <w:lvlText w:val="%2)"/>
      <w:lvlJc w:val="left"/>
      <w:pPr>
        <w:pStyle w:val="1023"/>
        <w:ind w:left="840" w:hanging="420"/>
      </w:pPr>
    </w:lvl>
    <w:lvl w:ilvl="2">
      <w:start w:val="1"/>
      <w:numFmt w:val="lowerRoman"/>
      <w:isLgl w:val="false"/>
      <w:suff w:val="tab"/>
      <w:lvlText w:val="%3."/>
      <w:lvlJc w:val="right"/>
      <w:pPr>
        <w:pStyle w:val="1023"/>
        <w:ind w:left="1260" w:hanging="420"/>
      </w:pPr>
    </w:lvl>
    <w:lvl w:ilvl="3">
      <w:start w:val="1"/>
      <w:numFmt w:val="decimal"/>
      <w:isLgl w:val="false"/>
      <w:suff w:val="tab"/>
      <w:lvlText w:val="%4."/>
      <w:lvlJc w:val="left"/>
      <w:pPr>
        <w:pStyle w:val="1023"/>
        <w:ind w:left="1680" w:hanging="420"/>
      </w:pPr>
    </w:lvl>
    <w:lvl w:ilvl="4">
      <w:start w:val="1"/>
      <w:numFmt w:val="lowerLetter"/>
      <w:isLgl w:val="false"/>
      <w:suff w:val="tab"/>
      <w:lvlText w:val="%5)"/>
      <w:lvlJc w:val="left"/>
      <w:pPr>
        <w:pStyle w:val="1023"/>
        <w:ind w:left="2100" w:hanging="420"/>
      </w:pPr>
    </w:lvl>
    <w:lvl w:ilvl="5">
      <w:start w:val="1"/>
      <w:numFmt w:val="lowerRoman"/>
      <w:isLgl w:val="false"/>
      <w:suff w:val="tab"/>
      <w:lvlText w:val="%6."/>
      <w:lvlJc w:val="right"/>
      <w:pPr>
        <w:pStyle w:val="1023"/>
        <w:ind w:left="2520" w:hanging="420"/>
      </w:pPr>
    </w:lvl>
    <w:lvl w:ilvl="6">
      <w:start w:val="1"/>
      <w:numFmt w:val="decimal"/>
      <w:isLgl w:val="false"/>
      <w:suff w:val="tab"/>
      <w:lvlText w:val="%7."/>
      <w:lvlJc w:val="left"/>
      <w:pPr>
        <w:pStyle w:val="1023"/>
        <w:ind w:left="2940" w:hanging="420"/>
      </w:pPr>
    </w:lvl>
    <w:lvl w:ilvl="7">
      <w:start w:val="1"/>
      <w:numFmt w:val="lowerLetter"/>
      <w:isLgl w:val="false"/>
      <w:suff w:val="tab"/>
      <w:lvlText w:val="%8)"/>
      <w:lvlJc w:val="left"/>
      <w:pPr>
        <w:pStyle w:val="1023"/>
        <w:ind w:left="3360" w:hanging="420"/>
      </w:pPr>
    </w:lvl>
    <w:lvl w:ilvl="8">
      <w:start w:val="1"/>
      <w:numFmt w:val="lowerRoman"/>
      <w:isLgl w:val="false"/>
      <w:suff w:val="tab"/>
      <w:lvlText w:val="%9."/>
      <w:lvlJc w:val="right"/>
      <w:pPr>
        <w:pStyle w:val="1023"/>
        <w:ind w:left="3780" w:hanging="420"/>
      </w:pPr>
    </w:lvl>
  </w:abstractNum>
  <w:abstractNum w:abstractNumId="12">
    <w:multiLevelType w:val="hybridMultilevel"/>
    <w:lvl w:ilvl="0">
      <w:start w:val="1"/>
      <w:numFmt w:val="decimal"/>
      <w:isLgl w:val="false"/>
      <w:suff w:val="tab"/>
      <w:lvlText w:val="%1"/>
      <w:lvlJc w:val="left"/>
      <w:pPr>
        <w:pStyle w:val="1023"/>
        <w:ind w:left="900" w:hanging="900"/>
        <w:tabs>
          <w:tab w:val="num" w:pos="900" w:leader="none"/>
        </w:tabs>
      </w:pPr>
      <w:rPr>
        <w:rFonts w:hint="eastAsia"/>
      </w:rPr>
    </w:lvl>
    <w:lvl w:ilvl="1">
      <w:start w:val="1"/>
      <w:numFmt w:val="decimal"/>
      <w:isLgl w:val="false"/>
      <w:suff w:val="tab"/>
      <w:lvlText w:val="%1.%2"/>
      <w:lvlJc w:val="left"/>
      <w:pPr>
        <w:pStyle w:val="102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3"/>
        <w:ind w:left="1980" w:hanging="900"/>
        <w:tabs>
          <w:tab w:val="num" w:pos="1980" w:leader="none"/>
        </w:tabs>
      </w:pPr>
      <w:rPr>
        <w:rFonts w:hint="eastAsia"/>
      </w:rPr>
    </w:lvl>
    <w:lvl w:ilvl="3">
      <w:start w:val="1"/>
      <w:numFmt w:val="decimal"/>
      <w:isLgl w:val="false"/>
      <w:suff w:val="tab"/>
      <w:lvlText w:val="%1.%2.%3.%4"/>
      <w:lvlJc w:val="left"/>
      <w:pPr>
        <w:pStyle w:val="1023"/>
        <w:ind w:left="900" w:hanging="900"/>
        <w:tabs>
          <w:tab w:val="num" w:pos="900" w:leader="none"/>
        </w:tabs>
      </w:pPr>
      <w:rPr>
        <w:rFonts w:hint="eastAsia"/>
      </w:rPr>
    </w:lvl>
    <w:lvl w:ilvl="4">
      <w:start w:val="1"/>
      <w:numFmt w:val="decimal"/>
      <w:isLgl w:val="false"/>
      <w:suff w:val="tab"/>
      <w:lvlText w:val="%1.%2.%3.%4.%5"/>
      <w:lvlJc w:val="left"/>
      <w:pPr>
        <w:pStyle w:val="1023"/>
        <w:ind w:left="900" w:hanging="900"/>
        <w:tabs>
          <w:tab w:val="num" w:pos="900" w:leader="none"/>
        </w:tabs>
      </w:pPr>
      <w:rPr>
        <w:rFonts w:hint="eastAsia"/>
      </w:rPr>
    </w:lvl>
    <w:lvl w:ilvl="5">
      <w:start w:val="1"/>
      <w:numFmt w:val="decimal"/>
      <w:isLgl w:val="false"/>
      <w:suff w:val="tab"/>
      <w:lvlText w:val="%1.%2.%3.%4.%5.%6"/>
      <w:lvlJc w:val="left"/>
      <w:pPr>
        <w:pStyle w:val="1023"/>
        <w:ind w:left="900" w:hanging="900"/>
        <w:tabs>
          <w:tab w:val="num" w:pos="900" w:leader="none"/>
        </w:tabs>
      </w:pPr>
      <w:rPr>
        <w:rFonts w:hint="eastAsia"/>
      </w:rPr>
    </w:lvl>
    <w:lvl w:ilvl="6">
      <w:start w:val="1"/>
      <w:numFmt w:val="decimal"/>
      <w:isLgl w:val="false"/>
      <w:suff w:val="tab"/>
      <w:lvlText w:val="%1.%2.%3.%4.%5.%6.%7"/>
      <w:lvlJc w:val="left"/>
      <w:pPr>
        <w:pStyle w:val="1023"/>
        <w:ind w:left="900" w:hanging="900"/>
        <w:tabs>
          <w:tab w:val="num" w:pos="900" w:leader="none"/>
        </w:tabs>
      </w:pPr>
      <w:rPr>
        <w:rFonts w:hint="eastAsia"/>
      </w:rPr>
    </w:lvl>
    <w:lvl w:ilvl="7">
      <w:start w:val="1"/>
      <w:numFmt w:val="decimal"/>
      <w:isLgl w:val="false"/>
      <w:suff w:val="tab"/>
      <w:lvlText w:val="%1.%2.%3.%4.%5.%6.%7.%8"/>
      <w:lvlJc w:val="left"/>
      <w:pPr>
        <w:pStyle w:val="1023"/>
        <w:ind w:left="900" w:hanging="900"/>
        <w:tabs>
          <w:tab w:val="num" w:pos="900" w:leader="none"/>
        </w:tabs>
      </w:pPr>
      <w:rPr>
        <w:rFonts w:hint="eastAsia"/>
      </w:rPr>
    </w:lvl>
    <w:lvl w:ilvl="8">
      <w:start w:val="1"/>
      <w:numFmt w:val="decimal"/>
      <w:isLgl w:val="false"/>
      <w:suff w:val="tab"/>
      <w:lvlText w:val="%1.%2.%3.%4.%5.%6.%7.%8.%9"/>
      <w:lvlJc w:val="left"/>
      <w:pPr>
        <w:pStyle w:val="1023"/>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23"/>
        <w:ind w:left="900" w:hanging="900"/>
        <w:tabs>
          <w:tab w:val="num" w:pos="900" w:leader="none"/>
        </w:tabs>
      </w:pPr>
      <w:rPr>
        <w:rFonts w:hint="eastAsia"/>
      </w:rPr>
    </w:lvl>
    <w:lvl w:ilvl="1">
      <w:start w:val="1"/>
      <w:numFmt w:val="decimal"/>
      <w:isLgl w:val="false"/>
      <w:suff w:val="tab"/>
      <w:lvlText w:val="%1.%2"/>
      <w:lvlJc w:val="left"/>
      <w:pPr>
        <w:pStyle w:val="102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3"/>
        <w:ind w:left="1980" w:hanging="900"/>
        <w:tabs>
          <w:tab w:val="num" w:pos="1980" w:leader="none"/>
        </w:tabs>
      </w:pPr>
      <w:rPr>
        <w:rFonts w:hint="eastAsia"/>
      </w:rPr>
    </w:lvl>
    <w:lvl w:ilvl="3">
      <w:start w:val="1"/>
      <w:numFmt w:val="decimal"/>
      <w:isLgl w:val="false"/>
      <w:suff w:val="tab"/>
      <w:lvlText w:val="%1.%2.%3.%4"/>
      <w:lvlJc w:val="left"/>
      <w:pPr>
        <w:pStyle w:val="1023"/>
        <w:ind w:left="900" w:hanging="900"/>
        <w:tabs>
          <w:tab w:val="num" w:pos="900" w:leader="none"/>
        </w:tabs>
      </w:pPr>
      <w:rPr>
        <w:rFonts w:hint="eastAsia"/>
      </w:rPr>
    </w:lvl>
    <w:lvl w:ilvl="4">
      <w:start w:val="1"/>
      <w:numFmt w:val="decimal"/>
      <w:isLgl w:val="false"/>
      <w:suff w:val="tab"/>
      <w:lvlText w:val="%1.%2.%3.%4.%5"/>
      <w:lvlJc w:val="left"/>
      <w:pPr>
        <w:pStyle w:val="1023"/>
        <w:ind w:left="900" w:hanging="900"/>
        <w:tabs>
          <w:tab w:val="num" w:pos="900" w:leader="none"/>
        </w:tabs>
      </w:pPr>
      <w:rPr>
        <w:rFonts w:hint="eastAsia"/>
      </w:rPr>
    </w:lvl>
    <w:lvl w:ilvl="5">
      <w:start w:val="1"/>
      <w:numFmt w:val="decimal"/>
      <w:isLgl w:val="false"/>
      <w:suff w:val="tab"/>
      <w:lvlText w:val="%1.%2.%3.%4.%5.%6"/>
      <w:lvlJc w:val="left"/>
      <w:pPr>
        <w:pStyle w:val="1023"/>
        <w:ind w:left="900" w:hanging="900"/>
        <w:tabs>
          <w:tab w:val="num" w:pos="900" w:leader="none"/>
        </w:tabs>
      </w:pPr>
      <w:rPr>
        <w:rFonts w:hint="eastAsia"/>
      </w:rPr>
    </w:lvl>
    <w:lvl w:ilvl="6">
      <w:start w:val="1"/>
      <w:numFmt w:val="decimal"/>
      <w:isLgl w:val="false"/>
      <w:suff w:val="tab"/>
      <w:lvlText w:val="%1.%2.%3.%4.%5.%6.%7"/>
      <w:lvlJc w:val="left"/>
      <w:pPr>
        <w:pStyle w:val="1023"/>
        <w:ind w:left="900" w:hanging="900"/>
        <w:tabs>
          <w:tab w:val="num" w:pos="900" w:leader="none"/>
        </w:tabs>
      </w:pPr>
      <w:rPr>
        <w:rFonts w:hint="eastAsia"/>
      </w:rPr>
    </w:lvl>
    <w:lvl w:ilvl="7">
      <w:start w:val="1"/>
      <w:numFmt w:val="decimal"/>
      <w:isLgl w:val="false"/>
      <w:suff w:val="tab"/>
      <w:lvlText w:val="%1.%2.%3.%4.%5.%6.%7.%8"/>
      <w:lvlJc w:val="left"/>
      <w:pPr>
        <w:pStyle w:val="1023"/>
        <w:ind w:left="900" w:hanging="900"/>
        <w:tabs>
          <w:tab w:val="num" w:pos="900" w:leader="none"/>
        </w:tabs>
      </w:pPr>
      <w:rPr>
        <w:rFonts w:hint="eastAsia"/>
      </w:rPr>
    </w:lvl>
    <w:lvl w:ilvl="8">
      <w:start w:val="1"/>
      <w:numFmt w:val="decimal"/>
      <w:isLgl w:val="false"/>
      <w:suff w:val="tab"/>
      <w:lvlText w:val="%1.%2.%3.%4.%5.%6.%7.%8.%9"/>
      <w:lvlJc w:val="left"/>
      <w:pPr>
        <w:pStyle w:val="1023"/>
        <w:ind w:left="900" w:hanging="900"/>
        <w:tabs>
          <w:tab w:val="num" w:pos="900" w:leader="none"/>
        </w:tabs>
      </w:pPr>
      <w:rPr>
        <w:rFonts w:hint="eastAsia"/>
      </w:r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9"/>
  </w:num>
  <w:num w:numId="8">
    <w:abstractNumId w:val="13"/>
  </w:num>
  <w:num w:numId="9">
    <w:abstractNumId w:val="8"/>
  </w:num>
  <w:num w:numId="10">
    <w:abstractNumId w:val="12"/>
  </w:num>
  <w:num w:numId="11">
    <w:abstractNumId w:val="10"/>
  </w:num>
  <w:num w:numId="12">
    <w:abstractNumId w:val="11"/>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name w:val="Heading 1"/>
    <w:basedOn w:val="1023"/>
    <w:next w:val="1023"/>
    <w:link w:val="846"/>
    <w:uiPriority w:val="9"/>
    <w:qFormat/>
    <w:pPr>
      <w:keepLines/>
      <w:keepNext/>
      <w:spacing w:before="480" w:after="200"/>
      <w:outlineLvl w:val="0"/>
    </w:pPr>
    <w:rPr>
      <w:rFonts w:ascii="Arial" w:hAnsi="Arial" w:eastAsia="Arial" w:cs="Arial"/>
      <w:sz w:val="40"/>
      <w:szCs w:val="40"/>
    </w:rPr>
  </w:style>
  <w:style w:type="character" w:styleId="846">
    <w:name w:val="Heading 1 Char"/>
    <w:link w:val="845"/>
    <w:uiPriority w:val="9"/>
    <w:rPr>
      <w:rFonts w:ascii="Arial" w:hAnsi="Arial" w:eastAsia="Arial" w:cs="Arial"/>
      <w:sz w:val="40"/>
      <w:szCs w:val="40"/>
    </w:rPr>
  </w:style>
  <w:style w:type="paragraph" w:styleId="847">
    <w:name w:val="Heading 2"/>
    <w:basedOn w:val="1023"/>
    <w:next w:val="1023"/>
    <w:link w:val="848"/>
    <w:uiPriority w:val="9"/>
    <w:unhideWhenUsed/>
    <w:qFormat/>
    <w:pPr>
      <w:keepLines/>
      <w:keepNext/>
      <w:spacing w:before="360" w:after="200"/>
      <w:outlineLvl w:val="1"/>
    </w:pPr>
    <w:rPr>
      <w:rFonts w:ascii="Arial" w:hAnsi="Arial" w:eastAsia="Arial" w:cs="Arial"/>
      <w:sz w:val="34"/>
    </w:rPr>
  </w:style>
  <w:style w:type="character" w:styleId="848">
    <w:name w:val="Heading 2 Char"/>
    <w:link w:val="847"/>
    <w:uiPriority w:val="9"/>
    <w:rPr>
      <w:rFonts w:ascii="Arial" w:hAnsi="Arial" w:eastAsia="Arial" w:cs="Arial"/>
      <w:sz w:val="34"/>
    </w:rPr>
  </w:style>
  <w:style w:type="paragraph" w:styleId="849">
    <w:name w:val="Heading 3"/>
    <w:basedOn w:val="1023"/>
    <w:next w:val="1023"/>
    <w:link w:val="850"/>
    <w:uiPriority w:val="9"/>
    <w:unhideWhenUsed/>
    <w:qFormat/>
    <w:pPr>
      <w:keepLines/>
      <w:keepNext/>
      <w:spacing w:before="320" w:after="200"/>
      <w:outlineLvl w:val="2"/>
    </w:pPr>
    <w:rPr>
      <w:rFonts w:ascii="Arial" w:hAnsi="Arial" w:eastAsia="Arial" w:cs="Arial"/>
      <w:sz w:val="30"/>
      <w:szCs w:val="30"/>
    </w:rPr>
  </w:style>
  <w:style w:type="character" w:styleId="850">
    <w:name w:val="Heading 3 Char"/>
    <w:link w:val="849"/>
    <w:uiPriority w:val="9"/>
    <w:rPr>
      <w:rFonts w:ascii="Arial" w:hAnsi="Arial" w:eastAsia="Arial" w:cs="Arial"/>
      <w:sz w:val="30"/>
      <w:szCs w:val="30"/>
    </w:rPr>
  </w:style>
  <w:style w:type="paragraph" w:styleId="851">
    <w:name w:val="Heading 4"/>
    <w:basedOn w:val="1023"/>
    <w:next w:val="1023"/>
    <w:link w:val="852"/>
    <w:uiPriority w:val="9"/>
    <w:unhideWhenUsed/>
    <w:qFormat/>
    <w:pPr>
      <w:keepLines/>
      <w:keepNext/>
      <w:spacing w:before="320" w:after="200"/>
      <w:outlineLvl w:val="3"/>
    </w:pPr>
    <w:rPr>
      <w:rFonts w:ascii="Arial" w:hAnsi="Arial" w:eastAsia="Arial" w:cs="Arial"/>
      <w:b/>
      <w:bCs/>
      <w:sz w:val="26"/>
      <w:szCs w:val="26"/>
    </w:rPr>
  </w:style>
  <w:style w:type="character" w:styleId="852">
    <w:name w:val="Heading 4 Char"/>
    <w:link w:val="851"/>
    <w:uiPriority w:val="9"/>
    <w:rPr>
      <w:rFonts w:ascii="Arial" w:hAnsi="Arial" w:eastAsia="Arial" w:cs="Arial"/>
      <w:b/>
      <w:bCs/>
      <w:sz w:val="26"/>
      <w:szCs w:val="26"/>
    </w:rPr>
  </w:style>
  <w:style w:type="paragraph" w:styleId="853">
    <w:name w:val="Heading 5"/>
    <w:basedOn w:val="1023"/>
    <w:next w:val="1023"/>
    <w:link w:val="854"/>
    <w:uiPriority w:val="9"/>
    <w:unhideWhenUsed/>
    <w:qFormat/>
    <w:pPr>
      <w:keepLines/>
      <w:keepNext/>
      <w:spacing w:before="320" w:after="200"/>
      <w:outlineLvl w:val="4"/>
    </w:pPr>
    <w:rPr>
      <w:rFonts w:ascii="Arial" w:hAnsi="Arial" w:eastAsia="Arial" w:cs="Arial"/>
      <w:b/>
      <w:bCs/>
      <w:sz w:val="24"/>
      <w:szCs w:val="24"/>
    </w:rPr>
  </w:style>
  <w:style w:type="character" w:styleId="854">
    <w:name w:val="Heading 5 Char"/>
    <w:link w:val="853"/>
    <w:uiPriority w:val="9"/>
    <w:rPr>
      <w:rFonts w:ascii="Arial" w:hAnsi="Arial" w:eastAsia="Arial" w:cs="Arial"/>
      <w:b/>
      <w:bCs/>
      <w:sz w:val="24"/>
      <w:szCs w:val="24"/>
    </w:rPr>
  </w:style>
  <w:style w:type="paragraph" w:styleId="855">
    <w:name w:val="Heading 6"/>
    <w:basedOn w:val="1023"/>
    <w:next w:val="1023"/>
    <w:link w:val="856"/>
    <w:uiPriority w:val="9"/>
    <w:unhideWhenUsed/>
    <w:qFormat/>
    <w:pPr>
      <w:keepLines/>
      <w:keepNext/>
      <w:spacing w:before="320" w:after="200"/>
      <w:outlineLvl w:val="5"/>
    </w:pPr>
    <w:rPr>
      <w:rFonts w:ascii="Arial" w:hAnsi="Arial" w:eastAsia="Arial" w:cs="Arial"/>
      <w:b/>
      <w:bCs/>
      <w:sz w:val="22"/>
      <w:szCs w:val="22"/>
    </w:rPr>
  </w:style>
  <w:style w:type="character" w:styleId="856">
    <w:name w:val="Heading 6 Char"/>
    <w:link w:val="855"/>
    <w:uiPriority w:val="9"/>
    <w:rPr>
      <w:rFonts w:ascii="Arial" w:hAnsi="Arial" w:eastAsia="Arial" w:cs="Arial"/>
      <w:b/>
      <w:bCs/>
      <w:sz w:val="22"/>
      <w:szCs w:val="22"/>
    </w:rPr>
  </w:style>
  <w:style w:type="paragraph" w:styleId="857">
    <w:name w:val="Heading 7"/>
    <w:basedOn w:val="1023"/>
    <w:next w:val="1023"/>
    <w:link w:val="858"/>
    <w:uiPriority w:val="9"/>
    <w:unhideWhenUsed/>
    <w:qFormat/>
    <w:pPr>
      <w:keepLines/>
      <w:keepNext/>
      <w:spacing w:before="320" w:after="200"/>
      <w:outlineLvl w:val="6"/>
    </w:pPr>
    <w:rPr>
      <w:rFonts w:ascii="Arial" w:hAnsi="Arial" w:eastAsia="Arial" w:cs="Arial"/>
      <w:b/>
      <w:bCs/>
      <w:i/>
      <w:iCs/>
      <w:sz w:val="22"/>
      <w:szCs w:val="22"/>
    </w:rPr>
  </w:style>
  <w:style w:type="character" w:styleId="858">
    <w:name w:val="Heading 7 Char"/>
    <w:link w:val="857"/>
    <w:uiPriority w:val="9"/>
    <w:rPr>
      <w:rFonts w:ascii="Arial" w:hAnsi="Arial" w:eastAsia="Arial" w:cs="Arial"/>
      <w:b/>
      <w:bCs/>
      <w:i/>
      <w:iCs/>
      <w:sz w:val="22"/>
      <w:szCs w:val="22"/>
    </w:rPr>
  </w:style>
  <w:style w:type="paragraph" w:styleId="859">
    <w:name w:val="Heading 8"/>
    <w:basedOn w:val="1023"/>
    <w:next w:val="1023"/>
    <w:link w:val="860"/>
    <w:uiPriority w:val="9"/>
    <w:unhideWhenUsed/>
    <w:qFormat/>
    <w:pPr>
      <w:keepLines/>
      <w:keepNext/>
      <w:spacing w:before="320" w:after="200"/>
      <w:outlineLvl w:val="7"/>
    </w:pPr>
    <w:rPr>
      <w:rFonts w:ascii="Arial" w:hAnsi="Arial" w:eastAsia="Arial" w:cs="Arial"/>
      <w:i/>
      <w:iCs/>
      <w:sz w:val="22"/>
      <w:szCs w:val="22"/>
    </w:rPr>
  </w:style>
  <w:style w:type="character" w:styleId="860">
    <w:name w:val="Heading 8 Char"/>
    <w:link w:val="859"/>
    <w:uiPriority w:val="9"/>
    <w:rPr>
      <w:rFonts w:ascii="Arial" w:hAnsi="Arial" w:eastAsia="Arial" w:cs="Arial"/>
      <w:i/>
      <w:iCs/>
      <w:sz w:val="22"/>
      <w:szCs w:val="22"/>
    </w:rPr>
  </w:style>
  <w:style w:type="paragraph" w:styleId="861">
    <w:name w:val="Heading 9"/>
    <w:basedOn w:val="1023"/>
    <w:next w:val="1023"/>
    <w:link w:val="862"/>
    <w:uiPriority w:val="9"/>
    <w:unhideWhenUsed/>
    <w:qFormat/>
    <w:pPr>
      <w:keepLines/>
      <w:keepNext/>
      <w:spacing w:before="320" w:after="200"/>
      <w:outlineLvl w:val="8"/>
    </w:pPr>
    <w:rPr>
      <w:rFonts w:ascii="Arial" w:hAnsi="Arial" w:eastAsia="Arial" w:cs="Arial"/>
      <w:i/>
      <w:iCs/>
      <w:sz w:val="21"/>
      <w:szCs w:val="21"/>
    </w:rPr>
  </w:style>
  <w:style w:type="character" w:styleId="862">
    <w:name w:val="Heading 9 Char"/>
    <w:link w:val="861"/>
    <w:uiPriority w:val="9"/>
    <w:rPr>
      <w:rFonts w:ascii="Arial" w:hAnsi="Arial" w:eastAsia="Arial" w:cs="Arial"/>
      <w:i/>
      <w:iCs/>
      <w:sz w:val="21"/>
      <w:szCs w:val="21"/>
    </w:rPr>
  </w:style>
  <w:style w:type="paragraph" w:styleId="863">
    <w:name w:val="List Paragraph"/>
    <w:basedOn w:val="1023"/>
    <w:uiPriority w:val="34"/>
    <w:qFormat/>
    <w:pPr>
      <w:contextualSpacing/>
      <w:ind w:left="720"/>
    </w:pPr>
  </w:style>
  <w:style w:type="paragraph" w:styleId="864">
    <w:name w:val="No Spacing"/>
    <w:uiPriority w:val="1"/>
    <w:qFormat/>
    <w:pPr>
      <w:spacing w:before="0" w:after="0" w:line="240" w:lineRule="auto"/>
    </w:pPr>
  </w:style>
  <w:style w:type="paragraph" w:styleId="865">
    <w:name w:val="Title"/>
    <w:basedOn w:val="1023"/>
    <w:next w:val="1023"/>
    <w:link w:val="866"/>
    <w:uiPriority w:val="10"/>
    <w:qFormat/>
    <w:pPr>
      <w:contextualSpacing/>
      <w:spacing w:before="300" w:after="200"/>
    </w:pPr>
    <w:rPr>
      <w:sz w:val="48"/>
      <w:szCs w:val="48"/>
    </w:rPr>
  </w:style>
  <w:style w:type="character" w:styleId="866">
    <w:name w:val="Title Char"/>
    <w:link w:val="865"/>
    <w:uiPriority w:val="10"/>
    <w:rPr>
      <w:sz w:val="48"/>
      <w:szCs w:val="48"/>
    </w:rPr>
  </w:style>
  <w:style w:type="paragraph" w:styleId="867">
    <w:name w:val="Subtitle"/>
    <w:basedOn w:val="1023"/>
    <w:next w:val="1023"/>
    <w:link w:val="868"/>
    <w:uiPriority w:val="11"/>
    <w:qFormat/>
    <w:pPr>
      <w:spacing w:before="200" w:after="200"/>
    </w:pPr>
    <w:rPr>
      <w:sz w:val="24"/>
      <w:szCs w:val="24"/>
    </w:rPr>
  </w:style>
  <w:style w:type="character" w:styleId="868">
    <w:name w:val="Subtitle Char"/>
    <w:link w:val="867"/>
    <w:uiPriority w:val="11"/>
    <w:rPr>
      <w:sz w:val="24"/>
      <w:szCs w:val="24"/>
    </w:rPr>
  </w:style>
  <w:style w:type="paragraph" w:styleId="869">
    <w:name w:val="Quote"/>
    <w:basedOn w:val="1023"/>
    <w:next w:val="1023"/>
    <w:link w:val="870"/>
    <w:uiPriority w:val="29"/>
    <w:qFormat/>
    <w:pPr>
      <w:ind w:left="720" w:right="720"/>
    </w:pPr>
    <w:rPr>
      <w:i/>
    </w:rPr>
  </w:style>
  <w:style w:type="character" w:styleId="870">
    <w:name w:val="Quote Char"/>
    <w:link w:val="869"/>
    <w:uiPriority w:val="29"/>
    <w:rPr>
      <w:i/>
    </w:rPr>
  </w:style>
  <w:style w:type="paragraph" w:styleId="871">
    <w:name w:val="Intense Quote"/>
    <w:basedOn w:val="1023"/>
    <w:next w:val="1023"/>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name w:val="Intense Quote Char"/>
    <w:link w:val="871"/>
    <w:uiPriority w:val="30"/>
    <w:rPr>
      <w:i/>
    </w:rPr>
  </w:style>
  <w:style w:type="paragraph" w:styleId="873">
    <w:name w:val="Header"/>
    <w:basedOn w:val="1023"/>
    <w:link w:val="874"/>
    <w:uiPriority w:val="99"/>
    <w:unhideWhenUsed/>
    <w:pPr>
      <w:spacing w:after="0" w:line="240" w:lineRule="auto"/>
      <w:tabs>
        <w:tab w:val="center" w:pos="7143" w:leader="none"/>
        <w:tab w:val="right" w:pos="14287" w:leader="none"/>
      </w:tabs>
    </w:pPr>
  </w:style>
  <w:style w:type="character" w:styleId="874">
    <w:name w:val="Header Char"/>
    <w:link w:val="873"/>
    <w:uiPriority w:val="99"/>
  </w:style>
  <w:style w:type="paragraph" w:styleId="875">
    <w:name w:val="Footer"/>
    <w:basedOn w:val="1023"/>
    <w:link w:val="878"/>
    <w:uiPriority w:val="99"/>
    <w:unhideWhenUsed/>
    <w:pPr>
      <w:spacing w:after="0" w:line="240" w:lineRule="auto"/>
      <w:tabs>
        <w:tab w:val="center" w:pos="7143" w:leader="none"/>
        <w:tab w:val="right" w:pos="14287" w:leader="none"/>
      </w:tabs>
    </w:pPr>
  </w:style>
  <w:style w:type="character" w:styleId="876">
    <w:name w:val="Footer Char"/>
    <w:link w:val="875"/>
    <w:uiPriority w:val="99"/>
  </w:style>
  <w:style w:type="paragraph" w:styleId="877">
    <w:name w:val="Caption"/>
    <w:basedOn w:val="1023"/>
    <w:next w:val="1023"/>
    <w:uiPriority w:val="35"/>
    <w:semiHidden/>
    <w:unhideWhenUsed/>
    <w:qFormat/>
    <w:pPr>
      <w:spacing w:line="276" w:lineRule="auto"/>
    </w:pPr>
    <w:rPr>
      <w:b/>
      <w:bCs/>
      <w:color w:val="4f81bd" w:themeColor="accent1"/>
      <w:sz w:val="18"/>
      <w:szCs w:val="18"/>
    </w:rPr>
  </w:style>
  <w:style w:type="character" w:styleId="878">
    <w:name w:val="Caption Char"/>
    <w:basedOn w:val="877"/>
    <w:link w:val="875"/>
    <w:uiPriority w:val="99"/>
  </w:style>
  <w:style w:type="table" w:styleId="8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Hyperlink"/>
    <w:uiPriority w:val="99"/>
    <w:unhideWhenUsed/>
    <w:rPr>
      <w:color w:val="0000ff" w:themeColor="hyperlink"/>
      <w:u w:val="single"/>
    </w:rPr>
  </w:style>
  <w:style w:type="paragraph" w:styleId="1006">
    <w:name w:val="footnote text"/>
    <w:basedOn w:val="1023"/>
    <w:link w:val="1007"/>
    <w:uiPriority w:val="99"/>
    <w:semiHidden/>
    <w:unhideWhenUsed/>
    <w:pPr>
      <w:spacing w:after="40" w:line="240" w:lineRule="auto"/>
    </w:pPr>
    <w:rPr>
      <w:sz w:val="18"/>
    </w:rPr>
  </w:style>
  <w:style w:type="character" w:styleId="1007">
    <w:name w:val="Footnote Text Char"/>
    <w:link w:val="1006"/>
    <w:uiPriority w:val="99"/>
    <w:rPr>
      <w:sz w:val="18"/>
    </w:rPr>
  </w:style>
  <w:style w:type="character" w:styleId="1008">
    <w:name w:val="footnote reference"/>
    <w:uiPriority w:val="99"/>
    <w:unhideWhenUsed/>
    <w:rPr>
      <w:vertAlign w:val="superscript"/>
    </w:rPr>
  </w:style>
  <w:style w:type="paragraph" w:styleId="1009">
    <w:name w:val="endnote text"/>
    <w:basedOn w:val="1023"/>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uiPriority w:val="99"/>
    <w:semiHidden/>
    <w:unhideWhenUsed/>
    <w:rPr>
      <w:vertAlign w:val="superscript"/>
    </w:rPr>
  </w:style>
  <w:style w:type="paragraph" w:styleId="1012">
    <w:name w:val="toc 1"/>
    <w:basedOn w:val="1023"/>
    <w:next w:val="1023"/>
    <w:uiPriority w:val="39"/>
    <w:unhideWhenUsed/>
    <w:pPr>
      <w:ind w:left="0" w:right="0" w:firstLine="0"/>
      <w:spacing w:after="57"/>
    </w:pPr>
  </w:style>
  <w:style w:type="paragraph" w:styleId="1013">
    <w:name w:val="toc 2"/>
    <w:basedOn w:val="1023"/>
    <w:next w:val="1023"/>
    <w:uiPriority w:val="39"/>
    <w:unhideWhenUsed/>
    <w:pPr>
      <w:ind w:left="283" w:right="0" w:firstLine="0"/>
      <w:spacing w:after="57"/>
    </w:pPr>
  </w:style>
  <w:style w:type="paragraph" w:styleId="1014">
    <w:name w:val="toc 3"/>
    <w:basedOn w:val="1023"/>
    <w:next w:val="1023"/>
    <w:uiPriority w:val="39"/>
    <w:unhideWhenUsed/>
    <w:pPr>
      <w:ind w:left="567" w:right="0" w:firstLine="0"/>
      <w:spacing w:after="57"/>
    </w:pPr>
  </w:style>
  <w:style w:type="paragraph" w:styleId="1015">
    <w:name w:val="toc 4"/>
    <w:basedOn w:val="1023"/>
    <w:next w:val="1023"/>
    <w:uiPriority w:val="39"/>
    <w:unhideWhenUsed/>
    <w:pPr>
      <w:ind w:left="850" w:right="0" w:firstLine="0"/>
      <w:spacing w:after="57"/>
    </w:pPr>
  </w:style>
  <w:style w:type="paragraph" w:styleId="1016">
    <w:name w:val="toc 5"/>
    <w:basedOn w:val="1023"/>
    <w:next w:val="1023"/>
    <w:uiPriority w:val="39"/>
    <w:unhideWhenUsed/>
    <w:pPr>
      <w:ind w:left="1134" w:right="0" w:firstLine="0"/>
      <w:spacing w:after="57"/>
    </w:pPr>
  </w:style>
  <w:style w:type="paragraph" w:styleId="1017">
    <w:name w:val="toc 6"/>
    <w:basedOn w:val="1023"/>
    <w:next w:val="1023"/>
    <w:uiPriority w:val="39"/>
    <w:unhideWhenUsed/>
    <w:pPr>
      <w:ind w:left="1417" w:right="0" w:firstLine="0"/>
      <w:spacing w:after="57"/>
    </w:pPr>
  </w:style>
  <w:style w:type="paragraph" w:styleId="1018">
    <w:name w:val="toc 7"/>
    <w:basedOn w:val="1023"/>
    <w:next w:val="1023"/>
    <w:uiPriority w:val="39"/>
    <w:unhideWhenUsed/>
    <w:pPr>
      <w:ind w:left="1701" w:right="0" w:firstLine="0"/>
      <w:spacing w:after="57"/>
    </w:pPr>
  </w:style>
  <w:style w:type="paragraph" w:styleId="1019">
    <w:name w:val="toc 8"/>
    <w:basedOn w:val="1023"/>
    <w:next w:val="1023"/>
    <w:uiPriority w:val="39"/>
    <w:unhideWhenUsed/>
    <w:pPr>
      <w:ind w:left="1984" w:right="0" w:firstLine="0"/>
      <w:spacing w:after="57"/>
    </w:pPr>
  </w:style>
  <w:style w:type="paragraph" w:styleId="1020">
    <w:name w:val="toc 9"/>
    <w:basedOn w:val="1023"/>
    <w:next w:val="1023"/>
    <w:uiPriority w:val="39"/>
    <w:unhideWhenUsed/>
    <w:pPr>
      <w:ind w:left="2268" w:right="0" w:firstLine="0"/>
      <w:spacing w:after="57"/>
    </w:pPr>
  </w:style>
  <w:style w:type="paragraph" w:styleId="1021">
    <w:name w:val="TOC Heading"/>
    <w:uiPriority w:val="39"/>
    <w:unhideWhenUsed/>
  </w:style>
  <w:style w:type="paragraph" w:styleId="1022">
    <w:name w:val="table of figures"/>
    <w:basedOn w:val="1023"/>
    <w:next w:val="1023"/>
    <w:uiPriority w:val="99"/>
    <w:unhideWhenUsed/>
    <w:pPr>
      <w:spacing w:after="0" w:afterAutospacing="0"/>
    </w:pPr>
  </w:style>
  <w:style w:type="paragraph" w:styleId="1023" w:default="1">
    <w:name w:val="Normal"/>
    <w:next w:val="1023"/>
    <w:link w:val="1023"/>
    <w:qFormat/>
    <w:pPr>
      <w:jc w:val="both"/>
      <w:widowControl w:val="off"/>
    </w:pPr>
    <w:rPr>
      <w:sz w:val="21"/>
      <w:szCs w:val="24"/>
      <w:lang w:val="en-US" w:eastAsia="zh-CN" w:bidi="ar-SA"/>
    </w:rPr>
  </w:style>
  <w:style w:type="paragraph" w:styleId="1024">
    <w:name w:val="标题 1"/>
    <w:basedOn w:val="1023"/>
    <w:next w:val="1023"/>
    <w:link w:val="1035"/>
    <w:qFormat/>
    <w:pPr>
      <w:jc w:val="center"/>
      <w:keepLines/>
      <w:keepNext/>
      <w:spacing w:before="240" w:after="120" w:line="300" w:lineRule="auto"/>
      <w:outlineLvl w:val="0"/>
    </w:pPr>
    <w:rPr>
      <w:rFonts w:ascii="宋体"/>
      <w:b/>
      <w:sz w:val="32"/>
      <w:szCs w:val="20"/>
    </w:rPr>
  </w:style>
  <w:style w:type="paragraph" w:styleId="1025">
    <w:name w:val="标题 2"/>
    <w:basedOn w:val="1023"/>
    <w:next w:val="1023"/>
    <w:link w:val="1036"/>
    <w:qFormat/>
    <w:pPr>
      <w:jc w:val="center"/>
      <w:keepLines/>
      <w:keepNext/>
      <w:spacing w:before="120" w:line="300" w:lineRule="auto"/>
      <w:outlineLvl w:val="1"/>
    </w:pPr>
    <w:rPr>
      <w:rFonts w:ascii="Arial" w:hAnsi="Arial" w:eastAsia="黑体"/>
      <w:b/>
      <w:sz w:val="30"/>
      <w:szCs w:val="20"/>
    </w:rPr>
  </w:style>
  <w:style w:type="paragraph" w:styleId="1026">
    <w:name w:val="标题 3"/>
    <w:basedOn w:val="1023"/>
    <w:next w:val="1023"/>
    <w:link w:val="1037"/>
    <w:qFormat/>
    <w:pPr>
      <w:jc w:val="left"/>
      <w:keepLines/>
      <w:keepNext/>
      <w:spacing w:before="360" w:after="120"/>
      <w:outlineLvl w:val="2"/>
    </w:pPr>
    <w:rPr>
      <w:rFonts w:ascii="宋体"/>
      <w:b/>
      <w:sz w:val="24"/>
      <w:szCs w:val="20"/>
      <w:u w:val="single"/>
    </w:rPr>
  </w:style>
  <w:style w:type="paragraph" w:styleId="1027">
    <w:name w:val="标题 4"/>
    <w:basedOn w:val="1023"/>
    <w:next w:val="1023"/>
    <w:link w:val="1038"/>
    <w:qFormat/>
    <w:pPr>
      <w:keepLines/>
      <w:keepNext/>
      <w:spacing w:before="280" w:after="290" w:line="376" w:lineRule="atLeast"/>
      <w:outlineLvl w:val="3"/>
    </w:pPr>
    <w:rPr>
      <w:rFonts w:ascii="Arial" w:hAnsi="Arial" w:eastAsia="黑体"/>
      <w:b/>
      <w:sz w:val="28"/>
      <w:szCs w:val="20"/>
    </w:rPr>
  </w:style>
  <w:style w:type="paragraph" w:styleId="1028">
    <w:name w:val="标题 5"/>
    <w:basedOn w:val="1023"/>
    <w:next w:val="1023"/>
    <w:link w:val="1039"/>
    <w:qFormat/>
    <w:pPr>
      <w:keepLines/>
      <w:keepNext/>
      <w:spacing w:before="280" w:after="290" w:line="376" w:lineRule="atLeast"/>
      <w:outlineLvl w:val="4"/>
    </w:pPr>
    <w:rPr>
      <w:b/>
      <w:sz w:val="28"/>
      <w:szCs w:val="20"/>
    </w:rPr>
  </w:style>
  <w:style w:type="paragraph" w:styleId="1029">
    <w:name w:val="标题 6"/>
    <w:basedOn w:val="1023"/>
    <w:next w:val="1023"/>
    <w:link w:val="1040"/>
    <w:qFormat/>
    <w:pPr>
      <w:keepLines/>
      <w:keepNext/>
      <w:spacing w:before="240" w:after="64" w:line="320" w:lineRule="atLeast"/>
      <w:outlineLvl w:val="5"/>
    </w:pPr>
    <w:rPr>
      <w:rFonts w:ascii="Arial" w:hAnsi="Arial" w:eastAsia="黑体"/>
      <w:b/>
      <w:sz w:val="24"/>
      <w:szCs w:val="20"/>
    </w:rPr>
  </w:style>
  <w:style w:type="paragraph" w:styleId="1030">
    <w:name w:val="标题 7"/>
    <w:basedOn w:val="1023"/>
    <w:next w:val="1023"/>
    <w:link w:val="1041"/>
    <w:qFormat/>
    <w:pPr>
      <w:keepLines/>
      <w:keepNext/>
      <w:spacing w:before="240" w:after="64" w:line="320" w:lineRule="atLeast"/>
      <w:outlineLvl w:val="6"/>
    </w:pPr>
    <w:rPr>
      <w:b/>
      <w:sz w:val="24"/>
      <w:szCs w:val="20"/>
    </w:rPr>
  </w:style>
  <w:style w:type="paragraph" w:styleId="1031">
    <w:name w:val="标题 8"/>
    <w:basedOn w:val="1023"/>
    <w:next w:val="1023"/>
    <w:link w:val="1042"/>
    <w:qFormat/>
    <w:pPr>
      <w:keepLines/>
      <w:keepNext/>
      <w:spacing w:before="240" w:after="64" w:line="320" w:lineRule="atLeast"/>
      <w:outlineLvl w:val="7"/>
    </w:pPr>
    <w:rPr>
      <w:rFonts w:ascii="Arial" w:hAnsi="Arial" w:eastAsia="黑体"/>
      <w:sz w:val="24"/>
      <w:szCs w:val="20"/>
    </w:rPr>
  </w:style>
  <w:style w:type="paragraph" w:styleId="1032">
    <w:name w:val="标题 9"/>
    <w:basedOn w:val="1023"/>
    <w:next w:val="1023"/>
    <w:link w:val="1043"/>
    <w:qFormat/>
    <w:pPr>
      <w:keepLines/>
      <w:keepNext/>
      <w:spacing w:before="240" w:after="64" w:line="320" w:lineRule="atLeast"/>
      <w:outlineLvl w:val="8"/>
    </w:pPr>
    <w:rPr>
      <w:rFonts w:ascii="Arial" w:hAnsi="Arial" w:eastAsia="黑体"/>
      <w:szCs w:val="20"/>
    </w:rPr>
  </w:style>
  <w:style w:type="character" w:styleId="1033">
    <w:name w:val="默认段落字体"/>
    <w:next w:val="1033"/>
    <w:link w:val="1023"/>
    <w:uiPriority w:val="1"/>
    <w:unhideWhenUsed/>
    <w:qFormat/>
  </w:style>
  <w:style w:type="table" w:styleId="1034">
    <w:name w:val="普通表格"/>
    <w:next w:val="1034"/>
    <w:link w:val="1023"/>
    <w:uiPriority w:val="99"/>
    <w:unhideWhenUsed/>
    <w:qFormat/>
    <w:tblPr/>
  </w:style>
  <w:style w:type="character" w:styleId="1035">
    <w:name w:val="标题 1 字符"/>
    <w:next w:val="1035"/>
    <w:link w:val="1024"/>
    <w:qFormat/>
    <w:rPr>
      <w:rFonts w:ascii="宋体"/>
      <w:b/>
      <w:sz w:val="32"/>
    </w:rPr>
  </w:style>
  <w:style w:type="character" w:styleId="1036">
    <w:name w:val="标题 2 字符"/>
    <w:next w:val="1036"/>
    <w:link w:val="1025"/>
    <w:qFormat/>
    <w:rPr>
      <w:rFonts w:ascii="Arial" w:hAnsi="Arial" w:eastAsia="黑体"/>
      <w:b/>
      <w:sz w:val="30"/>
      <w:lang w:val="en-US" w:eastAsia="zh-CN" w:bidi="ar-SA"/>
    </w:rPr>
  </w:style>
  <w:style w:type="character" w:styleId="1037">
    <w:name w:val="标题 3 字符"/>
    <w:next w:val="1037"/>
    <w:link w:val="1026"/>
    <w:qFormat/>
    <w:rPr>
      <w:rFonts w:ascii="宋体" w:eastAsia="宋体"/>
      <w:b/>
      <w:sz w:val="24"/>
      <w:u w:val="single"/>
      <w:lang w:val="en-US" w:eastAsia="zh-CN" w:bidi="ar-SA"/>
    </w:rPr>
  </w:style>
  <w:style w:type="character" w:styleId="1038">
    <w:name w:val="标题 4 字符"/>
    <w:next w:val="1038"/>
    <w:link w:val="1027"/>
    <w:qFormat/>
    <w:rPr>
      <w:rFonts w:ascii="Arial" w:hAnsi="Arial" w:eastAsia="黑体"/>
      <w:b/>
      <w:sz w:val="28"/>
    </w:rPr>
  </w:style>
  <w:style w:type="character" w:styleId="1039">
    <w:name w:val="标题 5 字符"/>
    <w:next w:val="1039"/>
    <w:link w:val="1028"/>
    <w:qFormat/>
    <w:rPr>
      <w:b/>
      <w:sz w:val="28"/>
    </w:rPr>
  </w:style>
  <w:style w:type="character" w:styleId="1040">
    <w:name w:val="标题 6 字符"/>
    <w:next w:val="1040"/>
    <w:link w:val="1029"/>
    <w:qFormat/>
    <w:rPr>
      <w:rFonts w:ascii="Arial" w:hAnsi="Arial" w:eastAsia="黑体"/>
      <w:b/>
      <w:sz w:val="24"/>
    </w:rPr>
  </w:style>
  <w:style w:type="character" w:styleId="1041">
    <w:name w:val="标题 7 字符"/>
    <w:next w:val="1041"/>
    <w:link w:val="1030"/>
    <w:qFormat/>
    <w:rPr>
      <w:b/>
      <w:sz w:val="24"/>
    </w:rPr>
  </w:style>
  <w:style w:type="character" w:styleId="1042">
    <w:name w:val="标题 8 字符"/>
    <w:next w:val="1042"/>
    <w:link w:val="1031"/>
    <w:qFormat/>
    <w:rPr>
      <w:rFonts w:ascii="Arial" w:hAnsi="Arial" w:eastAsia="黑体"/>
      <w:sz w:val="24"/>
    </w:rPr>
  </w:style>
  <w:style w:type="character" w:styleId="1043">
    <w:name w:val="标题 9 字符"/>
    <w:next w:val="1043"/>
    <w:link w:val="1032"/>
    <w:qFormat/>
    <w:rPr>
      <w:rFonts w:ascii="Arial" w:hAnsi="Arial" w:eastAsia="黑体"/>
      <w:sz w:val="21"/>
    </w:rPr>
  </w:style>
  <w:style w:type="paragraph" w:styleId="1044">
    <w:name w:val="目录 7"/>
    <w:basedOn w:val="1023"/>
    <w:next w:val="1023"/>
    <w:link w:val="1023"/>
    <w:qFormat/>
    <w:pPr>
      <w:ind w:left="2520"/>
    </w:pPr>
  </w:style>
  <w:style w:type="paragraph" w:styleId="1045">
    <w:name w:val="正文缩进"/>
    <w:basedOn w:val="1023"/>
    <w:next w:val="1023"/>
    <w:link w:val="1046"/>
    <w:qFormat/>
    <w:pPr>
      <w:ind w:firstLine="420"/>
      <w:jc w:val="left"/>
    </w:pPr>
    <w:rPr>
      <w:rFonts w:ascii="宋体"/>
      <w:sz w:val="24"/>
    </w:rPr>
  </w:style>
  <w:style w:type="character" w:styleId="1046">
    <w:name w:val="正文缩进 字符"/>
    <w:next w:val="1046"/>
    <w:link w:val="1045"/>
    <w:qFormat/>
    <w:rPr>
      <w:rFonts w:ascii="宋体" w:eastAsia="宋体"/>
      <w:sz w:val="24"/>
      <w:szCs w:val="24"/>
      <w:lang w:val="en-US" w:eastAsia="zh-CN" w:bidi="ar-SA"/>
    </w:rPr>
  </w:style>
  <w:style w:type="paragraph" w:styleId="1047">
    <w:name w:val="题注"/>
    <w:basedOn w:val="1023"/>
    <w:next w:val="1023"/>
    <w:link w:val="1023"/>
    <w:qFormat/>
    <w:pPr>
      <w:spacing w:line="480" w:lineRule="auto"/>
    </w:pPr>
    <w:rPr>
      <w:rFonts w:ascii="华文中宋" w:hAnsi="华文中宋" w:eastAsia="华文中宋"/>
      <w:sz w:val="36"/>
      <w:szCs w:val="20"/>
    </w:rPr>
  </w:style>
  <w:style w:type="paragraph" w:styleId="1048">
    <w:name w:val="文档结构图"/>
    <w:basedOn w:val="1023"/>
    <w:next w:val="1048"/>
    <w:link w:val="1049"/>
    <w:qFormat/>
    <w:pPr>
      <w:shd w:val="clear" w:color="auto" w:fill="000080"/>
    </w:pPr>
  </w:style>
  <w:style w:type="character" w:styleId="1049">
    <w:name w:val="文档结构图 字符"/>
    <w:next w:val="1049"/>
    <w:link w:val="1048"/>
    <w:qFormat/>
    <w:rPr>
      <w:sz w:val="21"/>
      <w:szCs w:val="24"/>
      <w:shd w:val="clear" w:color="auto" w:fill="000080"/>
    </w:rPr>
  </w:style>
  <w:style w:type="paragraph" w:styleId="1050">
    <w:name w:val="批注文字"/>
    <w:basedOn w:val="1023"/>
    <w:next w:val="1050"/>
    <w:link w:val="1051"/>
    <w:uiPriority w:val="99"/>
    <w:qFormat/>
    <w:pPr>
      <w:jc w:val="left"/>
    </w:pPr>
  </w:style>
  <w:style w:type="character" w:styleId="1051">
    <w:name w:val="批注文字 字符1"/>
    <w:next w:val="1051"/>
    <w:link w:val="1050"/>
    <w:uiPriority w:val="99"/>
    <w:qFormat/>
    <w:rPr>
      <w:sz w:val="21"/>
      <w:szCs w:val="24"/>
    </w:rPr>
  </w:style>
  <w:style w:type="paragraph" w:styleId="1052">
    <w:name w:val="正文文本 3"/>
    <w:basedOn w:val="1023"/>
    <w:next w:val="1052"/>
    <w:link w:val="1053"/>
    <w:qFormat/>
    <w:pPr>
      <w:spacing w:after="120"/>
    </w:pPr>
    <w:rPr>
      <w:sz w:val="16"/>
      <w:szCs w:val="16"/>
    </w:rPr>
  </w:style>
  <w:style w:type="character" w:styleId="1053">
    <w:name w:val="正文文本 3 字符"/>
    <w:next w:val="1053"/>
    <w:link w:val="1052"/>
    <w:qFormat/>
    <w:rPr>
      <w:sz w:val="16"/>
      <w:szCs w:val="16"/>
    </w:rPr>
  </w:style>
  <w:style w:type="paragraph" w:styleId="1054">
    <w:name w:val="正文文本"/>
    <w:basedOn w:val="1023"/>
    <w:next w:val="1056"/>
    <w:link w:val="1055"/>
    <w:qFormat/>
    <w:pPr>
      <w:spacing w:before="120" w:line="22" w:lineRule="atLeast"/>
      <w:tabs>
        <w:tab w:val="left" w:pos="567" w:leader="none"/>
      </w:tabs>
    </w:pPr>
    <w:rPr>
      <w:rFonts w:ascii="宋体" w:hAnsi="宋体"/>
      <w:sz w:val="24"/>
    </w:rPr>
  </w:style>
  <w:style w:type="character" w:styleId="1055">
    <w:name w:val="正文文本 字符"/>
    <w:next w:val="1055"/>
    <w:link w:val="1054"/>
    <w:qFormat/>
    <w:rPr>
      <w:rFonts w:ascii="宋体" w:hAnsi="宋体"/>
      <w:sz w:val="24"/>
      <w:szCs w:val="24"/>
    </w:rPr>
  </w:style>
  <w:style w:type="paragraph" w:styleId="1056">
    <w:name w:val="纯文本"/>
    <w:basedOn w:val="1023"/>
    <w:next w:val="1056"/>
    <w:link w:val="1057"/>
    <w:qFormat/>
    <w:rPr>
      <w:rFonts w:hint="eastAsia" w:ascii="宋体" w:hAnsi="Courier New"/>
      <w:szCs w:val="20"/>
    </w:rPr>
  </w:style>
  <w:style w:type="character" w:styleId="1057">
    <w:name w:val="纯文本 字符2"/>
    <w:next w:val="1057"/>
    <w:link w:val="1056"/>
    <w:qFormat/>
    <w:rPr>
      <w:rFonts w:hint="eastAsia" w:ascii="宋体" w:hAnsi="Courier New" w:eastAsia="宋体" w:cs="宋体"/>
      <w:sz w:val="21"/>
    </w:rPr>
  </w:style>
  <w:style w:type="paragraph" w:styleId="1058">
    <w:name w:val="正文文本缩进"/>
    <w:basedOn w:val="1023"/>
    <w:next w:val="1023"/>
    <w:link w:val="1059"/>
    <w:qFormat/>
    <w:pPr>
      <w:ind w:firstLine="570"/>
      <w:spacing w:line="360" w:lineRule="auto"/>
    </w:pPr>
    <w:rPr>
      <w:sz w:val="24"/>
    </w:rPr>
  </w:style>
  <w:style w:type="character" w:styleId="1059">
    <w:name w:val="正文文本缩进 字符"/>
    <w:next w:val="1059"/>
    <w:link w:val="1058"/>
    <w:qFormat/>
    <w:rPr>
      <w:rFonts w:eastAsia="宋体"/>
      <w:sz w:val="24"/>
      <w:szCs w:val="24"/>
      <w:lang w:val="en-US" w:eastAsia="zh-CN" w:bidi="ar-SA"/>
    </w:rPr>
  </w:style>
  <w:style w:type="paragraph" w:styleId="1060">
    <w:name w:val="列表 2"/>
    <w:basedOn w:val="1023"/>
    <w:next w:val="1060"/>
    <w:link w:val="1023"/>
    <w:qFormat/>
    <w:pPr>
      <w:ind w:left="100" w:hanging="200"/>
    </w:pPr>
  </w:style>
  <w:style w:type="paragraph" w:styleId="1061">
    <w:name w:val="文本块"/>
    <w:basedOn w:val="1023"/>
    <w:next w:val="1061"/>
    <w:link w:val="1023"/>
    <w:qFormat/>
    <w:pPr>
      <w:ind w:left="480" w:right="-341" w:firstLine="513"/>
      <w:widowControl/>
    </w:pPr>
    <w:rPr>
      <w:sz w:val="24"/>
      <w:szCs w:val="20"/>
    </w:rPr>
  </w:style>
  <w:style w:type="paragraph" w:styleId="1062">
    <w:name w:val="目录 5"/>
    <w:basedOn w:val="1023"/>
    <w:next w:val="1023"/>
    <w:link w:val="1023"/>
    <w:qFormat/>
    <w:pPr>
      <w:ind w:left="1680"/>
    </w:pPr>
  </w:style>
  <w:style w:type="paragraph" w:styleId="1063">
    <w:name w:val="目录 3"/>
    <w:basedOn w:val="1023"/>
    <w:next w:val="1023"/>
    <w:link w:val="1023"/>
    <w:uiPriority w:val="39"/>
    <w:qFormat/>
    <w:pPr>
      <w:ind w:left="840"/>
    </w:pPr>
  </w:style>
  <w:style w:type="paragraph" w:styleId="1064">
    <w:name w:val="目录 8"/>
    <w:basedOn w:val="1023"/>
    <w:next w:val="1023"/>
    <w:link w:val="1023"/>
    <w:qFormat/>
    <w:pPr>
      <w:ind w:left="2940"/>
    </w:pPr>
  </w:style>
  <w:style w:type="paragraph" w:styleId="1065">
    <w:name w:val="日期"/>
    <w:basedOn w:val="1023"/>
    <w:next w:val="1023"/>
    <w:link w:val="1066"/>
    <w:qFormat/>
    <w:pPr>
      <w:ind w:left="100"/>
    </w:pPr>
    <w:rPr>
      <w:rFonts w:ascii="仿宋_GB2312" w:hAnsi="宋体" w:eastAsia="仿宋_GB2312"/>
      <w:color w:val="000000"/>
      <w:sz w:val="24"/>
    </w:rPr>
  </w:style>
  <w:style w:type="character" w:styleId="1066">
    <w:name w:val="日期 字符"/>
    <w:next w:val="1066"/>
    <w:link w:val="1065"/>
    <w:qFormat/>
    <w:rPr>
      <w:rFonts w:ascii="仿宋_GB2312" w:hAnsi="宋体" w:eastAsia="仿宋_GB2312"/>
      <w:color w:val="000000"/>
      <w:sz w:val="24"/>
      <w:szCs w:val="24"/>
    </w:rPr>
  </w:style>
  <w:style w:type="paragraph" w:styleId="1067">
    <w:name w:val="正文文本缩进 2"/>
    <w:basedOn w:val="1023"/>
    <w:next w:val="1067"/>
    <w:link w:val="1068"/>
    <w:qFormat/>
    <w:pPr>
      <w:ind w:firstLine="480"/>
    </w:pPr>
    <w:rPr>
      <w:rFonts w:ascii="仿宋_GB2312" w:eastAsia="仿宋_GB2312"/>
      <w:sz w:val="24"/>
    </w:rPr>
  </w:style>
  <w:style w:type="character" w:styleId="1068">
    <w:name w:val="正文文本缩进 2 字符"/>
    <w:next w:val="1068"/>
    <w:link w:val="1067"/>
    <w:qFormat/>
    <w:rPr>
      <w:rFonts w:ascii="仿宋_GB2312" w:eastAsia="仿宋_GB2312"/>
      <w:sz w:val="24"/>
      <w:szCs w:val="24"/>
    </w:rPr>
  </w:style>
  <w:style w:type="paragraph" w:styleId="1069">
    <w:name w:val="批注框文本"/>
    <w:basedOn w:val="1023"/>
    <w:next w:val="1069"/>
    <w:link w:val="1070"/>
    <w:qFormat/>
    <w:rPr>
      <w:sz w:val="18"/>
      <w:szCs w:val="18"/>
    </w:rPr>
  </w:style>
  <w:style w:type="character" w:styleId="1070">
    <w:name w:val="批注框文本 字符"/>
    <w:next w:val="1070"/>
    <w:link w:val="1069"/>
    <w:qFormat/>
    <w:rPr>
      <w:sz w:val="18"/>
      <w:szCs w:val="18"/>
    </w:rPr>
  </w:style>
  <w:style w:type="paragraph" w:styleId="1071">
    <w:name w:val="页脚"/>
    <w:basedOn w:val="1023"/>
    <w:next w:val="1071"/>
    <w:link w:val="1072"/>
    <w:uiPriority w:val="99"/>
    <w:qFormat/>
    <w:pPr>
      <w:jc w:val="left"/>
      <w:tabs>
        <w:tab w:val="center" w:pos="4153" w:leader="none"/>
        <w:tab w:val="right" w:pos="8306" w:leader="none"/>
      </w:tabs>
    </w:pPr>
    <w:rPr>
      <w:rFonts w:ascii="宋体"/>
      <w:sz w:val="18"/>
      <w:szCs w:val="20"/>
    </w:rPr>
  </w:style>
  <w:style w:type="character" w:styleId="1072">
    <w:name w:val="页脚 字符"/>
    <w:next w:val="1072"/>
    <w:link w:val="1071"/>
    <w:uiPriority w:val="99"/>
    <w:qFormat/>
    <w:rPr>
      <w:rFonts w:ascii="宋体" w:eastAsia="宋体"/>
      <w:sz w:val="18"/>
      <w:lang w:val="en-US" w:eastAsia="zh-CN" w:bidi="ar-SA"/>
    </w:rPr>
  </w:style>
  <w:style w:type="paragraph" w:styleId="1073">
    <w:name w:val="寄信人地址"/>
    <w:basedOn w:val="1023"/>
    <w:next w:val="1073"/>
    <w:link w:val="1023"/>
    <w:uiPriority w:val="99"/>
    <w:unhideWhenUsed/>
    <w:qFormat/>
    <w:rPr>
      <w:rFonts w:ascii="Arial" w:hAnsi="Arial" w:cs="Arial"/>
    </w:rPr>
  </w:style>
  <w:style w:type="paragraph" w:styleId="1074">
    <w:name w:val="页眉"/>
    <w:basedOn w:val="1023"/>
    <w:next w:val="1074"/>
    <w:link w:val="1075"/>
    <w:qFormat/>
    <w:pPr>
      <w:jc w:val="center"/>
      <w:tabs>
        <w:tab w:val="center" w:pos="4153" w:leader="none"/>
        <w:tab w:val="right" w:pos="8306" w:leader="none"/>
      </w:tabs>
      <w:pBdr>
        <w:bottom w:val="single" w:color="000000" w:sz="6" w:space="1"/>
      </w:pBdr>
    </w:pPr>
    <w:rPr>
      <w:sz w:val="18"/>
      <w:szCs w:val="18"/>
    </w:rPr>
  </w:style>
  <w:style w:type="character" w:styleId="1075">
    <w:name w:val="页眉 字符"/>
    <w:next w:val="1075"/>
    <w:link w:val="1074"/>
    <w:qFormat/>
    <w:rPr>
      <w:rFonts w:eastAsia="宋体"/>
      <w:sz w:val="18"/>
      <w:szCs w:val="18"/>
      <w:lang w:val="en-US" w:eastAsia="zh-CN" w:bidi="ar-SA"/>
    </w:rPr>
  </w:style>
  <w:style w:type="paragraph" w:styleId="1076">
    <w:name w:val="目录 1"/>
    <w:basedOn w:val="1023"/>
    <w:next w:val="1023"/>
    <w:link w:val="1023"/>
    <w:uiPriority w:val="39"/>
    <w:qFormat/>
    <w:pPr>
      <w:spacing w:line="300" w:lineRule="auto"/>
      <w:tabs>
        <w:tab w:val="left" w:pos="1050" w:leader="none"/>
        <w:tab w:val="right" w:pos="8937" w:leader="dot"/>
      </w:tabs>
    </w:pPr>
    <w:rPr>
      <w:rFonts w:ascii="宋体" w:hAnsi="宋体"/>
      <w:b/>
      <w:sz w:val="24"/>
    </w:rPr>
  </w:style>
  <w:style w:type="paragraph" w:styleId="1077">
    <w:name w:val="目录 4"/>
    <w:basedOn w:val="1023"/>
    <w:next w:val="1023"/>
    <w:link w:val="1023"/>
    <w:qFormat/>
    <w:pPr>
      <w:ind w:left="1260"/>
    </w:pPr>
  </w:style>
  <w:style w:type="paragraph" w:styleId="1078">
    <w:name w:val="目录 6"/>
    <w:basedOn w:val="1023"/>
    <w:next w:val="1023"/>
    <w:link w:val="1023"/>
    <w:qFormat/>
    <w:pPr>
      <w:ind w:left="2100"/>
    </w:pPr>
  </w:style>
  <w:style w:type="paragraph" w:styleId="1079">
    <w:name w:val="正文文本缩进 3"/>
    <w:basedOn w:val="1023"/>
    <w:next w:val="1079"/>
    <w:link w:val="1080"/>
    <w:qFormat/>
    <w:pPr>
      <w:ind w:left="720" w:firstLine="480"/>
      <w:jc w:val="left"/>
      <w:spacing w:before="120" w:line="22" w:lineRule="atLeast"/>
    </w:pPr>
    <w:rPr>
      <w:rFonts w:ascii="宋体"/>
      <w:sz w:val="24"/>
      <w:szCs w:val="20"/>
    </w:rPr>
  </w:style>
  <w:style w:type="character" w:styleId="1080">
    <w:name w:val="正文文本缩进 3 字符"/>
    <w:next w:val="1080"/>
    <w:link w:val="1079"/>
    <w:qFormat/>
    <w:rPr>
      <w:rFonts w:ascii="宋体"/>
      <w:sz w:val="24"/>
    </w:rPr>
  </w:style>
  <w:style w:type="paragraph" w:styleId="1081">
    <w:name w:val="目录 2"/>
    <w:basedOn w:val="1023"/>
    <w:next w:val="1023"/>
    <w:link w:val="1023"/>
    <w:uiPriority w:val="39"/>
    <w:qFormat/>
    <w:pPr>
      <w:ind w:left="420"/>
      <w:spacing w:line="312" w:lineRule="auto"/>
      <w:tabs>
        <w:tab w:val="right" w:pos="8937" w:leader="dot"/>
      </w:tabs>
    </w:pPr>
  </w:style>
  <w:style w:type="paragraph" w:styleId="1082">
    <w:name w:val="目录 9"/>
    <w:basedOn w:val="1023"/>
    <w:next w:val="1023"/>
    <w:link w:val="1023"/>
    <w:qFormat/>
    <w:pPr>
      <w:ind w:left="3360"/>
    </w:pPr>
  </w:style>
  <w:style w:type="paragraph" w:styleId="1083">
    <w:name w:val="HTML 预设格式"/>
    <w:basedOn w:val="1023"/>
    <w:next w:val="1083"/>
    <w:link w:val="10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4">
    <w:name w:val="HTML 预设格式 字符"/>
    <w:next w:val="1084"/>
    <w:link w:val="1083"/>
    <w:qFormat/>
    <w:rPr>
      <w:rFonts w:ascii="宋体" w:hAnsi="宋体" w:cs="宋体"/>
      <w:sz w:val="24"/>
      <w:szCs w:val="24"/>
    </w:rPr>
  </w:style>
  <w:style w:type="paragraph" w:styleId="1085">
    <w:name w:val="普通(网站)"/>
    <w:basedOn w:val="1023"/>
    <w:next w:val="1086"/>
    <w:link w:val="1023"/>
    <w:uiPriority w:val="99"/>
    <w:unhideWhenUsed/>
    <w:qFormat/>
    <w:pPr>
      <w:jc w:val="left"/>
      <w:spacing w:before="100" w:beforeAutospacing="1" w:after="100" w:afterAutospacing="1"/>
      <w:widowControl/>
    </w:pPr>
    <w:rPr>
      <w:rFonts w:ascii="宋体" w:hAnsi="宋体" w:cs="宋体"/>
      <w:sz w:val="24"/>
    </w:rPr>
  </w:style>
  <w:style w:type="paragraph" w:styleId="1086">
    <w:name w:val="列出段落11"/>
    <w:basedOn w:val="1023"/>
    <w:next w:val="1086"/>
    <w:link w:val="1023"/>
    <w:qFormat/>
    <w:pPr>
      <w:ind w:firstLine="420"/>
      <w:spacing w:line="360" w:lineRule="auto"/>
      <w:widowControl/>
    </w:pPr>
    <w:rPr>
      <w:sz w:val="24"/>
    </w:rPr>
  </w:style>
  <w:style w:type="paragraph" w:styleId="1087">
    <w:name w:val="索引 1"/>
    <w:basedOn w:val="1023"/>
    <w:next w:val="1023"/>
    <w:link w:val="1023"/>
    <w:qFormat/>
    <w:rPr>
      <w:szCs w:val="20"/>
    </w:rPr>
  </w:style>
  <w:style w:type="paragraph" w:styleId="1088">
    <w:name w:val="标题"/>
    <w:basedOn w:val="1023"/>
    <w:next w:val="1088"/>
    <w:link w:val="1089"/>
    <w:qFormat/>
    <w:pPr>
      <w:jc w:val="center"/>
      <w:outlineLvl w:val="0"/>
    </w:pPr>
    <w:rPr>
      <w:b/>
      <w:sz w:val="32"/>
      <w:szCs w:val="20"/>
    </w:rPr>
  </w:style>
  <w:style w:type="character" w:styleId="1089">
    <w:name w:val="标题 字符"/>
    <w:next w:val="1089"/>
    <w:link w:val="1088"/>
    <w:qFormat/>
    <w:rPr>
      <w:b/>
      <w:sz w:val="32"/>
    </w:rPr>
  </w:style>
  <w:style w:type="paragraph" w:styleId="1090">
    <w:name w:val="批注主题"/>
    <w:basedOn w:val="1050"/>
    <w:next w:val="1050"/>
    <w:link w:val="1091"/>
    <w:qFormat/>
    <w:rPr>
      <w:b/>
      <w:bCs/>
    </w:rPr>
  </w:style>
  <w:style w:type="character" w:styleId="1091">
    <w:name w:val="批注主题 字符"/>
    <w:next w:val="1091"/>
    <w:link w:val="1090"/>
    <w:qFormat/>
    <w:rPr>
      <w:rFonts w:ascii="Times New Roman" w:hAnsi="Times New Roman" w:eastAsia="宋体" w:cs="Times New Roman"/>
      <w:b/>
      <w:bCs/>
      <w:sz w:val="21"/>
      <w:szCs w:val="24"/>
      <w:lang w:val="en-US" w:eastAsia="zh-CN" w:bidi="ar-SA"/>
    </w:rPr>
  </w:style>
  <w:style w:type="paragraph" w:styleId="1092">
    <w:name w:val="正文首行缩进"/>
    <w:basedOn w:val="1054"/>
    <w:next w:val="1092"/>
    <w:link w:val="1023"/>
    <w:uiPriority w:val="99"/>
    <w:unhideWhenUsed/>
    <w:qFormat/>
    <w:pPr>
      <w:ind w:firstLine="420"/>
      <w:tabs>
        <w:tab w:val="left" w:pos="567" w:leader="none"/>
      </w:tabs>
    </w:pPr>
  </w:style>
  <w:style w:type="paragraph" w:styleId="1093">
    <w:name w:val="正文首行缩进 2"/>
    <w:basedOn w:val="1058"/>
    <w:next w:val="1023"/>
    <w:link w:val="1094"/>
    <w:qFormat/>
    <w:pPr>
      <w:ind w:left="420" w:firstLine="420"/>
      <w:spacing w:after="120" w:line="480" w:lineRule="exact"/>
    </w:pPr>
    <w:rPr>
      <w:szCs w:val="20"/>
    </w:rPr>
  </w:style>
  <w:style w:type="character" w:styleId="1094">
    <w:name w:val="正文文本首行缩进 2 字符"/>
    <w:next w:val="1094"/>
    <w:link w:val="1093"/>
    <w:qFormat/>
    <w:rPr>
      <w:rFonts w:eastAsia="宋体"/>
      <w:sz w:val="24"/>
      <w:szCs w:val="24"/>
      <w:lang w:val="en-US" w:eastAsia="zh-CN" w:bidi="ar-SA"/>
    </w:rPr>
  </w:style>
  <w:style w:type="table" w:styleId="1095">
    <w:name w:val="网格型"/>
    <w:basedOn w:val="1034"/>
    <w:next w:val="1095"/>
    <w:link w:val="1023"/>
    <w:uiPriority w:val="39"/>
    <w:qFormat/>
    <w:tblPr/>
  </w:style>
  <w:style w:type="table" w:styleId="1096">
    <w:name w:val="中等深浅网格 1 - 强调文字颜色 2"/>
    <w:basedOn w:val="1034"/>
    <w:next w:val="1096"/>
    <w:link w:val="1023"/>
    <w:qFormat/>
    <w:rPr>
      <w:sz w:val="21"/>
      <w:szCs w:val="24"/>
    </w:rPr>
    <w:tblPr/>
  </w:style>
  <w:style w:type="character" w:styleId="1097">
    <w:name w:val="要点"/>
    <w:next w:val="1097"/>
    <w:link w:val="1023"/>
    <w:qFormat/>
    <w:rPr>
      <w:b/>
      <w:bCs/>
    </w:rPr>
  </w:style>
  <w:style w:type="character" w:styleId="1098">
    <w:name w:val="页码"/>
    <w:next w:val="1098"/>
    <w:link w:val="1023"/>
    <w:qFormat/>
  </w:style>
  <w:style w:type="character" w:styleId="1099">
    <w:name w:val="已访问的超链接"/>
    <w:next w:val="1099"/>
    <w:link w:val="1023"/>
    <w:qFormat/>
    <w:rPr>
      <w:color w:val="800080"/>
      <w:u w:val="single"/>
    </w:rPr>
  </w:style>
  <w:style w:type="character" w:styleId="1100">
    <w:name w:val="强调"/>
    <w:next w:val="1100"/>
    <w:link w:val="1023"/>
    <w:qFormat/>
    <w:rPr>
      <w:color w:val="cc0033"/>
    </w:rPr>
  </w:style>
  <w:style w:type="character" w:styleId="1101">
    <w:name w:val="超链接"/>
    <w:basedOn w:val="1033"/>
    <w:next w:val="1101"/>
    <w:link w:val="1023"/>
    <w:uiPriority w:val="99"/>
    <w:qFormat/>
    <w:rPr>
      <w:color w:val="0000ff"/>
      <w:u w:val="single"/>
    </w:rPr>
  </w:style>
  <w:style w:type="character" w:styleId="1102">
    <w:name w:val="批注引用"/>
    <w:next w:val="1102"/>
    <w:link w:val="1023"/>
    <w:uiPriority w:val="99"/>
    <w:qFormat/>
    <w:rPr>
      <w:sz w:val="21"/>
      <w:szCs w:val="21"/>
    </w:rPr>
  </w:style>
  <w:style w:type="character" w:styleId="1103">
    <w:name w:val="HTML 引文"/>
    <w:next w:val="1103"/>
    <w:link w:val="1023"/>
    <w:qFormat/>
    <w:rPr>
      <w:i/>
      <w:iCs/>
    </w:rPr>
  </w:style>
  <w:style w:type="character" w:styleId="1104">
    <w:name w:val="font11"/>
    <w:next w:val="1104"/>
    <w:link w:val="1023"/>
    <w:rPr>
      <w:sz w:val="21"/>
      <w:szCs w:val="24"/>
      <w:lang w:val="en-US" w:eastAsia="zh-CN" w:bidi="ar-SA"/>
    </w:rPr>
  </w:style>
  <w:style w:type="character" w:styleId="1105">
    <w:name w:val="NormalCharacter1"/>
    <w:next w:val="1105"/>
    <w:link w:val="1023"/>
    <w:qFormat/>
    <w:rPr>
      <w:sz w:val="21"/>
      <w:szCs w:val="24"/>
      <w:lang w:val="en-US" w:eastAsia="zh-CN" w:bidi="ar-SA"/>
    </w:rPr>
  </w:style>
  <w:style w:type="paragraph" w:styleId="1106">
    <w:name w:val="一级条标题"/>
    <w:basedOn w:val="1107"/>
    <w:next w:val="1108"/>
    <w:link w:val="1023"/>
    <w:qFormat/>
    <w:pPr>
      <w:numPr>
        <w:ilvl w:val="1"/>
      </w:numPr>
      <w:ind w:left="0" w:hanging="840"/>
      <w:tabs>
        <w:tab w:val="left" w:pos="360" w:leader="none"/>
        <w:tab w:val="left" w:pos="840" w:leader="none"/>
      </w:tabs>
      <w:outlineLvl w:val="1"/>
    </w:pPr>
  </w:style>
  <w:style w:type="paragraph" w:styleId="1107">
    <w:name w:val="章标题"/>
    <w:next w:val="1023"/>
    <w:link w:val="102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08">
    <w:name w:val="段"/>
    <w:basedOn w:val="1023"/>
    <w:next w:val="1023"/>
    <w:link w:val="1023"/>
    <w:qFormat/>
    <w:pPr>
      <w:ind w:firstLine="200"/>
      <w:widowControl/>
    </w:pPr>
    <w:rPr>
      <w:rFonts w:hint="eastAsia" w:ascii="宋体"/>
    </w:rPr>
  </w:style>
  <w:style w:type="character" w:styleId="1109">
    <w:name w:val="要点1"/>
    <w:next w:val="1109"/>
    <w:link w:val="1023"/>
    <w:qFormat/>
    <w:rPr>
      <w:sz w:val="21"/>
      <w:szCs w:val="24"/>
      <w:lang w:val="en-US" w:eastAsia="zh-CN" w:bidi="ar-SA"/>
    </w:rPr>
  </w:style>
  <w:style w:type="character" w:styleId="1110">
    <w:name w:val="超链接1"/>
    <w:next w:val="1110"/>
    <w:link w:val="1023"/>
    <w:uiPriority w:val="99"/>
    <w:qFormat/>
    <w:rPr>
      <w:sz w:val="21"/>
      <w:szCs w:val="24"/>
      <w:lang w:val="en-US" w:eastAsia="zh-CN" w:bidi="ar-SA"/>
    </w:rPr>
  </w:style>
  <w:style w:type="character" w:styleId="1111">
    <w:name w:val="批注文字 字符"/>
    <w:next w:val="1111"/>
    <w:link w:val="1023"/>
    <w:uiPriority w:val="99"/>
    <w:qFormat/>
    <w:rPr>
      <w:rFonts w:ascii="Times New Roman" w:hAnsi="Times New Roman" w:eastAsia="宋体" w:cs="Times New Roman"/>
      <w:sz w:val="24"/>
      <w:lang w:val="en-US" w:eastAsia="zh-CN" w:bidi="ar-SA"/>
    </w:rPr>
  </w:style>
  <w:style w:type="paragraph" w:styleId="1112">
    <w:name w:val="四级标题"/>
    <w:basedOn w:val="1065"/>
    <w:next w:val="1112"/>
    <w:link w:val="1023"/>
    <w:qFormat/>
    <w:rPr>
      <w:rFonts w:eastAsia="黑体"/>
      <w:szCs w:val="22"/>
    </w:rPr>
  </w:style>
  <w:style w:type="character" w:styleId="1113">
    <w:name w:val="c21"/>
    <w:next w:val="1113"/>
    <w:link w:val="1023"/>
    <w:qFormat/>
    <w:rPr>
      <w:rFonts w:ascii="ˎ̥" w:hAnsi="ˎ̥"/>
      <w:color w:val="000000"/>
      <w:sz w:val="20"/>
      <w:szCs w:val="20"/>
      <w:u w:val="none"/>
    </w:rPr>
  </w:style>
  <w:style w:type="character" w:styleId="1114">
    <w:name w:val="title4"/>
    <w:next w:val="1114"/>
    <w:link w:val="1023"/>
    <w:qFormat/>
    <w:rPr>
      <w:b/>
      <w:bCs/>
      <w:color w:val="1d87b3"/>
      <w:sz w:val="15"/>
      <w:szCs w:val="15"/>
    </w:rPr>
  </w:style>
  <w:style w:type="character" w:styleId="1115">
    <w:name w:val="标题 2 Char Char"/>
    <w:next w:val="1115"/>
    <w:link w:val="1023"/>
    <w:qFormat/>
    <w:rPr>
      <w:rFonts w:ascii="Arial" w:hAnsi="Arial" w:eastAsia="黑体"/>
      <w:b/>
      <w:bCs/>
      <w:sz w:val="32"/>
      <w:szCs w:val="32"/>
      <w:lang w:val="en-US" w:eastAsia="zh-CN" w:bidi="ar-SA"/>
    </w:rPr>
  </w:style>
  <w:style w:type="character" w:styleId="1116">
    <w:name w:val="black1"/>
    <w:next w:val="1116"/>
    <w:link w:val="1023"/>
    <w:qFormat/>
    <w:rPr>
      <w:color w:val="000000"/>
    </w:rPr>
  </w:style>
  <w:style w:type="character" w:styleId="1117">
    <w:name w:val="street-address"/>
    <w:next w:val="1117"/>
    <w:link w:val="1023"/>
    <w:qFormat/>
  </w:style>
  <w:style w:type="character" w:styleId="1118">
    <w:name w:val="locality"/>
    <w:next w:val="1118"/>
    <w:link w:val="1023"/>
    <w:qFormat/>
  </w:style>
  <w:style w:type="character" w:styleId="1119">
    <w:name w:val="正文文本缩进 Char1"/>
    <w:next w:val="1119"/>
    <w:link w:val="1120"/>
    <w:qFormat/>
    <w:rPr>
      <w:rFonts w:ascii="宋体" w:hAnsi="宋体" w:eastAsia="宋体"/>
      <w:sz w:val="24"/>
      <w:szCs w:val="24"/>
      <w:lang w:bidi="ar-SA"/>
    </w:rPr>
  </w:style>
  <w:style w:type="paragraph" w:styleId="1120">
    <w:name w:val="正文文本缩进1"/>
    <w:basedOn w:val="1023"/>
    <w:next w:val="1120"/>
    <w:link w:val="1119"/>
    <w:qFormat/>
    <w:pPr>
      <w:ind w:firstLine="480"/>
      <w:spacing w:line="480" w:lineRule="exact"/>
    </w:pPr>
    <w:rPr>
      <w:rFonts w:ascii="宋体" w:hAnsi="宋体"/>
      <w:sz w:val="24"/>
    </w:rPr>
  </w:style>
  <w:style w:type="character" w:styleId="1121">
    <w:name w:val="Char Char11"/>
    <w:next w:val="1121"/>
    <w:link w:val="1023"/>
    <w:qFormat/>
    <w:rPr>
      <w:rFonts w:ascii="宋体" w:eastAsia="宋体"/>
      <w:b/>
      <w:sz w:val="24"/>
      <w:u w:val="single"/>
      <w:lang w:val="en-US" w:eastAsia="zh-CN" w:bidi="ar-SA"/>
    </w:rPr>
  </w:style>
  <w:style w:type="character" w:styleId="1122">
    <w:name w:val="txt"/>
    <w:next w:val="1122"/>
    <w:link w:val="1023"/>
    <w:qFormat/>
  </w:style>
  <w:style w:type="character" w:styleId="1123">
    <w:name w:val="正文缩进 Char Char"/>
    <w:next w:val="1123"/>
    <w:link w:val="1124"/>
    <w:qFormat/>
    <w:rPr>
      <w:rFonts w:ascii="宋体" w:eastAsia="宋体"/>
      <w:color w:val="000000"/>
      <w:sz w:val="28"/>
      <w:lang w:bidi="ar-SA"/>
    </w:rPr>
  </w:style>
  <w:style w:type="paragraph" w:styleId="1124">
    <w:name w:val="正文缩进1"/>
    <w:basedOn w:val="1023"/>
    <w:next w:val="1124"/>
    <w:link w:val="1123"/>
    <w:qFormat/>
    <w:pPr>
      <w:ind w:firstLine="567"/>
      <w:spacing w:line="480" w:lineRule="exact"/>
      <w:widowControl/>
    </w:pPr>
    <w:rPr>
      <w:rFonts w:ascii="宋体"/>
      <w:color w:val="000000"/>
      <w:sz w:val="28"/>
      <w:szCs w:val="20"/>
    </w:rPr>
  </w:style>
  <w:style w:type="character" w:styleId="1125">
    <w:name w:val="普通文字1 Char1"/>
    <w:next w:val="1125"/>
    <w:link w:val="1023"/>
    <w:qFormat/>
    <w:rPr>
      <w:rFonts w:ascii="宋体" w:hAnsi="Courier New" w:eastAsia="宋体"/>
      <w:sz w:val="21"/>
      <w:lang w:val="en-US" w:eastAsia="zh-CN" w:bidi="ar-SA"/>
    </w:rPr>
  </w:style>
  <w:style w:type="character" w:styleId="1126">
    <w:name w:val="chanpin1"/>
    <w:next w:val="1126"/>
    <w:link w:val="1023"/>
    <w:qFormat/>
    <w:rPr>
      <w:rFonts w:ascii="ˎ̥" w:hAnsi="ˎ̥"/>
      <w:color w:val="000000"/>
      <w:sz w:val="20"/>
      <w:szCs w:val="20"/>
      <w:u w:val="none"/>
    </w:rPr>
  </w:style>
  <w:style w:type="character" w:styleId="1127">
    <w:name w:val="列表段落 字符"/>
    <w:next w:val="1127"/>
    <w:link w:val="1128"/>
    <w:uiPriority w:val="34"/>
    <w:qFormat/>
    <w:rPr>
      <w:rFonts w:ascii="Calibri" w:hAnsi="Calibri" w:eastAsia="宋体"/>
      <w:sz w:val="21"/>
      <w:szCs w:val="22"/>
      <w:lang w:val="en-US" w:eastAsia="zh-CN" w:bidi="ar-SA"/>
    </w:rPr>
  </w:style>
  <w:style w:type="paragraph" w:styleId="1128">
    <w:name w:val="列表段落"/>
    <w:basedOn w:val="1023"/>
    <w:next w:val="1128"/>
    <w:link w:val="1127"/>
    <w:uiPriority w:val="34"/>
    <w:qFormat/>
    <w:pPr>
      <w:ind w:firstLine="420"/>
    </w:pPr>
    <w:rPr>
      <w:rFonts w:ascii="Calibri" w:hAnsi="Calibri"/>
      <w:szCs w:val="22"/>
    </w:rPr>
  </w:style>
  <w:style w:type="character" w:styleId="1129">
    <w:name w:val="标题 3 Char Char"/>
    <w:next w:val="1129"/>
    <w:link w:val="1023"/>
    <w:qFormat/>
    <w:rPr>
      <w:rFonts w:eastAsia="宋体"/>
      <w:b/>
      <w:bCs/>
      <w:sz w:val="32"/>
      <w:szCs w:val="32"/>
      <w:lang w:val="en-US" w:eastAsia="zh-CN" w:bidi="ar-SA"/>
    </w:rPr>
  </w:style>
  <w:style w:type="character" w:styleId="1130">
    <w:name w:val="段1 Char"/>
    <w:next w:val="1130"/>
    <w:link w:val="1023"/>
    <w:qFormat/>
    <w:rPr>
      <w:rFonts w:ascii="宋体" w:eastAsia="宋体"/>
      <w:sz w:val="24"/>
      <w:lang w:val="en-US" w:eastAsia="zh-CN" w:bidi="ar-SA"/>
    </w:rPr>
  </w:style>
  <w:style w:type="character" w:styleId="1131">
    <w:name w:val="chanpin拷贝"/>
    <w:next w:val="1131"/>
    <w:link w:val="1023"/>
    <w:qFormat/>
  </w:style>
  <w:style w:type="character" w:styleId="1132">
    <w:name w:val="纯文本 Char1"/>
    <w:next w:val="1132"/>
    <w:link w:val="1023"/>
    <w:qFormat/>
    <w:rPr>
      <w:rFonts w:ascii="宋体" w:hAnsi="Courier New" w:eastAsia="宋体"/>
      <w:sz w:val="21"/>
      <w:lang w:val="en-US" w:eastAsia="zh-CN" w:bidi="ar-SA"/>
    </w:rPr>
  </w:style>
  <w:style w:type="character" w:styleId="1133">
    <w:name w:val="apple-style-span"/>
    <w:next w:val="1133"/>
    <w:link w:val="1023"/>
    <w:qFormat/>
    <w:rPr>
      <w:rFonts w:cs="Times New Roman"/>
    </w:rPr>
  </w:style>
  <w:style w:type="paragraph" w:styleId="1134">
    <w:name w:val="二级条标题"/>
    <w:basedOn w:val="1106"/>
    <w:next w:val="1023"/>
    <w:link w:val="1023"/>
    <w:qFormat/>
    <w:pPr>
      <w:numPr>
        <w:ilvl w:val="0"/>
        <w:numId w:val="0"/>
      </w:numPr>
      <w:ind w:hanging="840"/>
      <w:tabs>
        <w:tab w:val="left" w:pos="360" w:leader="none"/>
        <w:tab w:val="left" w:pos="840" w:leader="none"/>
      </w:tabs>
      <w:outlineLvl w:val="2"/>
    </w:pPr>
    <w:rPr>
      <w:rFonts w:ascii="宋体" w:eastAsia="宋体"/>
      <w:b w:val="0"/>
    </w:rPr>
  </w:style>
  <w:style w:type="paragraph" w:styleId="1135">
    <w:name w:val="font7"/>
    <w:basedOn w:val="1023"/>
    <w:next w:val="1135"/>
    <w:link w:val="1023"/>
    <w:qFormat/>
    <w:pPr>
      <w:jc w:val="left"/>
      <w:spacing w:before="100" w:beforeAutospacing="1" w:after="100" w:afterAutospacing="1"/>
      <w:widowControl/>
    </w:pPr>
    <w:rPr>
      <w:rFonts w:eastAsia="Arial Unicode MS"/>
      <w:b/>
      <w:bCs/>
      <w:color w:val="000000"/>
      <w:sz w:val="20"/>
      <w:szCs w:val="20"/>
    </w:rPr>
  </w:style>
  <w:style w:type="paragraph" w:styleId="1136">
    <w:name w:val="字元 字元"/>
    <w:basedOn w:val="1023"/>
    <w:next w:val="1136"/>
    <w:link w:val="1023"/>
    <w:qFormat/>
    <w:rPr>
      <w:rFonts w:ascii="Tahoma" w:hAnsi="Tahoma"/>
      <w:sz w:val="24"/>
      <w:szCs w:val="20"/>
    </w:rPr>
  </w:style>
  <w:style w:type="paragraph" w:styleId="1137">
    <w:name w:val="Char3 Char Char Char"/>
    <w:basedOn w:val="1023"/>
    <w:next w:val="1137"/>
    <w:link w:val="1023"/>
    <w:qFormat/>
    <w:rPr>
      <w:rFonts w:ascii="Tahoma" w:hAnsi="Tahoma"/>
      <w:sz w:val="24"/>
      <w:szCs w:val="20"/>
    </w:rPr>
  </w:style>
  <w:style w:type="paragraph" w:styleId="1138">
    <w:name w:val="font6"/>
    <w:basedOn w:val="1023"/>
    <w:next w:val="1138"/>
    <w:link w:val="1023"/>
    <w:qFormat/>
    <w:pPr>
      <w:jc w:val="left"/>
      <w:spacing w:before="100" w:beforeAutospacing="1" w:after="100" w:afterAutospacing="1"/>
      <w:widowControl/>
    </w:pPr>
    <w:rPr>
      <w:rFonts w:ascii="宋体" w:hAnsi="宋体" w:cs="宋体"/>
      <w:sz w:val="20"/>
      <w:szCs w:val="20"/>
    </w:rPr>
  </w:style>
  <w:style w:type="paragraph" w:styleId="1139">
    <w:name w:val="项目编号2"/>
    <w:basedOn w:val="1140"/>
    <w:next w:val="1139"/>
    <w:link w:val="1023"/>
    <w:qFormat/>
    <w:pPr>
      <w:numPr>
        <w:numId w:val="3"/>
      </w:numPr>
    </w:pPr>
  </w:style>
  <w:style w:type="paragraph" w:styleId="1140">
    <w:name w:val="项目编号1"/>
    <w:basedOn w:val="1023"/>
    <w:next w:val="1140"/>
    <w:link w:val="1023"/>
    <w:qFormat/>
    <w:pPr>
      <w:numPr>
        <w:ilvl w:val="0"/>
        <w:numId w:val="2"/>
      </w:numPr>
      <w:spacing w:before="100" w:beforeAutospacing="1" w:after="100" w:afterAutospacing="1" w:line="360" w:lineRule="auto"/>
    </w:pPr>
    <w:rPr>
      <w:sz w:val="24"/>
    </w:rPr>
  </w:style>
  <w:style w:type="paragraph" w:styleId="1141">
    <w:name w:val="图中文字"/>
    <w:basedOn w:val="1023"/>
    <w:next w:val="1141"/>
    <w:link w:val="1023"/>
    <w:qFormat/>
    <w:pPr>
      <w:jc w:val="center"/>
      <w:spacing w:line="0" w:lineRule="atLeast"/>
    </w:pPr>
    <w:rPr>
      <w:sz w:val="24"/>
      <w:szCs w:val="20"/>
    </w:rPr>
  </w:style>
  <w:style w:type="paragraph" w:styleId="1142">
    <w:name w:val="xl46"/>
    <w:basedOn w:val="1023"/>
    <w:next w:val="1142"/>
    <w:link w:val="102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3">
    <w:name w:val="xl25"/>
    <w:basedOn w:val="1023"/>
    <w:next w:val="1143"/>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4">
    <w:name w:val="Char2"/>
    <w:basedOn w:val="1023"/>
    <w:next w:val="1144"/>
    <w:link w:val="1023"/>
    <w:qFormat/>
    <w:rPr>
      <w:rFonts w:ascii="Tahoma" w:hAnsi="Tahoma"/>
      <w:sz w:val="24"/>
      <w:szCs w:val="20"/>
    </w:rPr>
  </w:style>
  <w:style w:type="paragraph" w:styleId="1145">
    <w:name w:val="xl35"/>
    <w:basedOn w:val="1023"/>
    <w:next w:val="1145"/>
    <w:link w:val="102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6">
    <w:name w:val="xl40"/>
    <w:basedOn w:val="1023"/>
    <w:next w:val="1146"/>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7">
    <w:name w:val="xl52"/>
    <w:basedOn w:val="1023"/>
    <w:next w:val="1147"/>
    <w:link w:val="10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8">
    <w:name w:val="xl43"/>
    <w:basedOn w:val="1023"/>
    <w:next w:val="1148"/>
    <w:link w:val="102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9">
    <w:name w:val="background1"/>
    <w:basedOn w:val="1023"/>
    <w:next w:val="1149"/>
    <w:link w:val="1023"/>
    <w:qFormat/>
    <w:pPr>
      <w:jc w:val="left"/>
      <w:spacing w:before="100" w:beforeAutospacing="1" w:after="100" w:afterAutospacing="1"/>
      <w:widowControl/>
    </w:pPr>
    <w:rPr>
      <w:rFonts w:ascii="宋体" w:hAnsi="宋体" w:cs="宋体"/>
      <w:sz w:val="24"/>
    </w:rPr>
  </w:style>
  <w:style w:type="paragraph" w:styleId="1150">
    <w:name w:val="Char Char Char Char Char Char Char"/>
    <w:basedOn w:val="1023"/>
    <w:next w:val="1150"/>
    <w:link w:val="1023"/>
    <w:qFormat/>
    <w:pPr>
      <w:ind w:firstLine="200"/>
      <w:spacing w:line="360" w:lineRule="auto"/>
    </w:pPr>
    <w:rPr>
      <w:rFonts w:eastAsia="仿宋_GB2312"/>
      <w:sz w:val="24"/>
    </w:rPr>
  </w:style>
  <w:style w:type="paragraph" w:styleId="1151">
    <w:name w:val="xl38"/>
    <w:basedOn w:val="1023"/>
    <w:next w:val="1151"/>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2">
    <w:name w:val="xl36"/>
    <w:basedOn w:val="1023"/>
    <w:next w:val="1152"/>
    <w:link w:val="102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3">
    <w:name w:val="正文 + 宋体"/>
    <w:basedOn w:val="1023"/>
    <w:next w:val="1153"/>
    <w:link w:val="1023"/>
    <w:qFormat/>
    <w:pPr>
      <w:ind w:left="360" w:hanging="360"/>
      <w:jc w:val="left"/>
      <w:widowControl/>
    </w:pPr>
    <w:rPr>
      <w:rFonts w:ascii="宋体" w:hAnsi="宋体" w:cs="宋体"/>
      <w:b/>
      <w:bCs/>
      <w:color w:val="000000"/>
      <w:sz w:val="18"/>
      <w:szCs w:val="18"/>
    </w:rPr>
  </w:style>
  <w:style w:type="paragraph" w:styleId="1154">
    <w:name w:val="正文列项_数字"/>
    <w:basedOn w:val="1023"/>
    <w:next w:val="1154"/>
    <w:link w:val="1023"/>
    <w:qFormat/>
    <w:pPr>
      <w:numPr>
        <w:ilvl w:val="7"/>
        <w:numId w:val="1"/>
      </w:numPr>
      <w:ind w:left="680" w:hanging="150"/>
      <w:spacing w:line="460" w:lineRule="exact"/>
      <w:tabs>
        <w:tab w:val="clear" w:pos="860" w:leader="none"/>
      </w:tabs>
      <w:outlineLvl w:val="7"/>
    </w:pPr>
    <w:rPr>
      <w:rFonts w:ascii="宋体"/>
      <w:sz w:val="28"/>
      <w:szCs w:val="20"/>
    </w:rPr>
  </w:style>
  <w:style w:type="paragraph" w:styleId="1155">
    <w:name w:val="xl39"/>
    <w:basedOn w:val="1023"/>
    <w:next w:val="1155"/>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xl37"/>
    <w:basedOn w:val="1023"/>
    <w:next w:val="1156"/>
    <w:link w:val="102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name w:val="xl32"/>
    <w:basedOn w:val="1023"/>
    <w:next w:val="1157"/>
    <w:link w:val="10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name w:val="font8"/>
    <w:basedOn w:val="1023"/>
    <w:next w:val="1158"/>
    <w:link w:val="1023"/>
    <w:qFormat/>
    <w:pPr>
      <w:jc w:val="left"/>
      <w:spacing w:before="100" w:beforeAutospacing="1" w:after="100" w:afterAutospacing="1"/>
      <w:widowControl/>
    </w:pPr>
    <w:rPr>
      <w:sz w:val="36"/>
      <w:szCs w:val="36"/>
    </w:rPr>
  </w:style>
  <w:style w:type="paragraph" w:styleId="1159">
    <w:name w:val="Char"/>
    <w:basedOn w:val="1023"/>
    <w:next w:val="1159"/>
    <w:link w:val="1023"/>
    <w:qFormat/>
    <w:pPr>
      <w:tabs>
        <w:tab w:val="left" w:pos="360" w:leader="none"/>
      </w:tabs>
    </w:pPr>
    <w:rPr>
      <w:sz w:val="24"/>
    </w:rPr>
  </w:style>
  <w:style w:type="paragraph" w:styleId="1160">
    <w:name w:val="Char Char Char Char Char Char Char Char Char Char Char Char Char Char Char Char"/>
    <w:basedOn w:val="1023"/>
    <w:next w:val="1160"/>
    <w:link w:val="1023"/>
    <w:qFormat/>
    <w:pPr>
      <w:jc w:val="center"/>
      <w:spacing w:after="160" w:line="240" w:lineRule="exact"/>
      <w:widowControl/>
    </w:pPr>
    <w:rPr>
      <w:rFonts w:ascii="宋体" w:hAnsi="宋体"/>
      <w:b/>
      <w:sz w:val="30"/>
      <w:szCs w:val="30"/>
      <w:lang w:eastAsia="en-US"/>
    </w:rPr>
  </w:style>
  <w:style w:type="paragraph" w:styleId="1161">
    <w:name w:val="xl45"/>
    <w:basedOn w:val="1023"/>
    <w:next w:val="1161"/>
    <w:link w:val="102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2">
    <w:name w:val="Char Char1 Char Char Char Char Char Char"/>
    <w:basedOn w:val="1023"/>
    <w:next w:val="1162"/>
    <w:link w:val="1023"/>
    <w:qFormat/>
    <w:pPr>
      <w:jc w:val="left"/>
      <w:spacing w:after="160" w:line="240" w:lineRule="exact"/>
      <w:widowControl/>
    </w:pPr>
    <w:rPr>
      <w:rFonts w:ascii="Verdana" w:hAnsi="Verdana" w:eastAsia="仿宋_GB2312"/>
      <w:sz w:val="24"/>
      <w:szCs w:val="20"/>
      <w:lang w:eastAsia="en-US"/>
    </w:rPr>
  </w:style>
  <w:style w:type="paragraph" w:styleId="1163">
    <w:name w:val="Char Char1"/>
    <w:basedOn w:val="1048"/>
    <w:next w:val="1163"/>
    <w:link w:val="1023"/>
    <w:qFormat/>
    <w:rPr>
      <w:rFonts w:ascii="Tahoma" w:hAnsi="Tahoma"/>
      <w:sz w:val="24"/>
    </w:rPr>
  </w:style>
  <w:style w:type="paragraph" w:styleId="1164">
    <w:name w:val="xl26"/>
    <w:basedOn w:val="1023"/>
    <w:next w:val="1164"/>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5">
    <w:name w:val="xl30"/>
    <w:basedOn w:val="1023"/>
    <w:next w:val="1165"/>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6">
    <w:name w:val="xl41"/>
    <w:basedOn w:val="1023"/>
    <w:next w:val="1166"/>
    <w:link w:val="102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7">
    <w:name w:val="样式 宋体 五号 行距: 单倍行距"/>
    <w:basedOn w:val="1023"/>
    <w:next w:val="1167"/>
    <w:link w:val="1023"/>
    <w:qFormat/>
    <w:pPr>
      <w:jc w:val="left"/>
    </w:pPr>
    <w:rPr>
      <w:rFonts w:ascii="宋体" w:hAnsi="宋体"/>
      <w:szCs w:val="20"/>
    </w:rPr>
  </w:style>
  <w:style w:type="paragraph" w:styleId="1168">
    <w:name w:val="Char1 Char Char Char1"/>
    <w:basedOn w:val="1023"/>
    <w:next w:val="1168"/>
    <w:link w:val="1023"/>
    <w:qFormat/>
    <w:rPr>
      <w:rFonts w:ascii="Tahoma" w:hAnsi="Tahoma" w:cs="仿宋_GB2312"/>
      <w:sz w:val="24"/>
      <w:szCs w:val="28"/>
    </w:rPr>
  </w:style>
  <w:style w:type="paragraph" w:styleId="1169">
    <w:name w:val="四级条标题"/>
    <w:basedOn w:val="1170"/>
    <w:next w:val="1023"/>
    <w:link w:val="1023"/>
    <w:qFormat/>
    <w:pPr>
      <w:numPr>
        <w:ilvl w:val="4"/>
      </w:numPr>
      <w:ind w:left="0" w:hanging="840"/>
      <w:tabs>
        <w:tab w:val="left" w:pos="360" w:leader="none"/>
        <w:tab w:val="left" w:pos="840" w:leader="none"/>
      </w:tabs>
      <w:outlineLvl w:val="4"/>
    </w:pPr>
  </w:style>
  <w:style w:type="paragraph" w:styleId="1170">
    <w:name w:val="三级条标题"/>
    <w:basedOn w:val="1134"/>
    <w:next w:val="1023"/>
    <w:link w:val="1023"/>
    <w:qFormat/>
    <w:pPr>
      <w:numPr>
        <w:ilvl w:val="3"/>
        <w:numId w:val="1"/>
      </w:numPr>
      <w:ind w:left="0" w:hanging="840"/>
      <w:tabs>
        <w:tab w:val="left" w:pos="360" w:leader="none"/>
        <w:tab w:val="left" w:pos="840" w:leader="none"/>
      </w:tabs>
      <w:outlineLvl w:val="3"/>
    </w:pPr>
  </w:style>
  <w:style w:type="paragraph" w:styleId="1171">
    <w:name w:val="??"/>
    <w:next w:val="1171"/>
    <w:link w:val="1023"/>
    <w:qFormat/>
    <w:pPr>
      <w:jc w:val="both"/>
      <w:widowControl w:val="off"/>
    </w:pPr>
    <w:rPr>
      <w:sz w:val="21"/>
      <w:lang w:val="en-US" w:eastAsia="en-US" w:bidi="ar-SA"/>
    </w:rPr>
  </w:style>
  <w:style w:type="paragraph" w:styleId="1172">
    <w:name w:val="样式 标题 2 + 宋体 五号 行距: 单倍行距"/>
    <w:basedOn w:val="1025"/>
    <w:next w:val="1172"/>
    <w:link w:val="102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3">
    <w:name w:val="List Paragraph1"/>
    <w:basedOn w:val="1023"/>
    <w:next w:val="1173"/>
    <w:link w:val="1023"/>
    <w:qFormat/>
    <w:pPr>
      <w:ind w:firstLine="420"/>
    </w:pPr>
    <w:rPr>
      <w:rFonts w:ascii="Calibri" w:hAnsi="Calibri"/>
      <w:szCs w:val="22"/>
    </w:rPr>
  </w:style>
  <w:style w:type="paragraph" w:styleId="1174">
    <w:name w:val="项目符号1"/>
    <w:basedOn w:val="1175"/>
    <w:next w:val="1174"/>
    <w:link w:val="1023"/>
    <w:qFormat/>
    <w:pPr>
      <w:ind w:left="-25" w:firstLine="0"/>
    </w:pPr>
  </w:style>
  <w:style w:type="paragraph" w:styleId="1175">
    <w:name w:val="正文文本样式"/>
    <w:basedOn w:val="1023"/>
    <w:next w:val="1175"/>
    <w:link w:val="1023"/>
    <w:qFormat/>
    <w:pPr>
      <w:ind w:firstLine="482"/>
      <w:spacing w:line="360" w:lineRule="auto"/>
    </w:pPr>
    <w:rPr>
      <w:rFonts w:cs="宋体"/>
      <w:sz w:val="24"/>
      <w:szCs w:val="20"/>
    </w:rPr>
  </w:style>
  <w:style w:type="paragraph" w:styleId="1176">
    <w:name w:val="xl27"/>
    <w:basedOn w:val="1023"/>
    <w:next w:val="1176"/>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7">
    <w:name w:val="font5"/>
    <w:basedOn w:val="1023"/>
    <w:next w:val="1177"/>
    <w:link w:val="1023"/>
    <w:qFormat/>
    <w:pPr>
      <w:jc w:val="left"/>
      <w:spacing w:before="100" w:beforeAutospacing="1" w:after="100" w:afterAutospacing="1"/>
      <w:widowControl/>
    </w:pPr>
    <w:rPr>
      <w:rFonts w:ascii="宋体" w:hAnsi="宋体" w:cs="宋体"/>
      <w:sz w:val="18"/>
      <w:szCs w:val="18"/>
    </w:rPr>
  </w:style>
  <w:style w:type="paragraph" w:styleId="1178">
    <w:name w:val="五级条标题"/>
    <w:basedOn w:val="1169"/>
    <w:next w:val="1023"/>
    <w:link w:val="1023"/>
    <w:qFormat/>
    <w:pPr>
      <w:numPr>
        <w:ilvl w:val="5"/>
      </w:numPr>
      <w:ind w:left="0" w:hanging="840"/>
      <w:tabs>
        <w:tab w:val="left" w:pos="360" w:leader="none"/>
        <w:tab w:val="left" w:pos="840" w:leader="none"/>
      </w:tabs>
      <w:outlineLvl w:val="5"/>
    </w:pPr>
  </w:style>
  <w:style w:type="paragraph" w:styleId="1179">
    <w:name w:val="xl49"/>
    <w:basedOn w:val="1023"/>
    <w:next w:val="1179"/>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0">
    <w:name w:val="文档正文"/>
    <w:basedOn w:val="1023"/>
    <w:next w:val="1180"/>
    <w:link w:val="1023"/>
    <w:qFormat/>
    <w:pPr>
      <w:spacing w:before="120" w:after="120" w:line="180" w:lineRule="auto"/>
    </w:pPr>
    <w:rPr>
      <w:rFonts w:ascii="Arial" w:hAnsi="Arial"/>
      <w:szCs w:val="20"/>
    </w:rPr>
  </w:style>
  <w:style w:type="paragraph" w:styleId="1181">
    <w:name w:val="xl33"/>
    <w:basedOn w:val="1023"/>
    <w:next w:val="1181"/>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2">
    <w:name w:val="xl42"/>
    <w:basedOn w:val="1023"/>
    <w:next w:val="1182"/>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3">
    <w:name w:val="Char Char Char1 Char"/>
    <w:basedOn w:val="1023"/>
    <w:next w:val="1183"/>
    <w:link w:val="1023"/>
    <w:qFormat/>
    <w:rPr>
      <w:rFonts w:ascii="Tahoma" w:hAnsi="Tahoma"/>
      <w:sz w:val="24"/>
      <w:szCs w:val="20"/>
    </w:rPr>
  </w:style>
  <w:style w:type="paragraph" w:styleId="1184">
    <w:name w:val="xl44"/>
    <w:basedOn w:val="1023"/>
    <w:next w:val="1184"/>
    <w:link w:val="102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5">
    <w:name w:val="1名"/>
    <w:basedOn w:val="1023"/>
    <w:next w:val="1185"/>
    <w:link w:val="1023"/>
    <w:qFormat/>
    <w:pPr>
      <w:numPr>
        <w:ilvl w:val="0"/>
        <w:numId w:val="5"/>
      </w:numPr>
      <w:spacing w:before="120"/>
      <w:tabs>
        <w:tab w:val="left" w:pos="360" w:leader="none"/>
      </w:tabs>
    </w:pPr>
    <w:rPr>
      <w:rFonts w:ascii="宋体"/>
      <w:sz w:val="28"/>
      <w:szCs w:val="20"/>
    </w:rPr>
  </w:style>
  <w:style w:type="paragraph" w:styleId="1186">
    <w:name w:val="font9"/>
    <w:basedOn w:val="1023"/>
    <w:next w:val="1186"/>
    <w:link w:val="1023"/>
    <w:qFormat/>
    <w:pPr>
      <w:jc w:val="left"/>
      <w:spacing w:before="100" w:beforeAutospacing="1" w:after="100" w:afterAutospacing="1"/>
      <w:widowControl/>
    </w:pPr>
    <w:rPr>
      <w:rFonts w:hint="eastAsia" w:ascii="宋体" w:hAnsi="宋体" w:cs="Arial Unicode MS"/>
      <w:color w:val="000000"/>
      <w:sz w:val="20"/>
      <w:szCs w:val="20"/>
    </w:rPr>
  </w:style>
  <w:style w:type="paragraph" w:styleId="1187">
    <w:name w:val="Char Char Char1 Char1"/>
    <w:basedOn w:val="1023"/>
    <w:next w:val="1187"/>
    <w:link w:val="1023"/>
    <w:qFormat/>
    <w:rPr>
      <w:rFonts w:ascii="Tahoma" w:hAnsi="Tahoma"/>
      <w:sz w:val="24"/>
      <w:szCs w:val="20"/>
    </w:rPr>
  </w:style>
  <w:style w:type="paragraph" w:styleId="1188">
    <w:name w:val="Char Char Char Char Char Char Char Char Char Char"/>
    <w:basedOn w:val="1023"/>
    <w:next w:val="1188"/>
    <w:link w:val="1023"/>
    <w:qFormat/>
  </w:style>
  <w:style w:type="paragraph" w:styleId="1189">
    <w:name w:val="Char Char1 Char Char Char Char Char Char Char Char"/>
    <w:basedOn w:val="1023"/>
    <w:next w:val="1189"/>
    <w:link w:val="1023"/>
    <w:qFormat/>
    <w:pPr>
      <w:jc w:val="left"/>
      <w:spacing w:after="160" w:line="240" w:lineRule="exact"/>
      <w:widowControl/>
    </w:pPr>
    <w:rPr>
      <w:rFonts w:ascii="Verdana" w:hAnsi="Verdana"/>
      <w:sz w:val="20"/>
      <w:szCs w:val="20"/>
      <w:lang w:eastAsia="en-US"/>
    </w:rPr>
  </w:style>
  <w:style w:type="paragraph" w:styleId="1190">
    <w:name w:val="Char1"/>
    <w:basedOn w:val="1023"/>
    <w:next w:val="1190"/>
    <w:link w:val="1023"/>
    <w:qFormat/>
    <w:pPr>
      <w:tabs>
        <w:tab w:val="left" w:pos="360" w:leader="none"/>
      </w:tabs>
    </w:pPr>
    <w:rPr>
      <w:sz w:val="24"/>
    </w:rPr>
  </w:style>
  <w:style w:type="paragraph" w:styleId="1191">
    <w:name w:val="正文列项_字母"/>
    <w:basedOn w:val="1023"/>
    <w:next w:val="1191"/>
    <w:link w:val="1023"/>
    <w:qFormat/>
    <w:pPr>
      <w:numPr>
        <w:ilvl w:val="6"/>
        <w:numId w:val="1"/>
      </w:numPr>
      <w:ind w:left="480" w:hanging="180"/>
      <w:spacing w:line="460" w:lineRule="exact"/>
      <w:tabs>
        <w:tab w:val="clear" w:pos="635" w:leader="none"/>
      </w:tabs>
      <w:outlineLvl w:val="6"/>
    </w:pPr>
    <w:rPr>
      <w:rFonts w:ascii="宋体"/>
      <w:sz w:val="28"/>
      <w:szCs w:val="20"/>
    </w:rPr>
  </w:style>
  <w:style w:type="paragraph" w:styleId="1192">
    <w:name w:val="xl28"/>
    <w:basedOn w:val="1023"/>
    <w:next w:val="1192"/>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3">
    <w:name w:val="xl47"/>
    <w:basedOn w:val="1023"/>
    <w:next w:val="1193"/>
    <w:link w:val="102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4">
    <w:name w:val="默认段落字体 Para Char Char Char Char"/>
    <w:basedOn w:val="1023"/>
    <w:next w:val="1194"/>
    <w:link w:val="1023"/>
    <w:qFormat/>
    <w:rPr>
      <w:rFonts w:ascii="Arial" w:hAnsi="Arial" w:cs="Arial"/>
      <w:szCs w:val="21"/>
    </w:rPr>
  </w:style>
  <w:style w:type="paragraph" w:styleId="1195">
    <w:name w:val="xl48"/>
    <w:basedOn w:val="1023"/>
    <w:next w:val="1195"/>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6">
    <w:name w:val="xl31"/>
    <w:basedOn w:val="1023"/>
    <w:next w:val="1196"/>
    <w:link w:val="10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7">
    <w:name w:val="xl53"/>
    <w:basedOn w:val="1023"/>
    <w:next w:val="1197"/>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Char Char Char"/>
    <w:basedOn w:val="1023"/>
    <w:next w:val="1198"/>
    <w:link w:val="1023"/>
    <w:qFormat/>
    <w:rPr>
      <w:rFonts w:ascii="Tahoma" w:hAnsi="Tahoma"/>
      <w:sz w:val="24"/>
      <w:szCs w:val="20"/>
    </w:rPr>
  </w:style>
  <w:style w:type="paragraph" w:styleId="1199">
    <w:name w:val="xl50"/>
    <w:basedOn w:val="1023"/>
    <w:next w:val="1199"/>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0">
    <w:name w:val="缺省文本"/>
    <w:basedOn w:val="1023"/>
    <w:next w:val="1200"/>
    <w:link w:val="1023"/>
    <w:qFormat/>
    <w:pPr>
      <w:jc w:val="left"/>
    </w:pPr>
    <w:rPr>
      <w:sz w:val="24"/>
    </w:rPr>
  </w:style>
  <w:style w:type="paragraph" w:styleId="1201">
    <w:name w:val="Char Char Char1"/>
    <w:basedOn w:val="1023"/>
    <w:next w:val="1201"/>
    <w:link w:val="1023"/>
    <w:qFormat/>
    <w:rPr>
      <w:rFonts w:ascii="Tahoma" w:hAnsi="Tahoma"/>
      <w:sz w:val="24"/>
      <w:szCs w:val="20"/>
    </w:rPr>
  </w:style>
  <w:style w:type="paragraph" w:styleId="1202">
    <w:name w:val="Char Char Char Char Char Char Char1"/>
    <w:basedOn w:val="1023"/>
    <w:next w:val="1202"/>
    <w:link w:val="1023"/>
    <w:qFormat/>
    <w:pPr>
      <w:ind w:firstLine="200"/>
      <w:spacing w:line="360" w:lineRule="auto"/>
    </w:pPr>
    <w:rPr>
      <w:rFonts w:eastAsia="仿宋_GB2312"/>
      <w:sz w:val="24"/>
    </w:rPr>
  </w:style>
  <w:style w:type="paragraph" w:styleId="1203">
    <w:name w:val="xl51"/>
    <w:basedOn w:val="1023"/>
    <w:next w:val="1203"/>
    <w:link w:val="10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4">
    <w:name w:val="样式2"/>
    <w:basedOn w:val="1087"/>
    <w:next w:val="1204"/>
    <w:link w:val="1023"/>
    <w:qFormat/>
    <w:pPr>
      <w:jc w:val="center"/>
      <w:spacing w:line="360" w:lineRule="auto"/>
    </w:pPr>
    <w:rPr>
      <w:sz w:val="24"/>
    </w:rPr>
  </w:style>
  <w:style w:type="paragraph" w:styleId="1205">
    <w:name w:val="xl24"/>
    <w:basedOn w:val="1023"/>
    <w:next w:val="1205"/>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6">
    <w:name w:val="xl29"/>
    <w:basedOn w:val="1023"/>
    <w:next w:val="1206"/>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7">
    <w:name w:val="正文 + 楷体_GB2312"/>
    <w:basedOn w:val="1023"/>
    <w:next w:val="1207"/>
    <w:link w:val="1023"/>
    <w:qFormat/>
    <w:pPr>
      <w:jc w:val="left"/>
      <w:widowControl/>
    </w:pPr>
    <w:rPr>
      <w:rFonts w:ascii="楷体_GB2312" w:eastAsia="楷体_GB2312" w:cs="Arial"/>
      <w:sz w:val="24"/>
    </w:rPr>
  </w:style>
  <w:style w:type="paragraph" w:styleId="1208">
    <w:name w:val="xl34"/>
    <w:basedOn w:val="1023"/>
    <w:next w:val="1208"/>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9">
    <w:name w:val="1 Char Char Char Char"/>
    <w:basedOn w:val="1023"/>
    <w:next w:val="1209"/>
    <w:link w:val="1023"/>
    <w:qFormat/>
    <w:rPr>
      <w:rFonts w:ascii="Tahoma" w:hAnsi="Tahoma"/>
      <w:sz w:val="24"/>
      <w:szCs w:val="20"/>
    </w:rPr>
  </w:style>
  <w:style w:type="paragraph" w:styleId="1210">
    <w:name w:val="Default"/>
    <w:next w:val="1210"/>
    <w:link w:val="1023"/>
    <w:qFormat/>
    <w:pPr>
      <w:widowControl w:val="off"/>
    </w:pPr>
    <w:rPr>
      <w:rFonts w:ascii="Symbol" w:hAnsi="Symbol" w:cs="Symbol"/>
      <w:color w:val="000000"/>
      <w:sz w:val="24"/>
      <w:szCs w:val="24"/>
      <w:lang w:val="en-US" w:eastAsia="zh-CN" w:bidi="ar-SA"/>
    </w:rPr>
  </w:style>
  <w:style w:type="paragraph" w:styleId="1211">
    <w:name w:val="列出段落1"/>
    <w:basedOn w:val="1023"/>
    <w:next w:val="1211"/>
    <w:link w:val="1023"/>
    <w:qFormat/>
    <w:pPr>
      <w:ind w:firstLine="420"/>
    </w:pPr>
    <w:rPr>
      <w:rFonts w:ascii="Calibri" w:hAnsi="Calibri"/>
      <w:szCs w:val="22"/>
    </w:rPr>
  </w:style>
  <w:style w:type="paragraph" w:styleId="1212">
    <w:name w:val="default"/>
    <w:basedOn w:val="1023"/>
    <w:next w:val="1212"/>
    <w:link w:val="1023"/>
    <w:qFormat/>
    <w:pPr>
      <w:jc w:val="left"/>
      <w:spacing w:before="100" w:beforeAutospacing="1" w:after="100" w:afterAutospacing="1"/>
      <w:widowControl/>
    </w:pPr>
    <w:rPr>
      <w:rFonts w:ascii="宋体" w:hAnsi="宋体" w:cs="宋体"/>
      <w:sz w:val="24"/>
    </w:rPr>
  </w:style>
  <w:style w:type="paragraph" w:styleId="1213">
    <w:name w:val="字元 字元1"/>
    <w:basedOn w:val="1023"/>
    <w:next w:val="1213"/>
    <w:link w:val="1023"/>
    <w:qFormat/>
    <w:rPr>
      <w:rFonts w:ascii="Tahoma" w:hAnsi="Tahoma"/>
      <w:sz w:val="24"/>
      <w:szCs w:val="20"/>
    </w:rPr>
  </w:style>
  <w:style w:type="paragraph" w:styleId="1214">
    <w:name w:val="_Style 160"/>
    <w:next w:val="1214"/>
    <w:link w:val="1023"/>
    <w:qFormat/>
    <w:rPr>
      <w:sz w:val="21"/>
      <w:szCs w:val="24"/>
      <w:lang w:val="en-US" w:eastAsia="zh-CN" w:bidi="ar-SA"/>
    </w:rPr>
  </w:style>
  <w:style w:type="paragraph" w:styleId="1215">
    <w:name w:val="项目编号3"/>
    <w:basedOn w:val="1175"/>
    <w:next w:val="1215"/>
    <w:link w:val="1023"/>
    <w:qFormat/>
    <w:pPr>
      <w:numPr>
        <w:ilvl w:val="0"/>
        <w:numId w:val="6"/>
      </w:numPr>
    </w:pPr>
  </w:style>
  <w:style w:type="paragraph" w:styleId="1216">
    <w:name w:val="Char21"/>
    <w:basedOn w:val="1023"/>
    <w:next w:val="1216"/>
    <w:link w:val="1023"/>
    <w:qFormat/>
    <w:rPr>
      <w:rFonts w:ascii="Tahoma" w:hAnsi="Tahoma"/>
      <w:sz w:val="24"/>
      <w:szCs w:val="20"/>
    </w:rPr>
  </w:style>
  <w:style w:type="paragraph" w:styleId="1217">
    <w:name w:val="表格文字"/>
    <w:basedOn w:val="1058"/>
    <w:next w:val="1217"/>
    <w:link w:val="1023"/>
    <w:qFormat/>
    <w:pPr>
      <w:ind w:firstLine="0"/>
      <w:spacing w:before="20" w:after="20" w:line="240" w:lineRule="auto"/>
    </w:pPr>
    <w:rPr>
      <w:rFonts w:ascii="Century Gothic" w:hAnsi="Century Gothic"/>
      <w:sz w:val="20"/>
      <w:szCs w:val="20"/>
    </w:rPr>
  </w:style>
  <w:style w:type="paragraph" w:styleId="1218">
    <w:name w:val="Char Char Char Char Char Char Char Char Char Char1"/>
    <w:basedOn w:val="1023"/>
    <w:next w:val="1218"/>
    <w:link w:val="1023"/>
    <w:qFormat/>
    <w:rPr>
      <w:rFonts w:ascii="宋体" w:hAnsi="宋体" w:cs="Courier New"/>
      <w:sz w:val="32"/>
      <w:szCs w:val="32"/>
    </w:rPr>
  </w:style>
  <w:style w:type="paragraph" w:styleId="1219">
    <w:name w:val="正文文本样式 加粗"/>
    <w:basedOn w:val="1175"/>
    <w:next w:val="1219"/>
    <w:link w:val="1023"/>
    <w:qFormat/>
    <w:rPr>
      <w:b/>
    </w:rPr>
  </w:style>
  <w:style w:type="paragraph" w:styleId="1220">
    <w:name w:val="Char2 Char Char Char Char Char Char"/>
    <w:basedOn w:val="1023"/>
    <w:next w:val="1220"/>
    <w:link w:val="1023"/>
    <w:qFormat/>
    <w:pPr>
      <w:jc w:val="center"/>
      <w:spacing w:line="400" w:lineRule="exact"/>
      <w:widowControl/>
    </w:pPr>
  </w:style>
  <w:style w:type="paragraph" w:styleId="1221">
    <w:name w:val="Char Char4"/>
    <w:basedOn w:val="1023"/>
    <w:next w:val="1221"/>
    <w:link w:val="1023"/>
    <w:qFormat/>
    <w:pPr>
      <w:jc w:val="center"/>
      <w:spacing w:line="400" w:lineRule="exact"/>
      <w:widowControl/>
    </w:pPr>
  </w:style>
  <w:style w:type="paragraph" w:styleId="1222">
    <w:name w:val="Char3 Char Char Char1"/>
    <w:basedOn w:val="1023"/>
    <w:next w:val="1222"/>
    <w:link w:val="1023"/>
    <w:qFormat/>
    <w:rPr>
      <w:rFonts w:ascii="Tahoma" w:hAnsi="Tahoma"/>
      <w:sz w:val="24"/>
      <w:szCs w:val="20"/>
    </w:rPr>
  </w:style>
  <w:style w:type="paragraph" w:styleId="1223">
    <w:name w:val="无间隔"/>
    <w:next w:val="1223"/>
    <w:link w:val="1023"/>
    <w:qFormat/>
    <w:pPr>
      <w:jc w:val="both"/>
      <w:widowControl w:val="off"/>
    </w:pPr>
    <w:rPr>
      <w:sz w:val="21"/>
      <w:szCs w:val="24"/>
      <w:lang w:val="en-US" w:eastAsia="zh-CN" w:bidi="ar-SA"/>
    </w:rPr>
  </w:style>
  <w:style w:type="paragraph" w:styleId="1224">
    <w:name w:val="22222222222222"/>
    <w:basedOn w:val="1023"/>
    <w:next w:val="1224"/>
    <w:link w:val="1023"/>
    <w:qFormat/>
    <w:pPr>
      <w:ind w:firstLine="480"/>
      <w:jc w:val="left"/>
      <w:spacing w:line="360" w:lineRule="auto"/>
      <w:widowControl/>
    </w:pPr>
    <w:rPr>
      <w:color w:val="ff0000"/>
      <w:sz w:val="24"/>
      <w:szCs w:val="20"/>
    </w:rPr>
  </w:style>
  <w:style w:type="character" w:styleId="1225">
    <w:name w:val="中等深浅网格 1 - 强调文字颜色 2 Char"/>
    <w:next w:val="1225"/>
    <w:link w:val="1226"/>
    <w:qFormat/>
    <w:rPr>
      <w:sz w:val="21"/>
      <w:szCs w:val="24"/>
      <w:lang w:val="zh-CN" w:eastAsia="zh-CN" w:bidi="ar-SA"/>
    </w:rPr>
  </w:style>
  <w:style w:type="paragraph" w:styleId="1226">
    <w:name w:val="1"/>
    <w:next w:val="1226"/>
    <w:link w:val="1225"/>
    <w:qFormat/>
    <w:rPr>
      <w:sz w:val="21"/>
      <w:szCs w:val="24"/>
      <w:lang w:val="zh-CN" w:eastAsia="zh-CN" w:bidi="ar-SA"/>
    </w:rPr>
  </w:style>
  <w:style w:type="paragraph" w:styleId="1227">
    <w:name w:val="图文"/>
    <w:basedOn w:val="1023"/>
    <w:next w:val="1227"/>
    <w:link w:val="1023"/>
    <w:qFormat/>
    <w:pPr>
      <w:spacing w:after="50" w:line="360" w:lineRule="auto"/>
    </w:pPr>
    <w:rPr>
      <w:sz w:val="24"/>
    </w:rPr>
  </w:style>
  <w:style w:type="paragraph" w:styleId="1228">
    <w:name w:val="xl23"/>
    <w:basedOn w:val="1023"/>
    <w:next w:val="1228"/>
    <w:link w:val="1023"/>
    <w:qFormat/>
    <w:pPr>
      <w:spacing w:before="100" w:beforeAutospacing="1" w:after="100" w:afterAutospacing="1" w:line="360" w:lineRule="auto"/>
      <w:widowControl/>
    </w:pPr>
    <w:rPr>
      <w:sz w:val="24"/>
      <w:szCs w:val="20"/>
    </w:rPr>
  </w:style>
  <w:style w:type="paragraph" w:styleId="1229">
    <w:name w:val="正文表格"/>
    <w:basedOn w:val="1023"/>
    <w:next w:val="1229"/>
    <w:link w:val="1230"/>
    <w:qFormat/>
    <w:pPr>
      <w:jc w:val="left"/>
    </w:pPr>
    <w:rPr>
      <w:rFonts w:ascii="宋体" w:hAnsi="宋体"/>
      <w:color w:val="000000"/>
      <w:szCs w:val="21"/>
    </w:rPr>
  </w:style>
  <w:style w:type="character" w:styleId="1230">
    <w:name w:val="正文表格 Char"/>
    <w:next w:val="1230"/>
    <w:link w:val="1229"/>
    <w:qFormat/>
    <w:rPr>
      <w:rFonts w:ascii="宋体" w:hAnsi="宋体"/>
      <w:color w:val="000000"/>
      <w:sz w:val="21"/>
      <w:szCs w:val="21"/>
    </w:rPr>
  </w:style>
  <w:style w:type="paragraph" w:styleId="1231">
    <w:name w:val="正文重点"/>
    <w:basedOn w:val="1023"/>
    <w:next w:val="1231"/>
    <w:link w:val="1232"/>
    <w:qFormat/>
    <w:pPr>
      <w:ind w:firstLine="482"/>
      <w:jc w:val="left"/>
      <w:spacing w:line="360" w:lineRule="auto"/>
    </w:pPr>
    <w:rPr>
      <w:b/>
      <w:sz w:val="24"/>
      <w:szCs w:val="20"/>
    </w:rPr>
  </w:style>
  <w:style w:type="character" w:styleId="1232">
    <w:name w:val="正文重点 Char"/>
    <w:next w:val="1232"/>
    <w:link w:val="1231"/>
    <w:qFormat/>
    <w:rPr>
      <w:b/>
      <w:sz w:val="24"/>
    </w:rPr>
  </w:style>
  <w:style w:type="paragraph" w:styleId="1233">
    <w:name w:val="标题1-附件"/>
    <w:basedOn w:val="1024"/>
    <w:next w:val="1233"/>
    <w:link w:val="1023"/>
    <w:qFormat/>
    <w:pPr>
      <w:jc w:val="left"/>
    </w:pPr>
    <w:rPr>
      <w:sz w:val="24"/>
      <w:szCs w:val="24"/>
    </w:rPr>
  </w:style>
  <w:style w:type="paragraph" w:styleId="1234">
    <w:name w:val="正文小标题"/>
    <w:basedOn w:val="1023"/>
    <w:next w:val="1045"/>
    <w:link w:val="1235"/>
    <w:qFormat/>
    <w:pPr>
      <w:ind w:firstLine="482"/>
      <w:jc w:val="left"/>
      <w:spacing w:before="312" w:after="312"/>
    </w:pPr>
    <w:rPr>
      <w:rFonts w:ascii="宋体" w:hAnsi="宋体"/>
      <w:b/>
      <w:i/>
      <w:color w:val="ff0000"/>
      <w:sz w:val="24"/>
      <w:szCs w:val="20"/>
    </w:rPr>
  </w:style>
  <w:style w:type="character" w:styleId="1235">
    <w:name w:val="正文小标题 Char"/>
    <w:next w:val="1235"/>
    <w:link w:val="1234"/>
    <w:qFormat/>
    <w:rPr>
      <w:rFonts w:ascii="宋体" w:hAnsi="宋体"/>
      <w:b/>
      <w:i/>
      <w:color w:val="ff0000"/>
      <w:sz w:val="24"/>
    </w:rPr>
  </w:style>
  <w:style w:type="paragraph" w:styleId="1236">
    <w:name w:val="正文大标题"/>
    <w:basedOn w:val="1234"/>
    <w:next w:val="1045"/>
    <w:link w:val="1237"/>
    <w:qFormat/>
    <w:pPr>
      <w:jc w:val="center"/>
    </w:pPr>
    <w:rPr>
      <w:i w:val="0"/>
      <w:color w:val="000000"/>
      <w:sz w:val="28"/>
      <w:szCs w:val="21"/>
    </w:rPr>
  </w:style>
  <w:style w:type="character" w:styleId="1237">
    <w:name w:val="正文大标题 Char"/>
    <w:next w:val="1237"/>
    <w:link w:val="1236"/>
    <w:qFormat/>
    <w:rPr>
      <w:rFonts w:ascii="宋体" w:hAnsi="宋体"/>
      <w:b/>
      <w:color w:val="000000"/>
      <w:sz w:val="28"/>
      <w:szCs w:val="21"/>
    </w:rPr>
  </w:style>
  <w:style w:type="paragraph" w:styleId="1238">
    <w:name w:val="注释"/>
    <w:basedOn w:val="1023"/>
    <w:next w:val="1238"/>
    <w:link w:val="1239"/>
    <w:qFormat/>
    <w:pPr>
      <w:ind w:left="420" w:hanging="420"/>
      <w:jc w:val="left"/>
    </w:pPr>
    <w:rPr>
      <w:rFonts w:ascii="宋体" w:hAnsi="宋体"/>
      <w:szCs w:val="21"/>
    </w:rPr>
  </w:style>
  <w:style w:type="character" w:styleId="1239">
    <w:name w:val="注释 Char"/>
    <w:next w:val="1239"/>
    <w:link w:val="1238"/>
    <w:qFormat/>
    <w:rPr>
      <w:rFonts w:ascii="宋体" w:hAnsi="宋体"/>
      <w:sz w:val="21"/>
      <w:szCs w:val="21"/>
    </w:rPr>
  </w:style>
  <w:style w:type="paragraph" w:styleId="1240">
    <w:name w:val="正文须知-1级"/>
    <w:basedOn w:val="1023"/>
    <w:next w:val="1023"/>
    <w:link w:val="1023"/>
    <w:qFormat/>
    <w:pPr>
      <w:numPr>
        <w:ilvl w:val="0"/>
        <w:numId w:val="7"/>
      </w:numPr>
      <w:spacing w:line="300" w:lineRule="auto"/>
    </w:pPr>
    <w:rPr>
      <w:rFonts w:ascii="宋体" w:hAnsi="Calibri"/>
      <w:sz w:val="24"/>
      <w:szCs w:val="21"/>
    </w:rPr>
  </w:style>
  <w:style w:type="paragraph" w:styleId="1241">
    <w:name w:val="正文须知-2级"/>
    <w:basedOn w:val="1023"/>
    <w:next w:val="1241"/>
    <w:link w:val="1023"/>
    <w:qFormat/>
    <w:pPr>
      <w:numPr>
        <w:ilvl w:val="1"/>
        <w:numId w:val="7"/>
      </w:numPr>
      <w:spacing w:line="300" w:lineRule="auto"/>
    </w:pPr>
    <w:rPr>
      <w:rFonts w:ascii="宋体" w:hAnsi="Calibri"/>
      <w:sz w:val="24"/>
      <w:szCs w:val="21"/>
    </w:rPr>
  </w:style>
  <w:style w:type="paragraph" w:styleId="1242">
    <w:name w:val="正文须知-3级"/>
    <w:basedOn w:val="1023"/>
    <w:next w:val="1242"/>
    <w:link w:val="1023"/>
    <w:qFormat/>
    <w:pPr>
      <w:numPr>
        <w:ilvl w:val="2"/>
        <w:numId w:val="7"/>
      </w:numPr>
      <w:ind w:hanging="355"/>
      <w:spacing w:line="300" w:lineRule="auto"/>
    </w:pPr>
    <w:rPr>
      <w:rFonts w:ascii="宋体" w:hAnsi="Calibri"/>
      <w:sz w:val="24"/>
      <w:szCs w:val="21"/>
    </w:rPr>
  </w:style>
  <w:style w:type="character" w:styleId="1243">
    <w:name w:val="纯文本 字符"/>
    <w:next w:val="1243"/>
    <w:link w:val="1023"/>
    <w:uiPriority w:val="99"/>
    <w:qFormat/>
    <w:rPr>
      <w:rFonts w:ascii="宋体" w:hAnsi="Courier New" w:eastAsia="宋体" w:cs="Times New Roman"/>
      <w:sz w:val="21"/>
      <w:szCs w:val="21"/>
      <w:lang w:val="en-US" w:eastAsia="zh-CN" w:bidi="ar-SA"/>
    </w:rPr>
  </w:style>
  <w:style w:type="paragraph" w:styleId="1244">
    <w:name w:val="表格1"/>
    <w:basedOn w:val="1023"/>
    <w:next w:val="1244"/>
    <w:link w:val="1023"/>
    <w:qFormat/>
    <w:pPr>
      <w:ind w:firstLine="480"/>
      <w:jc w:val="center"/>
    </w:pPr>
    <w:rPr>
      <w:sz w:val="24"/>
      <w:szCs w:val="20"/>
    </w:rPr>
  </w:style>
  <w:style w:type="character" w:styleId="1245">
    <w:name w:val="纯文本 字符1"/>
    <w:next w:val="1245"/>
    <w:link w:val="1023"/>
    <w:qFormat/>
    <w:rPr>
      <w:rFonts w:ascii="宋体" w:hAnsi="Courier New"/>
    </w:rPr>
  </w:style>
  <w:style w:type="character" w:styleId="1246">
    <w:name w:val="bjh-p"/>
    <w:next w:val="1246"/>
    <w:link w:val="1023"/>
    <w:qFormat/>
  </w:style>
  <w:style w:type="paragraph" w:styleId="1247">
    <w:name w:val="无标题条"/>
    <w:next w:val="1023"/>
    <w:link w:val="1023"/>
    <w:qFormat/>
    <w:pPr>
      <w:jc w:val="both"/>
    </w:pPr>
    <w:rPr>
      <w:sz w:val="21"/>
      <w:lang w:val="en-US" w:eastAsia="zh-CN" w:bidi="ar-SA"/>
    </w:rPr>
  </w:style>
  <w:style w:type="character" w:styleId="1248">
    <w:name w:val="正文格式 Char"/>
    <w:next w:val="1248"/>
    <w:link w:val="1249"/>
    <w:qFormat/>
    <w:rPr>
      <w:rFonts w:ascii="宋体" w:hAnsi="宋体"/>
      <w:sz w:val="24"/>
      <w:szCs w:val="24"/>
      <w:lang w:val="en-GB"/>
    </w:rPr>
  </w:style>
  <w:style w:type="paragraph" w:styleId="1249">
    <w:name w:val="正文格式"/>
    <w:basedOn w:val="1023"/>
    <w:next w:val="1249"/>
    <w:link w:val="1248"/>
    <w:qFormat/>
    <w:pPr>
      <w:ind w:firstLine="480"/>
      <w:spacing w:line="360" w:lineRule="auto"/>
    </w:pPr>
    <w:rPr>
      <w:rFonts w:ascii="宋体" w:hAnsi="宋体"/>
      <w:sz w:val="24"/>
      <w:lang w:val="en-GB"/>
    </w:rPr>
  </w:style>
  <w:style w:type="character" w:styleId="1250">
    <w:name w:val="标题 3 Char"/>
    <w:next w:val="1250"/>
    <w:link w:val="1023"/>
    <w:qFormat/>
    <w:rPr>
      <w:rFonts w:ascii="宋体" w:eastAsia="宋体"/>
      <w:b/>
      <w:sz w:val="24"/>
      <w:u w:val="single"/>
      <w:lang w:val="en-US" w:eastAsia="zh-CN" w:bidi="ar-SA"/>
    </w:rPr>
  </w:style>
  <w:style w:type="character" w:styleId="1251">
    <w:name w:val="正文缩进 Char"/>
    <w:next w:val="1251"/>
    <w:link w:val="1023"/>
    <w:qFormat/>
    <w:rPr>
      <w:rFonts w:ascii="宋体" w:eastAsia="宋体"/>
      <w:sz w:val="24"/>
      <w:szCs w:val="24"/>
      <w:lang w:val="en-US" w:eastAsia="zh-CN" w:bidi="ar-SA"/>
    </w:rPr>
  </w:style>
  <w:style w:type="character" w:styleId="1252">
    <w:name w:val="Char Char111"/>
    <w:next w:val="1252"/>
    <w:link w:val="1023"/>
    <w:qFormat/>
    <w:rPr>
      <w:rFonts w:ascii="宋体" w:eastAsia="宋体"/>
      <w:b/>
      <w:sz w:val="24"/>
      <w:u w:val="single"/>
      <w:lang w:val="en-US" w:eastAsia="zh-CN" w:bidi="ar-SA"/>
    </w:rPr>
  </w:style>
  <w:style w:type="character" w:styleId="1253">
    <w:name w:val="正文文本缩进 Char"/>
    <w:next w:val="1253"/>
    <w:link w:val="1023"/>
    <w:qFormat/>
    <w:rPr>
      <w:rFonts w:eastAsia="宋体"/>
      <w:sz w:val="24"/>
      <w:szCs w:val="24"/>
      <w:lang w:val="en-US" w:eastAsia="zh-CN" w:bidi="ar-SA"/>
    </w:rPr>
  </w:style>
  <w:style w:type="character" w:styleId="1254">
    <w:name w:val="列出段落 Char"/>
    <w:next w:val="1254"/>
    <w:link w:val="1023"/>
    <w:qFormat/>
    <w:rPr>
      <w:rFonts w:ascii="Calibri" w:hAnsi="Calibri" w:eastAsia="宋体"/>
      <w:sz w:val="21"/>
      <w:szCs w:val="22"/>
      <w:lang w:val="en-US" w:eastAsia="zh-CN" w:bidi="ar-SA"/>
    </w:rPr>
  </w:style>
  <w:style w:type="character" w:styleId="1255">
    <w:name w:val="页眉 Char"/>
    <w:next w:val="1255"/>
    <w:link w:val="1023"/>
    <w:qFormat/>
    <w:rPr>
      <w:rFonts w:eastAsia="宋体"/>
      <w:sz w:val="18"/>
      <w:szCs w:val="18"/>
      <w:lang w:val="en-US" w:eastAsia="zh-CN" w:bidi="ar-SA"/>
    </w:rPr>
  </w:style>
  <w:style w:type="character" w:styleId="1256">
    <w:name w:val="标题 2 Char"/>
    <w:next w:val="1256"/>
    <w:link w:val="1023"/>
    <w:qFormat/>
    <w:rPr>
      <w:rFonts w:ascii="Arial" w:hAnsi="Arial" w:eastAsia="黑体"/>
      <w:b/>
      <w:sz w:val="30"/>
      <w:lang w:val="en-US" w:eastAsia="zh-CN" w:bidi="ar-SA"/>
    </w:rPr>
  </w:style>
  <w:style w:type="paragraph" w:styleId="1257">
    <w:name w:val="字元 字元2"/>
    <w:basedOn w:val="1023"/>
    <w:next w:val="1257"/>
    <w:link w:val="1023"/>
    <w:qFormat/>
    <w:rPr>
      <w:rFonts w:ascii="Tahoma" w:hAnsi="Tahoma"/>
      <w:sz w:val="24"/>
      <w:szCs w:val="20"/>
    </w:rPr>
  </w:style>
  <w:style w:type="paragraph" w:styleId="1258">
    <w:name w:val="Char3 Char Char Char2"/>
    <w:basedOn w:val="1023"/>
    <w:next w:val="1258"/>
    <w:link w:val="1023"/>
    <w:qFormat/>
    <w:rPr>
      <w:rFonts w:ascii="Tahoma" w:hAnsi="Tahoma"/>
      <w:sz w:val="24"/>
      <w:szCs w:val="20"/>
    </w:rPr>
  </w:style>
  <w:style w:type="paragraph" w:styleId="1259">
    <w:name w:val="正文文本缩进2"/>
    <w:basedOn w:val="1023"/>
    <w:next w:val="1259"/>
    <w:link w:val="1023"/>
    <w:qFormat/>
    <w:pPr>
      <w:ind w:firstLine="480"/>
      <w:spacing w:line="480" w:lineRule="exact"/>
    </w:pPr>
    <w:rPr>
      <w:rFonts w:ascii="宋体" w:hAnsi="宋体"/>
      <w:sz w:val="24"/>
      <w:lang w:val="zh-CN" w:eastAsia="zh-CN"/>
    </w:rPr>
  </w:style>
  <w:style w:type="paragraph" w:styleId="1260">
    <w:name w:val="Char3"/>
    <w:basedOn w:val="1023"/>
    <w:next w:val="1260"/>
    <w:link w:val="1023"/>
    <w:qFormat/>
    <w:pPr>
      <w:tabs>
        <w:tab w:val="left" w:pos="360" w:leader="none"/>
      </w:tabs>
    </w:pPr>
    <w:rPr>
      <w:sz w:val="24"/>
    </w:rPr>
  </w:style>
  <w:style w:type="paragraph" w:styleId="1261">
    <w:name w:val="Char Char Char Char Char Char Char Char Char Char Char Char Char Char Char Char1"/>
    <w:basedOn w:val="1023"/>
    <w:next w:val="1261"/>
    <w:link w:val="1023"/>
    <w:qFormat/>
    <w:pPr>
      <w:jc w:val="center"/>
      <w:spacing w:after="160" w:line="240" w:lineRule="exact"/>
      <w:widowControl/>
    </w:pPr>
    <w:rPr>
      <w:rFonts w:ascii="宋体" w:hAnsi="宋体"/>
      <w:b/>
      <w:sz w:val="30"/>
      <w:szCs w:val="30"/>
      <w:lang w:eastAsia="en-US"/>
    </w:rPr>
  </w:style>
  <w:style w:type="paragraph" w:styleId="1262">
    <w:name w:val="Char Char1 Char Char Char Char Char Char1"/>
    <w:basedOn w:val="1023"/>
    <w:next w:val="1262"/>
    <w:link w:val="1023"/>
    <w:qFormat/>
    <w:pPr>
      <w:jc w:val="left"/>
      <w:spacing w:after="160" w:line="240" w:lineRule="exact"/>
      <w:widowControl/>
    </w:pPr>
    <w:rPr>
      <w:rFonts w:ascii="Verdana" w:hAnsi="Verdana" w:eastAsia="仿宋_GB2312"/>
      <w:sz w:val="24"/>
      <w:szCs w:val="20"/>
      <w:lang w:eastAsia="en-US"/>
    </w:rPr>
  </w:style>
  <w:style w:type="paragraph" w:styleId="1263">
    <w:name w:val="列出段落2"/>
    <w:basedOn w:val="1023"/>
    <w:next w:val="1263"/>
    <w:link w:val="1023"/>
    <w:qFormat/>
    <w:pPr>
      <w:ind w:firstLine="420"/>
    </w:pPr>
    <w:rPr>
      <w:rFonts w:ascii="Calibri" w:hAnsi="Calibri"/>
      <w:szCs w:val="22"/>
    </w:rPr>
  </w:style>
  <w:style w:type="paragraph" w:styleId="1264">
    <w:name w:val="Char Char Char1 Char2"/>
    <w:basedOn w:val="1023"/>
    <w:next w:val="1264"/>
    <w:link w:val="1023"/>
    <w:qFormat/>
    <w:rPr>
      <w:rFonts w:ascii="Tahoma" w:hAnsi="Tahoma"/>
      <w:sz w:val="24"/>
      <w:szCs w:val="20"/>
    </w:rPr>
  </w:style>
  <w:style w:type="paragraph" w:styleId="1265">
    <w:name w:val="Char Char Char2"/>
    <w:basedOn w:val="1023"/>
    <w:next w:val="1265"/>
    <w:link w:val="1023"/>
    <w:qFormat/>
    <w:rPr>
      <w:rFonts w:ascii="Tahoma" w:hAnsi="Tahoma"/>
      <w:sz w:val="24"/>
      <w:szCs w:val="20"/>
    </w:rPr>
  </w:style>
  <w:style w:type="paragraph" w:styleId="1266">
    <w:name w:val="Char Char Char Char Char Char Char2"/>
    <w:basedOn w:val="1023"/>
    <w:next w:val="1266"/>
    <w:link w:val="1023"/>
    <w:qFormat/>
    <w:pPr>
      <w:ind w:firstLine="200"/>
      <w:spacing w:line="360" w:lineRule="auto"/>
    </w:pPr>
    <w:rPr>
      <w:rFonts w:eastAsia="仿宋_GB2312"/>
      <w:sz w:val="24"/>
    </w:rPr>
  </w:style>
  <w:style w:type="paragraph" w:styleId="1267">
    <w:name w:val="正文缩进2"/>
    <w:basedOn w:val="1023"/>
    <w:next w:val="1267"/>
    <w:link w:val="1023"/>
    <w:qFormat/>
    <w:pPr>
      <w:ind w:firstLine="567"/>
      <w:spacing w:line="480" w:lineRule="exact"/>
      <w:widowControl/>
    </w:pPr>
    <w:rPr>
      <w:rFonts w:ascii="宋体"/>
      <w:color w:val="000000"/>
      <w:sz w:val="28"/>
      <w:szCs w:val="20"/>
      <w:lang w:val="zh-CN" w:eastAsia="zh-CN"/>
    </w:rPr>
  </w:style>
  <w:style w:type="paragraph" w:styleId="1268">
    <w:name w:val="Revision"/>
    <w:next w:val="1268"/>
    <w:link w:val="1023"/>
    <w:qFormat/>
    <w:rPr>
      <w:sz w:val="21"/>
      <w:szCs w:val="24"/>
      <w:lang w:val="en-US" w:eastAsia="zh-CN" w:bidi="ar-SA"/>
    </w:rPr>
  </w:style>
  <w:style w:type="paragraph" w:styleId="1269">
    <w:name w:val="Char22"/>
    <w:basedOn w:val="1023"/>
    <w:next w:val="1269"/>
    <w:link w:val="1023"/>
    <w:qFormat/>
    <w:rPr>
      <w:rFonts w:ascii="Tahoma" w:hAnsi="Tahoma"/>
      <w:sz w:val="24"/>
      <w:szCs w:val="20"/>
    </w:rPr>
  </w:style>
  <w:style w:type="paragraph" w:styleId="1270">
    <w:name w:val="Char Char Char Char Char Char Char Char Char Char2"/>
    <w:basedOn w:val="1023"/>
    <w:next w:val="1270"/>
    <w:link w:val="1023"/>
    <w:qFormat/>
    <w:rPr>
      <w:rFonts w:ascii="宋体" w:hAnsi="宋体" w:cs="Courier New"/>
      <w:sz w:val="32"/>
      <w:szCs w:val="32"/>
    </w:rPr>
  </w:style>
  <w:style w:type="paragraph" w:styleId="1271">
    <w:name w:val="Char2 Char Char Char Char Char Char1"/>
    <w:basedOn w:val="1023"/>
    <w:next w:val="1271"/>
    <w:link w:val="1023"/>
    <w:qFormat/>
    <w:pPr>
      <w:jc w:val="center"/>
      <w:spacing w:line="400" w:lineRule="exact"/>
      <w:widowControl/>
    </w:pPr>
  </w:style>
  <w:style w:type="character" w:styleId="1272">
    <w:name w:val="页脚 Char"/>
    <w:next w:val="1272"/>
    <w:link w:val="1023"/>
    <w:qFormat/>
    <w:rPr>
      <w:rFonts w:ascii="宋体" w:eastAsia="宋体"/>
      <w:sz w:val="18"/>
      <w:lang w:val="en-US" w:eastAsia="zh-CN" w:bidi="ar-SA"/>
    </w:rPr>
  </w:style>
  <w:style w:type="paragraph" w:styleId="1273">
    <w:name w:val="Char Char41"/>
    <w:basedOn w:val="1023"/>
    <w:next w:val="1273"/>
    <w:link w:val="1023"/>
    <w:qFormat/>
    <w:pPr>
      <w:jc w:val="center"/>
      <w:spacing w:line="400" w:lineRule="exact"/>
      <w:widowControl/>
    </w:pPr>
  </w:style>
  <w:style w:type="character" w:styleId="1274">
    <w:name w:val="批注文字 Char"/>
    <w:next w:val="1274"/>
    <w:link w:val="1023"/>
    <w:uiPriority w:val="99"/>
    <w:qFormat/>
    <w:rPr>
      <w:sz w:val="21"/>
      <w:szCs w:val="24"/>
    </w:rPr>
  </w:style>
  <w:style w:type="character" w:styleId="1275">
    <w:name w:val="标题 Char"/>
    <w:next w:val="1275"/>
    <w:link w:val="1023"/>
    <w:qFormat/>
    <w:rPr>
      <w:b/>
      <w:sz w:val="32"/>
    </w:rPr>
  </w:style>
  <w:style w:type="paragraph" w:styleId="1276">
    <w:name w:val="图例"/>
    <w:basedOn w:val="1023"/>
    <w:next w:val="1276"/>
    <w:link w:val="1023"/>
    <w:qFormat/>
    <w:pPr>
      <w:jc w:val="center"/>
      <w:spacing w:before="120" w:after="120" w:line="360" w:lineRule="auto"/>
    </w:pPr>
    <w:rPr>
      <w:rFonts w:eastAsia="仿宋_GB2312"/>
      <w:b/>
      <w:sz w:val="24"/>
      <w:szCs w:val="20"/>
    </w:rPr>
  </w:style>
  <w:style w:type="paragraph" w:styleId="1277">
    <w:name w:val="Table Paragraph"/>
    <w:basedOn w:val="1023"/>
    <w:next w:val="1277"/>
    <w:link w:val="1023"/>
    <w:uiPriority w:val="1"/>
    <w:qFormat/>
    <w:pPr>
      <w:jc w:val="left"/>
    </w:pPr>
    <w:rPr>
      <w:rFonts w:ascii="宋体" w:hAnsi="宋体" w:cs="宋体"/>
      <w:sz w:val="22"/>
      <w:szCs w:val="22"/>
      <w:lang w:eastAsia="en-US"/>
    </w:rPr>
  </w:style>
  <w:style w:type="table" w:styleId="1278">
    <w:name w:val="Table Normal"/>
    <w:next w:val="1278"/>
    <w:link w:val="1023"/>
    <w:uiPriority w:val="2"/>
    <w:semiHidden/>
    <w:qFormat/>
    <w:pPr>
      <w:widowControl w:val="off"/>
    </w:pPr>
    <w:rPr>
      <w:rFonts w:ascii="Calibri" w:hAnsi="Calibri"/>
      <w:sz w:val="22"/>
      <w:szCs w:val="22"/>
      <w:lang w:val="en-US" w:eastAsia="en-US" w:bidi="ar-SA"/>
    </w:rPr>
    <w:tblPr/>
  </w:style>
  <w:style w:type="paragraph" w:styleId="1279">
    <w:name w:val="成文日期"/>
    <w:basedOn w:val="1023"/>
    <w:next w:val="1279"/>
    <w:link w:val="1280"/>
    <w:qFormat/>
    <w:pPr>
      <w:ind w:right="400" w:firstLine="200"/>
      <w:jc w:val="right"/>
      <w:spacing w:line="570" w:lineRule="exact"/>
    </w:pPr>
    <w:rPr>
      <w:rFonts w:ascii="仿宋_GB2312" w:eastAsia="仿宋_GB2312"/>
      <w:sz w:val="32"/>
      <w:szCs w:val="20"/>
    </w:rPr>
  </w:style>
  <w:style w:type="character" w:styleId="1280">
    <w:name w:val="成文日期 Char"/>
    <w:next w:val="1280"/>
    <w:link w:val="1279"/>
    <w:rPr>
      <w:rFonts w:ascii="仿宋_GB2312" w:eastAsia="仿宋_GB2312"/>
      <w:sz w:val="32"/>
    </w:rPr>
  </w:style>
  <w:style w:type="paragraph" w:styleId="1281">
    <w:name w:val="标题 21"/>
    <w:basedOn w:val="1023"/>
    <w:next w:val="1023"/>
    <w:link w:val="1023"/>
    <w:qFormat/>
    <w:pPr>
      <w:jc w:val="center"/>
      <w:keepLines/>
      <w:keepNext/>
      <w:spacing w:before="120" w:line="300" w:lineRule="auto"/>
      <w:outlineLvl w:val="1"/>
    </w:pPr>
    <w:rPr>
      <w:rFonts w:ascii="Arial" w:hAnsi="Arial" w:eastAsia="黑体"/>
      <w:b/>
      <w:sz w:val="30"/>
      <w:szCs w:val="20"/>
    </w:rPr>
  </w:style>
  <w:style w:type="paragraph" w:styleId="1282">
    <w:name w:val="正文缩进11"/>
    <w:basedOn w:val="1023"/>
    <w:next w:val="1023"/>
    <w:link w:val="1023"/>
    <w:qFormat/>
    <w:pPr>
      <w:ind w:firstLine="420"/>
      <w:jc w:val="left"/>
    </w:pPr>
    <w:rPr>
      <w:rFonts w:ascii="宋体"/>
      <w:sz w:val="24"/>
    </w:rPr>
  </w:style>
  <w:style w:type="character" w:styleId="1283">
    <w:name w:val="font31"/>
    <w:basedOn w:val="1033"/>
    <w:next w:val="1283"/>
    <w:link w:val="1023"/>
    <w:rPr>
      <w:rFonts w:hint="eastAsia" w:ascii="宋体" w:hAnsi="宋体" w:eastAsia="宋体" w:cs="宋体"/>
      <w:i w:val="0"/>
      <w:iCs w:val="0"/>
      <w:color w:val="000000"/>
      <w:sz w:val="20"/>
      <w:szCs w:val="20"/>
      <w:u w:val="none"/>
    </w:rPr>
  </w:style>
  <w:style w:type="character" w:styleId="1284">
    <w:name w:val="font21"/>
    <w:basedOn w:val="1033"/>
    <w:next w:val="1284"/>
    <w:link w:val="1023"/>
    <w:rPr>
      <w:rFonts w:hint="eastAsia" w:ascii="宋体" w:hAnsi="宋体" w:eastAsia="宋体" w:cs="宋体"/>
      <w:i w:val="0"/>
      <w:iCs w:val="0"/>
      <w:color w:val="000000"/>
      <w:sz w:val="22"/>
      <w:szCs w:val="22"/>
      <w:u w:val="none"/>
    </w:rPr>
  </w:style>
  <w:style w:type="character" w:styleId="1285">
    <w:name w:val="font41"/>
    <w:basedOn w:val="1033"/>
    <w:next w:val="1285"/>
    <w:link w:val="1023"/>
    <w:rPr>
      <w:rFonts w:hint="eastAsia" w:ascii="宋体" w:hAnsi="宋体" w:eastAsia="宋体" w:cs="宋体"/>
      <w:i w:val="0"/>
      <w:iCs w:val="0"/>
      <w:color w:val="000000"/>
      <w:sz w:val="24"/>
      <w:szCs w:val="24"/>
      <w:u w:val="none"/>
    </w:rPr>
  </w:style>
  <w:style w:type="character" w:styleId="1286">
    <w:name w:val="font51"/>
    <w:basedOn w:val="1033"/>
    <w:next w:val="1286"/>
    <w:link w:val="1023"/>
    <w:rPr>
      <w:rFonts w:ascii="微软雅黑" w:hAnsi="微软雅黑" w:eastAsia="微软雅黑" w:cs="微软雅黑"/>
      <w:i w:val="0"/>
      <w:iCs w:val="0"/>
      <w:color w:val="000000"/>
      <w:sz w:val="24"/>
      <w:szCs w:val="24"/>
      <w:u w:val="none"/>
    </w:rPr>
  </w:style>
  <w:style w:type="character" w:styleId="1287">
    <w:name w:val="font61"/>
    <w:basedOn w:val="1033"/>
    <w:next w:val="1287"/>
    <w:link w:val="1023"/>
    <w:rPr>
      <w:rFonts w:ascii="Tahoma" w:hAnsi="Tahoma" w:eastAsia="Tahoma" w:cs="Tahoma"/>
      <w:i w:val="0"/>
      <w:iCs w:val="0"/>
      <w:color w:val="000000"/>
      <w:sz w:val="22"/>
      <w:szCs w:val="22"/>
      <w:u w:val="none"/>
    </w:rPr>
  </w:style>
  <w:style w:type="character" w:styleId="1288">
    <w:name w:val="font71"/>
    <w:basedOn w:val="1033"/>
    <w:next w:val="1288"/>
    <w:link w:val="1023"/>
    <w:rPr>
      <w:rFonts w:hint="eastAsia" w:ascii="宋体" w:hAnsi="宋体" w:eastAsia="宋体" w:cs="宋体"/>
      <w:i w:val="0"/>
      <w:iCs w:val="0"/>
      <w:color w:val="000000"/>
      <w:sz w:val="22"/>
      <w:szCs w:val="22"/>
      <w:u w:val="none"/>
    </w:rPr>
  </w:style>
  <w:style w:type="character" w:styleId="1289">
    <w:name w:val="font81"/>
    <w:basedOn w:val="1033"/>
    <w:next w:val="1289"/>
    <w:link w:val="1023"/>
    <w:rPr>
      <w:rFonts w:hint="eastAsia" w:ascii="微软雅黑" w:hAnsi="微软雅黑" w:eastAsia="微软雅黑" w:cs="微软雅黑"/>
      <w:i w:val="0"/>
      <w:iCs w:val="0"/>
      <w:color w:val="000000"/>
      <w:sz w:val="22"/>
      <w:szCs w:val="22"/>
      <w:u w:val="none"/>
    </w:rPr>
  </w:style>
  <w:style w:type="paragraph" w:styleId="1290">
    <w:name w:val="正文文本 21"/>
    <w:basedOn w:val="1023"/>
    <w:next w:val="1290"/>
    <w:link w:val="1023"/>
    <w:qFormat/>
    <w:pPr>
      <w:jc w:val="center"/>
      <w:widowControl/>
    </w:pPr>
    <w:rPr>
      <w:rFonts w:ascii="楷体_GB2312" w:eastAsia="楷体_GB2312"/>
      <w:sz w:val="28"/>
      <w:szCs w:val="28"/>
    </w:rPr>
  </w:style>
  <w:style w:type="paragraph" w:styleId="1291">
    <w:name w:val="正文首行缩进1"/>
    <w:basedOn w:val="1292"/>
    <w:next w:val="1291"/>
    <w:link w:val="1023"/>
    <w:pPr>
      <w:ind w:firstLine="200"/>
      <w:spacing w:line="360" w:lineRule="auto"/>
    </w:pPr>
    <w:rPr>
      <w:rFonts w:ascii="仿宋_GB2312" w:eastAsia="仿宋_GB2312"/>
      <w:sz w:val="30"/>
      <w:szCs w:val="30"/>
    </w:rPr>
  </w:style>
  <w:style w:type="paragraph" w:styleId="1292">
    <w:name w:val="正文文本1"/>
    <w:basedOn w:val="1023"/>
    <w:next w:val="1292"/>
    <w:link w:val="1023"/>
    <w:qFormat/>
    <w:rPr>
      <w:rFonts w:ascii="楷体_GB2312" w:hAnsi="Arial" w:eastAsia="楷体_GB2312"/>
      <w:sz w:val="28"/>
      <w:szCs w:val="28"/>
    </w:rPr>
  </w:style>
  <w:style w:type="paragraph" w:styleId="1293">
    <w:name w:val="普通(网站)1"/>
    <w:basedOn w:val="1023"/>
    <w:next w:val="1293"/>
    <w:link w:val="1023"/>
    <w:uiPriority w:val="99"/>
    <w:qFormat/>
    <w:pPr>
      <w:jc w:val="left"/>
      <w:spacing w:before="100" w:beforeAutospacing="1" w:after="100" w:afterAutospacing="1"/>
      <w:widowControl/>
    </w:pPr>
    <w:rPr>
      <w:rFonts w:ascii="宋体" w:hAnsi="宋体" w:cs="宋体"/>
      <w:sz w:val="24"/>
      <w:szCs w:val="24"/>
    </w:rPr>
  </w:style>
  <w:style w:type="paragraph" w:styleId="1294">
    <w:name w:val="标题 11"/>
    <w:basedOn w:val="1023"/>
    <w:next w:val="1023"/>
    <w:link w:val="1023"/>
    <w:qFormat/>
    <w:pPr>
      <w:jc w:val="center"/>
      <w:keepNext/>
      <w:outlineLvl w:val="0"/>
    </w:pPr>
    <w:rPr>
      <w:rFonts w:ascii="楷体_GB2312" w:eastAsia="楷体_GB2312"/>
      <w:sz w:val="28"/>
      <w:szCs w:val="28"/>
    </w:rPr>
  </w:style>
  <w:style w:type="paragraph" w:styleId="1295">
    <w:name w:val="纯文本1"/>
    <w:basedOn w:val="1023"/>
    <w:next w:val="1295"/>
    <w:link w:val="1023"/>
    <w:qFormat/>
    <w:rPr>
      <w:rFonts w:hint="eastAsia" w:ascii="宋体" w:hAnsi="Courier New"/>
      <w:szCs w:val="20"/>
    </w:rPr>
  </w:style>
  <w:style w:type="paragraph" w:styleId="1296">
    <w:name w:val="正文文本缩进11"/>
    <w:basedOn w:val="1023"/>
    <w:next w:val="1023"/>
    <w:link w:val="1023"/>
    <w:qFormat/>
    <w:pPr>
      <w:ind w:left="570"/>
      <w:spacing w:line="520" w:lineRule="exact"/>
    </w:pPr>
    <w:rPr>
      <w:rFonts w:ascii="方正仿宋简体" w:hAnsi="创艺简仿宋" w:eastAsia="方正仿宋简体"/>
      <w:sz w:val="24"/>
    </w:rPr>
  </w:style>
  <w:style w:type="paragraph" w:styleId="1297">
    <w:name w:val="正文首行缩进 21"/>
    <w:basedOn w:val="1120"/>
    <w:next w:val="1023"/>
    <w:link w:val="1023"/>
    <w:qFormat/>
    <w:pPr>
      <w:ind w:firstLine="420"/>
      <w:spacing w:line="360" w:lineRule="auto"/>
    </w:pPr>
    <w:rPr>
      <w:rFonts w:ascii="宋体" w:hAnsi="宋体" w:eastAsia="宋体"/>
      <w:sz w:val="21"/>
      <w:szCs w:val="20"/>
    </w:rPr>
  </w:style>
  <w:style w:type="character" w:styleId="1298" w:default="1">
    <w:name w:val="Default Paragraph Font"/>
    <w:uiPriority w:val="1"/>
    <w:semiHidden/>
    <w:unhideWhenUsed/>
  </w:style>
  <w:style w:type="numbering" w:styleId="1299" w:default="1">
    <w:name w:val="No List"/>
    <w:uiPriority w:val="99"/>
    <w:semiHidden/>
    <w:unhideWhenUsed/>
  </w:style>
  <w:style w:type="table" w:styleId="13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蔡芸娟</cp:lastModifiedBy>
  <cp:revision>11</cp:revision>
  <dcterms:created xsi:type="dcterms:W3CDTF">2022-05-30T08:03:00Z</dcterms:created>
  <dcterms:modified xsi:type="dcterms:W3CDTF">2026-02-27T02:54:27Z</dcterms:modified>
</cp:coreProperties>
</file>