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line="500" w:lineRule="exact"/>
        <w:rPr>
          <w:rFonts w:hint="eastAsia" w:ascii="Arial" w:hAnsi="Arial" w:eastAsia="宋体"/>
          <w:b/>
          <w:bCs/>
          <w:color w:val="000000"/>
          <w:sz w:val="32"/>
          <w:szCs w:val="32"/>
          <w:lang w:eastAsia="zh-CN"/>
        </w:rPr>
      </w:pPr>
      <w:r>
        <w:rPr>
          <w:rFonts w:hint="eastAsia" w:ascii="Arial" w:hAnsi="Arial"/>
          <w:b/>
          <w:bCs/>
          <w:color w:val="000000"/>
          <w:sz w:val="32"/>
          <w:szCs w:val="24"/>
        </w:rPr>
        <w:t xml:space="preserve">    项目名称：南通市海门区中医院采购前置审方系统项目</w:t>
      </w:r>
      <w:r>
        <w:rPr>
          <w:rFonts w:hint="eastAsia" w:ascii="Arial" w:hAnsi="Arial"/>
          <w:b/>
          <w:bCs/>
          <w:color w:val="000000"/>
          <w:sz w:val="32"/>
          <w:szCs w:val="24"/>
          <w:lang w:eastAsia="zh-CN"/>
        </w:rPr>
        <w:t xml:space="preserve">（第二次）</w:t>
      </w:r>
      <w:r/>
    </w:p>
    <w:p>
      <w:pPr>
        <w:jc w:val="left"/>
        <w:spacing w:line="500" w:lineRule="exact"/>
        <w:rPr>
          <w:rFonts w:hint="eastAsia" w:ascii="Arial" w:hAnsi="Arial" w:eastAsia="宋体"/>
          <w:b/>
          <w:bCs/>
          <w:color w:val="000000"/>
          <w:sz w:val="32"/>
          <w:szCs w:val="32"/>
          <w:lang w:eastAsia="zh-CN"/>
        </w:rPr>
      </w:pPr>
      <w:r>
        <w:rPr>
          <w:rFonts w:hint="eastAsia" w:ascii="Arial" w:hAnsi="Arial"/>
          <w:b/>
          <w:bCs/>
          <w:color w:val="000000"/>
          <w:sz w:val="32"/>
          <w:szCs w:val="24"/>
        </w:rPr>
        <w:t xml:space="preserve">    </w:t>
      </w:r>
      <w:r>
        <w:rPr>
          <w:rFonts w:hint="eastAsia" w:ascii="宋体" w:hAnsi="宋体" w:cs="宋体"/>
          <w:b/>
          <w:bCs/>
          <w:color w:val="000000"/>
          <w:sz w:val="32"/>
          <w:szCs w:val="24"/>
        </w:rPr>
        <w:t xml:space="preserve">项目编号：JSZC-320614-JZCG-G2026-0004</w:t>
      </w:r>
      <w:r/>
    </w:p>
    <w:p>
      <w:pPr>
        <w:pStyle w:val="892"/>
      </w:pPr>
      <w:r/>
      <w:r/>
    </w:p>
    <w:p>
      <w:pPr>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南通市海门区公共资源交易中心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2026年</w:t>
      </w:r>
      <w:r>
        <w:rPr>
          <w:rFonts w:hint="eastAsia" w:ascii="Arial" w:hAnsi="Arial"/>
          <w:b/>
          <w:bCs/>
          <w:color w:val="000000"/>
          <w:sz w:val="32"/>
          <w:szCs w:val="24"/>
        </w:rPr>
        <w:t xml:space="preserve">2月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ind w:left="1855" w:hanging="1018"/>
        <w:spacing w:line="480" w:lineRule="auto"/>
        <w:rPr>
          <w:rFonts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ind w:left="1855" w:hanging="1018"/>
        <w:spacing w:line="480" w:lineRule="auto"/>
        <w:rPr>
          <w:rFonts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p>
    <w:p>
      <w:pPr>
        <w:ind w:left="1855" w:hanging="1018"/>
        <w:spacing w:line="480" w:lineRule="auto"/>
        <w:rPr>
          <w:rFonts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p>
    <w:p>
      <w:pPr>
        <w:ind w:left="1855" w:hanging="1018"/>
        <w:spacing w:line="480" w:lineRule="auto"/>
        <w:rPr>
          <w:rFonts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p>
    <w:p>
      <w:pPr>
        <w:ind w:left="1855" w:hanging="1018"/>
        <w:spacing w:line="480" w:lineRule="auto"/>
        <w:rPr>
          <w:rFonts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p>
    <w:p>
      <w:pPr>
        <w:ind w:left="1855" w:hanging="1018"/>
        <w:spacing w:line="480" w:lineRule="auto"/>
        <w:rPr>
          <w:rFonts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671"/>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703"/>
              <w:spacing w:before="0" w:beforeAutospacing="0" w:after="0" w:afterAutospacing="0" w:line="360" w:lineRule="auto"/>
              <w:rPr>
                <w:sz w:val="28"/>
                <w:szCs w:val="28"/>
              </w:rPr>
            </w:pPr>
            <w:r>
              <w:rPr>
                <w:rFonts w:hint="eastAsia"/>
                <w:sz w:val="28"/>
                <w:szCs w:val="28"/>
              </w:rPr>
              <w:t xml:space="preserve">项目概况</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南通市海门区中医院采购前置审方系统项目 JSZC-320614-JZCG-G2026-0004 招标项目的潜在投标人应在江苏政府采购网 获取招标文件，并于2026-02-</w:t>
            </w:r>
            <w:r>
              <w:rPr>
                <w:rFonts w:hint="eastAsia" w:ascii="宋体" w:hAnsi="宋体" w:cs="宋体"/>
                <w:sz w:val="28"/>
                <w:szCs w:val="28"/>
              </w:rPr>
              <w:t xml:space="preserve">27 09:00 （北京时间）前递交投标文件。</w:t>
            </w:r>
            <w:r/>
          </w:p>
        </w:tc>
      </w:tr>
    </w:tbl>
    <w:p>
      <w:pPr>
        <w:pStyle w:val="703"/>
        <w:ind w:firstLine="560"/>
        <w:spacing w:before="0" w:beforeAutospacing="0" w:after="0" w:afterAutospacing="0" w:line="360" w:lineRule="auto"/>
        <w:rPr>
          <w:b/>
          <w:bCs/>
          <w:sz w:val="28"/>
          <w:szCs w:val="28"/>
        </w:rPr>
      </w:pPr>
      <w:r>
        <w:rPr>
          <w:rFonts w:hint="eastAsia"/>
          <w:b/>
          <w:bCs/>
          <w:sz w:val="28"/>
          <w:szCs w:val="28"/>
        </w:rPr>
        <w:t xml:space="preserve">一、项目基本情况</w:t>
      </w:r>
      <w:r/>
    </w:p>
    <w:p>
      <w:pPr>
        <w:pStyle w:val="703"/>
        <w:ind w:firstLine="560"/>
        <w:spacing w:before="0" w:beforeAutospacing="0" w:after="0" w:afterAutospacing="0" w:line="360" w:lineRule="auto"/>
        <w:rPr>
          <w:sz w:val="28"/>
          <w:szCs w:val="28"/>
        </w:rPr>
      </w:pPr>
      <w:r>
        <w:rPr>
          <w:rFonts w:hint="eastAsia"/>
          <w:sz w:val="28"/>
          <w:szCs w:val="28"/>
        </w:rPr>
        <w:t xml:space="preserve">项目编号：JSZC-320614-JZCG-G2026-0004</w:t>
      </w:r>
      <w:r/>
    </w:p>
    <w:p>
      <w:pPr>
        <w:pStyle w:val="703"/>
        <w:ind w:firstLine="560"/>
        <w:spacing w:before="0" w:beforeAutospacing="0" w:after="0" w:afterAutospacing="0" w:line="360" w:lineRule="auto"/>
        <w:rPr>
          <w:sz w:val="28"/>
          <w:szCs w:val="28"/>
        </w:rPr>
      </w:pPr>
      <w:r>
        <w:rPr>
          <w:rFonts w:hint="eastAsia"/>
          <w:sz w:val="28"/>
          <w:szCs w:val="28"/>
        </w:rPr>
        <w:t xml:space="preserve">项目名称：南通市海门区中医院采购前置审方系统项目</w:t>
      </w:r>
      <w:r>
        <w:rPr>
          <w:rFonts w:hint="eastAsia"/>
          <w:color w:val="0000ff"/>
          <w:sz w:val="28"/>
          <w:szCs w:val="28"/>
        </w:rPr>
        <w:t xml:space="preserve"> </w:t>
      </w:r>
      <w:r/>
    </w:p>
    <w:p>
      <w:pPr>
        <w:pStyle w:val="703"/>
        <w:ind w:firstLine="560"/>
        <w:spacing w:before="0" w:beforeAutospacing="0" w:after="0" w:afterAutospacing="0" w:line="360" w:lineRule="auto"/>
        <w:rPr>
          <w:sz w:val="28"/>
          <w:szCs w:val="28"/>
        </w:rPr>
      </w:pPr>
      <w:r>
        <w:rPr>
          <w:rFonts w:hint="eastAsia"/>
          <w:sz w:val="28"/>
          <w:szCs w:val="28"/>
        </w:rPr>
        <w:t xml:space="preserve">采购方式：公开招标</w:t>
      </w:r>
      <w:r/>
    </w:p>
    <w:p>
      <w:pPr>
        <w:pStyle w:val="703"/>
        <w:ind w:firstLine="560"/>
        <w:spacing w:before="0" w:beforeAutospacing="0" w:after="0" w:afterAutospacing="0" w:line="360" w:lineRule="auto"/>
        <w:rPr>
          <w:color w:val="000000"/>
          <w:sz w:val="28"/>
          <w:szCs w:val="28"/>
        </w:rPr>
      </w:pPr>
      <w:r>
        <w:rPr>
          <w:rFonts w:hint="eastAsia"/>
          <w:sz w:val="28"/>
          <w:szCs w:val="28"/>
        </w:rPr>
        <w:t xml:space="preserve">预算金</w:t>
      </w:r>
      <w:r>
        <w:rPr>
          <w:rFonts w:hint="eastAsia"/>
          <w:color w:val="000000"/>
          <w:sz w:val="28"/>
          <w:szCs w:val="28"/>
        </w:rPr>
        <w:t xml:space="preserve">额：</w:t>
      </w:r>
      <w:r>
        <w:rPr>
          <w:color w:val="000000"/>
          <w:sz w:val="28"/>
          <w:szCs w:val="28"/>
        </w:rPr>
        <w:t xml:space="preserve">115</w:t>
      </w:r>
      <w:r>
        <w:rPr>
          <w:rFonts w:hint="eastAsia"/>
          <w:color w:val="000000"/>
          <w:sz w:val="28"/>
          <w:szCs w:val="28"/>
        </w:rPr>
        <w:t xml:space="preserve">万元 </w:t>
      </w:r>
      <w:r/>
    </w:p>
    <w:p>
      <w:pPr>
        <w:pStyle w:val="703"/>
        <w:ind w:firstLine="560"/>
        <w:spacing w:before="0" w:beforeAutospacing="0" w:after="0" w:afterAutospacing="0" w:line="360" w:lineRule="auto"/>
        <w:rPr>
          <w:color w:val="000000"/>
          <w:sz w:val="28"/>
          <w:szCs w:val="28"/>
        </w:rPr>
      </w:pPr>
      <w:r>
        <w:rPr>
          <w:rFonts w:hint="eastAsia"/>
          <w:color w:val="000000"/>
          <w:sz w:val="28"/>
          <w:szCs w:val="28"/>
        </w:rPr>
        <w:t xml:space="preserve">最高限价（如有）：108万元 </w:t>
      </w:r>
      <w:r/>
    </w:p>
    <w:p>
      <w:pPr>
        <w:pStyle w:val="703"/>
        <w:ind w:firstLine="560"/>
        <w:spacing w:before="0" w:beforeAutospacing="0" w:after="0" w:afterAutospacing="0" w:line="360" w:lineRule="auto"/>
        <w:rPr>
          <w:sz w:val="28"/>
          <w:szCs w:val="28"/>
        </w:rPr>
      </w:pPr>
      <w:r>
        <w:rPr>
          <w:rFonts w:hint="eastAsia"/>
          <w:sz w:val="28"/>
          <w:szCs w:val="28"/>
        </w:rPr>
        <w:t xml:space="preserve">采购需求：详见采购文件。</w:t>
      </w:r>
      <w:r/>
    </w:p>
    <w:p>
      <w:pPr>
        <w:pStyle w:val="703"/>
        <w:ind w:firstLine="560"/>
        <w:spacing w:before="0" w:beforeAutospacing="0" w:after="0" w:afterAutospacing="0" w:line="360" w:lineRule="auto"/>
        <w:rPr>
          <w:sz w:val="28"/>
          <w:szCs w:val="28"/>
        </w:rPr>
      </w:pPr>
      <w:r>
        <w:rPr>
          <w:rFonts w:hint="eastAsia"/>
          <w:sz w:val="28"/>
          <w:szCs w:val="28"/>
        </w:rPr>
        <w:t xml:space="preserve">合同履行期限：详见采购需求。</w:t>
      </w:r>
      <w:r/>
    </w:p>
    <w:p>
      <w:pPr>
        <w:pStyle w:val="703"/>
        <w:ind w:firstLine="560"/>
        <w:spacing w:before="0" w:beforeAutospacing="0" w:after="0" w:afterAutospacing="0" w:line="360" w:lineRule="auto"/>
        <w:rPr>
          <w:sz w:val="28"/>
          <w:szCs w:val="28"/>
        </w:rPr>
      </w:pPr>
      <w:r>
        <w:rPr>
          <w:rFonts w:hint="eastAsia"/>
          <w:sz w:val="28"/>
          <w:szCs w:val="28"/>
        </w:rPr>
        <w:t xml:space="preserve">本项目（是/否）接受联合体投标：否</w:t>
      </w:r>
      <w:r/>
    </w:p>
    <w:p>
      <w:pPr>
        <w:pStyle w:val="703"/>
        <w:ind w:firstLine="560"/>
        <w:spacing w:before="0" w:beforeAutospacing="0" w:after="0" w:afterAutospacing="0" w:line="360" w:lineRule="auto"/>
        <w:rPr>
          <w:b/>
          <w:bCs/>
          <w:sz w:val="28"/>
          <w:szCs w:val="28"/>
        </w:rPr>
      </w:pPr>
      <w:r>
        <w:rPr>
          <w:rFonts w:hint="eastAsia"/>
          <w:b/>
          <w:bCs/>
          <w:sz w:val="28"/>
          <w:szCs w:val="28"/>
        </w:rPr>
        <w:t xml:space="preserve">二、申请人的资格要求：</w:t>
      </w:r>
      <w:r/>
    </w:p>
    <w:p>
      <w:pPr>
        <w:pStyle w:val="703"/>
        <w:ind w:firstLine="560"/>
        <w:spacing w:before="0" w:beforeAutospacing="0" w:after="0" w:afterAutospacing="0" w:line="360" w:lineRule="auto"/>
        <w:rPr>
          <w:sz w:val="28"/>
          <w:szCs w:val="28"/>
        </w:rPr>
      </w:pPr>
      <w:r>
        <w:rPr>
          <w:rFonts w:hint="eastAsia"/>
          <w:sz w:val="28"/>
          <w:szCs w:val="28"/>
        </w:rPr>
        <w:t xml:space="preserve">（一）满足《中华人民共和国政府采购法》第二十二条规定：</w:t>
      </w:r>
      <w:r/>
    </w:p>
    <w:p>
      <w:pPr>
        <w:pStyle w:val="703"/>
        <w:ind w:firstLine="560"/>
        <w:spacing w:before="0" w:beforeAutospacing="0" w:after="0" w:afterAutospacing="0" w:line="360" w:lineRule="auto"/>
        <w:rPr>
          <w:sz w:val="28"/>
          <w:szCs w:val="28"/>
        </w:rPr>
      </w:pPr>
      <w:r>
        <w:rPr>
          <w:rFonts w:hint="eastAsia"/>
          <w:sz w:val="28"/>
          <w:szCs w:val="28"/>
        </w:rPr>
        <w:t xml:space="preserve">1.投标人符合《政府采购法》第二十二条规定条件的声明函（格式见附件3）；</w:t>
      </w:r>
      <w:r/>
    </w:p>
    <w:p>
      <w:pPr>
        <w:pStyle w:val="703"/>
        <w:ind w:firstLine="560"/>
        <w:spacing w:before="0" w:beforeAutospacing="0" w:after="0" w:afterAutospacing="0" w:line="360" w:lineRule="auto"/>
        <w:rPr>
          <w:sz w:val="28"/>
          <w:szCs w:val="28"/>
        </w:rPr>
      </w:pPr>
      <w:r>
        <w:rPr>
          <w:rFonts w:hint="eastAsia"/>
          <w:sz w:val="28"/>
          <w:szCs w:val="28"/>
        </w:rPr>
        <w:t xml:space="preserve">2.投标函（格式见附件4）。</w:t>
      </w:r>
      <w:r/>
    </w:p>
    <w:p>
      <w:pPr>
        <w:pStyle w:val="703"/>
        <w:ind w:firstLine="560"/>
        <w:spacing w:before="0" w:beforeAutospacing="0" w:after="0" w:afterAutospacing="0" w:line="360" w:lineRule="auto"/>
        <w:rPr>
          <w:color w:val="000000"/>
          <w:sz w:val="28"/>
          <w:szCs w:val="28"/>
        </w:rPr>
      </w:pPr>
      <w:r>
        <w:rPr>
          <w:rFonts w:hint="eastAsia"/>
          <w:sz w:val="28"/>
          <w:szCs w:val="28"/>
        </w:rPr>
        <w:t xml:space="preserve">（二）落实政府采购政策需</w:t>
      </w:r>
      <w:r>
        <w:rPr>
          <w:rFonts w:hint="eastAsia"/>
          <w:color w:val="000000"/>
          <w:sz w:val="28"/>
          <w:szCs w:val="28"/>
        </w:rPr>
        <w:t xml:space="preserve">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703"/>
        <w:ind w:firstLine="560"/>
        <w:spacing w:before="0" w:beforeAutospacing="0" w:after="0" w:afterAutospacing="0" w:line="360" w:lineRule="auto"/>
        <w:rPr>
          <w:sz w:val="28"/>
          <w:szCs w:val="28"/>
        </w:rPr>
      </w:pPr>
      <w:r>
        <w:rPr>
          <w:rFonts w:hint="eastAsia"/>
          <w:sz w:val="28"/>
          <w:szCs w:val="28"/>
        </w:rPr>
        <w:t xml:space="preserve">（三）本项目的特定资格要求： </w:t>
      </w:r>
      <w:r/>
    </w:p>
    <w:p>
      <w:pPr>
        <w:pStyle w:val="703"/>
        <w:ind w:firstLine="560"/>
        <w:spacing w:before="0" w:beforeAutospacing="0" w:after="0" w:afterAutospacing="0" w:line="360" w:lineRule="auto"/>
        <w:rPr>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03"/>
        <w:ind w:firstLine="560"/>
        <w:spacing w:before="0" w:beforeAutospacing="0" w:after="0" w:afterAutospacing="0" w:line="360" w:lineRule="auto"/>
        <w:rPr>
          <w:b/>
          <w:bCs/>
          <w:sz w:val="28"/>
          <w:szCs w:val="28"/>
        </w:rPr>
      </w:pPr>
      <w:r>
        <w:rPr>
          <w:rFonts w:hint="eastAsia"/>
          <w:b/>
          <w:bCs/>
          <w:sz w:val="28"/>
          <w:szCs w:val="28"/>
        </w:rPr>
        <w:t xml:space="preserve">三、获取招标文件</w:t>
      </w:r>
      <w:r/>
    </w:p>
    <w:p>
      <w:pPr>
        <w:ind w:firstLine="560"/>
        <w:jc w:val="left"/>
        <w:spacing w:line="360" w:lineRule="auto"/>
        <w:widowControl/>
        <w:rPr>
          <w:rFonts w:ascii="宋体" w:hAnsi="宋体" w:cs="宋体"/>
          <w:sz w:val="28"/>
          <w:szCs w:val="28"/>
        </w:rPr>
      </w:pPr>
      <w:r>
        <w:rPr>
          <w:rFonts w:hint="eastAsia" w:ascii="宋体" w:hAnsi="宋体" w:cs="宋体"/>
          <w:sz w:val="28"/>
          <w:szCs w:val="28"/>
          <w:lang w:bidi="ar"/>
        </w:rPr>
        <w:t xml:space="preserve">时间：2026-02-</w:t>
      </w:r>
      <w:r>
        <w:rPr>
          <w:rFonts w:hint="eastAsia" w:ascii="宋体" w:hAnsi="宋体" w:cs="宋体"/>
          <w:sz w:val="28"/>
          <w:szCs w:val="28"/>
          <w:lang w:bidi="ar"/>
        </w:rPr>
        <w:t xml:space="preserve">04至2026-02-10</w:t>
      </w:r>
      <w:r>
        <w:rPr>
          <w:rFonts w:hint="eastAsia" w:ascii="宋体" w:hAnsi="宋体" w:cs="宋体"/>
          <w:sz w:val="28"/>
          <w:szCs w:val="28"/>
          <w:lang w:bidi="ar"/>
        </w:rPr>
        <w:t xml:space="preserve">，每天上午00:00-12:00,下午12:00-23:59 （北京时间，法定节假日除外） </w:t>
      </w:r>
      <w:r/>
    </w:p>
    <w:p>
      <w:pPr>
        <w:pStyle w:val="703"/>
        <w:ind w:firstLine="560"/>
        <w:spacing w:before="0" w:beforeAutospacing="0" w:after="0" w:afterAutospacing="0" w:line="360" w:lineRule="auto"/>
        <w:rPr>
          <w:sz w:val="28"/>
          <w:szCs w:val="28"/>
        </w:rPr>
      </w:pPr>
      <w:r>
        <w:rPr>
          <w:rFonts w:hint="eastAsia"/>
          <w:sz w:val="28"/>
          <w:szCs w:val="28"/>
        </w:rPr>
        <w:t xml:space="preserve">地点：江苏政府采购网 </w:t>
      </w:r>
      <w:r/>
    </w:p>
    <w:p>
      <w:pPr>
        <w:pStyle w:val="703"/>
        <w:ind w:firstLine="560"/>
        <w:spacing w:before="0" w:beforeAutospacing="0" w:after="0" w:afterAutospacing="0" w:line="360" w:lineRule="auto"/>
        <w:rPr>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p>
    <w:p>
      <w:pPr>
        <w:pStyle w:val="703"/>
        <w:ind w:firstLine="560"/>
        <w:spacing w:before="0" w:beforeAutospacing="0" w:after="0" w:afterAutospacing="0" w:line="360" w:lineRule="auto"/>
        <w:rPr>
          <w:sz w:val="28"/>
          <w:szCs w:val="28"/>
        </w:rPr>
      </w:pPr>
      <w:r>
        <w:rPr>
          <w:rFonts w:hint="eastAsia"/>
          <w:sz w:val="28"/>
          <w:szCs w:val="28"/>
        </w:rPr>
        <w:t xml:space="preserve">售价：0.00元 </w:t>
      </w:r>
      <w:r/>
    </w:p>
    <w:p>
      <w:pPr>
        <w:pStyle w:val="703"/>
        <w:ind w:firstLine="560"/>
        <w:spacing w:before="0" w:beforeAutospacing="0" w:after="0" w:afterAutospacing="0" w:line="360" w:lineRule="auto"/>
        <w:rPr>
          <w:b/>
          <w:bCs/>
          <w:sz w:val="28"/>
          <w:szCs w:val="28"/>
        </w:rPr>
      </w:pPr>
      <w:r>
        <w:rPr>
          <w:rFonts w:hint="eastAsia"/>
          <w:b/>
          <w:bCs/>
          <w:sz w:val="28"/>
          <w:szCs w:val="28"/>
        </w:rPr>
        <w:t xml:space="preserve">四、提交投标文件截止时间、开标时间和地点</w:t>
      </w:r>
      <w:r/>
    </w:p>
    <w:p>
      <w:pPr>
        <w:pStyle w:val="703"/>
        <w:ind w:firstLine="560"/>
        <w:spacing w:before="0" w:beforeAutospacing="0" w:after="0" w:afterAutospacing="0" w:line="360" w:lineRule="auto"/>
        <w:rPr>
          <w:sz w:val="28"/>
          <w:szCs w:val="28"/>
        </w:rPr>
      </w:pPr>
      <w:r>
        <w:rPr>
          <w:rFonts w:hint="eastAsia"/>
          <w:sz w:val="28"/>
          <w:szCs w:val="28"/>
        </w:rPr>
        <w:t xml:space="preserve">2026-02-27</w:t>
      </w:r>
      <w:r>
        <w:rPr>
          <w:rFonts w:hint="eastAsia"/>
          <w:sz w:val="28"/>
          <w:szCs w:val="28"/>
        </w:rPr>
        <w:t xml:space="preserve"> 09:00 （北京时间）</w:t>
      </w:r>
      <w:r/>
    </w:p>
    <w:p>
      <w:pPr>
        <w:pStyle w:val="703"/>
        <w:ind w:firstLine="560"/>
        <w:spacing w:before="0" w:beforeAutospacing="0" w:after="0" w:afterAutospacing="0" w:line="360" w:lineRule="auto"/>
        <w:rPr>
          <w:sz w:val="28"/>
          <w:szCs w:val="28"/>
        </w:rPr>
      </w:pPr>
      <w:r>
        <w:rPr>
          <w:rFonts w:hint="eastAsia"/>
          <w:sz w:val="28"/>
          <w:szCs w:val="28"/>
        </w:rPr>
        <w:t xml:space="preserve">地点：“苏采云”政府采购交易系统网上开标大厅</w:t>
      </w:r>
      <w:r/>
    </w:p>
    <w:p>
      <w:pPr>
        <w:pStyle w:val="703"/>
        <w:ind w:firstLine="560"/>
        <w:spacing w:before="0" w:beforeAutospacing="0" w:after="0" w:afterAutospacing="0" w:line="360" w:lineRule="auto"/>
        <w:rPr>
          <w:b/>
          <w:bCs/>
          <w:sz w:val="28"/>
          <w:szCs w:val="28"/>
        </w:rPr>
      </w:pPr>
      <w:r>
        <w:rPr>
          <w:rFonts w:hint="eastAsia"/>
          <w:b/>
          <w:bCs/>
          <w:sz w:val="28"/>
          <w:szCs w:val="28"/>
        </w:rPr>
        <w:t xml:space="preserve">五、公告期限</w:t>
      </w:r>
      <w:r/>
    </w:p>
    <w:p>
      <w:pPr>
        <w:pStyle w:val="703"/>
        <w:ind w:firstLine="560"/>
        <w:spacing w:before="0" w:beforeAutospacing="0" w:after="0" w:afterAutospacing="0" w:line="360" w:lineRule="auto"/>
        <w:rPr>
          <w:sz w:val="28"/>
          <w:szCs w:val="28"/>
        </w:rPr>
      </w:pPr>
      <w:r>
        <w:rPr>
          <w:rFonts w:hint="eastAsia"/>
          <w:sz w:val="28"/>
          <w:szCs w:val="28"/>
        </w:rPr>
        <w:t xml:space="preserve">自本公告发布之日起5个工作日。</w:t>
      </w:r>
      <w:r/>
    </w:p>
    <w:p>
      <w:pPr>
        <w:pStyle w:val="703"/>
        <w:ind w:firstLine="560"/>
        <w:spacing w:before="0" w:beforeAutospacing="0" w:after="0" w:afterAutospacing="0" w:line="360" w:lineRule="auto"/>
        <w:rPr>
          <w:b/>
          <w:bCs/>
          <w:sz w:val="28"/>
          <w:szCs w:val="28"/>
        </w:rPr>
      </w:pPr>
      <w:r>
        <w:rPr>
          <w:rFonts w:hint="eastAsia"/>
          <w:b/>
          <w:bCs/>
          <w:sz w:val="28"/>
          <w:szCs w:val="28"/>
        </w:rPr>
        <w:t xml:space="preserve">六、其他补充事宜</w:t>
      </w:r>
      <w:r/>
    </w:p>
    <w:p>
      <w:pPr>
        <w:pStyle w:val="703"/>
        <w:ind w:firstLine="560"/>
        <w:spacing w:before="0" w:beforeAutospacing="0" w:after="0" w:afterAutospacing="0" w:line="360" w:lineRule="auto"/>
        <w:rPr>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03"/>
        <w:ind w:firstLine="560"/>
        <w:spacing w:before="0" w:beforeAutospacing="0" w:after="0" w:afterAutospacing="0" w:line="360" w:lineRule="auto"/>
        <w:rPr>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03"/>
        <w:ind w:firstLine="560"/>
        <w:spacing w:before="0" w:beforeAutospacing="0" w:after="0" w:afterAutospacing="0" w:line="360" w:lineRule="auto"/>
        <w:rPr>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703"/>
        <w:ind w:firstLine="560"/>
        <w:spacing w:before="0" w:beforeAutospacing="0" w:after="0" w:afterAutospacing="0" w:line="360" w:lineRule="auto"/>
        <w:rPr>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703"/>
        <w:ind w:firstLine="560"/>
        <w:spacing w:before="0" w:beforeAutospacing="0" w:after="0" w:afterAutospacing="0" w:line="360" w:lineRule="auto"/>
        <w:rPr>
          <w:sz w:val="28"/>
          <w:szCs w:val="28"/>
        </w:rPr>
      </w:pPr>
      <w:r>
        <w:rPr>
          <w:rFonts w:hint="eastAsia"/>
          <w:sz w:val="28"/>
          <w:szCs w:val="28"/>
        </w:rPr>
        <w:t xml:space="preserve">3.本次招标不收取投标保证金。</w:t>
      </w:r>
      <w:r/>
    </w:p>
    <w:p>
      <w:pPr>
        <w:pStyle w:val="703"/>
        <w:ind w:firstLine="560"/>
        <w:spacing w:before="0" w:beforeAutospacing="0" w:after="0" w:afterAutospacing="0" w:line="360" w:lineRule="auto"/>
        <w:rPr>
          <w:sz w:val="28"/>
          <w:szCs w:val="28"/>
        </w:rPr>
      </w:pPr>
      <w:r>
        <w:rPr>
          <w:rFonts w:hint="eastAsia"/>
          <w:b/>
          <w:bCs/>
          <w:sz w:val="28"/>
          <w:szCs w:val="28"/>
        </w:rPr>
        <w:t xml:space="preserve">七、对本次招标提出询问，请按以下方式联系。</w:t>
      </w:r>
      <w:r/>
    </w:p>
    <w:p>
      <w:pPr>
        <w:pStyle w:val="703"/>
        <w:ind w:firstLine="560"/>
        <w:spacing w:before="0" w:beforeAutospacing="0" w:after="0" w:afterAutospacing="0" w:line="360" w:lineRule="auto"/>
        <w:rPr>
          <w:sz w:val="28"/>
          <w:szCs w:val="28"/>
        </w:rPr>
      </w:pPr>
      <w:r>
        <w:rPr>
          <w:rFonts w:hint="eastAsia"/>
          <w:sz w:val="28"/>
          <w:szCs w:val="28"/>
        </w:rPr>
        <w:t xml:space="preserve">1.采购人信息 </w:t>
      </w:r>
      <w:r/>
    </w:p>
    <w:p>
      <w:pPr>
        <w:pStyle w:val="703"/>
        <w:ind w:firstLine="560"/>
        <w:spacing w:before="0" w:beforeAutospacing="0" w:after="0" w:afterAutospacing="0" w:line="360" w:lineRule="auto"/>
        <w:rPr>
          <w:color w:val="000000"/>
          <w:sz w:val="28"/>
          <w:szCs w:val="28"/>
        </w:rPr>
      </w:pPr>
      <w:r>
        <w:rPr>
          <w:rFonts w:hint="eastAsia"/>
          <w:color w:val="000000"/>
          <w:sz w:val="28"/>
          <w:szCs w:val="28"/>
        </w:rPr>
        <w:t xml:space="preserve">单位名称：南通市海门区中医院</w:t>
      </w:r>
      <w:r/>
    </w:p>
    <w:p>
      <w:pPr>
        <w:pStyle w:val="703"/>
        <w:ind w:firstLine="560"/>
        <w:spacing w:before="0" w:beforeAutospacing="0" w:after="0" w:afterAutospacing="0" w:line="360" w:lineRule="auto"/>
        <w:rPr>
          <w:color w:val="000000"/>
          <w:sz w:val="28"/>
          <w:szCs w:val="28"/>
        </w:rPr>
      </w:pPr>
      <w:r>
        <w:rPr>
          <w:rFonts w:hint="eastAsia"/>
          <w:color w:val="000000"/>
          <w:sz w:val="28"/>
          <w:szCs w:val="28"/>
        </w:rPr>
        <w:t xml:space="preserve">单位地址：南通市海门区海门街道河海路1号</w:t>
      </w:r>
      <w:r/>
    </w:p>
    <w:p>
      <w:pPr>
        <w:pStyle w:val="703"/>
        <w:ind w:firstLine="560"/>
        <w:spacing w:before="0" w:beforeAutospacing="0" w:after="0" w:afterAutospacing="0" w:line="360" w:lineRule="auto"/>
        <w:rPr>
          <w:color w:val="000000"/>
          <w:sz w:val="28"/>
          <w:szCs w:val="28"/>
        </w:rPr>
      </w:pPr>
      <w:r>
        <w:rPr>
          <w:rFonts w:hint="eastAsia"/>
          <w:color w:val="000000"/>
          <w:sz w:val="28"/>
          <w:szCs w:val="28"/>
        </w:rPr>
        <w:t xml:space="preserve">联系人：郁先生</w:t>
      </w:r>
      <w:r/>
    </w:p>
    <w:p>
      <w:pPr>
        <w:pStyle w:val="703"/>
        <w:ind w:firstLine="560"/>
        <w:spacing w:before="0" w:beforeAutospacing="0" w:after="0" w:afterAutospacing="0" w:line="360" w:lineRule="auto"/>
        <w:rPr>
          <w:color w:val="000000"/>
          <w:sz w:val="28"/>
          <w:szCs w:val="28"/>
        </w:rPr>
      </w:pPr>
      <w:r>
        <w:rPr>
          <w:rFonts w:hint="eastAsia"/>
          <w:color w:val="000000"/>
          <w:sz w:val="28"/>
          <w:szCs w:val="28"/>
        </w:rPr>
        <w:t xml:space="preserve">联系电话：0</w:t>
      </w:r>
      <w:r>
        <w:rPr>
          <w:color w:val="000000"/>
          <w:sz w:val="28"/>
          <w:szCs w:val="28"/>
        </w:rPr>
        <w:t xml:space="preserve">513-82113523</w:t>
      </w:r>
      <w:r/>
    </w:p>
    <w:p>
      <w:pPr>
        <w:pStyle w:val="703"/>
        <w:ind w:firstLine="560"/>
        <w:spacing w:before="0" w:beforeAutospacing="0" w:after="0" w:afterAutospacing="0" w:line="360" w:lineRule="auto"/>
        <w:rPr>
          <w:sz w:val="28"/>
          <w:szCs w:val="28"/>
        </w:rPr>
      </w:pPr>
      <w:r>
        <w:rPr>
          <w:rFonts w:hint="eastAsia"/>
          <w:sz w:val="28"/>
          <w:szCs w:val="28"/>
        </w:rPr>
        <w:t xml:space="preserve">2.采购代理机构信息（如有）</w:t>
      </w:r>
      <w:r/>
    </w:p>
    <w:p>
      <w:pPr>
        <w:pStyle w:val="703"/>
        <w:ind w:firstLine="560"/>
        <w:spacing w:before="0" w:beforeAutospacing="0" w:after="0" w:afterAutospacing="0" w:line="360" w:lineRule="auto"/>
        <w:rPr>
          <w:sz w:val="28"/>
          <w:szCs w:val="28"/>
        </w:rPr>
      </w:pPr>
      <w:r>
        <w:rPr>
          <w:rFonts w:hint="eastAsia"/>
          <w:sz w:val="28"/>
          <w:szCs w:val="28"/>
        </w:rPr>
        <w:t xml:space="preserve">单位名称：南通市海门区公共资源交易中心</w:t>
      </w:r>
      <w:r/>
    </w:p>
    <w:p>
      <w:pPr>
        <w:pStyle w:val="703"/>
        <w:ind w:firstLine="560"/>
        <w:spacing w:before="0" w:beforeAutospacing="0" w:after="0" w:afterAutospacing="0" w:line="360" w:lineRule="auto"/>
        <w:rPr>
          <w:sz w:val="28"/>
          <w:szCs w:val="28"/>
        </w:rPr>
      </w:pPr>
      <w:r>
        <w:rPr>
          <w:rFonts w:hint="eastAsia"/>
          <w:sz w:val="28"/>
          <w:szCs w:val="28"/>
        </w:rPr>
        <w:t xml:space="preserve">单位地址：南通市海门区长江南路777号</w:t>
      </w:r>
      <w:r/>
    </w:p>
    <w:p>
      <w:pPr>
        <w:pStyle w:val="703"/>
        <w:ind w:firstLine="560"/>
        <w:spacing w:before="0" w:beforeAutospacing="0" w:after="0" w:afterAutospacing="0" w:line="360" w:lineRule="auto"/>
        <w:rPr>
          <w:sz w:val="28"/>
          <w:szCs w:val="28"/>
        </w:rPr>
      </w:pPr>
      <w:r>
        <w:rPr>
          <w:rFonts w:hint="eastAsia"/>
          <w:sz w:val="28"/>
          <w:szCs w:val="28"/>
        </w:rPr>
        <w:t xml:space="preserve">联系人：王先生</w:t>
      </w:r>
      <w:r/>
    </w:p>
    <w:p>
      <w:pPr>
        <w:pStyle w:val="703"/>
        <w:ind w:firstLine="560"/>
        <w:spacing w:before="0" w:beforeAutospacing="0" w:after="0" w:afterAutospacing="0" w:line="360" w:lineRule="auto"/>
        <w:rPr>
          <w:sz w:val="28"/>
          <w:szCs w:val="28"/>
        </w:rPr>
      </w:pPr>
      <w:r>
        <w:rPr>
          <w:rFonts w:hint="eastAsia"/>
          <w:sz w:val="28"/>
          <w:szCs w:val="28"/>
        </w:rPr>
        <w:t xml:space="preserve">联系电话：0513-82100351</w:t>
      </w:r>
      <w:r/>
    </w:p>
    <w:p>
      <w:pPr>
        <w:pStyle w:val="703"/>
        <w:ind w:firstLine="560"/>
        <w:spacing w:before="0" w:beforeAutospacing="0" w:after="0" w:afterAutospacing="0" w:line="360" w:lineRule="auto"/>
        <w:rPr>
          <w:sz w:val="28"/>
          <w:szCs w:val="28"/>
        </w:rPr>
      </w:pPr>
      <w:r>
        <w:rPr>
          <w:rFonts w:hint="eastAsia"/>
          <w:sz w:val="28"/>
          <w:szCs w:val="28"/>
        </w:rPr>
        <w:t xml:space="preserve">3.项目联系方式</w:t>
      </w:r>
      <w:r/>
    </w:p>
    <w:p>
      <w:pPr>
        <w:pStyle w:val="703"/>
        <w:ind w:firstLine="560"/>
        <w:spacing w:before="0" w:beforeAutospacing="0" w:after="0" w:afterAutospacing="0" w:line="360" w:lineRule="auto"/>
        <w:rPr>
          <w:sz w:val="28"/>
          <w:szCs w:val="28"/>
        </w:rPr>
      </w:pPr>
      <w:r>
        <w:rPr>
          <w:rFonts w:hint="eastAsia"/>
          <w:sz w:val="28"/>
          <w:szCs w:val="28"/>
        </w:rPr>
        <w:t xml:space="preserve">项目联系人：王先生</w:t>
      </w:r>
      <w:r/>
    </w:p>
    <w:p>
      <w:pPr>
        <w:pStyle w:val="703"/>
        <w:ind w:firstLine="560"/>
        <w:spacing w:before="0" w:beforeAutospacing="0" w:after="0" w:afterAutospacing="0" w:line="360" w:lineRule="auto"/>
      </w:pPr>
      <w:r>
        <w:rPr>
          <w:rFonts w:hint="eastAsia"/>
          <w:sz w:val="28"/>
          <w:szCs w:val="28"/>
        </w:rPr>
        <w:t xml:space="preserve">电话：0513-82100351</w:t>
      </w:r>
      <w:r/>
    </w:p>
    <w:p>
      <w:pPr>
        <w:ind w:right="840"/>
        <w:rPr>
          <w:rFonts w:ascii="宋体" w:hAnsi="宋体"/>
          <w:color w:val="000000"/>
          <w:sz w:val="24"/>
          <w:szCs w:val="24"/>
        </w:rPr>
      </w:pPr>
      <w:r>
        <w:rPr>
          <w:rFonts w:ascii="宋体" w:hAnsi="宋体"/>
          <w:color w:val="000000"/>
          <w:sz w:val="24"/>
          <w:szCs w:val="24"/>
        </w:rPr>
      </w:r>
      <w:r/>
    </w:p>
    <w:p>
      <w:pPr>
        <w:ind w:firstLine="2420"/>
        <w:keepLines/>
        <w:keepNext/>
        <w:spacing w:before="260" w:after="260" w:line="416" w:lineRule="auto"/>
        <w:rPr>
          <w:rFonts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16938518"/>
      <w:r/>
      <w:bookmarkStart w:id="8" w:name="_Toc120614213"/>
      <w:r/>
      <w:bookmarkStart w:id="9" w:name="_Toc513029202"/>
      <w:r/>
      <w:bookmarkStart w:id="10" w:name="_Toc20823274"/>
      <w:r>
        <w:rPr>
          <w:rFonts w:hint="eastAsia" w:ascii="黑体" w:hAnsi="Arial" w:eastAsia="黑体" w:cs="Arial"/>
          <w:b/>
          <w:bCs/>
          <w:color w:val="000000"/>
          <w:sz w:val="44"/>
          <w:szCs w:val="44"/>
        </w:rPr>
        <w:t xml:space="preserve">投标人须知</w:t>
      </w:r>
      <w:bookmarkEnd w:id="7"/>
      <w:r/>
      <w:bookmarkEnd w:id="8"/>
      <w:r/>
      <w:bookmarkEnd w:id="9"/>
      <w:r/>
      <w:bookmarkEnd w:id="10"/>
      <w:r/>
      <w:r/>
    </w:p>
    <w:p>
      <w:pPr>
        <w:keepLines/>
        <w:keepNext/>
        <w:spacing w:line="360" w:lineRule="auto"/>
        <w:rPr>
          <w:rFonts w:ascii="宋体" w:hAnsi="宋体" w:cs="宋体"/>
          <w:b/>
          <w:bCs/>
          <w:color w:val="000000"/>
          <w:sz w:val="24"/>
          <w:szCs w:val="24"/>
        </w:rPr>
        <w:outlineLvl w:val="2"/>
      </w:pPr>
      <w:r/>
      <w:bookmarkStart w:id="11" w:name="_Toc513029203"/>
      <w:r/>
      <w:bookmarkStart w:id="12" w:name="_Toc16938519"/>
      <w:r/>
      <w:bookmarkStart w:id="13" w:name="_Toc120614214"/>
      <w:r/>
      <w:bookmarkStart w:id="14" w:name="_Toc20823275"/>
      <w:r>
        <w:rPr>
          <w:rFonts w:hint="eastAsia" w:ascii="宋体" w:hAnsi="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513029204"/>
      <w:r/>
      <w:bookmarkStart w:id="18" w:name="_Toc20823276"/>
      <w:r/>
      <w:bookmarkStart w:id="19" w:name="_Toc16938520"/>
      <w:r/>
      <w:r/>
    </w:p>
    <w:p>
      <w:pPr>
        <w:ind w:firstLine="480"/>
        <w:keepLines/>
        <w:keepNext/>
        <w:spacing w:line="360" w:lineRule="auto"/>
        <w:rPr>
          <w:rFonts w:ascii="宋体" w:hAnsi="宋体" w:cs="宋体"/>
          <w:color w:val="000000"/>
          <w:sz w:val="24"/>
          <w:szCs w:val="24"/>
        </w:rPr>
        <w:outlineLvl w:val="2"/>
      </w:pPr>
      <w:r>
        <w:rPr>
          <w:rFonts w:hint="eastAsia" w:ascii="宋体" w:hAnsi="宋体" w:cs="宋体"/>
          <w:color w:val="000000"/>
          <w:sz w:val="24"/>
          <w:szCs w:val="24"/>
        </w:rPr>
        <w:t xml:space="preserve">1</w:t>
      </w:r>
      <w:bookmarkEnd w:id="16"/>
      <w:r>
        <w:rPr>
          <w:rFonts w:hint="eastAsia" w:ascii="宋体" w:hAnsi="宋体" w:cs="宋体"/>
          <w:color w:val="000000"/>
          <w:sz w:val="24"/>
          <w:szCs w:val="24"/>
        </w:rPr>
        <w:t xml:space="preserve">、招标方式</w:t>
      </w:r>
      <w:bookmarkEnd w:id="17"/>
      <w:r/>
      <w:bookmarkEnd w:id="18"/>
      <w:r/>
      <w:bookmarkEnd w:id="1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ind w:firstLine="480"/>
        <w:keepLines/>
        <w:keepNext/>
        <w:spacing w:line="360" w:lineRule="auto"/>
        <w:rPr>
          <w:rFonts w:ascii="宋体" w:hAnsi="宋体" w:cs="宋体"/>
          <w:color w:val="000000"/>
          <w:sz w:val="24"/>
          <w:szCs w:val="24"/>
        </w:rPr>
        <w:outlineLvl w:val="3"/>
      </w:pPr>
      <w:r/>
      <w:bookmarkStart w:id="20" w:name="_Toc513029205"/>
      <w:r/>
      <w:bookmarkStart w:id="21" w:name="_Toc16938521"/>
      <w:r/>
      <w:bookmarkStart w:id="22" w:name="_Toc20823277"/>
      <w:r>
        <w:rPr>
          <w:rFonts w:hint="eastAsia" w:ascii="宋体" w:hAnsi="宋体" w:cs="宋体"/>
          <w:color w:val="000000"/>
          <w:sz w:val="24"/>
          <w:szCs w:val="24"/>
        </w:rPr>
        <w:t xml:space="preserve">2、合格的投标人</w:t>
      </w:r>
      <w:bookmarkEnd w:id="20"/>
      <w:r/>
      <w:bookmarkEnd w:id="21"/>
      <w:r/>
      <w:bookmarkEnd w:id="22"/>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满足本文件实质性要求的规定。</w:t>
      </w:r>
      <w:r/>
    </w:p>
    <w:p>
      <w:pPr>
        <w:ind w:firstLine="480"/>
        <w:keepLines/>
        <w:keepNext/>
        <w:spacing w:line="360" w:lineRule="auto"/>
        <w:rPr>
          <w:rFonts w:ascii="宋体" w:hAnsi="宋体" w:cs="宋体"/>
          <w:sz w:val="24"/>
          <w:szCs w:val="24"/>
        </w:rPr>
        <w:outlineLvl w:val="3"/>
      </w:pPr>
      <w:r/>
      <w:bookmarkStart w:id="23" w:name="_Toc20823278"/>
      <w:r/>
      <w:bookmarkStart w:id="24" w:name="_Toc16938522"/>
      <w:r/>
      <w:bookmarkStart w:id="25" w:name="_Toc513029206"/>
      <w:r>
        <w:rPr>
          <w:rFonts w:hint="eastAsia" w:ascii="宋体" w:hAnsi="宋体" w:cs="宋体"/>
          <w:sz w:val="24"/>
          <w:szCs w:val="24"/>
        </w:rPr>
        <w:t xml:space="preserve">3、适用法律</w:t>
      </w:r>
      <w:bookmarkEnd w:id="23"/>
      <w:r/>
      <w:bookmarkEnd w:id="24"/>
      <w:r/>
      <w:bookmarkEnd w:id="25"/>
      <w:r>
        <w:rPr>
          <w:rFonts w:hint="eastAsia" w:ascii="宋体" w:hAnsi="宋体" w:cs="宋体"/>
          <w:sz w:val="24"/>
          <w:szCs w:val="24"/>
        </w:rPr>
        <w:t xml:space="preserve">和标准</w:t>
      </w:r>
      <w:r/>
    </w:p>
    <w:p>
      <w:pPr>
        <w:ind w:firstLine="480"/>
        <w:spacing w:line="360" w:lineRule="auto"/>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p>
    <w:p>
      <w:pPr>
        <w:ind w:firstLine="480"/>
        <w:keepLines/>
        <w:keepNext/>
        <w:spacing w:line="360" w:lineRule="auto"/>
        <w:rPr>
          <w:rFonts w:ascii="宋体" w:hAnsi="宋体" w:cs="宋体"/>
          <w:sz w:val="24"/>
          <w:szCs w:val="24"/>
        </w:rPr>
        <w:outlineLvl w:val="3"/>
      </w:pPr>
      <w:r/>
      <w:bookmarkStart w:id="26" w:name="_Toc513029207"/>
      <w:r/>
      <w:bookmarkStart w:id="27" w:name="_Toc16938523"/>
      <w:r/>
      <w:bookmarkStart w:id="28" w:name="_Toc20823279"/>
      <w:r/>
      <w:bookmarkStart w:id="29" w:name="_Toc462564067"/>
      <w:r>
        <w:rPr>
          <w:rFonts w:hint="eastAsia" w:ascii="宋体" w:hAnsi="宋体" w:cs="宋体"/>
          <w:sz w:val="24"/>
          <w:szCs w:val="24"/>
        </w:rPr>
        <w:t xml:space="preserve">4、投标费用</w:t>
      </w:r>
      <w:bookmarkEnd w:id="26"/>
      <w:r/>
      <w:bookmarkEnd w:id="27"/>
      <w:r/>
      <w:bookmarkEnd w:id="28"/>
      <w:r/>
      <w:bookmarkEnd w:id="29"/>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4.2本次招标交易中心和采购人不收取标书工本费与中标服务费。</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5、招标文件的约束力</w:t>
      </w:r>
      <w:r/>
    </w:p>
    <w:p>
      <w:pPr>
        <w:ind w:firstLine="480"/>
        <w:spacing w:line="360" w:lineRule="auto"/>
        <w:rPr>
          <w:rFonts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p>
    <w:p>
      <w:pPr>
        <w:keepLines/>
        <w:keepNext/>
        <w:spacing w:line="360" w:lineRule="auto"/>
        <w:rPr>
          <w:rFonts w:ascii="宋体" w:hAnsi="宋体" w:cs="宋体"/>
          <w:b/>
          <w:bCs/>
          <w:color w:val="000000"/>
          <w:sz w:val="24"/>
          <w:szCs w:val="24"/>
        </w:rPr>
        <w:outlineLvl w:val="2"/>
      </w:pPr>
      <w:r/>
      <w:bookmarkStart w:id="30" w:name="_Toc120614215"/>
      <w:r/>
      <w:bookmarkStart w:id="31" w:name="_Toc16938525"/>
      <w:r/>
      <w:bookmarkStart w:id="32" w:name="_Toc20823281"/>
      <w:r/>
      <w:bookmarkStart w:id="33" w:name="_Toc513029209"/>
      <w:r>
        <w:rPr>
          <w:rFonts w:hint="eastAsia" w:ascii="宋体" w:hAnsi="宋体" w:cs="宋体"/>
          <w:b/>
          <w:bCs/>
          <w:color w:val="000000"/>
          <w:sz w:val="24"/>
          <w:szCs w:val="24"/>
        </w:rPr>
        <w:t xml:space="preserve">二、招标文件</w:t>
      </w:r>
      <w:bookmarkEnd w:id="30"/>
      <w:r/>
      <w:bookmarkEnd w:id="31"/>
      <w:r/>
      <w:bookmarkEnd w:id="32"/>
      <w:r/>
      <w:bookmarkEnd w:id="33"/>
      <w:r/>
      <w:r/>
    </w:p>
    <w:p>
      <w:pPr>
        <w:ind w:firstLine="480"/>
        <w:keepLines/>
        <w:keepNext/>
        <w:spacing w:line="360" w:lineRule="auto"/>
        <w:rPr>
          <w:rFonts w:ascii="宋体" w:hAnsi="宋体" w:cs="宋体"/>
          <w:color w:val="000000"/>
          <w:sz w:val="24"/>
          <w:szCs w:val="24"/>
        </w:rPr>
        <w:outlineLvl w:val="3"/>
      </w:pPr>
      <w:r/>
      <w:bookmarkStart w:id="34" w:name="_Toc16938526"/>
      <w:r/>
      <w:bookmarkStart w:id="35" w:name="_Toc20823282"/>
      <w:r/>
      <w:bookmarkStart w:id="36" w:name="_Toc513029210"/>
      <w:r>
        <w:rPr>
          <w:rFonts w:hint="eastAsia" w:ascii="宋体" w:hAnsi="宋体" w:cs="宋体"/>
          <w:color w:val="000000"/>
          <w:sz w:val="24"/>
          <w:szCs w:val="24"/>
        </w:rPr>
        <w:t xml:space="preserve">6、招标文件构成</w:t>
      </w:r>
      <w:bookmarkEnd w:id="34"/>
      <w:r/>
      <w:bookmarkEnd w:id="35"/>
      <w:r/>
      <w:bookmarkEnd w:id="36"/>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（1）投标邀请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（2）投标人须知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ascii="宋体" w:hAnsi="宋体" w:cs="宋体"/>
          <w:color w:val="000000"/>
          <w:sz w:val="24"/>
          <w:szCs w:val="24"/>
        </w:rPr>
        <w:outlineLvl w:val="3"/>
      </w:pPr>
      <w:r/>
      <w:bookmarkStart w:id="37" w:name="_Toc16938528"/>
      <w:r/>
      <w:bookmarkStart w:id="38" w:name="_Toc513029212"/>
      <w:r/>
      <w:bookmarkStart w:id="39" w:name="_Toc20823284"/>
      <w:r/>
      <w:bookmarkStart w:id="40" w:name="_Toc462564071"/>
      <w:r>
        <w:rPr>
          <w:rFonts w:hint="eastAsia" w:ascii="宋体" w:hAnsi="宋体" w:cs="宋体"/>
          <w:color w:val="000000"/>
          <w:sz w:val="24"/>
          <w:szCs w:val="24"/>
        </w:rPr>
        <w:t xml:space="preserve">7、招标文件的修改</w:t>
      </w:r>
      <w:bookmarkEnd w:id="37"/>
      <w:r/>
      <w:bookmarkEnd w:id="38"/>
      <w:r/>
      <w:bookmarkEnd w:id="39"/>
      <w:r/>
      <w:bookmarkEnd w:id="40"/>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p>
    <w:p>
      <w:pPr>
        <w:keepLines/>
        <w:keepNext/>
        <w:spacing w:line="360" w:lineRule="auto"/>
        <w:rPr>
          <w:rFonts w:ascii="宋体" w:hAnsi="宋体" w:cs="宋体"/>
          <w:b/>
          <w:bCs/>
          <w:color w:val="000000"/>
          <w:sz w:val="24"/>
          <w:szCs w:val="24"/>
        </w:rPr>
        <w:outlineLvl w:val="2"/>
      </w:pPr>
      <w:r/>
      <w:bookmarkStart w:id="41" w:name="_Toc513029213"/>
      <w:r/>
      <w:bookmarkStart w:id="42" w:name="_Toc462564072"/>
      <w:r/>
      <w:bookmarkStart w:id="43" w:name="_Toc20823285"/>
      <w:r/>
      <w:bookmarkStart w:id="44" w:name="_Toc120614216"/>
      <w:r/>
      <w:bookmarkStart w:id="45" w:name="_Toc16938529"/>
      <w:r>
        <w:rPr>
          <w:rFonts w:hint="eastAsia" w:ascii="宋体" w:hAnsi="宋体" w:cs="宋体"/>
          <w:b/>
          <w:bCs/>
          <w:color w:val="000000"/>
          <w:sz w:val="24"/>
          <w:szCs w:val="24"/>
        </w:rPr>
        <w:t xml:space="preserve">三、投标文件的编制</w:t>
      </w:r>
      <w:bookmarkEnd w:id="41"/>
      <w:r/>
      <w:bookmarkEnd w:id="42"/>
      <w:r/>
      <w:bookmarkEnd w:id="43"/>
      <w:r/>
      <w:bookmarkEnd w:id="44"/>
      <w:r/>
      <w:bookmarkEnd w:id="45"/>
      <w:r/>
      <w:r/>
    </w:p>
    <w:p>
      <w:pPr>
        <w:ind w:firstLine="480"/>
        <w:keepLines/>
        <w:keepNext/>
        <w:spacing w:line="360" w:lineRule="auto"/>
        <w:rPr>
          <w:rFonts w:ascii="宋体" w:hAnsi="宋体" w:cs="宋体"/>
          <w:b/>
          <w:color w:val="000000"/>
          <w:sz w:val="24"/>
          <w:szCs w:val="24"/>
        </w:rPr>
        <w:outlineLvl w:val="3"/>
      </w:pPr>
      <w:r/>
      <w:bookmarkStart w:id="46" w:name="_Toc20823286"/>
      <w:r/>
      <w:bookmarkStart w:id="47" w:name="_Toc513029214"/>
      <w:r/>
      <w:bookmarkStart w:id="48" w:name="_Toc462564073"/>
      <w:r/>
      <w:bookmarkStart w:id="49" w:name="_Toc16938530"/>
      <w:r>
        <w:rPr>
          <w:rFonts w:hint="eastAsia" w:ascii="宋体" w:hAnsi="宋体" w:cs="宋体"/>
          <w:color w:val="000000"/>
          <w:sz w:val="24"/>
          <w:szCs w:val="24"/>
        </w:rPr>
        <w:t xml:space="preserve">8、投标文件的语言及度量衡单位</w:t>
      </w:r>
      <w:bookmarkEnd w:id="46"/>
      <w:r/>
      <w:bookmarkEnd w:id="47"/>
      <w:r/>
      <w:bookmarkEnd w:id="48"/>
      <w:r/>
      <w:bookmarkEnd w:id="49"/>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p>
    <w:p>
      <w:pPr>
        <w:ind w:firstLine="480"/>
        <w:keepLines/>
        <w:keepNext/>
        <w:spacing w:line="360" w:lineRule="auto"/>
        <w:rPr>
          <w:rFonts w:ascii="宋体" w:hAnsi="宋体" w:cs="宋体"/>
          <w:color w:val="000000"/>
          <w:sz w:val="24"/>
          <w:szCs w:val="24"/>
        </w:rPr>
        <w:outlineLvl w:val="3"/>
      </w:pPr>
      <w:r/>
      <w:bookmarkStart w:id="50" w:name="_Toc20823287"/>
      <w:r/>
      <w:bookmarkStart w:id="51" w:name="_Toc513029215"/>
      <w:r/>
      <w:bookmarkStart w:id="52" w:name="_Toc16938531"/>
      <w:r/>
      <w:bookmarkStart w:id="53" w:name="_Toc462564074"/>
      <w:r>
        <w:rPr>
          <w:rFonts w:hint="eastAsia" w:ascii="宋体" w:hAnsi="宋体" w:cs="宋体"/>
          <w:color w:val="000000"/>
          <w:sz w:val="24"/>
          <w:szCs w:val="24"/>
        </w:rPr>
        <w:t xml:space="preserve">9、投标文件构成</w:t>
      </w:r>
      <w:bookmarkEnd w:id="50"/>
      <w:r/>
      <w:bookmarkEnd w:id="51"/>
      <w:r/>
      <w:bookmarkEnd w:id="52"/>
      <w:r/>
      <w:bookmarkEnd w:id="53"/>
      <w:r/>
      <w:r/>
    </w:p>
    <w:p>
      <w:pPr>
        <w:ind w:firstLine="480"/>
        <w:spacing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ascii="宋体" w:hAnsi="宋体" w:cs="宋体"/>
          <w:color w:val="000000"/>
          <w:sz w:val="24"/>
          <w:szCs w:val="24"/>
        </w:rPr>
        <w:outlineLvl w:val="3"/>
      </w:pPr>
      <w:r/>
      <w:bookmarkStart w:id="54" w:name="_Hlt26954838"/>
      <w:r/>
      <w:bookmarkEnd w:id="54"/>
      <w:r/>
      <w:bookmarkStart w:id="55" w:name="_Hlt26670360"/>
      <w:r/>
      <w:bookmarkEnd w:id="55"/>
      <w:r/>
      <w:bookmarkStart w:id="56" w:name="_Hlt26668975"/>
      <w:r/>
      <w:bookmarkEnd w:id="56"/>
      <w:r/>
      <w:bookmarkStart w:id="57" w:name="_Toc513029219"/>
      <w:r/>
      <w:bookmarkStart w:id="58" w:name="_Toc14577357"/>
      <w:r/>
      <w:bookmarkStart w:id="59" w:name="_Toc49090509"/>
      <w:r/>
      <w:bookmarkStart w:id="60" w:name="_Toc513029216"/>
      <w:r/>
      <w:bookmarkStart w:id="61" w:name="_Toc49090507"/>
      <w:r/>
      <w:bookmarkStart w:id="62" w:name="_Toc14577354"/>
      <w:r/>
      <w:bookmarkStart w:id="63" w:name="_Toc49090508"/>
      <w:r/>
      <w:bookmarkStart w:id="64" w:name="_Toc14577355"/>
      <w:r>
        <w:rPr>
          <w:rFonts w:hint="eastAsia" w:ascii="宋体" w:hAnsi="宋体" w:cs="宋体"/>
          <w:color w:val="000000"/>
          <w:sz w:val="24"/>
          <w:szCs w:val="24"/>
        </w:rPr>
        <w:t xml:space="preserve">10、证明投标人及投标标的符合招标文件规定的文件</w:t>
      </w:r>
      <w:bookmarkEnd w:id="57"/>
      <w:r/>
      <w:bookmarkEnd w:id="58"/>
      <w:r/>
      <w:bookmarkEnd w:id="59"/>
      <w:r/>
      <w:bookmarkEnd w:id="60"/>
      <w:bookmarkEnd w:id="61"/>
      <w:bookmarkEnd w:id="62"/>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10.1 投标人应按照招标文件要求提交证明文件，证明其及投标标的符合招标文件规定。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bookmarkEnd w:id="63"/>
      <w:bookmarkEnd w:id="64"/>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11、投标分项报价表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65" w:name="_Hlt26954840"/>
      <w:r/>
      <w:bookmarkEnd w:id="65"/>
      <w:r>
        <w:rPr>
          <w:rFonts w:hint="eastAsia" w:ascii="宋体" w:hAnsi="宋体" w:cs="宋体"/>
          <w:sz w:val="24"/>
          <w:szCs w:val="24"/>
        </w:rPr>
        <w:t xml:space="preserve">标人按照招标文件规定格式填报投标分项报价表</w:t>
      </w:r>
      <w:bookmarkStart w:id="66" w:name="_Hlt26670399"/>
      <w:r/>
      <w:bookmarkEnd w:id="66"/>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ind w:firstLine="480"/>
        <w:keepLines/>
        <w:keepNext/>
        <w:spacing w:line="360" w:lineRule="auto"/>
        <w:rPr>
          <w:rFonts w:ascii="宋体" w:hAnsi="宋体" w:cs="宋体"/>
          <w:sz w:val="24"/>
          <w:szCs w:val="24"/>
        </w:rPr>
        <w:outlineLvl w:val="3"/>
      </w:pPr>
      <w:r/>
      <w:bookmarkStart w:id="67" w:name="_Hlt26670482"/>
      <w:r/>
      <w:bookmarkEnd w:id="67"/>
      <w:r/>
      <w:bookmarkStart w:id="68" w:name="_Hlt26954731"/>
      <w:r/>
      <w:bookmarkEnd w:id="68"/>
      <w:r/>
      <w:bookmarkStart w:id="69" w:name="_Hlt26954848"/>
      <w:r/>
      <w:bookmarkEnd w:id="69"/>
      <w:r/>
      <w:bookmarkStart w:id="70" w:name="_Hlt26954846"/>
      <w:r/>
      <w:bookmarkEnd w:id="70"/>
      <w:r/>
      <w:bookmarkStart w:id="71" w:name="_Hlt26670486"/>
      <w:r/>
      <w:bookmarkEnd w:id="71"/>
      <w:r>
        <w:rPr>
          <w:rFonts w:hint="eastAsia" w:ascii="宋体" w:hAnsi="宋体" w:cs="宋体"/>
          <w:sz w:val="24"/>
          <w:szCs w:val="24"/>
        </w:rPr>
        <w:t xml:space="preserve">12、技术要求响应及偏离表、商务要求响应及偏离表</w:t>
      </w:r>
      <w:r/>
    </w:p>
    <w:p>
      <w:pPr>
        <w:ind w:firstLine="480"/>
        <w:spacing w:line="360" w:lineRule="auto"/>
        <w:rPr>
          <w:rFonts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p>
    <w:p>
      <w:pPr>
        <w:ind w:firstLine="480"/>
        <w:keepLines/>
        <w:keepNext/>
        <w:spacing w:line="360" w:lineRule="auto"/>
        <w:rPr>
          <w:rFonts w:ascii="宋体" w:hAnsi="宋体" w:cs="宋体"/>
          <w:sz w:val="24"/>
          <w:szCs w:val="24"/>
        </w:rPr>
        <w:outlineLvl w:val="3"/>
      </w:pPr>
      <w:r/>
      <w:bookmarkStart w:id="72" w:name="_Toc49090510"/>
      <w:r/>
      <w:bookmarkStart w:id="73" w:name="_Toc14577359"/>
      <w:r>
        <w:rPr>
          <w:rFonts w:hint="eastAsia" w:ascii="宋体" w:hAnsi="宋体" w:cs="宋体"/>
          <w:sz w:val="24"/>
          <w:szCs w:val="24"/>
        </w:rPr>
        <w:t xml:space="preserve">14、投标函和开标一览表</w:t>
      </w:r>
      <w:r/>
    </w:p>
    <w:p>
      <w:pPr>
        <w:ind w:firstLine="480"/>
        <w:spacing w:line="360" w:lineRule="auto"/>
        <w:rPr>
          <w:rFonts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bookmarkEnd w:id="73"/>
      <w:r/>
    </w:p>
    <w:p>
      <w:pPr>
        <w:ind w:firstLine="480"/>
        <w:keepLines/>
        <w:keepNext/>
        <w:spacing w:line="360" w:lineRule="auto"/>
        <w:rPr>
          <w:rFonts w:ascii="宋体" w:hAnsi="宋体" w:cs="宋体"/>
          <w:sz w:val="24"/>
          <w:szCs w:val="24"/>
        </w:rPr>
        <w:outlineLvl w:val="3"/>
      </w:pPr>
      <w:r/>
      <w:bookmarkStart w:id="74" w:name="_Toc49090511"/>
      <w:r/>
      <w:bookmarkStart w:id="75" w:name="_Toc14577360"/>
      <w:r>
        <w:rPr>
          <w:rFonts w:hint="eastAsia" w:ascii="宋体" w:hAnsi="宋体" w:cs="宋体"/>
          <w:sz w:val="24"/>
          <w:szCs w:val="24"/>
        </w:rPr>
        <w:t xml:space="preserve">15、</w:t>
      </w:r>
      <w:bookmarkStart w:id="76" w:name="OLE_LINK24"/>
      <w:r/>
      <w:bookmarkStart w:id="77" w:name="OLE_LINK23"/>
      <w:r>
        <w:rPr>
          <w:rFonts w:hint="eastAsia" w:ascii="宋体" w:hAnsi="宋体" w:cs="宋体"/>
          <w:sz w:val="24"/>
          <w:szCs w:val="24"/>
        </w:rPr>
        <w:t xml:space="preserve">投标有效期</w:t>
      </w:r>
      <w:bookmarkEnd w:id="74"/>
      <w:r/>
      <w:bookmarkEnd w:id="75"/>
      <w:r/>
      <w:bookmarkEnd w:id="76"/>
      <w:r/>
      <w:bookmarkEnd w:id="77"/>
      <w:r/>
      <w:r/>
    </w:p>
    <w:p>
      <w:pPr>
        <w:ind w:firstLine="480"/>
        <w:spacing w:line="360" w:lineRule="auto"/>
        <w:rPr>
          <w:rFonts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16、投标有效期的延长</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keepLines/>
        <w:keepNext/>
        <w:spacing w:line="360" w:lineRule="auto"/>
        <w:rPr>
          <w:rFonts w:ascii="宋体" w:hAnsi="宋体" w:cs="宋体"/>
          <w:b/>
          <w:bCs/>
          <w:sz w:val="24"/>
          <w:szCs w:val="24"/>
        </w:rPr>
        <w:outlineLvl w:val="2"/>
      </w:pPr>
      <w:r/>
      <w:bookmarkStart w:id="78" w:name="_Hlt26954739"/>
      <w:r/>
      <w:bookmarkEnd w:id="78"/>
      <w:r/>
      <w:bookmarkStart w:id="79" w:name="_Hlt26954852"/>
      <w:r/>
      <w:bookmarkEnd w:id="79"/>
      <w:r/>
      <w:bookmarkStart w:id="80" w:name="_Toc120614217"/>
      <w:r/>
      <w:bookmarkStart w:id="81" w:name="_Toc16938540"/>
      <w:r/>
      <w:bookmarkStart w:id="82" w:name="_Toc20823296"/>
      <w:r/>
      <w:bookmarkStart w:id="83" w:name="_Toc513029224"/>
      <w:r>
        <w:rPr>
          <w:rFonts w:hint="eastAsia" w:ascii="宋体" w:hAnsi="宋体" w:cs="宋体"/>
          <w:b/>
          <w:bCs/>
          <w:sz w:val="24"/>
          <w:szCs w:val="24"/>
        </w:rPr>
        <w:t xml:space="preserve">四、投标文件的递交</w:t>
      </w:r>
      <w:bookmarkEnd w:id="80"/>
      <w:r/>
      <w:bookmarkEnd w:id="81"/>
      <w:r/>
      <w:bookmarkEnd w:id="82"/>
      <w:r/>
      <w:bookmarkEnd w:id="83"/>
      <w:r/>
      <w:r/>
    </w:p>
    <w:p>
      <w:pPr>
        <w:ind w:firstLine="480"/>
        <w:keepLines/>
        <w:keepNext/>
        <w:spacing w:line="360" w:lineRule="auto"/>
        <w:rPr>
          <w:rFonts w:ascii="宋体" w:hAnsi="宋体" w:cs="宋体"/>
          <w:sz w:val="24"/>
          <w:szCs w:val="24"/>
        </w:rPr>
        <w:outlineLvl w:val="3"/>
      </w:pPr>
      <w:r/>
      <w:bookmarkStart w:id="84" w:name="_Toc16938541"/>
      <w:r/>
      <w:bookmarkStart w:id="85" w:name="_Toc513029225"/>
      <w:r/>
      <w:bookmarkStart w:id="86" w:name="_Toc20823297"/>
      <w:r/>
      <w:bookmarkStart w:id="87" w:name="_Toc462564084"/>
      <w:r>
        <w:rPr>
          <w:rFonts w:hint="eastAsia" w:ascii="宋体" w:hAnsi="宋体" w:cs="宋体"/>
          <w:sz w:val="24"/>
          <w:szCs w:val="24"/>
        </w:rPr>
        <w:t xml:space="preserve">17、电子投标文件</w:t>
      </w:r>
      <w:bookmarkEnd w:id="84"/>
      <w:r/>
      <w:bookmarkEnd w:id="85"/>
      <w:r/>
      <w:bookmarkEnd w:id="86"/>
      <w:r/>
      <w:bookmarkEnd w:id="87"/>
      <w:r>
        <w:rPr>
          <w:rFonts w:hint="eastAsia" w:ascii="宋体" w:hAnsi="宋体" w:cs="宋体"/>
          <w:sz w:val="24"/>
          <w:szCs w:val="24"/>
        </w:rPr>
        <w:t xml:space="preserve">的递交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88" w:name="_Toc513029226"/>
      <w:r/>
      <w:bookmarkStart w:id="89" w:name="_Toc20823298"/>
      <w:r/>
      <w:bookmarkStart w:id="90" w:name="_Toc16938542"/>
      <w:r/>
      <w:r/>
    </w:p>
    <w:p>
      <w:pPr>
        <w:ind w:firstLine="480"/>
        <w:keepLines/>
        <w:keepNext/>
        <w:spacing w:line="360" w:lineRule="auto"/>
        <w:rPr>
          <w:rFonts w:ascii="宋体" w:hAnsi="宋体" w:cs="宋体"/>
          <w:bCs/>
          <w:sz w:val="24"/>
          <w:szCs w:val="24"/>
        </w:rPr>
        <w:outlineLvl w:val="3"/>
      </w:pPr>
      <w:r>
        <w:rPr>
          <w:rFonts w:hint="eastAsia" w:ascii="宋体" w:hAnsi="宋体" w:cs="宋体"/>
          <w:bCs/>
          <w:sz w:val="24"/>
          <w:szCs w:val="24"/>
        </w:rPr>
        <w:t xml:space="preserve">18、投标截止日期</w:t>
      </w:r>
      <w:bookmarkEnd w:id="88"/>
      <w:r/>
      <w:bookmarkEnd w:id="89"/>
      <w:r/>
      <w:bookmarkEnd w:id="90"/>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ascii="宋体" w:hAnsi="宋体" w:cs="宋体"/>
          <w:color w:val="000000"/>
          <w:sz w:val="24"/>
          <w:szCs w:val="24"/>
        </w:rPr>
        <w:outlineLvl w:val="3"/>
      </w:pPr>
      <w:r/>
      <w:bookmarkStart w:id="91" w:name="_Toc20823299"/>
      <w:r/>
      <w:bookmarkStart w:id="92" w:name="_Toc16938543"/>
      <w:r/>
      <w:bookmarkStart w:id="93" w:name="_Toc513029227"/>
      <w:r>
        <w:rPr>
          <w:rFonts w:hint="eastAsia" w:ascii="宋体" w:hAnsi="宋体" w:cs="宋体"/>
          <w:color w:val="000000"/>
          <w:sz w:val="24"/>
          <w:szCs w:val="24"/>
        </w:rPr>
        <w:t xml:space="preserve">19、投标文件</w:t>
      </w:r>
      <w:bookmarkEnd w:id="91"/>
      <w:r/>
      <w:bookmarkEnd w:id="92"/>
      <w:r/>
      <w:bookmarkEnd w:id="93"/>
      <w:r>
        <w:rPr>
          <w:rFonts w:hint="eastAsia" w:ascii="宋体" w:hAnsi="宋体" w:cs="宋体"/>
          <w:color w:val="000000"/>
          <w:sz w:val="24"/>
          <w:szCs w:val="24"/>
        </w:rPr>
        <w:t xml:space="preserve">的拒收</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p>
    <w:p>
      <w:pPr>
        <w:ind w:firstLine="480"/>
        <w:keepLines/>
        <w:keepNext/>
        <w:spacing w:line="360" w:lineRule="auto"/>
        <w:rPr>
          <w:rFonts w:ascii="宋体" w:hAnsi="宋体" w:cs="宋体"/>
          <w:color w:val="000000"/>
          <w:sz w:val="24"/>
          <w:szCs w:val="24"/>
        </w:rPr>
        <w:outlineLvl w:val="3"/>
      </w:pPr>
      <w:r/>
      <w:bookmarkStart w:id="94" w:name="_Toc16938544"/>
      <w:r/>
      <w:bookmarkStart w:id="95" w:name="_Toc20823300"/>
      <w:r/>
      <w:bookmarkStart w:id="96" w:name="_Toc513029228"/>
      <w:r>
        <w:rPr>
          <w:rFonts w:hint="eastAsia" w:ascii="宋体" w:hAnsi="宋体" w:cs="宋体"/>
          <w:color w:val="000000"/>
          <w:sz w:val="24"/>
          <w:szCs w:val="24"/>
        </w:rPr>
        <w:t xml:space="preserve">20、投标文件的撤回和修改</w:t>
      </w:r>
      <w:bookmarkEnd w:id="94"/>
      <w:r/>
      <w:bookmarkEnd w:id="95"/>
      <w:r/>
      <w:bookmarkEnd w:id="96"/>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 投标文件的撤回</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20.1.1 电子投标文件的撤回</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20.2 投标文件的修改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p>
    <w:p>
      <w:pPr>
        <w:keepLines/>
        <w:keepNext/>
        <w:spacing w:line="360" w:lineRule="auto"/>
        <w:rPr>
          <w:rFonts w:ascii="宋体" w:hAnsi="宋体" w:cs="宋体"/>
          <w:b/>
          <w:bCs/>
          <w:color w:val="000000"/>
          <w:sz w:val="24"/>
          <w:szCs w:val="24"/>
        </w:rPr>
        <w:outlineLvl w:val="2"/>
      </w:pPr>
      <w:r/>
      <w:bookmarkStart w:id="97" w:name="_Toc16938545"/>
      <w:r/>
      <w:bookmarkStart w:id="98" w:name="_Toc20823301"/>
      <w:r/>
      <w:bookmarkStart w:id="99" w:name="_Toc513029229"/>
      <w:r/>
      <w:bookmarkStart w:id="100" w:name="_Toc120614218"/>
      <w:r>
        <w:rPr>
          <w:rFonts w:hint="eastAsia" w:ascii="宋体" w:hAnsi="宋体" w:cs="宋体"/>
          <w:b/>
          <w:bCs/>
          <w:color w:val="000000"/>
          <w:sz w:val="24"/>
          <w:szCs w:val="24"/>
        </w:rPr>
        <w:t xml:space="preserve">五、开标与评标</w:t>
      </w:r>
      <w:bookmarkEnd w:id="97"/>
      <w:r/>
      <w:bookmarkEnd w:id="98"/>
      <w:r/>
      <w:bookmarkEnd w:id="99"/>
      <w:r/>
      <w:bookmarkEnd w:id="100"/>
      <w:r/>
      <w:r/>
    </w:p>
    <w:p>
      <w:pPr>
        <w:ind w:firstLine="480"/>
        <w:keepLines/>
        <w:keepNext/>
        <w:spacing w:line="360" w:lineRule="auto"/>
        <w:rPr>
          <w:rFonts w:ascii="宋体" w:hAnsi="宋体" w:cs="宋体"/>
          <w:color w:val="000000"/>
          <w:sz w:val="24"/>
          <w:szCs w:val="24"/>
        </w:rPr>
        <w:outlineLvl w:val="3"/>
      </w:pPr>
      <w:r/>
      <w:bookmarkStart w:id="101" w:name="_Toc20823302"/>
      <w:r/>
      <w:bookmarkStart w:id="102" w:name="_Toc16938546"/>
      <w:r/>
      <w:bookmarkStart w:id="103" w:name="_Toc513029230"/>
      <w:r>
        <w:rPr>
          <w:rFonts w:hint="eastAsia" w:ascii="宋体" w:hAnsi="宋体" w:cs="宋体"/>
          <w:color w:val="000000"/>
          <w:sz w:val="24"/>
          <w:szCs w:val="24"/>
        </w:rPr>
        <w:t xml:space="preserve">21、开标</w:t>
      </w:r>
      <w:bookmarkEnd w:id="101"/>
      <w:r/>
      <w:bookmarkEnd w:id="102"/>
      <w:r/>
      <w:bookmarkEnd w:id="103"/>
      <w:r/>
      <w:r/>
    </w:p>
    <w:p>
      <w:pPr>
        <w:ind w:firstLine="480"/>
        <w:spacing w:line="360" w:lineRule="auto"/>
        <w:rPr>
          <w:rFonts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ascii="宋体" w:hAnsi="宋体" w:cs="宋体"/>
          <w:sz w:val="24"/>
          <w:szCs w:val="24"/>
        </w:rPr>
        <w:outlineLvl w:val="3"/>
      </w:pPr>
      <w:r/>
      <w:bookmarkStart w:id="104" w:name="_Toc16938547"/>
      <w:r/>
      <w:bookmarkStart w:id="105" w:name="_Toc513029231"/>
      <w:r/>
      <w:bookmarkStart w:id="106" w:name="_Toc20823303"/>
      <w:r>
        <w:rPr>
          <w:rFonts w:hint="eastAsia" w:ascii="宋体" w:hAnsi="宋体" w:cs="宋体"/>
          <w:sz w:val="24"/>
          <w:szCs w:val="24"/>
        </w:rPr>
        <w:t xml:space="preserve">22、评标委员会</w:t>
      </w:r>
      <w:r/>
    </w:p>
    <w:p>
      <w:pPr>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23、评标过程的保密与公正</w:t>
      </w:r>
      <w:bookmarkEnd w:id="104"/>
      <w:bookmarkEnd w:id="105"/>
      <w:bookmarkEnd w:id="106"/>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ascii="宋体" w:hAnsi="宋体" w:cs="宋体"/>
          <w:color w:val="000000"/>
          <w:sz w:val="24"/>
          <w:szCs w:val="24"/>
        </w:rPr>
        <w:outlineLvl w:val="3"/>
      </w:pPr>
      <w:r/>
      <w:bookmarkStart w:id="107" w:name="_Toc16938548"/>
      <w:r/>
      <w:bookmarkStart w:id="108" w:name="_Toc20823304"/>
      <w:r/>
      <w:bookmarkStart w:id="109" w:name="_Toc513029232"/>
      <w:r>
        <w:rPr>
          <w:rFonts w:hint="eastAsia" w:ascii="宋体" w:hAnsi="宋体" w:cs="宋体"/>
          <w:color w:val="000000"/>
          <w:sz w:val="24"/>
          <w:szCs w:val="24"/>
        </w:rPr>
        <w:t xml:space="preserve">24、投标文件的澄清</w:t>
      </w:r>
      <w:bookmarkEnd w:id="107"/>
      <w:r/>
      <w:bookmarkEnd w:id="108"/>
      <w:r/>
      <w:bookmarkEnd w:id="109"/>
      <w:r/>
      <w:r/>
    </w:p>
    <w:p>
      <w:pPr>
        <w:ind w:firstLine="480"/>
        <w:spacing w:line="360" w:lineRule="auto"/>
        <w:rPr>
          <w:rFonts w:ascii="宋体" w:hAnsi="宋体" w:cs="宋体"/>
          <w:color w:val="000000"/>
          <w:sz w:val="24"/>
          <w:szCs w:val="24"/>
        </w:rPr>
      </w:pPr>
      <w:r/>
      <w:bookmarkStart w:id="110" w:name="_Toc16938549"/>
      <w:r/>
      <w:bookmarkStart w:id="111" w:name="_Toc513029233"/>
      <w:r/>
      <w:bookmarkStart w:id="112" w:name="_Toc20823305"/>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0"/>
      <w:r/>
      <w:bookmarkEnd w:id="111"/>
      <w:r/>
      <w:bookmarkEnd w:id="112"/>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ascii="宋体" w:hAnsi="宋体" w:cs="宋体"/>
          <w:color w:val="000000"/>
          <w:sz w:val="24"/>
          <w:szCs w:val="24"/>
        </w:rPr>
      </w:pPr>
      <w:r/>
      <w:bookmarkStart w:id="113" w:name="_Toc16938550"/>
      <w:r/>
      <w:bookmarkStart w:id="114" w:name="_Toc513029234"/>
      <w:r/>
      <w:bookmarkStart w:id="115"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p>
    <w:p>
      <w:pPr>
        <w:ind w:firstLine="480"/>
        <w:spacing w:line="360" w:lineRule="auto"/>
      </w:pPr>
      <w:r>
        <w:rPr>
          <w:rFonts w:ascii="宋体" w:hAnsi="宋体" w:cs="宋体"/>
          <w:sz w:val="24"/>
          <w:szCs w:val="24"/>
        </w:rPr>
        <w:t xml:space="preserve">25.8 异常低价投标审查</w:t>
      </w:r>
      <w:r>
        <w:rPr>
          <w:rFonts w:ascii="宋体" w:hAnsi="宋体" w:cs="宋体"/>
          <w:sz w:val="24"/>
          <w:szCs w:val="24"/>
        </w:rPr>
      </w:r>
    </w:p>
    <w:p>
      <w:pPr>
        <w:ind w:firstLine="480"/>
        <w:spacing w:line="360" w:lineRule="auto"/>
      </w:pPr>
      <w:r>
        <w:rPr>
          <w:rFonts w:ascii="宋体" w:hAnsi="宋体" w:cs="宋体"/>
          <w:sz w:val="24"/>
          <w:szCs w:val="24"/>
        </w:rPr>
        <w:t xml:space="preserve">25.8.1 评标过程中出现下列情形之一的，评标委员会应当启动异常低价投标审查程序：</w:t>
      </w:r>
      <w:r>
        <w:rPr>
          <w:rFonts w:ascii="宋体" w:hAnsi="宋体" w:cs="宋体"/>
          <w:sz w:val="24"/>
          <w:szCs w:val="24"/>
        </w:rPr>
      </w:r>
    </w:p>
    <w:p>
      <w:pPr>
        <w:ind w:firstLine="480"/>
        <w:spacing w:line="360" w:lineRule="auto"/>
      </w:pPr>
      <w:r>
        <w:rPr>
          <w:rFonts w:ascii="宋体" w:hAnsi="宋体" w:cs="宋体"/>
          <w:sz w:val="24"/>
          <w:szCs w:val="24"/>
        </w:rPr>
        <w:t xml:space="preserve">（1）投标（响应）报价低于全部通过符合性审查供应商投标（响应）报价平均值50%的，即投标（响应）报价&lt;全部通过符合性审查供应商投标（响应）报价平均值×50%；</w:t>
      </w:r>
      <w:r>
        <w:rPr>
          <w:rFonts w:ascii="宋体" w:hAnsi="宋体" w:cs="宋体"/>
          <w:sz w:val="24"/>
          <w:szCs w:val="24"/>
        </w:rPr>
      </w:r>
    </w:p>
    <w:p>
      <w:pPr>
        <w:ind w:firstLine="480"/>
        <w:spacing w:line="360" w:lineRule="auto"/>
      </w:pPr>
      <w:r>
        <w:rPr>
          <w:rFonts w:ascii="宋体" w:hAnsi="宋体" w:cs="宋体"/>
          <w:sz w:val="24"/>
          <w:szCs w:val="24"/>
        </w:rPr>
        <w:t xml:space="preserve">（2）投标（响应）报价低于通过符合性审查的次低报价供应商投标（响应）报价50%的，即投标（响应）报价&lt;通过符合性审查的次低报价供应商投标（响应）报价×50%；</w:t>
      </w:r>
      <w:r>
        <w:rPr>
          <w:rFonts w:ascii="宋体" w:hAnsi="宋体" w:cs="宋体"/>
          <w:sz w:val="24"/>
          <w:szCs w:val="24"/>
        </w:rPr>
      </w:r>
    </w:p>
    <w:p>
      <w:pPr>
        <w:ind w:firstLine="480"/>
        <w:spacing w:line="360" w:lineRule="auto"/>
      </w:pPr>
      <w:r>
        <w:rPr>
          <w:rFonts w:ascii="宋体" w:hAnsi="宋体" w:cs="宋体"/>
          <w:sz w:val="24"/>
          <w:szCs w:val="24"/>
        </w:rPr>
        <w:t xml:space="preserve">（3）投标（响应）报价低于采购项目最高限价45%的，即投标（响应）报价&lt;采购项目最高限价×45%；</w:t>
      </w:r>
      <w:r>
        <w:rPr>
          <w:rFonts w:ascii="宋体" w:hAnsi="宋体" w:cs="宋体"/>
          <w:sz w:val="24"/>
          <w:szCs w:val="24"/>
        </w:rPr>
      </w:r>
    </w:p>
    <w:p>
      <w:pPr>
        <w:ind w:firstLine="480"/>
        <w:spacing w:line="360" w:lineRule="auto"/>
      </w:pPr>
      <w:r>
        <w:rPr>
          <w:rFonts w:ascii="宋体" w:hAnsi="宋体" w:cs="宋体"/>
          <w:sz w:val="24"/>
          <w:szCs w:val="24"/>
        </w:rPr>
        <w:t xml:space="preserve">（4）评标委员会基于专业判断，认为供应商报价过低，有可能影响产品质量或者不能诚信履约的其他情形。</w:t>
      </w:r>
      <w:r>
        <w:rPr>
          <w:rFonts w:ascii="宋体" w:hAnsi="宋体" w:cs="宋体"/>
          <w:sz w:val="24"/>
          <w:szCs w:val="24"/>
        </w:rPr>
      </w:r>
    </w:p>
    <w:p>
      <w:pPr>
        <w:ind w:firstLine="480"/>
        <w:spacing w:line="360" w:lineRule="auto"/>
      </w:pPr>
      <w:r>
        <w:rPr>
          <w:rFonts w:ascii="宋体" w:hAnsi="宋体" w:cs="宋体"/>
          <w:sz w:val="24"/>
          <w:szCs w:val="24"/>
        </w:rPr>
        <w:t xml:space="preserve">25.8.2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sz w:val="24"/>
          <w:szCs w:val="24"/>
        </w:rPr>
      </w:r>
    </w:p>
    <w:p>
      <w:pPr>
        <w:ind w:firstLine="480"/>
        <w:spacing w:line="360" w:lineRule="auto"/>
      </w:pPr>
      <w:r>
        <w:rPr>
          <w:rFonts w:ascii="宋体" w:hAnsi="宋体" w:cs="宋体"/>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宋体" w:hAnsi="宋体" w:cs="宋体"/>
          <w:sz w:val="24"/>
          <w:szCs w:val="24"/>
        </w:rPr>
      </w:r>
    </w:p>
    <w:p>
      <w:pPr>
        <w:ind w:firstLine="480"/>
        <w:spacing w:line="360" w:lineRule="auto"/>
      </w:pPr>
      <w:r>
        <w:rPr>
          <w:rFonts w:ascii="宋体" w:hAnsi="宋体" w:cs="宋体"/>
          <w:sz w:val="24"/>
          <w:szCs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sz w:val="24"/>
          <w:szCs w:val="24"/>
        </w:rPr>
      </w:r>
    </w:p>
    <w:p>
      <w:pPr>
        <w:ind w:firstLine="480"/>
        <w:spacing w:line="360" w:lineRule="auto"/>
        <w:rPr>
          <w:rFonts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sz w:val="24"/>
          <w:szCs w:val="24"/>
        </w:rPr>
      </w:r>
      <w:r>
        <w:rPr>
          <w:rFonts w:ascii="宋体" w:hAnsi="宋体" w:cs="宋体"/>
          <w:sz w:val="24"/>
          <w:szCs w:val="24"/>
        </w:rPr>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26、</w:t>
      </w:r>
      <w:bookmarkEnd w:id="113"/>
      <w:r/>
      <w:bookmarkEnd w:id="114"/>
      <w:r/>
      <w:bookmarkEnd w:id="115"/>
      <w:r>
        <w:rPr>
          <w:rFonts w:hint="eastAsia" w:ascii="宋体" w:hAnsi="宋体" w:cs="宋体"/>
          <w:sz w:val="24"/>
          <w:szCs w:val="24"/>
        </w:rPr>
        <w:t xml:space="preserve">无效投标条款和废标条款</w:t>
      </w:r>
      <w:r/>
    </w:p>
    <w:p>
      <w:pPr>
        <w:ind w:firstLine="480"/>
        <w:spacing w:line="360" w:lineRule="auto"/>
        <w:rPr>
          <w:rFonts w:ascii="宋体" w:hAnsi="宋体" w:cs="宋体"/>
          <w:bCs/>
          <w:sz w:val="24"/>
          <w:szCs w:val="24"/>
        </w:rPr>
      </w:pPr>
      <w:r/>
      <w:bookmarkStart w:id="116" w:name="_Toc513029235"/>
      <w:r/>
      <w:bookmarkStart w:id="117" w:name="_Toc16938551"/>
      <w:r/>
      <w:bookmarkStart w:id="118" w:name="_Toc20823307"/>
      <w:r>
        <w:rPr>
          <w:rFonts w:hint="eastAsia" w:ascii="宋体" w:hAnsi="宋体" w:cs="宋体"/>
          <w:bCs/>
          <w:sz w:val="24"/>
          <w:szCs w:val="24"/>
        </w:rPr>
        <w:t xml:space="preserve">26.1无效投标条款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ind w:firstLine="48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ind w:firstLine="48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ind w:firstLine="480"/>
        <w:spacing w:line="360" w:lineRule="auto"/>
        <w:rPr>
          <w:rFonts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26.1.14其他法律、法规及本招标文件规定的属无效投标的情形。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26.2废标条款 </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ind w:firstLine="480"/>
        <w:spacing w:line="360" w:lineRule="auto"/>
        <w:rPr>
          <w:rFonts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ascii="宋体" w:hAnsi="宋体" w:cs="宋体"/>
          <w:b/>
          <w:bCs/>
          <w:color w:val="000000"/>
          <w:sz w:val="24"/>
          <w:szCs w:val="24"/>
        </w:rPr>
        <w:outlineLvl w:val="2"/>
      </w:pPr>
      <w:r/>
      <w:bookmarkStart w:id="119" w:name="_Toc120614219"/>
      <w:r>
        <w:rPr>
          <w:rFonts w:hint="eastAsia" w:ascii="宋体" w:hAnsi="宋体" w:cs="宋体"/>
          <w:b/>
          <w:bCs/>
          <w:color w:val="000000"/>
          <w:sz w:val="24"/>
          <w:szCs w:val="24"/>
        </w:rPr>
        <w:t xml:space="preserve">六、</w:t>
      </w:r>
      <w:bookmarkEnd w:id="116"/>
      <w:r/>
      <w:bookmarkEnd w:id="117"/>
      <w:r/>
      <w:bookmarkEnd w:id="118"/>
      <w:r>
        <w:rPr>
          <w:rFonts w:hint="eastAsia" w:ascii="宋体" w:hAnsi="宋体" w:cs="宋体"/>
          <w:b/>
          <w:bCs/>
          <w:color w:val="000000"/>
          <w:sz w:val="24"/>
          <w:szCs w:val="24"/>
        </w:rPr>
        <w:t xml:space="preserve">定标</w:t>
      </w:r>
      <w:bookmarkEnd w:id="119"/>
      <w:r/>
      <w:r/>
    </w:p>
    <w:p>
      <w:pPr>
        <w:ind w:firstLine="480"/>
        <w:keepLines/>
        <w:keepNext/>
        <w:spacing w:line="360" w:lineRule="auto"/>
        <w:rPr>
          <w:rFonts w:ascii="宋体" w:hAnsi="宋体" w:cs="宋体"/>
          <w:bCs/>
          <w:color w:val="000000"/>
          <w:sz w:val="24"/>
          <w:szCs w:val="24"/>
        </w:rPr>
        <w:outlineLvl w:val="3"/>
      </w:pPr>
      <w:r/>
      <w:bookmarkStart w:id="120" w:name="_Toc513029238"/>
      <w:r/>
      <w:bookmarkStart w:id="121" w:name="_Toc20823310"/>
      <w:r/>
      <w:bookmarkStart w:id="122" w:name="_Toc16938554"/>
      <w:r>
        <w:rPr>
          <w:rFonts w:hint="eastAsia" w:ascii="宋体" w:hAnsi="宋体" w:cs="宋体"/>
          <w:bCs/>
          <w:color w:val="000000"/>
          <w:sz w:val="24"/>
          <w:szCs w:val="24"/>
        </w:rPr>
        <w:t xml:space="preserve">27、</w:t>
      </w:r>
      <w:bookmarkEnd w:id="120"/>
      <w:r>
        <w:rPr>
          <w:rFonts w:hint="eastAsia" w:ascii="宋体" w:hAnsi="宋体" w:cs="宋体"/>
          <w:bCs/>
          <w:color w:val="000000"/>
          <w:sz w:val="24"/>
          <w:szCs w:val="24"/>
        </w:rPr>
        <w:t xml:space="preserve">确定</w:t>
      </w:r>
      <w:bookmarkEnd w:id="121"/>
      <w:r/>
      <w:bookmarkEnd w:id="122"/>
      <w:r>
        <w:rPr>
          <w:rFonts w:hint="eastAsia" w:ascii="宋体" w:hAnsi="宋体" w:cs="宋体"/>
          <w:bCs/>
          <w:color w:val="000000"/>
          <w:sz w:val="24"/>
          <w:szCs w:val="24"/>
        </w:rPr>
        <w:t xml:space="preserve">中标单位</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27.4.1提供虚假材料谋取中标的。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p>
    <w:p>
      <w:pPr>
        <w:ind w:firstLine="480"/>
        <w:spacing w:line="360" w:lineRule="auto"/>
        <w:rPr>
          <w:rFonts w:ascii="宋体" w:hAnsi="宋体" w:cs="宋体"/>
          <w:color w:val="000000"/>
          <w:sz w:val="24"/>
          <w:szCs w:val="24"/>
        </w:rPr>
      </w:pPr>
      <w:r/>
      <w:bookmarkStart w:id="123" w:name="_Toc200451960"/>
      <w:r>
        <w:rPr>
          <w:rFonts w:hint="eastAsia" w:ascii="宋体" w:hAnsi="宋体" w:cs="宋体"/>
          <w:color w:val="000000"/>
          <w:sz w:val="24"/>
          <w:szCs w:val="24"/>
        </w:rPr>
        <w:t xml:space="preserve">27.5 有下列情形之一的，视为投标人串通投标，投标无效：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28、质疑处理</w:t>
      </w:r>
      <w:bookmarkEnd w:id="123"/>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28.2.2对采购过程提出质疑的，为各采购程序环节结束之日；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28.2.3对中标或者成交结果提出质疑的，为中标或者成交结果公告期限届满之日。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 以下情形的质疑不予受理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28.5.2 超出政府采购法定期限的质疑。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29、中标通知书</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cs="宋体"/>
          <w:sz w:val="24"/>
          <w:szCs w:val="24"/>
        </w:rPr>
      </w:pPr>
      <w:r/>
      <w:bookmarkStart w:id="124" w:name="_Toc120614220"/>
      <w:r/>
      <w:bookmarkStart w:id="125" w:name="_Toc16938552"/>
      <w:r/>
      <w:bookmarkStart w:id="126" w:name="_Toc20823308"/>
      <w:r/>
      <w:bookmarkStart w:id="127" w:name="_Toc513029236"/>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4"/>
      <w:r/>
      <w:bookmarkEnd w:id="125"/>
      <w:bookmarkEnd w:id="126"/>
      <w:bookmarkEnd w:id="127"/>
      <w:r/>
    </w:p>
    <w:p>
      <w:pPr>
        <w:ind w:firstLine="480"/>
        <w:keepLines/>
        <w:keepNext/>
        <w:spacing w:line="360" w:lineRule="auto"/>
        <w:rPr>
          <w:rFonts w:ascii="宋体" w:hAnsi="宋体" w:cs="宋体"/>
          <w:bCs/>
          <w:color w:val="000000"/>
          <w:sz w:val="24"/>
          <w:szCs w:val="24"/>
        </w:rPr>
        <w:outlineLvl w:val="3"/>
      </w:pPr>
      <w:r/>
      <w:bookmarkStart w:id="128" w:name="_Toc16938553"/>
      <w:r/>
      <w:bookmarkStart w:id="129" w:name="_Toc513029237"/>
      <w:r/>
      <w:bookmarkStart w:id="130" w:name="_Toc20823309"/>
      <w:r>
        <w:rPr>
          <w:rFonts w:hint="eastAsia" w:ascii="宋体" w:hAnsi="宋体" w:cs="宋体"/>
          <w:bCs/>
          <w:color w:val="000000"/>
          <w:sz w:val="24"/>
          <w:szCs w:val="24"/>
        </w:rPr>
        <w:t xml:space="preserve">30、签订合同</w:t>
      </w:r>
      <w:r/>
    </w:p>
    <w:p>
      <w:pPr>
        <w:ind w:firstLine="480"/>
        <w:keepLines/>
        <w:keepNext/>
        <w:spacing w:line="360" w:lineRule="auto"/>
        <w:rPr>
          <w:rFonts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8"/>
      <w:bookmarkEnd w:id="129"/>
      <w:bookmarkEnd w:id="130"/>
      <w:r/>
    </w:p>
    <w:p>
      <w:pPr>
        <w:ind w:firstLine="480"/>
        <w:keepLines/>
        <w:keepNext/>
        <w:spacing w:line="360" w:lineRule="auto"/>
        <w:rPr>
          <w:rFonts w:ascii="宋体" w:hAnsi="宋体" w:cs="宋体"/>
          <w:bCs/>
          <w:color w:val="000000"/>
          <w:sz w:val="24"/>
          <w:szCs w:val="24"/>
        </w:rPr>
        <w:outlineLvl w:val="3"/>
      </w:pPr>
      <w:r/>
      <w:bookmarkStart w:id="131" w:name="_Toc120614221"/>
      <w:r/>
      <w:bookmarkStart w:id="132" w:name="_Toc20823314"/>
      <w:r/>
      <w:bookmarkStart w:id="133" w:name="_Toc16938558"/>
      <w:r/>
      <w:bookmarkStart w:id="134" w:name="_Toc513029242"/>
      <w:r/>
      <w:bookmarkStart w:id="135" w:name="_Toc479757207"/>
      <w:r>
        <w:rPr>
          <w:rFonts w:hint="eastAsia" w:ascii="宋体" w:hAnsi="宋体" w:cs="宋体"/>
          <w:bCs/>
          <w:color w:val="000000"/>
          <w:sz w:val="24"/>
          <w:szCs w:val="24"/>
        </w:rPr>
        <w:t xml:space="preserve">32、政府采购履约资金扶持政策</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31"/>
      <w:r/>
      <w:bookmarkEnd w:id="132"/>
      <w:r/>
      <w:bookmarkEnd w:id="133"/>
      <w:r/>
      <w:bookmarkEnd w:id="134"/>
      <w:r/>
      <w:bookmarkEnd w:id="135"/>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6" w:name="_Toc16938559"/>
      <w:r/>
      <w:bookmarkStart w:id="137" w:name="_Toc20823315"/>
      <w:r/>
      <w:bookmarkStart w:id="138" w:name="_Toc3995"/>
      <w:r/>
      <w:bookmarkStart w:id="139" w:name="_Toc513029243"/>
      <w:r/>
      <w:bookmarkStart w:id="140" w:name="_Hlt16619350"/>
      <w:r/>
      <w:bookmarkStart w:id="141" w:name="_Toc16938590"/>
      <w:r/>
      <w:bookmarkStart w:id="142" w:name="_Toc120614244"/>
      <w:r/>
      <w:bookmarkStart w:id="143" w:name="_Toc20823346"/>
      <w:r/>
      <w:bookmarkStart w:id="144" w:name="_Toc479757211"/>
      <w:r/>
      <w:bookmarkStart w:id="145" w:name="_Toc462564139"/>
      <w:r/>
      <w:r/>
    </w:p>
    <w:p>
      <w:pPr>
        <w:jc w:val="center"/>
        <w:spacing w:line="360" w:lineRule="auto"/>
        <w:rPr>
          <w:rFonts w:ascii="黑体" w:hAnsi="黑体" w:eastAsia="黑体" w:cs="黑体"/>
          <w:b/>
          <w:sz w:val="52"/>
          <w:szCs w:val="52"/>
        </w:rPr>
      </w:pPr>
      <w:r>
        <w:rPr>
          <w:rFonts w:ascii="黑体" w:hAnsi="黑体" w:eastAsia="黑体" w:cs="黑体"/>
          <w:b/>
          <w:sz w:val="52"/>
          <w:szCs w:val="52"/>
        </w:rPr>
      </w:r>
      <w:r/>
    </w:p>
    <w:p>
      <w:pPr>
        <w:jc w:val="center"/>
        <w:spacing w:line="360" w:lineRule="auto"/>
        <w:rPr>
          <w:rFonts w:ascii="黑体" w:hAnsi="黑体" w:eastAsia="黑体" w:cs="黑体"/>
          <w:b/>
          <w:sz w:val="52"/>
          <w:szCs w:val="52"/>
        </w:rPr>
      </w:pPr>
      <w:r>
        <w:rPr>
          <w:rFonts w:hint="eastAsia" w:ascii="黑体" w:hAnsi="黑体" w:eastAsia="黑体" w:cs="黑体"/>
          <w:b/>
          <w:sz w:val="52"/>
          <w:szCs w:val="52"/>
        </w:rPr>
        <w:t xml:space="preserve">南通市海门区中医院</w:t>
      </w:r>
      <w:r/>
    </w:p>
    <w:p>
      <w:pPr>
        <w:jc w:val="center"/>
        <w:spacing w:line="360" w:lineRule="auto"/>
        <w:rPr>
          <w:rFonts w:ascii="黑体" w:hAnsi="黑体" w:eastAsia="黑体" w:cs="黑体"/>
          <w:b/>
          <w:sz w:val="52"/>
          <w:szCs w:val="52"/>
        </w:rPr>
      </w:pPr>
      <w:r>
        <w:rPr>
          <w:rFonts w:hint="eastAsia" w:ascii="黑体" w:hAnsi="黑体" w:eastAsia="黑体" w:cs="黑体"/>
          <w:b/>
          <w:sz w:val="52"/>
          <w:szCs w:val="52"/>
        </w:rPr>
        <w:t xml:space="preserve">合同</w:t>
      </w:r>
      <w:r/>
    </w:p>
    <w:p>
      <w:pPr>
        <w:spacing w:line="360" w:lineRule="auto"/>
        <w:rPr>
          <w:rFonts w:ascii="宋体" w:hAnsi="宋体"/>
          <w:szCs w:val="21"/>
          <w:u w:val="single"/>
        </w:rPr>
      </w:pPr>
      <w:r>
        <w:rPr>
          <w:rFonts w:hint="eastAsia" w:ascii="宋体" w:hAnsi="宋体"/>
          <w:szCs w:val="21"/>
        </w:rPr>
        <w:t xml:space="preserve">              </w:t>
      </w:r>
      <w:r/>
    </w:p>
    <w:p>
      <w:pP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jc w:val="left"/>
        <w:spacing w:line="360" w:lineRule="auto"/>
        <w:rPr>
          <w:rFonts w:ascii="宋体" w:hAnsi="宋体"/>
          <w:b/>
          <w:szCs w:val="21"/>
        </w:rPr>
      </w:pPr>
      <w:r>
        <w:rPr>
          <w:rFonts w:ascii="宋体" w:hAnsi="宋体"/>
          <w:b/>
          <w:szCs w:val="21"/>
        </w:rPr>
      </w:r>
      <w:r/>
    </w:p>
    <w:p>
      <w:pPr>
        <w:ind w:firstLine="2249"/>
        <w:jc w:val="left"/>
        <w:spacing w:line="360" w:lineRule="auto"/>
        <w:rPr>
          <w:rFonts w:ascii="宋体" w:hAnsi="宋体"/>
          <w:b/>
          <w:sz w:val="28"/>
          <w:szCs w:val="28"/>
        </w:rPr>
      </w:pPr>
      <w:r>
        <w:rPr>
          <w:rFonts w:ascii="宋体" w:hAnsi="宋体"/>
          <w:b/>
          <w:sz w:val="28"/>
          <w:szCs w:val="28"/>
        </w:rPr>
      </w:r>
      <w:r/>
    </w:p>
    <w:p>
      <w:pPr>
        <w:ind w:firstLine="2249"/>
        <w:jc w:val="left"/>
        <w:spacing w:line="360" w:lineRule="auto"/>
        <w:rPr>
          <w:rFonts w:ascii="宋体" w:hAnsi="宋体"/>
          <w:b/>
          <w:sz w:val="28"/>
          <w:szCs w:val="28"/>
        </w:rPr>
      </w:pPr>
      <w:r>
        <w:rPr>
          <w:rFonts w:hint="eastAsia" w:ascii="宋体" w:hAnsi="宋体"/>
          <w:b/>
          <w:sz w:val="28"/>
          <w:szCs w:val="28"/>
        </w:rPr>
        <w:t xml:space="preserve">甲方：南通市海门区中医院</w:t>
      </w:r>
      <w:r/>
    </w:p>
    <w:p>
      <w:pPr>
        <w:ind w:firstLine="2249"/>
        <w:jc w:val="left"/>
        <w:spacing w:line="360" w:lineRule="auto"/>
        <w:rPr>
          <w:rFonts w:ascii="宋体" w:hAnsi="宋体"/>
          <w:b/>
          <w:sz w:val="28"/>
          <w:szCs w:val="28"/>
        </w:rPr>
      </w:pPr>
      <w:r>
        <w:rPr>
          <w:rFonts w:hint="eastAsia" w:ascii="宋体" w:hAnsi="宋体"/>
          <w:b/>
          <w:sz w:val="28"/>
          <w:szCs w:val="28"/>
        </w:rPr>
        <w:t xml:space="preserve">乙方： </w:t>
      </w:r>
      <w:r/>
    </w:p>
    <w:p>
      <w:pPr>
        <w:jc w:val="left"/>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u w:val="single"/>
        </w:rPr>
      </w:pPr>
      <w:r/>
      <w:bookmarkStart w:id="146" w:name="签署年份"/>
      <w:r/>
      <w:r/>
    </w:p>
    <w:p>
      <w:pPr>
        <w:jc w:val="center"/>
        <w:spacing w:line="360" w:lineRule="auto"/>
        <w:rPr>
          <w:rFonts w:ascii="宋体" w:hAnsi="宋体"/>
          <w:b/>
          <w:sz w:val="28"/>
          <w:szCs w:val="28"/>
          <w:u w:val="single"/>
        </w:rPr>
      </w:pPr>
      <w:r>
        <w:rPr>
          <w:rFonts w:ascii="宋体" w:hAnsi="宋体"/>
          <w:b/>
          <w:sz w:val="28"/>
          <w:szCs w:val="28"/>
          <w:u w:val="single"/>
        </w:rPr>
      </w:r>
      <w:r/>
    </w:p>
    <w:p>
      <w:pPr>
        <w:jc w:val="center"/>
        <w:spacing w:line="360" w:lineRule="auto"/>
        <w:rPr>
          <w:rFonts w:ascii="宋体" w:hAnsi="宋体"/>
          <w:b/>
          <w:sz w:val="28"/>
          <w:szCs w:val="28"/>
          <w:u w:val="single"/>
        </w:rPr>
      </w:pPr>
      <w:r>
        <w:rPr>
          <w:rFonts w:hint="eastAsia" w:ascii="宋体" w:hAnsi="宋体"/>
          <w:b/>
          <w:sz w:val="28"/>
          <w:szCs w:val="28"/>
          <w:u w:val="single"/>
        </w:rPr>
        <w:t xml:space="preserve">202</w:t>
      </w:r>
      <w:bookmarkEnd w:id="146"/>
      <w:r>
        <w:rPr>
          <w:rFonts w:hint="eastAsia" w:ascii="宋体" w:hAnsi="宋体"/>
          <w:b/>
          <w:sz w:val="28"/>
          <w:szCs w:val="28"/>
          <w:u w:val="single"/>
        </w:rPr>
        <w:t xml:space="preserve">6</w:t>
      </w:r>
      <w:r>
        <w:rPr>
          <w:rFonts w:hint="eastAsia" w:ascii="宋体" w:hAnsi="宋体"/>
          <w:b/>
          <w:sz w:val="28"/>
          <w:szCs w:val="28"/>
        </w:rPr>
        <w:t xml:space="preserve">年</w:t>
      </w:r>
      <w:bookmarkStart w:id="147" w:name="签署月份"/>
      <w:r>
        <w:rPr>
          <w:rFonts w:hint="eastAsia" w:ascii="宋体" w:hAnsi="宋体"/>
          <w:b/>
          <w:sz w:val="28"/>
          <w:szCs w:val="28"/>
          <w:u w:val="single"/>
        </w:rPr>
        <w:t xml:space="preserve"> </w:t>
      </w:r>
      <w:bookmarkEnd w:id="147"/>
      <w:r>
        <w:rPr>
          <w:rFonts w:ascii="宋体" w:hAnsi="宋体"/>
          <w:b/>
          <w:sz w:val="28"/>
          <w:szCs w:val="28"/>
          <w:u w:val="single"/>
        </w:rPr>
        <w:t xml:space="preserve"> </w:t>
      </w:r>
      <w:r>
        <w:rPr>
          <w:rFonts w:hint="eastAsia" w:ascii="宋体" w:hAnsi="宋体"/>
          <w:b/>
          <w:sz w:val="28"/>
          <w:szCs w:val="28"/>
          <w:u w:val="single"/>
        </w:rPr>
        <w:t xml:space="preserve"> </w:t>
      </w:r>
      <w:r>
        <w:rPr>
          <w:rFonts w:hint="eastAsia" w:ascii="宋体" w:hAnsi="宋体"/>
          <w:b/>
          <w:sz w:val="28"/>
          <w:szCs w:val="28"/>
        </w:rPr>
        <w:t xml:space="preserve">月</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rPr>
        <w:t xml:space="preserve">日</w:t>
      </w:r>
      <w:r/>
    </w:p>
    <w:p>
      <w:pPr>
        <w:spacing w:line="420" w:lineRule="exact"/>
        <w:rPr>
          <w:rFonts w:ascii="宋体" w:hAnsi="宋体"/>
          <w:b/>
          <w:sz w:val="28"/>
          <w:szCs w:val="28"/>
          <w:u w:val="single"/>
        </w:rPr>
      </w:pPr>
      <w:r>
        <w:rPr>
          <w:rFonts w:ascii="宋体" w:hAnsi="宋体"/>
          <w:b/>
          <w:sz w:val="28"/>
          <w:szCs w:val="28"/>
          <w:u w:val="single"/>
        </w:rPr>
      </w:r>
      <w:r/>
    </w:p>
    <w:p>
      <w:pPr>
        <w:pStyle w:val="933"/>
      </w:pPr>
      <w:r/>
      <w:r/>
    </w:p>
    <w:p>
      <w:pPr>
        <w:pStyle w:val="932"/>
      </w:pPr>
      <w:r/>
      <w:r/>
    </w:p>
    <w:p>
      <w:pPr>
        <w:pStyle w:val="932"/>
      </w:pPr>
      <w:r/>
      <w:r/>
    </w:p>
    <w:p>
      <w:pPr>
        <w:spacing w:line="420" w:lineRule="exact"/>
        <w:rPr>
          <w:szCs w:val="21"/>
        </w:rPr>
      </w:pPr>
      <w:r>
        <w:rPr>
          <w:rFonts w:hint="eastAsia"/>
          <w:szCs w:val="21"/>
        </w:rPr>
        <w:t xml:space="preserve">甲方：</w:t>
      </w:r>
      <w:r>
        <w:rPr>
          <w:rFonts w:hint="eastAsia" w:ascii="宋体" w:hAnsi="宋体" w:cs="宋体"/>
        </w:rPr>
        <w:t xml:space="preserve">南通市海门区中医院</w:t>
      </w:r>
      <w:r/>
    </w:p>
    <w:p>
      <w:pPr>
        <w:spacing w:line="420" w:lineRule="exact"/>
        <w:rPr>
          <w:szCs w:val="21"/>
        </w:rPr>
      </w:pPr>
      <w:r>
        <w:rPr>
          <w:rFonts w:hint="eastAsia"/>
          <w:szCs w:val="21"/>
        </w:rPr>
        <w:t xml:space="preserve">乙方：********* </w:t>
      </w:r>
      <w:r/>
    </w:p>
    <w:p>
      <w:pPr>
        <w:ind w:firstLine="420"/>
        <w:spacing w:line="420" w:lineRule="exact"/>
        <w:rPr>
          <w:szCs w:val="21"/>
        </w:rPr>
      </w:pPr>
      <w:r>
        <w:rPr>
          <w:szCs w:val="21"/>
        </w:rPr>
        <w:t xml:space="preserve">根据《</w:t>
      </w:r>
      <w:r>
        <w:rPr>
          <w:rFonts w:hint="eastAsia"/>
          <w:szCs w:val="21"/>
        </w:rPr>
        <w:t xml:space="preserve">中华人民共和国民法典</w:t>
      </w:r>
      <w:r>
        <w:rPr>
          <w:szCs w:val="21"/>
        </w:rPr>
        <w:t xml:space="preserve">》有关规定，为明确采购单位（甲方）和供应单位（</w:t>
      </w:r>
      <w:r>
        <w:rPr>
          <w:rFonts w:hint="eastAsia"/>
          <w:szCs w:val="21"/>
        </w:rPr>
        <w:t xml:space="preserve">乙</w:t>
      </w:r>
      <w:r>
        <w:rPr>
          <w:szCs w:val="21"/>
        </w:rPr>
        <w:t xml:space="preserve">方）购销过程中的权利、义务和经济责任，经双方友好协商，签订以下条款，共同遵守。</w:t>
      </w:r>
      <w:r/>
    </w:p>
    <w:p>
      <w:pPr>
        <w:numPr>
          <w:ilvl w:val="0"/>
          <w:numId w:val="4"/>
        </w:numPr>
        <w:spacing w:line="420" w:lineRule="exact"/>
        <w:rPr>
          <w:b/>
          <w:bCs/>
          <w:szCs w:val="21"/>
        </w:rPr>
      </w:pPr>
      <w:r>
        <w:rPr>
          <w:rFonts w:hint="eastAsia"/>
          <w:b/>
          <w:bCs/>
          <w:szCs w:val="21"/>
        </w:rPr>
        <w:t xml:space="preserve">购销内容（详细参数见附件）：                               单位：元</w:t>
      </w:r>
      <w:r/>
    </w:p>
    <w:tbl>
      <w:tblPr>
        <w:tblStyle w:val="671"/>
        <w:tblW w:w="9087" w:type="dxa"/>
        <w:jc w:val="center"/>
        <w:tblLayout w:type="fixed"/>
        <w:tblCellMar>
          <w:left w:w="108" w:type="dxa"/>
          <w:top w:w="0" w:type="dxa"/>
          <w:right w:w="108" w:type="dxa"/>
          <w:bottom w:w="0" w:type="dxa"/>
        </w:tblCellMar>
        <w:tblLook w:val="04A0" w:firstRow="1" w:lastRow="0" w:firstColumn="1" w:lastColumn="0" w:noHBand="0" w:noVBand="1"/>
      </w:tblPr>
      <w:tblGrid>
        <w:gridCol w:w="1940"/>
        <w:gridCol w:w="1196"/>
        <w:gridCol w:w="1788"/>
        <w:gridCol w:w="844"/>
        <w:gridCol w:w="900"/>
        <w:gridCol w:w="1170"/>
        <w:gridCol w:w="1249"/>
      </w:tblGrid>
      <w:tr>
        <w:trPr>
          <w:cantSplit/>
          <w:jc w:val="center"/>
        </w:trPr>
        <w:tc>
          <w:tcPr>
            <w:tcBorders>
              <w:top w:val="single" w:color="000000" w:sz="6" w:space="0"/>
              <w:left w:val="single" w:color="000000" w:sz="6" w:space="0"/>
              <w:bottom w:val="single" w:color="000000" w:sz="6" w:space="0"/>
              <w:right w:val="single" w:color="000000" w:sz="6" w:space="0"/>
            </w:tcBorders>
            <w:tcW w:w="1940" w:type="dxa"/>
            <w:textDirection w:val="lrTb"/>
            <w:noWrap w:val="false"/>
          </w:tcPr>
          <w:p>
            <w:pPr>
              <w:jc w:val="center"/>
              <w:spacing w:after="60"/>
              <w:rPr>
                <w:rFonts w:ascii="宋体" w:hAnsi="宋体"/>
                <w:b/>
                <w:bCs/>
              </w:rPr>
            </w:pPr>
            <w:r>
              <w:rPr>
                <w:rFonts w:hint="eastAsia" w:ascii="宋体" w:hAnsi="宋体"/>
                <w:b/>
                <w:bCs/>
              </w:rPr>
              <w:t xml:space="preserve">货物名称</w:t>
            </w:r>
            <w:r/>
          </w:p>
        </w:tc>
        <w:tc>
          <w:tcPr>
            <w:tcBorders>
              <w:top w:val="single" w:color="000000" w:sz="6" w:space="0"/>
              <w:left w:val="single" w:color="000000" w:sz="6" w:space="0"/>
              <w:bottom w:val="single" w:color="000000" w:sz="6" w:space="0"/>
              <w:right w:val="single" w:color="000000" w:sz="6" w:space="0"/>
            </w:tcBorders>
            <w:tcW w:w="1196" w:type="dxa"/>
            <w:textDirection w:val="lrTb"/>
            <w:noWrap w:val="false"/>
          </w:tcPr>
          <w:p>
            <w:pPr>
              <w:jc w:val="center"/>
              <w:spacing w:after="60"/>
              <w:rPr>
                <w:rFonts w:ascii="宋体" w:hAnsi="宋体"/>
                <w:b/>
                <w:bCs/>
              </w:rPr>
            </w:pPr>
            <w:r>
              <w:rPr>
                <w:rFonts w:hint="eastAsia" w:ascii="宋体" w:hAnsi="宋体"/>
                <w:b/>
                <w:bCs/>
              </w:rPr>
              <w:t xml:space="preserve">货物标准</w:t>
            </w:r>
            <w:r/>
          </w:p>
        </w:tc>
        <w:tc>
          <w:tcPr>
            <w:tcBorders>
              <w:top w:val="single" w:color="000000" w:sz="6" w:space="0"/>
              <w:left w:val="single" w:color="000000" w:sz="6" w:space="0"/>
              <w:bottom w:val="single" w:color="000000" w:sz="6" w:space="0"/>
              <w:right w:val="single" w:color="000000" w:sz="6" w:space="0"/>
            </w:tcBorders>
            <w:tcW w:w="1788" w:type="dxa"/>
            <w:textDirection w:val="lrTb"/>
            <w:noWrap w:val="false"/>
          </w:tcPr>
          <w:p>
            <w:pPr>
              <w:jc w:val="center"/>
              <w:spacing w:after="60"/>
              <w:rPr>
                <w:rFonts w:ascii="宋体" w:hAnsi="宋体"/>
                <w:b/>
                <w:bCs/>
              </w:rPr>
            </w:pPr>
            <w:r>
              <w:rPr>
                <w:rFonts w:hint="eastAsia" w:ascii="宋体" w:hAnsi="宋体"/>
                <w:b/>
                <w:bCs/>
              </w:rPr>
              <w:t xml:space="preserve">生产厂家/产地</w:t>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jc w:val="center"/>
              <w:spacing w:after="60"/>
              <w:rPr>
                <w:rFonts w:ascii="宋体" w:hAnsi="宋体"/>
                <w:b/>
                <w:bCs/>
              </w:rPr>
            </w:pPr>
            <w:r>
              <w:rPr>
                <w:rFonts w:hint="eastAsia" w:ascii="宋体" w:hAnsi="宋体"/>
                <w:b/>
                <w:bCs/>
              </w:rPr>
              <w:t xml:space="preserve">数量</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after="60"/>
              <w:rPr>
                <w:rFonts w:ascii="宋体" w:hAnsi="宋体"/>
                <w:b/>
                <w:bCs/>
              </w:rPr>
            </w:pPr>
            <w:r>
              <w:rPr>
                <w:rFonts w:hint="eastAsia" w:ascii="宋体" w:hAnsi="宋体"/>
                <w:b/>
                <w:bCs/>
              </w:rPr>
              <w:t xml:space="preserve">单位</w:t>
            </w:r>
            <w:r/>
          </w:p>
        </w:tc>
        <w:tc>
          <w:tcPr>
            <w:tcBorders>
              <w:top w:val="single" w:color="000000" w:sz="6" w:space="0"/>
              <w:left w:val="single" w:color="000000" w:sz="6" w:space="0"/>
              <w:bottom w:val="single" w:color="000000" w:sz="6" w:space="0"/>
              <w:right w:val="single" w:color="000000" w:sz="6" w:space="0"/>
            </w:tcBorders>
            <w:tcW w:w="1170" w:type="dxa"/>
            <w:textDirection w:val="lrTb"/>
            <w:noWrap w:val="false"/>
          </w:tcPr>
          <w:p>
            <w:pPr>
              <w:jc w:val="center"/>
              <w:spacing w:after="60"/>
              <w:rPr>
                <w:rFonts w:ascii="宋体" w:hAnsi="宋体"/>
                <w:b/>
                <w:bCs/>
              </w:rPr>
            </w:pPr>
            <w:r>
              <w:rPr>
                <w:rFonts w:hint="eastAsia" w:ascii="宋体" w:hAnsi="宋体"/>
                <w:b/>
                <w:bCs/>
              </w:rPr>
              <w:t xml:space="preserve">单价</w:t>
            </w:r>
            <w:r/>
          </w:p>
        </w:tc>
        <w:tc>
          <w:tcPr>
            <w:tcBorders>
              <w:top w:val="single" w:color="000000" w:sz="6" w:space="0"/>
              <w:left w:val="single" w:color="000000" w:sz="6" w:space="0"/>
              <w:bottom w:val="single" w:color="000000" w:sz="6" w:space="0"/>
              <w:right w:val="single" w:color="000000" w:sz="6" w:space="0"/>
            </w:tcBorders>
            <w:tcW w:w="1249" w:type="dxa"/>
            <w:textDirection w:val="lrTb"/>
            <w:noWrap w:val="false"/>
          </w:tcPr>
          <w:p>
            <w:pPr>
              <w:jc w:val="center"/>
              <w:spacing w:after="60"/>
              <w:rPr>
                <w:rFonts w:ascii="宋体" w:hAnsi="宋体"/>
                <w:b/>
                <w:bCs/>
              </w:rPr>
            </w:pPr>
            <w:r>
              <w:rPr>
                <w:rFonts w:hint="eastAsia" w:ascii="宋体" w:hAnsi="宋体"/>
                <w:b/>
                <w:bCs/>
              </w:rPr>
              <w:t xml:space="preserve">总价</w:t>
            </w:r>
            <w:r/>
          </w:p>
        </w:tc>
      </w:tr>
      <w:tr>
        <w:trPr>
          <w:cantSplit/>
          <w:jc w:val="center"/>
        </w:trPr>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jc w:val="center"/>
              <w:spacing w:after="60"/>
              <w:rPr>
                <w:rFonts w:ascii="宋体" w:hAnsi="宋体" w:cs="宋体"/>
                <w:b/>
                <w:bCs/>
                <w:szCs w:val="21"/>
              </w:rPr>
            </w:pPr>
            <w:r>
              <w:rPr>
                <w:rFonts w:hint="eastAsia"/>
                <w:szCs w:val="21"/>
              </w:rPr>
              <w:t xml:space="preserve">*********</w:t>
            </w:r>
            <w:r/>
          </w:p>
        </w:tc>
        <w:tc>
          <w:tcPr>
            <w:tcBorders>
              <w:top w:val="single" w:color="000000" w:sz="6" w:space="0"/>
              <w:left w:val="single" w:color="000000" w:sz="6" w:space="0"/>
              <w:bottom w:val="single" w:color="000000" w:sz="6" w:space="0"/>
              <w:right w:val="single" w:color="000000" w:sz="6" w:space="0"/>
            </w:tcBorders>
            <w:tcW w:w="1196" w:type="dxa"/>
            <w:vAlign w:val="center"/>
            <w:textDirection w:val="lrTb"/>
            <w:noWrap w:val="false"/>
          </w:tcPr>
          <w:p>
            <w:pPr>
              <w:jc w:val="center"/>
              <w:spacing w:after="60"/>
              <w:rPr>
                <w:rFonts w:ascii="宋体" w:hAnsi="宋体"/>
                <w:b/>
                <w:bCs/>
              </w:rPr>
            </w:pPr>
            <w:r>
              <w:rPr>
                <w:rFonts w:hint="eastAsia" w:ascii="宋体" w:hAnsi="宋体"/>
                <w:b/>
                <w:bCs/>
              </w:rPr>
              <w:t xml:space="preserve">详见招标要求</w:t>
            </w:r>
            <w:r/>
          </w:p>
        </w:tc>
        <w:tc>
          <w:tcPr>
            <w:tcBorders>
              <w:top w:val="single" w:color="000000" w:sz="6" w:space="0"/>
              <w:left w:val="single" w:color="000000" w:sz="6" w:space="0"/>
              <w:bottom w:val="single" w:color="000000" w:sz="6" w:space="0"/>
              <w:right w:val="single" w:color="000000" w:sz="6" w:space="0"/>
            </w:tcBorders>
            <w:tcW w:w="1788" w:type="dxa"/>
            <w:vAlign w:val="center"/>
            <w:textDirection w:val="lrTb"/>
            <w:noWrap w:val="false"/>
          </w:tcPr>
          <w:p>
            <w:pPr>
              <w:jc w:val="center"/>
              <w:spacing w:after="60"/>
              <w:rPr>
                <w:rFonts w:ascii="宋体" w:hAnsi="宋体"/>
                <w:b/>
                <w:bCs/>
              </w:rPr>
            </w:pPr>
            <w:r>
              <w:rPr>
                <w:rFonts w:hint="eastAsia"/>
                <w:szCs w:val="21"/>
              </w:rPr>
              <w:t xml:space="preserve">*********</w:t>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after="60"/>
              <w:rPr>
                <w:rFonts w:ascii="宋体" w:hAnsi="宋体"/>
                <w:b/>
                <w:bCs/>
              </w:rPr>
            </w:pPr>
            <w:r>
              <w:rPr>
                <w:rFonts w:hint="eastAsia" w:ascii="宋体" w:hAnsi="宋体"/>
                <w:b/>
                <w:bCs/>
              </w:rPr>
              <w:t xml:space="preserve">*</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after="60"/>
              <w:rPr>
                <w:rFonts w:ascii="宋体" w:hAnsi="宋体"/>
                <w:b/>
                <w:bCs/>
              </w:rPr>
            </w:pPr>
            <w:r>
              <w:rPr>
                <w:rFonts w:hint="eastAsia" w:ascii="宋体" w:hAnsi="宋体"/>
                <w:b/>
                <w:bCs/>
              </w:rPr>
              <w:t xml:space="preserve">*</w:t>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jc w:val="center"/>
              <w:spacing w:after="60"/>
              <w:rPr>
                <w:rFonts w:ascii="宋体" w:hAnsi="宋体"/>
                <w:b/>
                <w:bCs/>
              </w:rPr>
            </w:pPr>
            <w:r>
              <w:rPr>
                <w:rFonts w:hint="eastAsia" w:ascii="宋体" w:hAnsi="宋体"/>
                <w:b/>
                <w:bCs/>
              </w:rPr>
              <w:t xml:space="preserve">***</w:t>
            </w:r>
            <w:r/>
          </w:p>
        </w:tc>
        <w:tc>
          <w:tcPr>
            <w:tcBorders>
              <w:top w:val="single" w:color="000000" w:sz="6" w:space="0"/>
              <w:left w:val="single" w:color="000000" w:sz="6" w:space="0"/>
              <w:bottom w:val="single" w:color="000000" w:sz="6" w:space="0"/>
              <w:right w:val="single" w:color="000000" w:sz="6" w:space="0"/>
            </w:tcBorders>
            <w:tcW w:w="1249" w:type="dxa"/>
            <w:vAlign w:val="center"/>
            <w:textDirection w:val="lrTb"/>
            <w:noWrap w:val="false"/>
          </w:tcPr>
          <w:p>
            <w:pPr>
              <w:jc w:val="center"/>
              <w:spacing w:after="60"/>
              <w:rPr>
                <w:rFonts w:ascii="宋体" w:hAnsi="宋体"/>
                <w:b/>
                <w:bCs/>
              </w:rPr>
            </w:pPr>
            <w:r>
              <w:rPr>
                <w:rFonts w:hint="eastAsia" w:ascii="宋体" w:hAnsi="宋体"/>
                <w:b/>
                <w:bCs/>
              </w:rPr>
              <w:t xml:space="preserve">***</w:t>
            </w:r>
            <w:r/>
          </w:p>
        </w:tc>
      </w:tr>
      <w:tr>
        <w:trPr>
          <w:cantSplit/>
          <w:jc w:val="center"/>
          <w:trHeight w:val="429"/>
        </w:trPr>
        <w:tc>
          <w:tcPr>
            <w:gridSpan w:val="7"/>
            <w:tcBorders>
              <w:top w:val="single" w:color="000000" w:sz="6" w:space="0"/>
              <w:left w:val="single" w:color="000000" w:sz="6" w:space="0"/>
              <w:bottom w:val="single" w:color="000000" w:sz="6" w:space="0"/>
              <w:right w:val="single" w:color="000000" w:sz="6" w:space="0"/>
            </w:tcBorders>
            <w:tcW w:w="9087" w:type="dxa"/>
            <w:textDirection w:val="lrTb"/>
            <w:noWrap w:val="false"/>
          </w:tcPr>
          <w:p>
            <w:pPr>
              <w:spacing w:after="60"/>
              <w:rPr>
                <w:rFonts w:ascii="宋体" w:hAnsi="宋体"/>
                <w:b/>
                <w:bCs/>
              </w:rPr>
            </w:pPr>
            <w:r>
              <w:rPr>
                <w:rFonts w:hint="eastAsia" w:ascii="宋体" w:hAnsi="宋体"/>
                <w:b/>
                <w:bCs/>
              </w:rPr>
              <w:t xml:space="preserve">总金额</w:t>
            </w:r>
            <w:r>
              <w:rPr>
                <w:rFonts w:ascii="宋体" w:hAnsi="宋体"/>
                <w:b/>
                <w:bCs/>
              </w:rPr>
              <w:t xml:space="preserve">(</w:t>
            </w:r>
            <w:r>
              <w:rPr>
                <w:rFonts w:hint="eastAsia" w:ascii="宋体" w:hAnsi="宋体"/>
                <w:b/>
                <w:bCs/>
              </w:rPr>
              <w:t xml:space="preserve">人民币</w:t>
            </w:r>
            <w:r>
              <w:rPr>
                <w:rFonts w:ascii="宋体" w:hAnsi="宋体"/>
                <w:b/>
                <w:bCs/>
              </w:rPr>
              <w:t xml:space="preserve">):</w:t>
            </w:r>
            <w:r>
              <w:rPr>
                <w:rFonts w:hint="eastAsia"/>
                <w:szCs w:val="21"/>
              </w:rPr>
              <w:t xml:space="preserve"> *********</w:t>
            </w:r>
            <w:r/>
          </w:p>
        </w:tc>
      </w:tr>
    </w:tbl>
    <w:p>
      <w:pPr>
        <w:ind w:left="360"/>
        <w:spacing w:line="420" w:lineRule="exact"/>
        <w:rPr>
          <w:b/>
          <w:bCs/>
          <w:szCs w:val="21"/>
        </w:rPr>
      </w:pPr>
      <w:r>
        <w:rPr>
          <w:rFonts w:hint="eastAsia"/>
          <w:b/>
          <w:bCs/>
          <w:szCs w:val="21"/>
        </w:rPr>
        <w:t xml:space="preserve">上述费用包含：安装调试费、施工费、培训费、售后服务费、税费。软件维保*年。</w:t>
      </w:r>
      <w:r/>
    </w:p>
    <w:p>
      <w:pPr>
        <w:spacing w:line="420" w:lineRule="exact"/>
        <w:rPr>
          <w:b/>
          <w:bCs/>
          <w:szCs w:val="21"/>
        </w:rPr>
      </w:pPr>
      <w:r>
        <w:rPr>
          <w:rFonts w:hint="eastAsia"/>
          <w:b/>
          <w:bCs/>
          <w:szCs w:val="21"/>
        </w:rPr>
        <w:t xml:space="preserve">2、价格与支付</w:t>
      </w:r>
      <w:r>
        <w:rPr>
          <w:b/>
          <w:bCs/>
          <w:szCs w:val="21"/>
        </w:rPr>
        <w:t xml:space="preserve">：</w:t>
      </w:r>
      <w:r/>
    </w:p>
    <w:p>
      <w:pPr>
        <w:ind w:left="735" w:hanging="420"/>
        <w:spacing w:line="420" w:lineRule="exact"/>
        <w:rPr>
          <w:szCs w:val="21"/>
        </w:rPr>
      </w:pPr>
      <w:r>
        <w:rPr>
          <w:szCs w:val="21"/>
        </w:rPr>
        <w:t xml:space="preserve">2.1</w:t>
      </w:r>
      <w:r>
        <w:rPr>
          <w:rFonts w:hint="eastAsia"/>
          <w:szCs w:val="21"/>
        </w:rPr>
        <w:t xml:space="preserve">合同含税总金额为人民币（大写）：</w:t>
      </w:r>
      <w:r>
        <w:rPr>
          <w:rFonts w:hint="eastAsia"/>
          <w:szCs w:val="21"/>
          <w:u w:val="single"/>
        </w:rPr>
        <w:t xml:space="preserve">*********</w:t>
      </w:r>
      <w:r>
        <w:rPr>
          <w:rFonts w:hint="eastAsia"/>
          <w:szCs w:val="21"/>
        </w:rPr>
        <w:t xml:space="preserve">，包括所有运输、运杂、保险、税金、安装、调试、售后服务费用。</w:t>
      </w:r>
      <w:r/>
    </w:p>
    <w:p>
      <w:pPr>
        <w:ind w:left="735" w:hanging="420"/>
        <w:spacing w:line="420" w:lineRule="exact"/>
        <w:rPr>
          <w:szCs w:val="21"/>
        </w:rPr>
      </w:pPr>
      <w:r>
        <w:rPr>
          <w:rFonts w:hint="eastAsia"/>
          <w:szCs w:val="21"/>
        </w:rPr>
        <w:t xml:space="preserve">2.</w:t>
      </w:r>
      <w:r>
        <w:rPr>
          <w:szCs w:val="21"/>
        </w:rPr>
        <w:t xml:space="preserve">2</w:t>
      </w:r>
      <w:r>
        <w:rPr>
          <w:rFonts w:hint="eastAsia"/>
          <w:szCs w:val="21"/>
        </w:rPr>
        <w:t xml:space="preserve">付款方式：验收合格后一年内支付合同总价的90%，余款验收合格满一年后付清。</w:t>
      </w:r>
      <w:r/>
    </w:p>
    <w:p>
      <w:pPr>
        <w:ind w:left="735" w:hanging="420"/>
        <w:spacing w:line="420" w:lineRule="exact"/>
        <w:rPr>
          <w:szCs w:val="21"/>
        </w:rPr>
      </w:pPr>
      <w:r>
        <w:rPr>
          <w:szCs w:val="21"/>
        </w:rPr>
        <w:t xml:space="preserve">2.3</w:t>
      </w:r>
      <w:r>
        <w:rPr>
          <w:rFonts w:hint="eastAsia"/>
          <w:szCs w:val="21"/>
        </w:rPr>
        <w:t xml:space="preserve">付款方式：银行转账</w:t>
      </w:r>
      <w:r/>
    </w:p>
    <w:p>
      <w:pPr>
        <w:ind w:firstLine="1575"/>
        <w:spacing w:line="420" w:lineRule="exact"/>
        <w:rPr>
          <w:szCs w:val="21"/>
        </w:rPr>
      </w:pPr>
      <w:r>
        <w:rPr>
          <w:rFonts w:hint="eastAsia"/>
          <w:szCs w:val="21"/>
        </w:rPr>
        <w:t xml:space="preserve">名　称：</w:t>
      </w:r>
      <w:r>
        <w:rPr>
          <w:rFonts w:hint="eastAsia"/>
          <w:szCs w:val="21"/>
          <w:u w:val="single"/>
        </w:rPr>
        <w:t xml:space="preserve">*********</w:t>
      </w:r>
      <w:r/>
    </w:p>
    <w:p>
      <w:pPr>
        <w:ind w:firstLine="1575"/>
        <w:spacing w:line="420" w:lineRule="exact"/>
        <w:rPr>
          <w:szCs w:val="21"/>
          <w:u w:val="single"/>
        </w:rPr>
      </w:pPr>
      <w:r>
        <w:rPr>
          <w:rFonts w:hint="eastAsia"/>
          <w:szCs w:val="21"/>
        </w:rPr>
        <w:t xml:space="preserve">开户行：</w:t>
      </w:r>
      <w:r>
        <w:rPr>
          <w:rFonts w:hint="eastAsia"/>
          <w:szCs w:val="21"/>
          <w:u w:val="single"/>
        </w:rPr>
        <w:t xml:space="preserve">*********</w:t>
      </w:r>
      <w:r/>
    </w:p>
    <w:p>
      <w:pPr>
        <w:ind w:firstLine="1575"/>
        <w:spacing w:line="420" w:lineRule="exact"/>
        <w:rPr>
          <w:szCs w:val="21"/>
        </w:rPr>
      </w:pPr>
      <w:r>
        <w:rPr>
          <w:rFonts w:hint="eastAsia"/>
          <w:szCs w:val="21"/>
        </w:rPr>
        <w:t xml:space="preserve">账　号：</w:t>
      </w:r>
      <w:r>
        <w:rPr>
          <w:rFonts w:hint="eastAsia"/>
          <w:szCs w:val="21"/>
          <w:u w:val="single"/>
        </w:rPr>
        <w:t xml:space="preserve">*********</w:t>
      </w:r>
      <w:r/>
    </w:p>
    <w:p>
      <w:pPr>
        <w:ind w:firstLine="1575"/>
        <w:spacing w:line="420" w:lineRule="exact"/>
        <w:rPr>
          <w:szCs w:val="21"/>
        </w:rPr>
      </w:pPr>
      <w:r>
        <w:rPr>
          <w:szCs w:val="21"/>
        </w:rPr>
      </w:r>
      <w:r/>
    </w:p>
    <w:p>
      <w:pPr>
        <w:keepLines w:val="0"/>
        <w:keepNext w:val="0"/>
        <w:pageBreakBefore w:val="0"/>
        <w:spacing w:line="420" w:lineRule="exact"/>
        <w:widowControl w:val="off"/>
        <w:rPr>
          <w:b/>
          <w:bCs/>
          <w:szCs w:val="21"/>
        </w:rPr>
      </w:pPr>
      <w:r>
        <w:rPr>
          <w:rFonts w:hint="eastAsia"/>
          <w:b/>
          <w:bCs/>
          <w:szCs w:val="21"/>
        </w:rPr>
        <w:t xml:space="preserve">3、</w:t>
      </w:r>
      <w:r>
        <w:rPr>
          <w:b/>
          <w:bCs/>
          <w:szCs w:val="21"/>
        </w:rPr>
        <w:t xml:space="preserve">交</w:t>
      </w:r>
      <w:r>
        <w:rPr>
          <w:rFonts w:hint="eastAsia"/>
          <w:b/>
          <w:bCs/>
          <w:szCs w:val="21"/>
        </w:rPr>
        <w:t xml:space="preserve">付</w:t>
      </w:r>
      <w:r>
        <w:rPr>
          <w:b/>
          <w:bCs/>
          <w:szCs w:val="21"/>
        </w:rPr>
        <w:t xml:space="preserve">地点</w:t>
      </w:r>
      <w:r>
        <w:rPr>
          <w:rFonts w:hint="eastAsia"/>
          <w:b/>
          <w:bCs/>
          <w:szCs w:val="21"/>
        </w:rPr>
        <w:t xml:space="preserve">时间</w:t>
      </w:r>
      <w:r>
        <w:rPr>
          <w:b/>
          <w:bCs/>
          <w:szCs w:val="21"/>
        </w:rPr>
        <w:t xml:space="preserve">：</w:t>
      </w:r>
      <w:r/>
    </w:p>
    <w:p>
      <w:pPr>
        <w:ind w:firstLine="315"/>
        <w:keepLines w:val="0"/>
        <w:keepNext w:val="0"/>
        <w:pageBreakBefore w:val="0"/>
        <w:spacing w:line="420" w:lineRule="exact"/>
        <w:widowControl w:val="off"/>
        <w:rPr>
          <w:szCs w:val="21"/>
        </w:rPr>
      </w:pPr>
      <w:r>
        <w:rPr>
          <w:rFonts w:hint="eastAsia"/>
          <w:szCs w:val="21"/>
        </w:rPr>
        <w:t xml:space="preserve">3.1合同签定后，乙方按照甲方要求进行生产，并在*个工作日内交付到甲方指定地点。</w:t>
      </w:r>
      <w:r/>
    </w:p>
    <w:p>
      <w:pPr>
        <w:ind w:firstLine="315"/>
        <w:keepLines w:val="0"/>
        <w:keepNext w:val="0"/>
        <w:pageBreakBefore w:val="0"/>
        <w:spacing w:line="420" w:lineRule="exact"/>
        <w:widowControl w:val="off"/>
        <w:rPr>
          <w:szCs w:val="21"/>
        </w:rPr>
      </w:pPr>
      <w:r>
        <w:rPr>
          <w:rFonts w:hint="eastAsia"/>
          <w:szCs w:val="21"/>
        </w:rPr>
        <w:t xml:space="preserve">3.2非因甲方原因或甲方事先书面同意，本条所约定的交付日期不得顺延。</w:t>
      </w:r>
      <w:r/>
    </w:p>
    <w:p>
      <w:pPr>
        <w:ind w:firstLine="315"/>
        <w:keepLines w:val="0"/>
        <w:keepNext w:val="0"/>
        <w:pageBreakBefore w:val="0"/>
        <w:spacing w:line="420" w:lineRule="exact"/>
        <w:widowControl w:val="off"/>
        <w:rPr>
          <w:szCs w:val="21"/>
        </w:rPr>
      </w:pPr>
      <w:r>
        <w:rPr>
          <w:rFonts w:hint="eastAsia"/>
          <w:szCs w:val="21"/>
        </w:rPr>
        <w:t xml:space="preserve">3.3乙方应在启运产品前提前通知甲方产品运抵指定交付地点的时间，并获得甲方对交货时间的认可。</w:t>
      </w:r>
      <w:r/>
    </w:p>
    <w:p>
      <w:pPr>
        <w:ind w:firstLine="315"/>
        <w:keepLines w:val="0"/>
        <w:keepNext w:val="0"/>
        <w:pageBreakBefore w:val="0"/>
        <w:spacing w:line="420" w:lineRule="exact"/>
        <w:widowControl w:val="off"/>
        <w:rPr>
          <w:szCs w:val="21"/>
        </w:rPr>
      </w:pPr>
      <w:r>
        <w:rPr>
          <w:rFonts w:hint="eastAsia"/>
          <w:szCs w:val="21"/>
        </w:rPr>
        <w:t xml:space="preserve">3.</w:t>
      </w:r>
      <w:r>
        <w:rPr>
          <w:szCs w:val="21"/>
        </w:rPr>
        <w:t xml:space="preserve">4</w:t>
      </w:r>
      <w:r>
        <w:rPr>
          <w:rFonts w:hint="eastAsia"/>
          <w:szCs w:val="21"/>
        </w:rPr>
        <w:t xml:space="preserve">乙方在交付产品的同时需向乙方提供有关产品的附随资料，包括但不限于：</w:t>
      </w:r>
      <w:r>
        <w:rPr>
          <w:szCs w:val="21"/>
        </w:rPr>
        <w:t xml:space="preserve">产品使用说明、合格证书、功能说明、质量保证、</w:t>
      </w:r>
      <w:r>
        <w:rPr>
          <w:rFonts w:hint="eastAsia"/>
          <w:szCs w:val="21"/>
        </w:rPr>
        <w:t xml:space="preserve">银联认证资质证明文件、国家密码管理认证资质证书</w:t>
      </w:r>
      <w:r>
        <w:rPr>
          <w:szCs w:val="21"/>
        </w:rPr>
        <w:t xml:space="preserve">等</w:t>
      </w:r>
      <w:r>
        <w:rPr>
          <w:rFonts w:hint="eastAsia"/>
          <w:szCs w:val="21"/>
        </w:rPr>
        <w:t xml:space="preserve">。如乙方提供的资料不符合本合同的约定或不能满足产品正常使用的需求，甲方有权拒绝接受交付。因上述原因导致产品交付超过本条约定的交付日期的，视为乙方迟延交付。</w:t>
      </w:r>
      <w:r/>
    </w:p>
    <w:p>
      <w:pPr>
        <w:ind w:firstLine="315"/>
        <w:keepLines w:val="0"/>
        <w:keepNext w:val="0"/>
        <w:pageBreakBefore w:val="0"/>
        <w:spacing w:line="420" w:lineRule="exact"/>
        <w:widowControl w:val="off"/>
        <w:rPr>
          <w:szCs w:val="21"/>
        </w:rPr>
      </w:pPr>
      <w:r>
        <w:rPr>
          <w:szCs w:val="21"/>
        </w:rPr>
      </w:r>
      <w:r/>
    </w:p>
    <w:p>
      <w:pPr>
        <w:keepLines w:val="0"/>
        <w:keepNext w:val="0"/>
        <w:pageBreakBefore w:val="0"/>
        <w:spacing w:line="420" w:lineRule="exact"/>
        <w:widowControl w:val="off"/>
        <w:rPr>
          <w:b/>
          <w:bCs/>
          <w:szCs w:val="21"/>
        </w:rPr>
      </w:pPr>
      <w:r>
        <w:rPr>
          <w:rFonts w:hint="eastAsia"/>
          <w:b/>
          <w:bCs/>
          <w:szCs w:val="21"/>
        </w:rPr>
        <w:t xml:space="preserve">4、质量验收标准：</w:t>
      </w:r>
      <w:r/>
    </w:p>
    <w:p>
      <w:pPr>
        <w:ind w:firstLine="315"/>
        <w:keepLines w:val="0"/>
        <w:keepNext w:val="0"/>
        <w:pageBreakBefore w:val="0"/>
        <w:spacing w:line="420" w:lineRule="exact"/>
        <w:widowControl w:val="off"/>
        <w:rPr>
          <w:szCs w:val="21"/>
        </w:rPr>
      </w:pPr>
      <w:r>
        <w:rPr>
          <w:szCs w:val="21"/>
        </w:rPr>
        <w:t xml:space="preserve">4.1</w:t>
      </w:r>
      <w:r>
        <w:rPr>
          <w:rFonts w:hint="eastAsia"/>
          <w:szCs w:val="21"/>
        </w:rPr>
        <w:t xml:space="preserve">乙方提的供接口必须符合甲方的相关技术标准要求。</w:t>
      </w:r>
      <w:r/>
    </w:p>
    <w:p>
      <w:pPr>
        <w:ind w:firstLine="315"/>
        <w:keepLines w:val="0"/>
        <w:keepNext w:val="0"/>
        <w:pageBreakBefore w:val="0"/>
        <w:spacing w:line="420" w:lineRule="exact"/>
        <w:widowControl w:val="off"/>
        <w:rPr>
          <w:szCs w:val="21"/>
        </w:rPr>
      </w:pPr>
      <w:r>
        <w:rPr>
          <w:rFonts w:hint="eastAsia"/>
          <w:szCs w:val="21"/>
        </w:rPr>
        <w:t xml:space="preserve">4.</w:t>
      </w:r>
      <w:r>
        <w:rPr>
          <w:szCs w:val="21"/>
        </w:rPr>
        <w:t xml:space="preserve">2</w:t>
      </w:r>
      <w:r>
        <w:rPr>
          <w:rFonts w:hint="eastAsia"/>
          <w:szCs w:val="21"/>
        </w:rPr>
        <w:t xml:space="preserve">乙方承诺本合同项下产品系经过严格测试、成熟稳定、无病毒及重大缺陷的软件产品。由于乙方提供的产品存在重大缺陷给甲方造成的损失，由乙方负责赔偿。</w:t>
      </w:r>
      <w:r/>
    </w:p>
    <w:p>
      <w:pPr>
        <w:ind w:firstLine="315"/>
        <w:keepLines w:val="0"/>
        <w:keepNext w:val="0"/>
        <w:pageBreakBefore w:val="0"/>
        <w:spacing w:line="420" w:lineRule="exact"/>
        <w:widowControl w:val="off"/>
        <w:rPr>
          <w:szCs w:val="21"/>
        </w:rPr>
      </w:pPr>
      <w:r>
        <w:rPr>
          <w:rFonts w:hint="eastAsia"/>
          <w:szCs w:val="21"/>
        </w:rPr>
        <w:t xml:space="preserve">4.</w:t>
      </w:r>
      <w:r>
        <w:rPr>
          <w:szCs w:val="21"/>
        </w:rPr>
        <w:t xml:space="preserve">3</w:t>
      </w:r>
      <w:r>
        <w:rPr>
          <w:rFonts w:hint="eastAsia"/>
          <w:szCs w:val="21"/>
        </w:rPr>
        <w:t xml:space="preserve">乙方声明并承诺其所提供的产品及相关服务不存在任何侵犯第三方所有权、知识产权、使用权等合法权益的情形。</w:t>
      </w:r>
      <w:r/>
    </w:p>
    <w:p>
      <w:pPr>
        <w:ind w:firstLine="315"/>
        <w:keepLines w:val="0"/>
        <w:keepNext w:val="0"/>
        <w:pageBreakBefore w:val="0"/>
        <w:spacing w:line="420" w:lineRule="exact"/>
        <w:widowControl w:val="off"/>
        <w:rPr>
          <w:szCs w:val="21"/>
        </w:rPr>
      </w:pPr>
      <w:r>
        <w:rPr>
          <w:rFonts w:hint="eastAsia"/>
          <w:szCs w:val="21"/>
        </w:rPr>
        <w:t xml:space="preserve">若因乙方交付的产品及相关服务侵犯第三方的所有权、知识产权、使用权等合法权益而引起或者乙方及其人员因违反本合同的约定而引起第三方对甲方的任何交涉、要求、索赔或诉讼，乙方承诺和保证为甲方抗辩，采取一切措施使甲方不牵涉到任何有关的纠纷当中，保护甲方利益不受损害。因上述原因导致的一切责任和费用均由乙方自行承担，并应对甲方由此产生的损失（包括但不限于律师代理费、诉讼费、赔偿费、为处理纠纷所付出的合理支出及其它相关合理费用）进行赔偿。</w:t>
      </w:r>
      <w:r/>
    </w:p>
    <w:p>
      <w:pPr>
        <w:ind w:firstLine="420"/>
        <w:jc w:val="left"/>
        <w:keepLines w:val="0"/>
        <w:keepNext w:val="0"/>
        <w:pageBreakBefore w:val="0"/>
        <w:spacing w:line="420" w:lineRule="exact"/>
        <w:widowControl w:val="off"/>
        <w:rPr>
          <w:szCs w:val="21"/>
        </w:rPr>
      </w:pPr>
      <w:r>
        <w:rPr>
          <w:rFonts w:hint="eastAsia"/>
          <w:szCs w:val="21"/>
        </w:rPr>
        <w:t xml:space="preserve">4.</w:t>
      </w:r>
      <w:r>
        <w:rPr>
          <w:szCs w:val="21"/>
        </w:rPr>
        <w:t xml:space="preserve">4</w:t>
      </w:r>
      <w:r>
        <w:rPr>
          <w:rFonts w:hint="eastAsia"/>
          <w:szCs w:val="21"/>
        </w:rPr>
        <w:t xml:space="preserve">若乙方提供的产品为非自身生产或开发的产品，乙方应保证提供本合同项下的产品已获得产品原厂商的合法有效的许可或授权，且本合同项下所有产品均为原厂商生产或开发的全新合格产品。</w:t>
      </w:r>
      <w:r/>
    </w:p>
    <w:p>
      <w:pPr>
        <w:ind w:firstLine="420"/>
        <w:jc w:val="left"/>
        <w:keepLines w:val="0"/>
        <w:keepNext w:val="0"/>
        <w:pageBreakBefore w:val="0"/>
        <w:spacing w:line="420" w:lineRule="exact"/>
        <w:widowControl w:val="off"/>
        <w:rPr>
          <w:szCs w:val="21"/>
        </w:rPr>
      </w:pPr>
      <w:r>
        <w:rPr>
          <w:rFonts w:hint="eastAsia"/>
          <w:szCs w:val="21"/>
        </w:rPr>
        <w:t xml:space="preserve">4.</w:t>
      </w:r>
      <w:r>
        <w:rPr>
          <w:szCs w:val="21"/>
        </w:rPr>
        <w:t xml:space="preserve">5</w:t>
      </w:r>
      <w:r>
        <w:rPr>
          <w:rFonts w:hint="eastAsia"/>
          <w:szCs w:val="21"/>
        </w:rPr>
        <w:t xml:space="preserve">未经甲方书面同意，乙方不得通过任何形式将本合同项下的全部或者部分权利义务转让给第三人。</w:t>
      </w:r>
      <w:r/>
    </w:p>
    <w:p>
      <w:pPr>
        <w:ind w:firstLine="420"/>
        <w:jc w:val="left"/>
        <w:keepLines w:val="0"/>
        <w:keepNext w:val="0"/>
        <w:pageBreakBefore w:val="0"/>
        <w:spacing w:line="420" w:lineRule="exact"/>
        <w:widowControl w:val="off"/>
        <w:rPr>
          <w:szCs w:val="21"/>
        </w:rPr>
      </w:pPr>
      <w:r>
        <w:rPr>
          <w:rFonts w:hint="eastAsia"/>
          <w:szCs w:val="21"/>
        </w:rPr>
        <w:t xml:space="preserve">4.</w:t>
      </w:r>
      <w:r>
        <w:rPr>
          <w:szCs w:val="21"/>
        </w:rPr>
        <w:t xml:space="preserve">6</w:t>
      </w:r>
      <w:r>
        <w:rPr>
          <w:rFonts w:hint="eastAsia"/>
          <w:szCs w:val="21"/>
        </w:rPr>
        <w:t xml:space="preserve">乙方与医院HIS对接的加密算法以及相关代码甲方有权知晓。</w:t>
      </w:r>
      <w:r/>
    </w:p>
    <w:p>
      <w:pPr>
        <w:ind w:firstLine="420"/>
        <w:jc w:val="left"/>
        <w:keepLines w:val="0"/>
        <w:keepNext w:val="0"/>
        <w:pageBreakBefore w:val="0"/>
        <w:spacing w:line="420" w:lineRule="exact"/>
        <w:widowControl w:val="off"/>
        <w:rPr>
          <w:szCs w:val="21"/>
        </w:rPr>
      </w:pPr>
      <w:r>
        <w:rPr>
          <w:rFonts w:hint="eastAsia"/>
          <w:szCs w:val="21"/>
        </w:rPr>
        <w:t xml:space="preserve">4.</w:t>
      </w:r>
      <w:r>
        <w:rPr>
          <w:szCs w:val="21"/>
        </w:rPr>
        <w:t xml:space="preserve">7</w:t>
      </w:r>
      <w:r>
        <w:rPr>
          <w:rFonts w:hint="eastAsia"/>
          <w:szCs w:val="21"/>
        </w:rPr>
        <w:t xml:space="preserve">甲方对本合同项下采购的软件拥有所有权和使用权。</w:t>
      </w:r>
      <w:r/>
    </w:p>
    <w:p>
      <w:pPr>
        <w:keepLines w:val="0"/>
        <w:keepNext w:val="0"/>
        <w:pageBreakBefore w:val="0"/>
        <w:spacing w:line="420" w:lineRule="exact"/>
        <w:widowControl w:val="off"/>
        <w:rPr>
          <w:b/>
          <w:bCs/>
          <w:szCs w:val="21"/>
        </w:rPr>
      </w:pPr>
      <w:r>
        <w:rPr>
          <w:rFonts w:hint="eastAsia"/>
          <w:b/>
          <w:bCs/>
          <w:szCs w:val="21"/>
        </w:rPr>
        <w:t xml:space="preserve">5、安装：</w:t>
      </w:r>
      <w:r/>
    </w:p>
    <w:p>
      <w:pPr>
        <w:ind w:firstLine="315"/>
        <w:keepLines w:val="0"/>
        <w:keepNext w:val="0"/>
        <w:pageBreakBefore w:val="0"/>
        <w:spacing w:line="420" w:lineRule="exact"/>
        <w:widowControl w:val="off"/>
        <w:rPr>
          <w:szCs w:val="21"/>
        </w:rPr>
      </w:pPr>
      <w:r>
        <w:rPr>
          <w:rFonts w:hint="eastAsia"/>
          <w:szCs w:val="21"/>
        </w:rPr>
        <w:t xml:space="preserve">5.1销售合同一经签署，乙方将通知甲方做好安装的必要准备。</w:t>
      </w:r>
      <w:r/>
    </w:p>
    <w:p>
      <w:pPr>
        <w:ind w:firstLine="315"/>
        <w:keepLines w:val="0"/>
        <w:keepNext w:val="0"/>
        <w:pageBreakBefore w:val="0"/>
        <w:spacing w:line="420" w:lineRule="exact"/>
        <w:widowControl w:val="off"/>
        <w:rPr>
          <w:szCs w:val="21"/>
        </w:rPr>
      </w:pPr>
      <w:r>
        <w:rPr>
          <w:rFonts w:hint="eastAsia"/>
          <w:szCs w:val="21"/>
        </w:rPr>
        <w:t xml:space="preserve">5.</w:t>
      </w:r>
      <w:r>
        <w:rPr>
          <w:szCs w:val="21"/>
        </w:rPr>
        <w:t xml:space="preserve">2</w:t>
      </w:r>
      <w:r>
        <w:rPr>
          <w:rFonts w:hint="eastAsia"/>
          <w:szCs w:val="21"/>
        </w:rPr>
        <w:t xml:space="preserve">乙方在完成安装调试后向甲方发出书面的《验收单》，经确认签字后视为设备保修期的开始。</w:t>
      </w:r>
      <w:r/>
    </w:p>
    <w:p>
      <w:pPr>
        <w:ind w:firstLine="315"/>
        <w:keepLines w:val="0"/>
        <w:keepNext w:val="0"/>
        <w:pageBreakBefore w:val="0"/>
        <w:spacing w:line="420" w:lineRule="exact"/>
        <w:widowControl w:val="off"/>
        <w:rPr>
          <w:szCs w:val="21"/>
        </w:rPr>
      </w:pPr>
      <w:r>
        <w:rPr>
          <w:rFonts w:hint="eastAsia"/>
          <w:szCs w:val="21"/>
        </w:rPr>
        <w:t xml:space="preserve">5.4乙方应在产品交付之日起5日内完成产品的安装调试，甲方不再向乙方支付本合同约定金额外的安装调试费。</w:t>
      </w:r>
      <w:r/>
    </w:p>
    <w:p>
      <w:pPr>
        <w:keepLines w:val="0"/>
        <w:keepNext w:val="0"/>
        <w:pageBreakBefore w:val="0"/>
        <w:spacing w:line="420" w:lineRule="exact"/>
        <w:widowControl w:val="off"/>
        <w:rPr>
          <w:b/>
          <w:bCs/>
          <w:szCs w:val="21"/>
        </w:rPr>
      </w:pPr>
      <w:r>
        <w:rPr>
          <w:rFonts w:hint="eastAsia"/>
          <w:b/>
          <w:bCs/>
          <w:szCs w:val="21"/>
        </w:rPr>
        <w:t xml:space="preserve">6、售后服务</w:t>
      </w:r>
      <w:r/>
    </w:p>
    <w:p>
      <w:pPr>
        <w:ind w:left="525" w:hanging="210"/>
        <w:keepLines w:val="0"/>
        <w:keepNext w:val="0"/>
        <w:pageBreakBefore w:val="0"/>
        <w:spacing w:line="420" w:lineRule="exact"/>
        <w:widowControl w:val="off"/>
        <w:rPr>
          <w:szCs w:val="21"/>
        </w:rPr>
      </w:pPr>
      <w:r>
        <w:rPr>
          <w:rFonts w:hint="eastAsia"/>
          <w:szCs w:val="21"/>
        </w:rPr>
        <w:t xml:space="preserve">6.1免费接入医院信息科要求接入的医院其他软件系统（请投标人投标前至信息科实地踏勘）。</w:t>
      </w:r>
      <w:r/>
    </w:p>
    <w:p>
      <w:pPr>
        <w:ind w:left="525" w:hanging="210"/>
        <w:keepLines w:val="0"/>
        <w:keepNext w:val="0"/>
        <w:pageBreakBefore w:val="0"/>
        <w:spacing w:line="420" w:lineRule="exact"/>
        <w:widowControl w:val="off"/>
        <w:rPr>
          <w:szCs w:val="21"/>
        </w:rPr>
      </w:pPr>
      <w:r>
        <w:rPr>
          <w:rFonts w:hint="eastAsia"/>
          <w:szCs w:val="21"/>
        </w:rPr>
        <w:t xml:space="preserve">6.</w:t>
      </w:r>
      <w:r>
        <w:rPr>
          <w:szCs w:val="21"/>
        </w:rPr>
        <w:t xml:space="preserve">2</w:t>
      </w:r>
      <w:r>
        <w:rPr>
          <w:rFonts w:hint="eastAsia"/>
          <w:szCs w:val="21"/>
        </w:rPr>
        <w:t xml:space="preserve">项目验收完成后进入质保期，质保期内提供同版本软件免费客户化修改与免费升级服务，并为用户后续的医院信息化建设提供长期的技术支持。</w:t>
      </w:r>
      <w:r/>
    </w:p>
    <w:p>
      <w:pPr>
        <w:ind w:left="525" w:hanging="210"/>
        <w:keepLines w:val="0"/>
        <w:keepNext w:val="0"/>
        <w:pageBreakBefore w:val="0"/>
        <w:spacing w:line="420" w:lineRule="exact"/>
        <w:widowControl w:val="off"/>
        <w:rPr>
          <w:szCs w:val="21"/>
        </w:rPr>
      </w:pPr>
      <w:r>
        <w:rPr>
          <w:rFonts w:hint="eastAsia"/>
          <w:szCs w:val="21"/>
        </w:rPr>
        <w:t xml:space="preserve">6.3供应商在接到系统故障通知后，供应商必须在30分钟内响应。对于影响系统正常运行的严重故障(包括由系统软硬件等原因引起的)，供应商的相关技术人员必须在接到故障通知后8小时内赶到现场，查找原因，提出解决方案，并工作直至故障修妥完全恢复正常工作为止，一般要求保证系统在24小时之内修复</w:t>
      </w:r>
      <w:r/>
    </w:p>
    <w:p>
      <w:pPr>
        <w:ind w:left="525" w:hanging="210"/>
        <w:keepLines w:val="0"/>
        <w:keepNext w:val="0"/>
        <w:pageBreakBefore w:val="0"/>
        <w:spacing w:line="420" w:lineRule="exact"/>
        <w:widowControl w:val="off"/>
        <w:rPr>
          <w:szCs w:val="21"/>
        </w:rPr>
      </w:pPr>
      <w:r>
        <w:rPr>
          <w:rFonts w:hint="eastAsia"/>
          <w:szCs w:val="21"/>
        </w:rPr>
        <w:t xml:space="preserve">6.</w:t>
      </w:r>
      <w:r>
        <w:rPr>
          <w:szCs w:val="21"/>
        </w:rPr>
        <w:t xml:space="preserve">4</w:t>
      </w:r>
      <w:r>
        <w:rPr>
          <w:rFonts w:hint="eastAsia"/>
          <w:szCs w:val="21"/>
        </w:rPr>
        <w:t xml:space="preserve">保修期内，乙方承诺对甲方人员提供免费的与产品有关的现场技术培训。培训材料、培训计划、培训教师由乙方制作，但需事先经过甲方的审定认可。</w:t>
      </w:r>
      <w:r/>
    </w:p>
    <w:p>
      <w:pPr>
        <w:ind w:left="525" w:hanging="210"/>
        <w:keepLines w:val="0"/>
        <w:keepNext w:val="0"/>
        <w:pageBreakBefore w:val="0"/>
        <w:spacing w:line="420" w:lineRule="exact"/>
        <w:widowControl w:val="off"/>
        <w:rPr>
          <w:szCs w:val="21"/>
        </w:rPr>
      </w:pPr>
      <w:r>
        <w:rPr>
          <w:rFonts w:hint="eastAsia"/>
          <w:szCs w:val="21"/>
        </w:rPr>
        <w:t xml:space="preserve">6.</w:t>
      </w:r>
      <w:r>
        <w:rPr>
          <w:szCs w:val="21"/>
        </w:rPr>
        <w:t xml:space="preserve">5</w:t>
      </w:r>
      <w:r>
        <w:rPr>
          <w:rFonts w:hint="eastAsia"/>
          <w:szCs w:val="21"/>
        </w:rPr>
        <w:t xml:space="preserve">质保期满后每年维护费最高不得超过软件成交价的</w:t>
      </w:r>
      <w:r>
        <w:rPr>
          <w:szCs w:val="21"/>
        </w:rPr>
        <w:t xml:space="preserve">8%</w:t>
      </w:r>
      <w:r>
        <w:rPr>
          <w:rFonts w:hint="eastAsia"/>
          <w:szCs w:val="21"/>
        </w:rPr>
        <w:t xml:space="preserve">，最终收到费率在签订维护费合同时商谈；</w:t>
      </w:r>
      <w:r/>
    </w:p>
    <w:p>
      <w:pPr>
        <w:ind w:left="525" w:hanging="210"/>
        <w:keepLines w:val="0"/>
        <w:keepNext w:val="0"/>
        <w:pageBreakBefore w:val="0"/>
        <w:spacing w:line="420" w:lineRule="exact"/>
        <w:widowControl w:val="off"/>
        <w:rPr>
          <w:szCs w:val="21"/>
        </w:rPr>
      </w:pPr>
      <w:r>
        <w:rPr>
          <w:szCs w:val="21"/>
        </w:rPr>
        <w:t xml:space="preserve">6</w:t>
      </w:r>
      <w:r>
        <w:rPr>
          <w:rFonts w:hint="eastAsia"/>
          <w:szCs w:val="21"/>
        </w:rPr>
        <w:t xml:space="preserve">.</w:t>
      </w:r>
      <w:r>
        <w:rPr>
          <w:szCs w:val="21"/>
        </w:rPr>
        <w:t xml:space="preserve">6</w:t>
      </w:r>
      <w:r>
        <w:rPr>
          <w:rFonts w:hint="eastAsia"/>
          <w:szCs w:val="21"/>
        </w:rPr>
        <w:t xml:space="preserve">后续有软件需要接入本系统，按医院要求免费开放接口，不再收取接口费。</w:t>
      </w:r>
      <w:r/>
    </w:p>
    <w:p>
      <w:pPr>
        <w:keepLines w:val="0"/>
        <w:keepNext w:val="0"/>
        <w:pageBreakBefore w:val="0"/>
        <w:spacing w:line="420" w:lineRule="exact"/>
        <w:widowControl w:val="off"/>
        <w:rPr>
          <w:b/>
          <w:bCs/>
          <w:szCs w:val="21"/>
        </w:rPr>
      </w:pPr>
      <w:r>
        <w:rPr>
          <w:rFonts w:hint="eastAsia"/>
          <w:b/>
          <w:bCs/>
          <w:szCs w:val="21"/>
        </w:rPr>
        <w:t xml:space="preserve">7、双方</w:t>
      </w:r>
      <w:r>
        <w:rPr>
          <w:b/>
          <w:bCs/>
          <w:szCs w:val="21"/>
        </w:rPr>
        <w:t xml:space="preserve">责任</w:t>
      </w:r>
      <w:r/>
    </w:p>
    <w:p>
      <w:pPr>
        <w:ind w:firstLine="315"/>
        <w:keepLines w:val="0"/>
        <w:keepNext w:val="0"/>
        <w:pageBreakBefore w:val="0"/>
        <w:spacing w:line="420" w:lineRule="exact"/>
        <w:widowControl w:val="off"/>
        <w:rPr>
          <w:szCs w:val="21"/>
        </w:rPr>
      </w:pPr>
      <w:r>
        <w:rPr>
          <w:rFonts w:hint="eastAsia"/>
          <w:szCs w:val="21"/>
        </w:rPr>
        <w:t xml:space="preserve">甲方：</w:t>
      </w:r>
      <w:r/>
    </w:p>
    <w:p>
      <w:pPr>
        <w:ind w:firstLine="315"/>
        <w:keepLines w:val="0"/>
        <w:keepNext w:val="0"/>
        <w:pageBreakBefore w:val="0"/>
        <w:spacing w:line="420" w:lineRule="exact"/>
        <w:widowControl w:val="off"/>
        <w:rPr>
          <w:szCs w:val="21"/>
        </w:rPr>
      </w:pPr>
      <w:r>
        <w:rPr>
          <w:rFonts w:hint="eastAsia"/>
          <w:szCs w:val="21"/>
        </w:rPr>
        <w:t xml:space="preserve">1.乙方送货或代运的产品，如无正当理由甲方拒绝接货，甲方应承担因而造成的损失和运输费用。</w:t>
      </w:r>
      <w:r/>
    </w:p>
    <w:p>
      <w:pPr>
        <w:ind w:left="525" w:hanging="210"/>
        <w:keepLines w:val="0"/>
        <w:keepNext w:val="0"/>
        <w:pageBreakBefore w:val="0"/>
        <w:spacing w:line="420" w:lineRule="exact"/>
        <w:widowControl w:val="off"/>
        <w:rPr>
          <w:szCs w:val="21"/>
        </w:rPr>
      </w:pPr>
      <w:r>
        <w:rPr>
          <w:szCs w:val="21"/>
        </w:rPr>
        <w:t xml:space="preserve">2</w:t>
      </w:r>
      <w:r>
        <w:rPr>
          <w:rFonts w:hint="eastAsia"/>
          <w:szCs w:val="21"/>
        </w:rPr>
        <w:t xml:space="preserve">.乙方全部履行合同，甲方按照付款进度在收到乙方的付款通知并审定无误按期付款，如有违约，甲方按合同总价每日万分之一支付延期付款违约金，最高不超过合同总价的5%。</w:t>
      </w:r>
      <w:r/>
    </w:p>
    <w:p>
      <w:pPr>
        <w:ind w:firstLine="283"/>
        <w:keepLines w:val="0"/>
        <w:keepNext w:val="0"/>
        <w:pageBreakBefore w:val="0"/>
        <w:spacing w:line="420" w:lineRule="exact"/>
        <w:widowControl w:val="off"/>
        <w:rPr>
          <w:szCs w:val="21"/>
        </w:rPr>
      </w:pPr>
      <w:r>
        <w:rPr>
          <w:rFonts w:hint="eastAsia"/>
          <w:szCs w:val="21"/>
        </w:rPr>
        <w:t xml:space="preserve">乙方：</w:t>
      </w:r>
      <w:r/>
    </w:p>
    <w:p>
      <w:pPr>
        <w:ind w:left="525" w:hanging="210"/>
        <w:keepLines w:val="0"/>
        <w:keepNext w:val="0"/>
        <w:pageBreakBefore w:val="0"/>
        <w:spacing w:line="420" w:lineRule="exact"/>
        <w:widowControl w:val="off"/>
        <w:rPr>
          <w:szCs w:val="21"/>
        </w:rPr>
      </w:pPr>
      <w:r>
        <w:rPr>
          <w:rFonts w:hint="eastAsia"/>
          <w:szCs w:val="21"/>
        </w:rPr>
        <w:t xml:space="preserve">1．除不可抗拒因素外，乙方不能按期交货，或因运输及安装中设备缺损需要更换而影响实际交付使用时，乙方必须向甲方支付延期交货或延期交付使用的违约金，如有违约，乙方按合同总价每日万分之四支付延期违约金，最高不超过合同总价的5%。</w:t>
      </w:r>
      <w:r/>
    </w:p>
    <w:p>
      <w:pPr>
        <w:ind w:left="525" w:hanging="210"/>
        <w:keepLines w:val="0"/>
        <w:keepNext w:val="0"/>
        <w:pageBreakBefore w:val="0"/>
        <w:spacing w:line="420" w:lineRule="exact"/>
        <w:widowControl w:val="off"/>
        <w:rPr>
          <w:szCs w:val="21"/>
        </w:rPr>
      </w:pPr>
      <w:r>
        <w:rPr>
          <w:rFonts w:hint="eastAsia"/>
          <w:szCs w:val="21"/>
        </w:rPr>
        <w:t xml:space="preserve">2．延期交货时间超过15天或交货不合格从而影响甲方按期正常使用的视为乙方严重违约，甲方有权立即终止合同。</w:t>
      </w:r>
      <w:r/>
    </w:p>
    <w:p>
      <w:pPr>
        <w:keepLines w:val="0"/>
        <w:keepNext w:val="0"/>
        <w:pageBreakBefore w:val="0"/>
        <w:spacing w:line="420" w:lineRule="exact"/>
        <w:widowControl w:val="off"/>
        <w:rPr>
          <w:b/>
          <w:bCs/>
          <w:szCs w:val="21"/>
        </w:rPr>
      </w:pPr>
      <w:r>
        <w:rPr>
          <w:rFonts w:hint="eastAsia"/>
          <w:b/>
          <w:bCs/>
          <w:szCs w:val="21"/>
        </w:rPr>
        <w:t xml:space="preserve">8、合同构成</w:t>
      </w:r>
      <w:r/>
    </w:p>
    <w:p>
      <w:pPr>
        <w:ind w:left="525" w:hanging="210"/>
        <w:keepLines w:val="0"/>
        <w:keepNext w:val="0"/>
        <w:pageBreakBefore w:val="0"/>
        <w:spacing w:line="420" w:lineRule="exact"/>
        <w:widowControl w:val="off"/>
        <w:rPr>
          <w:szCs w:val="21"/>
        </w:rPr>
      </w:pPr>
      <w:r>
        <w:rPr>
          <w:rFonts w:hint="eastAsia"/>
          <w:szCs w:val="21"/>
        </w:rPr>
        <w:t xml:space="preserve">下述文件是构成合同不可分割的部分，具有同等法律效力，应一并阅读和理解：1、本合同协议书；2、中标通知书；3、采购文件及附件；4、投标文件及附件；5、经双方协商一致达成的补充协议。</w:t>
      </w:r>
      <w:r/>
    </w:p>
    <w:p>
      <w:pPr>
        <w:keepLines w:val="0"/>
        <w:keepNext w:val="0"/>
        <w:pageBreakBefore w:val="0"/>
        <w:spacing w:line="420" w:lineRule="exact"/>
        <w:widowControl w:val="off"/>
        <w:rPr>
          <w:b/>
          <w:bCs/>
          <w:szCs w:val="21"/>
        </w:rPr>
      </w:pPr>
      <w:r>
        <w:rPr>
          <w:b/>
          <w:bCs/>
          <w:szCs w:val="21"/>
        </w:rPr>
        <w:t xml:space="preserve">9</w:t>
      </w:r>
      <w:r>
        <w:rPr>
          <w:rFonts w:hint="eastAsia"/>
          <w:b/>
          <w:bCs/>
          <w:szCs w:val="21"/>
        </w:rPr>
        <w:t xml:space="preserve">、</w:t>
      </w:r>
      <w:r>
        <w:rPr>
          <w:b/>
          <w:bCs/>
          <w:szCs w:val="21"/>
        </w:rPr>
        <w:t xml:space="preserve">特别条款</w:t>
      </w:r>
      <w:r/>
    </w:p>
    <w:p>
      <w:pPr>
        <w:ind w:firstLine="315"/>
        <w:keepLines w:val="0"/>
        <w:keepNext w:val="0"/>
        <w:pageBreakBefore w:val="0"/>
        <w:spacing w:line="420" w:lineRule="exact"/>
        <w:widowControl w:val="off"/>
        <w:rPr>
          <w:szCs w:val="21"/>
        </w:rPr>
      </w:pPr>
      <w:r>
        <w:rPr>
          <w:rFonts w:hint="eastAsia"/>
          <w:szCs w:val="21"/>
        </w:rPr>
        <w:t xml:space="preserve">1．本合同经双方签章后生效，本合同系指本文件。</w:t>
      </w:r>
      <w:r/>
    </w:p>
    <w:p>
      <w:pPr>
        <w:ind w:firstLine="315"/>
        <w:keepLines w:val="0"/>
        <w:keepNext w:val="0"/>
        <w:pageBreakBefore w:val="0"/>
        <w:spacing w:line="420" w:lineRule="exact"/>
        <w:widowControl w:val="off"/>
        <w:rPr>
          <w:szCs w:val="21"/>
        </w:rPr>
      </w:pPr>
      <w:r>
        <w:rPr>
          <w:rFonts w:hint="eastAsia"/>
          <w:szCs w:val="21"/>
        </w:rPr>
        <w:t xml:space="preserve">2．本合同一式肆份，甲方执叁份，乙方执一份，都具有同等法律效力。</w:t>
      </w:r>
      <w:r/>
    </w:p>
    <w:p>
      <w:pPr>
        <w:keepLines w:val="0"/>
        <w:keepNext w:val="0"/>
        <w:pageBreakBefore w:val="0"/>
        <w:spacing w:line="420" w:lineRule="exact"/>
        <w:widowControl w:val="off"/>
        <w:rPr>
          <w:b/>
          <w:bCs/>
          <w:szCs w:val="21"/>
        </w:rPr>
      </w:pPr>
      <w:r>
        <w:rPr>
          <w:b/>
          <w:bCs/>
          <w:szCs w:val="21"/>
        </w:rPr>
        <w:t xml:space="preserve">10</w:t>
      </w:r>
      <w:r>
        <w:rPr>
          <w:rFonts w:hint="eastAsia"/>
          <w:b/>
          <w:bCs/>
          <w:szCs w:val="21"/>
        </w:rPr>
        <w:t xml:space="preserve">、争议的解决</w:t>
      </w:r>
      <w:r/>
    </w:p>
    <w:p>
      <w:pPr>
        <w:ind w:firstLine="315"/>
        <w:keepLines w:val="0"/>
        <w:keepNext w:val="0"/>
        <w:pageBreakBefore w:val="0"/>
        <w:spacing w:line="420" w:lineRule="exact"/>
        <w:widowControl w:val="off"/>
        <w:rPr>
          <w:szCs w:val="21"/>
        </w:rPr>
      </w:pPr>
      <w:r>
        <w:rPr>
          <w:rFonts w:hint="eastAsia"/>
          <w:szCs w:val="21"/>
        </w:rPr>
        <w:t xml:space="preserve">本合同未尽事宜，签约双方应友好协商解决。协商不成，任何一方均可向甲方所在地管辖权的人民法院提起诉讼。</w:t>
      </w:r>
      <w:r/>
    </w:p>
    <w:p>
      <w:pPr>
        <w:spacing w:line="420" w:lineRule="exact"/>
        <w:rPr>
          <w:b/>
          <w:bCs/>
          <w:szCs w:val="21"/>
        </w:rPr>
      </w:pPr>
      <w:r>
        <w:rPr>
          <w:b/>
          <w:bCs/>
          <w:szCs w:val="21"/>
        </w:rPr>
        <w:t xml:space="preserve">合同签定地：</w:t>
      </w:r>
      <w:r>
        <w:rPr>
          <w:rFonts w:hint="eastAsia"/>
          <w:b/>
          <w:bCs/>
          <w:szCs w:val="21"/>
        </w:rPr>
        <w:t xml:space="preserve"> 江苏省南通市海门区中医院</w:t>
      </w:r>
      <w:r/>
    </w:p>
    <w:p>
      <w:pPr>
        <w:spacing w:line="420" w:lineRule="exact"/>
        <w:rPr>
          <w:b/>
          <w:bCs/>
          <w:szCs w:val="21"/>
        </w:rPr>
      </w:pPr>
      <w:r>
        <w:rPr>
          <w:b/>
          <w:bCs/>
          <w:szCs w:val="21"/>
        </w:rPr>
      </w:r>
      <w:r/>
    </w:p>
    <w:p>
      <w:pPr>
        <w:jc w:val="left"/>
        <w:spacing w:line="360" w:lineRule="auto"/>
        <w:rPr>
          <w:b/>
          <w:bCs/>
          <w:szCs w:val="21"/>
        </w:rPr>
      </w:pPr>
      <w:r>
        <w:rPr>
          <w:rFonts w:hint="eastAsia"/>
          <w:b/>
          <w:bCs/>
          <w:szCs w:val="21"/>
        </w:rPr>
        <w:t xml:space="preserve">甲方：南通市海门区中医院                            乙</w:t>
      </w:r>
      <w:r>
        <w:rPr>
          <w:b/>
          <w:bCs/>
          <w:szCs w:val="21"/>
        </w:rPr>
        <w:t xml:space="preserve">方：</w:t>
      </w:r>
      <w:r>
        <w:rPr>
          <w:rFonts w:hint="eastAsia"/>
          <w:b/>
          <w:bCs/>
          <w:szCs w:val="21"/>
        </w:rPr>
        <w:t xml:space="preserve">******************</w:t>
      </w:r>
      <w:r>
        <w:rPr>
          <w:b/>
          <w:bCs/>
          <w:szCs w:val="21"/>
        </w:rPr>
        <w:t xml:space="preserve">   </w:t>
      </w:r>
      <w:r/>
    </w:p>
    <w:p>
      <w:pPr>
        <w:jc w:val="left"/>
        <w:spacing w:line="360" w:lineRule="auto"/>
        <w:rPr>
          <w:b/>
          <w:bCs/>
          <w:szCs w:val="21"/>
        </w:rPr>
      </w:pPr>
      <w:r>
        <w:rPr>
          <w:b/>
          <w:bCs/>
          <w:szCs w:val="21"/>
        </w:rPr>
      </w:r>
      <w:r/>
    </w:p>
    <w:p>
      <w:pPr>
        <w:spacing w:line="420" w:lineRule="exact"/>
        <w:rPr>
          <w:rFonts w:ascii="宋体" w:hAnsi="宋体"/>
          <w:b/>
          <w:sz w:val="28"/>
          <w:szCs w:val="28"/>
        </w:rPr>
      </w:pPr>
      <w:r>
        <w:rPr>
          <w:b/>
          <w:bCs/>
          <w:szCs w:val="21"/>
        </w:rPr>
        <w:t xml:space="preserve">法定代表人（授权代表）：   </w:t>
      </w:r>
      <w:r>
        <w:rPr>
          <w:rFonts w:hint="eastAsia"/>
          <w:b/>
          <w:bCs/>
          <w:szCs w:val="21"/>
        </w:rPr>
        <w:t xml:space="preserve">           </w:t>
      </w:r>
      <w:r>
        <w:rPr>
          <w:b/>
          <w:bCs/>
          <w:szCs w:val="21"/>
        </w:rPr>
        <w:t xml:space="preserve">        </w:t>
      </w:r>
      <w:r>
        <w:rPr>
          <w:rFonts w:hint="eastAsia"/>
          <w:b/>
          <w:bCs/>
          <w:szCs w:val="21"/>
        </w:rPr>
        <w:t xml:space="preserve">       </w:t>
      </w:r>
      <w:r>
        <w:rPr>
          <w:b/>
          <w:bCs/>
          <w:szCs w:val="21"/>
        </w:rPr>
        <w:t xml:space="preserve">法定代表人（授权代表）：   </w:t>
      </w:r>
      <w:r/>
    </w:p>
    <w:p>
      <w:pPr>
        <w:jc w:val="left"/>
        <w:spacing w:line="420" w:lineRule="exact"/>
        <w:rPr>
          <w:b/>
          <w:bCs/>
          <w:szCs w:val="21"/>
        </w:rPr>
      </w:pPr>
      <w:r>
        <w:rPr>
          <w:rFonts w:hint="eastAsia"/>
          <w:b/>
          <w:bCs/>
          <w:szCs w:val="21"/>
        </w:rPr>
        <w:t xml:space="preserve">           </w:t>
      </w:r>
      <w:r/>
    </w:p>
    <w:p>
      <w:pPr>
        <w:jc w:val="left"/>
        <w:spacing w:line="420" w:lineRule="exact"/>
        <w:rPr>
          <w:b/>
          <w:bCs/>
          <w:szCs w:val="21"/>
        </w:rPr>
      </w:pPr>
      <w:r>
        <w:rPr>
          <w:rFonts w:hint="eastAsia"/>
          <w:b/>
          <w:bCs/>
          <w:szCs w:val="21"/>
        </w:rPr>
        <w:t xml:space="preserve">                             </w:t>
      </w:r>
      <w:r>
        <w:rPr>
          <w:b/>
          <w:bCs/>
          <w:szCs w:val="21"/>
        </w:rPr>
        <w:t xml:space="preserve">            </w:t>
      </w:r>
      <w:r>
        <w:rPr>
          <w:rFonts w:hint="eastAsia"/>
          <w:b/>
          <w:bCs/>
          <w:szCs w:val="21"/>
        </w:rPr>
        <w:t xml:space="preserve">   </w:t>
      </w:r>
      <w:r/>
    </w:p>
    <w:p>
      <w:pPr>
        <w:spacing w:line="420" w:lineRule="exact"/>
        <w:rPr>
          <w:b/>
          <w:bCs/>
          <w:szCs w:val="21"/>
        </w:rPr>
      </w:pPr>
      <w:r>
        <w:rPr>
          <w:b/>
          <w:bCs/>
          <w:szCs w:val="21"/>
        </w:rPr>
        <w:t xml:space="preserve">签约日期： </w:t>
      </w:r>
      <w:r>
        <w:rPr>
          <w:rFonts w:hint="eastAsia"/>
          <w:b/>
          <w:bCs/>
          <w:szCs w:val="21"/>
        </w:rPr>
        <w:t xml:space="preserve">202</w:t>
      </w:r>
      <w:r>
        <w:rPr>
          <w:b/>
          <w:bCs/>
          <w:szCs w:val="21"/>
        </w:rPr>
        <w:t xml:space="preserve">6</w:t>
      </w:r>
      <w:r>
        <w:rPr>
          <w:rFonts w:hint="eastAsia"/>
          <w:b/>
          <w:bCs/>
          <w:szCs w:val="21"/>
        </w:rPr>
        <w:t xml:space="preserve">年 月 日</w:t>
      </w:r>
      <w:r>
        <w:rPr>
          <w:b/>
          <w:bCs/>
          <w:szCs w:val="21"/>
        </w:rPr>
        <w:t xml:space="preserve">              </w:t>
      </w:r>
      <w:r>
        <w:rPr>
          <w:rFonts w:hint="eastAsia"/>
          <w:b/>
          <w:bCs/>
          <w:szCs w:val="21"/>
        </w:rPr>
        <w:t xml:space="preserve">            </w:t>
      </w:r>
      <w:r>
        <w:rPr>
          <w:b/>
          <w:bCs/>
          <w:szCs w:val="21"/>
        </w:rPr>
        <w:t xml:space="preserve">签约日期：</w:t>
      </w:r>
      <w:r>
        <w:rPr>
          <w:rFonts w:hint="eastAsia"/>
          <w:b/>
          <w:bCs/>
          <w:szCs w:val="21"/>
        </w:rPr>
        <w:t xml:space="preserve">202</w:t>
      </w:r>
      <w:r>
        <w:rPr>
          <w:b/>
          <w:bCs/>
          <w:szCs w:val="21"/>
        </w:rPr>
        <w:t xml:space="preserve">6</w:t>
      </w:r>
      <w:r>
        <w:rPr>
          <w:rFonts w:hint="eastAsia"/>
          <w:b/>
          <w:bCs/>
          <w:szCs w:val="21"/>
        </w:rPr>
        <w:t xml:space="preserve">年</w:t>
      </w:r>
      <w:r>
        <w:rPr>
          <w:b/>
          <w:bCs/>
          <w:szCs w:val="21"/>
        </w:rPr>
        <w:t xml:space="preserve"> </w:t>
      </w:r>
      <w:r>
        <w:rPr>
          <w:rFonts w:hint="eastAsia"/>
          <w:b/>
          <w:bCs/>
          <w:szCs w:val="21"/>
        </w:rPr>
        <w:t xml:space="preserve">月</w:t>
      </w:r>
      <w:r>
        <w:rPr>
          <w:b/>
          <w:bCs/>
          <w:szCs w:val="21"/>
        </w:rPr>
        <w:t xml:space="preserve">  </w:t>
      </w:r>
      <w:r>
        <w:rPr>
          <w:rFonts w:hint="eastAsia"/>
          <w:b/>
          <w:bCs/>
          <w:szCs w:val="21"/>
        </w:rPr>
        <w:t xml:space="preserve">日   </w:t>
      </w:r>
      <w:r>
        <w:rPr>
          <w:b/>
          <w:bCs/>
          <w:szCs w:val="21"/>
        </w:rPr>
        <w:t xml:space="preserve">          </w:t>
      </w:r>
      <w:r>
        <w:rPr>
          <w:rFonts w:hint="eastAsia"/>
          <w:b/>
          <w:bCs/>
          <w:szCs w:val="21"/>
        </w:rPr>
        <w:t xml:space="preserve">   </w:t>
      </w:r>
      <w:r/>
    </w:p>
    <w:p>
      <w:pPr>
        <w:spacing w:line="420" w:lineRule="exact"/>
      </w:pPr>
      <w:r>
        <w:rPr>
          <w:b/>
          <w:bCs/>
          <w:szCs w:val="21"/>
        </w:rPr>
        <w:tab/>
      </w:r>
      <w:r>
        <w:rPr>
          <w:b/>
          <w:bCs/>
          <w:szCs w:val="21"/>
        </w:rPr>
        <w:tab/>
      </w:r>
      <w:r>
        <w:rPr>
          <w:b/>
          <w:bCs/>
          <w:szCs w:val="21"/>
        </w:rPr>
        <w:tab/>
      </w:r>
      <w:r>
        <w:rPr>
          <w:b/>
          <w:bCs/>
          <w:szCs w:val="21"/>
        </w:rPr>
        <w:tab/>
      </w:r>
      <w:r>
        <w:rPr>
          <w:b/>
          <w:bCs/>
          <w:szCs w:val="21"/>
        </w:rPr>
        <w:tab/>
      </w:r>
      <w:r>
        <w:rPr>
          <w:b/>
          <w:bCs/>
          <w:szCs w:val="21"/>
        </w:rPr>
        <w:t xml:space="preserve">       </w:t>
      </w:r>
      <w:r>
        <w:rPr>
          <w:rFonts w:hint="eastAsia"/>
          <w:b/>
          <w:bCs/>
          <w:szCs w:val="21"/>
        </w:rPr>
        <w:t xml:space="preserve">                  </w:t>
      </w:r>
      <w:r/>
    </w:p>
    <w:p>
      <w:pPr>
        <w:spacing w:line="500" w:lineRule="exact"/>
        <w:rPr>
          <w:rFonts w:ascii="宋体" w:hAnsi="宋体"/>
          <w:bCs/>
          <w:color w:val="000000"/>
          <w:sz w:val="24"/>
          <w:szCs w:val="24"/>
        </w:rPr>
      </w:pPr>
      <w:r>
        <w:rPr>
          <w:rFonts w:ascii="宋体" w:hAnsi="宋体"/>
          <w:bCs/>
          <w:color w:val="000000"/>
          <w:sz w:val="24"/>
          <w:szCs w:val="24"/>
        </w:rPr>
      </w:r>
      <w:bookmarkEnd w:id="136"/>
      <w:bookmarkEnd w:id="137"/>
      <w:bookmarkEnd w:id="138"/>
      <w:bookmarkEnd w:id="139"/>
      <w:r/>
    </w:p>
    <w:p>
      <w:pPr>
        <w:pStyle w:val="67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79"/>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0"/>
      <w:r>
        <w:rPr>
          <w:rFonts w:hint="eastAsia" w:ascii="黑体" w:hAnsi="Courier New" w:eastAsia="黑体" w:cs="Courier New"/>
          <w:bCs/>
          <w:color w:val="000000"/>
          <w:sz w:val="44"/>
          <w:szCs w:val="21"/>
        </w:rPr>
        <w:t xml:space="preserve">四章 采购需求</w:t>
      </w:r>
      <w:bookmarkEnd w:id="141"/>
      <w:r/>
      <w:bookmarkEnd w:id="142"/>
      <w:r/>
      <w:bookmarkEnd w:id="143"/>
      <w:r/>
      <w:r/>
    </w:p>
    <w:p>
      <w:pPr>
        <w:spacing w:line="0" w:lineRule="atLeast"/>
        <w:rPr>
          <w:rFonts w:ascii="宋体" w:hAnsi="宋体"/>
          <w:color w:val="000000"/>
          <w:sz w:val="24"/>
          <w:szCs w:val="24"/>
        </w:rPr>
      </w:pPr>
      <w:r/>
      <w:bookmarkStart w:id="148" w:name="_Toc49090575"/>
      <w:r/>
      <w:bookmarkStart w:id="149" w:name="_Toc26554093"/>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一、采购标的清单及要求：</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221"/>
        <w:gridCol w:w="2357"/>
      </w:tblGrid>
      <w:tr>
        <w:trPr>
          <w:cantSplit/>
          <w:jc w:val="center"/>
        </w:trPr>
        <w:tc>
          <w:tcPr>
            <w:tcW w:w="950"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序号</w:t>
            </w:r>
            <w:r/>
          </w:p>
        </w:tc>
        <w:tc>
          <w:tcPr>
            <w:tcW w:w="4221"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采购标的</w:t>
            </w:r>
            <w:r/>
          </w:p>
        </w:tc>
        <w:tc>
          <w:tcPr>
            <w:tcW w:w="2357"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对应</w:t>
            </w:r>
            <w:bookmarkStart w:id="150" w:name="OLE_LINK26"/>
            <w:r/>
            <w:bookmarkStart w:id="151" w:name="OLE_LINK25"/>
            <w:r>
              <w:rPr>
                <w:rFonts w:hint="eastAsia" w:ascii="宋体" w:hAnsi="宋体" w:cs="宋体"/>
                <w:color w:val="auto"/>
                <w:sz w:val="24"/>
                <w:szCs w:val="24"/>
              </w:rPr>
              <w:t xml:space="preserve">中小企业划分标准所属行业</w:t>
            </w:r>
            <w:bookmarkEnd w:id="150"/>
            <w:r/>
            <w:bookmarkEnd w:id="151"/>
            <w:r/>
            <w:r/>
          </w:p>
        </w:tc>
      </w:tr>
      <w:tr>
        <w:trPr>
          <w:cantSplit/>
          <w:jc w:val="center"/>
          <w:trHeight w:val="291"/>
        </w:trPr>
        <w:tc>
          <w:tcPr>
            <w:tcW w:w="950"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1</w:t>
            </w:r>
            <w:r/>
          </w:p>
        </w:tc>
        <w:tc>
          <w:tcPr>
            <w:tcW w:w="4221"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i w:val="0"/>
                <w:iCs/>
                <w:color w:val="auto"/>
                <w:sz w:val="24"/>
                <w:szCs w:val="24"/>
                <w:u w:val="none"/>
              </w:rPr>
              <w:t xml:space="preserve">前置审方系统（区域审方中心系统）</w:t>
            </w:r>
            <w:r/>
          </w:p>
        </w:tc>
        <w:tc>
          <w:tcPr>
            <w:tcW w:w="2357"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软件和信息技术服务业</w:t>
            </w:r>
            <w:r/>
          </w:p>
        </w:tc>
      </w:tr>
    </w:tbl>
    <w:p>
      <w:pPr>
        <w:ind w:firstLine="241"/>
        <w:spacing w:line="360" w:lineRule="auto"/>
        <w:rPr>
          <w:rFonts w:ascii="宋体" w:hAnsi="宋体" w:cs="宋体"/>
          <w:b/>
          <w:bCs/>
          <w:i w:val="0"/>
          <w:iCs/>
          <w:color w:val="auto"/>
          <w:sz w:val="24"/>
          <w:szCs w:val="24"/>
          <w:u w:val="none"/>
        </w:rPr>
      </w:pPr>
      <w:r>
        <w:rPr>
          <w:rFonts w:hint="eastAsia" w:ascii="宋体" w:hAnsi="宋体" w:cs="宋体"/>
          <w:b/>
          <w:bCs/>
          <w:i w:val="0"/>
          <w:iCs/>
          <w:color w:val="auto"/>
          <w:sz w:val="24"/>
          <w:szCs w:val="24"/>
          <w:u w:val="none"/>
        </w:rPr>
        <w:t xml:space="preserve">总体要求</w:t>
      </w:r>
      <w:r/>
    </w:p>
    <w:p>
      <w:pPr>
        <w:ind w:firstLine="480"/>
        <w:spacing w:line="360" w:lineRule="auto"/>
        <w:rPr>
          <w:rFonts w:ascii="宋体" w:hAnsi="宋体" w:cs="宋体"/>
          <w:i w:val="0"/>
          <w:iCs/>
          <w:color w:val="auto"/>
          <w:sz w:val="24"/>
          <w:szCs w:val="24"/>
          <w:u w:val="none"/>
        </w:rPr>
      </w:pPr>
      <w:r>
        <w:rPr>
          <w:rFonts w:hint="eastAsia" w:ascii="宋体" w:hAnsi="宋体" w:cs="宋体"/>
          <w:i w:val="0"/>
          <w:iCs/>
          <w:color w:val="auto"/>
          <w:sz w:val="24"/>
          <w:szCs w:val="24"/>
          <w:u w:val="none"/>
        </w:rPr>
        <w:t xml:space="preserve">（1）</w:t>
      </w:r>
      <w:r>
        <w:rPr>
          <w:rFonts w:ascii="宋体" w:hAnsi="宋体" w:cs="宋体"/>
          <w:i w:val="0"/>
          <w:iCs/>
          <w:color w:val="auto"/>
          <w:sz w:val="24"/>
          <w:szCs w:val="24"/>
          <w:u w:val="none"/>
        </w:rPr>
        <w:t xml:space="preserve">系统设计科学、合理，系统使用方便。 </w:t>
      </w:r>
      <w:r/>
    </w:p>
    <w:p>
      <w:pPr>
        <w:ind w:firstLine="480"/>
        <w:spacing w:line="360" w:lineRule="auto"/>
        <w:rPr>
          <w:rFonts w:ascii="宋体" w:hAnsi="宋体" w:cs="宋体"/>
          <w:i w:val="0"/>
          <w:iCs/>
          <w:color w:val="auto"/>
          <w:sz w:val="24"/>
          <w:szCs w:val="24"/>
          <w:u w:val="none"/>
        </w:rPr>
      </w:pPr>
      <w:r>
        <w:rPr>
          <w:rFonts w:hint="eastAsia" w:ascii="宋体" w:hAnsi="宋体" w:cs="宋体"/>
          <w:i w:val="0"/>
          <w:iCs/>
          <w:color w:val="auto"/>
          <w:sz w:val="24"/>
          <w:szCs w:val="24"/>
          <w:u w:val="none"/>
        </w:rPr>
        <w:t xml:space="preserve">（2）</w:t>
      </w:r>
      <w:r>
        <w:rPr>
          <w:rFonts w:ascii="宋体" w:hAnsi="宋体" w:cs="宋体"/>
          <w:i w:val="0"/>
          <w:iCs/>
          <w:color w:val="auto"/>
          <w:sz w:val="24"/>
          <w:szCs w:val="24"/>
          <w:u w:val="none"/>
        </w:rPr>
        <w:t xml:space="preserve">支持区域化管理、一体化运营，实现资源共享。 </w:t>
      </w:r>
      <w:r/>
    </w:p>
    <w:p>
      <w:pPr>
        <w:ind w:firstLine="480"/>
        <w:spacing w:line="360" w:lineRule="auto"/>
        <w:rPr>
          <w:rFonts w:ascii="宋体" w:hAnsi="宋体" w:cs="宋体"/>
          <w:i w:val="0"/>
          <w:iCs/>
          <w:color w:val="auto"/>
          <w:sz w:val="24"/>
          <w:szCs w:val="24"/>
          <w:u w:val="none"/>
        </w:rPr>
      </w:pPr>
      <w:r>
        <w:rPr>
          <w:rFonts w:hint="eastAsia" w:ascii="宋体" w:hAnsi="宋体" w:cs="宋体"/>
          <w:i w:val="0"/>
          <w:iCs/>
          <w:color w:val="auto"/>
          <w:sz w:val="24"/>
          <w:szCs w:val="24"/>
          <w:u w:val="none"/>
        </w:rPr>
        <w:t xml:space="preserve">（3）</w:t>
      </w:r>
      <w:r>
        <w:rPr>
          <w:rFonts w:ascii="宋体" w:hAnsi="宋体" w:cs="宋体"/>
          <w:i w:val="0"/>
          <w:iCs/>
          <w:color w:val="auto"/>
          <w:sz w:val="24"/>
          <w:szCs w:val="24"/>
          <w:u w:val="none"/>
        </w:rPr>
        <w:t xml:space="preserve">支持在同一个维护系统中对医共体内的信息进行整体管理： </w:t>
      </w:r>
      <w:r/>
    </w:p>
    <w:p>
      <w:pPr>
        <w:numPr>
          <w:ilvl w:val="0"/>
          <w:numId w:val="5"/>
        </w:numPr>
        <w:spacing w:line="360" w:lineRule="auto"/>
        <w:rPr>
          <w:rFonts w:ascii="宋体" w:hAnsi="宋体" w:cs="宋体"/>
          <w:i w:val="0"/>
          <w:iCs/>
          <w:color w:val="auto"/>
          <w:sz w:val="24"/>
          <w:szCs w:val="24"/>
          <w:u w:val="none"/>
        </w:rPr>
      </w:pPr>
      <w:r>
        <w:rPr>
          <w:rFonts w:ascii="宋体" w:hAnsi="宋体" w:cs="宋体"/>
          <w:i w:val="0"/>
          <w:iCs/>
          <w:color w:val="auto"/>
          <w:sz w:val="24"/>
          <w:szCs w:val="24"/>
          <w:u w:val="none"/>
        </w:rPr>
        <w:t xml:space="preserve">管理员应能设置用户的医疗机构管理范围，实现管理权限分级管理； </w:t>
      </w:r>
      <w:r/>
    </w:p>
    <w:p>
      <w:pPr>
        <w:numPr>
          <w:ilvl w:val="0"/>
          <w:numId w:val="5"/>
        </w:numPr>
        <w:spacing w:line="360" w:lineRule="auto"/>
        <w:rPr>
          <w:rFonts w:ascii="宋体" w:hAnsi="宋体" w:cs="宋体"/>
          <w:i w:val="0"/>
          <w:iCs/>
          <w:color w:val="auto"/>
          <w:sz w:val="24"/>
          <w:szCs w:val="24"/>
          <w:u w:val="none"/>
        </w:rPr>
      </w:pPr>
      <w:r>
        <w:rPr>
          <w:rFonts w:ascii="宋体" w:hAnsi="宋体" w:cs="宋体"/>
          <w:i w:val="0"/>
          <w:iCs/>
          <w:color w:val="auto"/>
          <w:sz w:val="24"/>
          <w:szCs w:val="24"/>
          <w:u w:val="none"/>
        </w:rPr>
        <w:t xml:space="preserve">管理员应能设置用户的系统功能使用权限，实现功能权限分级管理； </w:t>
      </w:r>
      <w:r/>
    </w:p>
    <w:p>
      <w:pPr>
        <w:numPr>
          <w:ilvl w:val="0"/>
          <w:numId w:val="5"/>
        </w:numPr>
        <w:spacing w:line="360" w:lineRule="auto"/>
        <w:rPr>
          <w:rFonts w:ascii="宋体" w:hAnsi="宋体" w:cs="宋体"/>
          <w:i w:val="0"/>
          <w:iCs/>
          <w:color w:val="auto"/>
          <w:sz w:val="24"/>
          <w:szCs w:val="24"/>
          <w:u w:val="none"/>
        </w:rPr>
      </w:pPr>
      <w:r>
        <w:rPr>
          <w:rFonts w:ascii="宋体" w:hAnsi="宋体" w:cs="宋体"/>
          <w:i w:val="0"/>
          <w:iCs/>
          <w:color w:val="auto"/>
          <w:sz w:val="24"/>
          <w:szCs w:val="24"/>
          <w:u w:val="none"/>
        </w:rPr>
        <w:t xml:space="preserve">药学人员应能按全区、部分医疗机构、单个医疗机构管理系统规则，实现同质化或差异化管理。 </w:t>
      </w:r>
      <w:r/>
    </w:p>
    <w:p>
      <w:pPr>
        <w:ind w:firstLine="480"/>
        <w:spacing w:line="360" w:lineRule="auto"/>
        <w:rPr>
          <w:rFonts w:ascii="宋体" w:hAnsi="宋体" w:cs="宋体"/>
          <w:i w:val="0"/>
          <w:iCs/>
          <w:color w:val="auto"/>
          <w:sz w:val="24"/>
          <w:szCs w:val="24"/>
          <w:u w:val="none"/>
        </w:rPr>
      </w:pPr>
      <w:r>
        <w:rPr>
          <w:rFonts w:hint="eastAsia" w:ascii="宋体" w:hAnsi="宋体" w:cs="宋体"/>
          <w:i w:val="0"/>
          <w:iCs/>
          <w:color w:val="auto"/>
          <w:sz w:val="24"/>
          <w:szCs w:val="24"/>
          <w:u w:val="none"/>
        </w:rPr>
        <w:t xml:space="preserve">（4）</w:t>
      </w:r>
      <w:r>
        <w:rPr>
          <w:rFonts w:ascii="宋体" w:hAnsi="宋体" w:cs="宋体"/>
          <w:i w:val="0"/>
          <w:iCs/>
          <w:color w:val="auto"/>
          <w:sz w:val="24"/>
          <w:szCs w:val="24"/>
          <w:u w:val="none"/>
        </w:rPr>
        <w:t xml:space="preserve">区域用药数据监控：系统应能监控各医疗机构系统审查出的不合理用药问题的发生情况，应能按照问题类型和严重程度进行分类统计。系统应能监控区域、各医疗机构处方审核干预情况，应能追踪干预效果，实现当日动态监测。 </w:t>
      </w:r>
      <w:r/>
    </w:p>
    <w:p>
      <w:pPr>
        <w:ind w:firstLine="480"/>
        <w:spacing w:line="360" w:lineRule="auto"/>
        <w:rPr>
          <w:rFonts w:ascii="宋体" w:hAnsi="宋体" w:cs="宋体"/>
          <w:i w:val="0"/>
          <w:iCs/>
          <w:color w:val="auto"/>
          <w:sz w:val="24"/>
          <w:szCs w:val="24"/>
          <w:u w:val="none"/>
        </w:rPr>
      </w:pPr>
      <w:r>
        <w:rPr>
          <w:rFonts w:hint="eastAsia" w:ascii="宋体" w:hAnsi="宋体" w:cs="宋体"/>
          <w:i w:val="0"/>
          <w:iCs/>
          <w:color w:val="auto"/>
          <w:sz w:val="24"/>
          <w:szCs w:val="24"/>
          <w:u w:val="none"/>
        </w:rPr>
        <w:t xml:space="preserve">（5）</w:t>
      </w:r>
      <w:r>
        <w:rPr>
          <w:rFonts w:ascii="宋体" w:hAnsi="宋体" w:cs="宋体"/>
          <w:i w:val="0"/>
          <w:iCs/>
          <w:color w:val="auto"/>
          <w:sz w:val="24"/>
          <w:szCs w:val="24"/>
          <w:u w:val="none"/>
        </w:rPr>
        <w:t xml:space="preserve">建设范围： </w:t>
      </w:r>
      <w:r/>
    </w:p>
    <w:p>
      <w:pPr>
        <w:ind w:firstLine="480"/>
        <w:spacing w:line="360" w:lineRule="auto"/>
        <w:rPr>
          <w:rFonts w:ascii="宋体" w:hAnsi="宋体" w:cs="宋体"/>
          <w:i w:val="0"/>
          <w:iCs/>
          <w:color w:val="auto"/>
          <w:sz w:val="24"/>
          <w:szCs w:val="24"/>
          <w:u w:val="none"/>
        </w:rPr>
      </w:pPr>
      <w:r>
        <w:rPr>
          <w:rFonts w:ascii="宋体" w:hAnsi="宋体" w:cs="宋体"/>
          <w:i w:val="0"/>
          <w:iCs/>
          <w:color w:val="auto"/>
          <w:sz w:val="24"/>
          <w:szCs w:val="24"/>
          <w:u w:val="none"/>
        </w:rPr>
        <w:t xml:space="preserve">南通市海门区中医院及</w:t>
      </w:r>
      <w:r>
        <w:rPr>
          <w:rFonts w:hint="eastAsia" w:ascii="宋体" w:hAnsi="宋体" w:cs="宋体"/>
          <w:i w:val="0"/>
          <w:iCs/>
          <w:color w:val="auto"/>
          <w:sz w:val="24"/>
          <w:szCs w:val="24"/>
          <w:u w:val="none"/>
        </w:rPr>
        <w:t xml:space="preserve">下属</w:t>
      </w:r>
      <w:r>
        <w:rPr>
          <w:rFonts w:ascii="宋体" w:hAnsi="宋体" w:cs="宋体"/>
          <w:i w:val="0"/>
          <w:iCs/>
          <w:color w:val="auto"/>
          <w:sz w:val="24"/>
          <w:szCs w:val="24"/>
          <w:u w:val="none"/>
        </w:rPr>
        <w:t xml:space="preserve">8家社区卫生服务中心：医药信息查询功能、处方/医嘱分析点评功能、统计报表系统、合理用药管理系统、前置审方管理系统 </w:t>
      </w:r>
      <w:r/>
    </w:p>
    <w:tbl>
      <w:tblPr>
        <w:tblStyle w:val="671"/>
        <w:tblW w:w="8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3466"/>
        <w:gridCol w:w="3255"/>
        <w:gridCol w:w="1140"/>
      </w:tblGrid>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序号</w:t>
            </w:r>
            <w:r/>
          </w:p>
        </w:tc>
        <w:tc>
          <w:tcPr>
            <w:tcW w:w="3466"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医院</w:t>
            </w:r>
            <w:r/>
          </w:p>
        </w:tc>
        <w:tc>
          <w:tcPr>
            <w:tcW w:w="3255"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内容</w:t>
            </w:r>
            <w:r/>
          </w:p>
        </w:tc>
        <w:tc>
          <w:tcPr>
            <w:tcW w:w="1140"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备注</w:t>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1</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南通市海门区中医院</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合理用药和知识库升级、药师审方系统及处方点评系统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2</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南通市海门区三厂街道中心卫生院</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3</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海门港新区（包场镇）中心卫生院</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4</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三厂镇卫生院</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5</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常乐镇卫生院</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6</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海门港新区卫生院（刘浩）</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7</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正余镇卫生院</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8</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滨江街道第一社区卫生服务中心（江滨）</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r>
        <w:trPr>
          <w:jc w:val="center"/>
          <w:trHeight w:val="817"/>
        </w:trPr>
        <w:tc>
          <w:tcPr>
            <w:tcW w:w="979" w:type="dxa"/>
            <w:vAlign w:val="center"/>
            <w:textDirection w:val="lrTb"/>
            <w:noWrap w:val="false"/>
          </w:tcPr>
          <w:p>
            <w:pPr>
              <w:jc w:val="center"/>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9</w:t>
            </w:r>
            <w:r/>
          </w:p>
        </w:tc>
        <w:tc>
          <w:tcPr>
            <w:tcW w:w="3466"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滨江街道第二社区卫生服务中心（三和）</w:t>
            </w:r>
            <w:r/>
          </w:p>
        </w:tc>
        <w:tc>
          <w:tcPr>
            <w:tcW w:w="3255" w:type="dxa"/>
            <w:vAlign w:val="center"/>
            <w:textDirection w:val="lrTb"/>
            <w:noWrap w:val="false"/>
          </w:tcPr>
          <w:p>
            <w:pPr>
              <w:jc w:val="both"/>
              <w:spacing w:line="360" w:lineRule="auto"/>
              <w:rPr>
                <w:rFonts w:ascii="宋体" w:hAnsi="宋体" w:cs="宋体"/>
                <w:i w:val="0"/>
                <w:iCs/>
                <w:color w:val="auto"/>
                <w:szCs w:val="21"/>
                <w:u w:val="none"/>
              </w:rPr>
            </w:pPr>
            <w:r>
              <w:rPr>
                <w:rFonts w:hint="eastAsia" w:ascii="宋体" w:hAnsi="宋体" w:cs="宋体"/>
                <w:i w:val="0"/>
                <w:iCs/>
                <w:color w:val="auto"/>
                <w:szCs w:val="21"/>
                <w:u w:val="none"/>
              </w:rPr>
              <w:t xml:space="preserve">区域药师审方系统</w:t>
            </w:r>
            <w:r/>
          </w:p>
        </w:tc>
        <w:tc>
          <w:tcPr>
            <w:tcW w:w="1140" w:type="dxa"/>
            <w:vAlign w:val="center"/>
            <w:textDirection w:val="lrTb"/>
            <w:noWrap w:val="false"/>
          </w:tcPr>
          <w:p>
            <w:pPr>
              <w:jc w:val="both"/>
              <w:spacing w:line="360" w:lineRule="auto"/>
              <w:rPr>
                <w:rFonts w:ascii="宋体" w:hAnsi="宋体" w:cs="宋体"/>
                <w:i w:val="0"/>
                <w:iCs/>
                <w:color w:val="auto"/>
                <w:szCs w:val="21"/>
                <w:u w:val="none"/>
              </w:rPr>
            </w:pPr>
            <w:r>
              <w:rPr>
                <w:rFonts w:ascii="宋体" w:hAnsi="宋体" w:cs="宋体"/>
                <w:i w:val="0"/>
                <w:iCs/>
                <w:color w:val="auto"/>
                <w:szCs w:val="21"/>
                <w:u w:val="none"/>
              </w:rPr>
            </w:r>
            <w:r/>
          </w:p>
        </w:tc>
      </w:tr>
    </w:tbl>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二、技术要求</w:t>
      </w:r>
      <w:r/>
    </w:p>
    <w:p>
      <w:pPr>
        <w:spacing w:line="360" w:lineRule="auto"/>
        <w:rPr>
          <w:rFonts w:ascii="宋体" w:hAnsi="宋体" w:cs="宋体"/>
          <w:b/>
          <w:bCs/>
          <w:color w:val="0000ff"/>
          <w:sz w:val="24"/>
          <w:szCs w:val="24"/>
        </w:rPr>
      </w:pPr>
      <w:r>
        <w:rPr>
          <w:rFonts w:hint="eastAsia" w:ascii="宋体" w:hAnsi="宋体" w:cs="宋体"/>
          <w:bCs/>
          <w:color w:val="000000"/>
          <w:sz w:val="24"/>
          <w:szCs w:val="24"/>
        </w:rPr>
        <w:t xml:space="preserve">技术要求是指对采购标的功能和质量要求，包括性能、材料、结构、外观、安全，或者服务内容和标准等。其中</w:t>
      </w:r>
      <w:r>
        <w:rPr>
          <w:rFonts w:hint="eastAsia" w:ascii="宋体" w:hAnsi="宋体" w:cs="宋体"/>
          <w:b/>
          <w:bCs/>
          <w:i/>
          <w:color w:val="000000"/>
          <w:sz w:val="24"/>
          <w:szCs w:val="24"/>
          <w:u w:val="single"/>
        </w:rPr>
        <w:t xml:space="preserve">斜体且有下划线部分</w:t>
      </w:r>
      <w:r>
        <w:rPr>
          <w:rFonts w:hint="eastAsia" w:ascii="宋体" w:hAnsi="宋体" w:cs="宋体"/>
          <w:b/>
          <w:bCs/>
          <w:color w:val="000000"/>
          <w:sz w:val="24"/>
          <w:szCs w:val="24"/>
        </w:rPr>
        <w:t xml:space="preserve">或加*号条款为实质性要求。</w:t>
      </w:r>
      <w:r/>
    </w:p>
    <w:tbl>
      <w:tblPr>
        <w:tblStyle w:val="671"/>
        <w:tblpPr w:horzAnchor="page" w:tblpX="1271" w:vertAnchor="text" w:tblpY="209" w:leftFromText="180" w:topFromText="0" w:rightFromText="180" w:bottomFromText="0"/>
        <w:tblW w:w="910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663"/>
        <w:gridCol w:w="1822"/>
        <w:gridCol w:w="5615"/>
      </w:tblGrid>
      <w:tr>
        <w:trPr>
          <w:trHeight w:val="468"/>
        </w:trPr>
        <w:tc>
          <w:tcPr>
            <w:shd w:val="clear" w:color="auto" w:fill="auto"/>
            <w:tcW w:w="1663" w:type="dxa"/>
            <w:textDirection w:val="lrTb"/>
            <w:noWrap w:val="false"/>
          </w:tcPr>
          <w:p>
            <w:pPr>
              <w:pStyle w:val="934"/>
              <w:ind w:left="98"/>
              <w:jc w:val="center"/>
              <w:spacing w:before="139" w:line="219" w:lineRule="auto"/>
              <w:rPr>
                <w:sz w:val="20"/>
                <w:szCs w:val="20"/>
              </w:rPr>
            </w:pPr>
            <w:r>
              <w:rPr>
                <w:rFonts w:hint="eastAsia"/>
                <w:b/>
                <w:bCs/>
                <w:spacing w:val="-7"/>
                <w:sz w:val="20"/>
                <w:szCs w:val="20"/>
              </w:rPr>
              <w:t xml:space="preserve">模块</w:t>
            </w:r>
            <w:r/>
          </w:p>
        </w:tc>
        <w:tc>
          <w:tcPr>
            <w:shd w:val="clear" w:color="auto" w:fill="auto"/>
            <w:tcW w:w="1822" w:type="dxa"/>
            <w:textDirection w:val="lrTb"/>
            <w:noWrap w:val="false"/>
          </w:tcPr>
          <w:p>
            <w:pPr>
              <w:pStyle w:val="934"/>
              <w:ind w:left="112"/>
              <w:jc w:val="center"/>
              <w:spacing w:before="140" w:line="221" w:lineRule="auto"/>
              <w:rPr>
                <w:sz w:val="20"/>
                <w:szCs w:val="20"/>
              </w:rPr>
            </w:pPr>
            <w:r>
              <w:rPr>
                <w:rFonts w:hint="eastAsia"/>
                <w:b/>
                <w:bCs/>
                <w:spacing w:val="-9"/>
                <w:sz w:val="20"/>
                <w:szCs w:val="20"/>
              </w:rPr>
              <w:t xml:space="preserve">功能</w:t>
            </w:r>
            <w:r/>
          </w:p>
        </w:tc>
        <w:tc>
          <w:tcPr>
            <w:shd w:val="clear" w:color="auto" w:fill="auto"/>
            <w:tcW w:w="5615" w:type="dxa"/>
            <w:textDirection w:val="lrTb"/>
            <w:noWrap w:val="false"/>
          </w:tcPr>
          <w:p>
            <w:pPr>
              <w:pStyle w:val="934"/>
              <w:ind w:left="120"/>
              <w:jc w:val="center"/>
              <w:spacing w:before="140" w:line="221" w:lineRule="auto"/>
              <w:rPr>
                <w:sz w:val="20"/>
                <w:szCs w:val="20"/>
              </w:rPr>
            </w:pPr>
            <w:r>
              <w:rPr>
                <w:rFonts w:hint="eastAsia"/>
                <w:b/>
                <w:bCs/>
                <w:spacing w:val="-11"/>
                <w:sz w:val="20"/>
                <w:szCs w:val="20"/>
              </w:rPr>
              <w:t xml:space="preserve">功能描述</w:t>
            </w:r>
            <w:r/>
          </w:p>
        </w:tc>
      </w:tr>
      <w:tr>
        <w:trPr>
          <w:trHeight w:val="90"/>
        </w:trPr>
        <w:tc>
          <w:tcPr>
            <w:shd w:val="clear" w:color="auto" w:fill="auto"/>
            <w:tcW w:w="1663" w:type="dxa"/>
            <w:vMerge w:val="restart"/>
            <w:textDirection w:val="lrTb"/>
            <w:noWrap w:val="false"/>
          </w:tcPr>
          <w:p>
            <w:pPr>
              <w:pStyle w:val="934"/>
              <w:ind w:left="4" w:firstLine="6"/>
              <w:spacing w:before="27" w:line="242" w:lineRule="auto"/>
              <w:rPr>
                <w:sz w:val="20"/>
                <w:szCs w:val="20"/>
              </w:rPr>
            </w:pPr>
            <w:r>
              <w:rPr>
                <w:rFonts w:hint="eastAsia"/>
                <w:b/>
                <w:bCs/>
                <w:spacing w:val="-16"/>
                <w:sz w:val="20"/>
                <w:szCs w:val="20"/>
              </w:rPr>
              <w:t xml:space="preserve">医药信息查询</w:t>
            </w:r>
            <w:r>
              <w:rPr>
                <w:rFonts w:hint="eastAsia"/>
                <w:b/>
                <w:bCs/>
                <w:spacing w:val="-9"/>
                <w:sz w:val="20"/>
                <w:szCs w:val="20"/>
              </w:rPr>
              <w:t xml:space="preserve">功能</w:t>
            </w:r>
            <w:r/>
          </w:p>
        </w:tc>
        <w:tc>
          <w:tcPr>
            <w:shd w:val="clear" w:color="auto" w:fill="auto"/>
            <w:tcW w:w="1822" w:type="dxa"/>
            <w:textDirection w:val="lrTb"/>
            <w:noWrap w:val="false"/>
          </w:tcPr>
          <w:p>
            <w:pPr>
              <w:pStyle w:val="934"/>
              <w:ind w:left="6"/>
              <w:jc w:val="center"/>
              <w:spacing w:before="26" w:line="219" w:lineRule="auto"/>
              <w:rPr>
                <w:sz w:val="20"/>
                <w:szCs w:val="20"/>
              </w:rPr>
            </w:pPr>
            <w:r>
              <w:rPr>
                <w:rFonts w:hint="eastAsia"/>
                <w:spacing w:val="-5"/>
                <w:sz w:val="20"/>
                <w:szCs w:val="20"/>
              </w:rPr>
              <w:t xml:space="preserve">说明书查看</w:t>
            </w:r>
            <w:r/>
          </w:p>
        </w:tc>
        <w:tc>
          <w:tcPr>
            <w:shd w:val="clear" w:color="auto" w:fill="auto"/>
            <w:tcW w:w="5615" w:type="dxa"/>
            <w:textDirection w:val="lrTb"/>
            <w:noWrap w:val="false"/>
          </w:tcPr>
          <w:p>
            <w:pPr>
              <w:pStyle w:val="934"/>
              <w:ind w:left="8" w:right="100" w:firstLine="441"/>
              <w:spacing w:before="26"/>
              <w:rPr>
                <w:sz w:val="20"/>
                <w:szCs w:val="20"/>
                <w:lang w:eastAsia="zh-CN"/>
              </w:rPr>
            </w:pPr>
            <w:r>
              <w:rPr>
                <w:rFonts w:hint="eastAsia"/>
                <w:spacing w:val="-3"/>
                <w:sz w:val="20"/>
                <w:szCs w:val="20"/>
                <w:lang w:eastAsia="zh-CN"/>
              </w:rPr>
              <w:t xml:space="preserve">可查看各厂家已上市药品的完整说明书，</w:t>
            </w:r>
            <w:r>
              <w:rPr>
                <w:rFonts w:hint="eastAsia"/>
                <w:spacing w:val="-1"/>
                <w:sz w:val="20"/>
                <w:szCs w:val="20"/>
                <w:lang w:eastAsia="zh-CN"/>
              </w:rPr>
              <w:t xml:space="preserve">还提供高级检</w:t>
            </w:r>
            <w:r>
              <w:rPr>
                <w:rFonts w:hint="eastAsia"/>
                <w:spacing w:val="-11"/>
                <w:sz w:val="20"/>
                <w:szCs w:val="20"/>
                <w:lang w:eastAsia="zh-CN"/>
              </w:rPr>
              <w:t xml:space="preserve">索的功能。</w:t>
            </w:r>
            <w:r/>
          </w:p>
        </w:tc>
      </w:tr>
      <w:tr>
        <w:trPr>
          <w:trHeight w:val="90"/>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4"/>
              <w:jc w:val="center"/>
              <w:spacing w:before="36" w:line="220" w:lineRule="auto"/>
              <w:rPr>
                <w:sz w:val="20"/>
                <w:szCs w:val="20"/>
              </w:rPr>
            </w:pPr>
            <w:r>
              <w:rPr>
                <w:rFonts w:hint="eastAsia"/>
                <w:spacing w:val="-9"/>
                <w:sz w:val="20"/>
                <w:szCs w:val="20"/>
              </w:rPr>
              <w:t xml:space="preserve">医药学公式</w:t>
            </w:r>
            <w:r/>
          </w:p>
        </w:tc>
        <w:tc>
          <w:tcPr>
            <w:shd w:val="clear" w:color="auto" w:fill="auto"/>
            <w:tcW w:w="5615" w:type="dxa"/>
            <w:textDirection w:val="lrTb"/>
            <w:noWrap w:val="false"/>
          </w:tcPr>
          <w:p>
            <w:pPr>
              <w:pStyle w:val="934"/>
              <w:ind w:left="11" w:firstLine="437"/>
              <w:spacing w:before="36"/>
              <w:rPr>
                <w:sz w:val="20"/>
                <w:szCs w:val="20"/>
                <w:lang w:eastAsia="zh-CN"/>
              </w:rPr>
            </w:pPr>
            <w:r>
              <w:rPr>
                <w:rFonts w:hint="eastAsia"/>
                <w:spacing w:val="-3"/>
                <w:sz w:val="20"/>
                <w:szCs w:val="20"/>
                <w:lang w:eastAsia="zh-CN"/>
              </w:rPr>
              <w:t xml:space="preserve">提供“心血管系统、呼吸系统、泌尿系统、内</w:t>
            </w:r>
            <w:r>
              <w:rPr>
                <w:rFonts w:hint="eastAsia"/>
                <w:spacing w:val="-5"/>
                <w:sz w:val="20"/>
                <w:szCs w:val="20"/>
                <w:lang w:eastAsia="zh-CN"/>
              </w:rPr>
              <w:t xml:space="preserve">分泌系统、血液系统、肿瘤与应用、儿科学 ”7   类</w:t>
            </w:r>
            <w:r>
              <w:rPr>
                <w:rFonts w:hint="eastAsia"/>
                <w:spacing w:val="-7"/>
                <w:sz w:val="20"/>
                <w:szCs w:val="20"/>
                <w:lang w:eastAsia="zh-CN"/>
              </w:rPr>
              <w:t xml:space="preserve">医学相关计算公式的应用计算。</w:t>
            </w:r>
            <w:r/>
          </w:p>
        </w:tc>
      </w:tr>
      <w:tr>
        <w:trPr>
          <w:trHeight w:val="219"/>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3" w:right="213" w:hanging="8"/>
              <w:jc w:val="center"/>
              <w:spacing w:before="37" w:line="246" w:lineRule="auto"/>
              <w:rPr>
                <w:sz w:val="20"/>
                <w:szCs w:val="20"/>
              </w:rPr>
            </w:pPr>
            <w:r>
              <w:rPr>
                <w:rFonts w:hint="eastAsia"/>
                <w:spacing w:val="-9"/>
                <w:sz w:val="20"/>
                <w:szCs w:val="20"/>
              </w:rPr>
              <w:t xml:space="preserve">▲</w:t>
            </w:r>
            <w:r>
              <w:rPr>
                <w:rFonts w:hint="eastAsia"/>
                <w:sz w:val="20"/>
                <w:szCs w:val="20"/>
              </w:rPr>
              <w:t xml:space="preserve">中药饮片知识库</w:t>
            </w:r>
            <w:r/>
          </w:p>
        </w:tc>
        <w:tc>
          <w:tcPr>
            <w:shd w:val="clear" w:color="auto" w:fill="auto"/>
            <w:tcW w:w="5615" w:type="dxa"/>
            <w:textDirection w:val="lrTb"/>
            <w:noWrap w:val="false"/>
          </w:tcPr>
          <w:p>
            <w:pPr>
              <w:pStyle w:val="934"/>
              <w:spacing w:before="166"/>
              <w:rPr>
                <w:sz w:val="20"/>
                <w:szCs w:val="20"/>
                <w:lang w:eastAsia="zh-CN"/>
              </w:rPr>
            </w:pPr>
            <w:r>
              <w:rPr>
                <w:rFonts w:hint="eastAsia"/>
                <w:sz w:val="20"/>
                <w:szCs w:val="20"/>
                <w:lang w:eastAsia="zh-CN"/>
              </w:rPr>
              <w:t xml:space="preserve">开放给医院的可视化快速维护中药饮片知识库内容工具，在中药饮片知识库发生变动时，支持医院不经软件公司，能进行对中药饮片知识库进行新建、修改、删除等修订中药饮片专论内容操作。</w:t>
            </w:r>
            <w:r/>
          </w:p>
        </w:tc>
      </w:tr>
      <w:tr>
        <w:trPr>
          <w:trHeight w:val="295"/>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1"/>
              <w:jc w:val="center"/>
              <w:spacing w:before="47" w:line="199" w:lineRule="auto"/>
              <w:rPr>
                <w:sz w:val="20"/>
                <w:szCs w:val="20"/>
              </w:rPr>
            </w:pPr>
            <w:r>
              <w:rPr>
                <w:rFonts w:hint="eastAsia"/>
                <w:sz w:val="20"/>
                <w:szCs w:val="20"/>
              </w:rPr>
              <w:t xml:space="preserve">中医病名</w:t>
            </w:r>
            <w:r/>
          </w:p>
        </w:tc>
        <w:tc>
          <w:tcPr>
            <w:shd w:val="clear" w:color="auto" w:fill="auto"/>
            <w:tcW w:w="5615" w:type="dxa"/>
            <w:textDirection w:val="lrTb"/>
            <w:noWrap w:val="false"/>
          </w:tcPr>
          <w:p>
            <w:pPr>
              <w:pStyle w:val="934"/>
              <w:ind w:left="8"/>
              <w:spacing w:before="47" w:line="199" w:lineRule="auto"/>
              <w:rPr>
                <w:sz w:val="20"/>
                <w:szCs w:val="20"/>
                <w:lang w:eastAsia="zh-CN"/>
              </w:rPr>
            </w:pPr>
            <w:r>
              <w:rPr>
                <w:rFonts w:hint="eastAsia"/>
                <w:sz w:val="20"/>
                <w:szCs w:val="20"/>
                <w:lang w:eastAsia="zh-CN"/>
              </w:rPr>
              <w:t xml:space="preserve">维护医院中医疾病名目录</w:t>
            </w:r>
            <w:r/>
          </w:p>
        </w:tc>
      </w:tr>
      <w:tr>
        <w:trPr>
          <w:trHeight w:val="295"/>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1"/>
              <w:jc w:val="center"/>
              <w:spacing w:before="47" w:line="199" w:lineRule="auto"/>
              <w:rPr>
                <w:spacing w:val="-8"/>
                <w:sz w:val="20"/>
                <w:szCs w:val="20"/>
              </w:rPr>
            </w:pPr>
            <w:r>
              <w:rPr>
                <w:rFonts w:hint="eastAsia"/>
                <w:sz w:val="20"/>
                <w:szCs w:val="20"/>
              </w:rPr>
              <w:t xml:space="preserve">中医证型</w:t>
            </w:r>
            <w:r/>
          </w:p>
        </w:tc>
        <w:tc>
          <w:tcPr>
            <w:shd w:val="clear" w:color="auto" w:fill="auto"/>
            <w:tcW w:w="5615" w:type="dxa"/>
            <w:textDirection w:val="lrTb"/>
            <w:noWrap w:val="false"/>
          </w:tcPr>
          <w:p>
            <w:pPr>
              <w:pStyle w:val="934"/>
              <w:ind w:left="8"/>
              <w:spacing w:before="47" w:line="199" w:lineRule="auto"/>
              <w:rPr>
                <w:spacing w:val="-3"/>
                <w:sz w:val="20"/>
                <w:szCs w:val="20"/>
                <w:lang w:eastAsia="zh-CN"/>
              </w:rPr>
            </w:pPr>
            <w:r>
              <w:rPr>
                <w:rFonts w:hint="eastAsia"/>
                <w:sz w:val="20"/>
                <w:szCs w:val="20"/>
                <w:lang w:eastAsia="zh-CN"/>
              </w:rPr>
              <w:t xml:space="preserve">维护医院中医证侯名目录</w:t>
            </w:r>
            <w:r/>
          </w:p>
        </w:tc>
      </w:tr>
      <w:tr>
        <w:trPr>
          <w:trHeight w:val="630"/>
        </w:trPr>
        <w:tc>
          <w:tcPr>
            <w:shd w:val="clear" w:color="auto" w:fill="auto"/>
            <w:tcW w:w="1663" w:type="dxa"/>
            <w:vMerge w:val="restart"/>
            <w:textDirection w:val="lrTb"/>
            <w:noWrap w:val="false"/>
          </w:tcPr>
          <w:p>
            <w:pPr>
              <w:jc w:val="left"/>
              <w:rPr>
                <w:rFonts w:ascii="宋体" w:hAnsi="宋体" w:cs="宋体"/>
                <w:sz w:val="20"/>
                <w:szCs w:val="20"/>
              </w:rPr>
            </w:pPr>
            <w:r>
              <w:rPr>
                <w:rFonts w:hint="eastAsia" w:ascii="宋体" w:hAnsi="宋体" w:cs="宋体"/>
                <w:b/>
                <w:bCs/>
                <w:spacing w:val="-12"/>
                <w:sz w:val="20"/>
                <w:szCs w:val="20"/>
              </w:rPr>
              <w:t xml:space="preserve">处方/医</w:t>
            </w:r>
            <w:r>
              <w:rPr>
                <w:rFonts w:hint="eastAsia" w:ascii="宋体" w:hAnsi="宋体" w:cs="宋体"/>
                <w:b/>
                <w:bCs/>
                <w:spacing w:val="-17"/>
                <w:sz w:val="20"/>
                <w:szCs w:val="20"/>
              </w:rPr>
              <w:t xml:space="preserve">嘱</w:t>
            </w:r>
            <w:r>
              <w:rPr>
                <w:rFonts w:hint="eastAsia" w:ascii="宋体" w:hAnsi="宋体" w:cs="宋体"/>
                <w:b/>
                <w:bCs/>
                <w:spacing w:val="-16"/>
                <w:sz w:val="20"/>
                <w:szCs w:val="20"/>
              </w:rPr>
              <w:t xml:space="preserve">分析点评</w:t>
            </w:r>
            <w:r>
              <w:rPr>
                <w:rFonts w:hint="eastAsia" w:ascii="宋体" w:hAnsi="宋体" w:cs="宋体"/>
                <w:b/>
                <w:bCs/>
                <w:spacing w:val="-15"/>
                <w:sz w:val="20"/>
                <w:szCs w:val="20"/>
              </w:rPr>
              <w:t xml:space="preserve">功</w:t>
            </w:r>
            <w:r>
              <w:rPr>
                <w:rFonts w:hint="eastAsia" w:ascii="宋体" w:hAnsi="宋体" w:cs="宋体"/>
                <w:b/>
                <w:bCs/>
                <w:spacing w:val="-3"/>
                <w:sz w:val="20"/>
                <w:szCs w:val="20"/>
              </w:rPr>
              <w:t xml:space="preserve">能</w:t>
            </w:r>
            <w:r/>
          </w:p>
        </w:tc>
        <w:tc>
          <w:tcPr>
            <w:shd w:val="clear" w:color="auto" w:fill="auto"/>
            <w:tcW w:w="1822" w:type="dxa"/>
            <w:textDirection w:val="lrTb"/>
            <w:noWrap w:val="false"/>
          </w:tcPr>
          <w:p>
            <w:pPr>
              <w:pStyle w:val="934"/>
              <w:ind w:left="11"/>
              <w:jc w:val="center"/>
              <w:spacing w:before="47" w:line="199" w:lineRule="auto"/>
              <w:rPr>
                <w:spacing w:val="-8"/>
                <w:sz w:val="20"/>
                <w:szCs w:val="20"/>
                <w:lang w:eastAsia="zh-CN"/>
              </w:rPr>
            </w:pPr>
            <w:r>
              <w:rPr>
                <w:rFonts w:hint="eastAsia"/>
                <w:spacing w:val="-7"/>
                <w:sz w:val="20"/>
                <w:szCs w:val="20"/>
              </w:rPr>
              <w:t xml:space="preserve">处方/医嘱</w:t>
            </w:r>
            <w:r>
              <w:rPr>
                <w:rFonts w:hint="eastAsia"/>
                <w:spacing w:val="-7"/>
                <w:sz w:val="20"/>
                <w:szCs w:val="20"/>
                <w:lang w:eastAsia="zh-CN"/>
              </w:rPr>
              <w:t xml:space="preserve">自动点评</w:t>
            </w:r>
            <w:r/>
          </w:p>
        </w:tc>
        <w:tc>
          <w:tcPr>
            <w:shd w:val="clear" w:color="auto" w:fill="auto"/>
            <w:tcW w:w="5615" w:type="dxa"/>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rPr>
              <w:t xml:space="preserve">(1)闲时点评：系统每日在非工作时间（可按照要求预设在夜间）定时自动点评全院门（急）诊所 有处方并提供点评意见， 内容保存在合理用药系统服务器中，便于用户可随时快速查看过往任 意时段的处方点评内容与结果。药师查看时，无须再从HIS 系统调用处方数据信息，从而避免 对 HIS 系统造成影响。点评结果应可排除无效处方及未缴费处方。(</w:t>
            </w:r>
            <w:r>
              <w:rPr>
                <w:rFonts w:hint="eastAsia" w:ascii="宋体" w:hAnsi="宋体" w:cs="宋体"/>
                <w:color w:val="000000"/>
                <w:spacing w:val="8"/>
                <w:sz w:val="20"/>
                <w:szCs w:val="20"/>
              </w:rPr>
              <w:t xml:space="preserve">2) 跨科室、跨处方点评： 同一患者当日在不同科室、不同医生处开具的处方需做合并点评，对其 中的用药不合理问题给出自动点评意见。</w:t>
            </w:r>
            <w:r/>
          </w:p>
          <w:p>
            <w:pPr>
              <w:jc w:val="left"/>
              <w:rPr>
                <w:rFonts w:ascii="宋体" w:hAnsi="宋体" w:cs="宋体"/>
                <w:color w:val="000000"/>
                <w:spacing w:val="-3"/>
                <w:sz w:val="20"/>
                <w:szCs w:val="20"/>
              </w:rPr>
            </w:pPr>
            <w:r>
              <w:rPr>
                <w:rFonts w:hint="eastAsia" w:ascii="宋体" w:hAnsi="宋体" w:cs="宋体"/>
                <w:color w:val="000000"/>
                <w:sz w:val="20"/>
                <w:szCs w:val="20"/>
              </w:rPr>
              <w:t xml:space="preserve">(3)长临医嘱联合点评：支持长期医嘱和临时医嘱做联合点评。(4) LIS 数据带入自动审查功能：处方点评时，系统可自动访问患者LIS 检验结果，结合患者检验 值对用药合理性做自动点评。(5) 点评项目：可从无适应症用药、药物禁忌症/慎用症、给药途径与用法用量、用药疗程、重复给  药、药物相互作用、配伍禁忌、高危用药人群（孕产妇/儿童/高龄老人/</w:t>
            </w:r>
            <w:r>
              <w:rPr>
                <w:rFonts w:hint="eastAsia" w:ascii="宋体" w:hAnsi="宋体" w:cs="宋体"/>
                <w:color w:val="000000"/>
                <w:sz w:val="20"/>
                <w:szCs w:val="20"/>
              </w:rPr>
              <w:t xml:space="preserve">肝肾胰腺功能不全患者） 用药风险、抗菌药物及特殊用药权限方面进行审核与点评。 (6) 处方查询：系统支持根据日期、问题类型、药品类别、抗菌药等级、患者、处方合理性、药品 和 自定义药品类别等关键字查询处方，并且可以通过点击查询结果的处方号查看处方详情。其 中医生只能查询本人处方，科主任只能查询本科室处方。(7) 处方问题查询：系统支持根据日期、 问题类型、药品、抗菌药等级等关键字查询相应的处方问 题，并且可以通过点击查询结果的处方号查看处方详情。其中医生只能查询本人处方问题，科 主任只能查询本科室处方问题。</w:t>
            </w:r>
            <w:r/>
          </w:p>
        </w:tc>
      </w:tr>
      <w:tr>
        <w:trPr>
          <w:trHeight w:val="295"/>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1"/>
              <w:jc w:val="center"/>
              <w:spacing w:before="47" w:line="199" w:lineRule="auto"/>
              <w:rPr>
                <w:spacing w:val="-8"/>
                <w:sz w:val="20"/>
                <w:szCs w:val="20"/>
              </w:rPr>
            </w:pPr>
            <w:r>
              <w:rPr>
                <w:rFonts w:hint="eastAsia"/>
                <w:spacing w:val="-7"/>
                <w:sz w:val="20"/>
                <w:szCs w:val="20"/>
              </w:rPr>
              <w:t xml:space="preserve">处方/医嘱</w:t>
            </w:r>
            <w:r>
              <w:rPr>
                <w:rFonts w:hint="eastAsia"/>
                <w:spacing w:val="-7"/>
                <w:sz w:val="20"/>
                <w:szCs w:val="20"/>
                <w:lang w:eastAsia="zh-CN"/>
              </w:rPr>
              <w:t xml:space="preserve">人工点评</w:t>
            </w:r>
            <w:r/>
          </w:p>
        </w:tc>
        <w:tc>
          <w:tcPr>
            <w:shd w:val="clear" w:color="auto" w:fill="auto"/>
            <w:tcW w:w="5615" w:type="dxa"/>
            <w:textDirection w:val="lrTb"/>
            <w:noWrap w:val="false"/>
          </w:tcPr>
          <w:p>
            <w:pPr>
              <w:ind w:right="86"/>
              <w:jc w:val="left"/>
              <w:spacing w:before="65"/>
              <w:rPr>
                <w:rFonts w:ascii="宋体" w:hAnsi="宋体" w:cs="宋体"/>
                <w:color w:val="000000"/>
                <w:spacing w:val="-3"/>
                <w:sz w:val="20"/>
                <w:szCs w:val="20"/>
              </w:rPr>
            </w:pPr>
            <w:r>
              <w:rPr>
                <w:rFonts w:hint="eastAsia" w:ascii="宋体" w:hAnsi="宋体" w:cs="宋体"/>
                <w:color w:val="000000"/>
                <w:spacing w:val="10"/>
                <w:sz w:val="20"/>
                <w:szCs w:val="20"/>
              </w:rPr>
              <w:t xml:space="preserve">（1）处方查询：支持用户根据日期、问</w:t>
            </w:r>
            <w:r>
              <w:rPr>
                <w:rFonts w:hint="eastAsia" w:ascii="宋体" w:hAnsi="宋体" w:cs="宋体"/>
                <w:color w:val="000000"/>
                <w:spacing w:val="9"/>
                <w:sz w:val="20"/>
                <w:szCs w:val="20"/>
              </w:rPr>
              <w:t xml:space="preserve">题类型、身份、费别、年龄段、就诊科室、药品类别、抗菌</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药等级、药理分类、处方号、患者</w:t>
            </w:r>
            <w:r>
              <w:rPr>
                <w:rFonts w:hint="eastAsia" w:ascii="宋体" w:hAnsi="宋体" w:cs="宋体"/>
                <w:color w:val="000000"/>
                <w:spacing w:val="-26"/>
                <w:sz w:val="20"/>
                <w:szCs w:val="20"/>
              </w:rPr>
              <w:t xml:space="preserve"> </w:t>
            </w:r>
            <w:r>
              <w:rPr>
                <w:rFonts w:hint="eastAsia" w:ascii="宋体" w:hAnsi="宋体" w:cs="宋体"/>
                <w:color w:val="000000"/>
                <w:sz w:val="20"/>
                <w:szCs w:val="20"/>
              </w:rPr>
              <w:t xml:space="preserve">ID</w:t>
            </w:r>
            <w:r>
              <w:rPr>
                <w:rFonts w:hint="eastAsia" w:ascii="宋体" w:hAnsi="宋体" w:cs="宋体"/>
                <w:color w:val="000000"/>
                <w:spacing w:val="8"/>
                <w:sz w:val="20"/>
                <w:szCs w:val="20"/>
              </w:rPr>
              <w:t xml:space="preserve">、患者姓名、医生姓名、医生</w:t>
            </w:r>
            <w:r>
              <w:rPr>
                <w:rFonts w:hint="eastAsia" w:ascii="宋体" w:hAnsi="宋体" w:cs="宋体"/>
                <w:color w:val="000000"/>
                <w:spacing w:val="7"/>
                <w:sz w:val="20"/>
                <w:szCs w:val="20"/>
              </w:rPr>
              <w:t xml:space="preserve">职称、处方合理性、门</w:t>
            </w:r>
            <w:r>
              <w:rPr>
                <w:rFonts w:hint="eastAsia" w:ascii="宋体" w:hAnsi="宋体" w:cs="宋体"/>
                <w:color w:val="000000"/>
                <w:spacing w:val="-56"/>
                <w:sz w:val="20"/>
                <w:szCs w:val="20"/>
              </w:rPr>
              <w:t xml:space="preserve"> </w:t>
            </w:r>
            <w:r>
              <w:rPr>
                <w:rFonts w:hint="eastAsia" w:ascii="宋体" w:hAnsi="宋体" w:cs="宋体"/>
                <w:color w:val="000000"/>
                <w:spacing w:val="7"/>
                <w:sz w:val="20"/>
                <w:szCs w:val="20"/>
              </w:rPr>
              <w:t xml:space="preserve">(急)</w:t>
            </w:r>
            <w:r>
              <w:rPr>
                <w:rFonts w:hint="eastAsia" w:ascii="宋体" w:hAnsi="宋体" w:cs="宋体"/>
                <w:color w:val="000000"/>
                <w:sz w:val="20"/>
                <w:szCs w:val="20"/>
              </w:rPr>
              <w:t xml:space="preserve"> </w:t>
            </w:r>
            <w:r>
              <w:rPr>
                <w:rFonts w:hint="eastAsia" w:ascii="宋体" w:hAnsi="宋体" w:cs="宋体"/>
                <w:color w:val="000000"/>
                <w:spacing w:val="11"/>
                <w:sz w:val="20"/>
                <w:szCs w:val="20"/>
              </w:rPr>
              <w:t xml:space="preserve">诊、药品名称、发药药房和自定义药品类别</w:t>
            </w:r>
            <w:r>
              <w:rPr>
                <w:rFonts w:hint="eastAsia" w:ascii="宋体" w:hAnsi="宋体" w:cs="宋体"/>
                <w:color w:val="000000"/>
                <w:spacing w:val="10"/>
                <w:sz w:val="20"/>
                <w:szCs w:val="20"/>
              </w:rPr>
              <w:t xml:space="preserve">筛选条件查询系统点评后的处方，默认查询不合理</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处方。通过点击查询结果的处方号可以查看处方详情、系统点评结果并进行人工的点评。</w:t>
            </w:r>
            <w:r>
              <w:rPr>
                <w:rFonts w:hint="eastAsia" w:ascii="宋体" w:hAnsi="宋体" w:cs="宋体"/>
                <w:color w:val="000000"/>
                <w:spacing w:val="10"/>
                <w:sz w:val="20"/>
                <w:szCs w:val="20"/>
              </w:rPr>
              <w:t xml:space="preserve">(2) 处方分配：具有处方点评分配功能</w:t>
            </w:r>
            <w:r>
              <w:rPr>
                <w:rFonts w:hint="eastAsia" w:ascii="宋体" w:hAnsi="宋体" w:cs="宋体"/>
                <w:color w:val="000000"/>
                <w:spacing w:val="9"/>
                <w:sz w:val="20"/>
                <w:szCs w:val="20"/>
              </w:rPr>
              <w:t xml:space="preserve">，支持系统分配和人工分配。主管药师可将需人工点评的处</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方筛选出后分配给指定的药师做人工点评。</w:t>
            </w:r>
            <w:r>
              <w:rPr>
                <w:rFonts w:hint="eastAsia" w:ascii="宋体" w:hAnsi="宋体" w:cs="宋体"/>
                <w:color w:val="000000"/>
                <w:spacing w:val="10"/>
                <w:sz w:val="20"/>
                <w:szCs w:val="20"/>
              </w:rPr>
              <w:t xml:space="preserve">(3) 脱敏点评：系统支持设置患者、医生、</w:t>
            </w:r>
            <w:r>
              <w:rPr>
                <w:rFonts w:hint="eastAsia" w:ascii="宋体" w:hAnsi="宋体" w:cs="宋体"/>
                <w:color w:val="000000"/>
                <w:spacing w:val="9"/>
                <w:sz w:val="20"/>
                <w:szCs w:val="20"/>
              </w:rPr>
              <w:t xml:space="preserve">科室、药师的脱敏审核功能，设置后，查看点评处方信</w:t>
            </w:r>
            <w:r>
              <w:rPr>
                <w:rFonts w:hint="eastAsia" w:ascii="宋体" w:hAnsi="宋体" w:cs="宋体"/>
                <w:color w:val="000000"/>
                <w:sz w:val="20"/>
                <w:szCs w:val="20"/>
              </w:rPr>
              <w:t xml:space="preserve"> </w:t>
            </w:r>
            <w:r>
              <w:rPr>
                <w:rFonts w:hint="eastAsia" w:ascii="宋体" w:hAnsi="宋体" w:cs="宋体"/>
                <w:color w:val="000000"/>
                <w:spacing w:val="7"/>
                <w:sz w:val="20"/>
                <w:szCs w:val="20"/>
              </w:rPr>
              <w:t xml:space="preserve">息的时候，就不显示相关信息。</w:t>
            </w:r>
            <w:r>
              <w:rPr>
                <w:rFonts w:hint="eastAsia" w:ascii="宋体" w:hAnsi="宋体" w:cs="宋体"/>
                <w:color w:val="000000"/>
                <w:spacing w:val="10"/>
                <w:sz w:val="20"/>
                <w:szCs w:val="20"/>
              </w:rPr>
              <w:t xml:space="preserve">(4) 处方冻结：支持药师进行点评工作</w:t>
            </w:r>
            <w:r>
              <w:rPr>
                <w:rFonts w:hint="eastAsia" w:ascii="宋体" w:hAnsi="宋体" w:cs="宋体"/>
                <w:color w:val="000000"/>
                <w:spacing w:val="9"/>
                <w:sz w:val="20"/>
                <w:szCs w:val="20"/>
              </w:rPr>
              <w:t xml:space="preserve">时，对筛选出来的处方可作冻结处理，即筛选出来的处方暂</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时从全院处方中抽离出来，不会被其他药师筛选到做点评工作，</w:t>
            </w:r>
            <w:r>
              <w:rPr>
                <w:rFonts w:hint="eastAsia" w:ascii="宋体" w:hAnsi="宋体" w:cs="宋体"/>
                <w:color w:val="000000"/>
                <w:spacing w:val="-45"/>
                <w:sz w:val="20"/>
                <w:szCs w:val="20"/>
              </w:rPr>
              <w:t xml:space="preserve"> </w:t>
            </w:r>
            <w:r>
              <w:rPr>
                <w:rFonts w:hint="eastAsia" w:ascii="宋体" w:hAnsi="宋体" w:cs="宋体"/>
                <w:color w:val="000000"/>
                <w:spacing w:val="9"/>
                <w:sz w:val="20"/>
                <w:szCs w:val="20"/>
              </w:rPr>
              <w:t xml:space="preserve">以防多个药师同时点评一份处</w:t>
            </w:r>
            <w:r>
              <w:rPr>
                <w:rFonts w:hint="eastAsia" w:ascii="宋体" w:hAnsi="宋体" w:cs="宋体"/>
                <w:color w:val="000000"/>
                <w:sz w:val="20"/>
                <w:szCs w:val="20"/>
              </w:rPr>
              <w:t xml:space="preserve"> </w:t>
            </w:r>
            <w:r>
              <w:rPr>
                <w:rFonts w:hint="eastAsia" w:ascii="宋体" w:hAnsi="宋体" w:cs="宋体"/>
                <w:color w:val="000000"/>
                <w:spacing w:val="-5"/>
                <w:sz w:val="20"/>
                <w:szCs w:val="20"/>
              </w:rPr>
              <w:t xml:space="preserve">方。</w:t>
            </w:r>
            <w:r>
              <w:rPr>
                <w:rFonts w:hint="eastAsia" w:ascii="宋体" w:hAnsi="宋体" w:cs="宋体"/>
                <w:color w:val="000000"/>
                <w:spacing w:val="7"/>
                <w:sz w:val="20"/>
                <w:szCs w:val="20"/>
              </w:rPr>
              <w:t xml:space="preserve">(5)</w:t>
            </w:r>
            <w:r>
              <w:rPr>
                <w:rFonts w:hint="eastAsia" w:ascii="宋体" w:hAnsi="宋体" w:cs="宋体"/>
                <w:color w:val="000000"/>
                <w:spacing w:val="43"/>
                <w:sz w:val="20"/>
                <w:szCs w:val="20"/>
              </w:rPr>
              <w:t xml:space="preserve"> </w:t>
            </w:r>
            <w:r>
              <w:rPr>
                <w:rFonts w:hint="eastAsia" w:ascii="宋体" w:hAnsi="宋体" w:cs="宋体"/>
                <w:color w:val="000000"/>
                <w:spacing w:val="7"/>
                <w:sz w:val="20"/>
                <w:szCs w:val="20"/>
              </w:rPr>
              <w:t xml:space="preserve">患者处方查阅：药师处方点评时可看到当日内同一患者开具的所有处方。(6) 处方收藏：对特定的点评处方，可做收藏处理。</w:t>
            </w:r>
            <w:r>
              <w:rPr>
                <w:rFonts w:hint="eastAsia" w:ascii="宋体" w:hAnsi="宋体" w:cs="宋体"/>
                <w:color w:val="000000"/>
                <w:spacing w:val="6"/>
                <w:sz w:val="20"/>
                <w:szCs w:val="20"/>
              </w:rPr>
              <w:t xml:space="preserve">(7) 分级点评：软件应支持处方分级点评。</w:t>
            </w:r>
            <w:r>
              <w:rPr>
                <w:rFonts w:hint="eastAsia" w:ascii="宋体" w:hAnsi="宋体" w:cs="宋体"/>
                <w:color w:val="000000"/>
                <w:spacing w:val="10"/>
                <w:sz w:val="20"/>
                <w:szCs w:val="20"/>
              </w:rPr>
              <w:t xml:space="preserve">a.可由药师提交问题处方给上一级专家点评，专家点评该处方后，药师接收专家点评完毕的 </w:t>
            </w:r>
            <w:r>
              <w:rPr>
                <w:rFonts w:hint="eastAsia" w:ascii="宋体" w:hAnsi="宋体" w:cs="宋体"/>
                <w:color w:val="000000"/>
                <w:spacing w:val="7"/>
                <w:sz w:val="20"/>
                <w:szCs w:val="20"/>
              </w:rPr>
              <w:t xml:space="preserve">处方进行查看、学习、确认。b.专家查阅下级药师点评完毕的处方，并可做出修改，修改后的点评结果以专点评的为准。</w:t>
            </w:r>
            <w:r>
              <w:rPr>
                <w:rFonts w:hint="eastAsia" w:ascii="宋体" w:hAnsi="宋体" w:cs="宋体"/>
                <w:color w:val="000000"/>
                <w:spacing w:val="10"/>
                <w:sz w:val="20"/>
                <w:szCs w:val="20"/>
              </w:rPr>
              <w:t xml:space="preserve">c.支持药师查询本人请求给专家并且专家已完成点评的处方。通过点击查询结果的处方号可</w:t>
            </w:r>
            <w:r>
              <w:rPr>
                <w:rFonts w:hint="eastAsia" w:ascii="宋体" w:hAnsi="宋体" w:cs="宋体"/>
                <w:color w:val="000000"/>
                <w:spacing w:val="8"/>
                <w:sz w:val="20"/>
                <w:szCs w:val="20"/>
              </w:rPr>
              <w:t xml:space="preserve">以查看处方详情、系统点评结果、专家点评结果并点评。</w:t>
            </w:r>
            <w:r>
              <w:rPr>
                <w:rFonts w:hint="eastAsia" w:ascii="宋体" w:hAnsi="宋体" w:cs="宋体"/>
                <w:color w:val="000000"/>
                <w:spacing w:val="10"/>
                <w:sz w:val="20"/>
                <w:szCs w:val="20"/>
              </w:rPr>
              <w:t xml:space="preserve">d.系统支持药师查询本人点评后的处方、本人已确认专家点评本人的处方以及请求给专家点</w:t>
            </w:r>
            <w:r>
              <w:rPr>
                <w:rFonts w:hint="eastAsia" w:ascii="宋体" w:hAnsi="宋体" w:cs="宋体"/>
                <w:color w:val="000000"/>
                <w:spacing w:val="6"/>
                <w:sz w:val="20"/>
                <w:szCs w:val="20"/>
              </w:rPr>
              <w:t xml:space="preserve"> </w:t>
            </w:r>
            <w:r>
              <w:rPr>
                <w:rFonts w:hint="eastAsia" w:ascii="宋体" w:hAnsi="宋体" w:cs="宋体"/>
                <w:color w:val="000000"/>
                <w:spacing w:val="9"/>
                <w:sz w:val="20"/>
                <w:szCs w:val="20"/>
              </w:rPr>
              <w:t xml:space="preserve">评的处方，通过点击查询结果的处方号可以查看具体详情。</w:t>
            </w:r>
            <w:r>
              <w:rPr>
                <w:rFonts w:hint="eastAsia" w:ascii="宋体" w:hAnsi="宋体" w:cs="宋体"/>
                <w:color w:val="000000"/>
                <w:spacing w:val="10"/>
                <w:sz w:val="20"/>
                <w:szCs w:val="20"/>
              </w:rPr>
              <w:t xml:space="preserve">e.系统支持专家查询药师请求给本人点评的处方以及查询本人点评的处方，支持专家进行处</w:t>
            </w:r>
            <w:r>
              <w:rPr>
                <w:rFonts w:hint="eastAsia" w:ascii="宋体" w:hAnsi="宋体" w:cs="宋体"/>
                <w:color w:val="000000"/>
                <w:spacing w:val="2"/>
                <w:sz w:val="20"/>
                <w:szCs w:val="20"/>
              </w:rPr>
              <w:t xml:space="preserve">方点评。</w:t>
            </w:r>
            <w:r>
              <w:rPr>
                <w:rFonts w:hint="eastAsia" w:ascii="宋体" w:hAnsi="宋体" w:cs="宋体"/>
                <w:color w:val="000000"/>
                <w:spacing w:val="8"/>
                <w:sz w:val="20"/>
                <w:szCs w:val="20"/>
              </w:rPr>
              <w:t xml:space="preserve">(8) 专项点评：系统支持专项点评，如围手术期抗菌药物专项点评、</w:t>
            </w:r>
            <w:r>
              <w:rPr>
                <w:rFonts w:hint="eastAsia" w:ascii="宋体" w:hAnsi="宋体" w:cs="宋体"/>
                <w:color w:val="000000"/>
                <w:spacing w:val="-34"/>
                <w:sz w:val="20"/>
                <w:szCs w:val="20"/>
              </w:rPr>
              <w:t xml:space="preserve"> </w:t>
            </w:r>
            <w:r>
              <w:rPr>
                <w:rFonts w:hint="eastAsia" w:ascii="宋体" w:hAnsi="宋体" w:cs="宋体"/>
                <w:color w:val="000000"/>
                <w:spacing w:val="8"/>
                <w:sz w:val="20"/>
                <w:szCs w:val="20"/>
              </w:rPr>
              <w:t xml:space="preserve">中药饮片专项点评、抗肿瘤药</w:t>
            </w:r>
            <w:r>
              <w:rPr>
                <w:rFonts w:hint="eastAsia" w:ascii="宋体" w:hAnsi="宋体" w:cs="宋体"/>
                <w:color w:val="000000"/>
                <w:spacing w:val="11"/>
                <w:sz w:val="20"/>
                <w:szCs w:val="20"/>
              </w:rPr>
              <w:t xml:space="preserve">物专项点评、住院病人特殊级抗菌药物专项点评、</w:t>
            </w:r>
            <w:r>
              <w:rPr>
                <w:rFonts w:hint="eastAsia" w:ascii="宋体" w:hAnsi="宋体" w:cs="宋体"/>
                <w:color w:val="000000"/>
                <w:spacing w:val="10"/>
                <w:sz w:val="20"/>
                <w:szCs w:val="20"/>
              </w:rPr>
              <w:t xml:space="preserve">住院病人碳青霉烯类及替加环素专项点评、</w:t>
            </w:r>
            <w:r>
              <w:rPr>
                <w:rFonts w:hint="eastAsia" w:ascii="宋体" w:hAnsi="宋体" w:cs="宋体"/>
                <w:color w:val="000000"/>
                <w:sz w:val="20"/>
                <w:szCs w:val="20"/>
              </w:rPr>
              <w:t xml:space="preserve"> </w:t>
            </w:r>
            <w:r>
              <w:rPr>
                <w:rFonts w:hint="eastAsia" w:ascii="宋体" w:hAnsi="宋体" w:cs="宋体"/>
                <w:color w:val="000000"/>
                <w:spacing w:val="11"/>
                <w:sz w:val="20"/>
                <w:szCs w:val="20"/>
              </w:rPr>
              <w:t xml:space="preserve">住院病人人血白蛋白专项点评、门（急）诊基本药</w:t>
            </w:r>
            <w:r>
              <w:rPr>
                <w:rFonts w:hint="eastAsia" w:ascii="宋体" w:hAnsi="宋体" w:cs="宋体"/>
                <w:color w:val="000000"/>
                <w:spacing w:val="10"/>
                <w:sz w:val="20"/>
                <w:szCs w:val="20"/>
              </w:rPr>
              <w:t xml:space="preserve">物专项点评、住院病人肠外营养专项点评。</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系统能够实现任意分类药品的专项点评。</w:t>
            </w:r>
            <w:r/>
          </w:p>
        </w:tc>
      </w:tr>
      <w:tr>
        <w:trPr>
          <w:trHeight w:val="477"/>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1"/>
              <w:jc w:val="center"/>
              <w:spacing w:before="47" w:line="199" w:lineRule="auto"/>
              <w:rPr>
                <w:spacing w:val="-8"/>
                <w:sz w:val="20"/>
                <w:szCs w:val="20"/>
              </w:rPr>
            </w:pPr>
            <w:r>
              <w:rPr>
                <w:rFonts w:hint="eastAsia"/>
                <w:spacing w:val="-8"/>
                <w:sz w:val="20"/>
                <w:szCs w:val="20"/>
              </w:rPr>
              <w:t xml:space="preserve">患者信息查看</w:t>
            </w:r>
            <w:r/>
          </w:p>
        </w:tc>
        <w:tc>
          <w:tcPr>
            <w:shd w:val="clear" w:color="auto" w:fill="auto"/>
            <w:tcW w:w="5615" w:type="dxa"/>
            <w:textDirection w:val="lrTb"/>
            <w:noWrap w:val="false"/>
          </w:tcPr>
          <w:p>
            <w:pPr>
              <w:jc w:val="left"/>
              <w:spacing w:before="216"/>
              <w:rPr>
                <w:rFonts w:ascii="宋体" w:hAnsi="宋体" w:cs="宋体"/>
                <w:color w:val="000000"/>
                <w:spacing w:val="-3"/>
                <w:sz w:val="20"/>
                <w:szCs w:val="20"/>
              </w:rPr>
            </w:pPr>
            <w:r>
              <w:rPr>
                <w:rFonts w:hint="eastAsia" w:ascii="宋体" w:hAnsi="宋体" w:cs="宋体"/>
                <w:color w:val="000000"/>
                <w:spacing w:val="7"/>
                <w:sz w:val="20"/>
                <w:szCs w:val="20"/>
              </w:rPr>
              <w:t xml:space="preserve">(1)药师处方点评时，可在点评界面调阅门诊电子病历、门诊检查/检验数据，不必手动切换到其他</w:t>
            </w:r>
            <w:r>
              <w:rPr>
                <w:rFonts w:hint="eastAsia" w:ascii="宋体" w:hAnsi="宋体" w:cs="宋体"/>
                <w:color w:val="000000"/>
                <w:spacing w:val="4"/>
                <w:sz w:val="20"/>
                <w:szCs w:val="20"/>
              </w:rPr>
              <w:t xml:space="preserve">第三方系统。</w:t>
            </w:r>
            <w:r>
              <w:rPr>
                <w:rFonts w:hint="eastAsia" w:ascii="宋体" w:hAnsi="宋体" w:cs="宋体"/>
                <w:color w:val="000000"/>
                <w:spacing w:val="9"/>
                <w:sz w:val="20"/>
                <w:szCs w:val="20"/>
              </w:rPr>
              <w:t xml:space="preserve">(2) 药师</w:t>
            </w:r>
            <w:r>
              <w:rPr>
                <w:rFonts w:hint="eastAsia" w:ascii="宋体" w:hAnsi="宋体" w:cs="宋体"/>
                <w:color w:val="000000"/>
                <w:spacing w:val="8"/>
                <w:sz w:val="20"/>
                <w:szCs w:val="20"/>
              </w:rPr>
              <w:t xml:space="preserve">在进行医嘱点评、审核等工作时可调阅</w:t>
            </w:r>
            <w:r>
              <w:rPr>
                <w:rFonts w:hint="eastAsia" w:ascii="宋体" w:hAnsi="宋体" w:cs="宋体"/>
                <w:color w:val="000000"/>
                <w:sz w:val="20"/>
                <w:szCs w:val="20"/>
              </w:rPr>
              <w:t xml:space="preserve">  LIS</w:t>
            </w:r>
            <w:r>
              <w:rPr>
                <w:rFonts w:hint="eastAsia" w:ascii="宋体" w:hAnsi="宋体" w:cs="宋体"/>
                <w:color w:val="000000"/>
                <w:spacing w:val="9"/>
                <w:sz w:val="20"/>
                <w:szCs w:val="20"/>
              </w:rPr>
              <w:t xml:space="preserve">、</w:t>
            </w:r>
            <w:r>
              <w:rPr>
                <w:rFonts w:hint="eastAsia" w:ascii="宋体" w:hAnsi="宋体" w:cs="宋体"/>
                <w:color w:val="000000"/>
                <w:sz w:val="20"/>
                <w:szCs w:val="20"/>
              </w:rPr>
              <w:t xml:space="preserve">PACS</w:t>
            </w:r>
            <w:r>
              <w:rPr>
                <w:rFonts w:hint="eastAsia" w:ascii="宋体" w:hAnsi="宋体" w:cs="宋体"/>
                <w:color w:val="000000"/>
                <w:spacing w:val="9"/>
                <w:sz w:val="20"/>
                <w:szCs w:val="20"/>
              </w:rPr>
              <w:t xml:space="preserve">、</w:t>
            </w:r>
            <w:r>
              <w:rPr>
                <w:rFonts w:hint="eastAsia" w:ascii="宋体" w:hAnsi="宋体" w:cs="宋体"/>
                <w:color w:val="000000"/>
                <w:sz w:val="20"/>
                <w:szCs w:val="20"/>
              </w:rPr>
              <w:t xml:space="preserve">EMR</w:t>
            </w:r>
            <w:r>
              <w:rPr>
                <w:rFonts w:hint="eastAsia" w:ascii="宋体" w:hAnsi="宋体" w:cs="宋体"/>
                <w:color w:val="000000"/>
                <w:spacing w:val="-25"/>
                <w:sz w:val="20"/>
                <w:szCs w:val="20"/>
              </w:rPr>
              <w:t xml:space="preserve"> </w:t>
            </w:r>
            <w:r>
              <w:rPr>
                <w:rFonts w:hint="eastAsia" w:ascii="宋体" w:hAnsi="宋体" w:cs="宋体"/>
                <w:color w:val="000000"/>
                <w:spacing w:val="9"/>
                <w:sz w:val="20"/>
                <w:szCs w:val="20"/>
              </w:rPr>
              <w:t xml:space="preserve">等院内系统的患者信息,包括患者基本信息、手术操作、检验结果、护理数据、</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检查结果、重症监护出入记录、</w:t>
            </w:r>
            <w:r>
              <w:rPr>
                <w:rFonts w:hint="eastAsia" w:ascii="宋体" w:hAnsi="宋体" w:cs="宋体"/>
                <w:color w:val="000000"/>
                <w:spacing w:val="-56"/>
                <w:sz w:val="20"/>
                <w:szCs w:val="20"/>
              </w:rPr>
              <w:t xml:space="preserve"> </w:t>
            </w:r>
            <w:r>
              <w:rPr>
                <w:rFonts w:hint="eastAsia" w:ascii="宋体" w:hAnsi="宋体" w:cs="宋体"/>
                <w:color w:val="000000"/>
                <w:spacing w:val="8"/>
                <w:sz w:val="20"/>
                <w:szCs w:val="20"/>
              </w:rPr>
              <w:t xml:space="preserve">电子病历等，不必手动切换多个系</w:t>
            </w:r>
            <w:r>
              <w:rPr>
                <w:rFonts w:hint="eastAsia" w:ascii="宋体" w:hAnsi="宋体" w:cs="宋体"/>
                <w:color w:val="000000"/>
                <w:spacing w:val="7"/>
                <w:sz w:val="20"/>
                <w:szCs w:val="20"/>
              </w:rPr>
              <w:t xml:space="preserve">统。</w:t>
            </w:r>
            <w:r/>
          </w:p>
        </w:tc>
      </w:tr>
      <w:tr>
        <w:trPr>
          <w:trHeight w:val="90"/>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665"/>
              <w:numPr>
                <w:ilvl w:val="4"/>
                <w:numId w:val="0"/>
              </w:numPr>
              <w:jc w:val="center"/>
              <w:rPr>
                <w:rFonts w:hAnsi="宋体" w:cs="宋体"/>
                <w:spacing w:val="-8"/>
                <w:sz w:val="20"/>
                <w:szCs w:val="20"/>
              </w:rPr>
            </w:pPr>
            <w:r>
              <w:rPr>
                <w:rFonts w:hint="eastAsia" w:hAnsi="宋体" w:cs="宋体"/>
                <w:spacing w:val="-8"/>
                <w:sz w:val="20"/>
                <w:szCs w:val="20"/>
              </w:rPr>
              <w:t xml:space="preserve">处方（医嘱）查询</w:t>
            </w:r>
            <w:r/>
          </w:p>
          <w:p>
            <w:pPr>
              <w:pStyle w:val="934"/>
              <w:ind w:left="5" w:right="163" w:firstLine="3"/>
              <w:jc w:val="center"/>
              <w:spacing w:before="32" w:line="242" w:lineRule="auto"/>
              <w:rPr>
                <w:sz w:val="20"/>
                <w:szCs w:val="20"/>
              </w:rPr>
            </w:pPr>
            <w:r>
              <w:rPr>
                <w:sz w:val="20"/>
                <w:szCs w:val="20"/>
              </w:rPr>
            </w:r>
            <w:r/>
          </w:p>
        </w:tc>
        <w:tc>
          <w:tcPr>
            <w:shd w:val="clear" w:color="auto" w:fill="auto"/>
            <w:tcW w:w="5615" w:type="dxa"/>
            <w:textDirection w:val="lrTb"/>
            <w:noWrap w:val="false"/>
          </w:tcPr>
          <w:p>
            <w:pPr>
              <w:ind w:right="67"/>
              <w:jc w:val="left"/>
              <w:spacing w:before="65"/>
              <w:rPr>
                <w:sz w:val="20"/>
                <w:szCs w:val="20"/>
                <w:lang w:eastAsia="zh-CN"/>
              </w:rPr>
            </w:pPr>
            <w:r>
              <w:rPr>
                <w:rFonts w:hint="eastAsia" w:ascii="宋体" w:hAnsi="宋体" w:cs="宋体"/>
                <w:color w:val="000000"/>
                <w:spacing w:val="7"/>
                <w:sz w:val="20"/>
                <w:szCs w:val="20"/>
              </w:rPr>
              <w:t xml:space="preserve">(1)处方点评结果查询：软件应支持药师、科主任、医生等不同用户角色，通过筛选包含且不限于日</w:t>
            </w:r>
            <w:r>
              <w:rPr>
                <w:rFonts w:hint="eastAsia" w:ascii="宋体" w:hAnsi="宋体" w:cs="宋体"/>
                <w:color w:val="000000"/>
                <w:spacing w:val="5"/>
                <w:sz w:val="20"/>
                <w:szCs w:val="20"/>
              </w:rPr>
              <w:t xml:space="preserve"> </w:t>
            </w:r>
            <w:r>
              <w:rPr>
                <w:rFonts w:hint="eastAsia" w:ascii="宋体" w:hAnsi="宋体" w:cs="宋体"/>
                <w:color w:val="000000"/>
                <w:spacing w:val="9"/>
                <w:sz w:val="20"/>
                <w:szCs w:val="20"/>
              </w:rPr>
              <w:t xml:space="preserve">期、</w:t>
            </w:r>
            <w:r>
              <w:rPr>
                <w:rFonts w:hint="eastAsia" w:ascii="宋体" w:hAnsi="宋体" w:cs="宋体"/>
                <w:color w:val="000000"/>
                <w:spacing w:val="-40"/>
                <w:sz w:val="20"/>
                <w:szCs w:val="20"/>
              </w:rPr>
              <w:t xml:space="preserve"> </w:t>
            </w:r>
            <w:r>
              <w:rPr>
                <w:rFonts w:hint="eastAsia" w:ascii="宋体" w:hAnsi="宋体" w:cs="宋体"/>
                <w:color w:val="000000"/>
                <w:spacing w:val="9"/>
                <w:sz w:val="20"/>
                <w:szCs w:val="20"/>
              </w:rPr>
              <w:t xml:space="preserve">问题类型、就诊科室、处方号、患者姓名、医生姓名、药品名称、等筛选条件查询包含患</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者信息、医生信息、药品信息、点评结果、医生反</w:t>
            </w:r>
            <w:r>
              <w:rPr>
                <w:rFonts w:hint="eastAsia" w:ascii="宋体" w:hAnsi="宋体" w:cs="宋体"/>
                <w:color w:val="000000"/>
                <w:spacing w:val="8"/>
                <w:sz w:val="20"/>
                <w:szCs w:val="20"/>
              </w:rPr>
              <w:t xml:space="preserve">馈等。</w:t>
            </w:r>
            <w:r>
              <w:rPr>
                <w:rFonts w:hint="eastAsia" w:ascii="宋体" w:hAnsi="宋体" w:cs="宋体"/>
                <w:color w:val="000000"/>
                <w:spacing w:val="6"/>
                <w:sz w:val="20"/>
                <w:szCs w:val="20"/>
              </w:rPr>
              <w:t xml:space="preserve">(2) 处方问题查询：软件应支持药师、科主任、医生等不同用户角色，通过筛选包含且不限于日期、</w:t>
            </w:r>
            <w:r>
              <w:rPr>
                <w:rFonts w:hint="eastAsia" w:ascii="宋体" w:hAnsi="宋体" w:cs="宋体"/>
                <w:color w:val="000000"/>
                <w:spacing w:val="12"/>
                <w:sz w:val="20"/>
                <w:szCs w:val="20"/>
              </w:rPr>
              <w:t xml:space="preserve"> </w:t>
            </w:r>
            <w:r>
              <w:rPr>
                <w:rFonts w:hint="eastAsia" w:ascii="宋体" w:hAnsi="宋体" w:cs="宋体"/>
                <w:color w:val="000000"/>
                <w:spacing w:val="10"/>
                <w:sz w:val="20"/>
                <w:szCs w:val="20"/>
              </w:rPr>
              <w:t xml:space="preserve">问题类型、就诊科室、处方号、患者姓名、医生姓名、药品名称、等筛选条件查询处方问题类</w:t>
            </w:r>
            <w:r>
              <w:rPr>
                <w:rFonts w:hint="eastAsia" w:ascii="宋体" w:hAnsi="宋体" w:cs="宋体"/>
                <w:color w:val="000000"/>
                <w:spacing w:val="17"/>
                <w:sz w:val="20"/>
                <w:szCs w:val="20"/>
              </w:rPr>
              <w:t xml:space="preserve"> </w:t>
            </w:r>
            <w:r>
              <w:rPr>
                <w:rFonts w:hint="eastAsia" w:ascii="宋体" w:hAnsi="宋体" w:cs="宋体"/>
                <w:color w:val="000000"/>
                <w:spacing w:val="5"/>
                <w:sz w:val="20"/>
                <w:szCs w:val="20"/>
              </w:rPr>
              <w:t xml:space="preserve">别、</w:t>
            </w:r>
            <w:r>
              <w:rPr>
                <w:rFonts w:hint="eastAsia" w:ascii="宋体" w:hAnsi="宋体" w:cs="宋体"/>
                <w:color w:val="000000"/>
                <w:spacing w:val="-50"/>
                <w:sz w:val="20"/>
                <w:szCs w:val="20"/>
              </w:rPr>
              <w:t xml:space="preserve"> </w:t>
            </w:r>
            <w:r>
              <w:rPr>
                <w:rFonts w:hint="eastAsia" w:ascii="宋体" w:hAnsi="宋体" w:cs="宋体"/>
                <w:color w:val="000000"/>
                <w:spacing w:val="5"/>
                <w:sz w:val="20"/>
                <w:szCs w:val="20"/>
              </w:rPr>
              <w:t xml:space="preserve">问题描述、医生反馈等信息</w:t>
            </w:r>
            <w:r>
              <w:rPr>
                <w:rFonts w:hint="eastAsia" w:ascii="宋体" w:hAnsi="宋体" w:cs="宋体"/>
                <w:color w:val="000000"/>
                <w:spacing w:val="9"/>
                <w:sz w:val="20"/>
                <w:szCs w:val="20"/>
              </w:rPr>
              <w:t xml:space="preserve">(3)特殊级抗菌药物处方查询：软件应支持药师可通过筛选日期、患者</w:t>
            </w:r>
            <w:r>
              <w:rPr>
                <w:rFonts w:hint="eastAsia" w:ascii="宋体" w:hAnsi="宋体" w:cs="宋体"/>
                <w:color w:val="000000"/>
                <w:spacing w:val="-10"/>
                <w:sz w:val="20"/>
                <w:szCs w:val="20"/>
              </w:rPr>
              <w:t xml:space="preserve"> </w:t>
            </w:r>
            <w:r>
              <w:rPr>
                <w:rFonts w:hint="eastAsia" w:ascii="宋体" w:hAnsi="宋体" w:cs="宋体"/>
                <w:color w:val="000000"/>
                <w:sz w:val="20"/>
                <w:szCs w:val="20"/>
              </w:rPr>
              <w:t xml:space="preserve">ID</w:t>
            </w:r>
            <w:r>
              <w:rPr>
                <w:rFonts w:hint="eastAsia" w:ascii="宋体" w:hAnsi="宋体" w:cs="宋体"/>
                <w:color w:val="000000"/>
                <w:spacing w:val="9"/>
                <w:sz w:val="20"/>
                <w:szCs w:val="20"/>
              </w:rPr>
              <w:t xml:space="preserve">、患者姓名、药品名称、</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医生姓名、就诊科室、院区等条件，查询特殊级抗菌药物相关处方。</w:t>
            </w:r>
            <w:r>
              <w:rPr>
                <w:rFonts w:hint="eastAsia" w:ascii="宋体" w:hAnsi="宋体" w:cs="宋体"/>
                <w:color w:val="000000"/>
                <w:spacing w:val="9"/>
                <w:sz w:val="20"/>
                <w:szCs w:val="20"/>
              </w:rPr>
              <w:t xml:space="preserve">(4) 抗菌药物越级处方查询：软件应支持药师可通过筛选日期、患者</w:t>
            </w:r>
            <w:r>
              <w:rPr>
                <w:rFonts w:hint="eastAsia" w:ascii="宋体" w:hAnsi="宋体" w:cs="宋体"/>
                <w:color w:val="000000"/>
                <w:spacing w:val="-19"/>
                <w:sz w:val="20"/>
                <w:szCs w:val="20"/>
              </w:rPr>
              <w:t xml:space="preserve"> </w:t>
            </w:r>
            <w:r>
              <w:rPr>
                <w:rFonts w:hint="eastAsia" w:ascii="宋体" w:hAnsi="宋体" w:cs="宋体"/>
                <w:color w:val="000000"/>
                <w:sz w:val="20"/>
                <w:szCs w:val="20"/>
              </w:rPr>
              <w:t xml:space="preserve">ID</w:t>
            </w:r>
            <w:r>
              <w:rPr>
                <w:rFonts w:hint="eastAsia" w:ascii="宋体" w:hAnsi="宋体" w:cs="宋体"/>
                <w:color w:val="000000"/>
                <w:spacing w:val="9"/>
                <w:sz w:val="20"/>
                <w:szCs w:val="20"/>
              </w:rPr>
              <w:t xml:space="preserve">、患者姓名、药品名称、</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医生姓名、就诊科室、院区等条件，查询抗菌药物越级使用相关处方。</w:t>
            </w:r>
            <w:r>
              <w:rPr>
                <w:rFonts w:hint="eastAsia" w:ascii="宋体" w:hAnsi="宋体" w:cs="宋体"/>
                <w:color w:val="000000"/>
                <w:spacing w:val="7"/>
                <w:sz w:val="20"/>
                <w:szCs w:val="20"/>
              </w:rPr>
              <w:t xml:space="preserve">(5) 处方点评登记表：根据日期、问题类型、身份、费别、年龄、科室、药品、抗菌药</w:t>
            </w:r>
            <w:r>
              <w:rPr>
                <w:rFonts w:hint="eastAsia" w:ascii="宋体" w:hAnsi="宋体" w:cs="宋体"/>
                <w:color w:val="000000"/>
                <w:spacing w:val="6"/>
                <w:sz w:val="20"/>
                <w:szCs w:val="20"/>
              </w:rPr>
              <w:t xml:space="preserve">等级、处方</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号、患者</w:t>
            </w:r>
            <w:r>
              <w:rPr>
                <w:rFonts w:hint="eastAsia" w:ascii="宋体" w:hAnsi="宋体" w:cs="宋体"/>
                <w:color w:val="000000"/>
                <w:spacing w:val="-26"/>
                <w:sz w:val="20"/>
                <w:szCs w:val="20"/>
              </w:rPr>
              <w:t xml:space="preserve"> </w:t>
            </w:r>
            <w:r>
              <w:rPr>
                <w:rFonts w:hint="eastAsia" w:ascii="宋体" w:hAnsi="宋体" w:cs="宋体"/>
                <w:color w:val="000000"/>
                <w:sz w:val="20"/>
                <w:szCs w:val="20"/>
              </w:rPr>
              <w:t xml:space="preserve">ID</w:t>
            </w:r>
            <w:r>
              <w:rPr>
                <w:rFonts w:hint="eastAsia" w:ascii="宋体" w:hAnsi="宋体" w:cs="宋体"/>
                <w:color w:val="000000"/>
                <w:spacing w:val="9"/>
                <w:sz w:val="20"/>
                <w:szCs w:val="20"/>
              </w:rPr>
              <w:t xml:space="preserve">、患者姓名、医生姓名、医生职称、发药药房等筛选条件查询药师</w:t>
            </w:r>
            <w:r>
              <w:rPr>
                <w:rFonts w:hint="eastAsia" w:ascii="宋体" w:hAnsi="宋体" w:cs="宋体"/>
                <w:color w:val="000000"/>
                <w:spacing w:val="8"/>
                <w:sz w:val="20"/>
                <w:szCs w:val="20"/>
              </w:rPr>
              <w:t xml:space="preserve">已点评的处方，</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并且可以通过点击查询结果的处方号查看处方详情。(6) 处方点评进度查看:用户可以根据日期等级筛选条件统计处</w:t>
            </w:r>
            <w:r>
              <w:rPr>
                <w:rFonts w:hint="eastAsia" w:ascii="宋体" w:hAnsi="宋体" w:cs="宋体"/>
                <w:color w:val="000000"/>
                <w:spacing w:val="7"/>
                <w:sz w:val="20"/>
                <w:szCs w:val="20"/>
              </w:rPr>
              <w:t xml:space="preserve">方点评进度。(7) 处方点评工作表:能自动生成符合规定国家规定的处方点评工作表，根据日期、问题类型、就诊</w:t>
            </w:r>
            <w:r>
              <w:rPr>
                <w:rFonts w:hint="eastAsia" w:ascii="宋体" w:hAnsi="宋体" w:cs="宋体"/>
                <w:color w:val="000000"/>
                <w:spacing w:val="2"/>
                <w:sz w:val="20"/>
                <w:szCs w:val="20"/>
              </w:rPr>
              <w:t xml:space="preserve"> </w:t>
            </w:r>
            <w:r>
              <w:rPr>
                <w:rFonts w:hint="eastAsia" w:ascii="宋体" w:hAnsi="宋体" w:cs="宋体"/>
                <w:color w:val="000000"/>
                <w:sz w:val="20"/>
                <w:szCs w:val="20"/>
              </w:rPr>
              <w:t xml:space="preserve">科室、身份、费别、年龄段、药品类别、抗菌药等级、药理分类、</w:t>
            </w:r>
            <w:r>
              <w:rPr>
                <w:rFonts w:hint="eastAsia" w:ascii="宋体" w:hAnsi="宋体" w:cs="宋体"/>
                <w:color w:val="000000"/>
                <w:spacing w:val="-1"/>
                <w:sz w:val="20"/>
                <w:szCs w:val="20"/>
              </w:rPr>
              <w:t xml:space="preserve">处方合理性、抽样方式、门</w:t>
            </w:r>
            <w:r>
              <w:rPr>
                <w:rFonts w:hint="eastAsia" w:ascii="宋体" w:hAnsi="宋体" w:cs="宋体"/>
                <w:color w:val="000000"/>
                <w:spacing w:val="-54"/>
                <w:sz w:val="20"/>
                <w:szCs w:val="20"/>
              </w:rPr>
              <w:t xml:space="preserve"> </w:t>
            </w:r>
            <w:r>
              <w:rPr>
                <w:rFonts w:hint="eastAsia" w:ascii="宋体" w:hAnsi="宋体" w:cs="宋体"/>
                <w:color w:val="000000"/>
                <w:spacing w:val="-1"/>
                <w:sz w:val="20"/>
                <w:szCs w:val="20"/>
              </w:rPr>
              <w:t xml:space="preserve">(急)</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诊、药品名称、查看标识、医生姓名、发药药房、</w:t>
            </w:r>
            <w:r>
              <w:rPr>
                <w:rFonts w:hint="eastAsia" w:ascii="宋体" w:hAnsi="宋体" w:cs="宋体"/>
                <w:color w:val="000000"/>
                <w:spacing w:val="-38"/>
                <w:sz w:val="20"/>
                <w:szCs w:val="20"/>
              </w:rPr>
              <w:t xml:space="preserve"> </w:t>
            </w:r>
            <w:r>
              <w:rPr>
                <w:rFonts w:hint="eastAsia" w:ascii="宋体" w:hAnsi="宋体" w:cs="宋体"/>
                <w:color w:val="000000"/>
                <w:spacing w:val="9"/>
                <w:sz w:val="20"/>
                <w:szCs w:val="20"/>
              </w:rPr>
              <w:t xml:space="preserve">自定义药品类别和诊断筛选条件查询处方，</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并且展示查询结果，通过点击查询结果的处方号可以查看处方详情和点评。</w:t>
            </w:r>
            <w:r/>
          </w:p>
        </w:tc>
      </w:tr>
      <w:tr>
        <w:trPr>
          <w:trHeight w:val="295"/>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665"/>
              <w:numPr>
                <w:ilvl w:val="4"/>
                <w:numId w:val="0"/>
              </w:numPr>
              <w:jc w:val="center"/>
              <w:rPr>
                <w:rFonts w:hAnsi="宋体" w:cs="宋体"/>
                <w:sz w:val="20"/>
                <w:szCs w:val="20"/>
              </w:rPr>
            </w:pPr>
            <w:r>
              <w:rPr>
                <w:rFonts w:hint="eastAsia" w:hAnsi="宋体" w:cs="宋体"/>
                <w:spacing w:val="-3"/>
                <w:sz w:val="20"/>
                <w:szCs w:val="20"/>
              </w:rPr>
              <w:t xml:space="preserve">处方（医嘱）点评问题统计分析</w:t>
            </w:r>
            <w:r/>
          </w:p>
          <w:p>
            <w:pPr>
              <w:pStyle w:val="934"/>
              <w:ind w:left="11"/>
              <w:spacing w:before="47" w:line="199" w:lineRule="auto"/>
              <w:rPr>
                <w:spacing w:val="-8"/>
                <w:sz w:val="20"/>
                <w:szCs w:val="20"/>
                <w:lang w:eastAsia="zh-CN"/>
              </w:rPr>
            </w:pPr>
            <w:r>
              <w:rPr>
                <w:spacing w:val="-8"/>
                <w:sz w:val="20"/>
                <w:szCs w:val="20"/>
                <w:lang w:eastAsia="zh-CN"/>
              </w:rPr>
            </w:r>
            <w:r/>
          </w:p>
        </w:tc>
        <w:tc>
          <w:tcPr>
            <w:shd w:val="clear" w:color="auto" w:fill="auto"/>
            <w:tcW w:w="5615" w:type="dxa"/>
            <w:textDirection w:val="lrTb"/>
            <w:noWrap w:val="false"/>
          </w:tcPr>
          <w:p>
            <w:pPr>
              <w:ind w:right="70"/>
              <w:jc w:val="left"/>
              <w:spacing w:before="65"/>
              <w:rPr>
                <w:rFonts w:ascii="宋体" w:hAnsi="宋体" w:cs="宋体"/>
                <w:color w:val="000000"/>
                <w:sz w:val="20"/>
                <w:szCs w:val="20"/>
              </w:rPr>
            </w:pPr>
            <w:r>
              <w:rPr>
                <w:rFonts w:hint="eastAsia" w:ascii="宋体" w:hAnsi="宋体" w:cs="宋体"/>
                <w:color w:val="000000"/>
                <w:spacing w:val="7"/>
                <w:sz w:val="20"/>
                <w:szCs w:val="20"/>
              </w:rPr>
              <w:t xml:space="preserve">(1)提供处方点评汇总表，能够根据不同的筛选条件如日期、就诊科室、</w:t>
            </w:r>
            <w:r>
              <w:rPr>
                <w:rFonts w:hint="eastAsia" w:ascii="宋体" w:hAnsi="宋体" w:cs="宋体"/>
                <w:color w:val="000000"/>
                <w:spacing w:val="-44"/>
                <w:sz w:val="20"/>
                <w:szCs w:val="20"/>
              </w:rPr>
              <w:t xml:space="preserve"> </w:t>
            </w:r>
            <w:r>
              <w:rPr>
                <w:rFonts w:hint="eastAsia" w:ascii="宋体" w:hAnsi="宋体" w:cs="宋体"/>
                <w:color w:val="000000"/>
                <w:spacing w:val="7"/>
                <w:sz w:val="20"/>
                <w:szCs w:val="20"/>
              </w:rPr>
              <w:t xml:space="preserve">门</w:t>
            </w:r>
            <w:r>
              <w:rPr>
                <w:rFonts w:hint="eastAsia" w:ascii="宋体" w:hAnsi="宋体" w:cs="宋体"/>
                <w:color w:val="000000"/>
                <w:spacing w:val="-54"/>
                <w:sz w:val="20"/>
                <w:szCs w:val="20"/>
              </w:rPr>
              <w:t xml:space="preserve"> </w:t>
            </w:r>
            <w:r>
              <w:rPr>
                <w:rFonts w:hint="eastAsia" w:ascii="宋体" w:hAnsi="宋体" w:cs="宋体"/>
                <w:color w:val="000000"/>
                <w:spacing w:val="7"/>
                <w:sz w:val="20"/>
                <w:szCs w:val="20"/>
              </w:rPr>
              <w:t xml:space="preserve">(急)诊和抗菌药等级进</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行筛选，并按不同的点评类型生成汇总表，</w:t>
            </w:r>
            <w:r>
              <w:rPr>
                <w:rFonts w:hint="eastAsia" w:ascii="宋体" w:hAnsi="宋体" w:cs="宋体"/>
                <w:color w:val="000000"/>
                <w:spacing w:val="-47"/>
                <w:sz w:val="20"/>
                <w:szCs w:val="20"/>
              </w:rPr>
              <w:t xml:space="preserve"> </w:t>
            </w:r>
            <w:r>
              <w:rPr>
                <w:rFonts w:hint="eastAsia" w:ascii="宋体" w:hAnsi="宋体" w:cs="宋体"/>
                <w:color w:val="000000"/>
                <w:spacing w:val="8"/>
                <w:sz w:val="20"/>
                <w:szCs w:val="20"/>
              </w:rPr>
              <w:t xml:space="preserve">内容应包括：注射剂处方占比，</w:t>
            </w:r>
            <w:r>
              <w:rPr>
                <w:rFonts w:hint="eastAsia" w:ascii="宋体" w:hAnsi="宋体" w:cs="宋体"/>
                <w:color w:val="000000"/>
                <w:spacing w:val="-53"/>
                <w:sz w:val="20"/>
                <w:szCs w:val="20"/>
              </w:rPr>
              <w:t xml:space="preserve"> </w:t>
            </w:r>
            <w:r>
              <w:rPr>
                <w:rFonts w:hint="eastAsia" w:ascii="宋体" w:hAnsi="宋体" w:cs="宋体"/>
                <w:color w:val="000000"/>
                <w:spacing w:val="8"/>
                <w:sz w:val="20"/>
                <w:szCs w:val="20"/>
              </w:rPr>
              <w:t xml:space="preserve">国家基本药物品种</w:t>
            </w:r>
            <w:r>
              <w:rPr>
                <w:rFonts w:hint="eastAsia" w:ascii="宋体" w:hAnsi="宋体" w:cs="宋体"/>
                <w:color w:val="000000"/>
                <w:spacing w:val="10"/>
                <w:sz w:val="20"/>
                <w:szCs w:val="20"/>
              </w:rPr>
              <w:t xml:space="preserve">占比，不合理处方与合理处方各自占比，非限制级、限</w:t>
            </w:r>
            <w:r>
              <w:rPr>
                <w:rFonts w:hint="eastAsia" w:ascii="宋体" w:hAnsi="宋体" w:cs="宋体"/>
                <w:color w:val="000000"/>
                <w:spacing w:val="9"/>
                <w:sz w:val="20"/>
                <w:szCs w:val="20"/>
              </w:rPr>
              <w:t xml:space="preserve">制级及特殊级抗菌药的各自占比，平均</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每张处方的用药品种数、药费、用药天数等。</w:t>
            </w:r>
            <w:r/>
          </w:p>
          <w:p>
            <w:pPr>
              <w:ind w:right="70"/>
              <w:jc w:val="left"/>
              <w:spacing w:before="38"/>
              <w:rPr>
                <w:rFonts w:ascii="宋体" w:hAnsi="宋体" w:cs="宋体"/>
                <w:color w:val="000000"/>
                <w:sz w:val="20"/>
                <w:szCs w:val="20"/>
              </w:rPr>
            </w:pPr>
            <w:r>
              <w:rPr>
                <w:rFonts w:hint="eastAsia" w:ascii="宋体" w:hAnsi="宋体" w:cs="宋体"/>
                <w:color w:val="000000"/>
                <w:spacing w:val="8"/>
                <w:sz w:val="20"/>
                <w:szCs w:val="20"/>
              </w:rPr>
              <w:t xml:space="preserve">(2)提供全院处方问题统计报表，可根据点评结果生成院内所有处方问题分类的统计报表，包括： 问题名称、问题数、 问题占比、问题处方数、 问题处方占比、处方列表；并可按问题类型、药 品名称、科室、医生逐级追溯至最终具体每张处方。医嘱不合格率报告按科室、医生生成医嘱不合格率报表，包含：存在配伍禁忌，重复用药，超剂量用药，用法不适宜，选药不适宜，超疗程用药，越级开毒麻精放等药品汇总</w:t>
            </w:r>
            <w:r>
              <w:rPr>
                <w:rFonts w:hint="eastAsia" w:ascii="宋体" w:hAnsi="宋体" w:cs="宋体"/>
                <w:color w:val="000000"/>
                <w:sz w:val="20"/>
                <w:szCs w:val="20"/>
              </w:rPr>
              <w:t xml:space="preserve">。</w:t>
            </w:r>
            <w:r>
              <w:rPr>
                <w:rFonts w:hint="eastAsia" w:ascii="宋体" w:hAnsi="宋体" w:cs="宋体"/>
                <w:color w:val="000000"/>
                <w:spacing w:val="10"/>
                <w:sz w:val="20"/>
                <w:szCs w:val="20"/>
              </w:rPr>
              <w:t xml:space="preserve">(3) 提供多种权限下的处方查询，可按</w:t>
            </w:r>
            <w:r>
              <w:rPr>
                <w:rFonts w:hint="eastAsia" w:ascii="宋体" w:hAnsi="宋体" w:cs="宋体"/>
                <w:color w:val="000000"/>
                <w:spacing w:val="9"/>
                <w:sz w:val="20"/>
                <w:szCs w:val="20"/>
              </w:rPr>
              <w:t xml:space="preserve">药师、科室主任、医生不同身份职责划定处方查询范围，可</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以根据日期区间、</w:t>
            </w:r>
            <w:r>
              <w:rPr>
                <w:rFonts w:hint="eastAsia" w:ascii="宋体" w:hAnsi="宋体" w:cs="宋体"/>
                <w:color w:val="000000"/>
                <w:spacing w:val="-45"/>
                <w:sz w:val="20"/>
                <w:szCs w:val="20"/>
              </w:rPr>
              <w:t xml:space="preserve"> </w:t>
            </w:r>
            <w:r>
              <w:rPr>
                <w:rFonts w:hint="eastAsia" w:ascii="宋体" w:hAnsi="宋体" w:cs="宋体"/>
                <w:color w:val="000000"/>
                <w:spacing w:val="9"/>
                <w:sz w:val="20"/>
                <w:szCs w:val="20"/>
              </w:rPr>
              <w:t xml:space="preserve">问题类别、就诊科室、医生、费别、点评状态、抗菌药等级、药品等进行处</w:t>
            </w:r>
            <w:r>
              <w:rPr>
                <w:rFonts w:hint="eastAsia" w:ascii="宋体" w:hAnsi="宋体" w:cs="宋体"/>
                <w:color w:val="000000"/>
                <w:sz w:val="20"/>
                <w:szCs w:val="20"/>
              </w:rPr>
              <w:t xml:space="preserve"> </w:t>
            </w:r>
            <w:r>
              <w:rPr>
                <w:rFonts w:hint="eastAsia" w:ascii="宋体" w:hAnsi="宋体" w:cs="宋体"/>
                <w:color w:val="000000"/>
                <w:spacing w:val="7"/>
                <w:sz w:val="20"/>
                <w:szCs w:val="20"/>
              </w:rPr>
              <w:t xml:space="preserve">方查询以及处方问题的查询。</w:t>
            </w:r>
            <w:r>
              <w:rPr>
                <w:rFonts w:hint="eastAsia" w:ascii="宋体" w:hAnsi="宋体" w:cs="宋体"/>
                <w:color w:val="000000"/>
                <w:spacing w:val="10"/>
                <w:sz w:val="20"/>
                <w:szCs w:val="20"/>
              </w:rPr>
              <w:t xml:space="preserve">(4) 可按科室、医生生成处方不合格率</w:t>
            </w:r>
            <w:r>
              <w:rPr>
                <w:rFonts w:hint="eastAsia" w:ascii="宋体" w:hAnsi="宋体" w:cs="宋体"/>
                <w:color w:val="000000"/>
                <w:spacing w:val="9"/>
                <w:sz w:val="20"/>
                <w:szCs w:val="20"/>
              </w:rPr>
              <w:t xml:space="preserve">报表，并可分权限让科室主任与医生分别查看相关的不合格</w:t>
            </w:r>
            <w:r>
              <w:rPr>
                <w:rFonts w:hint="eastAsia" w:ascii="宋体" w:hAnsi="宋体" w:cs="宋体"/>
                <w:color w:val="000000"/>
                <w:sz w:val="20"/>
                <w:szCs w:val="20"/>
              </w:rPr>
              <w:t xml:space="preserve"> </w:t>
            </w:r>
            <w:r>
              <w:rPr>
                <w:rFonts w:hint="eastAsia" w:ascii="宋体" w:hAnsi="宋体" w:cs="宋体"/>
                <w:color w:val="000000"/>
                <w:spacing w:val="2"/>
                <w:sz w:val="20"/>
                <w:szCs w:val="20"/>
              </w:rPr>
              <w:t xml:space="preserve">率报表。</w:t>
            </w:r>
            <w:r>
              <w:rPr>
                <w:rFonts w:hint="eastAsia" w:ascii="宋体" w:hAnsi="宋体" w:cs="宋体"/>
                <w:color w:val="000000"/>
                <w:spacing w:val="6"/>
                <w:sz w:val="20"/>
                <w:szCs w:val="20"/>
              </w:rPr>
              <w:t xml:space="preserve">(5) 提供药师点评工作量统计报表。</w:t>
            </w:r>
            <w:r>
              <w:rPr>
                <w:rFonts w:hint="eastAsia" w:ascii="宋体" w:hAnsi="宋体" w:cs="宋体"/>
                <w:color w:val="000000"/>
                <w:spacing w:val="9"/>
                <w:sz w:val="20"/>
                <w:szCs w:val="20"/>
              </w:rPr>
              <w:t xml:space="preserve">(6) 假阳性/假阴性问题处理：根据日期统计药师已点评的各类假阳/阴性问题数量，可通过内部链</w:t>
            </w:r>
            <w:r>
              <w:rPr>
                <w:rFonts w:hint="eastAsia" w:ascii="宋体" w:hAnsi="宋体" w:cs="宋体"/>
                <w:color w:val="000000"/>
                <w:spacing w:val="12"/>
                <w:sz w:val="20"/>
                <w:szCs w:val="20"/>
              </w:rPr>
              <w:t xml:space="preserve"> </w:t>
            </w:r>
            <w:r>
              <w:rPr>
                <w:rFonts w:hint="eastAsia" w:ascii="宋体" w:hAnsi="宋体" w:cs="宋体"/>
                <w:color w:val="000000"/>
                <w:spacing w:val="9"/>
                <w:sz w:val="20"/>
                <w:szCs w:val="20"/>
              </w:rPr>
              <w:t xml:space="preserve">接查询具体涉及假阳/阴性问题的处方，并能对假阳性问题批量点评，便于规则进化。</w:t>
            </w:r>
            <w:r>
              <w:rPr>
                <w:rFonts w:hint="eastAsia" w:ascii="宋体" w:hAnsi="宋体" w:cs="宋体"/>
                <w:color w:val="000000"/>
                <w:spacing w:val="8"/>
                <w:sz w:val="20"/>
                <w:szCs w:val="20"/>
              </w:rPr>
              <w:t xml:space="preserve">(7) 具有处方点评进度查看功能，用户可以根据日期等级筛选条件统计处方点评进度。</w:t>
            </w:r>
            <w:r>
              <w:rPr>
                <w:rFonts w:hint="eastAsia" w:ascii="宋体" w:hAnsi="宋体" w:cs="宋体"/>
                <w:color w:val="000000"/>
                <w:spacing w:val="9"/>
                <w:sz w:val="20"/>
                <w:szCs w:val="20"/>
              </w:rPr>
              <w:t xml:space="preserve">(8) 提供处方点评登记表，根据日期、</w:t>
            </w:r>
            <w:r>
              <w:rPr>
                <w:rFonts w:hint="eastAsia" w:ascii="宋体" w:hAnsi="宋体" w:cs="宋体"/>
                <w:color w:val="000000"/>
                <w:spacing w:val="-58"/>
                <w:sz w:val="20"/>
                <w:szCs w:val="20"/>
              </w:rPr>
              <w:t xml:space="preserve"> </w:t>
            </w:r>
            <w:r>
              <w:rPr>
                <w:rFonts w:hint="eastAsia" w:ascii="宋体" w:hAnsi="宋体" w:cs="宋体"/>
                <w:color w:val="000000"/>
                <w:spacing w:val="9"/>
                <w:sz w:val="20"/>
                <w:szCs w:val="20"/>
              </w:rPr>
              <w:t xml:space="preserve">问题类</w:t>
            </w:r>
            <w:r>
              <w:rPr>
                <w:rFonts w:hint="eastAsia" w:ascii="宋体" w:hAnsi="宋体" w:cs="宋体"/>
                <w:color w:val="000000"/>
                <w:spacing w:val="8"/>
                <w:sz w:val="20"/>
                <w:szCs w:val="20"/>
              </w:rPr>
              <w:t xml:space="preserve">型、身份、费别、年龄、科室、药品、抗菌药等级、</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处方号、患者</w:t>
            </w:r>
            <w:r>
              <w:rPr>
                <w:rFonts w:hint="eastAsia" w:ascii="宋体" w:hAnsi="宋体" w:cs="宋体"/>
                <w:color w:val="000000"/>
                <w:spacing w:val="-26"/>
                <w:sz w:val="20"/>
                <w:szCs w:val="20"/>
              </w:rPr>
              <w:t xml:space="preserve"> </w:t>
            </w:r>
            <w:r>
              <w:rPr>
                <w:rFonts w:hint="eastAsia" w:ascii="宋体" w:hAnsi="宋体" w:cs="宋体"/>
                <w:color w:val="000000"/>
                <w:sz w:val="20"/>
                <w:szCs w:val="20"/>
              </w:rPr>
              <w:t xml:space="preserve">ID</w:t>
            </w:r>
            <w:r>
              <w:rPr>
                <w:rFonts w:hint="eastAsia" w:ascii="宋体" w:hAnsi="宋体" w:cs="宋体"/>
                <w:color w:val="000000"/>
                <w:spacing w:val="9"/>
                <w:sz w:val="20"/>
                <w:szCs w:val="20"/>
              </w:rPr>
              <w:t xml:space="preserve">、患者姓名、医生姓名、医生职称、发药药房等筛选条件查询药师</w:t>
            </w:r>
            <w:r>
              <w:rPr>
                <w:rFonts w:hint="eastAsia" w:ascii="宋体" w:hAnsi="宋体" w:cs="宋体"/>
                <w:color w:val="000000"/>
                <w:spacing w:val="8"/>
                <w:sz w:val="20"/>
                <w:szCs w:val="20"/>
              </w:rPr>
              <w:t xml:space="preserve">已点评的处</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方，并且可以通过点击查询结果的处方号查看处方</w:t>
            </w:r>
            <w:r>
              <w:rPr>
                <w:rFonts w:hint="eastAsia" w:ascii="宋体" w:hAnsi="宋体" w:cs="宋体"/>
                <w:color w:val="000000"/>
                <w:spacing w:val="8"/>
                <w:sz w:val="20"/>
                <w:szCs w:val="20"/>
              </w:rPr>
              <w:t xml:space="preserve">详情。</w:t>
            </w:r>
            <w:r>
              <w:rPr>
                <w:rFonts w:hint="eastAsia" w:ascii="宋体" w:hAnsi="宋体" w:cs="宋体"/>
                <w:color w:val="000000"/>
                <w:spacing w:val="6"/>
                <w:sz w:val="20"/>
                <w:szCs w:val="20"/>
              </w:rPr>
              <w:t xml:space="preserve">(9) 提供处方点评工作表，能自动生成符合规定国家规定的处方点评工作表，根据日期、问题类型、</w:t>
            </w:r>
            <w:r>
              <w:rPr>
                <w:rFonts w:hint="eastAsia" w:ascii="宋体" w:hAnsi="宋体" w:cs="宋体"/>
                <w:color w:val="000000"/>
                <w:spacing w:val="18"/>
                <w:sz w:val="20"/>
                <w:szCs w:val="20"/>
              </w:rPr>
              <w:t xml:space="preserve"> </w:t>
            </w:r>
            <w:r>
              <w:rPr>
                <w:rFonts w:hint="eastAsia" w:ascii="宋体" w:hAnsi="宋体" w:cs="宋体"/>
                <w:color w:val="000000"/>
                <w:spacing w:val="7"/>
                <w:sz w:val="20"/>
                <w:szCs w:val="20"/>
              </w:rPr>
              <w:t xml:space="preserve">就诊科室、身份、费别、年龄段、药品类别、抗菌药等级、药理分类、处方合理性、抽样方式、</w:t>
            </w:r>
            <w:r>
              <w:rPr>
                <w:rFonts w:hint="eastAsia" w:ascii="宋体" w:hAnsi="宋体" w:cs="宋体"/>
                <w:color w:val="000000"/>
                <w:spacing w:val="6"/>
                <w:sz w:val="20"/>
                <w:szCs w:val="20"/>
              </w:rPr>
              <w:t xml:space="preserve"> </w:t>
            </w:r>
            <w:r>
              <w:rPr>
                <w:rFonts w:hint="eastAsia" w:ascii="宋体" w:hAnsi="宋体" w:cs="宋体"/>
                <w:color w:val="000000"/>
                <w:spacing w:val="8"/>
                <w:sz w:val="20"/>
                <w:szCs w:val="20"/>
              </w:rPr>
              <w:t xml:space="preserve">门</w:t>
            </w:r>
            <w:r>
              <w:rPr>
                <w:rFonts w:hint="eastAsia" w:ascii="宋体" w:hAnsi="宋体" w:cs="宋体"/>
                <w:color w:val="000000"/>
                <w:spacing w:val="-54"/>
                <w:sz w:val="20"/>
                <w:szCs w:val="20"/>
              </w:rPr>
              <w:t xml:space="preserve"> </w:t>
            </w:r>
            <w:r>
              <w:rPr>
                <w:rFonts w:hint="eastAsia" w:ascii="宋体" w:hAnsi="宋体" w:cs="宋体"/>
                <w:color w:val="000000"/>
                <w:spacing w:val="8"/>
                <w:sz w:val="20"/>
                <w:szCs w:val="20"/>
              </w:rPr>
              <w:t xml:space="preserve">(急)诊、药品名称、查看标识、医生姓名、发药药房、</w:t>
            </w:r>
            <w:r>
              <w:rPr>
                <w:rFonts w:hint="eastAsia" w:ascii="宋体" w:hAnsi="宋体" w:cs="宋体"/>
                <w:color w:val="000000"/>
                <w:spacing w:val="-39"/>
                <w:sz w:val="20"/>
                <w:szCs w:val="20"/>
              </w:rPr>
              <w:t xml:space="preserve"> </w:t>
            </w:r>
            <w:r>
              <w:rPr>
                <w:rFonts w:hint="eastAsia" w:ascii="宋体" w:hAnsi="宋体" w:cs="宋体"/>
                <w:color w:val="000000"/>
                <w:spacing w:val="8"/>
                <w:sz w:val="20"/>
                <w:szCs w:val="20"/>
              </w:rPr>
              <w:t xml:space="preserve">自定</w:t>
            </w:r>
            <w:r>
              <w:rPr>
                <w:rFonts w:hint="eastAsia" w:ascii="宋体" w:hAnsi="宋体" w:cs="宋体"/>
                <w:color w:val="000000"/>
                <w:spacing w:val="7"/>
                <w:sz w:val="20"/>
                <w:szCs w:val="20"/>
              </w:rPr>
              <w:t xml:space="preserve">义药品类别和诊断筛选条件查询</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处方，并且展示查询结果，通过点击查询结果的处方号可以查看处方详情和点评。</w:t>
            </w:r>
            <w:r>
              <w:rPr>
                <w:rFonts w:hint="eastAsia" w:ascii="宋体" w:hAnsi="宋体" w:cs="宋体"/>
                <w:color w:val="000000"/>
                <w:spacing w:val="6"/>
                <w:sz w:val="20"/>
                <w:szCs w:val="20"/>
              </w:rPr>
              <w:t xml:space="preserve">(10)医嘱问题统计  可以对医嘱的问题类型、</w:t>
            </w:r>
            <w:r>
              <w:rPr>
                <w:rFonts w:hint="eastAsia" w:ascii="宋体" w:hAnsi="宋体" w:cs="宋体"/>
                <w:color w:val="000000"/>
                <w:spacing w:val="-58"/>
                <w:sz w:val="20"/>
                <w:szCs w:val="20"/>
              </w:rPr>
              <w:t xml:space="preserve"> </w:t>
            </w:r>
            <w:r>
              <w:rPr>
                <w:rFonts w:hint="eastAsia" w:ascii="宋体" w:hAnsi="宋体" w:cs="宋体"/>
                <w:color w:val="000000"/>
                <w:spacing w:val="6"/>
                <w:sz w:val="20"/>
                <w:szCs w:val="20"/>
              </w:rPr>
              <w:t xml:space="preserve">问题数、</w:t>
            </w:r>
            <w:r>
              <w:rPr>
                <w:rFonts w:hint="eastAsia" w:ascii="宋体" w:hAnsi="宋体" w:cs="宋体"/>
                <w:color w:val="000000"/>
                <w:spacing w:val="-58"/>
                <w:sz w:val="20"/>
                <w:szCs w:val="20"/>
              </w:rPr>
              <w:t xml:space="preserve"> </w:t>
            </w:r>
            <w:r>
              <w:rPr>
                <w:rFonts w:hint="eastAsia" w:ascii="宋体" w:hAnsi="宋体" w:cs="宋体"/>
                <w:color w:val="000000"/>
                <w:spacing w:val="5"/>
                <w:sz w:val="20"/>
                <w:szCs w:val="20"/>
              </w:rPr>
              <w:t xml:space="preserve">问题占比、</w:t>
            </w:r>
            <w:r>
              <w:rPr>
                <w:rFonts w:hint="eastAsia" w:ascii="宋体" w:hAnsi="宋体" w:cs="宋体"/>
                <w:color w:val="000000"/>
                <w:spacing w:val="-57"/>
                <w:sz w:val="20"/>
                <w:szCs w:val="20"/>
              </w:rPr>
              <w:t xml:space="preserve"> </w:t>
            </w:r>
            <w:r>
              <w:rPr>
                <w:rFonts w:hint="eastAsia" w:ascii="宋体" w:hAnsi="宋体" w:cs="宋体"/>
                <w:color w:val="000000"/>
                <w:spacing w:val="5"/>
                <w:sz w:val="20"/>
                <w:szCs w:val="20"/>
              </w:rPr>
              <w:t xml:space="preserve">问题医嘱数、</w:t>
            </w:r>
            <w:r>
              <w:rPr>
                <w:rFonts w:hint="eastAsia" w:ascii="宋体" w:hAnsi="宋体" w:cs="宋体"/>
                <w:color w:val="000000"/>
                <w:spacing w:val="-58"/>
                <w:sz w:val="20"/>
                <w:szCs w:val="20"/>
              </w:rPr>
              <w:t xml:space="preserve"> </w:t>
            </w:r>
            <w:r>
              <w:rPr>
                <w:rFonts w:hint="eastAsia" w:ascii="宋体" w:hAnsi="宋体" w:cs="宋体"/>
                <w:color w:val="000000"/>
                <w:spacing w:val="5"/>
                <w:sz w:val="20"/>
                <w:szCs w:val="20"/>
              </w:rPr>
              <w:t xml:space="preserve">问题医嘱占比进行</w:t>
            </w:r>
            <w:r>
              <w:rPr>
                <w:rFonts w:hint="eastAsia" w:ascii="宋体" w:hAnsi="宋体" w:cs="宋体"/>
                <w:color w:val="000000"/>
                <w:sz w:val="20"/>
                <w:szCs w:val="20"/>
              </w:rPr>
              <w:t xml:space="preserve"> </w:t>
            </w:r>
            <w:r>
              <w:rPr>
                <w:rFonts w:hint="eastAsia" w:ascii="宋体" w:hAnsi="宋体" w:cs="宋体"/>
                <w:color w:val="000000"/>
                <w:spacing w:val="10"/>
                <w:sz w:val="20"/>
                <w:szCs w:val="20"/>
              </w:rPr>
              <w:t xml:space="preserve">统计，并能进行细分并查看相应问题医嘱列表；可以按问题、药品、科室、医生逐级追溯至具</w:t>
            </w:r>
            <w:r>
              <w:rPr>
                <w:rFonts w:hint="eastAsia" w:ascii="宋体" w:hAnsi="宋体" w:cs="宋体"/>
                <w:color w:val="000000"/>
                <w:spacing w:val="18"/>
                <w:sz w:val="20"/>
                <w:szCs w:val="20"/>
              </w:rPr>
              <w:t xml:space="preserve"> </w:t>
            </w:r>
            <w:r>
              <w:rPr>
                <w:rFonts w:hint="eastAsia" w:ascii="宋体" w:hAnsi="宋体" w:cs="宋体"/>
                <w:color w:val="000000"/>
                <w:spacing w:val="6"/>
                <w:sz w:val="20"/>
                <w:szCs w:val="20"/>
              </w:rPr>
              <w:t xml:space="preserve">体每一份医嘱。</w:t>
            </w:r>
            <w:r>
              <w:rPr>
                <w:rFonts w:hint="eastAsia" w:ascii="宋体" w:hAnsi="宋体" w:cs="宋体"/>
                <w:color w:val="000000"/>
                <w:spacing w:val="7"/>
                <w:sz w:val="20"/>
                <w:szCs w:val="20"/>
              </w:rPr>
              <w:t xml:space="preserve">(11)医嘱问题登记表   根据出院起止日期和开医嘱日期筛选条件，对医嘱信息以及问题</w:t>
            </w:r>
            <w:r>
              <w:rPr>
                <w:rFonts w:hint="eastAsia" w:ascii="宋体" w:hAnsi="宋体" w:cs="宋体"/>
                <w:color w:val="000000"/>
                <w:spacing w:val="6"/>
                <w:sz w:val="20"/>
                <w:szCs w:val="20"/>
              </w:rPr>
              <w:t xml:space="preserve">详情进行查</w:t>
            </w:r>
            <w:r>
              <w:rPr>
                <w:rFonts w:hint="eastAsia" w:ascii="宋体" w:hAnsi="宋体" w:cs="宋体"/>
                <w:color w:val="000000"/>
                <w:sz w:val="20"/>
                <w:szCs w:val="20"/>
              </w:rPr>
              <w:t xml:space="preserve"> </w:t>
            </w:r>
            <w:r>
              <w:rPr>
                <w:rFonts w:hint="eastAsia" w:ascii="宋体" w:hAnsi="宋体" w:cs="宋体"/>
                <w:color w:val="000000"/>
                <w:spacing w:val="4"/>
                <w:sz w:val="20"/>
                <w:szCs w:val="20"/>
              </w:rPr>
              <w:t xml:space="preserve">询、导出。</w:t>
            </w:r>
            <w:r>
              <w:rPr>
                <w:rFonts w:hint="eastAsia" w:ascii="宋体" w:hAnsi="宋体" w:cs="宋体"/>
                <w:color w:val="000000"/>
                <w:spacing w:val="9"/>
                <w:sz w:val="20"/>
                <w:szCs w:val="20"/>
              </w:rPr>
              <w:t xml:space="preserve">(12)假阳性/假阴性问题处理  根据日期统计药师已点评的各类假阳/阴性问题数量，通过内部链接</w:t>
            </w:r>
            <w:r>
              <w:rPr>
                <w:rFonts w:hint="eastAsia" w:ascii="宋体" w:hAnsi="宋体" w:cs="宋体"/>
                <w:color w:val="000000"/>
                <w:spacing w:val="1"/>
                <w:sz w:val="20"/>
                <w:szCs w:val="20"/>
              </w:rPr>
              <w:t xml:space="preserve"> </w:t>
            </w:r>
            <w:r>
              <w:rPr>
                <w:rFonts w:hint="eastAsia" w:ascii="宋体" w:hAnsi="宋体" w:cs="宋体"/>
                <w:color w:val="000000"/>
                <w:spacing w:val="9"/>
                <w:sz w:val="20"/>
                <w:szCs w:val="20"/>
              </w:rPr>
              <w:t xml:space="preserve">可以查询具体涉及假阳/阴性问题的医嘱，并能对假阳性问题批量点评，便于规则进化。</w:t>
            </w:r>
            <w:r>
              <w:rPr>
                <w:rFonts w:hint="eastAsia" w:ascii="宋体" w:hAnsi="宋体" w:cs="宋体"/>
                <w:color w:val="000000"/>
                <w:spacing w:val="7"/>
                <w:sz w:val="20"/>
                <w:szCs w:val="20"/>
              </w:rPr>
              <w:t xml:space="preserve">(12)药师绩效统计  提供药师点评工作量统计与点评工作绩效指标报表。(14)医嘱点评工作进度 可以查询统计药师点评医嘱的进度。</w:t>
            </w:r>
            <w:r/>
          </w:p>
          <w:p>
            <w:pPr>
              <w:jc w:val="left"/>
              <w:spacing w:after="120"/>
              <w:shd w:val="clear" w:color="auto" w:fill="ffffff"/>
              <w:widowControl/>
              <w:rPr>
                <w:spacing w:val="-3"/>
                <w:sz w:val="20"/>
                <w:szCs w:val="20"/>
                <w:lang w:eastAsia="zh-CN"/>
              </w:rPr>
            </w:pPr>
            <w:r>
              <w:rPr>
                <w:rFonts w:hint="eastAsia" w:ascii="宋体" w:hAnsi="宋体" w:cs="宋体"/>
                <w:color w:val="000000"/>
                <w:sz w:val="20"/>
                <w:szCs w:val="20"/>
              </w:rPr>
              <w:t xml:space="preserve">▲</w:t>
            </w:r>
            <w:r>
              <w:rPr>
                <w:rFonts w:hint="eastAsia" w:ascii="宋体" w:hAnsi="宋体" w:cs="宋体"/>
                <w:color w:val="000000"/>
                <w:spacing w:val="7"/>
                <w:sz w:val="20"/>
                <w:szCs w:val="20"/>
              </w:rPr>
              <w:t xml:space="preserve">（15）完整记录每份处方/医嘱从事后点评启动到闭环归档的全生命周期。支持按任务查看：抽样来源、分配药师、点评内容、医生反馈意见、上级审阅结论及各环节处理时间戳。</w:t>
            </w:r>
            <w:r/>
          </w:p>
        </w:tc>
      </w:tr>
      <w:tr>
        <w:trPr>
          <w:trHeight w:val="295"/>
        </w:trPr>
        <w:tc>
          <w:tcPr>
            <w:shd w:val="clear" w:color="auto" w:fill="auto"/>
            <w:tcW w:w="1663" w:type="dxa"/>
            <w:vMerge w:val="restart"/>
            <w:textDirection w:val="lrTb"/>
            <w:noWrap w:val="false"/>
          </w:tcPr>
          <w:p>
            <w:pPr>
              <w:jc w:val="left"/>
              <w:rPr>
                <w:rFonts w:ascii="宋体" w:hAnsi="宋体" w:cs="宋体"/>
                <w:sz w:val="20"/>
                <w:szCs w:val="20"/>
              </w:rPr>
            </w:pPr>
            <w:r>
              <w:rPr>
                <w:rFonts w:hint="eastAsia" w:ascii="宋体" w:hAnsi="宋体" w:cs="宋体"/>
                <w:b/>
                <w:bCs/>
                <w:spacing w:val="-15"/>
                <w:sz w:val="20"/>
                <w:szCs w:val="20"/>
              </w:rPr>
              <w:t xml:space="preserve">统计报</w:t>
            </w:r>
            <w:r>
              <w:rPr>
                <w:rFonts w:hint="eastAsia" w:ascii="宋体" w:hAnsi="宋体" w:cs="宋体"/>
                <w:b/>
                <w:bCs/>
                <w:spacing w:val="-9"/>
                <w:sz w:val="20"/>
                <w:szCs w:val="20"/>
              </w:rPr>
              <w:t xml:space="preserve">表系统</w:t>
            </w:r>
            <w:r/>
          </w:p>
        </w:tc>
        <w:tc>
          <w:tcPr>
            <w:shd w:val="clear" w:color="auto" w:fill="auto"/>
            <w:tcW w:w="1822" w:type="dxa"/>
            <w:textDirection w:val="lrTb"/>
            <w:noWrap w:val="false"/>
          </w:tcPr>
          <w:p>
            <w:pPr>
              <w:pStyle w:val="934"/>
              <w:ind w:left="11"/>
              <w:jc w:val="center"/>
              <w:spacing w:before="47" w:line="199" w:lineRule="auto"/>
              <w:rPr>
                <w:spacing w:val="-8"/>
                <w:sz w:val="20"/>
                <w:szCs w:val="20"/>
              </w:rPr>
            </w:pPr>
            <w:r>
              <w:rPr>
                <w:rFonts w:hint="eastAsia"/>
                <w:spacing w:val="-6"/>
                <w:sz w:val="20"/>
                <w:szCs w:val="20"/>
              </w:rPr>
              <w:t xml:space="preserve">标准报</w:t>
            </w:r>
            <w:r>
              <w:rPr>
                <w:rFonts w:hint="eastAsia"/>
                <w:sz w:val="20"/>
                <w:szCs w:val="20"/>
              </w:rPr>
              <w:t xml:space="preserve">表</w:t>
            </w:r>
            <w:r/>
          </w:p>
        </w:tc>
        <w:tc>
          <w:tcPr>
            <w:shd w:val="clear" w:color="auto" w:fill="auto"/>
            <w:tcW w:w="5615" w:type="dxa"/>
            <w:textDirection w:val="lrTb"/>
            <w:noWrap w:val="false"/>
          </w:tcPr>
          <w:p>
            <w:pPr>
              <w:pStyle w:val="934"/>
              <w:ind w:left="8" w:right="146" w:firstLine="440"/>
              <w:jc w:val="both"/>
              <w:spacing w:before="54" w:line="239" w:lineRule="auto"/>
              <w:rPr>
                <w:sz w:val="20"/>
                <w:szCs w:val="20"/>
                <w:lang w:eastAsia="zh-CN"/>
              </w:rPr>
            </w:pPr>
            <w:r>
              <w:rPr>
                <w:rFonts w:hint="eastAsia"/>
                <w:spacing w:val="-3"/>
                <w:sz w:val="20"/>
                <w:szCs w:val="20"/>
                <w:lang w:eastAsia="zh-CN"/>
              </w:rPr>
              <w:t xml:space="preserve">提供对医院合理用药指标及药品使用情况的统计分析，覆盖医院用药数据统计的各种维度，包括按科室、按医疗组、按病区、按医生统计，按药品</w:t>
            </w:r>
            <w:r>
              <w:rPr>
                <w:rFonts w:hint="eastAsia"/>
                <w:spacing w:val="-6"/>
                <w:sz w:val="20"/>
                <w:szCs w:val="20"/>
                <w:lang w:eastAsia="zh-CN"/>
              </w:rPr>
              <w:t xml:space="preserve">统计、按手术统计、按问题类型统计等。</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药事管理专业医疗指标汇总报表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住院抗菌药使用强度汇总报表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抗菌药物使用率汇总报表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门急诊抗菌药物使用情况汇总报表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住院患者抗菌药送检率汇总报表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全院药品使用排名报表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全院药品费用统计报表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全院药占比科室统计报表</w:t>
            </w:r>
            <w:r/>
          </w:p>
          <w:p>
            <w:pPr>
              <w:pStyle w:val="934"/>
              <w:numPr>
                <w:ilvl w:val="0"/>
                <w:numId w:val="6"/>
              </w:numPr>
              <w:spacing w:before="47" w:line="199" w:lineRule="auto"/>
              <w:rPr>
                <w:sz w:val="20"/>
                <w:szCs w:val="20"/>
                <w:lang w:eastAsia="zh-CN" w:bidi="ar"/>
              </w:rPr>
            </w:pPr>
            <w:r>
              <w:rPr>
                <w:rFonts w:hint="eastAsia"/>
                <w:sz w:val="20"/>
                <w:szCs w:val="20"/>
                <w:lang w:eastAsia="zh-CN"/>
              </w:rPr>
              <w:t xml:space="preserve">▲</w:t>
            </w:r>
            <w:r>
              <w:rPr>
                <w:rFonts w:hint="eastAsia"/>
                <w:sz w:val="20"/>
                <w:szCs w:val="20"/>
                <w:lang w:eastAsia="zh-CN" w:bidi="ar"/>
              </w:rPr>
              <w:t xml:space="preserve">全院抗菌药物指标汇总报表</w:t>
            </w:r>
            <w:r/>
          </w:p>
          <w:p>
            <w:pPr>
              <w:pStyle w:val="934"/>
              <w:numPr>
                <w:ilvl w:val="0"/>
                <w:numId w:val="6"/>
              </w:numPr>
              <w:spacing w:before="47" w:line="199" w:lineRule="auto"/>
              <w:rPr>
                <w:sz w:val="20"/>
                <w:szCs w:val="20"/>
                <w:lang w:eastAsia="zh-CN" w:bidi="ar"/>
              </w:rPr>
            </w:pPr>
            <w:r>
              <w:rPr>
                <w:rFonts w:hint="eastAsia"/>
                <w:sz w:val="20"/>
                <w:szCs w:val="20"/>
                <w:lang w:eastAsia="zh-CN" w:bidi="ar"/>
              </w:rPr>
              <w:t xml:space="preserve">静脉输液使用率汇总报表</w:t>
            </w:r>
            <w:r/>
          </w:p>
        </w:tc>
      </w:tr>
      <w:tr>
        <w:trPr>
          <w:trHeight w:val="295"/>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spacing w:before="71" w:line="242" w:lineRule="auto"/>
              <w:rPr>
                <w:sz w:val="20"/>
                <w:szCs w:val="20"/>
              </w:rPr>
            </w:pPr>
            <w:r>
              <w:rPr>
                <w:rFonts w:hint="eastAsia"/>
                <w:spacing w:val="-10"/>
                <w:sz w:val="20"/>
                <w:szCs w:val="20"/>
              </w:rPr>
              <w:t xml:space="preserve">▲自定义</w:t>
            </w:r>
            <w:r>
              <w:rPr>
                <w:rFonts w:hint="eastAsia"/>
                <w:spacing w:val="-6"/>
                <w:sz w:val="20"/>
                <w:szCs w:val="20"/>
              </w:rPr>
              <w:t xml:space="preserve">报表功能</w:t>
            </w:r>
            <w:r/>
          </w:p>
        </w:tc>
        <w:tc>
          <w:tcPr>
            <w:shd w:val="clear" w:color="auto" w:fill="auto"/>
            <w:tcW w:w="5615" w:type="dxa"/>
            <w:textDirection w:val="lrTb"/>
            <w:noWrap w:val="false"/>
          </w:tcPr>
          <w:p>
            <w:pPr>
              <w:pStyle w:val="934"/>
              <w:ind w:left="11" w:right="150" w:firstLine="454"/>
              <w:jc w:val="both"/>
              <w:spacing w:before="42" w:line="239" w:lineRule="auto"/>
              <w:rPr>
                <w:sz w:val="20"/>
                <w:szCs w:val="20"/>
                <w:lang w:eastAsia="zh-CN"/>
              </w:rPr>
            </w:pPr>
            <w:r>
              <w:rPr>
                <w:rFonts w:hint="eastAsia"/>
                <w:spacing w:val="-3"/>
                <w:sz w:val="20"/>
                <w:szCs w:val="20"/>
                <w:lang w:eastAsia="zh-CN"/>
              </w:rPr>
              <w:t xml:space="preserve">1.系统应提供自定义合理用药指标功能，</w:t>
            </w:r>
            <w:r>
              <w:rPr>
                <w:rFonts w:hint="eastAsia"/>
                <w:spacing w:val="-4"/>
                <w:sz w:val="20"/>
                <w:szCs w:val="20"/>
                <w:lang w:eastAsia="zh-CN"/>
              </w:rPr>
              <w:t xml:space="preserve">可自</w:t>
            </w:r>
            <w:r>
              <w:rPr>
                <w:rFonts w:hint="eastAsia"/>
                <w:spacing w:val="-3"/>
                <w:sz w:val="20"/>
                <w:szCs w:val="20"/>
                <w:lang w:eastAsia="zh-CN"/>
              </w:rPr>
              <w:t xml:space="preserve">行设置指标分子、分母进行统计。自定义要素包含药品、治疗金额、药品金额、处方数、病人</w:t>
            </w:r>
            <w:r>
              <w:rPr>
                <w:rFonts w:hint="eastAsia"/>
                <w:spacing w:val="-4"/>
                <w:sz w:val="20"/>
                <w:szCs w:val="20"/>
                <w:lang w:eastAsia="zh-CN"/>
              </w:rPr>
              <w:t xml:space="preserve">数、药品品种数、使用量DDDs</w:t>
            </w:r>
            <w:r>
              <w:rPr>
                <w:rFonts w:hint="eastAsia"/>
                <w:spacing w:val="-20"/>
                <w:sz w:val="20"/>
                <w:szCs w:val="20"/>
                <w:lang w:eastAsia="zh-CN"/>
              </w:rPr>
              <w:t xml:space="preserve"> </w:t>
            </w:r>
            <w:r>
              <w:rPr>
                <w:rFonts w:hint="eastAsia"/>
                <w:spacing w:val="-4"/>
                <w:sz w:val="20"/>
                <w:szCs w:val="20"/>
                <w:lang w:eastAsia="zh-CN"/>
              </w:rPr>
              <w:t xml:space="preserve">、人天数、用</w:t>
            </w:r>
            <w:r>
              <w:rPr>
                <w:rFonts w:hint="eastAsia"/>
                <w:spacing w:val="-3"/>
                <w:sz w:val="20"/>
                <w:szCs w:val="20"/>
                <w:lang w:eastAsia="zh-CN"/>
              </w:rPr>
              <w:t xml:space="preserve">药医嘱条目数。系统提供标准出厂指标，用户可直接选择出厂指标组合成新的自定义报表，同时系统</w:t>
            </w:r>
            <w:r>
              <w:rPr>
                <w:rFonts w:hint="eastAsia"/>
                <w:spacing w:val="-6"/>
                <w:sz w:val="20"/>
                <w:szCs w:val="20"/>
                <w:lang w:eastAsia="zh-CN"/>
              </w:rPr>
              <w:t xml:space="preserve">支持用户自定义常用维度的统计指标。</w:t>
            </w:r>
            <w:r/>
          </w:p>
          <w:p>
            <w:pPr>
              <w:pStyle w:val="934"/>
              <w:ind w:left="9" w:right="201" w:firstLine="435"/>
              <w:spacing w:before="1" w:line="241" w:lineRule="auto"/>
              <w:rPr>
                <w:sz w:val="20"/>
                <w:szCs w:val="20"/>
                <w:lang w:eastAsia="zh-CN"/>
              </w:rPr>
            </w:pPr>
            <w:r>
              <w:rPr>
                <w:rFonts w:hint="eastAsia"/>
                <w:spacing w:val="-2"/>
                <w:sz w:val="20"/>
                <w:szCs w:val="20"/>
                <w:lang w:eastAsia="zh-CN"/>
              </w:rPr>
              <w:t xml:space="preserve">2.支持编辑调整自定义报表的格式，可设置指</w:t>
            </w:r>
            <w:r>
              <w:rPr>
                <w:rFonts w:hint="eastAsia"/>
                <w:spacing w:val="-6"/>
                <w:sz w:val="20"/>
                <w:szCs w:val="20"/>
                <w:lang w:eastAsia="zh-CN"/>
              </w:rPr>
              <w:t xml:space="preserve">标排序，部分报表支持自定义导出显示字段；</w:t>
            </w:r>
            <w:r/>
          </w:p>
        </w:tc>
      </w:tr>
      <w:tr>
        <w:trPr>
          <w:trHeight w:val="295"/>
        </w:trPr>
        <w:tc>
          <w:tcPr>
            <w:shd w:val="clear" w:color="auto" w:fill="auto"/>
            <w:tcW w:w="1663" w:type="dxa"/>
            <w:vMerge w:val="continue"/>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2" w:right="205" w:firstLine="432"/>
              <w:spacing w:before="46" w:line="242" w:lineRule="auto"/>
              <w:rPr>
                <w:sz w:val="20"/>
                <w:szCs w:val="20"/>
              </w:rPr>
            </w:pPr>
            <w:r>
              <w:rPr>
                <w:rFonts w:hint="eastAsia"/>
                <w:spacing w:val="-6"/>
                <w:sz w:val="20"/>
                <w:szCs w:val="20"/>
              </w:rPr>
              <w:t xml:space="preserve">其他功</w:t>
            </w:r>
            <w:r>
              <w:rPr>
                <w:rFonts w:hint="eastAsia"/>
                <w:sz w:val="20"/>
                <w:szCs w:val="20"/>
              </w:rPr>
              <w:t xml:space="preserve">能</w:t>
            </w:r>
            <w:r/>
          </w:p>
        </w:tc>
        <w:tc>
          <w:tcPr>
            <w:shd w:val="clear" w:color="auto" w:fill="auto"/>
            <w:tcW w:w="5615" w:type="dxa"/>
            <w:textDirection w:val="lrTb"/>
            <w:noWrap w:val="false"/>
          </w:tcPr>
          <w:p>
            <w:pPr>
              <w:pStyle w:val="934"/>
              <w:ind w:left="18" w:right="103" w:firstLine="446"/>
              <w:spacing w:before="46" w:line="229" w:lineRule="auto"/>
              <w:rPr>
                <w:sz w:val="20"/>
                <w:szCs w:val="20"/>
                <w:lang w:eastAsia="zh-CN"/>
              </w:rPr>
            </w:pPr>
            <w:r>
              <w:rPr>
                <w:rFonts w:hint="eastAsia"/>
                <w:spacing w:val="-9"/>
                <w:sz w:val="20"/>
                <w:szCs w:val="20"/>
                <w:lang w:eastAsia="zh-CN"/>
              </w:rPr>
              <w:t xml:space="preserve">1.支持按月、季度、年手动生成周期性报表，同</w:t>
            </w:r>
            <w:r>
              <w:rPr>
                <w:rFonts w:hint="eastAsia"/>
                <w:spacing w:val="-10"/>
                <w:sz w:val="20"/>
                <w:szCs w:val="20"/>
                <w:lang w:eastAsia="zh-CN"/>
              </w:rPr>
              <w:t xml:space="preserve">时支持用户手动生成非周期性报表数据；</w:t>
            </w:r>
            <w:r/>
          </w:p>
          <w:p>
            <w:pPr>
              <w:pStyle w:val="934"/>
              <w:ind w:left="444"/>
              <w:spacing w:before="24" w:line="219" w:lineRule="auto"/>
              <w:rPr>
                <w:sz w:val="20"/>
                <w:szCs w:val="20"/>
                <w:lang w:eastAsia="zh-CN"/>
              </w:rPr>
            </w:pPr>
            <w:r>
              <w:rPr>
                <w:rFonts w:hint="eastAsia"/>
                <w:spacing w:val="-7"/>
                <w:sz w:val="20"/>
                <w:szCs w:val="20"/>
                <w:lang w:eastAsia="zh-CN"/>
              </w:rPr>
              <w:t xml:space="preserve">2.支持具体指标统计结果的点击排序；</w:t>
            </w:r>
            <w:r/>
          </w:p>
          <w:p>
            <w:pPr>
              <w:pStyle w:val="934"/>
              <w:ind w:left="448"/>
              <w:spacing w:before="24" w:line="219" w:lineRule="auto"/>
              <w:rPr>
                <w:sz w:val="20"/>
                <w:szCs w:val="20"/>
                <w:lang w:eastAsia="zh-CN"/>
              </w:rPr>
            </w:pPr>
            <w:r>
              <w:rPr>
                <w:rFonts w:hint="eastAsia"/>
                <w:spacing w:val="-5"/>
                <w:sz w:val="20"/>
                <w:szCs w:val="20"/>
                <w:lang w:eastAsia="zh-CN"/>
              </w:rPr>
              <w:t xml:space="preserve">3.支持报表导出，导出格式为excel格式；</w:t>
            </w:r>
            <w:r/>
          </w:p>
          <w:p>
            <w:pPr>
              <w:pStyle w:val="934"/>
              <w:ind w:left="443"/>
              <w:spacing w:before="23" w:line="200" w:lineRule="auto"/>
              <w:rPr>
                <w:sz w:val="20"/>
                <w:szCs w:val="20"/>
                <w:lang w:eastAsia="zh-CN"/>
              </w:rPr>
            </w:pPr>
            <w:r>
              <w:rPr>
                <w:rFonts w:hint="eastAsia"/>
                <w:spacing w:val="-2"/>
                <w:sz w:val="20"/>
                <w:szCs w:val="20"/>
                <w:lang w:eastAsia="zh-CN"/>
              </w:rPr>
              <w:t xml:space="preserve">4.支持配置处方点评、报表的统计、导出报表</w:t>
            </w:r>
            <w:r/>
          </w:p>
        </w:tc>
      </w:tr>
      <w:tr>
        <w:trPr>
          <w:trHeight w:val="295"/>
        </w:trPr>
        <w:tc>
          <w:tcPr>
            <w:shd w:val="clear" w:color="auto" w:fill="auto"/>
            <w:tcW w:w="1663" w:type="dxa"/>
            <w:textDirection w:val="lrTb"/>
            <w:noWrap w:val="false"/>
          </w:tcPr>
          <w:p>
            <w:pPr>
              <w:pStyle w:val="934"/>
              <w:ind w:right="85"/>
              <w:spacing w:before="71" w:line="239" w:lineRule="auto"/>
              <w:rPr>
                <w:sz w:val="20"/>
                <w:szCs w:val="20"/>
                <w:lang w:eastAsia="zh-CN"/>
              </w:rPr>
            </w:pPr>
            <w:r>
              <w:rPr>
                <w:rFonts w:hint="eastAsia"/>
                <w:b/>
                <w:bCs/>
                <w:spacing w:val="-13"/>
                <w:sz w:val="20"/>
                <w:szCs w:val="20"/>
                <w:lang w:eastAsia="zh-CN"/>
              </w:rPr>
              <w:t xml:space="preserve">合理用</w:t>
            </w:r>
            <w:r>
              <w:rPr>
                <w:rFonts w:hint="eastAsia"/>
                <w:b/>
                <w:bCs/>
                <w:spacing w:val="-11"/>
                <w:sz w:val="20"/>
                <w:szCs w:val="20"/>
                <w:lang w:eastAsia="zh-CN"/>
              </w:rPr>
              <w:t xml:space="preserve">药管理系统</w:t>
            </w:r>
            <w:r>
              <w:rPr>
                <w:rFonts w:hint="eastAsia"/>
                <w:b/>
                <w:bCs/>
                <w:spacing w:val="-8"/>
                <w:sz w:val="20"/>
                <w:szCs w:val="20"/>
                <w:lang w:eastAsia="zh-CN"/>
              </w:rPr>
              <w:t xml:space="preserve">要求</w:t>
            </w:r>
            <w:r/>
          </w:p>
        </w:tc>
        <w:tc>
          <w:tcPr>
            <w:shd w:val="clear" w:color="auto" w:fill="auto"/>
            <w:tcW w:w="1822" w:type="dxa"/>
            <w:textDirection w:val="lrTb"/>
            <w:noWrap w:val="false"/>
          </w:tcPr>
          <w:p>
            <w:pPr>
              <w:pStyle w:val="934"/>
              <w:ind w:left="4" w:right="213" w:hanging="1"/>
              <w:jc w:val="center"/>
              <w:spacing w:before="24" w:line="242" w:lineRule="auto"/>
              <w:rPr>
                <w:sz w:val="20"/>
                <w:szCs w:val="20"/>
              </w:rPr>
            </w:pPr>
            <w:r>
              <w:rPr>
                <w:rFonts w:hint="eastAsia"/>
                <w:spacing w:val="-5"/>
                <w:sz w:val="20"/>
                <w:szCs w:val="20"/>
              </w:rPr>
              <w:t xml:space="preserve">初始化规则</w:t>
            </w:r>
            <w:r>
              <w:rPr>
                <w:rFonts w:hint="eastAsia"/>
                <w:sz w:val="20"/>
                <w:szCs w:val="20"/>
              </w:rPr>
              <w:t xml:space="preserve">库</w:t>
            </w:r>
            <w:r/>
          </w:p>
        </w:tc>
        <w:tc>
          <w:tcPr>
            <w:shd w:val="clear" w:color="auto" w:fill="auto"/>
            <w:tcW w:w="5615" w:type="dxa"/>
            <w:textDirection w:val="lrTb"/>
            <w:noWrap w:val="false"/>
          </w:tcPr>
          <w:p>
            <w:pPr>
              <w:pStyle w:val="934"/>
              <w:ind w:left="9" w:right="126" w:firstLine="443"/>
              <w:jc w:val="both"/>
              <w:spacing w:before="23" w:line="241" w:lineRule="auto"/>
              <w:rPr>
                <w:sz w:val="20"/>
                <w:szCs w:val="20"/>
                <w:lang w:eastAsia="zh-CN"/>
              </w:rPr>
            </w:pPr>
            <w:r>
              <w:rPr>
                <w:rFonts w:hint="eastAsia"/>
                <w:spacing w:val="-6"/>
                <w:sz w:val="20"/>
                <w:szCs w:val="20"/>
                <w:lang w:eastAsia="zh-CN"/>
              </w:rPr>
              <w:t xml:space="preserve">系统提供</w:t>
            </w:r>
            <w:r>
              <w:rPr>
                <w:rFonts w:hint="eastAsia"/>
                <w:spacing w:val="-10"/>
                <w:sz w:val="20"/>
                <w:szCs w:val="20"/>
                <w:lang w:eastAsia="zh-CN"/>
              </w:rPr>
              <w:t xml:space="preserve"> </w:t>
            </w:r>
            <w:r>
              <w:rPr>
                <w:rFonts w:hint="eastAsia"/>
                <w:spacing w:val="-6"/>
                <w:sz w:val="20"/>
                <w:szCs w:val="20"/>
                <w:lang w:eastAsia="zh-CN"/>
              </w:rPr>
              <w:t xml:space="preserve">1 套初始化的合理用药规则库，规则</w:t>
            </w:r>
            <w:r>
              <w:rPr>
                <w:rFonts w:hint="eastAsia"/>
                <w:spacing w:val="-3"/>
                <w:sz w:val="20"/>
                <w:szCs w:val="20"/>
                <w:lang w:eastAsia="zh-CN"/>
              </w:rPr>
              <w:t xml:space="preserve">库是以药品说明书、临床指南等资料为基础，结合</w:t>
            </w:r>
            <w:r>
              <w:rPr>
                <w:rFonts w:hint="eastAsia"/>
                <w:spacing w:val="-2"/>
                <w:sz w:val="20"/>
                <w:szCs w:val="20"/>
                <w:lang w:eastAsia="zh-CN"/>
              </w:rPr>
              <w:t xml:space="preserve">既往服务过的医疗机构临床实际用药情况与经验，</w:t>
            </w:r>
            <w:r>
              <w:rPr>
                <w:rFonts w:hint="eastAsia"/>
                <w:spacing w:val="-3"/>
                <w:sz w:val="20"/>
                <w:szCs w:val="20"/>
                <w:lang w:eastAsia="zh-CN"/>
              </w:rPr>
              <w:t xml:space="preserve">总结优化形成的规则库，要求贴近临床，实用性高</w:t>
            </w:r>
            <w:r/>
          </w:p>
          <w:p>
            <w:pPr>
              <w:pStyle w:val="934"/>
              <w:ind w:left="29"/>
              <w:spacing w:before="136" w:line="106" w:lineRule="exact"/>
              <w:rPr>
                <w:sz w:val="20"/>
                <w:szCs w:val="20"/>
              </w:rPr>
            </w:pPr>
            <w:r>
              <w:rPr>
                <w:rFonts w:hint="eastAsia"/>
                <w:position w:val="1"/>
                <w:sz w:val="20"/>
                <w:szCs w:val="20"/>
              </w:rPr>
              <w:t xml:space="preserve">。</w:t>
            </w:r>
            <w:r/>
          </w:p>
        </w:tc>
      </w:tr>
      <w:tr>
        <w:trPr>
          <w:trHeight w:val="295"/>
        </w:trPr>
        <w:tc>
          <w:tcPr>
            <w:shd w:val="clear" w:color="auto" w:fill="auto"/>
            <w:tcW w:w="1663" w:type="dxa"/>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1"/>
              <w:jc w:val="center"/>
              <w:spacing w:before="47" w:line="199" w:lineRule="auto"/>
              <w:rPr>
                <w:spacing w:val="-8"/>
                <w:sz w:val="20"/>
                <w:szCs w:val="20"/>
                <w:lang w:eastAsia="zh-CN"/>
              </w:rPr>
            </w:pPr>
            <w:r>
              <w:rPr>
                <w:rFonts w:hint="eastAsia"/>
                <w:spacing w:val="-8"/>
                <w:sz w:val="20"/>
                <w:szCs w:val="20"/>
                <w:lang w:eastAsia="zh-CN"/>
              </w:rPr>
              <w:t xml:space="preserve">自定义审方规则</w:t>
            </w:r>
            <w:r/>
          </w:p>
        </w:tc>
        <w:tc>
          <w:tcPr>
            <w:shd w:val="clear" w:color="auto" w:fill="auto"/>
            <w:tcW w:w="5615" w:type="dxa"/>
            <w:textDirection w:val="lrTb"/>
            <w:noWrap w:val="false"/>
          </w:tcPr>
          <w:p>
            <w:pPr>
              <w:pStyle w:val="703"/>
              <w:spacing w:before="0" w:beforeAutospacing="0" w:after="0" w:afterAutospacing="0"/>
              <w:rPr>
                <w:color w:val="000000"/>
                <w:sz w:val="20"/>
                <w:szCs w:val="20"/>
              </w:rPr>
            </w:pPr>
            <w:r>
              <w:rPr>
                <w:rFonts w:hint="eastAsia"/>
                <w:color w:val="000000"/>
                <w:sz w:val="20"/>
                <w:szCs w:val="20"/>
              </w:rPr>
              <w:t xml:space="preserve">1 审核豁免</w:t>
            </w:r>
            <w:r/>
          </w:p>
          <w:p>
            <w:pPr>
              <w:pStyle w:val="703"/>
              <w:spacing w:before="0" w:beforeAutospacing="0" w:after="0" w:afterAutospacing="0"/>
              <w:rPr>
                <w:color w:val="000000"/>
                <w:sz w:val="20"/>
                <w:szCs w:val="20"/>
              </w:rPr>
            </w:pPr>
            <w:r>
              <w:rPr>
                <w:rFonts w:hint="eastAsia"/>
                <w:color w:val="000000"/>
                <w:sz w:val="20"/>
                <w:szCs w:val="20"/>
              </w:rPr>
              <w:t xml:space="preserve">   科室、医生、患者、药品审核项目的豁免。针对科室、医生、患者、药品四类对象：可分别设置“审核项目”和“不审核项目”。当一个处方/医嘱进行审核时，若科室、医生、患者、药品中存在各自的“不审核规则”，则最终免于审核的规则为这四类对象“不审核规则”的并集，可手动开启或者关闭规则。</w:t>
            </w:r>
            <w:r/>
          </w:p>
          <w:p>
            <w:pPr>
              <w:pStyle w:val="703"/>
              <w:jc w:val="both"/>
              <w:spacing w:before="0" w:beforeAutospacing="0" w:after="0" w:afterAutospacing="0"/>
              <w:rPr>
                <w:color w:val="000000"/>
                <w:sz w:val="20"/>
                <w:szCs w:val="20"/>
              </w:rPr>
            </w:pPr>
            <w:r>
              <w:rPr>
                <w:rFonts w:hint="eastAsia"/>
                <w:color w:val="000000"/>
                <w:sz w:val="20"/>
                <w:szCs w:val="20"/>
              </w:rPr>
              <w:t xml:space="preserve"> 2 用法用量</w:t>
            </w:r>
            <w:r/>
          </w:p>
          <w:p>
            <w:pPr>
              <w:pStyle w:val="703"/>
              <w:spacing w:before="0" w:beforeAutospacing="0" w:after="0" w:afterAutospacing="0"/>
              <w:rPr>
                <w:color w:val="000000"/>
                <w:sz w:val="20"/>
                <w:szCs w:val="20"/>
              </w:rPr>
            </w:pPr>
            <w:r>
              <w:rPr>
                <w:rFonts w:hint="eastAsia"/>
                <w:color w:val="000000"/>
                <w:sz w:val="20"/>
                <w:szCs w:val="20"/>
              </w:rPr>
              <w:t xml:space="preserve">   药品用法用量规则设置。用法用量功能模块通过药品规则设置整合患者个体信息（如年龄、体重、肝肾功能等）和药品知识库，实现智能化的剂量计算、用药频次优化及疗程管理，确保用药方案安全、有效且符合个体化需求达到合理用药目的。</w:t>
            </w:r>
            <w:r/>
          </w:p>
          <w:p>
            <w:pPr>
              <w:pStyle w:val="703"/>
              <w:jc w:val="both"/>
              <w:spacing w:before="0" w:beforeAutospacing="0" w:after="0" w:afterAutospacing="0"/>
              <w:rPr>
                <w:color w:val="000000"/>
                <w:sz w:val="20"/>
                <w:szCs w:val="20"/>
              </w:rPr>
            </w:pPr>
            <w:r>
              <w:rPr>
                <w:rFonts w:hint="eastAsia"/>
                <w:color w:val="000000"/>
                <w:sz w:val="20"/>
                <w:szCs w:val="20"/>
              </w:rPr>
              <w:t xml:space="preserve"> 3 特殊人群</w:t>
            </w:r>
            <w:r/>
          </w:p>
          <w:p>
            <w:pPr>
              <w:pStyle w:val="703"/>
              <w:spacing w:before="0" w:beforeAutospacing="0" w:after="0" w:afterAutospacing="0"/>
              <w:rPr>
                <w:color w:val="000000"/>
                <w:sz w:val="20"/>
                <w:szCs w:val="20"/>
              </w:rPr>
            </w:pPr>
            <w:r>
              <w:rPr>
                <w:rFonts w:hint="eastAsia"/>
                <w:color w:val="000000"/>
                <w:sz w:val="20"/>
                <w:szCs w:val="20"/>
              </w:rPr>
              <w:t xml:space="preserve">   药品对特殊人群使用时的规则设置。特殊人群规则设置功能模块，通过整合患者年龄、妊娠状态、肝肾功能等个体信息，结合权威指南与药品说明书，自动识别并提示儿童、老年人、孕妇等特殊人群的禁忌或慎用药品，确保用药方案安全、有效且个体化。</w:t>
            </w:r>
            <w:r/>
          </w:p>
          <w:p>
            <w:pPr>
              <w:pStyle w:val="703"/>
              <w:jc w:val="both"/>
              <w:spacing w:before="0" w:beforeAutospacing="0" w:after="0" w:afterAutospacing="0"/>
              <w:rPr>
                <w:color w:val="000000"/>
                <w:sz w:val="20"/>
                <w:szCs w:val="20"/>
              </w:rPr>
            </w:pPr>
            <w:r>
              <w:rPr>
                <w:rFonts w:hint="eastAsia"/>
                <w:color w:val="000000"/>
                <w:sz w:val="20"/>
                <w:szCs w:val="20"/>
              </w:rPr>
              <w:t xml:space="preserve"> 4 适应症</w:t>
            </w:r>
            <w:r/>
          </w:p>
          <w:p>
            <w:pPr>
              <w:pStyle w:val="703"/>
              <w:jc w:val="both"/>
              <w:spacing w:before="0" w:beforeAutospacing="0" w:after="0" w:afterAutospacing="0"/>
              <w:rPr>
                <w:color w:val="000000"/>
                <w:sz w:val="20"/>
                <w:szCs w:val="20"/>
              </w:rPr>
            </w:pPr>
            <w:r>
              <w:rPr>
                <w:rFonts w:hint="eastAsia"/>
                <w:color w:val="000000"/>
                <w:sz w:val="20"/>
                <w:szCs w:val="20"/>
              </w:rPr>
              <w:t xml:space="preserve">   药品适应症规则设置。适应症规则设置功能模块，通过整合药品说明书、临床指南及患者诊断信息，建立智能化的适应症匹配规则库，实时校验处方药品与患者病情的符合性，确保用药方案精准有效。</w:t>
            </w:r>
            <w:r/>
          </w:p>
          <w:p>
            <w:pPr>
              <w:pStyle w:val="703"/>
              <w:jc w:val="both"/>
              <w:spacing w:before="0" w:beforeAutospacing="0" w:after="0" w:afterAutospacing="0"/>
              <w:rPr>
                <w:color w:val="000000"/>
                <w:sz w:val="20"/>
                <w:szCs w:val="20"/>
              </w:rPr>
            </w:pPr>
            <w:r>
              <w:rPr>
                <w:rFonts w:hint="eastAsia"/>
                <w:color w:val="000000"/>
                <w:sz w:val="20"/>
                <w:szCs w:val="20"/>
              </w:rPr>
              <w:t xml:space="preserve"> 5 慎用症</w:t>
            </w:r>
            <w:r/>
          </w:p>
          <w:p>
            <w:pPr>
              <w:pStyle w:val="703"/>
              <w:jc w:val="both"/>
              <w:spacing w:before="0" w:beforeAutospacing="0" w:after="0" w:afterAutospacing="0"/>
              <w:rPr>
                <w:color w:val="000000"/>
                <w:sz w:val="20"/>
                <w:szCs w:val="20"/>
              </w:rPr>
            </w:pPr>
            <w:r>
              <w:rPr>
                <w:rFonts w:hint="eastAsia"/>
                <w:color w:val="000000"/>
                <w:sz w:val="20"/>
                <w:szCs w:val="20"/>
              </w:rPr>
              <w:t xml:space="preserve">   药品慎用症规则设置。慎用症规则设置功能模块，是通过整合患者诊断信息（如过敏史、特定疾病状态）与药品禁忌症数据，建立智能审查规则库，实现处方开具时对慎用药品的实时风险预警与拦截。</w:t>
            </w:r>
            <w:r/>
          </w:p>
          <w:p>
            <w:pPr>
              <w:pStyle w:val="703"/>
              <w:jc w:val="both"/>
              <w:spacing w:before="0" w:beforeAutospacing="0" w:after="0" w:afterAutospacing="0"/>
              <w:rPr>
                <w:color w:val="000000"/>
                <w:sz w:val="20"/>
                <w:szCs w:val="20"/>
              </w:rPr>
            </w:pPr>
            <w:r>
              <w:rPr>
                <w:rFonts w:hint="eastAsia"/>
                <w:color w:val="000000"/>
                <w:sz w:val="20"/>
                <w:szCs w:val="20"/>
              </w:rPr>
              <w:t xml:space="preserve"> 6 禁忌症</w:t>
            </w:r>
            <w:r/>
          </w:p>
          <w:p>
            <w:pPr>
              <w:pStyle w:val="703"/>
              <w:jc w:val="both"/>
              <w:spacing w:before="0" w:beforeAutospacing="0" w:after="0" w:afterAutospacing="0"/>
              <w:rPr>
                <w:color w:val="000000"/>
                <w:sz w:val="20"/>
                <w:szCs w:val="20"/>
              </w:rPr>
            </w:pPr>
            <w:r>
              <w:rPr>
                <w:rFonts w:hint="eastAsia"/>
                <w:color w:val="000000"/>
                <w:sz w:val="20"/>
                <w:szCs w:val="20"/>
              </w:rPr>
              <w:t xml:space="preserve">   药品禁忌症规则设置。禁忌症规则设置功能模块提供禁忌症规则的创建、维护与管理功能，通过预置及自定义规则拦截临床用药风险。</w:t>
            </w:r>
            <w:r/>
          </w:p>
          <w:p>
            <w:pPr>
              <w:pStyle w:val="703"/>
              <w:jc w:val="both"/>
              <w:spacing w:before="0" w:beforeAutospacing="0" w:after="0" w:afterAutospacing="0"/>
              <w:rPr>
                <w:color w:val="000000"/>
                <w:sz w:val="20"/>
                <w:szCs w:val="20"/>
              </w:rPr>
            </w:pPr>
            <w:r>
              <w:rPr>
                <w:rFonts w:hint="eastAsia"/>
                <w:color w:val="000000"/>
                <w:sz w:val="20"/>
                <w:szCs w:val="20"/>
              </w:rPr>
              <w:t xml:space="preserve"> 7 重复用药</w:t>
            </w:r>
            <w:r/>
          </w:p>
          <w:p>
            <w:pPr>
              <w:pStyle w:val="703"/>
              <w:jc w:val="both"/>
              <w:spacing w:before="0" w:beforeAutospacing="0" w:after="0" w:afterAutospacing="0"/>
              <w:rPr>
                <w:color w:val="000000"/>
                <w:sz w:val="20"/>
                <w:szCs w:val="20"/>
              </w:rPr>
            </w:pPr>
            <w:r>
              <w:rPr>
                <w:rFonts w:hint="eastAsia"/>
                <w:color w:val="000000"/>
                <w:sz w:val="20"/>
                <w:szCs w:val="20"/>
              </w:rPr>
              <w:t xml:space="preserve">   药品重复用药规则设置。重复用药功能模块实现重复用药规则的配置管理，通过预置及自定义规则拦截药物叠加风险。</w:t>
            </w:r>
            <w:r/>
          </w:p>
          <w:p>
            <w:pPr>
              <w:pStyle w:val="703"/>
              <w:jc w:val="both"/>
              <w:spacing w:before="0" w:beforeAutospacing="0" w:after="0" w:afterAutospacing="0"/>
              <w:rPr>
                <w:color w:val="000000"/>
                <w:sz w:val="20"/>
                <w:szCs w:val="20"/>
              </w:rPr>
            </w:pPr>
            <w:r>
              <w:rPr>
                <w:rFonts w:hint="eastAsia"/>
                <w:color w:val="000000"/>
                <w:sz w:val="20"/>
                <w:szCs w:val="20"/>
              </w:rPr>
              <w:t xml:space="preserve"> 8 相互作用</w:t>
            </w:r>
            <w:r/>
          </w:p>
          <w:p>
            <w:pPr>
              <w:pStyle w:val="703"/>
              <w:jc w:val="both"/>
              <w:spacing w:before="0" w:beforeAutospacing="0" w:after="0" w:afterAutospacing="0"/>
              <w:rPr>
                <w:color w:val="000000"/>
                <w:sz w:val="20"/>
                <w:szCs w:val="20"/>
              </w:rPr>
            </w:pPr>
            <w:r>
              <w:rPr>
                <w:rFonts w:hint="eastAsia"/>
                <w:color w:val="000000"/>
                <w:sz w:val="20"/>
                <w:szCs w:val="20"/>
              </w:rPr>
              <w:t xml:space="preserve">   药品相互作用规则设置。相互作用功能模块实现相互作用规则的配置管理，通过预置及自定义规则拦截药物协同/拮抗风险。</w:t>
            </w:r>
            <w:r/>
          </w:p>
          <w:p>
            <w:pPr>
              <w:pStyle w:val="703"/>
              <w:jc w:val="both"/>
              <w:spacing w:before="0" w:beforeAutospacing="0" w:after="0" w:afterAutospacing="0"/>
              <w:rPr>
                <w:color w:val="000000"/>
                <w:sz w:val="20"/>
                <w:szCs w:val="20"/>
              </w:rPr>
            </w:pPr>
            <w:r>
              <w:rPr>
                <w:rFonts w:hint="eastAsia"/>
                <w:color w:val="000000"/>
                <w:sz w:val="20"/>
                <w:szCs w:val="20"/>
              </w:rPr>
              <w:t xml:space="preserve"> 9 余量天数</w:t>
            </w:r>
            <w:r/>
          </w:p>
          <w:p>
            <w:pPr>
              <w:pStyle w:val="703"/>
              <w:jc w:val="both"/>
              <w:spacing w:before="0" w:beforeAutospacing="0" w:after="0" w:afterAutospacing="0"/>
              <w:rPr>
                <w:color w:val="000000"/>
                <w:sz w:val="20"/>
                <w:szCs w:val="20"/>
              </w:rPr>
            </w:pPr>
            <w:r>
              <w:rPr>
                <w:rFonts w:hint="eastAsia"/>
                <w:color w:val="000000"/>
                <w:sz w:val="20"/>
                <w:szCs w:val="20"/>
              </w:rPr>
              <w:t xml:space="preserve">   患者在使用药品时余量天数规则。余量天数规则设置实现余量天数规则的配置管理，通过预置及自定义规则拦截药物累积超量风险。</w:t>
            </w:r>
            <w:r/>
          </w:p>
          <w:p>
            <w:pPr>
              <w:pStyle w:val="703"/>
              <w:jc w:val="both"/>
              <w:spacing w:before="0" w:beforeAutospacing="0" w:after="0" w:afterAutospacing="0"/>
              <w:rPr>
                <w:color w:val="000000"/>
                <w:sz w:val="20"/>
                <w:szCs w:val="20"/>
              </w:rPr>
            </w:pPr>
            <w:r>
              <w:rPr>
                <w:rFonts w:hint="eastAsia"/>
                <w:color w:val="000000"/>
                <w:sz w:val="20"/>
                <w:szCs w:val="20"/>
              </w:rPr>
              <w:t xml:space="preserve"> 10 成分浓度</w:t>
            </w:r>
            <w:r/>
          </w:p>
          <w:p>
            <w:pPr>
              <w:pStyle w:val="703"/>
              <w:jc w:val="both"/>
              <w:spacing w:before="0" w:beforeAutospacing="0" w:after="0" w:afterAutospacing="0"/>
              <w:rPr>
                <w:color w:val="000000"/>
                <w:sz w:val="20"/>
                <w:szCs w:val="20"/>
              </w:rPr>
            </w:pPr>
            <w:r>
              <w:rPr>
                <w:rFonts w:hint="eastAsia"/>
                <w:color w:val="000000"/>
                <w:sz w:val="20"/>
                <w:szCs w:val="20"/>
              </w:rPr>
              <w:t xml:space="preserve">   药品给药途径成分浓度规则设置。成分浓度规则设置功能模块，基于患者个体药代动力学参数（如肝肾功能、基因代谢类型）与药品治疗窗数据，构建动态浓度监测模型，实时预警潜在中毒或无效用药风险，确保药物浓度精准达标。</w:t>
            </w:r>
            <w:r/>
          </w:p>
          <w:p>
            <w:pPr>
              <w:pStyle w:val="703"/>
              <w:jc w:val="both"/>
              <w:spacing w:before="0" w:beforeAutospacing="0" w:after="0" w:afterAutospacing="0"/>
              <w:rPr>
                <w:color w:val="000000"/>
                <w:sz w:val="20"/>
                <w:szCs w:val="20"/>
              </w:rPr>
            </w:pPr>
            <w:r>
              <w:rPr>
                <w:rFonts w:hint="eastAsia"/>
                <w:color w:val="000000"/>
                <w:sz w:val="20"/>
                <w:szCs w:val="20"/>
              </w:rPr>
              <w:t xml:space="preserve"> 11 溶媒配伍</w:t>
            </w:r>
            <w:r/>
          </w:p>
          <w:p>
            <w:pPr>
              <w:pStyle w:val="703"/>
              <w:spacing w:before="0" w:beforeAutospacing="0" w:after="0" w:afterAutospacing="0"/>
              <w:rPr>
                <w:color w:val="000000"/>
                <w:sz w:val="20"/>
                <w:szCs w:val="20"/>
              </w:rPr>
            </w:pPr>
            <w:r>
              <w:rPr>
                <w:rFonts w:hint="eastAsia"/>
                <w:color w:val="000000"/>
                <w:sz w:val="20"/>
                <w:szCs w:val="20"/>
              </w:rPr>
              <w:t xml:space="preserve">11.1▲ 配伍禁忌多药品</w:t>
            </w:r>
            <w:r/>
          </w:p>
          <w:p>
            <w:pPr>
              <w:pStyle w:val="703"/>
              <w:jc w:val="both"/>
              <w:spacing w:before="0" w:beforeAutospacing="0" w:after="0" w:afterAutospacing="0"/>
              <w:rPr>
                <w:color w:val="000000"/>
                <w:sz w:val="20"/>
                <w:szCs w:val="20"/>
              </w:rPr>
            </w:pPr>
            <w:r>
              <w:rPr>
                <w:rFonts w:hint="eastAsia"/>
                <w:color w:val="000000"/>
                <w:sz w:val="20"/>
                <w:szCs w:val="20"/>
              </w:rPr>
              <w:t xml:space="preserve">   配伍药品与溶媒药品允许或者禁止规则设置。配伍禁忌规则设置功能模块，通过多药品组合实时检测与权威数据库动态更新，建立药物相互作用风险分级拦截机制（绝对禁止/谨慎联用），确保复杂用药方案的安全性。</w:t>
            </w:r>
            <w:r/>
          </w:p>
          <w:p>
            <w:pPr>
              <w:pStyle w:val="703"/>
              <w:jc w:val="both"/>
              <w:spacing w:before="0" w:beforeAutospacing="0" w:after="0" w:afterAutospacing="0"/>
              <w:rPr>
                <w:color w:val="000000"/>
                <w:sz w:val="20"/>
                <w:szCs w:val="20"/>
              </w:rPr>
            </w:pPr>
            <w:r>
              <w:rPr>
                <w:rFonts w:hint="eastAsia"/>
                <w:color w:val="000000"/>
                <w:sz w:val="20"/>
                <w:szCs w:val="20"/>
              </w:rPr>
              <w:t xml:space="preserve"> 11.2 初溶药品</w:t>
            </w:r>
            <w:r/>
          </w:p>
          <w:p>
            <w:pPr>
              <w:pStyle w:val="703"/>
              <w:jc w:val="both"/>
              <w:spacing w:before="0" w:beforeAutospacing="0" w:after="0" w:afterAutospacing="0"/>
              <w:rPr>
                <w:color w:val="000000"/>
                <w:sz w:val="20"/>
                <w:szCs w:val="20"/>
              </w:rPr>
            </w:pPr>
            <w:r>
              <w:rPr>
                <w:rFonts w:hint="eastAsia"/>
                <w:color w:val="000000"/>
                <w:sz w:val="20"/>
                <w:szCs w:val="20"/>
              </w:rPr>
              <w:t xml:space="preserve">   初溶药品规则设置。初溶药品规则设置功能模块，通过整合药品说明书、溶媒配伍禁忌数据库及无菌操作规范，建立注射剂溶媒选择与配制流程的实时校验规则，精准拦截理化性质冲突的溶媒组合（如沉淀、分解反应），确保临床配制安全性与药品稳定性。</w:t>
            </w:r>
            <w:r/>
          </w:p>
          <w:p>
            <w:pPr>
              <w:pStyle w:val="703"/>
              <w:jc w:val="both"/>
              <w:spacing w:before="0" w:beforeAutospacing="0" w:after="0" w:afterAutospacing="0"/>
              <w:rPr>
                <w:color w:val="000000"/>
                <w:sz w:val="20"/>
                <w:szCs w:val="20"/>
              </w:rPr>
            </w:pPr>
            <w:r>
              <w:rPr>
                <w:rFonts w:hint="eastAsia"/>
                <w:color w:val="000000"/>
                <w:sz w:val="20"/>
                <w:szCs w:val="20"/>
              </w:rPr>
              <w:t xml:space="preserve"> 12 日剂量累积</w:t>
            </w:r>
            <w:r/>
          </w:p>
          <w:p>
            <w:pPr>
              <w:pStyle w:val="703"/>
              <w:jc w:val="both"/>
              <w:spacing w:before="0" w:beforeAutospacing="0" w:after="0" w:afterAutospacing="0"/>
              <w:rPr>
                <w:color w:val="000000"/>
                <w:sz w:val="20"/>
                <w:szCs w:val="20"/>
              </w:rPr>
            </w:pPr>
            <w:r>
              <w:rPr>
                <w:rFonts w:hint="eastAsia"/>
                <w:color w:val="000000"/>
                <w:sz w:val="20"/>
                <w:szCs w:val="20"/>
              </w:rPr>
              <w:t xml:space="preserve">   药品日剂量累积规则设置。日剂量累积规则设置功能模块，通过动态监测患者多处方药品的24小时总摄入量（含跨科室开药），结合肝肾功能等个体参数实时拦截超安全阈值用药，防止药物毒性叠加风险。</w:t>
            </w:r>
            <w:r/>
          </w:p>
          <w:p>
            <w:pPr>
              <w:pStyle w:val="703"/>
              <w:jc w:val="both"/>
              <w:spacing w:before="0" w:beforeAutospacing="0" w:after="0" w:afterAutospacing="0"/>
              <w:rPr>
                <w:color w:val="000000"/>
                <w:sz w:val="20"/>
                <w:szCs w:val="20"/>
              </w:rPr>
            </w:pPr>
            <w:r>
              <w:rPr>
                <w:rFonts w:hint="eastAsia"/>
                <w:color w:val="000000"/>
                <w:sz w:val="20"/>
                <w:szCs w:val="20"/>
              </w:rPr>
              <w:t xml:space="preserve"> 13 抗菌药</w:t>
            </w:r>
            <w:r/>
          </w:p>
          <w:p>
            <w:pPr>
              <w:pStyle w:val="703"/>
              <w:spacing w:before="0" w:beforeAutospacing="0" w:after="0" w:afterAutospacing="0"/>
              <w:rPr>
                <w:color w:val="000000"/>
                <w:sz w:val="20"/>
                <w:szCs w:val="20"/>
              </w:rPr>
            </w:pPr>
            <w:r>
              <w:rPr>
                <w:rFonts w:hint="eastAsia"/>
                <w:color w:val="000000"/>
                <w:sz w:val="20"/>
                <w:szCs w:val="20"/>
              </w:rPr>
              <w:t xml:space="preserve">13.1 抗菌药分级</w:t>
            </w:r>
            <w:r/>
          </w:p>
          <w:p>
            <w:pPr>
              <w:pStyle w:val="703"/>
              <w:jc w:val="both"/>
              <w:spacing w:before="0" w:beforeAutospacing="0" w:after="0" w:afterAutospacing="0"/>
              <w:rPr>
                <w:color w:val="000000"/>
                <w:sz w:val="20"/>
                <w:szCs w:val="20"/>
              </w:rPr>
            </w:pPr>
            <w:r>
              <w:rPr>
                <w:rFonts w:hint="eastAsia"/>
                <w:color w:val="000000"/>
                <w:sz w:val="20"/>
                <w:szCs w:val="20"/>
              </w:rPr>
              <w:t xml:space="preserve">   医生处方抗菌药使用权限设置。医生处方抗菌药使用权限设置或者批量设置，支持开启/关闭权限操作。</w:t>
            </w:r>
            <w:r/>
          </w:p>
          <w:p>
            <w:pPr>
              <w:pStyle w:val="703"/>
              <w:jc w:val="both"/>
              <w:spacing w:before="0" w:beforeAutospacing="0" w:after="0" w:afterAutospacing="0"/>
              <w:rPr>
                <w:color w:val="000000"/>
                <w:sz w:val="20"/>
                <w:szCs w:val="20"/>
              </w:rPr>
            </w:pPr>
            <w:r>
              <w:rPr>
                <w:rFonts w:hint="eastAsia"/>
                <w:color w:val="000000"/>
                <w:sz w:val="20"/>
                <w:szCs w:val="20"/>
              </w:rPr>
              <w:t xml:space="preserve"> 13.2 抗菌药物用药指征</w:t>
            </w:r>
            <w:r/>
          </w:p>
          <w:p>
            <w:pPr>
              <w:pStyle w:val="703"/>
              <w:jc w:val="both"/>
              <w:spacing w:before="0" w:beforeAutospacing="0" w:after="0" w:afterAutospacing="0"/>
              <w:rPr>
                <w:color w:val="000000"/>
                <w:sz w:val="20"/>
                <w:szCs w:val="20"/>
              </w:rPr>
            </w:pPr>
            <w:r>
              <w:rPr>
                <w:rFonts w:hint="eastAsia"/>
                <w:color w:val="000000"/>
                <w:sz w:val="20"/>
                <w:szCs w:val="20"/>
              </w:rPr>
              <w:t xml:space="preserve">   抗菌药物用药指征设置。严格限制抗菌药物使用于确诊或高度怀疑细菌感染，并排除非细菌感染因素的患者。</w:t>
            </w:r>
            <w:r/>
          </w:p>
          <w:p>
            <w:pPr>
              <w:pStyle w:val="703"/>
              <w:jc w:val="both"/>
              <w:spacing w:before="0" w:beforeAutospacing="0" w:after="0" w:afterAutospacing="0"/>
              <w:rPr>
                <w:color w:val="000000"/>
                <w:sz w:val="20"/>
                <w:szCs w:val="20"/>
              </w:rPr>
            </w:pPr>
            <w:r>
              <w:rPr>
                <w:rFonts w:hint="eastAsia"/>
                <w:color w:val="000000"/>
                <w:sz w:val="20"/>
                <w:szCs w:val="20"/>
              </w:rPr>
              <w:t xml:space="preserve"> 14 围术期变用药</w:t>
            </w:r>
            <w:r/>
          </w:p>
          <w:p>
            <w:pPr>
              <w:pStyle w:val="703"/>
              <w:jc w:val="both"/>
              <w:spacing w:before="0" w:beforeAutospacing="0" w:after="0" w:afterAutospacing="0"/>
              <w:rPr>
                <w:color w:val="000000"/>
                <w:sz w:val="20"/>
                <w:szCs w:val="20"/>
              </w:rPr>
            </w:pPr>
            <w:r>
              <w:rPr>
                <w:rFonts w:hint="eastAsia"/>
                <w:color w:val="000000"/>
                <w:sz w:val="20"/>
                <w:szCs w:val="20"/>
              </w:rPr>
              <w:t xml:space="preserve">   围术期变用药警示设置。围术期合理用药模块规则设置需基于患者个体化评估，结合手术类型、药物相互作用及风险监测，制定精准用药方案。</w:t>
            </w:r>
            <w:r/>
          </w:p>
          <w:p>
            <w:pPr>
              <w:pStyle w:val="703"/>
              <w:jc w:val="both"/>
              <w:spacing w:before="0" w:beforeAutospacing="0" w:after="0" w:afterAutospacing="0"/>
              <w:rPr>
                <w:color w:val="000000"/>
                <w:sz w:val="20"/>
                <w:szCs w:val="20"/>
              </w:rPr>
            </w:pPr>
            <w:r>
              <w:rPr>
                <w:rFonts w:hint="eastAsia"/>
                <w:color w:val="000000"/>
                <w:sz w:val="20"/>
                <w:szCs w:val="20"/>
              </w:rPr>
              <w:t xml:space="preserve"> 15 ▲</w:t>
            </w:r>
            <w:r>
              <w:rPr>
                <w:rFonts w:hint="eastAsia"/>
                <w:color w:val="000000"/>
                <w:spacing w:val="-3"/>
                <w:sz w:val="20"/>
                <w:szCs w:val="20"/>
              </w:rPr>
              <w:t xml:space="preserve"> </w:t>
            </w:r>
            <w:r>
              <w:rPr>
                <w:rFonts w:hint="eastAsia"/>
                <w:color w:val="000000"/>
                <w:sz w:val="20"/>
                <w:szCs w:val="20"/>
              </w:rPr>
              <w:t xml:space="preserve">药控</w:t>
            </w:r>
            <w:r/>
          </w:p>
          <w:p>
            <w:pPr>
              <w:pStyle w:val="703"/>
              <w:jc w:val="both"/>
              <w:spacing w:before="0" w:beforeAutospacing="0" w:after="0" w:afterAutospacing="0"/>
              <w:rPr>
                <w:color w:val="000000"/>
                <w:sz w:val="20"/>
                <w:szCs w:val="20"/>
              </w:rPr>
            </w:pPr>
            <w:r>
              <w:rPr>
                <w:rFonts w:hint="eastAsia"/>
                <w:color w:val="000000"/>
                <w:sz w:val="20"/>
                <w:szCs w:val="20"/>
              </w:rPr>
              <w:t xml:space="preserve">   药品定性控制警示设置。合理用药药品定性控制模块规则设置需基于药品特性、患者个体化因素及临床指南，通过多维度评估实现精准用药决策给以警示。</w:t>
            </w:r>
            <w:r/>
          </w:p>
          <w:p>
            <w:pPr>
              <w:pStyle w:val="703"/>
              <w:jc w:val="both"/>
              <w:spacing w:before="0" w:beforeAutospacing="0" w:after="0" w:afterAutospacing="0"/>
              <w:rPr>
                <w:color w:val="000000"/>
                <w:sz w:val="20"/>
                <w:szCs w:val="20"/>
              </w:rPr>
            </w:pPr>
            <w:r>
              <w:rPr>
                <w:rFonts w:hint="eastAsia"/>
                <w:color w:val="000000"/>
                <w:sz w:val="20"/>
                <w:szCs w:val="20"/>
              </w:rPr>
              <w:t xml:space="preserve"> 16 全局规则</w:t>
            </w:r>
            <w:r/>
          </w:p>
          <w:p>
            <w:pPr>
              <w:pStyle w:val="703"/>
              <w:jc w:val="both"/>
              <w:spacing w:before="0" w:beforeAutospacing="0" w:after="0" w:afterAutospacing="0"/>
              <w:rPr>
                <w:color w:val="000000"/>
                <w:sz w:val="20"/>
                <w:szCs w:val="20"/>
              </w:rPr>
            </w:pPr>
            <w:r>
              <w:rPr>
                <w:rFonts w:hint="eastAsia"/>
                <w:color w:val="000000"/>
                <w:sz w:val="20"/>
                <w:szCs w:val="20"/>
              </w:rPr>
              <w:t xml:space="preserve">   必要的规则设置。全局必要的规则设置如，患者姓名、性别、年龄，医生开具处方时间等。</w:t>
            </w:r>
            <w:r/>
          </w:p>
          <w:p>
            <w:pPr>
              <w:pStyle w:val="934"/>
              <w:ind w:firstLine="200"/>
              <w:spacing w:before="47"/>
              <w:rPr>
                <w:sz w:val="20"/>
                <w:szCs w:val="20"/>
                <w:lang w:eastAsia="zh-CN"/>
              </w:rPr>
            </w:pPr>
            <w:r>
              <w:rPr>
                <w:rFonts w:hint="eastAsia"/>
                <w:sz w:val="20"/>
                <w:szCs w:val="20"/>
                <w:lang w:eastAsia="zh-CN"/>
              </w:rPr>
              <w:t xml:space="preserve">17 多联用药</w:t>
            </w:r>
            <w:r/>
          </w:p>
          <w:p>
            <w:pPr>
              <w:pStyle w:val="934"/>
              <w:ind w:firstLine="200"/>
              <w:spacing w:before="47"/>
              <w:rPr>
                <w:sz w:val="20"/>
                <w:szCs w:val="20"/>
                <w:lang w:eastAsia="zh-CN"/>
              </w:rPr>
            </w:pPr>
            <w:r>
              <w:rPr>
                <w:rFonts w:hint="eastAsia"/>
                <w:sz w:val="20"/>
                <w:szCs w:val="20"/>
                <w:lang w:eastAsia="zh-CN"/>
              </w:rPr>
              <w:t xml:space="preserve">  其功能通过智能规则审查引擎，实现多药品间相互作用与重复用药的多维度审查，同时针对医院管控药品设定联用数量约束。</w:t>
            </w:r>
            <w:r/>
          </w:p>
          <w:p>
            <w:pPr>
              <w:pStyle w:val="934"/>
              <w:ind w:firstLine="200"/>
              <w:spacing w:before="47"/>
              <w:rPr>
                <w:sz w:val="20"/>
                <w:szCs w:val="20"/>
                <w:lang w:eastAsia="zh-CN"/>
              </w:rPr>
            </w:pPr>
            <w:r>
              <w:rPr>
                <w:rFonts w:hint="eastAsia"/>
                <w:sz w:val="20"/>
                <w:szCs w:val="20"/>
                <w:lang w:eastAsia="zh-CN"/>
              </w:rPr>
              <w:t xml:space="preserve">18 医保规则</w:t>
            </w:r>
            <w:r/>
          </w:p>
          <w:p>
            <w:pPr>
              <w:pStyle w:val="934"/>
              <w:ind w:firstLine="200"/>
              <w:spacing w:before="47"/>
              <w:rPr>
                <w:sz w:val="20"/>
                <w:szCs w:val="20"/>
                <w:lang w:eastAsia="zh-CN"/>
              </w:rPr>
            </w:pPr>
            <w:r>
              <w:rPr>
                <w:rFonts w:hint="eastAsia"/>
                <w:sz w:val="20"/>
                <w:szCs w:val="20"/>
                <w:lang w:eastAsia="zh-CN"/>
              </w:rPr>
              <w:t xml:space="preserve">医保规则医保限定条件智能拦截，如针对特殊人群（如儿童、孕妇、新生儿）或特定病种（如工伤、生育保险）等，系统自动审核药品使用是否符合医保支付条件，不满足条件则触发医保规则警示；医生开具处方时，系统自动校验医保支付费别、限定条件等，并提示替代方案。</w:t>
            </w:r>
            <w:r/>
          </w:p>
          <w:p>
            <w:pPr>
              <w:pStyle w:val="934"/>
              <w:ind w:firstLine="200"/>
              <w:spacing w:before="47"/>
              <w:rPr>
                <w:sz w:val="20"/>
                <w:szCs w:val="20"/>
                <w:lang w:eastAsia="zh-CN"/>
              </w:rPr>
            </w:pPr>
            <w:r>
              <w:rPr>
                <w:rFonts w:hint="eastAsia"/>
                <w:sz w:val="20"/>
                <w:szCs w:val="20"/>
                <w:lang w:eastAsia="zh-CN"/>
              </w:rPr>
              <w:t xml:space="preserve">19规则自查</w:t>
            </w:r>
            <w:r/>
          </w:p>
          <w:p>
            <w:pPr>
              <w:pStyle w:val="934"/>
              <w:ind w:firstLine="200"/>
              <w:spacing w:before="47"/>
              <w:rPr>
                <w:sz w:val="20"/>
                <w:szCs w:val="20"/>
                <w:lang w:eastAsia="zh-CN"/>
              </w:rPr>
            </w:pPr>
            <w:r>
              <w:rPr>
                <w:rFonts w:hint="eastAsia"/>
                <w:sz w:val="20"/>
                <w:szCs w:val="20"/>
                <w:lang w:eastAsia="zh-CN"/>
              </w:rPr>
              <w:t xml:space="preserve">药师创建或修改用药规则后，可基于自定义处方模板（支持设置患者信息、药品、剂量、诊断、过敏史等条件），模拟 HIS 处方数据进行规则触发测试。系统实时返回规则命中结果，帮助药师快速验证规则逻辑准确性，确保规则上线前零风险。</w:t>
            </w:r>
            <w:r/>
          </w:p>
        </w:tc>
      </w:tr>
      <w:tr>
        <w:trPr>
          <w:trHeight w:val="295"/>
        </w:trPr>
        <w:tc>
          <w:tcPr>
            <w:shd w:val="clear" w:color="auto" w:fill="auto"/>
            <w:tcW w:w="1663" w:type="dxa"/>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ind w:left="11"/>
              <w:jc w:val="center"/>
              <w:spacing w:before="47" w:line="199" w:lineRule="auto"/>
              <w:rPr>
                <w:spacing w:val="-8"/>
                <w:sz w:val="20"/>
                <w:szCs w:val="20"/>
                <w:lang w:eastAsia="zh-CN"/>
              </w:rPr>
            </w:pPr>
            <w:r>
              <w:rPr>
                <w:rFonts w:hint="eastAsia"/>
                <w:spacing w:val="-8"/>
                <w:sz w:val="20"/>
                <w:szCs w:val="20"/>
                <w:lang w:eastAsia="zh-CN"/>
              </w:rPr>
              <w:t xml:space="preserve">中药审方</w:t>
            </w:r>
            <w:r/>
          </w:p>
        </w:tc>
        <w:tc>
          <w:tcPr>
            <w:shd w:val="clear" w:color="auto" w:fill="auto"/>
            <w:tcW w:w="5615" w:type="dxa"/>
            <w:textDirection w:val="lrTb"/>
            <w:noWrap w:val="false"/>
          </w:tcPr>
          <w:p>
            <w:pPr>
              <w:pStyle w:val="934"/>
              <w:ind w:left="8"/>
              <w:spacing w:before="47"/>
              <w:rPr>
                <w:sz w:val="20"/>
                <w:szCs w:val="20"/>
                <w:lang w:eastAsia="zh-CN"/>
              </w:rPr>
            </w:pPr>
            <w:r>
              <w:rPr>
                <w:rFonts w:hint="eastAsia"/>
                <w:spacing w:val="-3"/>
                <w:sz w:val="20"/>
                <w:szCs w:val="20"/>
                <w:lang w:eastAsia="zh-CN"/>
              </w:rPr>
              <w:t xml:space="preserve">1</w:t>
            </w:r>
            <w:r>
              <w:rPr>
                <w:rFonts w:hint="eastAsia"/>
                <w:sz w:val="20"/>
                <w:szCs w:val="20"/>
                <w:lang w:eastAsia="zh-CN"/>
              </w:rPr>
              <w:t xml:space="preserve">▲</w:t>
            </w:r>
            <w:r>
              <w:rPr>
                <w:rFonts w:hint="eastAsia"/>
                <w:spacing w:val="-3"/>
                <w:sz w:val="20"/>
                <w:szCs w:val="20"/>
                <w:lang w:eastAsia="zh-CN"/>
              </w:rPr>
              <w:t xml:space="preserve"> </w:t>
            </w:r>
            <w:r>
              <w:rPr>
                <w:rFonts w:hint="eastAsia"/>
                <w:sz w:val="20"/>
                <w:szCs w:val="20"/>
                <w:lang w:eastAsia="zh-CN"/>
              </w:rPr>
              <w:t xml:space="preserve">规范性审核</w:t>
            </w:r>
            <w:r/>
          </w:p>
          <w:p>
            <w:pPr>
              <w:pStyle w:val="934"/>
              <w:ind w:left="8"/>
              <w:spacing w:before="47"/>
              <w:rPr>
                <w:sz w:val="20"/>
                <w:szCs w:val="20"/>
                <w:lang w:eastAsia="zh-CN"/>
              </w:rPr>
            </w:pPr>
            <w:r>
              <w:rPr>
                <w:rFonts w:hint="eastAsia"/>
                <w:sz w:val="20"/>
                <w:szCs w:val="20"/>
                <w:lang w:eastAsia="zh-CN"/>
              </w:rPr>
              <w:t xml:space="preserve">  审核中药饮片处方应符合《处方管理办法》规定的标准和格式</w:t>
            </w:r>
            <w:r/>
          </w:p>
          <w:p>
            <w:pPr>
              <w:pStyle w:val="934"/>
              <w:ind w:left="8"/>
              <w:spacing w:before="47"/>
              <w:rPr>
                <w:sz w:val="20"/>
                <w:szCs w:val="20"/>
                <w:lang w:eastAsia="zh-CN"/>
              </w:rPr>
            </w:pPr>
            <w:r>
              <w:rPr>
                <w:rFonts w:hint="eastAsia"/>
                <w:sz w:val="20"/>
                <w:szCs w:val="20"/>
                <w:lang w:eastAsia="zh-CN"/>
              </w:rPr>
              <w:t xml:space="preserve">2▲ 理法方药审核</w:t>
            </w:r>
            <w:r/>
          </w:p>
          <w:p>
            <w:pPr>
              <w:pStyle w:val="934"/>
              <w:ind w:left="8"/>
              <w:spacing w:before="47"/>
              <w:rPr>
                <w:sz w:val="20"/>
                <w:szCs w:val="20"/>
                <w:lang w:eastAsia="zh-CN"/>
              </w:rPr>
            </w:pPr>
            <w:r>
              <w:rPr>
                <w:rFonts w:hint="eastAsia"/>
                <w:sz w:val="20"/>
                <w:szCs w:val="20"/>
                <w:lang w:eastAsia="zh-CN"/>
              </w:rPr>
              <w:t xml:space="preserve">  审核中药饮片处方是否辨证使用，应充分体现理法方药的一致性原则</w:t>
            </w:r>
            <w:r/>
          </w:p>
          <w:p>
            <w:pPr>
              <w:pStyle w:val="934"/>
              <w:ind w:left="8"/>
              <w:spacing w:before="47"/>
              <w:rPr>
                <w:sz w:val="20"/>
                <w:szCs w:val="20"/>
                <w:lang w:eastAsia="zh-CN"/>
              </w:rPr>
            </w:pPr>
            <w:r>
              <w:rPr>
                <w:rFonts w:hint="eastAsia"/>
                <w:sz w:val="20"/>
                <w:szCs w:val="20"/>
                <w:lang w:eastAsia="zh-CN"/>
              </w:rPr>
              <w:t xml:space="preserve">3 用法用量审核</w:t>
            </w:r>
            <w:r/>
          </w:p>
          <w:p>
            <w:pPr>
              <w:pStyle w:val="934"/>
              <w:ind w:left="8"/>
              <w:spacing w:before="47"/>
              <w:rPr>
                <w:sz w:val="20"/>
                <w:szCs w:val="20"/>
                <w:lang w:eastAsia="zh-CN"/>
              </w:rPr>
            </w:pPr>
            <w:r>
              <w:rPr>
                <w:rFonts w:hint="eastAsia"/>
                <w:sz w:val="20"/>
                <w:szCs w:val="20"/>
                <w:lang w:eastAsia="zh-CN"/>
              </w:rPr>
              <w:t xml:space="preserve">  审核药品的剂量、剂型、给药途径、给药时间、给药次数、疗程是否有误</w:t>
            </w:r>
            <w:r/>
          </w:p>
          <w:p>
            <w:pPr>
              <w:pStyle w:val="934"/>
              <w:ind w:left="8"/>
              <w:spacing w:before="47"/>
              <w:rPr>
                <w:sz w:val="20"/>
                <w:szCs w:val="20"/>
                <w:lang w:eastAsia="zh-CN"/>
              </w:rPr>
            </w:pPr>
            <w:r>
              <w:rPr>
                <w:rFonts w:hint="eastAsia"/>
                <w:sz w:val="20"/>
                <w:szCs w:val="20"/>
                <w:lang w:eastAsia="zh-CN"/>
              </w:rPr>
              <w:t xml:space="preserve">4 重复用药审核</w:t>
            </w:r>
            <w:r/>
          </w:p>
          <w:p>
            <w:pPr>
              <w:pStyle w:val="934"/>
              <w:ind w:left="8"/>
              <w:spacing w:before="47"/>
              <w:rPr>
                <w:sz w:val="20"/>
                <w:szCs w:val="20"/>
                <w:lang w:eastAsia="zh-CN"/>
              </w:rPr>
            </w:pPr>
            <w:r>
              <w:rPr>
                <w:rFonts w:hint="eastAsia"/>
                <w:sz w:val="20"/>
                <w:szCs w:val="20"/>
                <w:lang w:eastAsia="zh-CN"/>
              </w:rPr>
              <w:t xml:space="preserve">  审核该患者是否同时开具相同药品或药理作用相似的药品</w:t>
            </w:r>
            <w:r/>
          </w:p>
          <w:p>
            <w:pPr>
              <w:pStyle w:val="934"/>
              <w:ind w:left="8"/>
              <w:spacing w:before="47"/>
              <w:rPr>
                <w:sz w:val="20"/>
                <w:szCs w:val="20"/>
                <w:lang w:eastAsia="zh-CN"/>
              </w:rPr>
            </w:pPr>
            <w:r>
              <w:rPr>
                <w:rFonts w:hint="eastAsia"/>
                <w:sz w:val="20"/>
                <w:szCs w:val="20"/>
                <w:lang w:eastAsia="zh-CN"/>
              </w:rPr>
              <w:t xml:space="preserve">5 ▲联合用药审核</w:t>
            </w:r>
            <w:r/>
          </w:p>
          <w:p>
            <w:pPr>
              <w:pStyle w:val="934"/>
              <w:ind w:left="8"/>
              <w:spacing w:before="47"/>
              <w:rPr>
                <w:sz w:val="20"/>
                <w:szCs w:val="20"/>
                <w:lang w:eastAsia="zh-CN"/>
              </w:rPr>
            </w:pPr>
            <w:r>
              <w:rPr>
                <w:rFonts w:hint="eastAsia"/>
                <w:sz w:val="20"/>
                <w:szCs w:val="20"/>
                <w:lang w:eastAsia="zh-CN"/>
              </w:rPr>
              <w:t xml:space="preserve">  审核中药饮片-中成药、中药饮片-西药之间的相互作用，如有明确禁忌的，应避免联合应用。</w:t>
            </w:r>
            <w:r/>
          </w:p>
          <w:p>
            <w:pPr>
              <w:pStyle w:val="934"/>
              <w:ind w:left="8"/>
              <w:spacing w:before="47"/>
              <w:rPr>
                <w:sz w:val="20"/>
                <w:szCs w:val="20"/>
                <w:lang w:eastAsia="zh-CN"/>
              </w:rPr>
            </w:pPr>
            <w:r>
              <w:rPr>
                <w:rFonts w:hint="eastAsia"/>
                <w:sz w:val="20"/>
                <w:szCs w:val="20"/>
                <w:lang w:eastAsia="zh-CN"/>
              </w:rPr>
              <w:t xml:space="preserve">6 ▲配伍禁忌审核</w:t>
            </w:r>
            <w:r/>
          </w:p>
          <w:p>
            <w:pPr>
              <w:pStyle w:val="934"/>
              <w:ind w:left="8"/>
              <w:spacing w:before="47"/>
              <w:rPr>
                <w:sz w:val="20"/>
                <w:szCs w:val="20"/>
                <w:lang w:eastAsia="zh-CN"/>
              </w:rPr>
            </w:pPr>
            <w:r>
              <w:rPr>
                <w:rFonts w:hint="eastAsia"/>
                <w:sz w:val="20"/>
                <w:szCs w:val="20"/>
                <w:lang w:eastAsia="zh-CN"/>
              </w:rPr>
              <w:t xml:space="preserve">  审核所处方药品是否存在配伍禁忌，处方用药应避免使用配伍禁忌，如“十八反、十九畏”，根据病情确需使用的医师应双签字确认</w:t>
            </w:r>
            <w:r/>
          </w:p>
          <w:p>
            <w:pPr>
              <w:pStyle w:val="934"/>
              <w:ind w:left="8"/>
              <w:spacing w:before="47"/>
              <w:rPr>
                <w:sz w:val="20"/>
                <w:szCs w:val="20"/>
                <w:lang w:eastAsia="zh-CN"/>
              </w:rPr>
            </w:pPr>
            <w:r>
              <w:rPr>
                <w:rFonts w:hint="eastAsia"/>
                <w:sz w:val="20"/>
                <w:szCs w:val="20"/>
                <w:lang w:eastAsia="zh-CN"/>
              </w:rPr>
              <w:t xml:space="preserve">7 ▲证候禁忌审核</w:t>
            </w:r>
            <w:r/>
          </w:p>
          <w:p>
            <w:pPr>
              <w:pStyle w:val="934"/>
              <w:ind w:left="8"/>
              <w:spacing w:before="47"/>
              <w:rPr>
                <w:sz w:val="20"/>
                <w:szCs w:val="20"/>
                <w:lang w:eastAsia="zh-CN"/>
              </w:rPr>
            </w:pPr>
            <w:r>
              <w:rPr>
                <w:rFonts w:hint="eastAsia"/>
                <w:sz w:val="20"/>
                <w:szCs w:val="20"/>
                <w:lang w:eastAsia="zh-CN"/>
              </w:rPr>
              <w:t xml:space="preserve">  审核中药的证候禁忌</w:t>
            </w:r>
            <w:r/>
          </w:p>
          <w:p>
            <w:pPr>
              <w:pStyle w:val="934"/>
              <w:ind w:left="8"/>
              <w:spacing w:before="47"/>
              <w:rPr>
                <w:sz w:val="20"/>
                <w:szCs w:val="20"/>
                <w:lang w:eastAsia="zh-CN"/>
              </w:rPr>
            </w:pPr>
            <w:r>
              <w:rPr>
                <w:rFonts w:hint="eastAsia"/>
                <w:sz w:val="20"/>
                <w:szCs w:val="20"/>
                <w:lang w:eastAsia="zh-CN"/>
              </w:rPr>
              <w:t xml:space="preserve">8 特殊人群审核</w:t>
            </w:r>
            <w:r/>
          </w:p>
          <w:p>
            <w:pPr>
              <w:pStyle w:val="934"/>
              <w:ind w:left="8"/>
              <w:spacing w:before="47"/>
              <w:rPr>
                <w:sz w:val="20"/>
                <w:szCs w:val="20"/>
                <w:lang w:eastAsia="zh-CN"/>
              </w:rPr>
            </w:pPr>
            <w:r>
              <w:rPr>
                <w:rFonts w:hint="eastAsia"/>
                <w:sz w:val="20"/>
                <w:szCs w:val="20"/>
                <w:lang w:eastAsia="zh-CN"/>
              </w:rPr>
              <w:t xml:space="preserve">  审核患者是否属于临床用药风险“高危”人群</w:t>
            </w:r>
            <w:r/>
          </w:p>
          <w:p>
            <w:pPr>
              <w:pStyle w:val="934"/>
              <w:ind w:left="8"/>
              <w:spacing w:before="47"/>
              <w:rPr>
                <w:sz w:val="20"/>
                <w:szCs w:val="20"/>
                <w:lang w:eastAsia="zh-CN"/>
              </w:rPr>
            </w:pPr>
            <w:r>
              <w:rPr>
                <w:rFonts w:hint="eastAsia"/>
                <w:sz w:val="20"/>
                <w:szCs w:val="20"/>
                <w:lang w:eastAsia="zh-CN"/>
              </w:rPr>
              <w:t xml:space="preserve">9 药物过敏审核</w:t>
            </w:r>
            <w:r/>
          </w:p>
          <w:p>
            <w:pPr>
              <w:pStyle w:val="934"/>
              <w:ind w:left="8"/>
              <w:spacing w:before="47"/>
              <w:rPr>
                <w:sz w:val="20"/>
                <w:szCs w:val="20"/>
                <w:lang w:eastAsia="zh-CN"/>
              </w:rPr>
            </w:pPr>
            <w:r>
              <w:rPr>
                <w:rFonts w:hint="eastAsia"/>
                <w:sz w:val="20"/>
                <w:szCs w:val="20"/>
                <w:lang w:eastAsia="zh-CN"/>
              </w:rPr>
              <w:t xml:space="preserve">  审核患者是否有药物过敏风险/历史</w:t>
            </w:r>
            <w:r/>
          </w:p>
          <w:p>
            <w:pPr>
              <w:pStyle w:val="934"/>
              <w:ind w:left="8"/>
              <w:spacing w:before="47"/>
              <w:rPr>
                <w:sz w:val="20"/>
                <w:szCs w:val="20"/>
                <w:lang w:eastAsia="zh-CN"/>
              </w:rPr>
            </w:pPr>
            <w:r>
              <w:rPr>
                <w:rFonts w:hint="eastAsia"/>
                <w:sz w:val="20"/>
                <w:szCs w:val="20"/>
                <w:lang w:eastAsia="zh-CN"/>
              </w:rPr>
              <w:t xml:space="preserve">10 ▲医院规定审核</w:t>
            </w:r>
            <w:r/>
          </w:p>
          <w:p>
            <w:pPr>
              <w:pStyle w:val="934"/>
              <w:ind w:left="8"/>
              <w:spacing w:before="47"/>
              <w:rPr>
                <w:sz w:val="20"/>
                <w:szCs w:val="20"/>
                <w:lang w:eastAsia="zh-CN"/>
              </w:rPr>
            </w:pPr>
            <w:r>
              <w:rPr>
                <w:rFonts w:hint="eastAsia"/>
                <w:sz w:val="20"/>
                <w:szCs w:val="20"/>
                <w:lang w:eastAsia="zh-CN"/>
              </w:rPr>
              <w:t xml:space="preserve">  审核医师处方是否符合/违反医院某项特定的管理规章制度</w:t>
            </w:r>
            <w:r/>
          </w:p>
        </w:tc>
      </w:tr>
      <w:tr>
        <w:trPr>
          <w:trHeight w:val="295"/>
        </w:trPr>
        <w:tc>
          <w:tcPr>
            <w:shd w:val="clear" w:color="auto" w:fill="auto"/>
            <w:tcW w:w="1663" w:type="dxa"/>
            <w:textDirection w:val="lrTb"/>
            <w:noWrap w:val="false"/>
          </w:tcPr>
          <w:p>
            <w:pPr>
              <w:jc w:val="left"/>
              <w:rPr>
                <w:rFonts w:ascii="宋体" w:hAnsi="宋体" w:cs="宋体"/>
                <w:sz w:val="20"/>
                <w:szCs w:val="20"/>
              </w:rPr>
            </w:pPr>
            <w:r>
              <w:rPr>
                <w:rFonts w:hint="eastAsia" w:ascii="宋体" w:hAnsi="宋体" w:cs="宋体"/>
                <w:spacing w:val="-15"/>
                <w:sz w:val="20"/>
                <w:szCs w:val="20"/>
              </w:rPr>
              <w:t xml:space="preserve">前置审</w:t>
            </w:r>
            <w:r>
              <w:rPr>
                <w:rFonts w:hint="eastAsia" w:ascii="宋体" w:hAnsi="宋体" w:cs="宋体"/>
                <w:spacing w:val="-13"/>
                <w:sz w:val="20"/>
                <w:szCs w:val="20"/>
              </w:rPr>
              <w:t xml:space="preserve">方管理系统</w:t>
            </w:r>
            <w:r>
              <w:rPr>
                <w:rFonts w:hint="eastAsia" w:ascii="宋体" w:hAnsi="宋体" w:cs="宋体"/>
                <w:spacing w:val="-8"/>
                <w:sz w:val="20"/>
                <w:szCs w:val="20"/>
              </w:rPr>
              <w:t xml:space="preserve">要求</w:t>
            </w:r>
            <w:r/>
          </w:p>
        </w:tc>
        <w:tc>
          <w:tcPr>
            <w:shd w:val="clear" w:color="auto" w:fill="auto"/>
            <w:tcW w:w="1822" w:type="dxa"/>
            <w:textDirection w:val="lrTb"/>
            <w:noWrap w:val="false"/>
          </w:tcPr>
          <w:p>
            <w:pPr>
              <w:pStyle w:val="934"/>
              <w:jc w:val="center"/>
              <w:spacing w:before="47" w:line="199" w:lineRule="auto"/>
              <w:rPr>
                <w:spacing w:val="-8"/>
                <w:sz w:val="20"/>
                <w:szCs w:val="20"/>
              </w:rPr>
            </w:pPr>
            <w:r>
              <w:rPr>
                <w:rFonts w:hint="eastAsia"/>
                <w:spacing w:val="-4"/>
                <w:sz w:val="20"/>
                <w:szCs w:val="20"/>
              </w:rPr>
              <w:t xml:space="preserve">分级警示/拦截</w:t>
            </w:r>
            <w:r/>
          </w:p>
        </w:tc>
        <w:tc>
          <w:tcPr>
            <w:shd w:val="clear" w:color="auto" w:fill="auto"/>
            <w:tcW w:w="5615" w:type="dxa"/>
            <w:textDirection w:val="lrTb"/>
            <w:noWrap w:val="false"/>
          </w:tcPr>
          <w:p>
            <w:pPr>
              <w:ind w:right="3"/>
              <w:jc w:val="left"/>
              <w:spacing w:before="65"/>
              <w:rPr>
                <w:spacing w:val="-3"/>
                <w:sz w:val="20"/>
                <w:szCs w:val="20"/>
                <w:lang w:eastAsia="zh-CN"/>
              </w:rPr>
            </w:pPr>
            <w:r>
              <w:rPr>
                <w:rFonts w:hint="eastAsia" w:ascii="宋体" w:hAnsi="宋体" w:cs="宋体"/>
                <w:color w:val="000000"/>
                <w:spacing w:val="9"/>
                <w:sz w:val="20"/>
                <w:szCs w:val="20"/>
              </w:rPr>
              <w:t xml:space="preserve">(1)当医生开具处方（医嘱）后保存时，系统能够自动审查</w:t>
            </w:r>
            <w:r>
              <w:rPr>
                <w:rFonts w:hint="eastAsia" w:ascii="宋体" w:hAnsi="宋体" w:cs="宋体"/>
                <w:color w:val="000000"/>
                <w:spacing w:val="8"/>
                <w:sz w:val="20"/>
                <w:szCs w:val="20"/>
              </w:rPr>
              <w:t xml:space="preserve">医生开具的处方（医嘱）合理性，系统</w:t>
            </w:r>
            <w:r>
              <w:rPr>
                <w:rFonts w:hint="eastAsia" w:ascii="宋体" w:hAnsi="宋体" w:cs="宋体"/>
                <w:color w:val="000000"/>
                <w:sz w:val="20"/>
                <w:szCs w:val="20"/>
              </w:rPr>
              <w:t xml:space="preserve"> </w:t>
            </w:r>
            <w:r>
              <w:rPr>
                <w:rFonts w:hint="eastAsia" w:ascii="宋体" w:hAnsi="宋体" w:cs="宋体"/>
                <w:color w:val="000000"/>
                <w:spacing w:val="10"/>
                <w:sz w:val="20"/>
                <w:szCs w:val="20"/>
              </w:rPr>
              <w:t xml:space="preserve">审核时发现问题会自动弹窗警示，警示内容能够直接展现给医生查看。系统支持则按问题严重</w:t>
            </w:r>
            <w:r>
              <w:rPr>
                <w:rFonts w:hint="eastAsia" w:ascii="宋体" w:hAnsi="宋体" w:cs="宋体"/>
                <w:color w:val="000000"/>
                <w:spacing w:val="9"/>
                <w:sz w:val="20"/>
                <w:szCs w:val="20"/>
              </w:rPr>
              <w:t xml:space="preserve">程度，分级设置警示级别，最严重情况下可以阻断处方开</w:t>
            </w:r>
            <w:r>
              <w:rPr>
                <w:rFonts w:hint="eastAsia" w:ascii="宋体" w:hAnsi="宋体" w:cs="宋体"/>
                <w:color w:val="000000"/>
                <w:spacing w:val="8"/>
                <w:sz w:val="20"/>
                <w:szCs w:val="20"/>
              </w:rPr>
              <w:t xml:space="preserve">具。</w:t>
            </w:r>
            <w:r>
              <w:rPr>
                <w:rFonts w:hint="eastAsia" w:ascii="宋体" w:hAnsi="宋体" w:cs="宋体"/>
                <w:color w:val="000000"/>
                <w:spacing w:val="10"/>
                <w:sz w:val="20"/>
                <w:szCs w:val="20"/>
              </w:rPr>
              <w:t xml:space="preserve">(2) 系统的警示弹窗功能由软件自身实</w:t>
            </w:r>
            <w:r>
              <w:rPr>
                <w:rFonts w:hint="eastAsia" w:ascii="宋体" w:hAnsi="宋体" w:cs="宋体"/>
                <w:color w:val="000000"/>
                <w:spacing w:val="9"/>
                <w:sz w:val="20"/>
                <w:szCs w:val="20"/>
              </w:rPr>
              <w:t xml:space="preserve">现，且警示信息和内容简洁明了，会在弹窗时直接展示给医</w:t>
            </w:r>
            <w:r>
              <w:rPr>
                <w:rFonts w:hint="eastAsia" w:ascii="宋体" w:hAnsi="宋体" w:cs="宋体"/>
                <w:color w:val="000000"/>
                <w:sz w:val="20"/>
                <w:szCs w:val="20"/>
              </w:rPr>
              <w:t xml:space="preserve"> </w:t>
            </w:r>
            <w:r>
              <w:rPr>
                <w:rFonts w:hint="eastAsia" w:ascii="宋体" w:hAnsi="宋体" w:cs="宋体"/>
                <w:color w:val="000000"/>
                <w:spacing w:val="7"/>
                <w:sz w:val="20"/>
                <w:szCs w:val="20"/>
              </w:rPr>
              <w:t xml:space="preserve">生，无须医生另行点击查看。</w:t>
            </w:r>
            <w:r>
              <w:rPr>
                <w:rFonts w:hint="eastAsia" w:ascii="宋体" w:hAnsi="宋体" w:cs="宋体"/>
                <w:color w:val="000000"/>
                <w:spacing w:val="9"/>
                <w:sz w:val="20"/>
                <w:szCs w:val="20"/>
              </w:rPr>
              <w:t xml:space="preserve">(3) 软件审核提示信息应包含处方中所提示</w:t>
            </w:r>
            <w:r>
              <w:rPr>
                <w:rFonts w:hint="eastAsia" w:ascii="宋体" w:hAnsi="宋体" w:cs="宋体"/>
                <w:color w:val="000000"/>
                <w:spacing w:val="8"/>
                <w:sz w:val="20"/>
                <w:szCs w:val="20"/>
              </w:rPr>
              <w:t xml:space="preserve">问题的具体内容，包含问题类别、</w:t>
            </w:r>
            <w:r>
              <w:rPr>
                <w:rFonts w:hint="eastAsia" w:ascii="宋体" w:hAnsi="宋体" w:cs="宋体"/>
                <w:color w:val="000000"/>
                <w:spacing w:val="-57"/>
                <w:sz w:val="20"/>
                <w:szCs w:val="20"/>
              </w:rPr>
              <w:t xml:space="preserve"> </w:t>
            </w:r>
            <w:r>
              <w:rPr>
                <w:rFonts w:hint="eastAsia" w:ascii="宋体" w:hAnsi="宋体" w:cs="宋体"/>
                <w:color w:val="000000"/>
                <w:spacing w:val="8"/>
                <w:sz w:val="20"/>
                <w:szCs w:val="20"/>
              </w:rPr>
              <w:t xml:space="preserve">问题药品、警示依据</w:t>
            </w:r>
            <w:r>
              <w:rPr>
                <w:rFonts w:hint="eastAsia" w:ascii="宋体" w:hAnsi="宋体" w:cs="宋体"/>
                <w:color w:val="000000"/>
                <w:sz w:val="20"/>
                <w:szCs w:val="20"/>
              </w:rPr>
              <w:t xml:space="preserve"> </w:t>
            </w:r>
            <w:r>
              <w:rPr>
                <w:rFonts w:hint="eastAsia" w:ascii="宋体" w:hAnsi="宋体" w:cs="宋体"/>
                <w:color w:val="000000"/>
                <w:spacing w:val="2"/>
                <w:sz w:val="20"/>
                <w:szCs w:val="20"/>
              </w:rPr>
              <w:t xml:space="preserve">等，</w:t>
            </w:r>
            <w:r>
              <w:rPr>
                <w:rFonts w:hint="eastAsia" w:ascii="宋体" w:hAnsi="宋体" w:cs="宋体"/>
                <w:color w:val="000000"/>
                <w:spacing w:val="-47"/>
                <w:sz w:val="20"/>
                <w:szCs w:val="20"/>
              </w:rPr>
              <w:t xml:space="preserve"> </w:t>
            </w:r>
            <w:r>
              <w:rPr>
                <w:rFonts w:hint="eastAsia" w:ascii="宋体" w:hAnsi="宋体" w:cs="宋体"/>
                <w:color w:val="000000"/>
                <w:spacing w:val="2"/>
                <w:sz w:val="20"/>
                <w:szCs w:val="20"/>
              </w:rPr>
              <w:t xml:space="preserve">以供医生查看判断。</w:t>
            </w:r>
            <w:r>
              <w:rPr>
                <w:rFonts w:hint="eastAsia" w:ascii="宋体" w:hAnsi="宋体" w:cs="宋体"/>
                <w:color w:val="000000"/>
                <w:spacing w:val="8"/>
                <w:sz w:val="20"/>
                <w:szCs w:val="20"/>
              </w:rPr>
              <w:t xml:space="preserve">(4)系统具有仅医生端提醒功能，可以根据需求设置某些</w:t>
            </w:r>
            <w:r>
              <w:rPr>
                <w:rFonts w:hint="eastAsia" w:ascii="宋体" w:hAnsi="宋体" w:cs="宋体"/>
                <w:color w:val="000000"/>
                <w:spacing w:val="7"/>
                <w:sz w:val="20"/>
                <w:szCs w:val="20"/>
              </w:rPr>
              <w:t xml:space="preserve">情况提示信息仅在医生端显示。</w:t>
            </w:r>
            <w:r/>
          </w:p>
        </w:tc>
      </w:tr>
      <w:tr>
        <w:trPr>
          <w:trHeight w:val="295"/>
        </w:trPr>
        <w:tc>
          <w:tcPr>
            <w:shd w:val="clear" w:color="auto" w:fill="auto"/>
            <w:tcW w:w="1663" w:type="dxa"/>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jc w:val="center"/>
              <w:spacing w:before="47" w:line="199" w:lineRule="auto"/>
              <w:rPr>
                <w:spacing w:val="-8"/>
                <w:sz w:val="20"/>
                <w:szCs w:val="20"/>
              </w:rPr>
            </w:pPr>
            <w:r>
              <w:rPr>
                <w:rFonts w:hint="eastAsia"/>
                <w:spacing w:val="-6"/>
                <w:sz w:val="20"/>
                <w:szCs w:val="20"/>
              </w:rPr>
              <w:t xml:space="preserve">审核项目</w:t>
            </w:r>
            <w:r/>
          </w:p>
        </w:tc>
        <w:tc>
          <w:tcPr>
            <w:shd w:val="clear" w:color="auto" w:fill="auto"/>
            <w:tcW w:w="5615" w:type="dxa"/>
            <w:textDirection w:val="lrTb"/>
            <w:noWrap w:val="false"/>
          </w:tcPr>
          <w:p>
            <w:pPr>
              <w:ind w:right="2"/>
              <w:jc w:val="left"/>
              <w:spacing w:before="65"/>
              <w:rPr>
                <w:spacing w:val="-3"/>
                <w:sz w:val="20"/>
                <w:szCs w:val="20"/>
                <w:lang w:eastAsia="zh-CN"/>
              </w:rPr>
            </w:pPr>
            <w:r>
              <w:rPr>
                <w:rFonts w:hint="eastAsia" w:ascii="宋体" w:hAnsi="宋体" w:cs="宋体"/>
                <w:color w:val="000000"/>
                <w:spacing w:val="9"/>
                <w:sz w:val="20"/>
                <w:szCs w:val="20"/>
              </w:rPr>
              <w:t xml:space="preserve">(1)适应症审核：审核处方中开具的药品是否</w:t>
            </w:r>
            <w:r>
              <w:rPr>
                <w:rFonts w:hint="eastAsia" w:ascii="宋体" w:hAnsi="宋体" w:cs="宋体"/>
                <w:color w:val="000000"/>
                <w:spacing w:val="8"/>
                <w:sz w:val="20"/>
                <w:szCs w:val="20"/>
              </w:rPr>
              <w:t xml:space="preserve">具有相关诊断。软件应具有审核适应症功能，审核处</w:t>
            </w:r>
            <w:r>
              <w:rPr>
                <w:rFonts w:hint="eastAsia" w:ascii="宋体" w:hAnsi="宋体" w:cs="宋体"/>
                <w:color w:val="000000"/>
                <w:spacing w:val="11"/>
                <w:sz w:val="20"/>
                <w:szCs w:val="20"/>
              </w:rPr>
              <w:t xml:space="preserve">方中开具的药品是否具有相关诊断。能够结合</w:t>
            </w:r>
            <w:r>
              <w:rPr>
                <w:rFonts w:hint="eastAsia" w:ascii="宋体" w:hAnsi="宋体" w:cs="宋体"/>
                <w:color w:val="000000"/>
                <w:spacing w:val="10"/>
                <w:sz w:val="20"/>
                <w:szCs w:val="20"/>
              </w:rPr>
              <w:t xml:space="preserve">患者性别、年龄及各项检验指标、开方科室等审</w:t>
            </w:r>
            <w:r>
              <w:rPr>
                <w:rFonts w:hint="eastAsia" w:ascii="宋体" w:hAnsi="宋体" w:cs="宋体"/>
                <w:color w:val="000000"/>
                <w:spacing w:val="8"/>
                <w:sz w:val="20"/>
                <w:szCs w:val="20"/>
              </w:rPr>
              <w:t xml:space="preserve">核开具的处方诊断是否符合该药品的相关适应症。</w:t>
            </w:r>
            <w:r>
              <w:rPr>
                <w:rFonts w:hint="eastAsia" w:ascii="宋体" w:hAnsi="宋体" w:cs="宋体"/>
                <w:color w:val="000000"/>
                <w:sz w:val="20"/>
                <w:szCs w:val="20"/>
              </w:rPr>
              <w:t xml:space="preserve">(2)重复用药审核</w:t>
            </w:r>
            <w:r>
              <w:rPr>
                <w:rFonts w:hint="eastAsia" w:ascii="宋体" w:hAnsi="宋体" w:cs="宋体"/>
                <w:color w:val="000000"/>
                <w:spacing w:val="10"/>
                <w:sz w:val="20"/>
                <w:szCs w:val="20"/>
              </w:rPr>
              <w:t xml:space="preserve">a.软件应能结合给药途径，支持跨科室、</w:t>
            </w:r>
            <w:r>
              <w:rPr>
                <w:rFonts w:hint="eastAsia" w:ascii="宋体" w:hAnsi="宋体" w:cs="宋体"/>
                <w:color w:val="000000"/>
                <w:spacing w:val="9"/>
                <w:sz w:val="20"/>
                <w:szCs w:val="20"/>
              </w:rPr>
              <w:t xml:space="preserve">跨处方的药品间的重复用药问题</w:t>
            </w:r>
            <w:r>
              <w:rPr>
                <w:rFonts w:hint="eastAsia" w:ascii="宋体" w:hAnsi="宋体" w:cs="宋体"/>
                <w:color w:val="000000"/>
                <w:spacing w:val="8"/>
                <w:sz w:val="20"/>
                <w:szCs w:val="20"/>
              </w:rPr>
              <w:t xml:space="preserve">的联合审核，即对患者在多个科室开具的多张处方进行联合审核。</w:t>
            </w:r>
            <w:r>
              <w:rPr>
                <w:rFonts w:hint="eastAsia" w:ascii="宋体" w:hAnsi="宋体" w:cs="宋体"/>
                <w:color w:val="000000"/>
                <w:spacing w:val="9"/>
                <w:sz w:val="20"/>
                <w:szCs w:val="20"/>
              </w:rPr>
              <w:t xml:space="preserve">b.审核该患者处方中是否同时开具了两个或多个相同的药</w:t>
            </w:r>
            <w:r>
              <w:rPr>
                <w:rFonts w:hint="eastAsia" w:ascii="宋体" w:hAnsi="宋体" w:cs="宋体"/>
                <w:color w:val="000000"/>
                <w:spacing w:val="8"/>
                <w:sz w:val="20"/>
                <w:szCs w:val="20"/>
              </w:rPr>
              <w:t xml:space="preserve">品。</w:t>
            </w:r>
            <w:r>
              <w:rPr>
                <w:rFonts w:hint="eastAsia" w:ascii="宋体" w:hAnsi="宋体" w:cs="宋体"/>
                <w:color w:val="000000"/>
                <w:spacing w:val="9"/>
                <w:sz w:val="20"/>
                <w:szCs w:val="20"/>
              </w:rPr>
              <w:t xml:space="preserve">c. 审核该患者处方中是否同时开具了两个或多个药理作用相同或相似</w:t>
            </w:r>
            <w:r>
              <w:rPr>
                <w:rFonts w:hint="eastAsia" w:ascii="宋体" w:hAnsi="宋体" w:cs="宋体"/>
                <w:color w:val="000000"/>
                <w:spacing w:val="8"/>
                <w:sz w:val="20"/>
                <w:szCs w:val="20"/>
              </w:rPr>
              <w:t xml:space="preserve">的药品。</w:t>
            </w:r>
            <w:r>
              <w:rPr>
                <w:rFonts w:hint="eastAsia" w:ascii="宋体" w:hAnsi="宋体" w:cs="宋体"/>
                <w:color w:val="000000"/>
                <w:spacing w:val="9"/>
                <w:sz w:val="20"/>
                <w:szCs w:val="20"/>
              </w:rPr>
              <w:t xml:space="preserve">d.审核该患者处方中是否同时开具了两个或多个存在同一有效药物成分的药品</w:t>
            </w:r>
            <w:r>
              <w:rPr>
                <w:rFonts w:hint="eastAsia" w:ascii="宋体" w:hAnsi="宋体" w:cs="宋体"/>
                <w:color w:val="000000"/>
                <w:spacing w:val="10"/>
                <w:sz w:val="20"/>
                <w:szCs w:val="20"/>
              </w:rPr>
              <w:t xml:space="preserve">e.支持在文献、指南等临床经验支持在特殊情况下使用两种药理作用相似或不同剂型的同成</w:t>
            </w:r>
            <w:r>
              <w:rPr>
                <w:rFonts w:hint="eastAsia" w:ascii="宋体" w:hAnsi="宋体" w:cs="宋体"/>
                <w:color w:val="000000"/>
                <w:spacing w:val="9"/>
                <w:sz w:val="20"/>
                <w:szCs w:val="20"/>
              </w:rPr>
              <w:t xml:space="preserve">分药品时，结合诊断及开方科室，满足两种药物联用不被判定为重复用药的功能，</w:t>
            </w:r>
            <w:r>
              <w:rPr>
                <w:rFonts w:hint="eastAsia" w:ascii="宋体" w:hAnsi="宋体" w:cs="宋体"/>
                <w:color w:val="000000"/>
                <w:spacing w:val="-43"/>
                <w:sz w:val="20"/>
                <w:szCs w:val="20"/>
              </w:rPr>
              <w:t xml:space="preserve"> </w:t>
            </w:r>
            <w:r>
              <w:rPr>
                <w:rFonts w:hint="eastAsia" w:ascii="宋体" w:hAnsi="宋体" w:cs="宋体"/>
                <w:color w:val="000000"/>
                <w:spacing w:val="9"/>
                <w:sz w:val="20"/>
                <w:szCs w:val="20"/>
              </w:rPr>
              <w:t xml:space="preserve">以减少</w:t>
            </w:r>
            <w:r>
              <w:rPr>
                <w:rFonts w:hint="eastAsia" w:ascii="宋体" w:hAnsi="宋体" w:cs="宋体"/>
                <w:color w:val="000000"/>
                <w:spacing w:val="6"/>
                <w:sz w:val="20"/>
                <w:szCs w:val="20"/>
              </w:rPr>
              <w:t xml:space="preserve">对临床的干扰。(3) 相互作用审核：</w:t>
            </w:r>
            <w:r>
              <w:rPr>
                <w:rFonts w:hint="eastAsia" w:ascii="宋体" w:hAnsi="宋体" w:cs="宋体"/>
                <w:color w:val="000000"/>
                <w:spacing w:val="-59"/>
                <w:sz w:val="20"/>
                <w:szCs w:val="20"/>
              </w:rPr>
              <w:t xml:space="preserve"> </w:t>
            </w:r>
            <w:r>
              <w:rPr>
                <w:rFonts w:hint="eastAsia" w:ascii="宋体" w:hAnsi="宋体" w:cs="宋体"/>
                <w:color w:val="000000"/>
                <w:spacing w:val="6"/>
                <w:sz w:val="20"/>
                <w:szCs w:val="20"/>
              </w:rPr>
              <w:t xml:space="preserve">审核处方中的药品是否存在相互作用。</w:t>
            </w:r>
            <w:r>
              <w:rPr>
                <w:rFonts w:hint="eastAsia" w:ascii="宋体" w:hAnsi="宋体" w:cs="宋体"/>
                <w:color w:val="000000"/>
                <w:spacing w:val="10"/>
                <w:sz w:val="20"/>
                <w:szCs w:val="20"/>
              </w:rPr>
              <w:t xml:space="preserve">a.能够结合患者能够结合患者性别、年龄、诊断、妊娠哺乳状态及各项检验指标等，审核开 </w:t>
            </w:r>
            <w:r>
              <w:rPr>
                <w:rFonts w:hint="eastAsia" w:ascii="宋体" w:hAnsi="宋体" w:cs="宋体"/>
                <w:color w:val="000000"/>
                <w:spacing w:val="8"/>
                <w:sz w:val="20"/>
                <w:szCs w:val="20"/>
              </w:rPr>
              <w:t xml:space="preserve">具的处方药品中是否存在相互作用。b.相互作用的审核应覆盖西药和西药之间，西药与中药（中成药、</w:t>
            </w:r>
            <w:r>
              <w:rPr>
                <w:rFonts w:hint="eastAsia" w:ascii="宋体" w:hAnsi="宋体" w:cs="宋体"/>
                <w:color w:val="000000"/>
                <w:spacing w:val="-50"/>
                <w:sz w:val="20"/>
                <w:szCs w:val="20"/>
              </w:rPr>
              <w:t xml:space="preserve"> </w:t>
            </w:r>
            <w:r>
              <w:rPr>
                <w:rFonts w:hint="eastAsia" w:ascii="宋体" w:hAnsi="宋体" w:cs="宋体"/>
                <w:color w:val="000000"/>
                <w:spacing w:val="8"/>
                <w:sz w:val="20"/>
                <w:szCs w:val="20"/>
              </w:rPr>
              <w:t xml:space="preserve">中药饮片）之间，</w:t>
            </w:r>
            <w:r>
              <w:rPr>
                <w:rFonts w:hint="eastAsia" w:ascii="宋体" w:hAnsi="宋体" w:cs="宋体"/>
                <w:color w:val="000000"/>
                <w:spacing w:val="-50"/>
                <w:sz w:val="20"/>
                <w:szCs w:val="20"/>
              </w:rPr>
              <w:t xml:space="preserve"> </w:t>
            </w:r>
            <w:r>
              <w:rPr>
                <w:rFonts w:hint="eastAsia" w:ascii="宋体" w:hAnsi="宋体" w:cs="宋体"/>
                <w:color w:val="000000"/>
                <w:spacing w:val="8"/>
                <w:sz w:val="20"/>
                <w:szCs w:val="20"/>
              </w:rPr>
              <w:t xml:space="preserve">中药与</w:t>
            </w:r>
            <w:r>
              <w:rPr>
                <w:rFonts w:hint="eastAsia" w:ascii="宋体" w:hAnsi="宋体" w:cs="宋体"/>
                <w:color w:val="000000"/>
                <w:sz w:val="20"/>
                <w:szCs w:val="20"/>
              </w:rPr>
              <w:t xml:space="preserve"> </w:t>
            </w:r>
            <w:r>
              <w:rPr>
                <w:rFonts w:hint="eastAsia" w:ascii="宋体" w:hAnsi="宋体" w:cs="宋体"/>
                <w:color w:val="000000"/>
                <w:spacing w:val="5"/>
                <w:sz w:val="20"/>
                <w:szCs w:val="20"/>
              </w:rPr>
              <w:t xml:space="preserve">中药之间存在的相互作用。</w:t>
            </w:r>
            <w:r>
              <w:rPr>
                <w:rFonts w:hint="eastAsia" w:ascii="宋体" w:hAnsi="宋体" w:cs="宋体"/>
                <w:color w:val="000000"/>
                <w:spacing w:val="8"/>
                <w:sz w:val="20"/>
                <w:szCs w:val="20"/>
              </w:rPr>
              <w:t xml:space="preserve">c.能结合给药途径，支持跨科室、跨天 、跨处方的药品间的相互作用问题的联合审核，即对患者在多个科室开具的多张处方进行联合审核。</w:t>
            </w:r>
            <w:r>
              <w:rPr>
                <w:rFonts w:hint="eastAsia" w:ascii="宋体" w:hAnsi="宋体" w:cs="宋体"/>
                <w:color w:val="000000"/>
                <w:spacing w:val="4"/>
                <w:sz w:val="20"/>
                <w:szCs w:val="20"/>
              </w:rPr>
              <w:t xml:space="preserve">(4)禁忌症/慎用症审核：审核诊断中是否含有该药品</w:t>
            </w:r>
            <w:r>
              <w:rPr>
                <w:rFonts w:hint="eastAsia" w:ascii="宋体" w:hAnsi="宋体" w:cs="宋体"/>
                <w:color w:val="000000"/>
                <w:spacing w:val="3"/>
                <w:sz w:val="20"/>
                <w:szCs w:val="20"/>
              </w:rPr>
              <w:t xml:space="preserve">的禁忌症或慎用症，能够结合患者性别、年龄、</w:t>
            </w:r>
            <w:r>
              <w:rPr>
                <w:rFonts w:hint="eastAsia" w:ascii="宋体" w:hAnsi="宋体" w:cs="宋体"/>
                <w:color w:val="000000"/>
                <w:sz w:val="20"/>
                <w:szCs w:val="20"/>
              </w:rPr>
              <w:t xml:space="preserve"> </w:t>
            </w:r>
            <w:r>
              <w:rPr>
                <w:rFonts w:hint="eastAsia" w:ascii="宋体" w:hAnsi="宋体" w:cs="宋体"/>
                <w:color w:val="000000"/>
                <w:spacing w:val="11"/>
                <w:sz w:val="20"/>
                <w:szCs w:val="20"/>
              </w:rPr>
              <w:t xml:space="preserve">诊断、妊娠哺乳状态及各项检验指标等，审</w:t>
            </w:r>
            <w:r>
              <w:rPr>
                <w:rFonts w:hint="eastAsia" w:ascii="宋体" w:hAnsi="宋体" w:cs="宋体"/>
                <w:color w:val="000000"/>
                <w:spacing w:val="10"/>
                <w:sz w:val="20"/>
                <w:szCs w:val="20"/>
              </w:rPr>
              <w:t xml:space="preserve">核开具的处方诊断中是否存在该药品的禁忌症或慎</w:t>
            </w:r>
            <w:r>
              <w:rPr>
                <w:rFonts w:hint="eastAsia" w:ascii="宋体" w:hAnsi="宋体" w:cs="宋体"/>
                <w:color w:val="000000"/>
                <w:sz w:val="20"/>
                <w:szCs w:val="20"/>
              </w:rPr>
              <w:t xml:space="preserve"> </w:t>
            </w:r>
            <w:r>
              <w:rPr>
                <w:rFonts w:hint="eastAsia" w:ascii="宋体" w:hAnsi="宋体" w:cs="宋体"/>
                <w:color w:val="000000"/>
                <w:spacing w:val="1"/>
                <w:sz w:val="20"/>
                <w:szCs w:val="20"/>
              </w:rPr>
              <w:t xml:space="preserve">用症。</w:t>
            </w:r>
            <w:r>
              <w:rPr>
                <w:rFonts w:hint="eastAsia" w:ascii="宋体" w:hAnsi="宋体" w:cs="宋体"/>
                <w:color w:val="000000"/>
                <w:spacing w:val="7"/>
                <w:sz w:val="20"/>
                <w:szCs w:val="20"/>
              </w:rPr>
              <w:t xml:space="preserve">(5) 用法用量审核：</w:t>
            </w:r>
            <w:r>
              <w:rPr>
                <w:rFonts w:hint="eastAsia" w:ascii="宋体" w:hAnsi="宋体" w:cs="宋体"/>
                <w:color w:val="000000"/>
                <w:spacing w:val="-57"/>
                <w:sz w:val="20"/>
                <w:szCs w:val="20"/>
              </w:rPr>
              <w:t xml:space="preserve"> </w:t>
            </w:r>
            <w:r>
              <w:rPr>
                <w:rFonts w:hint="eastAsia" w:ascii="宋体" w:hAnsi="宋体" w:cs="宋体"/>
                <w:color w:val="000000"/>
                <w:spacing w:val="7"/>
                <w:sz w:val="20"/>
                <w:szCs w:val="20"/>
              </w:rPr>
              <w:t xml:space="preserve">审核该药品的单次剂量、用药频次、</w:t>
            </w:r>
            <w:r>
              <w:rPr>
                <w:rFonts w:hint="eastAsia" w:ascii="宋体" w:hAnsi="宋体" w:cs="宋体"/>
                <w:color w:val="000000"/>
                <w:spacing w:val="-34"/>
                <w:sz w:val="20"/>
                <w:szCs w:val="20"/>
              </w:rPr>
              <w:t xml:space="preserve"> </w:t>
            </w:r>
            <w:r>
              <w:rPr>
                <w:rFonts w:hint="eastAsia" w:ascii="宋体" w:hAnsi="宋体" w:cs="宋体"/>
                <w:color w:val="000000"/>
                <w:spacing w:val="7"/>
                <w:sz w:val="20"/>
                <w:szCs w:val="20"/>
              </w:rPr>
              <w:t xml:space="preserve">日最大用量、疗程、给药途径、浓度是否</w:t>
            </w:r>
            <w:r>
              <w:rPr>
                <w:rFonts w:hint="eastAsia" w:ascii="宋体" w:hAnsi="宋体" w:cs="宋体"/>
                <w:color w:val="000000"/>
                <w:sz w:val="20"/>
                <w:szCs w:val="20"/>
              </w:rPr>
              <w:t xml:space="preserve"> </w:t>
            </w:r>
            <w:r>
              <w:rPr>
                <w:rFonts w:hint="eastAsia" w:ascii="宋体" w:hAnsi="宋体" w:cs="宋体"/>
                <w:color w:val="000000"/>
                <w:spacing w:val="2"/>
                <w:sz w:val="20"/>
                <w:szCs w:val="20"/>
              </w:rPr>
              <w:t xml:space="preserve">有误。</w:t>
            </w:r>
            <w:r>
              <w:rPr>
                <w:rFonts w:hint="eastAsia" w:ascii="宋体" w:hAnsi="宋体" w:cs="宋体"/>
                <w:color w:val="000000"/>
                <w:spacing w:val="10"/>
                <w:sz w:val="20"/>
                <w:szCs w:val="20"/>
              </w:rPr>
              <w:t xml:space="preserve">a.剂量审核：软件应能结合患者的性别、年龄、诊断、妊娠哺乳状态及各项检验指标、药品 </w:t>
            </w:r>
            <w:r>
              <w:rPr>
                <w:rFonts w:hint="eastAsia" w:ascii="宋体" w:hAnsi="宋体" w:cs="宋体"/>
                <w:color w:val="000000"/>
                <w:spacing w:val="9"/>
                <w:sz w:val="20"/>
                <w:szCs w:val="20"/>
              </w:rPr>
              <w:t xml:space="preserve">的给药途径等情况，审核处方药品的单次剂量、给药频次、</w:t>
            </w:r>
            <w:r>
              <w:rPr>
                <w:rFonts w:hint="eastAsia" w:ascii="宋体" w:hAnsi="宋体" w:cs="宋体"/>
                <w:color w:val="000000"/>
                <w:spacing w:val="-34"/>
                <w:sz w:val="20"/>
                <w:szCs w:val="20"/>
              </w:rPr>
              <w:t xml:space="preserve"> </w:t>
            </w:r>
            <w:r>
              <w:rPr>
                <w:rFonts w:hint="eastAsia" w:ascii="宋体" w:hAnsi="宋体" w:cs="宋体"/>
                <w:color w:val="000000"/>
                <w:spacing w:val="9"/>
                <w:sz w:val="20"/>
                <w:szCs w:val="20"/>
              </w:rPr>
              <w:t xml:space="preserve">日剂量等是否</w:t>
            </w:r>
            <w:r>
              <w:rPr>
                <w:rFonts w:hint="eastAsia" w:ascii="宋体" w:hAnsi="宋体" w:cs="宋体"/>
                <w:color w:val="000000"/>
                <w:spacing w:val="8"/>
                <w:sz w:val="20"/>
                <w:szCs w:val="20"/>
              </w:rPr>
              <w:t xml:space="preserve">在说明书或临床</w:t>
            </w:r>
            <w:r>
              <w:rPr>
                <w:rFonts w:hint="eastAsia" w:ascii="宋体" w:hAnsi="宋体" w:cs="宋体"/>
                <w:color w:val="000000"/>
                <w:sz w:val="20"/>
                <w:szCs w:val="20"/>
              </w:rPr>
              <w:t xml:space="preserve"> </w:t>
            </w:r>
            <w:r>
              <w:rPr>
                <w:rFonts w:hint="eastAsia" w:ascii="宋体" w:hAnsi="宋体" w:cs="宋体"/>
                <w:color w:val="000000"/>
                <w:spacing w:val="5"/>
                <w:sz w:val="20"/>
                <w:szCs w:val="20"/>
              </w:rPr>
              <w:t xml:space="preserve">适用范围内。</w:t>
            </w:r>
            <w:r>
              <w:rPr>
                <w:rFonts w:hint="eastAsia" w:ascii="宋体" w:hAnsi="宋体" w:cs="宋体"/>
                <w:color w:val="000000"/>
                <w:spacing w:val="10"/>
                <w:sz w:val="20"/>
                <w:szCs w:val="20"/>
              </w:rPr>
              <w:t xml:space="preserve">b. 倍服剂量审核：软件应能结合某些药物服用要求，例如肠溶片、缓控释片等不能掰开服用</w:t>
            </w:r>
            <w:r>
              <w:rPr>
                <w:rFonts w:hint="eastAsia" w:ascii="宋体" w:hAnsi="宋体" w:cs="宋体"/>
                <w:color w:val="000000"/>
                <w:spacing w:val="14"/>
                <w:sz w:val="20"/>
                <w:szCs w:val="20"/>
              </w:rPr>
              <w:t xml:space="preserve"> </w:t>
            </w:r>
            <w:r>
              <w:rPr>
                <w:rFonts w:hint="eastAsia" w:ascii="宋体" w:hAnsi="宋体" w:cs="宋体"/>
                <w:color w:val="000000"/>
                <w:spacing w:val="10"/>
                <w:sz w:val="20"/>
                <w:szCs w:val="20"/>
              </w:rPr>
              <w:t xml:space="preserve">的药物，或仅能按说明书要求沿刻度线掰开服用的药物，能够对给药剂量进行药物最小单</w:t>
            </w:r>
            <w:r>
              <w:rPr>
                <w:rFonts w:hint="eastAsia" w:ascii="宋体" w:hAnsi="宋体" w:cs="宋体"/>
                <w:color w:val="000000"/>
                <w:spacing w:val="18"/>
                <w:sz w:val="20"/>
                <w:szCs w:val="20"/>
              </w:rPr>
              <w:t xml:space="preserve"> </w:t>
            </w:r>
            <w:r>
              <w:rPr>
                <w:rFonts w:hint="eastAsia" w:ascii="宋体" w:hAnsi="宋体" w:cs="宋体"/>
                <w:color w:val="000000"/>
                <w:spacing w:val="6"/>
                <w:sz w:val="20"/>
                <w:szCs w:val="20"/>
              </w:rPr>
              <w:t xml:space="preserve">位剂量整倍数、0.5</w:t>
            </w:r>
            <w:r>
              <w:rPr>
                <w:rFonts w:hint="eastAsia" w:ascii="宋体" w:hAnsi="宋体" w:cs="宋体"/>
                <w:color w:val="000000"/>
                <w:spacing w:val="-16"/>
                <w:sz w:val="20"/>
                <w:szCs w:val="20"/>
              </w:rPr>
              <w:t xml:space="preserve"> </w:t>
            </w:r>
            <w:r>
              <w:rPr>
                <w:rFonts w:hint="eastAsia" w:ascii="宋体" w:hAnsi="宋体" w:cs="宋体"/>
                <w:color w:val="000000"/>
                <w:spacing w:val="6"/>
                <w:sz w:val="20"/>
                <w:szCs w:val="20"/>
              </w:rPr>
              <w:t xml:space="preserve">倍数、0.25</w:t>
            </w:r>
            <w:r>
              <w:rPr>
                <w:rFonts w:hint="eastAsia" w:ascii="宋体" w:hAnsi="宋体" w:cs="宋体"/>
                <w:color w:val="000000"/>
                <w:spacing w:val="-33"/>
                <w:sz w:val="20"/>
                <w:szCs w:val="20"/>
              </w:rPr>
              <w:t xml:space="preserve"> </w:t>
            </w:r>
            <w:r>
              <w:rPr>
                <w:rFonts w:hint="eastAsia" w:ascii="宋体" w:hAnsi="宋体" w:cs="宋体"/>
                <w:color w:val="000000"/>
                <w:spacing w:val="6"/>
                <w:sz w:val="20"/>
                <w:szCs w:val="20"/>
              </w:rPr>
              <w:t xml:space="preserve">倍数等倍服剂量审核。</w:t>
            </w:r>
            <w:r>
              <w:rPr>
                <w:rFonts w:hint="eastAsia" w:ascii="宋体" w:hAnsi="宋体" w:cs="宋体"/>
                <w:color w:val="000000"/>
                <w:spacing w:val="10"/>
                <w:sz w:val="20"/>
                <w:szCs w:val="20"/>
              </w:rPr>
              <w:t xml:space="preserve">c. 给药途径审核：软件应能结合患者的诊断、性别、年龄等情况审核处方药品的给药途径是</w:t>
            </w:r>
            <w:r>
              <w:rPr>
                <w:rFonts w:hint="eastAsia" w:ascii="宋体" w:hAnsi="宋体" w:cs="宋体"/>
                <w:color w:val="000000"/>
                <w:spacing w:val="2"/>
                <w:sz w:val="20"/>
                <w:szCs w:val="20"/>
              </w:rPr>
              <w:t xml:space="preserve">否有误。</w:t>
            </w:r>
            <w:r>
              <w:rPr>
                <w:rFonts w:hint="eastAsia" w:ascii="宋体" w:hAnsi="宋体" w:cs="宋体"/>
                <w:color w:val="000000"/>
                <w:spacing w:val="10"/>
                <w:sz w:val="20"/>
                <w:szCs w:val="20"/>
              </w:rPr>
              <w:t xml:space="preserve">d.疗程审核：软件应能结合患者的性别、年龄、诊断、妊娠哺乳状态及各项检验指标、药品</w:t>
            </w:r>
            <w:r>
              <w:rPr>
                <w:rFonts w:hint="eastAsia" w:ascii="宋体" w:hAnsi="宋体" w:cs="宋体"/>
                <w:color w:val="000000"/>
                <w:spacing w:val="6"/>
                <w:sz w:val="20"/>
                <w:szCs w:val="20"/>
              </w:rPr>
              <w:t xml:space="preserve"> </w:t>
            </w:r>
            <w:r>
              <w:rPr>
                <w:rFonts w:hint="eastAsia" w:ascii="宋体" w:hAnsi="宋体" w:cs="宋体"/>
                <w:color w:val="000000"/>
                <w:spacing w:val="9"/>
                <w:sz w:val="20"/>
                <w:szCs w:val="20"/>
              </w:rPr>
              <w:t xml:space="preserve">的给药途径等情况，审核处方药品的疗程是否在说明书或临</w:t>
            </w:r>
            <w:r>
              <w:rPr>
                <w:rFonts w:hint="eastAsia" w:ascii="宋体" w:hAnsi="宋体" w:cs="宋体"/>
                <w:color w:val="000000"/>
                <w:spacing w:val="8"/>
                <w:sz w:val="20"/>
                <w:szCs w:val="20"/>
              </w:rPr>
              <w:t xml:space="preserve">床适用范围内。</w:t>
            </w:r>
            <w:r>
              <w:rPr>
                <w:rFonts w:hint="eastAsia" w:ascii="宋体" w:hAnsi="宋体" w:cs="宋体"/>
                <w:color w:val="000000"/>
                <w:spacing w:val="9"/>
                <w:sz w:val="20"/>
                <w:szCs w:val="20"/>
              </w:rPr>
              <w:t xml:space="preserve">e. 成分累积日剂量审核：</w:t>
            </w:r>
            <w:r>
              <w:rPr>
                <w:rFonts w:hint="eastAsia" w:ascii="宋体" w:hAnsi="宋体" w:cs="宋体"/>
                <w:color w:val="000000"/>
                <w:spacing w:val="-51"/>
                <w:sz w:val="20"/>
                <w:szCs w:val="20"/>
              </w:rPr>
              <w:t xml:space="preserve"> </w:t>
            </w:r>
            <w:r>
              <w:rPr>
                <w:rFonts w:hint="eastAsia" w:ascii="宋体" w:hAnsi="宋体" w:cs="宋体"/>
                <w:color w:val="000000"/>
                <w:spacing w:val="9"/>
                <w:sz w:val="20"/>
                <w:szCs w:val="20"/>
              </w:rPr>
              <w:t xml:space="preserve">当患者联用两个及以上含相同成分的药物时，软件应能结合患者的</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诊断、年龄、药品的给药途径，审核该药物成分的日剂量是否在有效及安全范围内。</w:t>
            </w:r>
            <w:r>
              <w:rPr>
                <w:rFonts w:hint="eastAsia" w:ascii="宋体" w:hAnsi="宋体" w:cs="宋体"/>
                <w:color w:val="000000"/>
                <w:spacing w:val="13"/>
                <w:sz w:val="20"/>
                <w:szCs w:val="20"/>
              </w:rPr>
              <w:t xml:space="preserve">f.药物浓度审核：软件应能审核同组处方/医嘱</w:t>
            </w:r>
            <w:r>
              <w:rPr>
                <w:rFonts w:hint="eastAsia" w:ascii="宋体" w:hAnsi="宋体" w:cs="宋体"/>
                <w:color w:val="000000"/>
                <w:spacing w:val="12"/>
                <w:sz w:val="20"/>
                <w:szCs w:val="20"/>
              </w:rPr>
              <w:t xml:space="preserve">药品配伍后的药品浓度是否在规定浓度范围</w:t>
            </w:r>
            <w:r>
              <w:rPr>
                <w:rFonts w:hint="eastAsia" w:ascii="宋体" w:hAnsi="宋体" w:cs="宋体"/>
                <w:color w:val="000000"/>
                <w:spacing w:val="-16"/>
                <w:sz w:val="20"/>
                <w:szCs w:val="20"/>
              </w:rPr>
              <w:t xml:space="preserve">内。</w:t>
            </w:r>
            <w:r>
              <w:rPr>
                <w:rFonts w:hint="eastAsia" w:ascii="宋体" w:hAnsi="宋体" w:cs="宋体"/>
                <w:color w:val="000000"/>
                <w:spacing w:val="5"/>
                <w:sz w:val="20"/>
                <w:szCs w:val="20"/>
              </w:rPr>
              <w:t xml:space="preserve">g.溶媒适宜性审核：</w:t>
            </w:r>
            <w:r>
              <w:rPr>
                <w:rFonts w:hint="eastAsia" w:ascii="宋体" w:hAnsi="宋体" w:cs="宋体"/>
                <w:color w:val="000000"/>
                <w:spacing w:val="-59"/>
                <w:sz w:val="20"/>
                <w:szCs w:val="20"/>
              </w:rPr>
              <w:t xml:space="preserve"> </w:t>
            </w:r>
            <w:r>
              <w:rPr>
                <w:rFonts w:hint="eastAsia" w:ascii="宋体" w:hAnsi="宋体" w:cs="宋体"/>
                <w:color w:val="000000"/>
                <w:spacing w:val="5"/>
                <w:sz w:val="20"/>
                <w:szCs w:val="20"/>
              </w:rPr>
              <w:t xml:space="preserve">审核处方中溶媒的适宜性</w:t>
            </w:r>
            <w:r>
              <w:rPr>
                <w:rFonts w:hint="eastAsia" w:ascii="宋体" w:hAnsi="宋体" w:cs="宋体"/>
                <w:color w:val="000000"/>
                <w:spacing w:val="9"/>
                <w:sz w:val="20"/>
                <w:szCs w:val="20"/>
              </w:rPr>
              <w:t xml:space="preserve">(6) 配伍禁忌审核：</w:t>
            </w:r>
            <w:r>
              <w:rPr>
                <w:rFonts w:hint="eastAsia" w:ascii="宋体" w:hAnsi="宋体" w:cs="宋体"/>
                <w:color w:val="000000"/>
                <w:spacing w:val="-56"/>
                <w:sz w:val="20"/>
                <w:szCs w:val="20"/>
              </w:rPr>
              <w:t xml:space="preserve"> </w:t>
            </w:r>
            <w:r>
              <w:rPr>
                <w:rFonts w:hint="eastAsia" w:ascii="宋体" w:hAnsi="宋体" w:cs="宋体"/>
                <w:color w:val="000000"/>
                <w:spacing w:val="9"/>
                <w:sz w:val="20"/>
                <w:szCs w:val="20"/>
              </w:rPr>
              <w:t xml:space="preserve">审核是否存在配伍禁</w:t>
            </w:r>
            <w:r>
              <w:rPr>
                <w:rFonts w:hint="eastAsia" w:ascii="宋体" w:hAnsi="宋体" w:cs="宋体"/>
                <w:color w:val="000000"/>
                <w:spacing w:val="8"/>
                <w:sz w:val="20"/>
                <w:szCs w:val="20"/>
              </w:rPr>
              <w:t xml:space="preserve">忌问题，配伍禁忌多药品审核。包含药物与药物之间、药</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物与溶媒之间等在同一容器内配制是否会发生理化反应等。</w:t>
            </w:r>
            <w:r>
              <w:rPr>
                <w:rFonts w:hint="eastAsia" w:ascii="宋体" w:hAnsi="宋体" w:cs="宋体"/>
                <w:color w:val="000000"/>
                <w:spacing w:val="8"/>
                <w:sz w:val="20"/>
                <w:szCs w:val="20"/>
              </w:rPr>
              <w:t xml:space="preserve">(7) 特殊人群用药审核：</w:t>
            </w:r>
            <w:r>
              <w:rPr>
                <w:rFonts w:hint="eastAsia" w:ascii="宋体" w:hAnsi="宋体" w:cs="宋体"/>
                <w:color w:val="000000"/>
                <w:spacing w:val="-56"/>
                <w:sz w:val="20"/>
                <w:szCs w:val="20"/>
              </w:rPr>
              <w:t xml:space="preserve"> </w:t>
            </w:r>
            <w:r>
              <w:rPr>
                <w:rFonts w:hint="eastAsia" w:ascii="宋体" w:hAnsi="宋体" w:cs="宋体"/>
                <w:color w:val="000000"/>
                <w:spacing w:val="8"/>
                <w:sz w:val="20"/>
                <w:szCs w:val="20"/>
              </w:rPr>
              <w:t xml:space="preserve">审核患者是否属特殊人群（老人、儿童、哺乳期、妊娠、肝肾胰损伤</w:t>
            </w:r>
            <w:r>
              <w:rPr>
                <w:rFonts w:hint="eastAsia" w:ascii="宋体" w:hAnsi="宋体" w:cs="宋体"/>
                <w:color w:val="000000"/>
                <w:spacing w:val="18"/>
                <w:sz w:val="20"/>
                <w:szCs w:val="20"/>
              </w:rPr>
              <w:t xml:space="preserve">），</w:t>
            </w:r>
            <w:r>
              <w:rPr>
                <w:rFonts w:hint="eastAsia" w:ascii="宋体" w:hAnsi="宋体" w:cs="宋体"/>
                <w:color w:val="000000"/>
                <w:spacing w:val="10"/>
                <w:sz w:val="20"/>
                <w:szCs w:val="20"/>
              </w:rPr>
              <w:t xml:space="preserve">是否适用该药品。能结合患者的年龄、诊断、妊娠哺乳状态及各项检验指标审核老人、小孩、</w:t>
            </w:r>
            <w:r>
              <w:rPr>
                <w:rFonts w:hint="eastAsia" w:ascii="宋体" w:hAnsi="宋体" w:cs="宋体"/>
                <w:color w:val="000000"/>
                <w:spacing w:val="18"/>
                <w:sz w:val="20"/>
                <w:szCs w:val="20"/>
              </w:rPr>
              <w:t xml:space="preserve"> </w:t>
            </w:r>
            <w:r>
              <w:rPr>
                <w:rFonts w:hint="eastAsia" w:ascii="宋体" w:hAnsi="宋体" w:cs="宋体"/>
                <w:color w:val="000000"/>
                <w:spacing w:val="10"/>
                <w:sz w:val="20"/>
                <w:szCs w:val="20"/>
              </w:rPr>
              <w:t xml:space="preserve">妊娠期、哺乳期等特殊患者用药处方中存在的适应症不适宜、用法用量不适宜等问题，避免因</w:t>
            </w:r>
            <w:r>
              <w:rPr>
                <w:rFonts w:hint="eastAsia" w:ascii="宋体" w:hAnsi="宋体" w:cs="宋体"/>
                <w:color w:val="000000"/>
                <w:spacing w:val="18"/>
                <w:sz w:val="20"/>
                <w:szCs w:val="20"/>
              </w:rPr>
              <w:t xml:space="preserve"> </w:t>
            </w:r>
            <w:r>
              <w:rPr>
                <w:rFonts w:hint="eastAsia" w:ascii="宋体" w:hAnsi="宋体" w:cs="宋体"/>
                <w:color w:val="000000"/>
                <w:spacing w:val="8"/>
                <w:sz w:val="20"/>
                <w:szCs w:val="20"/>
              </w:rPr>
              <w:t xml:space="preserve">某些个体差异导致的用药风险。(8)性别用药审核：能结合患者性别审核处方用药是否</w:t>
            </w:r>
            <w:r>
              <w:rPr>
                <w:rFonts w:hint="eastAsia" w:ascii="宋体" w:hAnsi="宋体" w:cs="宋体"/>
                <w:color w:val="000000"/>
                <w:spacing w:val="7"/>
                <w:sz w:val="20"/>
                <w:szCs w:val="20"/>
              </w:rPr>
              <w:t xml:space="preserve">适宜当前患者。</w:t>
            </w:r>
            <w:r>
              <w:rPr>
                <w:rFonts w:hint="eastAsia" w:ascii="宋体" w:hAnsi="宋体" w:cs="宋体"/>
                <w:color w:val="000000"/>
                <w:spacing w:val="10"/>
                <w:sz w:val="20"/>
                <w:szCs w:val="20"/>
              </w:rPr>
              <w:t xml:space="preserve">(9)药物过敏警示：患者有药物过敏时</w:t>
            </w:r>
            <w:r>
              <w:rPr>
                <w:rFonts w:hint="eastAsia" w:ascii="宋体" w:hAnsi="宋体" w:cs="宋体"/>
                <w:color w:val="000000"/>
                <w:spacing w:val="9"/>
                <w:sz w:val="20"/>
                <w:szCs w:val="20"/>
              </w:rPr>
              <w:t xml:space="preserve">给予警示。能结合患者既往过敏史、皮试结果等，审核处方</w:t>
            </w:r>
            <w:r>
              <w:rPr>
                <w:rFonts w:hint="eastAsia" w:ascii="宋体" w:hAnsi="宋体" w:cs="宋体"/>
                <w:color w:val="000000"/>
                <w:spacing w:val="7"/>
                <w:sz w:val="20"/>
                <w:szCs w:val="20"/>
              </w:rPr>
              <w:t xml:space="preserve">中是否存在可能引起患者过敏或交叉过敏的药物。</w:t>
            </w:r>
            <w:r>
              <w:rPr>
                <w:rFonts w:hint="eastAsia" w:ascii="宋体" w:hAnsi="宋体" w:cs="宋体"/>
                <w:color w:val="000000"/>
                <w:spacing w:val="6"/>
                <w:sz w:val="20"/>
                <w:szCs w:val="20"/>
              </w:rPr>
              <w:t xml:space="preserve">(10)结合用药科室及用药方式审核</w:t>
            </w:r>
            <w:r>
              <w:rPr>
                <w:rFonts w:hint="eastAsia" w:ascii="宋体" w:hAnsi="宋体" w:cs="宋体"/>
                <w:color w:val="000000"/>
                <w:spacing w:val="10"/>
                <w:sz w:val="20"/>
                <w:szCs w:val="20"/>
              </w:rPr>
              <w:t xml:space="preserve">能结合患者诊断、开方科室、给药途径、给药剂量及频次、联用药品等多项用药前提场景，来 审核特殊情况下的用药的适应症、禁忌症、用法用量、相互作用、重复用药等是否合理。如在特定 科室特定诊断特定给药方式情况下，采用激素冲击疗法时的药品用量，处方应判定合理不予拦截提示，但在其他科室或其他诊断情况下，系统应予以拦截或提示。</w:t>
            </w:r>
            <w:r/>
          </w:p>
        </w:tc>
      </w:tr>
      <w:tr>
        <w:trPr>
          <w:trHeight w:val="295"/>
        </w:trPr>
        <w:tc>
          <w:tcPr>
            <w:shd w:val="clear" w:color="auto" w:fill="auto"/>
            <w:tcW w:w="1663" w:type="dxa"/>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jc w:val="center"/>
              <w:spacing w:before="47" w:line="199" w:lineRule="auto"/>
              <w:rPr>
                <w:spacing w:val="-8"/>
                <w:sz w:val="20"/>
                <w:szCs w:val="20"/>
              </w:rPr>
            </w:pPr>
            <w:r>
              <w:rPr>
                <w:rFonts w:hint="eastAsia"/>
                <w:spacing w:val="-5"/>
                <w:sz w:val="20"/>
                <w:szCs w:val="20"/>
              </w:rPr>
              <w:t xml:space="preserve">多处方联合审核</w:t>
            </w:r>
            <w:r/>
          </w:p>
        </w:tc>
        <w:tc>
          <w:tcPr>
            <w:shd w:val="clear" w:color="auto" w:fill="auto"/>
            <w:tcW w:w="5615" w:type="dxa"/>
            <w:textDirection w:val="lrTb"/>
            <w:noWrap w:val="false"/>
          </w:tcPr>
          <w:p>
            <w:pPr>
              <w:numPr>
                <w:ilvl w:val="0"/>
                <w:numId w:val="7"/>
              </w:numPr>
              <w:jc w:val="left"/>
              <w:spacing w:before="65"/>
              <w:rPr>
                <w:rFonts w:ascii="宋体" w:hAnsi="宋体" w:cs="宋体"/>
                <w:color w:val="000000"/>
                <w:spacing w:val="5"/>
                <w:sz w:val="20"/>
                <w:szCs w:val="20"/>
              </w:rPr>
            </w:pPr>
            <w:r>
              <w:rPr>
                <w:rFonts w:hint="eastAsia" w:ascii="宋体" w:hAnsi="宋体" w:cs="宋体"/>
                <w:color w:val="000000"/>
                <w:spacing w:val="4"/>
                <w:sz w:val="20"/>
                <w:szCs w:val="20"/>
              </w:rPr>
              <w:t xml:space="preserve">当日患者在多个科室就诊，医生开具多张处方时，实时审核应将患者当日所有处方做联合审核，</w:t>
            </w:r>
            <w:r>
              <w:rPr>
                <w:rFonts w:hint="eastAsia" w:ascii="宋体" w:hAnsi="宋体" w:cs="宋体"/>
                <w:color w:val="000000"/>
                <w:sz w:val="20"/>
                <w:szCs w:val="20"/>
              </w:rPr>
              <w:t xml:space="preserve"> </w:t>
            </w:r>
            <w:r>
              <w:rPr>
                <w:rFonts w:hint="eastAsia" w:ascii="宋体" w:hAnsi="宋体" w:cs="宋体"/>
                <w:color w:val="000000"/>
                <w:spacing w:val="5"/>
                <w:sz w:val="20"/>
                <w:szCs w:val="20"/>
              </w:rPr>
              <w:t xml:space="preserve">并提示给医生。</w:t>
            </w:r>
            <w:r/>
          </w:p>
          <w:p>
            <w:pPr>
              <w:numPr>
                <w:ilvl w:val="0"/>
                <w:numId w:val="7"/>
              </w:numPr>
              <w:spacing w:before="65"/>
              <w:rPr>
                <w:rFonts w:ascii="宋体" w:hAnsi="宋体" w:cs="宋体"/>
                <w:color w:val="000000"/>
                <w:sz w:val="20"/>
                <w:szCs w:val="20"/>
              </w:rPr>
            </w:pPr>
            <w:r>
              <w:rPr>
                <w:rFonts w:hint="eastAsia" w:ascii="宋体" w:hAnsi="宋体" w:cs="宋体"/>
                <w:color w:val="000000"/>
                <w:spacing w:val="8"/>
                <w:sz w:val="20"/>
                <w:szCs w:val="20"/>
              </w:rPr>
              <w:t xml:space="preserve">住院医生新下达的医嘱，能与在执行的的所有长期/临时医嘱做联合审</w:t>
            </w:r>
            <w:r>
              <w:rPr>
                <w:rFonts w:hint="eastAsia" w:ascii="宋体" w:hAnsi="宋体" w:cs="宋体"/>
                <w:color w:val="000000"/>
                <w:spacing w:val="7"/>
                <w:sz w:val="20"/>
                <w:szCs w:val="20"/>
              </w:rPr>
              <w:t xml:space="preserve">核</w:t>
            </w:r>
            <w:r/>
          </w:p>
          <w:p>
            <w:pPr>
              <w:pStyle w:val="934"/>
              <w:ind w:left="8"/>
              <w:spacing w:before="47" w:line="199" w:lineRule="auto"/>
              <w:rPr>
                <w:spacing w:val="6"/>
                <w:sz w:val="20"/>
                <w:szCs w:val="20"/>
                <w:lang w:eastAsia="zh-CN"/>
              </w:rPr>
            </w:pPr>
            <w:r>
              <w:rPr>
                <w:rFonts w:hint="eastAsia"/>
                <w:spacing w:val="6"/>
                <w:sz w:val="20"/>
                <w:szCs w:val="20"/>
                <w:lang w:eastAsia="zh-CN"/>
              </w:rPr>
              <w:t xml:space="preserve">（3）多级药师协同审方，当下级药师在审核中遇不确定处方（如超剂量、严重相互作用等），可一键发起转审请求，填写具体原因并指定药师。系统自动将处方推送至目标药师待办队列，保留原始审核上下文，并全程记录转审路径、原因及处理结果，确保高风险处方由具备相应资质的药师终审。</w:t>
            </w:r>
            <w:r/>
          </w:p>
          <w:p>
            <w:pPr>
              <w:pStyle w:val="934"/>
              <w:ind w:left="8"/>
              <w:spacing w:before="47" w:line="199" w:lineRule="auto"/>
              <w:rPr>
                <w:spacing w:val="-3"/>
                <w:sz w:val="20"/>
                <w:szCs w:val="20"/>
                <w:lang w:eastAsia="zh-CN"/>
              </w:rPr>
            </w:pPr>
            <w:r>
              <w:rPr>
                <w:rFonts w:hint="eastAsia"/>
                <w:spacing w:val="6"/>
                <w:sz w:val="20"/>
                <w:szCs w:val="20"/>
                <w:lang w:eastAsia="zh-CN"/>
              </w:rPr>
              <w:t xml:space="preserve">（4）审方任务查询，实时追踪每张处方/医嘱从进入系统到最终分配药师的路径和详细记录。</w:t>
            </w:r>
            <w:r/>
          </w:p>
        </w:tc>
      </w:tr>
      <w:tr>
        <w:trPr>
          <w:trHeight w:val="1017"/>
        </w:trPr>
        <w:tc>
          <w:tcPr>
            <w:shd w:val="clear" w:color="auto" w:fill="auto"/>
            <w:tcW w:w="1663" w:type="dxa"/>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W w:w="1822" w:type="dxa"/>
            <w:textDirection w:val="lrTb"/>
            <w:noWrap w:val="false"/>
          </w:tcPr>
          <w:p>
            <w:pPr>
              <w:pStyle w:val="934"/>
              <w:jc w:val="center"/>
              <w:spacing w:before="47" w:line="199" w:lineRule="auto"/>
              <w:rPr>
                <w:spacing w:val="-8"/>
                <w:sz w:val="20"/>
                <w:szCs w:val="20"/>
              </w:rPr>
            </w:pPr>
            <w:r>
              <w:rPr>
                <w:rFonts w:hint="eastAsia"/>
                <w:spacing w:val="-3"/>
                <w:sz w:val="20"/>
                <w:szCs w:val="20"/>
              </w:rPr>
              <w:t xml:space="preserve">前置审核实时监测</w:t>
            </w:r>
            <w:r/>
          </w:p>
        </w:tc>
        <w:tc>
          <w:tcPr>
            <w:shd w:val="clear" w:color="auto" w:fill="auto"/>
            <w:tcW w:w="5615" w:type="dxa"/>
            <w:textDirection w:val="lrTb"/>
            <w:noWrap w:val="false"/>
          </w:tcPr>
          <w:p>
            <w:pPr>
              <w:numPr>
                <w:ilvl w:val="0"/>
                <w:numId w:val="8"/>
              </w:numPr>
              <w:ind w:right="66"/>
              <w:jc w:val="left"/>
              <w:spacing w:before="65"/>
              <w:rPr>
                <w:rFonts w:ascii="宋体" w:hAnsi="宋体" w:cs="宋体"/>
                <w:color w:val="000000"/>
                <w:spacing w:val="8"/>
                <w:sz w:val="20"/>
                <w:szCs w:val="20"/>
              </w:rPr>
            </w:pPr>
            <w:r>
              <w:rPr>
                <w:rFonts w:hint="eastAsia" w:ascii="宋体" w:hAnsi="宋体" w:cs="宋体"/>
                <w:color w:val="000000"/>
                <w:sz w:val="20"/>
                <w:szCs w:val="20"/>
              </w:rPr>
              <w:t xml:space="preserve">▲</w:t>
            </w:r>
            <w:r>
              <w:rPr>
                <w:rFonts w:hint="eastAsia" w:ascii="宋体" w:hAnsi="宋体" w:cs="宋体"/>
                <w:color w:val="000000"/>
                <w:spacing w:val="6"/>
                <w:sz w:val="20"/>
                <w:szCs w:val="20"/>
              </w:rPr>
              <w:t xml:space="preserve">当日审方主要指标展示功能：系统应提供以直观的数据、</w:t>
            </w:r>
            <w:r>
              <w:rPr>
                <w:rFonts w:hint="eastAsia" w:ascii="宋体" w:hAnsi="宋体" w:cs="宋体"/>
                <w:color w:val="000000"/>
                <w:spacing w:val="-58"/>
                <w:sz w:val="20"/>
                <w:szCs w:val="20"/>
              </w:rPr>
              <w:t xml:space="preserve"> </w:t>
            </w:r>
            <w:r>
              <w:rPr>
                <w:rFonts w:hint="eastAsia" w:ascii="宋体" w:hAnsi="宋体" w:cs="宋体"/>
                <w:color w:val="000000"/>
                <w:spacing w:val="6"/>
                <w:sz w:val="20"/>
                <w:szCs w:val="20"/>
              </w:rPr>
              <w:t xml:space="preserve">图表等方式，显示当日审方过程中的</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预审处方/医嘱总数及有问题数、最终提交的今日处方/医嘱数及有问</w:t>
            </w:r>
            <w:r>
              <w:rPr>
                <w:rFonts w:hint="eastAsia" w:ascii="宋体" w:hAnsi="宋体" w:cs="宋体"/>
                <w:color w:val="000000"/>
                <w:spacing w:val="7"/>
                <w:sz w:val="20"/>
                <w:szCs w:val="20"/>
              </w:rPr>
              <w:t xml:space="preserve">题数、软件直接拦截处方/</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医嘱总数、药师干预总数、药师干预成功数等指标。</w:t>
            </w:r>
            <w:r/>
          </w:p>
          <w:p>
            <w:pPr>
              <w:numPr>
                <w:ilvl w:val="0"/>
                <w:numId w:val="8"/>
              </w:numPr>
              <w:ind w:right="66"/>
              <w:jc w:val="left"/>
              <w:spacing w:before="65"/>
              <w:rPr>
                <w:rFonts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pacing w:val="6"/>
                <w:sz w:val="20"/>
                <w:szCs w:val="20"/>
              </w:rPr>
              <w:t xml:space="preserve">审方数据汇总功能：软件应能按照时间、科室、问题类别、医生和药品分类等筛选条件统计审方</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各项指标，包括累计预审处方/医嘱总数、累计预审问题处方/</w:t>
            </w:r>
            <w:r>
              <w:rPr>
                <w:rFonts w:hint="eastAsia" w:ascii="宋体" w:hAnsi="宋体" w:cs="宋体"/>
                <w:color w:val="000000"/>
                <w:spacing w:val="7"/>
                <w:sz w:val="20"/>
                <w:szCs w:val="20"/>
              </w:rPr>
              <w:t xml:space="preserve">医嘱总数、累计提交处方/医嘱数</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量、累计提交的有问题处方/医嘱数量、累计拦截处方数量、医生提交前返回修改处</w:t>
            </w:r>
            <w:r>
              <w:rPr>
                <w:rFonts w:hint="eastAsia" w:ascii="宋体" w:hAnsi="宋体" w:cs="宋体"/>
                <w:color w:val="000000"/>
                <w:spacing w:val="7"/>
                <w:sz w:val="20"/>
                <w:szCs w:val="20"/>
              </w:rPr>
              <w:t xml:space="preserve">方张数、刚</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性拦截处方张数、药师干预处方张数、药师干预后医生修改处方张数、药师干预成功率等。</w:t>
            </w:r>
            <w:r/>
          </w:p>
          <w:p>
            <w:pPr>
              <w:numPr>
                <w:ilvl w:val="0"/>
                <w:numId w:val="8"/>
              </w:numPr>
              <w:ind w:right="66"/>
              <w:jc w:val="left"/>
              <w:spacing w:before="65"/>
              <w:rPr>
                <w:rFonts w:ascii="宋体" w:hAnsi="宋体" w:cs="宋体"/>
                <w:color w:val="000000"/>
                <w:sz w:val="20"/>
                <w:szCs w:val="20"/>
              </w:rPr>
            </w:pPr>
            <w:r>
              <w:rPr>
                <w:rFonts w:hint="eastAsia" w:ascii="宋体" w:hAnsi="宋体" w:cs="宋体"/>
                <w:color w:val="000000"/>
                <w:spacing w:val="9"/>
                <w:sz w:val="20"/>
                <w:szCs w:val="20"/>
              </w:rPr>
              <w:t xml:space="preserve">预审处方/医嘱问题统计分析功能：软件应能</w:t>
            </w:r>
            <w:r>
              <w:rPr>
                <w:rFonts w:hint="eastAsia" w:ascii="宋体" w:hAnsi="宋体" w:cs="宋体"/>
                <w:color w:val="000000"/>
                <w:spacing w:val="8"/>
                <w:sz w:val="20"/>
                <w:szCs w:val="20"/>
              </w:rPr>
              <w:t xml:space="preserve">根据日期、科室、</w:t>
            </w:r>
            <w:r>
              <w:rPr>
                <w:rFonts w:hint="eastAsia" w:ascii="宋体" w:hAnsi="宋体" w:cs="宋体"/>
                <w:color w:val="000000"/>
                <w:spacing w:val="-58"/>
                <w:sz w:val="20"/>
                <w:szCs w:val="20"/>
              </w:rPr>
              <w:t xml:space="preserve"> </w:t>
            </w:r>
            <w:r>
              <w:rPr>
                <w:rFonts w:hint="eastAsia" w:ascii="宋体" w:hAnsi="宋体" w:cs="宋体"/>
                <w:color w:val="000000"/>
                <w:spacing w:val="8"/>
                <w:sz w:val="20"/>
                <w:szCs w:val="20"/>
              </w:rPr>
              <w:t xml:space="preserve">问题类别、警示级别、医生、</w:t>
            </w:r>
            <w:r>
              <w:rPr>
                <w:rFonts w:hint="eastAsia" w:ascii="宋体" w:hAnsi="宋体" w:cs="宋体"/>
                <w:color w:val="000000"/>
                <w:sz w:val="20"/>
                <w:szCs w:val="20"/>
              </w:rPr>
              <w:t xml:space="preserve"> </w:t>
            </w:r>
            <w:r>
              <w:rPr>
                <w:rFonts w:hint="eastAsia" w:ascii="宋体" w:hAnsi="宋体" w:cs="宋体"/>
                <w:color w:val="000000"/>
                <w:spacing w:val="9"/>
                <w:sz w:val="20"/>
                <w:szCs w:val="20"/>
              </w:rPr>
              <w:t xml:space="preserve">药品等筛选条件，查询预审处方/医嘱的问题分类统计。通</w:t>
            </w:r>
            <w:r>
              <w:rPr>
                <w:rFonts w:hint="eastAsia" w:ascii="宋体" w:hAnsi="宋体" w:cs="宋体"/>
                <w:color w:val="000000"/>
                <w:spacing w:val="8"/>
                <w:sz w:val="20"/>
                <w:szCs w:val="20"/>
              </w:rPr>
              <w:t xml:space="preserve">过日期、问题、药品、科室、医生、</w:t>
            </w:r>
            <w:r>
              <w:rPr>
                <w:rFonts w:hint="eastAsia" w:ascii="宋体" w:hAnsi="宋体" w:cs="宋体"/>
                <w:color w:val="000000"/>
                <w:sz w:val="20"/>
                <w:szCs w:val="20"/>
              </w:rPr>
              <w:t xml:space="preserve"> </w:t>
            </w:r>
            <w:r>
              <w:rPr>
                <w:rFonts w:hint="eastAsia" w:ascii="宋体" w:hAnsi="宋体" w:cs="宋体"/>
                <w:color w:val="000000"/>
                <w:spacing w:val="11"/>
                <w:sz w:val="20"/>
                <w:szCs w:val="20"/>
              </w:rPr>
              <w:t xml:space="preserve">等级等维度进行分类展示，能一层层追溯到预</w:t>
            </w:r>
            <w:r>
              <w:rPr>
                <w:rFonts w:hint="eastAsia" w:ascii="宋体" w:hAnsi="宋体" w:cs="宋体"/>
                <w:color w:val="000000"/>
                <w:spacing w:val="10"/>
                <w:sz w:val="20"/>
                <w:szCs w:val="20"/>
              </w:rPr>
              <w:t xml:space="preserve">审问题列表具体问题环节，方便药师进行问题分</w:t>
            </w:r>
            <w:r>
              <w:rPr>
                <w:rFonts w:hint="eastAsia" w:ascii="宋体" w:hAnsi="宋体" w:cs="宋体"/>
                <w:color w:val="000000"/>
                <w:sz w:val="20"/>
                <w:szCs w:val="20"/>
              </w:rPr>
              <w:t xml:space="preserve"> </w:t>
            </w:r>
            <w:r>
              <w:rPr>
                <w:rFonts w:hint="eastAsia" w:ascii="宋体" w:hAnsi="宋体" w:cs="宋体"/>
                <w:color w:val="000000"/>
                <w:spacing w:val="-3"/>
                <w:sz w:val="20"/>
                <w:szCs w:val="20"/>
              </w:rPr>
              <w:t xml:space="preserve">析。</w:t>
            </w:r>
            <w:r/>
          </w:p>
          <w:p>
            <w:pPr>
              <w:numPr>
                <w:ilvl w:val="0"/>
                <w:numId w:val="8"/>
              </w:numPr>
              <w:ind w:right="66"/>
              <w:jc w:val="left"/>
              <w:spacing w:before="65"/>
              <w:rPr>
                <w:rFonts w:ascii="宋体" w:hAnsi="宋体" w:cs="宋体"/>
                <w:color w:val="000000"/>
                <w:sz w:val="20"/>
                <w:szCs w:val="20"/>
              </w:rPr>
            </w:pPr>
            <w:r>
              <w:rPr>
                <w:rFonts w:hint="eastAsia" w:ascii="宋体" w:hAnsi="宋体" w:cs="宋体"/>
                <w:color w:val="000000"/>
                <w:spacing w:val="4"/>
                <w:sz w:val="20"/>
                <w:szCs w:val="20"/>
              </w:rPr>
              <w:t xml:space="preserve">提交成功处方/医嘱问题统计分析功能：软件应能根据日期、科室、问题类别、警示级别、医生、</w:t>
            </w:r>
            <w:r>
              <w:rPr>
                <w:rFonts w:hint="eastAsia" w:ascii="宋体" w:hAnsi="宋体" w:cs="宋体"/>
                <w:color w:val="000000"/>
                <w:spacing w:val="2"/>
                <w:sz w:val="20"/>
                <w:szCs w:val="20"/>
              </w:rPr>
              <w:t xml:space="preserve"> </w:t>
            </w:r>
            <w:r>
              <w:rPr>
                <w:rFonts w:hint="eastAsia" w:ascii="宋体" w:hAnsi="宋体" w:cs="宋体"/>
                <w:color w:val="000000"/>
                <w:spacing w:val="9"/>
                <w:sz w:val="20"/>
                <w:szCs w:val="20"/>
              </w:rPr>
              <w:t xml:space="preserve">药品等筛选条件，查询提交成功的处方/医嘱的问题分类统计。通过日期、问题、药品、科室、</w:t>
            </w:r>
            <w:r>
              <w:rPr>
                <w:rFonts w:hint="eastAsia" w:ascii="宋体" w:hAnsi="宋体" w:cs="宋体"/>
                <w:color w:val="000000"/>
                <w:spacing w:val="18"/>
                <w:sz w:val="20"/>
                <w:szCs w:val="20"/>
              </w:rPr>
              <w:t xml:space="preserve"> </w:t>
            </w:r>
            <w:r>
              <w:rPr>
                <w:rFonts w:hint="eastAsia" w:ascii="宋体" w:hAnsi="宋体" w:cs="宋体"/>
                <w:color w:val="000000"/>
                <w:spacing w:val="5"/>
                <w:sz w:val="20"/>
                <w:szCs w:val="20"/>
              </w:rPr>
              <w:t xml:space="preserve">医生、等级等维度进行分类展示，能一层层追溯到提交</w:t>
            </w:r>
            <w:r>
              <w:rPr>
                <w:rFonts w:hint="eastAsia" w:ascii="宋体" w:hAnsi="宋体" w:cs="宋体"/>
                <w:color w:val="000000"/>
                <w:spacing w:val="4"/>
                <w:sz w:val="20"/>
                <w:szCs w:val="20"/>
              </w:rPr>
              <w:t xml:space="preserve">成功的处方/医嘱问题列表具体问题环节，</w:t>
            </w:r>
            <w:r>
              <w:rPr>
                <w:rFonts w:hint="eastAsia" w:ascii="宋体" w:hAnsi="宋体" w:cs="宋体"/>
                <w:color w:val="000000"/>
                <w:sz w:val="20"/>
                <w:szCs w:val="20"/>
              </w:rPr>
              <w:t xml:space="preserve"> </w:t>
            </w:r>
            <w:r>
              <w:rPr>
                <w:rFonts w:hint="eastAsia" w:ascii="宋体" w:hAnsi="宋体" w:cs="宋体"/>
                <w:color w:val="000000"/>
                <w:spacing w:val="7"/>
                <w:sz w:val="20"/>
                <w:szCs w:val="20"/>
              </w:rPr>
              <w:t xml:space="preserve">方便药师进行问题分析。</w:t>
            </w:r>
            <w:r/>
          </w:p>
          <w:p>
            <w:pPr>
              <w:numPr>
                <w:ilvl w:val="0"/>
                <w:numId w:val="8"/>
              </w:numPr>
              <w:ind w:right="66"/>
              <w:spacing w:before="65"/>
              <w:rPr>
                <w:rFonts w:ascii="宋体" w:hAnsi="宋体" w:cs="宋体"/>
                <w:color w:val="000000"/>
                <w:sz w:val="20"/>
                <w:szCs w:val="20"/>
              </w:rPr>
            </w:pPr>
            <w:r>
              <w:rPr>
                <w:rFonts w:hint="eastAsia" w:ascii="宋体" w:hAnsi="宋体" w:cs="宋体"/>
                <w:color w:val="000000"/>
                <w:spacing w:val="9"/>
                <w:sz w:val="20"/>
                <w:szCs w:val="20"/>
              </w:rPr>
              <w:t xml:space="preserve">处方/医嘱预审结果与提交结果对比查询   软件应能根据起止日期、科室名称、医生工号、医生姓名、患者</w:t>
            </w:r>
            <w:r>
              <w:rPr>
                <w:rFonts w:hint="eastAsia" w:ascii="宋体" w:hAnsi="宋体" w:cs="宋体"/>
                <w:color w:val="000000"/>
                <w:spacing w:val="-26"/>
                <w:sz w:val="20"/>
                <w:szCs w:val="20"/>
              </w:rPr>
              <w:t xml:space="preserve"> </w:t>
            </w:r>
            <w:r>
              <w:rPr>
                <w:rFonts w:hint="eastAsia" w:ascii="宋体" w:hAnsi="宋体" w:cs="宋体"/>
                <w:color w:val="000000"/>
                <w:sz w:val="20"/>
                <w:szCs w:val="20"/>
              </w:rPr>
              <w:t xml:space="preserve">ID</w:t>
            </w:r>
            <w:r>
              <w:rPr>
                <w:rFonts w:hint="eastAsia" w:ascii="宋体" w:hAnsi="宋体" w:cs="宋体"/>
                <w:color w:val="000000"/>
                <w:spacing w:val="9"/>
                <w:sz w:val="20"/>
                <w:szCs w:val="20"/>
              </w:rPr>
              <w:t xml:space="preserve">、患者姓名、药师工号、药师姓名、首次机审是否通过</w:t>
            </w:r>
            <w:r>
              <w:rPr>
                <w:rFonts w:hint="eastAsia" w:ascii="宋体" w:hAnsi="宋体" w:cs="宋体"/>
                <w:color w:val="000000"/>
                <w:spacing w:val="8"/>
                <w:sz w:val="20"/>
                <w:szCs w:val="20"/>
              </w:rPr>
              <w:t xml:space="preserve">等筛选条件，查询医生</w:t>
            </w:r>
            <w:r>
              <w:rPr>
                <w:rFonts w:hint="eastAsia" w:ascii="宋体" w:hAnsi="宋体" w:cs="宋体"/>
                <w:color w:val="000000"/>
                <w:sz w:val="20"/>
                <w:szCs w:val="20"/>
              </w:rPr>
              <w:t xml:space="preserve"> </w:t>
            </w:r>
            <w:r>
              <w:rPr>
                <w:rFonts w:hint="eastAsia" w:ascii="宋体" w:hAnsi="宋体" w:cs="宋体"/>
                <w:color w:val="000000"/>
                <w:spacing w:val="8"/>
                <w:sz w:val="20"/>
                <w:szCs w:val="20"/>
              </w:rPr>
              <w:t xml:space="preserve">最终提交成功的处方/医嘱列表，能够查看到软件预审处方信息及审核修</w:t>
            </w:r>
            <w:r>
              <w:rPr>
                <w:rFonts w:hint="eastAsia" w:ascii="宋体" w:hAnsi="宋体" w:cs="宋体"/>
                <w:color w:val="000000"/>
                <w:spacing w:val="7"/>
                <w:sz w:val="20"/>
                <w:szCs w:val="20"/>
              </w:rPr>
              <w:t xml:space="preserve">改后最终提交的处方信</w:t>
            </w:r>
            <w:r>
              <w:rPr>
                <w:rFonts w:hint="eastAsia" w:ascii="宋体" w:hAnsi="宋体" w:cs="宋体"/>
                <w:color w:val="000000"/>
                <w:sz w:val="20"/>
                <w:szCs w:val="20"/>
              </w:rPr>
              <w:t xml:space="preserve"> </w:t>
            </w:r>
            <w:r>
              <w:rPr>
                <w:rFonts w:hint="eastAsia" w:ascii="宋体" w:hAnsi="宋体" w:cs="宋体"/>
                <w:color w:val="000000"/>
                <w:spacing w:val="-6"/>
                <w:sz w:val="20"/>
                <w:szCs w:val="20"/>
              </w:rPr>
              <w:t xml:space="preserve">息。</w:t>
            </w:r>
            <w:r/>
          </w:p>
          <w:p>
            <w:pPr>
              <w:numPr>
                <w:ilvl w:val="0"/>
                <w:numId w:val="8"/>
              </w:numPr>
              <w:ind w:right="66"/>
              <w:spacing w:before="65"/>
              <w:rPr>
                <w:rFonts w:ascii="宋体" w:hAnsi="宋体" w:cs="宋体"/>
                <w:color w:val="000000"/>
                <w:sz w:val="20"/>
                <w:szCs w:val="20"/>
              </w:rPr>
            </w:pPr>
            <w:r>
              <w:rPr>
                <w:rFonts w:hint="eastAsia" w:ascii="宋体" w:hAnsi="宋体" w:cs="宋体"/>
                <w:color w:val="000000"/>
                <w:spacing w:val="8"/>
                <w:sz w:val="20"/>
                <w:szCs w:val="20"/>
              </w:rPr>
              <w:t xml:space="preserve">审核详情   软件应能根据起止日</w:t>
            </w:r>
            <w:r>
              <w:rPr>
                <w:rFonts w:hint="eastAsia" w:ascii="宋体" w:hAnsi="宋体" w:cs="宋体"/>
                <w:color w:val="000000"/>
                <w:spacing w:val="7"/>
                <w:sz w:val="20"/>
                <w:szCs w:val="20"/>
              </w:rPr>
              <w:t xml:space="preserve">期、问题类别、就诊科室、医生姓名、药品名称等筛选条件，</w:t>
            </w:r>
            <w:r>
              <w:rPr>
                <w:rFonts w:hint="eastAsia" w:ascii="宋体" w:hAnsi="宋体" w:cs="宋体"/>
                <w:color w:val="000000"/>
                <w:spacing w:val="10"/>
                <w:sz w:val="20"/>
                <w:szCs w:val="20"/>
              </w:rPr>
              <w:t xml:space="preserve">查询处方审核详细信息，包括处方患者、医生信息和处方的药品名称、用法用量、诊断、警示</w:t>
            </w:r>
            <w:r>
              <w:rPr>
                <w:rFonts w:hint="eastAsia" w:ascii="宋体" w:hAnsi="宋体" w:cs="宋体"/>
                <w:color w:val="000000"/>
                <w:spacing w:val="18"/>
                <w:sz w:val="20"/>
                <w:szCs w:val="20"/>
              </w:rPr>
              <w:t xml:space="preserve"> </w:t>
            </w:r>
            <w:r>
              <w:rPr>
                <w:rFonts w:hint="eastAsia" w:ascii="宋体" w:hAnsi="宋体" w:cs="宋体"/>
                <w:color w:val="000000"/>
                <w:spacing w:val="5"/>
                <w:sz w:val="20"/>
                <w:szCs w:val="20"/>
              </w:rPr>
              <w:t xml:space="preserve">信息级别、参考信息、</w:t>
            </w:r>
            <w:r>
              <w:rPr>
                <w:rFonts w:hint="eastAsia" w:ascii="宋体" w:hAnsi="宋体" w:cs="宋体"/>
                <w:color w:val="000000"/>
                <w:spacing w:val="-46"/>
                <w:sz w:val="20"/>
                <w:szCs w:val="20"/>
              </w:rPr>
              <w:t xml:space="preserve"> </w:t>
            </w:r>
            <w:r>
              <w:rPr>
                <w:rFonts w:hint="eastAsia" w:ascii="宋体" w:hAnsi="宋体" w:cs="宋体"/>
                <w:color w:val="000000"/>
                <w:spacing w:val="5"/>
                <w:sz w:val="20"/>
                <w:szCs w:val="20"/>
              </w:rPr>
              <w:t xml:space="preserve">问题类型等。</w:t>
            </w:r>
            <w:r/>
          </w:p>
          <w:p>
            <w:pPr>
              <w:ind w:right="66"/>
              <w:spacing w:before="65"/>
              <w:rPr>
                <w:spacing w:val="-3"/>
                <w:sz w:val="20"/>
                <w:szCs w:val="20"/>
                <w:lang w:eastAsia="zh-CN"/>
              </w:rPr>
            </w:pPr>
            <w:r>
              <w:rPr>
                <w:rFonts w:hint="eastAsia" w:ascii="宋体" w:hAnsi="宋体" w:cs="宋体"/>
                <w:color w:val="000000"/>
                <w:sz w:val="20"/>
                <w:szCs w:val="20"/>
              </w:rPr>
              <w:t xml:space="preserve">（7）完整记录事前审核的处方/医嘱在合理用药引擎中的审核全过程。按规则维度清晰展示：哪些规则被触发并执行（含规则名称、类型、审核结果）；哪些规则未执行及其具体原因（如：不适用该药品、患者信息缺失、规则条件不满足、规则已停用等）；支持按院区、患者、处方类别、调用模式等条件筛选，为临床药师复核、系统调优及合规审计提供透明、可追溯的依据。</w:t>
            </w:r>
            <w:r/>
          </w:p>
        </w:tc>
      </w:tr>
      <w:tr>
        <w:trPr>
          <w:trHeight w:val="295"/>
        </w:trPr>
        <w:tc>
          <w:tcPr>
            <w:shd w:val="clear" w:color="auto" w:fill="auto"/>
            <w:tcW w:w="1663" w:type="dxa"/>
            <w:textDirection w:val="lrTb"/>
            <w:noWrap w:val="false"/>
          </w:tcPr>
          <w:p>
            <w:pPr>
              <w:jc w:val="center"/>
              <w:rPr>
                <w:rFonts w:ascii="宋体" w:hAnsi="宋体" w:cs="宋体"/>
                <w:sz w:val="20"/>
                <w:szCs w:val="20"/>
              </w:rPr>
            </w:pPr>
            <w:r>
              <w:rPr>
                <w:rFonts w:hint="eastAsia" w:ascii="宋体" w:hAnsi="宋体" w:cs="宋体"/>
                <w:spacing w:val="8"/>
                <w:sz w:val="20"/>
                <w:szCs w:val="20"/>
              </w:rPr>
              <w:t xml:space="preserve">通讯平台</w:t>
            </w:r>
            <w:r/>
          </w:p>
        </w:tc>
        <w:tc>
          <w:tcPr>
            <w:shd w:val="clear" w:color="auto" w:fill="auto"/>
            <w:tcW w:w="1822" w:type="dxa"/>
            <w:textDirection w:val="lrTb"/>
            <w:noWrap w:val="false"/>
          </w:tcPr>
          <w:p>
            <w:pPr>
              <w:ind w:right="66"/>
              <w:spacing w:before="65"/>
              <w:rPr>
                <w:rFonts w:ascii="宋体" w:hAnsi="宋体" w:cs="宋体"/>
                <w:spacing w:val="8"/>
                <w:sz w:val="20"/>
                <w:szCs w:val="20"/>
              </w:rPr>
            </w:pPr>
            <w:r>
              <w:rPr>
                <w:rFonts w:ascii="宋体" w:hAnsi="宋体" w:cs="宋体"/>
                <w:spacing w:val="8"/>
                <w:sz w:val="20"/>
                <w:szCs w:val="20"/>
              </w:rPr>
            </w:r>
            <w:r/>
          </w:p>
        </w:tc>
        <w:tc>
          <w:tcPr>
            <w:shd w:val="clear" w:color="auto" w:fill="auto"/>
            <w:tcW w:w="5615" w:type="dxa"/>
            <w:textDirection w:val="lrTb"/>
            <w:noWrap w:val="false"/>
          </w:tcPr>
          <w:p>
            <w:pPr>
              <w:ind w:right="66"/>
              <w:jc w:val="left"/>
              <w:spacing w:before="65"/>
              <w:rPr>
                <w:rFonts w:ascii="宋体" w:hAnsi="宋体" w:cs="宋体"/>
                <w:color w:val="000000"/>
                <w:spacing w:val="8"/>
                <w:sz w:val="20"/>
                <w:szCs w:val="20"/>
              </w:rPr>
            </w:pPr>
            <w:r>
              <w:rPr>
                <w:rFonts w:hint="eastAsia" w:ascii="宋体" w:hAnsi="宋体" w:cs="宋体"/>
                <w:color w:val="000000"/>
                <w:spacing w:val="8"/>
                <w:sz w:val="20"/>
                <w:szCs w:val="20"/>
              </w:rPr>
              <w:t xml:space="preserve">具备药师和医师的沟通平台，支持医师和药师进行即时在线双向沟通和干预，无须外部系统支持。</w:t>
            </w:r>
            <w:r/>
          </w:p>
        </w:tc>
      </w:tr>
      <w:tr>
        <w:trPr>
          <w:trHeight w:val="295"/>
        </w:trPr>
        <w:tc>
          <w:tcPr>
            <w:shd w:val="clear" w:color="auto" w:fill="auto"/>
            <w:tcW w:w="1663" w:type="dxa"/>
            <w:textDirection w:val="lrTb"/>
            <w:noWrap w:val="false"/>
          </w:tcPr>
          <w:p>
            <w:pPr>
              <w:jc w:val="center"/>
              <w:rPr>
                <w:rFonts w:ascii="宋体" w:hAnsi="宋体" w:cs="宋体"/>
                <w:spacing w:val="8"/>
                <w:sz w:val="20"/>
                <w:szCs w:val="20"/>
              </w:rPr>
            </w:pPr>
            <w:r>
              <w:rPr>
                <w:rFonts w:hint="eastAsia" w:ascii="宋体" w:hAnsi="宋体" w:cs="宋体"/>
                <w:spacing w:val="8"/>
                <w:sz w:val="20"/>
                <w:szCs w:val="20"/>
              </w:rPr>
              <w:t xml:space="preserve">多机构</w:t>
            </w:r>
            <w:r>
              <w:rPr>
                <w:rFonts w:hint="eastAsia" w:cs="宋体"/>
                <w:color w:val="000000"/>
                <w:sz w:val="22"/>
              </w:rPr>
              <w:t xml:space="preserve">全域协同功能</w:t>
            </w:r>
            <w:r/>
          </w:p>
        </w:tc>
        <w:tc>
          <w:tcPr>
            <w:shd w:val="clear" w:color="auto" w:fill="auto"/>
            <w:tcW w:w="1822" w:type="dxa"/>
            <w:textDirection w:val="lrTb"/>
            <w:noWrap w:val="false"/>
          </w:tcPr>
          <w:p>
            <w:pPr>
              <w:ind w:right="66"/>
              <w:spacing w:before="65"/>
              <w:rPr>
                <w:rFonts w:ascii="宋体" w:hAnsi="宋体" w:cs="宋体"/>
                <w:spacing w:val="8"/>
                <w:sz w:val="20"/>
                <w:szCs w:val="20"/>
              </w:rPr>
            </w:pPr>
            <w:r>
              <w:rPr>
                <w:rFonts w:ascii="宋体" w:hAnsi="宋体" w:cs="宋体"/>
                <w:spacing w:val="8"/>
                <w:sz w:val="20"/>
                <w:szCs w:val="20"/>
              </w:rPr>
            </w:r>
            <w:r/>
          </w:p>
        </w:tc>
        <w:tc>
          <w:tcPr>
            <w:shd w:val="clear" w:color="auto" w:fill="auto"/>
            <w:tcW w:w="5615" w:type="dxa"/>
            <w:textDirection w:val="lrTb"/>
            <w:noWrap w:val="false"/>
          </w:tcPr>
          <w:p>
            <w:pPr>
              <w:ind w:right="66"/>
              <w:jc w:val="left"/>
              <w:spacing w:before="65"/>
              <w:rPr>
                <w:rFonts w:ascii="宋体" w:hAnsi="宋体" w:cs="宋体"/>
                <w:color w:val="000000"/>
                <w:spacing w:val="8"/>
                <w:sz w:val="20"/>
                <w:szCs w:val="20"/>
              </w:rPr>
            </w:pPr>
            <w:r>
              <w:rPr>
                <w:rFonts w:hint="eastAsia" w:ascii="宋体" w:hAnsi="宋体" w:cs="宋体"/>
                <w:color w:val="000000"/>
                <w:sz w:val="20"/>
                <w:szCs w:val="20"/>
              </w:rPr>
              <w:t xml:space="preserve">多机构全域协同功能：功能模块包括全域药学数</w:t>
            </w:r>
            <w:r>
              <w:rPr>
                <w:rFonts w:hint="eastAsia" w:ascii="宋体" w:hAnsi="宋体" w:cs="宋体"/>
                <w:color w:val="000000"/>
                <w:sz w:val="20"/>
                <w:szCs w:val="20"/>
              </w:rPr>
              <w:t xml:space="preserve">据中枢与智能知识库，建立医共体唯一的药品主数据与药学知识库管理中心。从根本上保证用药规则的统一性和权威性；跨机构协同审方与实时干预体系，支持分级分层审方与远程审方与协同会诊，实现优质药学资源的下沉与高效利用；全景化用药监测与闭环评价管理，功能包括区域处方（医嘱）点评（支持自定义抽样规则）、闭环反馈机制（点评结果与不合理用药问题可通过系统直接反馈给开处方的医师及所在科室）；患者连续性药学服务与安全警戒网络；用药统计分析与全域管理支持，提供多维度、可视化的数据分析平台，动态展示医共体及各成员单位的药品使用情况。</w:t>
            </w:r>
            <w:r/>
          </w:p>
        </w:tc>
      </w:tr>
      <w:tr>
        <w:trPr>
          <w:trHeight w:val="841"/>
        </w:trPr>
        <w:tc>
          <w:tcPr>
            <w:shd w:val="clear" w:color="auto" w:fill="auto"/>
            <w:tcW w:w="1663" w:type="dxa"/>
            <w:textDirection w:val="lrTb"/>
            <w:noWrap w:val="false"/>
          </w:tcPr>
          <w:p>
            <w:pPr>
              <w:jc w:val="center"/>
              <w:rPr>
                <w:rFonts w:ascii="宋体" w:hAnsi="宋体" w:cs="宋体"/>
                <w:color w:val="000000"/>
                <w:spacing w:val="8"/>
                <w:sz w:val="20"/>
                <w:szCs w:val="20"/>
              </w:rPr>
            </w:pPr>
            <w:r>
              <w:rPr>
                <w:rFonts w:hint="eastAsia" w:ascii="宋体" w:hAnsi="宋体" w:cs="宋体"/>
                <w:spacing w:val="8"/>
                <w:sz w:val="20"/>
                <w:szCs w:val="20"/>
              </w:rPr>
              <w:t xml:space="preserve">药品管理</w:t>
            </w:r>
            <w:r/>
          </w:p>
        </w:tc>
        <w:tc>
          <w:tcPr>
            <w:shd w:val="clear" w:color="auto" w:fill="auto"/>
            <w:tcW w:w="1822" w:type="dxa"/>
            <w:textDirection w:val="lrTb"/>
            <w:noWrap w:val="false"/>
          </w:tcPr>
          <w:p>
            <w:pPr>
              <w:ind w:right="66"/>
              <w:spacing w:before="65"/>
              <w:rPr>
                <w:rFonts w:ascii="宋体" w:hAnsi="宋体" w:cs="宋体"/>
                <w:color w:val="000000"/>
                <w:spacing w:val="8"/>
                <w:sz w:val="20"/>
                <w:szCs w:val="20"/>
                <w:lang w:eastAsia="en-US"/>
              </w:rPr>
            </w:pPr>
            <w:r>
              <w:rPr>
                <w:rFonts w:ascii="宋体" w:hAnsi="宋体" w:cs="宋体"/>
                <w:color w:val="000000"/>
                <w:spacing w:val="8"/>
                <w:sz w:val="20"/>
                <w:szCs w:val="20"/>
                <w:lang w:eastAsia="en-US"/>
              </w:rPr>
            </w:r>
            <w:r/>
          </w:p>
        </w:tc>
        <w:tc>
          <w:tcPr>
            <w:shd w:val="clear" w:color="auto" w:fill="auto"/>
            <w:tcW w:w="5615" w:type="dxa"/>
            <w:textDirection w:val="lrTb"/>
            <w:noWrap w:val="false"/>
          </w:tcPr>
          <w:p>
            <w:pPr>
              <w:ind w:right="66"/>
              <w:jc w:val="left"/>
              <w:spacing w:before="65"/>
              <w:rPr>
                <w:rFonts w:ascii="宋体" w:hAnsi="宋体" w:cs="宋体"/>
                <w:color w:val="000000"/>
                <w:sz w:val="20"/>
                <w:szCs w:val="20"/>
              </w:rPr>
            </w:pPr>
            <w:r>
              <w:rPr>
                <w:rFonts w:hint="eastAsia" w:ascii="宋体" w:hAnsi="宋体" w:cs="宋体"/>
                <w:color w:val="000000"/>
                <w:sz w:val="20"/>
                <w:szCs w:val="20"/>
              </w:rPr>
              <w:t xml:space="preserve">提供药品自定义规则集统计，系统基于药品属性（编码、规格、生产厂家）自动生成唯一编码，减少人工错误；支持与HIS系统对接，实现一键入库。</w:t>
            </w:r>
            <w:r/>
          </w:p>
        </w:tc>
      </w:tr>
      <w:tr>
        <w:trPr>
          <w:trHeight w:val="1191"/>
        </w:trPr>
        <w:tc>
          <w:tcPr>
            <w:shd w:val="clear" w:color="auto" w:fill="auto"/>
            <w:tcW w:w="1663" w:type="dxa"/>
            <w:textDirection w:val="lrTb"/>
            <w:noWrap w:val="false"/>
          </w:tcPr>
          <w:p>
            <w:pPr>
              <w:jc w:val="center"/>
              <w:rPr>
                <w:rFonts w:ascii="宋体" w:hAnsi="宋体" w:cs="宋体"/>
                <w:spacing w:val="8"/>
                <w:sz w:val="20"/>
                <w:szCs w:val="20"/>
              </w:rPr>
            </w:pPr>
            <w:r>
              <w:rPr>
                <w:rFonts w:hint="eastAsia" w:ascii="宋体" w:hAnsi="宋体" w:cs="宋体"/>
                <w:spacing w:val="8"/>
                <w:sz w:val="20"/>
                <w:szCs w:val="20"/>
              </w:rPr>
              <w:t xml:space="preserve">目录维护</w:t>
            </w:r>
            <w:r/>
          </w:p>
        </w:tc>
        <w:tc>
          <w:tcPr>
            <w:shd w:val="clear" w:color="auto" w:fill="auto"/>
            <w:tcW w:w="1822" w:type="dxa"/>
            <w:textDirection w:val="lrTb"/>
            <w:noWrap w:val="false"/>
          </w:tcPr>
          <w:p>
            <w:pPr>
              <w:ind w:right="66"/>
              <w:spacing w:before="65"/>
              <w:rPr>
                <w:rFonts w:ascii="宋体" w:hAnsi="宋体" w:cs="宋体"/>
                <w:spacing w:val="8"/>
                <w:sz w:val="20"/>
                <w:szCs w:val="20"/>
              </w:rPr>
            </w:pPr>
            <w:r>
              <w:rPr>
                <w:rFonts w:ascii="宋体" w:hAnsi="宋体" w:cs="宋体"/>
                <w:spacing w:val="8"/>
                <w:sz w:val="20"/>
                <w:szCs w:val="20"/>
              </w:rPr>
            </w:r>
            <w:r/>
          </w:p>
        </w:tc>
        <w:tc>
          <w:tcPr>
            <w:shd w:val="clear" w:color="auto" w:fill="auto"/>
            <w:tcW w:w="5615" w:type="dxa"/>
            <w:textDirection w:val="lrTb"/>
            <w:noWrap w:val="false"/>
          </w:tcPr>
          <w:p>
            <w:pPr>
              <w:ind w:right="66"/>
              <w:spacing w:before="65"/>
              <w:rPr>
                <w:rFonts w:ascii="宋体" w:hAnsi="宋体" w:cs="宋体"/>
                <w:color w:val="000000"/>
                <w:sz w:val="20"/>
                <w:szCs w:val="20"/>
              </w:rPr>
            </w:pPr>
            <w:r>
              <w:rPr>
                <w:rFonts w:hint="eastAsia" w:ascii="宋体" w:hAnsi="宋体" w:cs="宋体"/>
                <w:color w:val="000000"/>
                <w:sz w:val="20"/>
                <w:szCs w:val="20"/>
              </w:rPr>
              <w:t xml:space="preserve">其功能主要包括给药频次映射、给药途径映射、药理分类、药品分类、医生处方权（医师处方权管理，通过资质审核、动态权限分配、用药合理性智能审查及多维度数据监管，实现合规处方开具与用药安全提升）、医生常用语、用药交代等灵活设置。</w:t>
            </w:r>
            <w:r/>
          </w:p>
        </w:tc>
      </w:tr>
      <w:tr>
        <w:trPr>
          <w:trHeight w:val="1036"/>
        </w:trPr>
        <w:tc>
          <w:tcPr>
            <w:shd w:val="clear" w:color="auto" w:fill="auto"/>
            <w:tcW w:w="1663" w:type="dxa"/>
            <w:textDirection w:val="lrTb"/>
            <w:noWrap w:val="false"/>
          </w:tcPr>
          <w:p>
            <w:pPr>
              <w:jc w:val="center"/>
              <w:rPr>
                <w:rFonts w:ascii="宋体" w:hAnsi="宋体" w:cs="宋体"/>
                <w:spacing w:val="8"/>
                <w:sz w:val="20"/>
                <w:szCs w:val="20"/>
              </w:rPr>
            </w:pPr>
            <w:r>
              <w:rPr>
                <w:rFonts w:hint="eastAsia" w:ascii="宋体" w:hAnsi="宋体" w:cs="宋体"/>
                <w:spacing w:val="8"/>
                <w:sz w:val="20"/>
                <w:szCs w:val="20"/>
              </w:rPr>
              <w:t xml:space="preserve">‌</w:t>
            </w:r>
            <w:r>
              <w:rPr>
                <w:rFonts w:ascii="宋体" w:hAnsi="宋体" w:cs="宋体"/>
                <w:spacing w:val="8"/>
                <w:sz w:val="20"/>
                <w:szCs w:val="20"/>
              </w:rPr>
              <w:t xml:space="preserve">智能消息中继平台</w:t>
            </w:r>
            <w:r/>
          </w:p>
        </w:tc>
        <w:tc>
          <w:tcPr>
            <w:shd w:val="clear" w:color="auto" w:fill="auto"/>
            <w:tcW w:w="1822" w:type="dxa"/>
            <w:textDirection w:val="lrTb"/>
            <w:noWrap w:val="false"/>
          </w:tcPr>
          <w:p>
            <w:pPr>
              <w:ind w:right="66"/>
              <w:spacing w:before="65"/>
              <w:rPr>
                <w:rFonts w:ascii="宋体" w:hAnsi="宋体" w:cs="宋体"/>
                <w:spacing w:val="8"/>
                <w:sz w:val="20"/>
                <w:szCs w:val="20"/>
              </w:rPr>
            </w:pPr>
            <w:r>
              <w:rPr>
                <w:rFonts w:ascii="宋体" w:hAnsi="宋体" w:cs="宋体"/>
                <w:spacing w:val="8"/>
                <w:sz w:val="20"/>
                <w:szCs w:val="20"/>
              </w:rPr>
            </w:r>
            <w:r/>
          </w:p>
        </w:tc>
        <w:tc>
          <w:tcPr>
            <w:shd w:val="clear" w:color="auto" w:fill="auto"/>
            <w:tcW w:w="5615" w:type="dxa"/>
            <w:textDirection w:val="lrTb"/>
            <w:noWrap w:val="false"/>
          </w:tcPr>
          <w:p>
            <w:pPr>
              <w:ind w:right="66"/>
              <w:spacing w:before="65"/>
              <w:rPr>
                <w:rFonts w:ascii="宋体" w:hAnsi="宋体" w:cs="宋体"/>
                <w:color w:val="000000"/>
                <w:sz w:val="20"/>
                <w:szCs w:val="20"/>
              </w:rPr>
            </w:pPr>
            <w:r>
              <w:rPr>
                <w:rFonts w:hint="eastAsia" w:ascii="宋体" w:hAnsi="宋体" w:cs="宋体"/>
                <w:color w:val="000000"/>
                <w:sz w:val="20"/>
                <w:szCs w:val="20"/>
              </w:rPr>
              <w:t xml:space="preserve">通过可视化配置，无需二次开发即可灵活对接医院各类消息平台。系统自动记录每条消息的发送内容、目标、状态及时间戳，并提供完整的发送日志查询。对于发送失败的消息，支持一键或定时自动二次推送，确保关键审方提醒、干预通知、预警信息等可靠触达，提升临床沟通效率。</w:t>
            </w:r>
            <w:r/>
          </w:p>
        </w:tc>
      </w:tr>
      <w:tr>
        <w:trPr>
          <w:trHeight w:val="293"/>
        </w:trPr>
        <w:tc>
          <w:tcPr>
            <w:shd w:val="clear" w:color="auto" w:fill="auto"/>
            <w:tcW w:w="1663" w:type="dxa"/>
            <w:textDirection w:val="lrTb"/>
            <w:noWrap w:val="false"/>
          </w:tcPr>
          <w:p>
            <w:pPr>
              <w:jc w:val="center"/>
              <w:rPr>
                <w:rFonts w:ascii="宋体" w:hAnsi="宋体" w:cs="宋体"/>
                <w:spacing w:val="8"/>
                <w:sz w:val="20"/>
                <w:szCs w:val="20"/>
              </w:rPr>
            </w:pPr>
            <w:r>
              <w:rPr>
                <w:rFonts w:hint="eastAsia" w:ascii="宋体" w:hAnsi="宋体" w:cs="宋体"/>
                <w:color w:val="000000"/>
                <w:sz w:val="20"/>
                <w:szCs w:val="20"/>
              </w:rPr>
              <w:t xml:space="preserve">▲</w:t>
            </w:r>
            <w:r>
              <w:rPr>
                <w:rFonts w:hint="eastAsia" w:ascii="宋体" w:hAnsi="宋体" w:cs="宋体"/>
                <w:spacing w:val="8"/>
                <w:sz w:val="20"/>
                <w:szCs w:val="20"/>
              </w:rPr>
              <w:t xml:space="preserve">微服务架构</w:t>
            </w:r>
            <w:r/>
          </w:p>
        </w:tc>
        <w:tc>
          <w:tcPr>
            <w:shd w:val="clear" w:color="auto" w:fill="auto"/>
            <w:tcW w:w="1822" w:type="dxa"/>
            <w:textDirection w:val="lrTb"/>
            <w:noWrap w:val="false"/>
          </w:tcPr>
          <w:p>
            <w:pPr>
              <w:ind w:right="66"/>
              <w:spacing w:before="65"/>
              <w:rPr>
                <w:rFonts w:ascii="宋体" w:hAnsi="宋体" w:cs="宋体"/>
                <w:spacing w:val="8"/>
                <w:sz w:val="20"/>
                <w:szCs w:val="20"/>
              </w:rPr>
            </w:pPr>
            <w:r>
              <w:rPr>
                <w:rFonts w:ascii="宋体" w:hAnsi="宋体" w:cs="宋体"/>
                <w:spacing w:val="8"/>
                <w:sz w:val="20"/>
                <w:szCs w:val="20"/>
              </w:rPr>
            </w:r>
            <w:r/>
          </w:p>
        </w:tc>
        <w:tc>
          <w:tcPr>
            <w:shd w:val="clear" w:color="auto" w:fill="auto"/>
            <w:tcW w:w="5615" w:type="dxa"/>
            <w:textDirection w:val="lrTb"/>
            <w:noWrap w:val="false"/>
          </w:tcPr>
          <w:p>
            <w:pPr>
              <w:ind w:right="66"/>
              <w:spacing w:before="65"/>
              <w:rPr>
                <w:rFonts w:ascii="宋体" w:hAnsi="宋体" w:cs="宋体"/>
                <w:color w:val="000000"/>
                <w:sz w:val="20"/>
                <w:szCs w:val="20"/>
              </w:rPr>
            </w:pPr>
            <w:r>
              <w:rPr>
                <w:rFonts w:hint="eastAsia" w:ascii="宋体" w:hAnsi="宋体" w:cs="宋体"/>
                <w:color w:val="000000"/>
                <w:sz w:val="20"/>
                <w:szCs w:val="20"/>
              </w:rPr>
              <w:t xml:space="preserve">系统由一系列可独立部署、扩展的前后端分离微服务组成，包括用户认证服务、规则引擎服务、审方计算服务、点评分析服务、数据报表服务、消息通知服务、接口网关服务等。服务层是实现业务逻辑复用的关键，支持高并发访问和快速迭代升级。</w:t>
            </w:r>
            <w:r/>
          </w:p>
        </w:tc>
      </w:tr>
      <w:tr>
        <w:trPr>
          <w:trHeight w:val="293"/>
        </w:trPr>
        <w:tc>
          <w:tcPr>
            <w:shd w:val="clear" w:color="auto" w:fill="auto"/>
            <w:tcW w:w="1663" w:type="dxa"/>
            <w:textDirection w:val="lrTb"/>
            <w:noWrap w:val="false"/>
          </w:tcPr>
          <w:p>
            <w:pPr>
              <w:jc w:val="center"/>
              <w:rPr>
                <w:rFonts w:ascii="宋体" w:hAnsi="宋体" w:cs="宋体"/>
                <w:spacing w:val="8"/>
                <w:sz w:val="20"/>
                <w:szCs w:val="20"/>
              </w:rPr>
            </w:pPr>
            <w:r>
              <w:rPr>
                <w:rFonts w:hint="eastAsia" w:ascii="宋体" w:hAnsi="宋体" w:cs="宋体"/>
                <w:color w:val="000000"/>
                <w:sz w:val="20"/>
                <w:szCs w:val="20"/>
              </w:rPr>
              <w:t xml:space="preserve">▲</w:t>
            </w:r>
            <w:r>
              <w:rPr>
                <w:rFonts w:hint="eastAsia" w:ascii="宋体" w:hAnsi="宋体" w:cs="宋体"/>
                <w:spacing w:val="8"/>
                <w:sz w:val="20"/>
                <w:szCs w:val="20"/>
              </w:rPr>
              <w:t xml:space="preserve">系统管理</w:t>
            </w:r>
            <w:r/>
          </w:p>
        </w:tc>
        <w:tc>
          <w:tcPr>
            <w:shd w:val="clear" w:color="auto" w:fill="auto"/>
            <w:tcW w:w="1822" w:type="dxa"/>
            <w:textDirection w:val="lrTb"/>
            <w:noWrap w:val="false"/>
          </w:tcPr>
          <w:p>
            <w:pPr>
              <w:ind w:right="66"/>
              <w:spacing w:before="65"/>
              <w:rPr>
                <w:rFonts w:ascii="宋体" w:hAnsi="宋体" w:cs="宋体"/>
                <w:spacing w:val="8"/>
                <w:sz w:val="20"/>
                <w:szCs w:val="20"/>
              </w:rPr>
            </w:pPr>
            <w:r>
              <w:rPr>
                <w:rFonts w:ascii="宋体" w:hAnsi="宋体" w:cs="宋体"/>
                <w:spacing w:val="8"/>
                <w:sz w:val="20"/>
                <w:szCs w:val="20"/>
              </w:rPr>
            </w:r>
            <w:r/>
          </w:p>
        </w:tc>
        <w:tc>
          <w:tcPr>
            <w:shd w:val="clear" w:color="auto" w:fill="auto"/>
            <w:tcW w:w="5615" w:type="dxa"/>
            <w:textDirection w:val="lrTb"/>
            <w:noWrap w:val="false"/>
          </w:tcPr>
          <w:p>
            <w:pPr>
              <w:ind w:right="66"/>
              <w:spacing w:before="65"/>
              <w:rPr>
                <w:rFonts w:ascii="宋体" w:hAnsi="宋体" w:cs="宋体"/>
                <w:color w:val="000000"/>
                <w:sz w:val="20"/>
                <w:szCs w:val="20"/>
              </w:rPr>
            </w:pPr>
            <w:r>
              <w:rPr>
                <w:rFonts w:hint="eastAsia" w:ascii="宋体" w:hAnsi="宋体" w:cs="宋体"/>
                <w:color w:val="000000"/>
                <w:sz w:val="20"/>
                <w:szCs w:val="20"/>
              </w:rPr>
              <w:t xml:space="preserve">支持对系统权限进行双维度精细化控制：</w:t>
            </w:r>
            <w:r/>
          </w:p>
          <w:p>
            <w:pPr>
              <w:ind w:right="66"/>
              <w:spacing w:before="65"/>
              <w:rPr>
                <w:rFonts w:ascii="宋体" w:hAnsi="宋体" w:cs="宋体"/>
                <w:color w:val="000000"/>
                <w:sz w:val="20"/>
                <w:szCs w:val="20"/>
              </w:rPr>
            </w:pPr>
            <w:r>
              <w:rPr>
                <w:rFonts w:hint="eastAsia" w:ascii="宋体" w:hAnsi="宋体" w:cs="宋体"/>
                <w:color w:val="000000"/>
                <w:sz w:val="20"/>
                <w:szCs w:val="20"/>
              </w:rPr>
              <w:t xml:space="preserve">数据权限：按用户分配可见/可操作的院区数据范围，将用户关联至具体院区，并继承其数据权限策略。</w:t>
            </w:r>
            <w:r/>
          </w:p>
          <w:p>
            <w:pPr>
              <w:ind w:right="66"/>
              <w:jc w:val="left"/>
              <w:spacing w:before="65"/>
              <w:rPr>
                <w:rFonts w:ascii="宋体" w:hAnsi="宋体" w:cs="宋体"/>
                <w:color w:val="000000"/>
                <w:sz w:val="20"/>
                <w:szCs w:val="20"/>
              </w:rPr>
            </w:pPr>
            <w:r>
              <w:rPr>
                <w:rFonts w:hint="eastAsia" w:ascii="宋体" w:hAnsi="宋体" w:cs="宋体"/>
                <w:color w:val="000000"/>
                <w:sz w:val="20"/>
                <w:szCs w:val="20"/>
              </w:rPr>
              <w:t xml:space="preserve">功能权限：基于角色配置菜单、页面及按钮级操作权限（如新增、导出、审核），确保最小权限原则。</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权限策略集中管理、实时生效，满足医院多院区、多部门、多岗位的安全合规与业务隔离需求。</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三、商务要求</w:t>
      </w:r>
      <w:r/>
    </w:p>
    <w:p>
      <w:pPr>
        <w:spacing w:line="360" w:lineRule="auto"/>
        <w:rPr>
          <w:rFonts w:ascii="宋体" w:hAnsi="宋体" w:cs="宋体"/>
          <w:b/>
          <w:bCs/>
          <w:color w:val="000000"/>
          <w:sz w:val="24"/>
          <w:szCs w:val="24"/>
        </w:rPr>
      </w:pPr>
      <w:r>
        <w:rPr>
          <w:rFonts w:hint="eastAsia" w:ascii="宋体" w:hAnsi="宋体" w:cs="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color w:val="000000"/>
          <w:sz w:val="24"/>
          <w:szCs w:val="24"/>
          <w:u w:val="single"/>
        </w:rPr>
        <w:t xml:space="preserve">斜体且有下划线部分</w:t>
      </w:r>
      <w:r>
        <w:rPr>
          <w:rFonts w:hint="eastAsia" w:ascii="宋体" w:hAnsi="宋体" w:cs="宋体"/>
          <w:b/>
          <w:bCs/>
          <w:color w:val="000000"/>
          <w:sz w:val="24"/>
          <w:szCs w:val="24"/>
        </w:rPr>
        <w:t xml:space="preserve">或加*号条款为实质性要求。</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1、质保期满后每年维护费最高不得超过软件成交价的</w:t>
      </w:r>
      <w:r>
        <w:rPr>
          <w:rFonts w:ascii="宋体" w:hAnsi="宋体" w:cs="宋体"/>
          <w:b/>
          <w:bCs/>
          <w:i/>
          <w:iCs/>
          <w:sz w:val="24"/>
          <w:szCs w:val="24"/>
          <w:u w:val="single"/>
        </w:rPr>
        <w:t xml:space="preserve">8%</w:t>
      </w:r>
      <w:r>
        <w:rPr>
          <w:rFonts w:hint="eastAsia"/>
          <w:b/>
          <w:bCs/>
          <w:i/>
          <w:iCs/>
          <w:sz w:val="24"/>
          <w:szCs w:val="24"/>
          <w:u w:val="single"/>
        </w:rPr>
        <w:t xml:space="preserve">，</w:t>
      </w:r>
      <w:r>
        <w:rPr>
          <w:rFonts w:hint="eastAsia" w:ascii="宋体" w:hAnsi="宋体" w:cs="宋体"/>
          <w:b/>
          <w:bCs/>
          <w:i/>
          <w:iCs/>
          <w:sz w:val="24"/>
          <w:szCs w:val="24"/>
          <w:u w:val="single"/>
        </w:rPr>
        <w:t xml:space="preserve">最终收取费率在签订维护费合同时商谈。</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2、后续有软件需要接入本系统，按医院要求免费开放接口，不再收取接口费。</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3、按科室要求，免费接入医院现有软件系统包括但不限于HIS、静配系统等。</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4、</w:t>
      </w:r>
      <w:r>
        <w:rPr>
          <w:rFonts w:ascii="宋体" w:hAnsi="宋体" w:cs="宋体"/>
          <w:b/>
          <w:bCs/>
          <w:i/>
          <w:iCs/>
          <w:sz w:val="24"/>
          <w:szCs w:val="24"/>
          <w:u w:val="single"/>
        </w:rPr>
        <w:t xml:space="preserve">考虑项目复杂性，投标人需为本项目提供专业服务团队，</w:t>
      </w:r>
      <w:r>
        <w:rPr>
          <w:rFonts w:hint="eastAsia" w:ascii="宋体" w:hAnsi="宋体" w:cs="宋体"/>
          <w:b/>
          <w:bCs/>
          <w:i/>
          <w:iCs/>
          <w:sz w:val="24"/>
          <w:szCs w:val="24"/>
          <w:u w:val="single"/>
        </w:rPr>
        <w:t xml:space="preserve">团队</w:t>
      </w:r>
      <w:r>
        <w:rPr>
          <w:rFonts w:ascii="宋体" w:hAnsi="宋体" w:cs="宋体"/>
          <w:b/>
          <w:bCs/>
          <w:i/>
          <w:iCs/>
          <w:sz w:val="24"/>
          <w:szCs w:val="24"/>
          <w:u w:val="single"/>
        </w:rPr>
        <w:t xml:space="preserve">成员</w:t>
      </w:r>
      <w:r>
        <w:rPr>
          <w:rFonts w:hint="eastAsia" w:ascii="宋体" w:hAnsi="宋体" w:cs="宋体"/>
          <w:b/>
          <w:bCs/>
          <w:i/>
          <w:iCs/>
          <w:sz w:val="24"/>
          <w:szCs w:val="24"/>
          <w:u w:val="single"/>
        </w:rPr>
        <w:t xml:space="preserve">不少于3人。</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5、交货安装调试完成时间：合同签订后90天内完成安装、调试。</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6、交货安装调试地点：南通市海门区中医院指定地点。</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7、质保期：大于等于1年。</w:t>
      </w:r>
      <w:r/>
    </w:p>
    <w:p>
      <w:pPr>
        <w:ind w:firstLine="240"/>
        <w:spacing w:line="500" w:lineRule="exact"/>
        <w:rPr>
          <w:rFonts w:ascii="宋体" w:hAnsi="宋体" w:cs="宋体"/>
          <w:b/>
          <w:bCs/>
          <w:i/>
          <w:sz w:val="24"/>
          <w:szCs w:val="24"/>
          <w:u w:val="single"/>
        </w:rPr>
      </w:pPr>
      <w:r>
        <w:rPr>
          <w:rFonts w:hint="eastAsia" w:ascii="宋体" w:hAnsi="宋体" w:cs="宋体"/>
          <w:b/>
          <w:bCs/>
          <w:i/>
          <w:iCs/>
          <w:sz w:val="24"/>
          <w:szCs w:val="24"/>
          <w:u w:val="single"/>
        </w:rPr>
        <w:t xml:space="preserve">8、培训及售后服务：</w:t>
      </w:r>
      <w:r/>
    </w:p>
    <w:p>
      <w:pPr>
        <w:spacing w:line="500" w:lineRule="exact"/>
        <w:rPr>
          <w:rFonts w:ascii="宋体" w:hAnsi="宋体" w:cs="宋体"/>
          <w:b/>
          <w:bCs/>
          <w:i/>
          <w:sz w:val="24"/>
          <w:szCs w:val="24"/>
          <w:u w:val="single"/>
        </w:rPr>
      </w:pPr>
      <w:r>
        <w:rPr>
          <w:rFonts w:ascii="宋体" w:hAnsi="宋体" w:cs="宋体"/>
          <w:b/>
          <w:bCs/>
          <w:i/>
          <w:iCs/>
          <w:sz w:val="24"/>
          <w:szCs w:val="24"/>
          <w:u w:val="single"/>
        </w:rPr>
        <w:t xml:space="preserve">8</w:t>
      </w:r>
      <w:r>
        <w:rPr>
          <w:rFonts w:hint="eastAsia" w:ascii="宋体" w:hAnsi="宋体" w:cs="宋体"/>
          <w:b/>
          <w:bCs/>
          <w:i/>
          <w:iCs/>
          <w:sz w:val="24"/>
          <w:szCs w:val="24"/>
          <w:u w:val="single"/>
        </w:rPr>
        <w:t xml:space="preserve">.1服务期内提供7×24小时服务，运行期间如有问题，一般障碍1小时内做出响应，2小时内应派专业技术人员到达现场提供免费咨询、维修服务，重大障碍 4 小时内解决；若未能在规定的时间内进行现场响应和解决问题的，用户采取一切措施所产生的费用和风险由供应商承担。投标人需提供售后服务方案。售后服务方案内容至少应包括现场服务、定期巡检、故障服务等内容。</w:t>
      </w:r>
      <w:r/>
    </w:p>
    <w:p>
      <w:pPr>
        <w:spacing w:line="500" w:lineRule="exact"/>
        <w:rPr>
          <w:rFonts w:ascii="宋体" w:hAnsi="宋体" w:cs="宋体"/>
          <w:b/>
          <w:bCs/>
          <w:i/>
          <w:sz w:val="24"/>
          <w:szCs w:val="24"/>
          <w:u w:val="single"/>
        </w:rPr>
      </w:pPr>
      <w:r>
        <w:rPr>
          <w:rFonts w:ascii="宋体" w:hAnsi="宋体" w:cs="宋体"/>
          <w:b/>
          <w:bCs/>
          <w:i/>
          <w:iCs/>
          <w:sz w:val="24"/>
          <w:szCs w:val="24"/>
          <w:u w:val="single"/>
        </w:rPr>
        <w:t xml:space="preserve">8</w:t>
      </w:r>
      <w:r>
        <w:rPr>
          <w:rFonts w:hint="eastAsia" w:ascii="宋体" w:hAnsi="宋体" w:cs="宋体"/>
          <w:b/>
          <w:bCs/>
          <w:i/>
          <w:iCs/>
          <w:sz w:val="24"/>
          <w:szCs w:val="24"/>
          <w:u w:val="single"/>
        </w:rPr>
        <w:t xml:space="preserve">.2投标人负责完成设备安装、调试、运行和验收交付等工作。投标人应提供详细、可行的项目实施及应急处理方案，并根据项目进度详细列出各个阶段采购人需要配合的内容。</w:t>
      </w:r>
      <w:r/>
    </w:p>
    <w:p>
      <w:pPr>
        <w:spacing w:line="500" w:lineRule="exact"/>
        <w:rPr>
          <w:rFonts w:ascii="宋体" w:hAnsi="宋体" w:cs="宋体"/>
          <w:b/>
          <w:bCs/>
          <w:i/>
          <w:sz w:val="24"/>
          <w:szCs w:val="24"/>
          <w:u w:val="single"/>
        </w:rPr>
      </w:pPr>
      <w:r>
        <w:rPr>
          <w:rFonts w:ascii="宋体" w:hAnsi="宋体" w:cs="宋体"/>
          <w:b/>
          <w:bCs/>
          <w:i/>
          <w:iCs/>
          <w:sz w:val="24"/>
          <w:szCs w:val="24"/>
          <w:u w:val="single"/>
        </w:rPr>
        <w:t xml:space="preserve">8</w:t>
      </w:r>
      <w:r>
        <w:rPr>
          <w:rFonts w:hint="eastAsia" w:ascii="宋体" w:hAnsi="宋体" w:cs="宋体"/>
          <w:b/>
          <w:bCs/>
          <w:i/>
          <w:iCs/>
          <w:sz w:val="24"/>
          <w:szCs w:val="24"/>
          <w:u w:val="single"/>
        </w:rPr>
        <w:t xml:space="preserve">.3投标人应提供培训计划（包括临床使用培训，工程师维护培训），培训内容为本系统操作及常见问题处理，确保临床人员具备独立工作的能力。</w:t>
      </w:r>
      <w:r/>
    </w:p>
    <w:p>
      <w:pPr>
        <w:spacing w:line="500" w:lineRule="exact"/>
        <w:rPr>
          <w:rFonts w:ascii="宋体" w:hAnsi="宋体" w:cs="宋体"/>
          <w:b/>
          <w:bCs/>
          <w:i/>
          <w:sz w:val="24"/>
          <w:szCs w:val="24"/>
          <w:u w:val="single"/>
        </w:rPr>
      </w:pPr>
      <w:r>
        <w:rPr>
          <w:rFonts w:ascii="宋体" w:hAnsi="宋体" w:cs="宋体"/>
          <w:b/>
          <w:bCs/>
          <w:i/>
          <w:iCs/>
          <w:sz w:val="24"/>
          <w:szCs w:val="24"/>
          <w:u w:val="single"/>
        </w:rPr>
        <w:t xml:space="preserve">8</w:t>
      </w:r>
      <w:r>
        <w:rPr>
          <w:rFonts w:hint="eastAsia" w:ascii="宋体" w:hAnsi="宋体" w:cs="宋体"/>
          <w:b/>
          <w:bCs/>
          <w:i/>
          <w:iCs/>
          <w:sz w:val="24"/>
          <w:szCs w:val="24"/>
          <w:u w:val="single"/>
        </w:rPr>
        <w:t xml:space="preserve">.4验收：严格根据采购文件、投标文件以及国家相关规定、标准进行验收，在规定期限内提供服务，且完全满足采购文件商务要求。</w:t>
      </w:r>
      <w:r/>
    </w:p>
    <w:p>
      <w:pPr>
        <w:pStyle w:val="892"/>
        <w:ind w:firstLine="0"/>
        <w:spacing w:line="500" w:lineRule="exact"/>
        <w:rPr>
          <w:rFonts w:ascii="宋体" w:hAnsi="宋体" w:eastAsia="宋体" w:cs="宋体"/>
          <w:b/>
          <w:bCs/>
          <w:i/>
          <w:sz w:val="24"/>
          <w:szCs w:val="24"/>
          <w:u w:val="single"/>
        </w:rPr>
      </w:pPr>
      <w:r>
        <w:rPr>
          <w:rFonts w:ascii="宋体" w:hAnsi="宋体" w:eastAsia="宋体" w:cs="宋体"/>
          <w:b/>
          <w:bCs/>
          <w:i/>
          <w:iCs/>
          <w:sz w:val="24"/>
          <w:szCs w:val="24"/>
          <w:u w:val="single"/>
        </w:rPr>
        <w:t xml:space="preserve">8</w:t>
      </w:r>
      <w:r>
        <w:rPr>
          <w:rFonts w:hint="eastAsia" w:ascii="宋体" w:hAnsi="宋体" w:eastAsia="宋体" w:cs="宋体"/>
          <w:b/>
          <w:bCs/>
          <w:i/>
          <w:iCs/>
          <w:sz w:val="24"/>
          <w:szCs w:val="24"/>
          <w:u w:val="single"/>
        </w:rPr>
        <w:t xml:space="preserve">.5按科室要求，免费接入医院现有软件系统包括但不限于HIS、静配系统等</w:t>
      </w:r>
      <w:r/>
    </w:p>
    <w:p>
      <w:pPr>
        <w:spacing w:line="500" w:lineRule="exact"/>
        <w:rPr>
          <w:rFonts w:ascii="宋体" w:hAnsi="宋体" w:cs="宋体"/>
          <w:i/>
          <w:sz w:val="24"/>
          <w:szCs w:val="24"/>
          <w:u w:val="single"/>
        </w:rPr>
      </w:pPr>
      <w:r>
        <w:rPr>
          <w:rFonts w:hint="eastAsia" w:ascii="宋体" w:hAnsi="宋体" w:cs="宋体"/>
          <w:b/>
          <w:bCs/>
          <w:i/>
          <w:iCs/>
          <w:sz w:val="24"/>
          <w:szCs w:val="24"/>
          <w:u w:val="single"/>
        </w:rPr>
        <w:t xml:space="preserve">9、付款方式：验收合格后一年内支付合同总价的90%，余款验收合格满一年后付清。</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四、其他要求</w:t>
      </w:r>
      <w:r/>
    </w:p>
    <w:p>
      <w:pPr>
        <w:spacing w:line="360" w:lineRule="auto"/>
        <w:rPr>
          <w:rFonts w:ascii="宋体" w:hAnsi="宋体" w:cs="宋体"/>
          <w:color w:val="0000ff"/>
          <w:sz w:val="24"/>
          <w:szCs w:val="24"/>
        </w:rPr>
      </w:pPr>
      <w:r>
        <w:rPr>
          <w:rFonts w:hint="eastAsia" w:ascii="宋体" w:hAnsi="宋体" w:cs="宋体"/>
          <w:color w:val="000000"/>
          <w:sz w:val="24"/>
          <w:szCs w:val="24"/>
        </w:rPr>
        <w:t xml:space="preserve">1. 项目属性:服务类项目。</w:t>
      </w:r>
      <w:r/>
    </w:p>
    <w:p>
      <w:pPr>
        <w:spacing w:line="360" w:lineRule="auto"/>
        <w:rPr>
          <w:rFonts w:ascii="宋体" w:hAnsi="宋体" w:cs="宋体"/>
          <w:sz w:val="24"/>
          <w:szCs w:val="24"/>
        </w:rPr>
      </w:pPr>
      <w:r>
        <w:rPr>
          <w:rFonts w:hint="eastAsia" w:ascii="宋体" w:hAnsi="宋体" w:cs="宋体"/>
          <w:sz w:val="24"/>
          <w:szCs w:val="24"/>
        </w:rPr>
        <w:t xml:space="preserve">2．不接受进口产品参与投标。</w:t>
      </w:r>
      <w:r/>
    </w:p>
    <w:p>
      <w:pPr>
        <w:rPr>
          <w:rFonts w:ascii="黑体" w:eastAsia="黑体"/>
          <w:color w:val="000000"/>
          <w:sz w:val="44"/>
          <w:szCs w:val="44"/>
        </w:rPr>
        <w:outlineLvl w:val="0"/>
      </w:pPr>
      <w:r>
        <w:rPr>
          <w:rFonts w:hint="eastAsia" w:ascii="黑体" w:eastAsia="黑体"/>
          <w:b/>
          <w:bCs/>
          <w:color w:val="000000"/>
          <w:sz w:val="44"/>
          <w:szCs w:val="28"/>
        </w:rPr>
        <w:br w:type="page" w:clear="all"/>
      </w:r>
      <w:r/>
    </w:p>
    <w:p>
      <w:pPr>
        <w:jc w:val="center"/>
        <w:keepNext/>
        <w:rPr>
          <w:rFonts w:ascii="黑体" w:eastAsia="黑体"/>
          <w:b/>
          <w:bCs/>
          <w:color w:val="000000"/>
          <w:sz w:val="44"/>
          <w:szCs w:val="44"/>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360" w:lineRule="auto"/>
        <w:rPr>
          <w:rFonts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p>
    <w:tbl>
      <w:tblPr>
        <w:tblStyle w:val="671"/>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采购包号</w:t>
            </w:r>
            <w:r/>
          </w:p>
        </w:tc>
        <w:tc>
          <w:tcPr>
            <w:tcW w:w="16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选取中标候选人数量</w:t>
            </w:r>
            <w:r/>
          </w:p>
        </w:tc>
        <w:tc>
          <w:tcPr>
            <w:tcW w:w="61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选取中标候选人的原则</w:t>
            </w:r>
            <w:r/>
          </w:p>
        </w:tc>
      </w:tr>
      <w:tr>
        <w:trPr/>
        <w:tc>
          <w:tcPr>
            <w:tcW w:w="11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6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6112"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ascii="宋体" w:hAnsi="宋体" w:cs="宋体"/>
          <w:sz w:val="24"/>
          <w:szCs w:val="24"/>
          <w:highlight w:val="yellow"/>
        </w:rPr>
      </w:pPr>
      <w:r>
        <w:rPr>
          <w:rFonts w:hint="eastAsia" w:ascii="宋体" w:hAnsi="宋体" w:cs="宋体"/>
          <w:b/>
          <w:sz w:val="24"/>
          <w:szCs w:val="24"/>
        </w:rPr>
        <w:t xml:space="preserve">政府采购政策功能落实</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专门面向中小企业采购的项目或者采购包，不再执行价格评审优惠的扶持政策。</w:t>
      </w:r>
      <w:r/>
    </w:p>
    <w:p>
      <w:pPr>
        <w:ind w:firstLine="480"/>
        <w:jc w:val="left"/>
        <w:spacing w:line="360" w:lineRule="auto"/>
        <w:rPr>
          <w:rFonts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p>
    <w:p>
      <w:pPr>
        <w:ind w:firstLine="440"/>
        <w:spacing w:line="360" w:lineRule="auto"/>
        <w:rPr>
          <w:rFonts w:ascii="宋体" w:hAnsi="宋体"/>
          <w:b/>
          <w:bCs/>
          <w:sz w:val="24"/>
          <w:szCs w:val="32"/>
        </w:rPr>
      </w:pPr>
      <w:r>
        <w:rPr>
          <w:rFonts w:hint="eastAsia" w:ascii="宋体" w:hAnsi="宋体" w:cs="宋体"/>
          <w:b/>
          <w:bCs/>
          <w:sz w:val="22"/>
          <w:szCs w:val="24"/>
        </w:rPr>
        <w:t xml:space="preserve">下列序号（9-10）评分项属于暗标评审项，各投标人（供应商）提供评审材料（含样品）中不能出现投标人（供应商）的名称、标志、标记以及其它能够体现投标人（供应商）的信息，否则所有暗标评审项目均不得分。</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883"/>
        <w:gridCol w:w="938"/>
        <w:gridCol w:w="6006"/>
      </w:tblGrid>
      <w:tr>
        <w:trPr>
          <w:jc w:val="center"/>
        </w:trPr>
        <w:tc>
          <w:tcPr>
            <w:tcW w:w="802" w:type="dxa"/>
            <w:textDirection w:val="lrTb"/>
            <w:noWrap w:val="false"/>
          </w:tcPr>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序号</w:t>
            </w:r>
            <w:r/>
          </w:p>
        </w:tc>
        <w:tc>
          <w:tcPr>
            <w:tcW w:w="1883" w:type="dxa"/>
            <w:textDirection w:val="lrTb"/>
            <w:noWrap w:val="false"/>
          </w:tcPr>
          <w:p>
            <w:pPr>
              <w:ind w:firstLine="424"/>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评分项名称</w:t>
            </w:r>
            <w:r/>
          </w:p>
        </w:tc>
        <w:tc>
          <w:tcPr>
            <w:tcW w:w="938" w:type="dxa"/>
            <w:textDirection w:val="lrTb"/>
            <w:noWrap w:val="false"/>
          </w:tcPr>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分值</w:t>
            </w:r>
            <w:r/>
          </w:p>
        </w:tc>
        <w:tc>
          <w:tcPr>
            <w:tcW w:w="6006" w:type="dxa"/>
            <w:textDirection w:val="lrTb"/>
            <w:noWrap w:val="false"/>
          </w:tcPr>
          <w:p>
            <w:pPr>
              <w:ind w:firstLine="424"/>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评审标准</w:t>
            </w:r>
            <w:r/>
          </w:p>
        </w:tc>
      </w:tr>
      <w:tr>
        <w:trPr>
          <w:jc w:val="center"/>
        </w:trPr>
        <w:tc>
          <w:tcPr>
            <w:tcW w:w="802"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w:t>
            </w:r>
            <w:r/>
          </w:p>
        </w:tc>
        <w:tc>
          <w:tcPr>
            <w:tcW w:w="1883"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价格分</w:t>
            </w:r>
            <w:r/>
          </w:p>
        </w:tc>
        <w:tc>
          <w:tcPr>
            <w:tcW w:w="9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30</w:t>
            </w:r>
            <w:r/>
          </w:p>
        </w:tc>
        <w:tc>
          <w:tcPr>
            <w:tcW w:w="6006" w:type="dxa"/>
            <w:vAlign w:val="center"/>
            <w:textDirection w:val="lrTb"/>
            <w:noWrap w:val="false"/>
          </w:tcPr>
          <w:p>
            <w:pPr>
              <w:ind w:firstLine="480"/>
              <w:jc w:val="left"/>
              <w:rPr>
                <w:rFonts w:ascii="宋体" w:hAnsi="宋体" w:cs="宋体"/>
                <w:color w:val="000000"/>
                <w:sz w:val="24"/>
                <w:szCs w:val="24"/>
                <w:lang w:val="zh-CN"/>
              </w:rPr>
            </w:pPr>
            <w:r>
              <w:rPr>
                <w:rFonts w:hint="eastAsia" w:ascii="宋体" w:hAnsi="宋体" w:cs="宋体"/>
                <w:color w:val="000000"/>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802"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w:t>
            </w:r>
            <w:r/>
          </w:p>
        </w:tc>
        <w:tc>
          <w:tcPr>
            <w:tcW w:w="1883"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color w:val="000000"/>
                <w:sz w:val="24"/>
                <w:szCs w:val="24"/>
                <w:lang w:bidi="ar"/>
              </w:rPr>
              <w:t xml:space="preserve">登记证书</w:t>
            </w:r>
            <w:r/>
          </w:p>
        </w:tc>
        <w:tc>
          <w:tcPr>
            <w:tcW w:w="938"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2</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投标人具有与药事管理相关软件著作权登记证书，提供证书扫描件并加盖公章，每提供一个得 0.5 分，最多得 2 分(以上均需提供证书扫描件并加盖公章)</w:t>
            </w:r>
            <w:r/>
          </w:p>
        </w:tc>
      </w:tr>
      <w:tr>
        <w:trPr>
          <w:jc w:val="center"/>
        </w:trPr>
        <w:tc>
          <w:tcPr>
            <w:tcW w:w="802"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3</w:t>
            </w:r>
            <w:r/>
          </w:p>
        </w:tc>
        <w:tc>
          <w:tcPr>
            <w:tcW w:w="1883" w:type="dxa"/>
            <w:vAlign w:val="center"/>
            <w:textDirection w:val="lrTb"/>
            <w:noWrap w:val="false"/>
          </w:tcPr>
          <w:p>
            <w:pPr>
              <w:jc w:val="center"/>
              <w:rPr>
                <w:rFonts w:ascii="宋体" w:hAnsi="宋体" w:cs="宋体"/>
                <w:color w:val="000000"/>
                <w:spacing w:val="2"/>
                <w:sz w:val="24"/>
                <w:szCs w:val="24"/>
              </w:rPr>
            </w:pPr>
            <w:r>
              <w:rPr>
                <w:rFonts w:hint="eastAsia" w:ascii="宋体" w:hAnsi="宋体" w:cs="宋体"/>
                <w:color w:val="000000"/>
                <w:spacing w:val="2"/>
                <w:sz w:val="24"/>
                <w:szCs w:val="24"/>
              </w:rPr>
              <w:t xml:space="preserve">体系认证证书</w:t>
            </w:r>
            <w:r/>
          </w:p>
        </w:tc>
        <w:tc>
          <w:tcPr>
            <w:tcW w:w="938" w:type="dxa"/>
            <w:vAlign w:val="center"/>
            <w:textDirection w:val="lrTb"/>
            <w:noWrap w:val="false"/>
          </w:tcPr>
          <w:p>
            <w:pPr>
              <w:pStyle w:val="703"/>
              <w:jc w:val="center"/>
              <w:spacing w:before="120" w:beforeAutospacing="0" w:after="120" w:afterAutospacing="0"/>
              <w:rPr>
                <w:strike/>
                <w:color w:val="000000"/>
              </w:rPr>
            </w:pPr>
            <w:r>
              <w:rPr>
                <w:rFonts w:hint="eastAsia"/>
                <w:color w:val="000000"/>
              </w:rPr>
              <w:t xml:space="preserve">2</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投标人具有由国家认证认可监督管理部门批准设立的认证机构颁发并在有效期内的证书 ：</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1)具有GB/T19001-2016/ISO9001质量管理体系认证证书得0.5分，不提供不得分；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2)具有GB/T29494知识产权管理体系认证证书得0.5分，不提供不得分 ；</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3)具有ISO/IEC20000信息技术服务管理体系认证证书得0.5分，不提供不得分；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4)具有ISO/IEC27001信息安全管理体系认证证书得0.5分，不提供不得分 ；</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(以上均需提供证书扫描件和“全国认证认可信息公共服务平台”查询页面截图并加盖公章)</w:t>
            </w:r>
            <w:r/>
          </w:p>
        </w:tc>
      </w:tr>
      <w:tr>
        <w:trPr>
          <w:jc w:val="center"/>
        </w:trPr>
        <w:tc>
          <w:tcPr>
            <w:tcW w:w="80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4</w:t>
            </w:r>
            <w:r/>
          </w:p>
        </w:tc>
        <w:tc>
          <w:tcPr>
            <w:tcW w:w="1883"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企业实力</w:t>
            </w:r>
            <w:r/>
          </w:p>
        </w:tc>
        <w:tc>
          <w:tcPr>
            <w:tcW w:w="938"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2</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考虑项目复杂性，投标人需为本项目提供专业服务团队，团队成员不少于3人，人员配备至少1名药学专业人员2名技术专业人员；</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1)技术人员至少要求有一人持有高级软件开发工程师证，得1分；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2)药学专业人员 1 名，需具备中级及以上资格认证，得1分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3)不能提供证书的，得0分。</w:t>
            </w:r>
            <w:r/>
          </w:p>
          <w:p>
            <w:pPr>
              <w:ind w:firstLine="480"/>
              <w:jc w:val="left"/>
              <w:rPr>
                <w:rFonts w:ascii="宋体" w:hAnsi="宋体" w:cs="宋体"/>
                <w:strike/>
                <w:color w:val="000000"/>
                <w:sz w:val="24"/>
                <w:szCs w:val="24"/>
              </w:rPr>
            </w:pPr>
            <w:r>
              <w:rPr>
                <w:rFonts w:hint="eastAsia" w:ascii="宋体" w:hAnsi="宋体" w:cs="宋体"/>
                <w:color w:val="000000"/>
                <w:sz w:val="24"/>
                <w:szCs w:val="24"/>
                <w:highlight w:val="none"/>
              </w:rPr>
              <w:t xml:space="preserve">需提供人员相关证书扫描件以及</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为其缴纳的投标截止时间前近一个月的养老保险缴费证明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未按要求提供的不得分。</w:t>
            </w:r>
            <w:r/>
          </w:p>
        </w:tc>
      </w:tr>
      <w:tr>
        <w:trPr>
          <w:jc w:val="center"/>
          <w:trHeight w:val="90"/>
        </w:trPr>
        <w:tc>
          <w:tcPr>
            <w:tcW w:w="80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5</w:t>
            </w:r>
            <w:r/>
          </w:p>
        </w:tc>
        <w:tc>
          <w:tcPr>
            <w:tcW w:w="1883"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建设案例</w:t>
            </w:r>
            <w:r/>
          </w:p>
        </w:tc>
        <w:tc>
          <w:tcPr>
            <w:tcW w:w="938"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4</w:t>
            </w:r>
            <w:r/>
          </w:p>
          <w:p>
            <w:pPr>
              <w:pStyle w:val="703"/>
              <w:jc w:val="center"/>
              <w:spacing w:before="120" w:beforeAutospacing="0" w:after="120" w:afterAutospacing="0"/>
              <w:rPr>
                <w:color w:val="000000"/>
              </w:rPr>
            </w:pPr>
            <w:r>
              <w:rPr>
                <w:color w:val="000000"/>
              </w:rPr>
            </w:r>
            <w:r/>
          </w:p>
          <w:p>
            <w:pPr>
              <w:pStyle w:val="703"/>
              <w:jc w:val="center"/>
              <w:spacing w:before="120" w:beforeAutospacing="0" w:after="120" w:afterAutospacing="0"/>
              <w:rPr>
                <w:color w:val="000000"/>
              </w:rPr>
            </w:pPr>
            <w:r>
              <w:rPr>
                <w:color w:val="000000"/>
              </w:rPr>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2023年1月1日以来 ，投标人完成过类似项目业绩，每提供一个案例得1分，最多得4分。（以签订合同协议书时间为准，提供合同扫描件并加盖投标人公章）</w:t>
            </w:r>
            <w:r/>
          </w:p>
        </w:tc>
      </w:tr>
      <w:tr>
        <w:trPr>
          <w:jc w:val="center"/>
        </w:trPr>
        <w:tc>
          <w:tcPr>
            <w:tcW w:w="80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6</w:t>
            </w:r>
            <w:r/>
          </w:p>
        </w:tc>
        <w:tc>
          <w:tcPr>
            <w:tcW w:w="1883"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技术响应</w:t>
            </w:r>
            <w:r/>
          </w:p>
        </w:tc>
        <w:tc>
          <w:tcPr>
            <w:tcW w:w="938"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32</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根据</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对采购需求中的技术参数和质量要求的情况进行综合打分。</w:t>
            </w:r>
            <w:r>
              <w:rPr>
                <w:rFonts w:hint="eastAsia" w:ascii="宋体" w:hAnsi="宋体" w:cs="宋体"/>
                <w:color w:val="000000"/>
                <w:sz w:val="24"/>
                <w:szCs w:val="24"/>
                <w:lang w:eastAsia="zh-CN"/>
              </w:rPr>
              <w:t xml:space="preserve">参数</w:t>
            </w:r>
            <w:r>
              <w:rPr>
                <w:rFonts w:hint="eastAsia" w:ascii="宋体" w:hAnsi="宋体" w:cs="宋体"/>
                <w:color w:val="000000"/>
                <w:sz w:val="24"/>
                <w:szCs w:val="24"/>
              </w:rPr>
              <w:t xml:space="preserve">全部满足或优于招标文件要求的得 32分。关键技术参数中标注 “▲”的为重要功能，每负偏离一项扣2分，扣完为止。要求提供证明文件的须按要求提供，若未提供证明文件或提供的证明文件不能够明确佐证的视为不满足该条技术参数。技术、服务要求中未要求提供相关参数证明材料的，投标人可以不提供。</w:t>
            </w:r>
            <w:r/>
          </w:p>
        </w:tc>
      </w:tr>
      <w:tr>
        <w:trPr>
          <w:jc w:val="center"/>
          <w:trHeight w:val="300"/>
        </w:trPr>
        <w:tc>
          <w:tcPr>
            <w:tcW w:w="80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7</w:t>
            </w:r>
            <w:r/>
          </w:p>
        </w:tc>
        <w:tc>
          <w:tcPr>
            <w:tcW w:w="1883"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系统主要功能截图</w:t>
            </w:r>
            <w:r/>
          </w:p>
        </w:tc>
        <w:tc>
          <w:tcPr>
            <w:tcW w:w="938"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15</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主要功能、业务流程演示满足采购人要求的情况进行计分，计分说明如下: 1）截图画面应清晰可辨，系统界面、文字等内容清晰呈现，无模糊、遮挡、变形等情况。截图清晰度高，无任何视觉干扰问题。 2）每张截图需对展示的功能、业务流程进行准确文字标注，标注内容应清晰阐述截图所呈现的功能要点及操作流程。满足以上要求，得 1分/项，部分满足或不满足计 0 分/项,最高计15分。说明：功能演示录屏截图需按主要功能模块及业务流程顺序编号，并作为投标文件一部分：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（1）跨科室、跨处方点评： 针对同一患者当日由不同科室、不同医生开具的多张处方，自动进行用药合并分析，识别潜在药物相互作用、重复给药及剂量冲突等不合理问题，对其中的用药不合理问题给出自动点评意见。</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(2) 点评项目：基于循证医学规则库，对处方进行多维度用药合理性审核，重点覆盖无适应症用药、禁忌症/慎用症违规、给药途径与用法用量错误、疗程超期、重复给药、药物相互作用风险、配伍禁忌冲突、高危人群用药风险（包括孕产妇/儿童/高龄老人及肝肾功能不全患者），以及抗菌药物与特殊用药权限合规性审查，自动生成结构化点评报告并提供干预建议。</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(3) 专项点评：支持围手术期抗菌药物、中药饮片、抗肿瘤药物及住院患者特殊使用级抗菌药物等专项用药的精细化审核，通过定制化规则库实现针对性用药合理性评估。</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(4) 审方任务查询，实时追踪每张处方/医嘱从进入系统到最终分配药师的路径和详细记录。</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（5）药师创建或修改用药规则后，可基于自定义处方模板（支持设置患者信息、药品、剂量、诊断、过敏史等条件），模拟 HIS 处方数据进行规则触发测试。系统实时返回规则命中结果，帮助药师快速验证规则逻辑准确性，确保规则上线前零风险。</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6）多级药师协同审方，当下级药师在审核中遇不确定处方（如超剂量、严重相互作用等），可一键发起转审请求，填写具体原因并指定药师。系统自动将处方推送至目标药师待办队列，保留原始审核上下文，并全程记录转审路径、原因及处理结果，确保高风险处方由具备相应资质的药师终审。审方任务查询，实时追踪每张处方/医嘱从进入系统到最终分配药师的路径和详细记录。</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7）完整记录事前审核的处方/医嘱在合理用药引擎中的审核全过程。按规则维度清晰展示：哪些规则被触发并执行（含规则名称、类型、审核结果）；哪些规则未执行及其具体原因（如：不适用该药品、患者信息</w:t>
            </w:r>
            <w:bookmarkStart w:id="157" w:name="_GoBack"/>
            <w:r/>
            <w:bookmarkEnd w:id="157"/>
            <w:r>
              <w:rPr>
                <w:rFonts w:hint="eastAsia" w:ascii="宋体" w:hAnsi="宋体" w:cs="宋体"/>
                <w:color w:val="000000"/>
                <w:sz w:val="24"/>
                <w:szCs w:val="24"/>
              </w:rPr>
              <w:t xml:space="preserve">缺失、规则条件不满足、规则已停用等）；支持按院区、患者、处方类别、调用模式等条件筛选，为临床药师复核、系统调优及合规审计提供透明、可追溯的依据。</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t xml:space="preserve">智能消息中继平台</w:t>
            </w:r>
            <w:r>
              <w:rPr>
                <w:rFonts w:hint="eastAsia" w:ascii="宋体" w:hAnsi="宋体" w:cs="宋体"/>
                <w:color w:val="000000"/>
                <w:sz w:val="24"/>
                <w:szCs w:val="24"/>
              </w:rPr>
              <w:t xml:space="preserve">：通过可视化配置，无需二次开发即可灵活对接医院各类消息平台。系统自动记录每条消息的发送内容、目标、状态及时间戳，并提供完整的发送日志查询。对于发送失败的消息，支持一键或定时自动二次推送，确保关键审方提醒、干预通知、预警信息等可靠触达，提升临床沟通效率。</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9）药品日剂量累积规则设置功能模块，利用动态监测技术整合患者多处方药品的24小时总摄入量（覆盖跨科室开药场景），并基于肝肾功能等个体化健康参数，实时拦截超安全阈值的用药行为，为患者提供精准的用药安全保障，有效避免药物毒性叠加风险。</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10）医保规则：医保限定条件智能拦截，如针对特殊人群（如儿童、孕妇、新生儿）或特定病种（如工伤、生育保险）等，系统自动审核药品使用是否符合医保支付条件，不满足条件则触发医保规则警示；医生开具处方时，系统自动校验医保支付费别、限定条件等，并提示替代方案。</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（11）多联用药功能：其功能通过智能规则审查引擎，实现多药品间相互作用与重复用药的多维度审查，同时针对医院管控药品设定联用数量约束。</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12）审方数据汇总功能：基于时间、科室、问题类别、医生和药品分类等维度筛选数据，并统计以下审方指标：累计预审处方/医嘱总数、累计预审问题处方/医嘱总数、累计提交处方/医嘱数量、累计提交的有问题处方/医嘱数量、累计拦截处方数量、医生提交前返回修改处方张数、刚性拦截处方张数、药师干预处方张数、药师干预后医生修改处方张数，以及药师干预成功率，全面反映审方流程质量。</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(13) 提供全院处方问题统计报表，可根据点评结果生成院内所有处方问题分类的统计报表，包括： 问题名称、问题数、 问题占比、问题处方数、 问题处方占比、处方列表；并可按问题类型、药 品名称、科室、医生逐级追溯至最终具体每张处方。医嘱不合格率报告按科室、医生生成医嘱不合格率报表，包含：存在配伍禁忌，重复用药，超剂量用药，用法不适宜，选药不适宜，超疗程用药，越级开毒麻精放等药品汇总。</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（14）多机构全域协同功能：功能模块包括全域药学数</w:t>
            </w:r>
            <w:r>
              <w:rPr>
                <w:rFonts w:hint="eastAsia" w:ascii="宋体" w:hAnsi="宋体" w:cs="宋体"/>
                <w:color w:val="000000"/>
                <w:sz w:val="24"/>
                <w:szCs w:val="24"/>
              </w:rPr>
              <w:t xml:space="preserve">据中枢与智能知识库，建立医共体唯一的药品主数据与药学知识库管理中心。从根本上保证用药规则的统一性和权威性；跨机构协同审方与实时干预体系，支持分级分层审方与远程审方与协同会诊，实现优质药学资源的下沉与高效利用；全景化用药监测与闭环评价管理，功能包括区域处方（医嘱）点评（支持自定义抽样规则）、闭环反馈机制（点评结果与不合理用药问题可通过系统直接反馈给开处方的医师及所在科室）；患者连续性药学服务与安全警戒网络；用药统计分析与全域管理支持，提供多维度、可视化的数据分析平台，动态展示医共体及各成员单位的药品使用情况。</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（15）支持对系统权限进行双维度精细化控制：</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数据权限：按用户分配可见/可操作的院区数据范围，将用户关联至具体院区，并继承其数据权限策略。</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功能权限：基于角色配置菜单、页面及按钮级操作权限（如新增、导出、审核），确保最小权限原则。</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权限策略集中管理、实时生效，满足医院多院区、多部门、多岗位的安全合规与业务隔离需求。</w:t>
            </w:r>
            <w:r/>
          </w:p>
        </w:tc>
      </w:tr>
      <w:tr>
        <w:trPr>
          <w:jc w:val="center"/>
          <w:trHeight w:val="163"/>
        </w:trPr>
        <w:tc>
          <w:tcPr>
            <w:tcW w:w="80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8</w:t>
            </w:r>
            <w:r/>
          </w:p>
        </w:tc>
        <w:tc>
          <w:tcPr>
            <w:tcW w:w="1883"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系统性能</w:t>
            </w:r>
            <w:r/>
          </w:p>
        </w:tc>
        <w:tc>
          <w:tcPr>
            <w:tcW w:w="938"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3</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通过第三方机构系统漏洞扫描测试得3分。须提供测试报告扫描件并加盖公章，未按要求提供不得分。</w:t>
            </w:r>
            <w:r/>
          </w:p>
        </w:tc>
      </w:tr>
      <w:tr>
        <w:trPr>
          <w:jc w:val="center"/>
          <w:trHeight w:val="163"/>
        </w:trPr>
        <w:tc>
          <w:tcPr>
            <w:tcW w:w="80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9</w:t>
            </w:r>
            <w:r/>
          </w:p>
        </w:tc>
        <w:tc>
          <w:tcPr>
            <w:tcW w:w="1883"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实施方案</w:t>
            </w:r>
            <w:r/>
          </w:p>
        </w:tc>
        <w:tc>
          <w:tcPr>
            <w:tcW w:w="938"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5</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提供明确、详尽、完整的项目实施方案，包括安装调试、试运行、测试、验收等内容。根据方案的科学性、合理性和可操作性进行评分。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1.实施方案详实具有可操作性得5分；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2.实施方案不够全面，进度安排、组织架构不够合理，无法完全满足项目要求得3分；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3.实施方案进度安排、组织架构不合理，方案不全面，可操作性差得1分；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4.未提供的不得分。</w:t>
            </w:r>
            <w:r/>
          </w:p>
        </w:tc>
      </w:tr>
      <w:tr>
        <w:trPr>
          <w:jc w:val="center"/>
          <w:trHeight w:val="150"/>
        </w:trPr>
        <w:tc>
          <w:tcPr>
            <w:tcW w:w="80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10</w:t>
            </w:r>
            <w:r/>
          </w:p>
        </w:tc>
        <w:tc>
          <w:tcPr>
            <w:tcW w:w="1883"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售后服务</w:t>
            </w:r>
            <w:r/>
          </w:p>
        </w:tc>
        <w:tc>
          <w:tcPr>
            <w:tcW w:w="938" w:type="dxa"/>
            <w:vAlign w:val="center"/>
            <w:textDirection w:val="lrTb"/>
            <w:noWrap w:val="false"/>
          </w:tcPr>
          <w:p>
            <w:pPr>
              <w:pStyle w:val="703"/>
              <w:jc w:val="center"/>
              <w:spacing w:before="120" w:beforeAutospacing="0" w:after="120" w:afterAutospacing="0"/>
              <w:rPr>
                <w:color w:val="000000"/>
              </w:rPr>
            </w:pPr>
            <w:r>
              <w:rPr>
                <w:rFonts w:hint="eastAsia"/>
                <w:color w:val="000000"/>
              </w:rPr>
              <w:t xml:space="preserve">5</w:t>
            </w:r>
            <w:r/>
          </w:p>
        </w:tc>
        <w:tc>
          <w:tcPr>
            <w:tcW w:w="6006" w:type="dxa"/>
            <w:vAlign w:val="center"/>
            <w:textDirection w:val="lrTb"/>
            <w:noWrap w:val="false"/>
          </w:tcPr>
          <w:p>
            <w:pPr>
              <w:ind w:firstLine="480"/>
              <w:jc w:val="left"/>
              <w:rPr>
                <w:rFonts w:ascii="宋体" w:hAnsi="宋体" w:cs="宋体"/>
                <w:color w:val="000000"/>
                <w:sz w:val="24"/>
                <w:szCs w:val="24"/>
              </w:rPr>
            </w:pPr>
            <w:r>
              <w:rPr>
                <w:rFonts w:hint="eastAsia" w:ascii="宋体" w:hAnsi="宋体" w:cs="宋体"/>
                <w:color w:val="000000"/>
                <w:sz w:val="24"/>
                <w:szCs w:val="24"/>
              </w:rPr>
              <w:t xml:space="preserve">具备完备的售后服务体系，提供售后服务方案包含有:售后服务期限、服务方式、响应时间等。根据方案内容进行评分。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1.售后服务方案全面合理，内容具体、适用性强，可全面满足采购人的售后服务需求5分；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2.售后服务方案较为全面，有基本的服务流程和内容，基本满足采购人的要求得3分；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3.售后服务方案适用性欠缺、不能完全满足采购人的需求得1分；</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4.未提供的不得分。</w:t>
            </w:r>
            <w:r/>
          </w:p>
        </w:tc>
      </w:tr>
    </w:tbl>
    <w:p>
      <w:pPr>
        <w:ind w:firstLine="444"/>
        <w:spacing w:line="360" w:lineRule="auto"/>
        <w:rPr>
          <w:rFonts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ascii="宋体" w:hAnsi="宋体" w:cs="宋体"/>
          <w:b/>
          <w:bCs/>
          <w:sz w:val="22"/>
          <w:szCs w:val="28"/>
          <w:lang w:val="zh-CN"/>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p>
    <w:p>
      <w:pPr>
        <w:jc w:val="center"/>
        <w:spacing w:line="360" w:lineRule="auto"/>
        <w:rPr>
          <w:rFonts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8"/>
      <w:r/>
      <w:bookmarkEnd w:id="149"/>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52" w:name="_Hlt26671244"/>
      <w:r/>
      <w:bookmarkEnd w:id="152"/>
      <w:r/>
      <w:bookmarkStart w:id="153" w:name="_Hlt26955039"/>
      <w:r/>
      <w:bookmarkEnd w:id="153"/>
      <w:r/>
      <w:bookmarkStart w:id="154" w:name="_Toc120614282"/>
      <w:r/>
      <w:bookmarkStart w:id="155" w:name="_Toc26554094"/>
      <w:r/>
      <w:bookmarkStart w:id="156"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80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ascii="宋体" w:hAnsi="宋体"/>
          <w:sz w:val="24"/>
          <w:szCs w:val="21"/>
        </w:rPr>
      </w:pPr>
      <w:r>
        <w:rPr>
          <w:rFonts w:hint="eastAsia" w:ascii="宋体" w:hAnsi="宋体"/>
          <w:sz w:val="24"/>
          <w:szCs w:val="21"/>
        </w:rPr>
        <w:t xml:space="preserve">1.开标一览表（格式见附件1）</w:t>
      </w:r>
      <w:r/>
    </w:p>
    <w:p>
      <w:pPr>
        <w:ind w:left="480"/>
        <w:spacing w:line="360" w:lineRule="auto"/>
        <w:rPr>
          <w:rFonts w:ascii="宋体" w:hAnsi="宋体"/>
          <w:sz w:val="24"/>
          <w:szCs w:val="21"/>
        </w:rPr>
      </w:pPr>
      <w:r>
        <w:rPr>
          <w:rFonts w:hint="eastAsia" w:ascii="宋体" w:hAnsi="宋体"/>
          <w:sz w:val="24"/>
          <w:szCs w:val="21"/>
        </w:rPr>
        <w:t xml:space="preserve">2.法人授权委托书（格式见附件2）</w:t>
      </w:r>
      <w:r/>
    </w:p>
    <w:p>
      <w:pPr>
        <w:ind w:left="480"/>
        <w:spacing w:line="360" w:lineRule="auto"/>
        <w:rPr>
          <w:rFonts w:ascii="宋体" w:hAnsi="宋体"/>
          <w:sz w:val="24"/>
          <w:szCs w:val="21"/>
        </w:rPr>
      </w:pPr>
      <w:r>
        <w:rPr>
          <w:rFonts w:hint="eastAsia" w:ascii="宋体" w:hAnsi="宋体"/>
          <w:sz w:val="24"/>
          <w:szCs w:val="21"/>
        </w:rPr>
        <w:t xml:space="preserve">3.其他需要</w:t>
      </w:r>
      <w:r>
        <w:rPr>
          <w:rFonts w:hint="eastAsia" w:ascii="宋体" w:hAnsi="宋体"/>
          <w:sz w:val="24"/>
          <w:szCs w:val="21"/>
          <w:lang w:val="zh-CN"/>
        </w:rPr>
        <w:t xml:space="preserve">提交的证明材料（如有）</w:t>
      </w:r>
      <w:r/>
    </w:p>
    <w:p>
      <w:pPr>
        <w:ind w:left="480"/>
        <w:spacing w:line="360" w:lineRule="auto"/>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（格式见附件3）</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（格式见附件4）</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5）</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p>
    <w:p>
      <w:pPr>
        <w:ind w:left="480"/>
        <w:spacing w:line="360" w:lineRule="auto"/>
        <w:rPr>
          <w:rFonts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p>
    <w:p>
      <w:pPr>
        <w:ind w:left="480"/>
        <w:spacing w:line="360" w:lineRule="auto"/>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的实质性要求逐条做出响应，并按照招标文件要求提供证明材料，否则作无效响应处理。（格式见附件7）</w:t>
      </w:r>
      <w:r/>
    </w:p>
    <w:p>
      <w:pPr>
        <w:ind w:firstLine="480"/>
        <w:jc w:val="left"/>
        <w:spacing w:line="360" w:lineRule="auto"/>
        <w:rPr>
          <w:rFonts w:ascii="宋体" w:hAnsi="宋体"/>
          <w:b/>
          <w:sz w:val="24"/>
          <w:szCs w:val="24"/>
        </w:rPr>
      </w:pPr>
      <w:r>
        <w:rPr>
          <w:rFonts w:hint="eastAsia" w:ascii="宋体" w:hAnsi="宋体"/>
          <w:b/>
          <w:sz w:val="24"/>
          <w:szCs w:val="24"/>
        </w:rPr>
        <w:t xml:space="preserve">四、根据评审标准须提供的方案、措施、承诺等支撑文件资料</w:t>
      </w:r>
      <w:r/>
    </w:p>
    <w:p>
      <w:pPr>
        <w:ind w:firstLine="480"/>
        <w:spacing w:line="360" w:lineRule="auto"/>
        <w:rPr>
          <w:rFonts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投标人按照评标方法与评审标准提供材料，如评审内容含技术要求和商务要求的，请提供技术要求响应及偏离表和商务要求响应及偏离表（格式见附件8）。</w:t>
      </w:r>
      <w:r/>
    </w:p>
    <w:p>
      <w:pPr>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ascii="宋体" w:hAnsi="宋体"/>
          <w:sz w:val="24"/>
          <w:szCs w:val="21"/>
        </w:rPr>
      </w:pPr>
      <w:r>
        <w:rPr>
          <w:rFonts w:hint="eastAsia" w:ascii="宋体" w:hAnsi="宋体"/>
          <w:sz w:val="24"/>
          <w:szCs w:val="21"/>
        </w:rPr>
        <w:t xml:space="preserve">1.中小企业声明函（格式见附件5）</w:t>
      </w:r>
      <w:r/>
    </w:p>
    <w:p>
      <w:pPr>
        <w:ind w:firstLine="480"/>
        <w:spacing w:line="360" w:lineRule="auto"/>
        <w:rPr>
          <w:rFonts w:ascii="宋体" w:hAnsi="宋体"/>
          <w:sz w:val="24"/>
          <w:szCs w:val="21"/>
        </w:rPr>
      </w:pPr>
      <w:r>
        <w:rPr>
          <w:rFonts w:hint="eastAsia" w:ascii="宋体" w:hAnsi="宋体"/>
          <w:sz w:val="24"/>
          <w:szCs w:val="21"/>
        </w:rPr>
        <w:t xml:space="preserve">2.残疾人福利性单位声明函（格式见附件6）</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p>
    <w:p>
      <w:pPr>
        <w:pStyle w:val="661"/>
        <w:keepNext w:val="0"/>
        <w:widowControl/>
        <w:rPr>
          <w:rFonts w:ascii="宋体" w:hAnsi="宋体" w:eastAsia="宋体" w:cs="宋体"/>
          <w:sz w:val="32"/>
          <w:szCs w:val="32"/>
        </w:rPr>
      </w:pPr>
      <w:r>
        <w:rPr>
          <w:rStyle w:val="710"/>
          <w:rFonts w:hint="eastAsia" w:ascii="宋体" w:hAnsi="宋体" w:eastAsia="宋体" w:cs="宋体"/>
          <w:sz w:val="32"/>
          <w:szCs w:val="32"/>
        </w:rPr>
        <w:t xml:space="preserve">开标一览表</w:t>
      </w:r>
      <w:r/>
    </w:p>
    <w:p>
      <w:pPr>
        <w:pStyle w:val="703"/>
      </w:pPr>
      <w:r>
        <w:t xml:space="preserve">项目编号：</w:t>
      </w:r>
      <w:r/>
    </w:p>
    <w:p>
      <w:pPr>
        <w:pStyle w:val="703"/>
      </w:pPr>
      <w:r>
        <w:t xml:space="preserve">货币单位：人民币元</w:t>
      </w:r>
      <w:r/>
    </w:p>
    <w:p>
      <w:pPr>
        <w:pStyle w:val="703"/>
      </w:pPr>
      <w:r>
        <w:t xml:space="preserve">投标人名称（公章）：</w:t>
      </w:r>
      <w:r/>
    </w:p>
    <w:tbl>
      <w:tblPr>
        <w:tblStyle w:val="671"/>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703"/>
              <w:jc w:val="center"/>
            </w:pPr>
            <w:r>
              <w:t xml:space="preserve">项目名称</w:t>
            </w:r>
            <w:r/>
          </w:p>
        </w:tc>
        <w:tc>
          <w:tcPr>
            <w:tcW w:w="2992" w:type="dxa"/>
            <w:vAlign w:val="center"/>
            <w:textDirection w:val="lrTb"/>
            <w:noWrap w:val="false"/>
          </w:tcPr>
          <w:p>
            <w:pPr>
              <w:pStyle w:val="703"/>
              <w:jc w:val="center"/>
            </w:pPr>
            <w:r>
              <w:t xml:space="preserve">项目内容</w:t>
            </w:r>
            <w:r/>
          </w:p>
        </w:tc>
        <w:tc>
          <w:tcPr>
            <w:tcW w:w="3175" w:type="dxa"/>
            <w:vAlign w:val="center"/>
            <w:textDirection w:val="lrTb"/>
            <w:noWrap w:val="false"/>
          </w:tcPr>
          <w:p>
            <w:pPr>
              <w:pStyle w:val="703"/>
              <w:jc w:val="center"/>
            </w:pPr>
            <w:r>
              <w:t xml:space="preserve">总价（小写）</w:t>
            </w:r>
            <w:r/>
          </w:p>
        </w:tc>
      </w:tr>
      <w:tr>
        <w:trPr>
          <w:tblCellSpacing w:w="15" w:type="dxa"/>
          <w:trHeight w:val="648"/>
        </w:trPr>
        <w:tc>
          <w:tcPr>
            <w:tcW w:w="3292" w:type="dxa"/>
            <w:vAlign w:val="center"/>
            <w:textDirection w:val="lrTb"/>
            <w:noWrap w:val="false"/>
          </w:tcPr>
          <w:p>
            <w:pPr>
              <w:pStyle w:val="703"/>
              <w:jc w:val="center"/>
            </w:pPr>
            <w:r/>
            <w:r/>
          </w:p>
        </w:tc>
        <w:tc>
          <w:tcPr>
            <w:tcW w:w="2992" w:type="dxa"/>
            <w:vAlign w:val="center"/>
            <w:textDirection w:val="lrTb"/>
            <w:noWrap w:val="false"/>
          </w:tcPr>
          <w:p>
            <w:pPr>
              <w:pStyle w:val="703"/>
              <w:jc w:val="center"/>
            </w:pPr>
            <w:r>
              <w:t xml:space="preserve">详见投标文件</w:t>
            </w:r>
            <w:r/>
          </w:p>
        </w:tc>
        <w:tc>
          <w:tcPr>
            <w:tcW w:w="3175" w:type="dxa"/>
            <w:vAlign w:val="center"/>
            <w:textDirection w:val="lrTb"/>
            <w:noWrap w:val="false"/>
          </w:tcPr>
          <w:p>
            <w:pPr>
              <w:pStyle w:val="703"/>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703"/>
              <w:jc w:val="center"/>
            </w:pPr>
            <w:r>
              <w:t xml:space="preserve">总价（大写）：</w:t>
            </w:r>
            <w:r/>
          </w:p>
        </w:tc>
        <w:tc>
          <w:tcPr>
            <w:gridSpan w:val="2"/>
            <w:tcW w:w="6242" w:type="dxa"/>
            <w:vAlign w:val="center"/>
            <w:textDirection w:val="lrTb"/>
            <w:noWrap w:val="false"/>
          </w:tcPr>
          <w:p>
            <w:pPr>
              <w:pStyle w:val="703"/>
            </w:pPr>
            <w:r>
              <w:t xml:space="preserve">金额大写 </w:t>
            </w:r>
            <w:r/>
          </w:p>
        </w:tc>
      </w:tr>
    </w:tbl>
    <w:p>
      <w:pPr>
        <w:pStyle w:val="703"/>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spacing w:line="460" w:lineRule="exact"/>
        <w:rPr>
          <w:rFonts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附件2</w:t>
      </w:r>
      <w:r>
        <w:rPr>
          <w:rFonts w:ascii="宋体" w:hAnsi="宋体"/>
          <w:b/>
          <w:color w:val="000000"/>
          <w:sz w:val="24"/>
          <w:szCs w:val="21"/>
        </w:rPr>
        <w:t xml:space="preserve">                       </w:t>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ascii="宋体" w:hAnsi="宋体" w:cs="宋体"/>
          <w:sz w:val="32"/>
          <w:szCs w:val="32"/>
        </w:rPr>
      </w:pPr>
      <w:r>
        <w:rPr>
          <w:rFonts w:ascii="宋体" w:hAnsi="宋体" w:cs="宋体"/>
          <w:sz w:val="32"/>
          <w:szCs w:val="32"/>
        </w:rPr>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679"/>
        <w:ind w:right="-46" w:firstLine="560"/>
        <w:spacing w:line="583" w:lineRule="auto"/>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671"/>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r>
      <w:tr>
        <w:trPr>
          <w:jc w:val="center"/>
          <w:trHeight w:val="2319"/>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tc>
      </w:tr>
    </w:tbl>
    <w:p>
      <w:pPr>
        <w:contextualSpacing/>
        <w:ind w:firstLine="540"/>
        <w:spacing w:line="360" w:lineRule="auto"/>
        <w:widowControl/>
        <w:rPr>
          <w:rFonts w:ascii="宋体" w:hAnsi="宋体" w:cs="宋体"/>
          <w:b/>
          <w:sz w:val="28"/>
          <w:szCs w:val="28"/>
        </w:rPr>
      </w:pPr>
      <w:r>
        <w:rPr>
          <w:rFonts w:ascii="宋体" w:hAnsi="宋体" w:cs="宋体"/>
          <w:b/>
          <w:sz w:val="28"/>
          <w:szCs w:val="28"/>
        </w:rPr>
      </w:r>
      <w:r/>
    </w:p>
    <w:p>
      <w:pPr>
        <w:pStyle w:val="679"/>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679"/>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679"/>
        <w:ind w:right="-46" w:firstLine="4110"/>
        <w:spacing w:line="583"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p>
    <w:p>
      <w:pPr>
        <w:jc w:val="center"/>
        <w:rPr>
          <w:rFonts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color w:val="000000"/>
          <w:sz w:val="24"/>
        </w:rPr>
      </w:pPr>
      <w:r>
        <w:rPr>
          <w:rFonts w:ascii="宋体" w:hAnsi="宋体" w:cs="宋体"/>
          <w:color w:val="000000"/>
          <w:sz w:val="24"/>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center"/>
        <w:spacing w:line="460" w:lineRule="exact"/>
        <w:rPr>
          <w:rFonts w:ascii="宋体" w:hAnsi="宋体" w:cs="宋体"/>
          <w:bCs/>
          <w:color w:val="000000"/>
          <w:sz w:val="24"/>
          <w:szCs w:val="21"/>
        </w:rPr>
      </w:pPr>
      <w:r>
        <w:rPr>
          <w:rFonts w:ascii="宋体" w:hAnsi="宋体" w:cs="宋体"/>
          <w:bCs/>
          <w:color w:val="000000"/>
          <w:sz w:val="24"/>
          <w:szCs w:val="21"/>
        </w:rPr>
      </w:r>
      <w:r/>
    </w:p>
    <w:p>
      <w:pPr>
        <w:keepLines/>
        <w:keepNext/>
        <w:spacing w:line="360" w:lineRule="auto"/>
        <w:rPr>
          <w:rFonts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附件4</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致：南通市海门区公共资源交易中心</w:t>
      </w:r>
      <w:r/>
    </w:p>
    <w:p>
      <w:pPr>
        <w:pStyle w:val="905"/>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05"/>
        <w:spacing w:before="0" w:after="0"/>
        <w:rPr>
          <w:rFonts w:ascii="宋体" w:hAnsi="宋体" w:cs="宋体"/>
        </w:rPr>
      </w:pPr>
      <w:r>
        <w:rPr>
          <w:rFonts w:hint="eastAsia" w:ascii="宋体" w:hAnsi="宋体" w:cs="宋体"/>
        </w:rPr>
        <w:t xml:space="preserve">据此函，_________(被授权人姓名）兹宣布同意如下：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p>
    <w:p>
      <w:pPr>
        <w:ind w:left="420" w:firstLine="336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spacing w:line="300" w:lineRule="auto"/>
        <w:rPr>
          <w:rFonts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附件5 </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南通市海门区中医院</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南通市海门区中医院采购前置审方系统项目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前置审方系统（区域审方中心系统）</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软件和信息技术服务业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sz w:val="22"/>
          <w:szCs w:val="28"/>
        </w:rPr>
      </w:pPr>
      <w:r>
        <w:rPr>
          <w:rFonts w:hint="eastAsia" w:ascii="宋体" w:hAnsi="宋体" w:cs="宋体"/>
          <w:color w:val="000000"/>
          <w:szCs w:val="21"/>
          <w:lang w:bidi="ar"/>
        </w:rPr>
        <w:t xml:space="preserve">注：1.如项目属性为“服务”或“工程”，请按本表填写。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b/>
          <w:sz w:val="24"/>
          <w:szCs w:val="24"/>
        </w:rPr>
        <w:outlineLvl w:val="0"/>
      </w:pPr>
      <w:r>
        <w:rPr>
          <w:rFonts w:ascii="黑体" w:hAnsi="黑体" w:eastAsia="黑体"/>
          <w:b/>
          <w:color w:val="000000"/>
          <w:sz w:val="32"/>
          <w:szCs w:val="32"/>
        </w:rPr>
        <w:br w:type="page" w:clear="all"/>
      </w:r>
      <w:r>
        <w:rPr>
          <w:rFonts w:hint="eastAsia" w:ascii="宋体" w:hAnsi="宋体"/>
          <w:b/>
          <w:sz w:val="24"/>
          <w:szCs w:val="24"/>
        </w:rPr>
        <w:t xml:space="preserve">附件6</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附件7</w:t>
      </w:r>
      <w:r/>
    </w:p>
    <w:p>
      <w:pPr>
        <w:jc w:val="center"/>
        <w:rPr>
          <w:rFonts w:ascii="宋体" w:hAnsi="宋体"/>
          <w:b/>
          <w:sz w:val="24"/>
          <w:szCs w:val="24"/>
        </w:rPr>
      </w:pPr>
      <w:r>
        <w:rPr>
          <w:rFonts w:hint="eastAsia" w:ascii="宋体" w:hAnsi="宋体" w:cs="宋体"/>
          <w:b/>
          <w:color w:val="000000"/>
          <w:sz w:val="32"/>
          <w:szCs w:val="32"/>
        </w:rPr>
        <w:t xml:space="preserve">实质性要求响应及偏离表</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ascii="宋体" w:hAnsi="宋体"/>
          <w:b/>
          <w:sz w:val="24"/>
          <w:szCs w:val="24"/>
        </w:rPr>
        <w:t xml:space="preserve"> </w:t>
      </w:r>
      <w:r/>
    </w:p>
    <w:p>
      <w:pPr>
        <w:jc w:val="center"/>
        <w:rPr>
          <w:rFonts w:ascii="宋体" w:hAnsi="宋体"/>
          <w:b/>
          <w:sz w:val="24"/>
          <w:szCs w:val="24"/>
        </w:rPr>
      </w:pPr>
      <w:r>
        <w:rPr>
          <w:rFonts w:hint="eastAsia" w:ascii="宋体" w:hAnsi="宋体" w:cs="宋体"/>
          <w:b/>
          <w:color w:val="000000"/>
          <w:sz w:val="32"/>
          <w:szCs w:val="32"/>
        </w:rPr>
        <w:t xml:space="preserve">技术要求响应及偏离表</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rPr>
          <w:rFonts w:ascii="宋体" w:hAnsi="宋体" w:cs="仿宋"/>
          <w:b/>
          <w:bCs/>
          <w:color w:val="000000"/>
          <w:sz w:val="32"/>
          <w:szCs w:val="32"/>
        </w:rPr>
      </w:pPr>
      <w:r>
        <w:rPr>
          <w:rFonts w:hint="eastAsia" w:ascii="宋体" w:hAnsi="宋体"/>
          <w:b/>
          <w:color w:val="000000"/>
          <w:sz w:val="24"/>
          <w:szCs w:val="21"/>
        </w:rPr>
        <w:br w:type="page" w:clear="all"/>
      </w:r>
      <w:bookmarkEnd w:id="144"/>
      <w:r/>
      <w:bookmarkEnd w:id="145"/>
      <w:r/>
      <w:bookmarkEnd w:id="154"/>
      <w:r/>
      <w:bookmarkEnd w:id="155"/>
      <w:r/>
      <w:bookmarkEnd w:id="156"/>
      <w:r>
        <w:rPr>
          <w:rFonts w:hint="eastAsia" w:ascii="方正魏碑_GBK" w:hAnsi="方正魏碑_GBK" w:eastAsia="方正魏碑_GBK" w:cs="方正魏碑_GBK"/>
          <w:b/>
          <w:sz w:val="24"/>
          <w:szCs w:val="24"/>
        </w:rPr>
        <w:t xml:space="preserve">附件9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附件10 </w:t>
      </w:r>
      <w:r/>
    </w:p>
    <w:p>
      <w:pPr>
        <w:jc w:val="center"/>
        <w:spacing w:line="360" w:lineRule="auto"/>
        <w:rPr>
          <w:rFonts w:ascii="宋体" w:eastAsia="宋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rPr>
      </w:pPr>
      <w:r>
        <w:rPr>
          <w:rFonts w:eastAsia="仿宋_GB2312"/>
          <w:sz w:val="32"/>
        </w:rPr>
      </w:r>
      <w:r/>
    </w:p>
    <w:p>
      <w:pPr>
        <w:spacing w:line="360" w:lineRule="auto"/>
        <w:rPr>
          <w:rFonts w:eastAsia="仿宋_GB2312"/>
          <w:sz w:val="32"/>
        </w:rPr>
      </w:pPr>
      <w:r>
        <w:rPr>
          <w:rFonts w:hint="eastAsia" w:eastAsia="仿宋_GB2312"/>
          <w:sz w:val="32"/>
        </w:rPr>
        <w:t xml:space="preserve">各政府采购供应商：</w:t>
      </w:r>
      <w:r/>
    </w:p>
    <w:p>
      <w:pPr>
        <w:ind w:firstLine="640"/>
        <w:spacing w:line="360" w:lineRule="auto"/>
        <w:rPr>
          <w:rFonts w:eastAsia="仿宋_GB2312"/>
          <w:sz w:val="32"/>
        </w:rPr>
      </w:pPr>
      <w:r>
        <w:rPr>
          <w:rFonts w:hint="eastAsia" w:eastAsia="仿宋_GB2312"/>
          <w:sz w:val="32"/>
        </w:rPr>
        <w:t xml:space="preserve">欢迎贵公司参与南通市政府采购活动！</w:t>
      </w:r>
      <w:r/>
    </w:p>
    <w:p>
      <w:pPr>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p>
    <w:p>
      <w:pPr>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12"/>
        <w:rFonts w:ascii="宋体" w:hAnsi="宋体"/>
      </w:rPr>
      <w:framePr w:wrap="around" w:vAnchor="text" w:hAnchor="margin" w:xAlign="center" w:y="1"/>
    </w:pPr>
    <w:r>
      <w:rPr>
        <w:rFonts w:ascii="宋体" w:hAnsi="宋体"/>
      </w:rPr>
      <w:fldChar w:fldCharType="begin"/>
    </w:r>
    <w:r>
      <w:rPr>
        <w:rStyle w:val="712"/>
        <w:rFonts w:ascii="宋体" w:hAnsi="宋体"/>
      </w:rPr>
      <w:instrText xml:space="preserve">PAGE  </w:instrText>
    </w:r>
    <w:r>
      <w:rPr>
        <w:rFonts w:ascii="宋体" w:hAnsi="宋体"/>
      </w:rPr>
      <w:fldChar w:fldCharType="separate"/>
    </w:r>
    <w:r>
      <w:rPr>
        <w:rStyle w:val="712"/>
        <w:rFonts w:ascii="宋体" w:hAnsi="宋体"/>
      </w:rPr>
      <w:t xml:space="preserve">22</w:t>
    </w:r>
    <w:r>
      <w:rPr>
        <w:rFonts w:ascii="宋体" w:hAnsi="宋体"/>
      </w:rPr>
      <w:fldChar w:fldCharType="end"/>
    </w:r>
    <w:r/>
  </w:p>
  <w:p>
    <w:pPr>
      <w:pStyle w:val="69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12"/>
      </w:rPr>
      <w:framePr w:wrap="around" w:vAnchor="text" w:hAnchor="margin" w:xAlign="center" w:y="1"/>
    </w:pPr>
    <w:r>
      <w:fldChar w:fldCharType="begin"/>
    </w:r>
    <w:r>
      <w:rPr>
        <w:rStyle w:val="712"/>
      </w:rPr>
      <w:instrText xml:space="preserve">PAGE  </w:instrText>
    </w:r>
    <w:r>
      <w:fldChar w:fldCharType="separate"/>
    </w:r>
    <w:r>
      <w:rPr>
        <w:rStyle w:val="712"/>
      </w:rPr>
      <w:t xml:space="preserve">1</w:t>
    </w:r>
    <w:r>
      <w:fldChar w:fldCharType="end"/>
    </w:r>
    <w:r/>
  </w:p>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9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6"/>
      <w:isLgl w:val="false"/>
      <w:suff w:val="nothing"/>
      <w:lvlText w:val=""/>
      <w:lvlJc w:val="left"/>
      <w:pPr>
        <w:ind w:left="0" w:firstLine="0"/>
      </w:pPr>
      <w:rPr>
        <w:rFonts w:hint="eastAsia"/>
      </w:rPr>
    </w:lvl>
    <w:lvl w:ilvl="6">
      <w:start w:val="1"/>
      <w:numFmt w:val="decimal"/>
      <w:pStyle w:val="667"/>
      <w:isLgl w:val="false"/>
      <w:suff w:val="nothing"/>
      <w:lvlText w:val=""/>
      <w:lvlJc w:val="left"/>
      <w:pPr>
        <w:ind w:left="0" w:firstLine="0"/>
      </w:pPr>
      <w:rPr>
        <w:rFonts w:hint="eastAsia"/>
      </w:rPr>
    </w:lvl>
    <w:lvl w:ilvl="7">
      <w:start w:val="1"/>
      <w:numFmt w:val="decimal"/>
      <w:pStyle w:val="668"/>
      <w:isLgl w:val="false"/>
      <w:suff w:val="nothing"/>
      <w:lvlText w:val=""/>
      <w:lvlJc w:val="left"/>
      <w:pPr>
        <w:ind w:left="0" w:firstLine="0"/>
      </w:pPr>
      <w:rPr>
        <w:rFonts w:hint="eastAsia"/>
      </w:rPr>
    </w:lvl>
    <w:lvl w:ilvl="8">
      <w:start w:val="1"/>
      <w:numFmt w:val="decimal"/>
      <w:pStyle w:val="669"/>
      <w:isLgl w:val="false"/>
      <w:suff w:val="nothing"/>
      <w:lvlText w:val=""/>
      <w:lvlJc w:val="left"/>
      <w:pPr>
        <w:ind w:left="0" w:firstLine="0"/>
      </w:pPr>
      <w:rPr>
        <w:rFonts w:hint="eastAsia"/>
      </w:rPr>
    </w:lvl>
  </w:abstractNum>
  <w:num w:numId="1">
    <w:abstractNumId w:val="7"/>
  </w:num>
  <w:num w:numId="2">
    <w:abstractNumId w:val="2"/>
  </w:num>
  <w:num w:numId="3">
    <w:abstractNumId w:val="6"/>
  </w:num>
  <w:num w:numId="4">
    <w:abstractNumId w:val="5"/>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70"/>
    <w:link w:val="705"/>
    <w:uiPriority w:val="10"/>
    <w:rPr>
      <w:sz w:val="48"/>
      <w:szCs w:val="48"/>
    </w:rPr>
  </w:style>
  <w:style w:type="character" w:styleId="36">
    <w:name w:val="Subtitle Char"/>
    <w:basedOn w:val="670"/>
    <w:link w:val="694"/>
    <w:uiPriority w:val="11"/>
    <w:rPr>
      <w:sz w:val="24"/>
      <w:szCs w:val="24"/>
    </w:rPr>
  </w:style>
  <w:style w:type="character" w:styleId="38">
    <w:name w:val="Quote Char"/>
    <w:link w:val="730"/>
    <w:uiPriority w:val="29"/>
    <w:rPr>
      <w:i/>
    </w:rPr>
  </w:style>
  <w:style w:type="character" w:styleId="40">
    <w:name w:val="Intense Quote Char"/>
    <w:link w:val="732"/>
    <w:uiPriority w:val="30"/>
    <w:rPr>
      <w:i/>
    </w:rPr>
  </w:style>
  <w:style w:type="character" w:styleId="175">
    <w:name w:val="Footnote Text Char"/>
    <w:link w:val="696"/>
    <w:uiPriority w:val="99"/>
    <w:rPr>
      <w:sz w:val="18"/>
    </w:rPr>
  </w:style>
  <w:style w:type="character" w:styleId="178">
    <w:name w:val="Endnote Text Char"/>
    <w:link w:val="688"/>
    <w:uiPriority w:val="99"/>
    <w:rPr>
      <w:sz w:val="20"/>
    </w:rPr>
  </w:style>
  <w:style w:type="paragraph" w:styleId="66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61">
    <w:name w:val="Heading 1"/>
    <w:basedOn w:val="660"/>
    <w:next w:val="660"/>
    <w:link w:val="865"/>
    <w:uiPriority w:val="0"/>
    <w:qFormat/>
    <w:pPr>
      <w:jc w:val="center"/>
      <w:keepNext/>
      <w:outlineLvl w:val="0"/>
    </w:pPr>
    <w:rPr>
      <w:rFonts w:ascii="楷体_GB2312" w:eastAsia="楷体_GB2312"/>
      <w:sz w:val="28"/>
      <w:szCs w:val="28"/>
    </w:rPr>
  </w:style>
  <w:style w:type="paragraph" w:styleId="662">
    <w:name w:val="Heading 2"/>
    <w:basedOn w:val="660"/>
    <w:next w:val="672"/>
    <w:link w:val="8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3">
    <w:name w:val="Heading 3"/>
    <w:basedOn w:val="660"/>
    <w:next w:val="672"/>
    <w:link w:val="868"/>
    <w:uiPriority w:val="0"/>
    <w:qFormat/>
    <w:pPr>
      <w:keepLines/>
      <w:keepNext/>
      <w:spacing w:before="260" w:after="260" w:line="416" w:lineRule="auto"/>
      <w:outlineLvl w:val="2"/>
    </w:pPr>
    <w:rPr>
      <w:b/>
      <w:bCs/>
      <w:sz w:val="32"/>
      <w:szCs w:val="32"/>
    </w:rPr>
  </w:style>
  <w:style w:type="paragraph" w:styleId="664">
    <w:name w:val="Heading 4"/>
    <w:basedOn w:val="660"/>
    <w:next w:val="672"/>
    <w:link w:val="869"/>
    <w:uiPriority w:val="0"/>
    <w:qFormat/>
    <w:pPr>
      <w:keepLines/>
      <w:keepNext/>
      <w:spacing w:before="280" w:after="290" w:line="376" w:lineRule="auto"/>
      <w:outlineLvl w:val="3"/>
    </w:pPr>
    <w:rPr>
      <w:rFonts w:ascii="Arial" w:hAnsi="Arial" w:eastAsia="黑体" w:cs="Arial"/>
      <w:b/>
      <w:bCs/>
      <w:sz w:val="28"/>
      <w:szCs w:val="28"/>
    </w:rPr>
  </w:style>
  <w:style w:type="paragraph" w:styleId="665">
    <w:name w:val="Heading 5"/>
    <w:basedOn w:val="660"/>
    <w:next w:val="660"/>
    <w:link w:val="870"/>
    <w:uiPriority w:val="0"/>
    <w:qFormat/>
    <w:pPr>
      <w:keepNext/>
      <w:outlineLvl w:val="4"/>
    </w:pPr>
    <w:rPr>
      <w:rFonts w:ascii="宋体"/>
      <w:color w:val="000000"/>
      <w:sz w:val="28"/>
      <w:szCs w:val="28"/>
    </w:rPr>
  </w:style>
  <w:style w:type="paragraph" w:styleId="666">
    <w:name w:val="Heading 6"/>
    <w:basedOn w:val="660"/>
    <w:next w:val="660"/>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Heading 7"/>
    <w:basedOn w:val="660"/>
    <w:next w:val="660"/>
    <w:link w:val="872"/>
    <w:uiPriority w:val="0"/>
    <w:qFormat/>
    <w:pPr>
      <w:numPr>
        <w:ilvl w:val="6"/>
        <w:numId w:val="1"/>
      </w:numPr>
      <w:keepLines/>
      <w:keepNext/>
      <w:spacing w:before="240" w:after="64" w:line="320" w:lineRule="auto"/>
      <w:outlineLvl w:val="6"/>
    </w:pPr>
    <w:rPr>
      <w:b/>
      <w:bCs/>
      <w:sz w:val="24"/>
      <w:szCs w:val="24"/>
    </w:rPr>
  </w:style>
  <w:style w:type="paragraph" w:styleId="668">
    <w:name w:val="Heading 8"/>
    <w:basedOn w:val="660"/>
    <w:next w:val="660"/>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Heading 9"/>
    <w:basedOn w:val="660"/>
    <w:next w:val="660"/>
    <w:link w:val="874"/>
    <w:uiPriority w:val="0"/>
    <w:qFormat/>
    <w:pPr>
      <w:numPr>
        <w:ilvl w:val="8"/>
        <w:numId w:val="1"/>
      </w:numPr>
      <w:keepLines/>
      <w:keepNext/>
      <w:spacing w:before="240" w:after="64" w:line="320" w:lineRule="auto"/>
      <w:outlineLvl w:val="8"/>
    </w:pPr>
    <w:rPr>
      <w:rFonts w:ascii="Arial" w:hAnsi="Arial" w:eastAsia="黑体"/>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Normal Indent"/>
    <w:basedOn w:val="660"/>
    <w:link w:val="867"/>
    <w:uiPriority w:val="0"/>
    <w:qFormat/>
    <w:pPr>
      <w:ind w:firstLine="420"/>
    </w:pPr>
    <w:rPr>
      <w:szCs w:val="21"/>
    </w:rPr>
  </w:style>
  <w:style w:type="paragraph" w:styleId="673">
    <w:name w:val="List 3"/>
    <w:basedOn w:val="660"/>
    <w:uiPriority w:val="0"/>
    <w:pPr>
      <w:ind w:left="100" w:hanging="200"/>
    </w:pPr>
    <w:rPr>
      <w:szCs w:val="21"/>
    </w:rPr>
  </w:style>
  <w:style w:type="paragraph" w:styleId="674">
    <w:name w:val="toc 7"/>
    <w:basedOn w:val="660"/>
    <w:next w:val="660"/>
    <w:uiPriority w:val="0"/>
    <w:semiHidden/>
    <w:qFormat/>
    <w:pPr>
      <w:ind w:left="1260"/>
      <w:jc w:val="left"/>
    </w:pPr>
    <w:rPr>
      <w:szCs w:val="21"/>
    </w:rPr>
  </w:style>
  <w:style w:type="paragraph" w:styleId="675">
    <w:name w:val="Caption"/>
    <w:basedOn w:val="660"/>
    <w:next w:val="660"/>
    <w:uiPriority w:val="35"/>
    <w:semiHidden/>
    <w:unhideWhenUsed/>
    <w:qFormat/>
    <w:pPr>
      <w:spacing w:line="276" w:lineRule="auto"/>
    </w:pPr>
    <w:rPr>
      <w:b/>
      <w:bCs/>
      <w:color w:val="4f81bd"/>
      <w:sz w:val="18"/>
      <w:szCs w:val="18"/>
    </w:rPr>
  </w:style>
  <w:style w:type="paragraph" w:styleId="676">
    <w:name w:val="Document Map"/>
    <w:basedOn w:val="660"/>
    <w:link w:val="875"/>
    <w:uiPriority w:val="0"/>
    <w:semiHidden/>
    <w:pPr>
      <w:shd w:val="clear" w:color="auto" w:fill="000080"/>
    </w:pPr>
    <w:rPr>
      <w:szCs w:val="21"/>
    </w:rPr>
  </w:style>
  <w:style w:type="paragraph" w:styleId="677">
    <w:name w:val="annotation text"/>
    <w:basedOn w:val="660"/>
    <w:link w:val="876"/>
    <w:uiPriority w:val="0"/>
    <w:unhideWhenUsed/>
    <w:qFormat/>
    <w:pPr>
      <w:jc w:val="left"/>
    </w:pPr>
  </w:style>
  <w:style w:type="paragraph" w:styleId="678">
    <w:name w:val="Body Text 3"/>
    <w:basedOn w:val="660"/>
    <w:link w:val="877"/>
    <w:uiPriority w:val="0"/>
    <w:rPr>
      <w:rFonts w:ascii="仿宋_GB2312" w:hAnsi="Arial" w:eastAsia="仿宋_GB2312"/>
      <w:sz w:val="32"/>
      <w:szCs w:val="32"/>
    </w:rPr>
  </w:style>
  <w:style w:type="paragraph" w:styleId="679">
    <w:name w:val="Body Text"/>
    <w:basedOn w:val="660"/>
    <w:next w:val="660"/>
    <w:link w:val="878"/>
    <w:uiPriority w:val="0"/>
    <w:qFormat/>
    <w:rPr>
      <w:rFonts w:ascii="楷体_GB2312" w:hAnsi="Arial" w:eastAsia="楷体_GB2312"/>
      <w:sz w:val="28"/>
      <w:szCs w:val="28"/>
    </w:rPr>
  </w:style>
  <w:style w:type="paragraph" w:styleId="680">
    <w:name w:val="Body Text Indent"/>
    <w:basedOn w:val="660"/>
    <w:link w:val="879"/>
    <w:uiPriority w:val="0"/>
    <w:unhideWhenUsed/>
    <w:qFormat/>
    <w:pPr>
      <w:ind w:left="420"/>
      <w:spacing w:after="120"/>
    </w:pPr>
  </w:style>
  <w:style w:type="paragraph" w:styleId="681">
    <w:name w:val="List 2"/>
    <w:basedOn w:val="660"/>
    <w:uiPriority w:val="0"/>
    <w:qFormat/>
    <w:pPr>
      <w:ind w:left="100" w:hanging="200"/>
    </w:pPr>
    <w:rPr>
      <w:szCs w:val="21"/>
    </w:rPr>
  </w:style>
  <w:style w:type="paragraph" w:styleId="682">
    <w:name w:val="toc 5"/>
    <w:basedOn w:val="660"/>
    <w:next w:val="660"/>
    <w:uiPriority w:val="0"/>
    <w:semiHidden/>
    <w:pPr>
      <w:ind w:left="840"/>
      <w:jc w:val="left"/>
    </w:pPr>
    <w:rPr>
      <w:szCs w:val="21"/>
    </w:rPr>
  </w:style>
  <w:style w:type="paragraph" w:styleId="683">
    <w:name w:val="toc 3"/>
    <w:basedOn w:val="660"/>
    <w:next w:val="660"/>
    <w:uiPriority w:val="0"/>
    <w:semiHidden/>
    <w:qFormat/>
    <w:pPr>
      <w:ind w:left="420"/>
      <w:jc w:val="left"/>
    </w:pPr>
    <w:rPr>
      <w:i/>
      <w:iCs/>
      <w:szCs w:val="24"/>
    </w:rPr>
  </w:style>
  <w:style w:type="paragraph" w:styleId="684">
    <w:name w:val="Plain Text"/>
    <w:basedOn w:val="660"/>
    <w:link w:val="880"/>
    <w:uiPriority w:val="0"/>
    <w:qFormat/>
    <w:rPr>
      <w:rFonts w:ascii="宋体" w:hAnsi="Courier New" w:cs="Courier New"/>
      <w:szCs w:val="21"/>
    </w:rPr>
  </w:style>
  <w:style w:type="paragraph" w:styleId="685">
    <w:name w:val="toc 8"/>
    <w:basedOn w:val="660"/>
    <w:next w:val="660"/>
    <w:uiPriority w:val="0"/>
    <w:semiHidden/>
    <w:qFormat/>
    <w:pPr>
      <w:ind w:left="1470"/>
      <w:jc w:val="left"/>
    </w:pPr>
    <w:rPr>
      <w:szCs w:val="21"/>
    </w:rPr>
  </w:style>
  <w:style w:type="paragraph" w:styleId="686">
    <w:name w:val="Date"/>
    <w:basedOn w:val="660"/>
    <w:next w:val="660"/>
    <w:link w:val="881"/>
    <w:uiPriority w:val="0"/>
    <w:qFormat/>
    <w:rPr>
      <w:sz w:val="24"/>
      <w:szCs w:val="24"/>
    </w:rPr>
  </w:style>
  <w:style w:type="paragraph" w:styleId="687">
    <w:name w:val="Body Text Indent 2"/>
    <w:basedOn w:val="660"/>
    <w:link w:val="882"/>
    <w:uiPriority w:val="0"/>
    <w:qFormat/>
    <w:pPr>
      <w:ind w:left="630" w:firstLine="645"/>
    </w:pPr>
    <w:rPr>
      <w:rFonts w:ascii="Arial" w:hAnsi="Arial" w:eastAsia="仿宋_GB2312" w:cs="Arial"/>
      <w:sz w:val="32"/>
      <w:szCs w:val="32"/>
    </w:rPr>
  </w:style>
  <w:style w:type="paragraph" w:styleId="688">
    <w:name w:val="endnote text"/>
    <w:basedOn w:val="660"/>
    <w:link w:val="863"/>
    <w:uiPriority w:val="99"/>
    <w:semiHidden/>
    <w:unhideWhenUsed/>
    <w:qFormat/>
    <w:rPr>
      <w:sz w:val="20"/>
    </w:rPr>
  </w:style>
  <w:style w:type="paragraph" w:styleId="689">
    <w:name w:val="Balloon Text"/>
    <w:basedOn w:val="660"/>
    <w:link w:val="883"/>
    <w:uiPriority w:val="0"/>
    <w:semiHidden/>
    <w:qFormat/>
    <w:rPr>
      <w:sz w:val="18"/>
      <w:szCs w:val="18"/>
    </w:rPr>
  </w:style>
  <w:style w:type="paragraph" w:styleId="690">
    <w:name w:val="Footer"/>
    <w:basedOn w:val="660"/>
    <w:link w:val="884"/>
    <w:uiPriority w:val="99"/>
    <w:qFormat/>
    <w:pPr>
      <w:jc w:val="left"/>
      <w:tabs>
        <w:tab w:val="center" w:pos="4153" w:leader="none"/>
        <w:tab w:val="right" w:pos="8306" w:leader="none"/>
      </w:tabs>
    </w:pPr>
    <w:rPr>
      <w:sz w:val="18"/>
      <w:szCs w:val="18"/>
    </w:rPr>
  </w:style>
  <w:style w:type="paragraph" w:styleId="691">
    <w:name w:val="Header"/>
    <w:basedOn w:val="660"/>
    <w:link w:val="885"/>
    <w:uiPriority w:val="0"/>
    <w:qFormat/>
    <w:pPr>
      <w:jc w:val="center"/>
      <w:tabs>
        <w:tab w:val="center" w:pos="4153" w:leader="none"/>
        <w:tab w:val="right" w:pos="8306" w:leader="none"/>
      </w:tabs>
      <w:pBdr>
        <w:bottom w:val="single" w:color="000000" w:sz="6" w:space="1"/>
      </w:pBdr>
    </w:pPr>
    <w:rPr>
      <w:sz w:val="18"/>
      <w:szCs w:val="18"/>
    </w:rPr>
  </w:style>
  <w:style w:type="paragraph" w:styleId="692">
    <w:name w:val="toc 1"/>
    <w:basedOn w:val="660"/>
    <w:next w:val="660"/>
    <w:uiPriority w:val="0"/>
    <w:semiHidden/>
    <w:qFormat/>
    <w:pPr>
      <w:jc w:val="left"/>
      <w:spacing w:before="120" w:after="120" w:line="400" w:lineRule="exact"/>
      <w:tabs>
        <w:tab w:val="right" w:pos="8720" w:leader="dot"/>
      </w:tabs>
    </w:pPr>
    <w:rPr>
      <w:rFonts w:ascii="宋体" w:hAnsi="宋体"/>
      <w:caps/>
      <w:sz w:val="24"/>
      <w:szCs w:val="24"/>
    </w:rPr>
  </w:style>
  <w:style w:type="paragraph" w:styleId="693">
    <w:name w:val="toc 4"/>
    <w:basedOn w:val="660"/>
    <w:next w:val="660"/>
    <w:uiPriority w:val="0"/>
    <w:semiHidden/>
    <w:qFormat/>
    <w:pPr>
      <w:ind w:left="630"/>
      <w:jc w:val="left"/>
    </w:pPr>
    <w:rPr>
      <w:szCs w:val="21"/>
    </w:rPr>
  </w:style>
  <w:style w:type="paragraph" w:styleId="694">
    <w:name w:val="Subtitle"/>
    <w:basedOn w:val="660"/>
    <w:next w:val="660"/>
    <w:link w:val="729"/>
    <w:uiPriority w:val="11"/>
    <w:qFormat/>
    <w:pPr>
      <w:spacing w:before="200" w:after="200"/>
    </w:pPr>
    <w:rPr>
      <w:sz w:val="24"/>
      <w:szCs w:val="24"/>
    </w:rPr>
  </w:style>
  <w:style w:type="paragraph" w:styleId="695">
    <w:name w:val="List"/>
    <w:basedOn w:val="660"/>
    <w:uiPriority w:val="0"/>
    <w:qFormat/>
    <w:pPr>
      <w:ind w:left="200" w:hanging="200"/>
    </w:pPr>
    <w:rPr>
      <w:szCs w:val="21"/>
    </w:rPr>
  </w:style>
  <w:style w:type="paragraph" w:styleId="696">
    <w:name w:val="footnote text"/>
    <w:basedOn w:val="660"/>
    <w:link w:val="862"/>
    <w:uiPriority w:val="99"/>
    <w:semiHidden/>
    <w:unhideWhenUsed/>
    <w:qFormat/>
    <w:pPr>
      <w:spacing w:after="40"/>
    </w:pPr>
    <w:rPr>
      <w:sz w:val="18"/>
    </w:rPr>
  </w:style>
  <w:style w:type="paragraph" w:styleId="697">
    <w:name w:val="toc 6"/>
    <w:basedOn w:val="660"/>
    <w:next w:val="660"/>
    <w:uiPriority w:val="0"/>
    <w:semiHidden/>
    <w:qFormat/>
    <w:pPr>
      <w:ind w:left="1050"/>
      <w:jc w:val="left"/>
    </w:pPr>
    <w:rPr>
      <w:szCs w:val="21"/>
    </w:rPr>
  </w:style>
  <w:style w:type="paragraph" w:styleId="698">
    <w:name w:val="Body Text Indent 3"/>
    <w:basedOn w:val="660"/>
    <w:link w:val="886"/>
    <w:uiPriority w:val="0"/>
    <w:qFormat/>
    <w:pPr>
      <w:ind w:left="645" w:firstLine="645"/>
    </w:pPr>
    <w:rPr>
      <w:rFonts w:ascii="Arial" w:hAnsi="Arial" w:eastAsia="仿宋_GB2312" w:cs="Arial"/>
      <w:color w:val="ffff00"/>
      <w:sz w:val="32"/>
      <w:szCs w:val="32"/>
    </w:rPr>
  </w:style>
  <w:style w:type="paragraph" w:styleId="699">
    <w:name w:val="table of figures"/>
    <w:basedOn w:val="660"/>
    <w:next w:val="660"/>
    <w:uiPriority w:val="0"/>
    <w:semiHidden/>
    <w:qFormat/>
    <w:pPr>
      <w:ind w:left="840" w:hanging="420"/>
    </w:pPr>
    <w:rPr>
      <w:szCs w:val="21"/>
    </w:rPr>
  </w:style>
  <w:style w:type="paragraph" w:styleId="700">
    <w:name w:val="toc 2"/>
    <w:basedOn w:val="660"/>
    <w:next w:val="660"/>
    <w:uiPriority w:val="0"/>
    <w:semiHidden/>
    <w:qFormat/>
    <w:pPr>
      <w:ind w:left="210"/>
      <w:jc w:val="left"/>
    </w:pPr>
    <w:rPr>
      <w:smallCaps/>
      <w:szCs w:val="24"/>
    </w:rPr>
  </w:style>
  <w:style w:type="paragraph" w:styleId="701">
    <w:name w:val="toc 9"/>
    <w:basedOn w:val="660"/>
    <w:next w:val="660"/>
    <w:uiPriority w:val="0"/>
    <w:semiHidden/>
    <w:qFormat/>
    <w:pPr>
      <w:ind w:left="1680"/>
      <w:jc w:val="left"/>
    </w:pPr>
    <w:rPr>
      <w:szCs w:val="21"/>
    </w:rPr>
  </w:style>
  <w:style w:type="paragraph" w:styleId="702">
    <w:name w:val="Body Text 2"/>
    <w:basedOn w:val="660"/>
    <w:link w:val="887"/>
    <w:uiPriority w:val="0"/>
    <w:qFormat/>
    <w:pPr>
      <w:jc w:val="center"/>
      <w:widowControl/>
    </w:pPr>
    <w:rPr>
      <w:rFonts w:ascii="楷体_GB2312" w:eastAsia="楷体_GB2312"/>
      <w:sz w:val="28"/>
      <w:szCs w:val="28"/>
    </w:rPr>
  </w:style>
  <w:style w:type="paragraph" w:styleId="703">
    <w:name w:val="Normal (Web)"/>
    <w:basedOn w:val="660"/>
    <w:uiPriority w:val="0"/>
    <w:qFormat/>
    <w:pPr>
      <w:jc w:val="left"/>
      <w:spacing w:before="100" w:beforeAutospacing="1" w:after="100" w:afterAutospacing="1"/>
      <w:widowControl/>
    </w:pPr>
    <w:rPr>
      <w:rFonts w:ascii="宋体" w:hAnsi="宋体" w:cs="宋体"/>
      <w:sz w:val="24"/>
      <w:szCs w:val="24"/>
    </w:rPr>
  </w:style>
  <w:style w:type="paragraph" w:styleId="704">
    <w:name w:val="index 1"/>
    <w:basedOn w:val="660"/>
    <w:next w:val="660"/>
    <w:uiPriority w:val="0"/>
    <w:semiHidden/>
    <w:qFormat/>
    <w:pPr>
      <w:spacing w:line="240" w:lineRule="atLeast"/>
    </w:pPr>
    <w:rPr>
      <w:b/>
      <w:bCs/>
      <w:szCs w:val="21"/>
    </w:rPr>
  </w:style>
  <w:style w:type="paragraph" w:styleId="705">
    <w:name w:val="Title"/>
    <w:basedOn w:val="660"/>
    <w:next w:val="660"/>
    <w:link w:val="728"/>
    <w:uiPriority w:val="10"/>
    <w:qFormat/>
    <w:pPr>
      <w:contextualSpacing/>
      <w:spacing w:before="300" w:after="200"/>
    </w:pPr>
    <w:rPr>
      <w:sz w:val="48"/>
      <w:szCs w:val="48"/>
    </w:rPr>
  </w:style>
  <w:style w:type="paragraph" w:styleId="706">
    <w:name w:val="annotation subject"/>
    <w:basedOn w:val="677"/>
    <w:next w:val="677"/>
    <w:link w:val="888"/>
    <w:uiPriority w:val="0"/>
    <w:semiHidden/>
    <w:qFormat/>
    <w:rPr>
      <w:b/>
      <w:bCs/>
      <w:szCs w:val="21"/>
    </w:rPr>
  </w:style>
  <w:style w:type="paragraph" w:styleId="707">
    <w:name w:val="Body Text First Indent"/>
    <w:basedOn w:val="660"/>
    <w:link w:val="889"/>
    <w:uiPriority w:val="0"/>
    <w:qFormat/>
    <w:pPr>
      <w:ind w:firstLine="200"/>
      <w:spacing w:line="360" w:lineRule="auto"/>
    </w:pPr>
    <w:rPr>
      <w:rFonts w:ascii="仿宋_GB2312" w:eastAsia="仿宋_GB2312"/>
      <w:sz w:val="30"/>
      <w:szCs w:val="30"/>
    </w:rPr>
  </w:style>
  <w:style w:type="paragraph" w:styleId="708">
    <w:name w:val="Body Text First Indent 2"/>
    <w:basedOn w:val="680"/>
    <w:link w:val="890"/>
    <w:uiPriority w:val="0"/>
    <w:qFormat/>
    <w:pPr>
      <w:ind w:left="0" w:firstLine="420"/>
      <w:spacing w:after="0" w:line="360" w:lineRule="auto"/>
    </w:pPr>
    <w:rPr>
      <w:rFonts w:ascii="宋体" w:hAnsi="宋体"/>
      <w:szCs w:val="20"/>
    </w:rPr>
  </w:style>
  <w:style w:type="table" w:styleId="709">
    <w:name w:val="Table Grid"/>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0">
    <w:name w:val="Strong"/>
    <w:uiPriority w:val="0"/>
    <w:qFormat/>
    <w:rPr>
      <w:b/>
      <w:bCs/>
    </w:rPr>
  </w:style>
  <w:style w:type="character" w:styleId="711">
    <w:name w:val="endnote reference"/>
    <w:uiPriority w:val="99"/>
    <w:semiHidden/>
    <w:unhideWhenUsed/>
    <w:qFormat/>
    <w:rPr>
      <w:vertAlign w:val="superscript"/>
    </w:rPr>
  </w:style>
  <w:style w:type="character" w:styleId="712">
    <w:name w:val="page number"/>
    <w:uiPriority w:val="0"/>
    <w:qFormat/>
  </w:style>
  <w:style w:type="character" w:styleId="713">
    <w:name w:val="Emphasis"/>
    <w:uiPriority w:val="0"/>
    <w:qFormat/>
    <w:rPr>
      <w:i/>
    </w:rPr>
  </w:style>
  <w:style w:type="character" w:styleId="714">
    <w:name w:val="Hyperlink"/>
    <w:uiPriority w:val="0"/>
    <w:qFormat/>
    <w:rPr>
      <w:color w:val="0000ff"/>
      <w:u w:val="single"/>
    </w:rPr>
  </w:style>
  <w:style w:type="character" w:styleId="715">
    <w:name w:val="annotation reference"/>
    <w:uiPriority w:val="0"/>
    <w:semiHidden/>
    <w:qFormat/>
    <w:rPr>
      <w:sz w:val="21"/>
      <w:szCs w:val="21"/>
    </w:rPr>
  </w:style>
  <w:style w:type="character" w:styleId="716">
    <w:name w:val="footnote reference"/>
    <w:uiPriority w:val="99"/>
    <w:unhideWhenUsed/>
    <w:qFormat/>
    <w:rPr>
      <w:vertAlign w:val="superscript"/>
    </w:rPr>
  </w:style>
  <w:style w:type="character" w:styleId="717" w:customStyle="1">
    <w:name w:val="Heading 1 Char"/>
    <w:uiPriority w:val="9"/>
    <w:qFormat/>
    <w:rPr>
      <w:rFonts w:ascii="Arial" w:hAnsi="Arial" w:eastAsia="Arial" w:cs="Arial"/>
      <w:sz w:val="40"/>
      <w:szCs w:val="40"/>
    </w:rPr>
  </w:style>
  <w:style w:type="character" w:styleId="718" w:customStyle="1">
    <w:name w:val="Heading 2 Char"/>
    <w:uiPriority w:val="9"/>
    <w:qFormat/>
    <w:rPr>
      <w:rFonts w:ascii="Arial" w:hAnsi="Arial" w:eastAsia="Arial" w:cs="Arial"/>
      <w:sz w:val="34"/>
    </w:rPr>
  </w:style>
  <w:style w:type="character" w:styleId="719" w:customStyle="1">
    <w:name w:val="Heading 3 Char"/>
    <w:uiPriority w:val="9"/>
    <w:qFormat/>
    <w:rPr>
      <w:rFonts w:ascii="Arial" w:hAnsi="Arial" w:eastAsia="Arial" w:cs="Arial"/>
      <w:sz w:val="30"/>
      <w:szCs w:val="30"/>
    </w:rPr>
  </w:style>
  <w:style w:type="character" w:styleId="720" w:customStyle="1">
    <w:name w:val="Heading 4 Char"/>
    <w:uiPriority w:val="9"/>
    <w:qFormat/>
    <w:rPr>
      <w:rFonts w:ascii="Arial" w:hAnsi="Arial" w:eastAsia="Arial" w:cs="Arial"/>
      <w:b/>
      <w:bCs/>
      <w:sz w:val="26"/>
      <w:szCs w:val="26"/>
    </w:rPr>
  </w:style>
  <w:style w:type="character" w:styleId="721" w:customStyle="1">
    <w:name w:val="Heading 5 Char"/>
    <w:uiPriority w:val="9"/>
    <w:qFormat/>
    <w:rPr>
      <w:rFonts w:ascii="Arial" w:hAnsi="Arial" w:eastAsia="Arial" w:cs="Arial"/>
      <w:b/>
      <w:bCs/>
      <w:sz w:val="24"/>
      <w:szCs w:val="24"/>
    </w:rPr>
  </w:style>
  <w:style w:type="character" w:styleId="722" w:customStyle="1">
    <w:name w:val="Heading 6 Char"/>
    <w:uiPriority w:val="9"/>
    <w:qFormat/>
    <w:rPr>
      <w:rFonts w:ascii="Arial" w:hAnsi="Arial" w:eastAsia="Arial" w:cs="Arial"/>
      <w:b/>
      <w:bCs/>
      <w:sz w:val="22"/>
      <w:szCs w:val="22"/>
    </w:rPr>
  </w:style>
  <w:style w:type="character" w:styleId="723" w:customStyle="1">
    <w:name w:val="Heading 7 Char"/>
    <w:uiPriority w:val="9"/>
    <w:qFormat/>
    <w:rPr>
      <w:rFonts w:ascii="Arial" w:hAnsi="Arial" w:eastAsia="Arial" w:cs="Arial"/>
      <w:b/>
      <w:bCs/>
      <w:i/>
      <w:iCs/>
      <w:sz w:val="22"/>
      <w:szCs w:val="22"/>
    </w:rPr>
  </w:style>
  <w:style w:type="character" w:styleId="724" w:customStyle="1">
    <w:name w:val="Heading 8 Char"/>
    <w:uiPriority w:val="9"/>
    <w:qFormat/>
    <w:rPr>
      <w:rFonts w:ascii="Arial" w:hAnsi="Arial" w:eastAsia="Arial" w:cs="Arial"/>
      <w:i/>
      <w:iCs/>
      <w:sz w:val="22"/>
      <w:szCs w:val="22"/>
    </w:rPr>
  </w:style>
  <w:style w:type="character" w:styleId="725" w:customStyle="1">
    <w:name w:val="Heading 9 Char"/>
    <w:uiPriority w:val="9"/>
    <w:qFormat/>
    <w:rPr>
      <w:rFonts w:ascii="Arial" w:hAnsi="Arial" w:eastAsia="Arial" w:cs="Arial"/>
      <w:i/>
      <w:iCs/>
      <w:sz w:val="21"/>
      <w:szCs w:val="21"/>
    </w:rPr>
  </w:style>
  <w:style w:type="paragraph" w:styleId="726">
    <w:name w:val="List Paragraph"/>
    <w:basedOn w:val="660"/>
    <w:uiPriority w:val="0"/>
    <w:qFormat/>
    <w:pPr>
      <w:contextualSpacing/>
      <w:ind w:left="720"/>
      <w:jc w:val="left"/>
      <w:widowControl/>
    </w:pPr>
    <w:rPr>
      <w:rFonts w:ascii="Calibri" w:hAnsi="Calibri"/>
      <w:sz w:val="24"/>
      <w:szCs w:val="24"/>
      <w:lang w:eastAsia="en-US" w:bidi="en-US"/>
    </w:rPr>
  </w:style>
  <w:style w:type="paragraph" w:styleId="72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28" w:customStyle="1">
    <w:name w:val="标题 字符"/>
    <w:link w:val="705"/>
    <w:uiPriority w:val="10"/>
    <w:qFormat/>
    <w:rPr>
      <w:sz w:val="48"/>
      <w:szCs w:val="48"/>
    </w:rPr>
  </w:style>
  <w:style w:type="character" w:styleId="729" w:customStyle="1">
    <w:name w:val="副标题 字符"/>
    <w:link w:val="694"/>
    <w:uiPriority w:val="11"/>
    <w:qFormat/>
    <w:rPr>
      <w:sz w:val="24"/>
      <w:szCs w:val="24"/>
    </w:rPr>
  </w:style>
  <w:style w:type="paragraph" w:styleId="730">
    <w:name w:val="Quote"/>
    <w:basedOn w:val="660"/>
    <w:next w:val="660"/>
    <w:link w:val="731"/>
    <w:uiPriority w:val="29"/>
    <w:qFormat/>
    <w:pPr>
      <w:ind w:left="720" w:right="720"/>
    </w:pPr>
    <w:rPr>
      <w:i/>
    </w:rPr>
  </w:style>
  <w:style w:type="character" w:styleId="731" w:customStyle="1">
    <w:name w:val="引用 字符"/>
    <w:link w:val="730"/>
    <w:uiPriority w:val="29"/>
    <w:qFormat/>
    <w:rPr>
      <w:i/>
    </w:rPr>
  </w:style>
  <w:style w:type="paragraph" w:styleId="732">
    <w:name w:val="Intense Quote"/>
    <w:basedOn w:val="660"/>
    <w:next w:val="660"/>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字符"/>
    <w:link w:val="732"/>
    <w:uiPriority w:val="30"/>
    <w:qFormat/>
    <w:rPr>
      <w:i/>
    </w:rPr>
  </w:style>
  <w:style w:type="character" w:styleId="734" w:customStyle="1">
    <w:name w:val="Header Char"/>
    <w:uiPriority w:val="99"/>
    <w:qFormat/>
  </w:style>
  <w:style w:type="character" w:styleId="735" w:customStyle="1">
    <w:name w:val="Footer Char"/>
    <w:uiPriority w:val="99"/>
    <w:qFormat/>
  </w:style>
  <w:style w:type="character" w:styleId="736" w:customStyle="1">
    <w:name w:val="Caption Char"/>
    <w:uiPriority w:val="99"/>
    <w:qFormat/>
  </w:style>
  <w:style w:type="table" w:styleId="7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0" w:customStyle="1">
    <w:name w:val="Plain Table 3"/>
    <w:uiPriority w:val="99"/>
    <w:qFormat/>
    <w:tblPr>
      <w:tblCellMar>
        <w:left w:w="0" w:type="dxa"/>
        <w:top w:w="0" w:type="dxa"/>
        <w:right w:w="0" w:type="dxa"/>
        <w:bottom w:w="0" w:type="dxa"/>
      </w:tblCellMar>
    </w:tblPr>
  </w:style>
  <w:style w:type="table" w:styleId="741" w:customStyle="1">
    <w:name w:val="Plain Table 4"/>
    <w:uiPriority w:val="99"/>
    <w:qFormat/>
    <w:tblPr>
      <w:tblCellMar>
        <w:left w:w="0" w:type="dxa"/>
        <w:top w:w="0" w:type="dxa"/>
        <w:right w:w="0" w:type="dxa"/>
        <w:bottom w:w="0" w:type="dxa"/>
      </w:tblCellMar>
    </w:tblPr>
  </w:style>
  <w:style w:type="table" w:styleId="742" w:customStyle="1">
    <w:name w:val="Plain Table 5"/>
    <w:uiPriority w:val="99"/>
    <w:qFormat/>
    <w:tblPr>
      <w:tblCellMar>
        <w:left w:w="0" w:type="dxa"/>
        <w:top w:w="0" w:type="dxa"/>
        <w:right w:w="0" w:type="dxa"/>
        <w:bottom w:w="0" w:type="dxa"/>
      </w:tblCellMar>
    </w:tblPr>
  </w:style>
  <w:style w:type="table" w:styleId="74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2" w:customStyle="1">
    <w:name w:val="List Table 1 Light"/>
    <w:uiPriority w:val="99"/>
    <w:qFormat/>
    <w:tblPr>
      <w:tblCellMar>
        <w:left w:w="0" w:type="dxa"/>
        <w:top w:w="0" w:type="dxa"/>
        <w:right w:w="0" w:type="dxa"/>
        <w:bottom w:w="0" w:type="dxa"/>
      </w:tblCellMar>
    </w:tblPr>
  </w:style>
  <w:style w:type="table" w:styleId="793" w:customStyle="1">
    <w:name w:val="List Table 1 Light - Accent 1"/>
    <w:uiPriority w:val="99"/>
    <w:qFormat/>
    <w:tblPr>
      <w:tblCellMar>
        <w:left w:w="0" w:type="dxa"/>
        <w:top w:w="0" w:type="dxa"/>
        <w:right w:w="0" w:type="dxa"/>
        <w:bottom w:w="0" w:type="dxa"/>
      </w:tblCellMar>
    </w:tblPr>
  </w:style>
  <w:style w:type="table" w:styleId="794" w:customStyle="1">
    <w:name w:val="List Table 1 Light - Accent 2"/>
    <w:uiPriority w:val="99"/>
    <w:qFormat/>
    <w:tblPr>
      <w:tblCellMar>
        <w:left w:w="0" w:type="dxa"/>
        <w:top w:w="0" w:type="dxa"/>
        <w:right w:w="0" w:type="dxa"/>
        <w:bottom w:w="0" w:type="dxa"/>
      </w:tblCellMar>
    </w:tblPr>
  </w:style>
  <w:style w:type="table" w:styleId="795" w:customStyle="1">
    <w:name w:val="List Table 1 Light - Accent 3"/>
    <w:uiPriority w:val="99"/>
    <w:qFormat/>
    <w:tblPr>
      <w:tblCellMar>
        <w:left w:w="0" w:type="dxa"/>
        <w:top w:w="0" w:type="dxa"/>
        <w:right w:w="0" w:type="dxa"/>
        <w:bottom w:w="0" w:type="dxa"/>
      </w:tblCellMar>
    </w:tblPr>
  </w:style>
  <w:style w:type="table" w:styleId="796" w:customStyle="1">
    <w:name w:val="List Table 1 Light - Accent 4"/>
    <w:uiPriority w:val="99"/>
    <w:qFormat/>
    <w:tblPr>
      <w:tblCellMar>
        <w:left w:w="0" w:type="dxa"/>
        <w:top w:w="0" w:type="dxa"/>
        <w:right w:w="0" w:type="dxa"/>
        <w:bottom w:w="0" w:type="dxa"/>
      </w:tblCellMar>
    </w:tblPr>
  </w:style>
  <w:style w:type="table" w:styleId="797" w:customStyle="1">
    <w:name w:val="List Table 1 Light - Accent 5"/>
    <w:uiPriority w:val="99"/>
    <w:qFormat/>
    <w:tblPr>
      <w:tblCellMar>
        <w:left w:w="0" w:type="dxa"/>
        <w:top w:w="0" w:type="dxa"/>
        <w:right w:w="0" w:type="dxa"/>
        <w:bottom w:w="0" w:type="dxa"/>
      </w:tblCellMar>
    </w:tblPr>
  </w:style>
  <w:style w:type="table" w:styleId="798" w:customStyle="1">
    <w:name w:val="List Table 1 Light - Accent 6"/>
    <w:uiPriority w:val="99"/>
    <w:qFormat/>
    <w:tblPr>
      <w:tblCellMar>
        <w:left w:w="0" w:type="dxa"/>
        <w:top w:w="0" w:type="dxa"/>
        <w:right w:w="0" w:type="dxa"/>
        <w:bottom w:w="0" w:type="dxa"/>
      </w:tblCellMar>
    </w:tblPr>
  </w:style>
  <w:style w:type="table" w:styleId="79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3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1" w:customStyle="1">
    <w:name w:val="Lined - Accent"/>
    <w:uiPriority w:val="99"/>
    <w:qFormat/>
    <w:rPr>
      <w:color w:val="404040"/>
    </w:rPr>
    <w:tblPr>
      <w:tblCellMar>
        <w:left w:w="0" w:type="dxa"/>
        <w:top w:w="0" w:type="dxa"/>
        <w:right w:w="0" w:type="dxa"/>
        <w:bottom w:w="0" w:type="dxa"/>
      </w:tblCellMar>
    </w:tblPr>
  </w:style>
  <w:style w:type="table" w:styleId="842" w:customStyle="1">
    <w:name w:val="Lined - Accent 1"/>
    <w:uiPriority w:val="99"/>
    <w:qFormat/>
    <w:rPr>
      <w:color w:val="404040"/>
    </w:rPr>
    <w:tblPr>
      <w:tblCellMar>
        <w:left w:w="0" w:type="dxa"/>
        <w:top w:w="0" w:type="dxa"/>
        <w:right w:w="0" w:type="dxa"/>
        <w:bottom w:w="0" w:type="dxa"/>
      </w:tblCellMar>
    </w:tblPr>
  </w:style>
  <w:style w:type="table" w:styleId="843" w:customStyle="1">
    <w:name w:val="Lined - Accent 2"/>
    <w:uiPriority w:val="99"/>
    <w:qFormat/>
    <w:rPr>
      <w:color w:val="404040"/>
    </w:rPr>
    <w:tblPr>
      <w:tblCellMar>
        <w:left w:w="0" w:type="dxa"/>
        <w:top w:w="0" w:type="dxa"/>
        <w:right w:w="0" w:type="dxa"/>
        <w:bottom w:w="0" w:type="dxa"/>
      </w:tblCellMar>
    </w:tblPr>
  </w:style>
  <w:style w:type="table" w:styleId="844" w:customStyle="1">
    <w:name w:val="Lined - Accent 3"/>
    <w:uiPriority w:val="99"/>
    <w:qFormat/>
    <w:rPr>
      <w:color w:val="404040"/>
    </w:rPr>
    <w:tblPr>
      <w:tblCellMar>
        <w:left w:w="0" w:type="dxa"/>
        <w:top w:w="0" w:type="dxa"/>
        <w:right w:w="0" w:type="dxa"/>
        <w:bottom w:w="0" w:type="dxa"/>
      </w:tblCellMar>
    </w:tblPr>
  </w:style>
  <w:style w:type="table" w:styleId="845" w:customStyle="1">
    <w:name w:val="Lined - Accent 4"/>
    <w:uiPriority w:val="99"/>
    <w:qFormat/>
    <w:rPr>
      <w:color w:val="404040"/>
    </w:rPr>
    <w:tblPr>
      <w:tblCellMar>
        <w:left w:w="0" w:type="dxa"/>
        <w:top w:w="0" w:type="dxa"/>
        <w:right w:w="0" w:type="dxa"/>
        <w:bottom w:w="0" w:type="dxa"/>
      </w:tblCellMar>
    </w:tblPr>
  </w:style>
  <w:style w:type="table" w:styleId="846" w:customStyle="1">
    <w:name w:val="Lined - Accent 5"/>
    <w:uiPriority w:val="99"/>
    <w:qFormat/>
    <w:rPr>
      <w:color w:val="404040"/>
    </w:rPr>
    <w:tblPr>
      <w:tblCellMar>
        <w:left w:w="0" w:type="dxa"/>
        <w:top w:w="0" w:type="dxa"/>
        <w:right w:w="0" w:type="dxa"/>
        <w:bottom w:w="0" w:type="dxa"/>
      </w:tblCellMar>
    </w:tblPr>
  </w:style>
  <w:style w:type="table" w:styleId="847" w:customStyle="1">
    <w:name w:val="Lined - Accent 6"/>
    <w:uiPriority w:val="99"/>
    <w:qFormat/>
    <w:rPr>
      <w:color w:val="404040"/>
    </w:rPr>
    <w:tblPr>
      <w:tblCellMar>
        <w:left w:w="0" w:type="dxa"/>
        <w:top w:w="0" w:type="dxa"/>
        <w:right w:w="0" w:type="dxa"/>
        <w:bottom w:w="0" w:type="dxa"/>
      </w:tblCellMar>
    </w:tblPr>
  </w:style>
  <w:style w:type="table" w:styleId="84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9"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0"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9"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2" w:customStyle="1">
    <w:name w:val="脚注文本 字符"/>
    <w:link w:val="696"/>
    <w:uiPriority w:val="99"/>
    <w:qFormat/>
    <w:rPr>
      <w:sz w:val="18"/>
    </w:rPr>
  </w:style>
  <w:style w:type="character" w:styleId="863" w:customStyle="1">
    <w:name w:val="尾注文本 字符"/>
    <w:link w:val="688"/>
    <w:uiPriority w:val="99"/>
    <w:qFormat/>
    <w:rPr>
      <w:sz w:val="20"/>
    </w:rPr>
  </w:style>
  <w:style w:type="paragraph" w:styleId="864" w:customStyle="1">
    <w:name w:val="TOC Heading"/>
    <w:uiPriority w:val="39"/>
    <w:unhideWhenUsed/>
    <w:qFormat/>
    <w:rPr>
      <w:rFonts w:ascii="Times New Roman" w:hAnsi="Times New Roman" w:eastAsia="宋体" w:cs="Times New Roman"/>
      <w:lang w:val="en-US" w:eastAsia="zh-CN" w:bidi="ar-SA"/>
    </w:rPr>
  </w:style>
  <w:style w:type="character" w:styleId="865" w:customStyle="1">
    <w:name w:val="标题 1 字符"/>
    <w:link w:val="661"/>
    <w:uiPriority w:val="0"/>
    <w:qFormat/>
    <w:rPr>
      <w:rFonts w:ascii="楷体_GB2312" w:hAnsi="Times New Roman" w:eastAsia="楷体_GB2312" w:cs="Times New Roman"/>
      <w:sz w:val="28"/>
      <w:szCs w:val="28"/>
    </w:rPr>
  </w:style>
  <w:style w:type="character" w:styleId="866" w:customStyle="1">
    <w:name w:val="标题 2 字符"/>
    <w:link w:val="662"/>
    <w:uiPriority w:val="0"/>
    <w:qFormat/>
    <w:rPr>
      <w:rFonts w:ascii="Arial" w:hAnsi="Arial" w:eastAsia="幼圆" w:cs="Arial"/>
      <w:b/>
      <w:bCs/>
      <w:sz w:val="44"/>
      <w:szCs w:val="44"/>
    </w:rPr>
  </w:style>
  <w:style w:type="character" w:styleId="867" w:customStyle="1">
    <w:name w:val="正文缩进 字符"/>
    <w:link w:val="672"/>
    <w:uiPriority w:val="0"/>
    <w:qFormat/>
    <w:rPr>
      <w:szCs w:val="21"/>
    </w:rPr>
  </w:style>
  <w:style w:type="character" w:styleId="868" w:customStyle="1">
    <w:name w:val="标题 3 字符"/>
    <w:link w:val="663"/>
    <w:uiPriority w:val="0"/>
    <w:qFormat/>
    <w:rPr>
      <w:rFonts w:ascii="Times New Roman" w:hAnsi="Times New Roman" w:eastAsia="宋体" w:cs="Times New Roman"/>
      <w:b/>
      <w:bCs/>
      <w:sz w:val="32"/>
      <w:szCs w:val="32"/>
    </w:rPr>
  </w:style>
  <w:style w:type="character" w:styleId="869" w:customStyle="1">
    <w:name w:val="标题 4 字符"/>
    <w:link w:val="664"/>
    <w:uiPriority w:val="0"/>
    <w:qFormat/>
    <w:rPr>
      <w:rFonts w:ascii="Arial" w:hAnsi="Arial" w:eastAsia="黑体" w:cs="Arial"/>
      <w:b/>
      <w:bCs/>
      <w:sz w:val="28"/>
      <w:szCs w:val="28"/>
    </w:rPr>
  </w:style>
  <w:style w:type="character" w:styleId="870" w:customStyle="1">
    <w:name w:val="标题 5 字符"/>
    <w:link w:val="665"/>
    <w:uiPriority w:val="0"/>
    <w:qFormat/>
    <w:rPr>
      <w:rFonts w:ascii="宋体" w:hAnsi="Times New Roman" w:eastAsia="宋体" w:cs="Times New Roman"/>
      <w:color w:val="000000"/>
      <w:sz w:val="28"/>
      <w:szCs w:val="28"/>
    </w:rPr>
  </w:style>
  <w:style w:type="character" w:styleId="871" w:customStyle="1">
    <w:name w:val="标题 6 字符"/>
    <w:link w:val="666"/>
    <w:uiPriority w:val="0"/>
    <w:qFormat/>
    <w:rPr>
      <w:rFonts w:ascii="Arial" w:hAnsi="Arial" w:eastAsia="黑体" w:cs="Times New Roman"/>
      <w:b/>
      <w:bCs/>
      <w:sz w:val="24"/>
      <w:szCs w:val="24"/>
    </w:rPr>
  </w:style>
  <w:style w:type="character" w:styleId="872" w:customStyle="1">
    <w:name w:val="标题 7 字符"/>
    <w:link w:val="667"/>
    <w:uiPriority w:val="0"/>
    <w:qFormat/>
    <w:rPr>
      <w:rFonts w:ascii="Times New Roman" w:hAnsi="Times New Roman" w:eastAsia="宋体" w:cs="Times New Roman"/>
      <w:b/>
      <w:bCs/>
      <w:sz w:val="24"/>
      <w:szCs w:val="24"/>
    </w:rPr>
  </w:style>
  <w:style w:type="character" w:styleId="873" w:customStyle="1">
    <w:name w:val="标题 8 字符"/>
    <w:link w:val="668"/>
    <w:uiPriority w:val="0"/>
    <w:qFormat/>
    <w:rPr>
      <w:rFonts w:ascii="Arial" w:hAnsi="Arial" w:eastAsia="黑体" w:cs="Times New Roman"/>
      <w:sz w:val="24"/>
      <w:szCs w:val="24"/>
    </w:rPr>
  </w:style>
  <w:style w:type="character" w:styleId="874" w:customStyle="1">
    <w:name w:val="标题 9 字符"/>
    <w:link w:val="669"/>
    <w:uiPriority w:val="0"/>
    <w:qFormat/>
    <w:rPr>
      <w:rFonts w:ascii="Arial" w:hAnsi="Arial" w:eastAsia="黑体" w:cs="Times New Roman"/>
      <w:szCs w:val="21"/>
    </w:rPr>
  </w:style>
  <w:style w:type="character" w:styleId="875" w:customStyle="1">
    <w:name w:val="文档结构图 字符"/>
    <w:link w:val="676"/>
    <w:uiPriority w:val="0"/>
    <w:semiHidden/>
    <w:qFormat/>
    <w:rPr>
      <w:rFonts w:ascii="Times New Roman" w:hAnsi="Times New Roman" w:eastAsia="宋体" w:cs="Times New Roman"/>
      <w:szCs w:val="21"/>
      <w:shd w:val="clear" w:color="auto" w:fill="000080"/>
    </w:rPr>
  </w:style>
  <w:style w:type="character" w:styleId="876" w:customStyle="1">
    <w:name w:val="批注文字 字符"/>
    <w:link w:val="677"/>
    <w:uiPriority w:val="99"/>
    <w:semiHidden/>
    <w:qFormat/>
  </w:style>
  <w:style w:type="character" w:styleId="877" w:customStyle="1">
    <w:name w:val="正文文本 3 字符"/>
    <w:link w:val="678"/>
    <w:uiPriority w:val="0"/>
    <w:qFormat/>
    <w:rPr>
      <w:rFonts w:ascii="仿宋_GB2312" w:hAnsi="Arial" w:eastAsia="仿宋_GB2312" w:cs="Times New Roman"/>
      <w:sz w:val="32"/>
      <w:szCs w:val="32"/>
    </w:rPr>
  </w:style>
  <w:style w:type="character" w:styleId="878" w:customStyle="1">
    <w:name w:val="正文文本 字符"/>
    <w:link w:val="679"/>
    <w:uiPriority w:val="0"/>
    <w:qFormat/>
    <w:rPr>
      <w:rFonts w:ascii="楷体_GB2312" w:hAnsi="Arial" w:eastAsia="楷体_GB2312" w:cs="Times New Roman"/>
      <w:sz w:val="28"/>
      <w:szCs w:val="28"/>
    </w:rPr>
  </w:style>
  <w:style w:type="character" w:styleId="879" w:customStyle="1">
    <w:name w:val="正文文本缩进 字符"/>
    <w:link w:val="680"/>
    <w:uiPriority w:val="99"/>
    <w:semiHidden/>
    <w:qFormat/>
  </w:style>
  <w:style w:type="character" w:styleId="880" w:customStyle="1">
    <w:name w:val="纯文本 字符"/>
    <w:link w:val="684"/>
    <w:uiPriority w:val="0"/>
    <w:qFormat/>
    <w:rPr>
      <w:rFonts w:ascii="宋体" w:hAnsi="Courier New" w:eastAsia="宋体" w:cs="Courier New"/>
      <w:szCs w:val="21"/>
    </w:rPr>
  </w:style>
  <w:style w:type="character" w:styleId="881" w:customStyle="1">
    <w:name w:val="日期 字符"/>
    <w:link w:val="686"/>
    <w:uiPriority w:val="0"/>
    <w:qFormat/>
    <w:rPr>
      <w:rFonts w:ascii="Times New Roman" w:hAnsi="Times New Roman" w:eastAsia="宋体" w:cs="Times New Roman"/>
      <w:sz w:val="24"/>
      <w:szCs w:val="24"/>
    </w:rPr>
  </w:style>
  <w:style w:type="character" w:styleId="882" w:customStyle="1">
    <w:name w:val="正文文本缩进 2 字符"/>
    <w:link w:val="687"/>
    <w:uiPriority w:val="0"/>
    <w:qFormat/>
    <w:rPr>
      <w:rFonts w:ascii="Arial" w:hAnsi="Arial" w:eastAsia="仿宋_GB2312" w:cs="Arial"/>
      <w:sz w:val="32"/>
      <w:szCs w:val="32"/>
    </w:rPr>
  </w:style>
  <w:style w:type="character" w:styleId="883" w:customStyle="1">
    <w:name w:val="批注框文本 字符"/>
    <w:link w:val="689"/>
    <w:uiPriority w:val="0"/>
    <w:semiHidden/>
    <w:qFormat/>
    <w:rPr>
      <w:rFonts w:ascii="Times New Roman" w:hAnsi="Times New Roman" w:eastAsia="宋体" w:cs="Times New Roman"/>
      <w:sz w:val="18"/>
      <w:szCs w:val="18"/>
    </w:rPr>
  </w:style>
  <w:style w:type="character" w:styleId="884" w:customStyle="1">
    <w:name w:val="页脚 字符"/>
    <w:link w:val="690"/>
    <w:uiPriority w:val="99"/>
    <w:qFormat/>
    <w:rPr>
      <w:rFonts w:ascii="Times New Roman" w:hAnsi="Times New Roman" w:eastAsia="宋体" w:cs="Times New Roman"/>
      <w:sz w:val="18"/>
      <w:szCs w:val="18"/>
    </w:rPr>
  </w:style>
  <w:style w:type="character" w:styleId="885" w:customStyle="1">
    <w:name w:val="页眉 字符"/>
    <w:link w:val="691"/>
    <w:uiPriority w:val="0"/>
    <w:qFormat/>
    <w:rPr>
      <w:rFonts w:ascii="Times New Roman" w:hAnsi="Times New Roman" w:eastAsia="宋体" w:cs="Times New Roman"/>
      <w:sz w:val="18"/>
      <w:szCs w:val="18"/>
    </w:rPr>
  </w:style>
  <w:style w:type="character" w:styleId="886" w:customStyle="1">
    <w:name w:val="正文文本缩进 3 字符"/>
    <w:link w:val="698"/>
    <w:uiPriority w:val="0"/>
    <w:qFormat/>
    <w:rPr>
      <w:rFonts w:ascii="Arial" w:hAnsi="Arial" w:eastAsia="仿宋_GB2312" w:cs="Arial"/>
      <w:color w:val="ffff00"/>
      <w:sz w:val="32"/>
      <w:szCs w:val="32"/>
    </w:rPr>
  </w:style>
  <w:style w:type="character" w:styleId="887" w:customStyle="1">
    <w:name w:val="正文文本 2 字符"/>
    <w:link w:val="702"/>
    <w:uiPriority w:val="0"/>
    <w:qFormat/>
    <w:rPr>
      <w:rFonts w:ascii="楷体_GB2312" w:hAnsi="Times New Roman" w:eastAsia="楷体_GB2312" w:cs="Times New Roman"/>
      <w:sz w:val="28"/>
      <w:szCs w:val="28"/>
    </w:rPr>
  </w:style>
  <w:style w:type="character" w:styleId="888" w:customStyle="1">
    <w:name w:val="批注主题 字符"/>
    <w:link w:val="706"/>
    <w:uiPriority w:val="0"/>
    <w:semiHidden/>
    <w:qFormat/>
    <w:rPr>
      <w:rFonts w:ascii="Times New Roman" w:hAnsi="Times New Roman" w:eastAsia="宋体" w:cs="Times New Roman"/>
      <w:b/>
      <w:bCs/>
      <w:szCs w:val="21"/>
    </w:rPr>
  </w:style>
  <w:style w:type="character" w:styleId="889" w:customStyle="1">
    <w:name w:val="正文首行缩进 字符"/>
    <w:link w:val="707"/>
    <w:uiPriority w:val="0"/>
    <w:qFormat/>
    <w:rPr>
      <w:rFonts w:ascii="仿宋_GB2312" w:hAnsi="Times New Roman" w:eastAsia="仿宋_GB2312" w:cs="Times New Roman"/>
      <w:sz w:val="30"/>
      <w:szCs w:val="30"/>
    </w:rPr>
  </w:style>
  <w:style w:type="character" w:styleId="890" w:customStyle="1">
    <w:name w:val="正文首行缩进 2 字符"/>
    <w:link w:val="708"/>
    <w:uiPriority w:val="99"/>
    <w:qFormat/>
    <w:rPr>
      <w:rFonts w:ascii="宋体" w:hAnsi="宋体" w:eastAsia="宋体" w:cs="Times New Roman"/>
      <w:szCs w:val="20"/>
    </w:rPr>
  </w:style>
  <w:style w:type="character" w:styleId="891" w:customStyle="1">
    <w:name w:val="已访问的超链接1"/>
    <w:uiPriority w:val="0"/>
    <w:qFormat/>
    <w:rPr>
      <w:color w:val="800080"/>
      <w:u w:val="single"/>
    </w:rPr>
  </w:style>
  <w:style w:type="paragraph" w:styleId="892" w:customStyle="1">
    <w:name w:val="正文首行缩进1"/>
    <w:basedOn w:val="893"/>
    <w:uiPriority w:val="0"/>
    <w:qFormat/>
    <w:pPr>
      <w:ind w:firstLine="200"/>
      <w:spacing w:line="360" w:lineRule="auto"/>
    </w:pPr>
    <w:rPr>
      <w:rFonts w:ascii="仿宋_GB2312" w:hAnsi="Times New Roman" w:eastAsia="仿宋_GB2312"/>
      <w:sz w:val="30"/>
      <w:szCs w:val="30"/>
    </w:rPr>
  </w:style>
  <w:style w:type="paragraph" w:styleId="893" w:customStyle="1">
    <w:name w:val="正文文本1"/>
    <w:basedOn w:val="894"/>
    <w:next w:val="660"/>
    <w:uiPriority w:val="99"/>
    <w:unhideWhenUsed/>
    <w:qFormat/>
    <w:rPr>
      <w:rFonts w:ascii="??_GB2312" w:hAnsi="??_GB2312"/>
      <w:sz w:val="28"/>
      <w:szCs w:val="28"/>
    </w:rPr>
  </w:style>
  <w:style w:type="paragraph" w:styleId="894" w:customStyle="1">
    <w:name w:val="正文11"/>
    <w:next w:val="893"/>
    <w:uiPriority w:val="0"/>
    <w:qFormat/>
    <w:pPr>
      <w:jc w:val="both"/>
      <w:widowControl w:val="off"/>
    </w:pPr>
    <w:rPr>
      <w:rFonts w:ascii="Calibri" w:hAnsi="Calibri" w:eastAsia="宋体" w:cs="Times New Roman"/>
      <w:sz w:val="21"/>
      <w:szCs w:val="21"/>
      <w:lang w:val="en-US" w:eastAsia="zh-CN" w:bidi="ar-SA"/>
    </w:rPr>
  </w:style>
  <w:style w:type="character" w:styleId="895" w:customStyle="1">
    <w:name w:val="font5 Char"/>
    <w:uiPriority w:val="0"/>
    <w:qFormat/>
    <w:rPr>
      <w:rFonts w:ascii="宋体" w:hAnsi="宋体" w:eastAsia="宋体"/>
      <w:sz w:val="28"/>
      <w:szCs w:val="28"/>
      <w:lang w:val="en-US" w:eastAsia="zh-CN" w:bidi="ar-SA"/>
    </w:rPr>
  </w:style>
  <w:style w:type="character" w:styleId="896" w:customStyle="1">
    <w:name w:val="二级目录 Char"/>
    <w:link w:val="897"/>
    <w:uiPriority w:val="0"/>
    <w:qFormat/>
    <w:rPr>
      <w:b/>
      <w:sz w:val="30"/>
      <w:szCs w:val="28"/>
    </w:rPr>
  </w:style>
  <w:style w:type="paragraph" w:styleId="897" w:customStyle="1">
    <w:name w:val="二级目录"/>
    <w:next w:val="660"/>
    <w:link w:val="89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98" w:customStyle="1">
    <w:name w:val="列出段落 Char"/>
    <w:link w:val="899"/>
    <w:uiPriority w:val="0"/>
    <w:qFormat/>
    <w:rPr>
      <w:rFonts w:ascii="Calibri" w:hAnsi="Calibri"/>
      <w:sz w:val="24"/>
      <w:szCs w:val="24"/>
      <w:lang w:eastAsia="en-US" w:bidi="en-US"/>
    </w:rPr>
  </w:style>
  <w:style w:type="paragraph" w:styleId="899" w:customStyle="1">
    <w:name w:val="列出段落1"/>
    <w:basedOn w:val="660"/>
    <w:link w:val="898"/>
    <w:uiPriority w:val="0"/>
    <w:qFormat/>
    <w:pPr>
      <w:contextualSpacing/>
      <w:ind w:left="720"/>
      <w:jc w:val="left"/>
      <w:widowControl/>
    </w:pPr>
    <w:rPr>
      <w:rFonts w:ascii="Calibri" w:hAnsi="Calibri"/>
      <w:sz w:val="24"/>
      <w:szCs w:val="24"/>
      <w:lang w:eastAsia="en-US" w:bidi="en-US"/>
    </w:rPr>
  </w:style>
  <w:style w:type="paragraph" w:styleId="900" w:customStyle="1">
    <w:name w:val="Body Text(ch)"/>
    <w:basedOn w:val="660"/>
    <w:next w:val="679"/>
    <w:uiPriority w:val="0"/>
    <w:qFormat/>
    <w:pPr>
      <w:spacing w:after="120"/>
    </w:pPr>
    <w:rPr>
      <w:rFonts w:ascii="宋体" w:hAnsi="Arial"/>
      <w:bCs/>
      <w:iCs/>
      <w:szCs w:val="24"/>
    </w:rPr>
  </w:style>
  <w:style w:type="paragraph" w:styleId="901" w:customStyle="1">
    <w:name w:val="xl27"/>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2"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3" w:customStyle="1">
    <w:name w:val="Char"/>
    <w:basedOn w:val="660"/>
    <w:uiPriority w:val="0"/>
    <w:qFormat/>
    <w:pPr>
      <w:ind w:firstLine="200"/>
      <w:tabs>
        <w:tab w:val="left" w:pos="360" w:leader="none"/>
      </w:tabs>
    </w:pPr>
    <w:rPr>
      <w:sz w:val="28"/>
      <w:szCs w:val="30"/>
    </w:rPr>
  </w:style>
  <w:style w:type="paragraph" w:styleId="904" w:customStyle="1">
    <w:name w:val="Char1"/>
    <w:basedOn w:val="676"/>
    <w:uiPriority w:val="0"/>
    <w:qFormat/>
    <w:rPr>
      <w:rFonts w:ascii="Tahoma" w:hAnsi="Tahoma"/>
      <w:sz w:val="24"/>
      <w:szCs w:val="24"/>
    </w:rPr>
  </w:style>
  <w:style w:type="paragraph" w:styleId="905" w:customStyle="1">
    <w:name w:val="普通正文"/>
    <w:basedOn w:val="906"/>
    <w:uiPriority w:val="0"/>
    <w:qFormat/>
    <w:pPr>
      <w:ind w:firstLine="480"/>
      <w:jc w:val="left"/>
      <w:spacing w:before="120" w:after="120" w:line="360" w:lineRule="auto"/>
    </w:pPr>
    <w:rPr>
      <w:rFonts w:ascii="Arial" w:hAnsi="Arial"/>
      <w:sz w:val="24"/>
      <w:szCs w:val="24"/>
    </w:rPr>
  </w:style>
  <w:style w:type="paragraph" w:styleId="906"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paragraph" w:styleId="907" w:customStyle="1">
    <w:name w:val="table_lines"/>
    <w:basedOn w:val="660"/>
    <w:uiPriority w:val="0"/>
    <w:qFormat/>
    <w:pPr>
      <w:jc w:val="left"/>
      <w:widowControl/>
    </w:pPr>
    <w:rPr>
      <w:sz w:val="20"/>
      <w:szCs w:val="20"/>
      <w:lang w:val="de-DE" w:eastAsia="de-DE"/>
    </w:rPr>
  </w:style>
  <w:style w:type="paragraph" w:styleId="90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09" w:customStyle="1">
    <w:name w:val="font7"/>
    <w:basedOn w:val="660"/>
    <w:uiPriority w:val="0"/>
    <w:qFormat/>
    <w:pPr>
      <w:jc w:val="left"/>
      <w:spacing w:before="100" w:beforeAutospacing="1" w:after="100" w:afterAutospacing="1"/>
      <w:widowControl/>
    </w:pPr>
    <w:rPr>
      <w:rFonts w:hint="eastAsia" w:ascii="宋体" w:hAnsi="宋体"/>
      <w:sz w:val="18"/>
      <w:szCs w:val="18"/>
    </w:rPr>
  </w:style>
  <w:style w:type="paragraph" w:styleId="910" w:customStyle="1">
    <w:name w:val="Char Char Char Char"/>
    <w:basedOn w:val="676"/>
    <w:uiPriority w:val="0"/>
    <w:qFormat/>
    <w:pPr>
      <w:spacing w:line="360" w:lineRule="auto"/>
    </w:pPr>
    <w:rPr>
      <w:rFonts w:ascii="Tahoma" w:hAnsi="Tahoma"/>
      <w:sz w:val="24"/>
      <w:szCs w:val="24"/>
    </w:rPr>
  </w:style>
  <w:style w:type="paragraph" w:styleId="911" w:customStyle="1">
    <w:name w:val="4"/>
    <w:basedOn w:val="660"/>
    <w:next w:val="698"/>
    <w:uiPriority w:val="0"/>
    <w:qFormat/>
    <w:pPr>
      <w:ind w:firstLine="420"/>
      <w:spacing w:line="360" w:lineRule="auto"/>
    </w:pPr>
    <w:rPr>
      <w:color w:val="ff0000"/>
      <w:sz w:val="24"/>
      <w:szCs w:val="24"/>
    </w:rPr>
  </w:style>
  <w:style w:type="paragraph" w:styleId="912" w:customStyle="1">
    <w:name w:val="普通 (Web)"/>
    <w:basedOn w:val="660"/>
    <w:uiPriority w:val="0"/>
    <w:qFormat/>
    <w:pPr>
      <w:jc w:val="left"/>
      <w:spacing w:before="100" w:beforeAutospacing="1" w:after="100" w:afterAutospacing="1"/>
      <w:widowControl/>
    </w:pPr>
    <w:rPr>
      <w:rFonts w:ascii="宋体" w:hAnsi="宋体"/>
      <w:sz w:val="24"/>
      <w:szCs w:val="24"/>
    </w:rPr>
  </w:style>
  <w:style w:type="paragraph" w:styleId="913" w:customStyle="1">
    <w:name w:val="Char Char Char Char Char Char Char Char Char Char"/>
    <w:basedOn w:val="660"/>
    <w:uiPriority w:val="0"/>
    <w:qFormat/>
    <w:pPr>
      <w:spacing w:line="360" w:lineRule="auto"/>
    </w:pPr>
    <w:rPr>
      <w:sz w:val="24"/>
      <w:szCs w:val="20"/>
    </w:rPr>
  </w:style>
  <w:style w:type="paragraph" w:styleId="914" w:customStyle="1">
    <w:name w:val="样式1"/>
    <w:basedOn w:val="660"/>
    <w:uiPriority w:val="0"/>
    <w:qFormat/>
    <w:pPr>
      <w:numPr>
        <w:ilvl w:val="0"/>
        <w:numId w:val="3"/>
      </w:numPr>
    </w:pPr>
    <w:rPr>
      <w:rFonts w:ascii="宋体" w:hAnsi="宋体"/>
      <w:szCs w:val="21"/>
    </w:rPr>
  </w:style>
  <w:style w:type="paragraph" w:styleId="915"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paragraph" w:styleId="916"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7"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8" w:customStyle="1">
    <w:name w:val="标题3"/>
    <w:basedOn w:val="660"/>
    <w:next w:val="660"/>
    <w:uiPriority w:val="0"/>
    <w:qFormat/>
    <w:pPr>
      <w:ind w:firstLine="624"/>
      <w:spacing w:line="590" w:lineRule="atLeast"/>
    </w:pPr>
    <w:rPr>
      <w:rFonts w:ascii="方正黑体_GBK" w:eastAsia="方正黑体_GBK"/>
      <w:sz w:val="32"/>
      <w:szCs w:val="32"/>
    </w:rPr>
  </w:style>
  <w:style w:type="paragraph" w:styleId="919" w:customStyle="1">
    <w:name w:val="xl24"/>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0" w:customStyle="1">
    <w:name w:val="xl29"/>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1"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22"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3" w:customStyle="1">
    <w:name w:val="Char Char Char Char Char Char Char Char1"/>
    <w:basedOn w:val="660"/>
    <w:uiPriority w:val="0"/>
    <w:qFormat/>
    <w:pPr>
      <w:jc w:val="left"/>
      <w:spacing w:after="160" w:line="240" w:lineRule="exact"/>
      <w:widowControl/>
    </w:pPr>
    <w:rPr>
      <w:rFonts w:ascii="Verdana" w:hAnsi="Verdana"/>
      <w:sz w:val="20"/>
      <w:szCs w:val="20"/>
      <w:lang w:eastAsia="en-US"/>
    </w:rPr>
  </w:style>
  <w:style w:type="paragraph" w:styleId="924"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25" w:customStyle="1">
    <w:name w:val="Char Char Char Char1"/>
    <w:basedOn w:val="676"/>
    <w:uiPriority w:val="0"/>
    <w:qFormat/>
    <w:pPr>
      <w:spacing w:line="360" w:lineRule="auto"/>
    </w:pPr>
    <w:rPr>
      <w:rFonts w:ascii="Tahoma" w:hAnsi="Tahoma"/>
      <w:sz w:val="24"/>
      <w:szCs w:val="24"/>
    </w:rPr>
  </w:style>
  <w:style w:type="paragraph" w:styleId="926" w:customStyle="1">
    <w:name w:val="table_1stline"/>
    <w:basedOn w:val="660"/>
    <w:uiPriority w:val="0"/>
    <w:qFormat/>
    <w:pPr>
      <w:jc w:val="left"/>
      <w:spacing w:before="120"/>
      <w:widowControl/>
    </w:pPr>
    <w:rPr>
      <w:bCs/>
      <w:sz w:val="20"/>
      <w:szCs w:val="20"/>
      <w:lang w:val="de-DE" w:eastAsia="de-DE"/>
    </w:rPr>
  </w:style>
  <w:style w:type="paragraph" w:styleId="927"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paragraph" w:styleId="928"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9" w:customStyle="1">
    <w:name w:val="Revision"/>
    <w:uiPriority w:val="99"/>
    <w:semiHidden/>
    <w:qFormat/>
    <w:rPr>
      <w:rFonts w:ascii="Times New Roman" w:hAnsi="Times New Roman" w:eastAsia="宋体" w:cs="Times New Roman"/>
      <w:sz w:val="21"/>
      <w:szCs w:val="21"/>
      <w:lang w:val="en-US" w:eastAsia="zh-CN" w:bidi="ar-SA"/>
    </w:rPr>
  </w:style>
  <w:style w:type="paragraph" w:styleId="9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31" w:customStyle="1">
    <w:name w:val="ant-tag"/>
    <w:uiPriority w:val="0"/>
    <w:qFormat/>
  </w:style>
  <w:style w:type="paragraph" w:styleId="932" w:customStyle="1">
    <w:name w:val="正文缩进1"/>
    <w:basedOn w:val="660"/>
    <w:uiPriority w:val="0"/>
    <w:qFormat/>
    <w:pPr>
      <w:ind w:firstLine="420"/>
    </w:pPr>
    <w:rPr>
      <w:sz w:val="20"/>
      <w:szCs w:val="20"/>
    </w:rPr>
  </w:style>
  <w:style w:type="paragraph" w:styleId="933" w:customStyle="1">
    <w:name w:val="正文首行缩进 21"/>
    <w:basedOn w:val="660"/>
    <w:uiPriority w:val="99"/>
    <w:unhideWhenUsed/>
    <w:qFormat/>
    <w:pPr>
      <w:ind w:left="420" w:firstLine="420"/>
      <w:spacing w:after="120"/>
    </w:pPr>
    <w:rPr>
      <w:szCs w:val="24"/>
    </w:rPr>
  </w:style>
  <w:style w:type="paragraph" w:styleId="934" w:customStyle="1">
    <w:name w:val="Table Text"/>
    <w:basedOn w:val="660"/>
    <w:uiPriority w:val="0"/>
    <w:semiHidden/>
    <w:qFormat/>
    <w:pPr>
      <w:jc w:val="left"/>
      <w:widowControl/>
    </w:pPr>
    <w:rPr>
      <w:rFonts w:ascii="宋体" w:hAnsi="宋体" w:cs="宋体"/>
      <w:color w:val="000000"/>
      <w:szCs w:val="21"/>
      <w:lang w:eastAsia="en-US"/>
    </w:rPr>
  </w:style>
  <w:style w:type="table" w:styleId="935" w:customStyle="1">
    <w:name w:val="Table Normal"/>
    <w:uiPriority w:val="0"/>
    <w:unhideWhenUsed/>
    <w:qFormat/>
    <w:tblPr>
      <w:tblCellMar>
        <w:left w:w="0" w:type="dxa"/>
        <w:top w:w="0" w:type="dxa"/>
        <w:right w:w="0" w:type="dxa"/>
        <w:bottom w:w="0" w:type="dxa"/>
      </w:tblCellMar>
    </w:tblPr>
  </w:style>
  <w:style w:type="character" w:styleId="936" w:customStyle="1">
    <w:name w:val="qk-md-text"/>
    <w:uiPriority w:val="0"/>
    <w:qFormat/>
  </w:style>
  <w:style w:type="numbering" w:styleId="8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4</cp:revision>
  <dcterms:created xsi:type="dcterms:W3CDTF">2026-01-21T06:16:00Z</dcterms:created>
  <dcterms:modified xsi:type="dcterms:W3CDTF">2026-02-02T01:52:23Z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2052-12.1.0.24657</vt:lpwstr>
  </property>
  <property fmtid="{D5CDD505-2E9C-101B-9397-08002B2CF9AE}" pid="4" name="ICV">
    <vt:lpwstr>B74BA2A671C64CE495B45708DE2903B8_13</vt:lpwstr>
  </property>
</Properties>
</file>