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highlight w:val="none"/>
        </w:rPr>
      </w:pPr>
      <w:r>
        <w:rPr>
          <w:rFonts w:ascii="CESI黑体-GB2312" w:hAnsi="CESI黑体-GB2312" w:eastAsia="CESI黑体-GB2312" w:cs="CESI黑体-GB2312"/>
          <w:sz w:val="32"/>
          <w:szCs w:val="32"/>
          <w:highlight w:val="none"/>
        </w:rPr>
      </w:r>
      <w:r/>
    </w:p>
    <w:p>
      <w:pPr>
        <w:ind w:firstLine="300"/>
        <w:spacing w:line="360" w:lineRule="auto"/>
        <w:rPr>
          <w:sz w:val="60"/>
          <w:szCs w:val="60"/>
          <w:highlight w:val="none"/>
        </w:rPr>
      </w:pPr>
      <w:r>
        <w:rPr>
          <w:sz w:val="60"/>
          <w:szCs w:val="60"/>
          <w:highlight w:val="none"/>
        </w:rPr>
      </w:r>
      <w:r/>
    </w:p>
    <w:p>
      <w:pPr>
        <w:jc w:val="center"/>
        <w:rPr>
          <w:rFonts w:ascii="Times New Roman" w:hAnsi="Times New Roman" w:eastAsia="宋体" w:cs="Times New Roman"/>
          <w:b/>
          <w:bCs/>
          <w:sz w:val="60"/>
          <w:szCs w:val="60"/>
          <w:highlight w:val="none"/>
        </w:rPr>
      </w:pPr>
      <w:r>
        <w:rPr>
          <w:rFonts w:ascii="Times New Roman" w:hAnsi="Times New Roman" w:eastAsia="宋体" w:cs="Times New Roman"/>
          <w:b/>
          <w:bCs/>
          <w:sz w:val="60"/>
          <w:szCs w:val="60"/>
          <w:highlight w:val="none"/>
        </w:rPr>
        <w:t xml:space="preserve">常州市政府采购项目</w:t>
      </w:r>
      <w:r/>
    </w:p>
    <w:p>
      <w:pPr>
        <w:jc w:val="center"/>
        <w:rPr>
          <w:b/>
          <w:bCs/>
          <w:sz w:val="60"/>
          <w:szCs w:val="60"/>
          <w:highlight w:val="none"/>
        </w:rPr>
      </w:pPr>
      <w:r>
        <w:rPr>
          <w:rFonts w:hint="eastAsia" w:ascii="Times New Roman" w:hAnsi="Times New Roman" w:eastAsia="宋体" w:cs="Times New Roman"/>
          <w:b/>
          <w:bCs/>
          <w:sz w:val="60"/>
          <w:szCs w:val="60"/>
          <w:highlight w:val="none"/>
        </w:rPr>
        <w:t xml:space="preserve">公开</w:t>
      </w:r>
      <w:r>
        <w:rPr>
          <w:rFonts w:ascii="Times New Roman" w:hAnsi="Times New Roman" w:eastAsia="宋体" w:cs="Times New Roman"/>
          <w:b/>
          <w:bCs/>
          <w:sz w:val="60"/>
          <w:szCs w:val="60"/>
          <w:highlight w:val="none"/>
        </w:rPr>
        <w:t xml:space="preserve">招标文件</w:t>
      </w:r>
      <w:r/>
    </w:p>
    <w:p>
      <w:pPr>
        <w:jc w:val="center"/>
        <w:rPr>
          <w:b/>
          <w:bCs/>
          <w:sz w:val="60"/>
          <w:szCs w:val="60"/>
          <w:highlight w:val="none"/>
        </w:rPr>
      </w:pPr>
      <w:r>
        <w:rPr>
          <w:b/>
          <w:bCs/>
          <w:sz w:val="60"/>
          <w:szCs w:val="60"/>
          <w:highlight w:val="none"/>
        </w:rPr>
      </w:r>
      <w:r/>
    </w:p>
    <w:p>
      <w:pPr>
        <w:jc w:val="center"/>
        <w:spacing w:line="360" w:lineRule="auto"/>
        <w:rPr>
          <w:sz w:val="60"/>
          <w:szCs w:val="60"/>
          <w:highlight w:val="none"/>
        </w:rPr>
      </w:pPr>
      <w:r>
        <w:rPr>
          <w:sz w:val="60"/>
          <w:szCs w:val="60"/>
          <w:highlight w:val="none"/>
        </w:rPr>
      </w:r>
      <w:r/>
    </w:p>
    <w:p>
      <w:pPr>
        <w:jc w:val="center"/>
        <w:spacing w:line="360" w:lineRule="auto"/>
        <w:rPr>
          <w:sz w:val="60"/>
          <w:szCs w:val="60"/>
          <w:highlight w:val="none"/>
        </w:rPr>
      </w:pPr>
      <w:r>
        <w:rPr>
          <w:sz w:val="60"/>
          <w:szCs w:val="60"/>
          <w:highlight w:val="none"/>
        </w:rPr>
      </w:r>
      <w:r/>
    </w:p>
    <w:p>
      <w:pPr>
        <w:jc w:val="both"/>
        <w:spacing w:line="360" w:lineRule="auto"/>
        <w:rPr>
          <w:sz w:val="60"/>
          <w:szCs w:val="60"/>
          <w:highlight w:val="none"/>
        </w:rPr>
      </w:pPr>
      <w:r>
        <w:rPr>
          <w:sz w:val="60"/>
          <w:szCs w:val="60"/>
          <w:highlight w:val="none"/>
        </w:rPr>
      </w:r>
      <w:r/>
    </w:p>
    <w:p>
      <w:pPr>
        <w:jc w:val="left"/>
        <w:spacing w:line="360" w:lineRule="auto"/>
        <w:tabs>
          <w:tab w:val="left" w:pos="3240" w:leader="none"/>
          <w:tab w:val="left" w:pos="3420" w:leader="none"/>
        </w:tabs>
        <w:rPr>
          <w:bCs/>
          <w:sz w:val="36"/>
          <w:szCs w:val="36"/>
          <w:highlight w:val="none"/>
        </w:rPr>
      </w:pPr>
      <w:r>
        <w:rPr>
          <w:bCs/>
          <w:sz w:val="36"/>
          <w:szCs w:val="36"/>
          <w:highlight w:val="none"/>
        </w:rPr>
        <w:t xml:space="preserve">项目名称：</w:t>
      </w:r>
      <w:r>
        <w:rPr>
          <w:rFonts w:hint="eastAsia"/>
          <w:bCs/>
          <w:sz w:val="36"/>
          <w:szCs w:val="36"/>
          <w:highlight w:val="none"/>
          <w:lang w:eastAsia="zh-CN"/>
        </w:rPr>
        <w:t xml:space="preserve">2026年园区绿化养护项目</w:t>
      </w:r>
      <w:r/>
    </w:p>
    <w:p>
      <w:pPr>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项目编号：</w:t>
      </w:r>
      <w:r>
        <w:rPr>
          <w:rFonts w:hint="eastAsia"/>
          <w:bCs/>
          <w:sz w:val="36"/>
          <w:szCs w:val="36"/>
          <w:highlight w:val="none"/>
          <w:lang w:eastAsia="zh-CN"/>
        </w:rPr>
        <w:t xml:space="preserve">JSZC-320481-LPHX-G2026-0001</w:t>
      </w:r>
      <w:r/>
    </w:p>
    <w:p>
      <w:pPr>
        <w:ind w:left="1800" w:hanging="1800"/>
        <w:spacing w:line="360" w:lineRule="auto"/>
        <w:tabs>
          <w:tab w:val="left" w:pos="3240" w:leader="none"/>
          <w:tab w:val="left" w:pos="3420" w:leader="none"/>
        </w:tabs>
        <w:rPr>
          <w:rFonts w:hint="eastAsia"/>
          <w:bCs/>
          <w:sz w:val="36"/>
          <w:szCs w:val="36"/>
          <w:highlight w:val="none"/>
          <w:lang w:eastAsia="zh-CN"/>
        </w:rPr>
      </w:pPr>
      <w:r>
        <w:rPr>
          <w:bCs/>
          <w:sz w:val="36"/>
          <w:szCs w:val="36"/>
          <w:highlight w:val="none"/>
        </w:rPr>
        <w:t xml:space="preserve">采 购 人：</w:t>
      </w:r>
      <w:r>
        <w:rPr>
          <w:rFonts w:hint="eastAsia"/>
          <w:bCs/>
          <w:sz w:val="36"/>
          <w:szCs w:val="36"/>
          <w:highlight w:val="none"/>
          <w:lang w:val="en-US" w:eastAsia="zh-CN"/>
        </w:rPr>
        <w:t xml:space="preserve">江苏省溧阳高新技术产业开发区国有资产管理中心</w:t>
      </w:r>
      <w:r/>
    </w:p>
    <w:p>
      <w:pPr>
        <w:jc w:val="left"/>
        <w:spacing w:line="360" w:lineRule="auto"/>
        <w:tabs>
          <w:tab w:val="left" w:pos="3240" w:leader="none"/>
          <w:tab w:val="left" w:pos="3420" w:leader="none"/>
        </w:tabs>
        <w:rPr>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lang w:eastAsia="zh-CN"/>
        </w:rPr>
        <w:t xml:space="preserve">溧阳普弘信工程项目管理有限公司</w:t>
      </w:r>
      <w:r>
        <w:rPr>
          <w:bCs/>
          <w:sz w:val="36"/>
          <w:szCs w:val="36"/>
          <w:highlight w:val="none"/>
        </w:rPr>
        <w:t xml:space="preserve"> </w:t>
      </w:r>
      <w:r/>
    </w:p>
    <w:p>
      <w:pPr>
        <w:jc w:val="left"/>
        <w:widowControl/>
        <w:rPr>
          <w:b/>
          <w:bCs/>
          <w:sz w:val="44"/>
          <w:highlight w:val="none"/>
        </w:rPr>
      </w:pPr>
      <w:r>
        <w:rPr>
          <w:b/>
          <w:bCs/>
          <w:sz w:val="44"/>
          <w:highlight w:val="none"/>
        </w:rPr>
        <w:br w:type="page" w:clear="all"/>
      </w:r>
      <w:r/>
    </w:p>
    <w:p>
      <w:pPr>
        <w:jc w:val="center"/>
        <w:spacing w:line="360" w:lineRule="auto"/>
        <w:rPr>
          <w:b/>
          <w:sz w:val="36"/>
          <w:szCs w:val="36"/>
          <w:highlight w:val="none"/>
        </w:rPr>
        <w:outlineLvl w:val="0"/>
      </w:pPr>
      <w:r/>
      <w:bookmarkStart w:id="0" w:name="_Toc99301418"/>
      <w:r>
        <w:rPr>
          <w:b/>
          <w:sz w:val="36"/>
          <w:szCs w:val="36"/>
          <w:highlight w:val="none"/>
        </w:rPr>
        <w:t xml:space="preserve">目      录</w:t>
      </w:r>
      <w:bookmarkEnd w:id="0"/>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077"/>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p>
    <w:p>
      <w:pPr>
        <w:pStyle w:val="1077"/>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"_Toc99301419" </w:instrText>
      </w:r>
      <w:r>
        <w:rPr>
          <w:highlight w:val="none"/>
        </w:rPr>
        <w:fldChar w:fldCharType="separate"/>
      </w:r>
      <w:r>
        <w:rPr>
          <w:rStyle w:val="1101"/>
          <w:rFonts w:ascii="Times New Roman" w:hAnsi="Times New Roman"/>
          <w:color w:val="000000"/>
          <w:highlight w:val="none"/>
        </w:rPr>
        <w:t xml:space="preserve">第一章   </w:t>
      </w:r>
      <w:r>
        <w:rPr>
          <w:rFonts w:hint="eastAsia" w:ascii="Times New Roman" w:hAnsi="Times New Roman"/>
          <w:highlight w:val="none"/>
          <w:lang w:val="en-US" w:eastAsia="zh-CN"/>
        </w:rPr>
        <w:t xml:space="preserve">投标</w:t>
      </w:r>
      <w:r>
        <w:rPr>
          <w:rFonts w:ascii="Times New Roman" w:hAnsi="Times New Roman"/>
          <w:highlight w:val="none"/>
        </w:rPr>
        <w:fldChar w:fldCharType="end"/>
      </w:r>
      <w:r>
        <w:rPr>
          <w:rFonts w:hint="eastAsia" w:ascii="Times New Roman" w:hAnsi="Times New Roman"/>
          <w:highlight w:val="none"/>
          <w:lang w:val="en-US" w:eastAsia="zh-CN"/>
        </w:rPr>
        <w:t xml:space="preserve">邀请</w:t>
      </w:r>
      <w:r/>
    </w:p>
    <w:p>
      <w:pPr>
        <w:pStyle w:val="1077"/>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101"/>
          <w:rFonts w:ascii="Times New Roman" w:hAnsi="Times New Roman"/>
          <w:color w:val="000000"/>
          <w:highlight w:val="none"/>
        </w:rPr>
        <w:t xml:space="preserve">第二章   </w:t>
      </w:r>
      <w:r>
        <w:rPr>
          <w:rStyle w:val="1101"/>
          <w:rFonts w:hint="eastAsia" w:ascii="Times New Roman" w:hAnsi="Times New Roman"/>
          <w:color w:val="000000"/>
          <w:highlight w:val="none"/>
        </w:rPr>
        <w:t xml:space="preserve">投标</w:t>
      </w:r>
      <w:r>
        <w:rPr>
          <w:rStyle w:val="1101"/>
          <w:rFonts w:hint="eastAsia" w:ascii="Times New Roman" w:hAnsi="Times New Roman"/>
          <w:color w:val="000000"/>
          <w:highlight w:val="none"/>
          <w:lang w:val="en-US" w:eastAsia="zh-CN"/>
        </w:rPr>
        <w:t xml:space="preserve">人</w:t>
      </w:r>
      <w:r>
        <w:rPr>
          <w:rStyle w:val="1101"/>
          <w:rFonts w:ascii="Times New Roman" w:hAnsi="Times New Roman"/>
          <w:color w:val="000000"/>
          <w:highlight w:val="none"/>
        </w:rPr>
        <w:t xml:space="preserve">须知</w:t>
      </w:r>
      <w:r>
        <w:rPr>
          <w:rFonts w:ascii="Times New Roman" w:hAnsi="Times New Roman"/>
          <w:highlight w:val="none"/>
        </w:rPr>
        <w:fldChar w:fldCharType="end"/>
      </w:r>
      <w:r/>
    </w:p>
    <w:p>
      <w:pPr>
        <w:pStyle w:val="1077"/>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101"/>
          <w:rFonts w:ascii="Times New Roman" w:hAnsi="Times New Roman"/>
          <w:color w:val="000000"/>
          <w:highlight w:val="none"/>
        </w:rPr>
        <w:t xml:space="preserve">第三章   资</w:t>
      </w:r>
      <w:bookmarkStart w:id="1" w:name="_Hlt100754117"/>
      <w:r>
        <w:rPr>
          <w:rStyle w:val="1101"/>
          <w:rFonts w:ascii="Times New Roman" w:hAnsi="Times New Roman"/>
          <w:color w:val="000000"/>
          <w:highlight w:val="none"/>
        </w:rPr>
        <w:t xml:space="preserve">格</w:t>
      </w:r>
      <w:bookmarkEnd w:id="1"/>
      <w:r>
        <w:rPr>
          <w:rStyle w:val="1101"/>
          <w:rFonts w:ascii="Times New Roman" w:hAnsi="Times New Roman"/>
          <w:color w:val="000000"/>
          <w:highlight w:val="none"/>
        </w:rPr>
        <w:t xml:space="preserve">审查</w:t>
      </w:r>
      <w:r>
        <w:rPr>
          <w:rFonts w:ascii="Times New Roman" w:hAnsi="Times New Roman"/>
          <w:highlight w:val="none"/>
        </w:rPr>
        <w:fldChar w:fldCharType="end"/>
      </w:r>
      <w:r/>
    </w:p>
    <w:p>
      <w:pPr>
        <w:pStyle w:val="1077"/>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101"/>
          <w:rFonts w:ascii="Times New Roman" w:hAnsi="Times New Roman"/>
          <w:color w:val="000000"/>
          <w:highlight w:val="none"/>
        </w:rPr>
        <w:t xml:space="preserve">第四章   评标程序、评标方法和评标标准</w:t>
      </w:r>
      <w:r>
        <w:rPr>
          <w:rFonts w:ascii="Times New Roman" w:hAnsi="Times New Roman"/>
          <w:highlight w:val="none"/>
        </w:rPr>
        <w:fldChar w:fldCharType="end"/>
      </w:r>
      <w:r/>
    </w:p>
    <w:p>
      <w:pPr>
        <w:pStyle w:val="1077"/>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101"/>
          <w:rFonts w:ascii="Times New Roman" w:hAnsi="Times New Roman"/>
          <w:color w:val="000000"/>
          <w:highlight w:val="none"/>
        </w:rPr>
        <w:t xml:space="preserve">第五章   采购</w:t>
      </w:r>
      <w:bookmarkStart w:id="2" w:name="_Hlt100754102"/>
      <w:r/>
      <w:bookmarkStart w:id="3" w:name="_Hlt100754103"/>
      <w:r>
        <w:rPr>
          <w:rStyle w:val="1101"/>
          <w:rFonts w:ascii="Times New Roman" w:hAnsi="Times New Roman"/>
          <w:color w:val="000000"/>
          <w:highlight w:val="none"/>
        </w:rPr>
        <w:t xml:space="preserve">需</w:t>
      </w:r>
      <w:bookmarkEnd w:id="2"/>
      <w:r/>
      <w:bookmarkEnd w:id="3"/>
      <w:r>
        <w:rPr>
          <w:rStyle w:val="1101"/>
          <w:rFonts w:ascii="Times New Roman" w:hAnsi="Times New Roman"/>
          <w:color w:val="000000"/>
          <w:highlight w:val="none"/>
        </w:rPr>
        <w:t xml:space="preserve">求</w:t>
      </w:r>
      <w:r>
        <w:rPr>
          <w:rFonts w:ascii="Times New Roman" w:hAnsi="Times New Roman"/>
          <w:highlight w:val="none"/>
        </w:rPr>
        <w:fldChar w:fldCharType="end"/>
      </w:r>
      <w:r/>
    </w:p>
    <w:p>
      <w:pPr>
        <w:pStyle w:val="1077"/>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1101"/>
          <w:rFonts w:ascii="Times New Roman" w:hAnsi="Times New Roman"/>
          <w:color w:val="000000"/>
          <w:highlight w:val="none"/>
        </w:rPr>
        <w:t xml:space="preserve">第六章   拟签订的合同文本</w:t>
      </w:r>
      <w:r>
        <w:rPr>
          <w:rFonts w:ascii="Times New Roman" w:hAnsi="Times New Roman"/>
          <w:highlight w:val="none"/>
        </w:rPr>
        <w:fldChar w:fldCharType="end"/>
      </w:r>
      <w:r/>
    </w:p>
    <w:p>
      <w:pPr>
        <w:pStyle w:val="1077"/>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1101"/>
          <w:rFonts w:ascii="Times New Roman" w:hAnsi="Times New Roman"/>
          <w:color w:val="000000"/>
          <w:highlight w:val="none"/>
        </w:rPr>
        <w:t xml:space="preserve">第七章   投标文件格式</w:t>
      </w:r>
      <w:r>
        <w:rPr>
          <w:rFonts w:ascii="Times New Roman" w:hAnsi="Times New Roman"/>
          <w:highlight w:val="none"/>
        </w:rPr>
        <w:fldChar w:fldCharType="end"/>
      </w:r>
      <w:r/>
    </w:p>
    <w:p>
      <w:pPr>
        <w:pStyle w:val="1077"/>
        <w:spacing w:line="360" w:lineRule="auto"/>
        <w:rPr>
          <w:rFonts w:ascii="Times New Roman" w:hAnsi="Times New Roman"/>
          <w:b w:val="0"/>
          <w:highlight w:val="none"/>
        </w:rPr>
      </w:pPr>
      <w:r>
        <w:rPr>
          <w:rFonts w:ascii="Times New Roman" w:hAnsi="Times New Roman"/>
          <w:b w:val="0"/>
          <w:highlight w:val="none"/>
        </w:rPr>
        <w:fldChar w:fldCharType="end"/>
      </w:r>
      <w:r/>
    </w:p>
    <w:p>
      <w:pPr>
        <w:jc w:val="center"/>
        <w:spacing w:line="360" w:lineRule="auto"/>
        <w:rPr>
          <w:sz w:val="32"/>
          <w:szCs w:val="32"/>
          <w:highlight w:val="none"/>
        </w:rPr>
        <w:outlineLvl w:val="0"/>
      </w:pPr>
      <w:r>
        <w:rPr>
          <w:sz w:val="24"/>
          <w:highlight w:val="none"/>
        </w:rPr>
        <w:br w:type="page" w:clear="all"/>
      </w:r>
      <w:bookmarkStart w:id="4" w:name="_Toc99301419"/>
      <w:r>
        <w:rPr>
          <w:b/>
          <w:sz w:val="36"/>
          <w:szCs w:val="36"/>
          <w:highlight w:val="none"/>
        </w:rPr>
        <w:t xml:space="preserve">第一章   </w:t>
      </w:r>
      <w:bookmarkEnd w:id="4"/>
      <w:r>
        <w:rPr>
          <w:b/>
          <w:sz w:val="36"/>
          <w:szCs w:val="36"/>
          <w:highlight w:val="none"/>
        </w:rPr>
        <w:t xml:space="preserve">投标邀请</w:t>
      </w:r>
      <w:r/>
    </w:p>
    <w:p>
      <w:pPr>
        <w:pStyle w:val="1027"/>
        <w:jc w:val="left"/>
        <w:spacing w:before="0" w:line="360" w:lineRule="auto"/>
        <w:rPr>
          <w:rFonts w:ascii="Times New Roman" w:hAnsi="Times New Roman" w:eastAsia="宋体"/>
          <w:sz w:val="24"/>
          <w:szCs w:val="24"/>
          <w:highlight w:val="none"/>
        </w:rPr>
      </w:pPr>
      <w:r/>
      <w:bookmarkStart w:id="5" w:name="_Toc35393621"/>
      <w:r/>
      <w:bookmarkStart w:id="6" w:name="_Toc28359079"/>
      <w:r/>
      <w:bookmarkStart w:id="7" w:name="_Toc35393790"/>
      <w:r/>
      <w:bookmarkStart w:id="8" w:name="_Toc28359002"/>
      <w:r/>
      <w:bookmarkStart w:id="9" w:name="_Hlk24379207"/>
      <w:r>
        <w:rPr>
          <w:rFonts w:ascii="Times New Roman" w:hAnsi="Times New Roman" w:eastAsia="宋体"/>
          <w:sz w:val="24"/>
          <w:szCs w:val="24"/>
          <w:highlight w:val="none"/>
        </w:rPr>
        <w:t xml:space="preserve">一、项目基本情况</w:t>
      </w:r>
      <w:bookmarkEnd w:id="5"/>
      <w:r/>
      <w:bookmarkEnd w:id="6"/>
      <w:r/>
      <w:bookmarkEnd w:id="7"/>
      <w:r/>
      <w:bookmarkEnd w:id="8"/>
      <w:r/>
      <w:r/>
    </w:p>
    <w:p>
      <w:pPr>
        <w:ind w:firstLine="480"/>
        <w:spacing w:line="360" w:lineRule="auto"/>
        <w:rPr>
          <w:rFonts w:hint="eastAsia" w:eastAsia="宋体"/>
          <w:sz w:val="24"/>
          <w:highlight w:val="none"/>
          <w:lang w:eastAsia="zh-CN"/>
        </w:rPr>
      </w:pPr>
      <w:r>
        <w:rPr>
          <w:sz w:val="24"/>
          <w:highlight w:val="none"/>
        </w:rPr>
        <w:t xml:space="preserve">1.项目编号：</w:t>
      </w:r>
      <w:r>
        <w:rPr>
          <w:rFonts w:hint="eastAsia"/>
          <w:sz w:val="24"/>
          <w:highlight w:val="none"/>
          <w:lang w:eastAsia="zh-CN"/>
        </w:rPr>
        <w:t xml:space="preserve">JSZC-320481-LPHX-G2026-0001</w:t>
      </w:r>
      <w:r/>
    </w:p>
    <w:p>
      <w:pPr>
        <w:ind w:firstLine="480"/>
        <w:spacing w:line="360" w:lineRule="auto"/>
        <w:rPr>
          <w:sz w:val="24"/>
          <w:highlight w:val="none"/>
        </w:rPr>
      </w:pPr>
      <w:r>
        <w:rPr>
          <w:sz w:val="24"/>
          <w:highlight w:val="none"/>
        </w:rPr>
        <w:t xml:space="preserve">2.项目名称：</w:t>
      </w:r>
      <w:bookmarkEnd w:id="9"/>
      <w:r>
        <w:rPr>
          <w:rFonts w:hint="eastAsia"/>
          <w:sz w:val="24"/>
          <w:highlight w:val="none"/>
          <w:lang w:eastAsia="zh-CN"/>
        </w:rPr>
        <w:t xml:space="preserve">2026年园区绿化养护项目</w:t>
      </w:r>
      <w:r/>
    </w:p>
    <w:p>
      <w:pPr>
        <w:ind w:firstLine="480"/>
        <w:spacing w:line="360" w:lineRule="auto"/>
        <w:rPr>
          <w:sz w:val="24"/>
          <w:highlight w:val="none"/>
        </w:rPr>
      </w:pPr>
      <w:r>
        <w:rPr>
          <w:sz w:val="24"/>
          <w:highlight w:val="none"/>
        </w:rPr>
        <w:t xml:space="preserve">3.项目预算金额：</w:t>
      </w:r>
      <w:r>
        <w:rPr>
          <w:rFonts w:hint="eastAsia"/>
          <w:sz w:val="24"/>
          <w:highlight w:val="none"/>
          <w:lang w:val="en-US" w:eastAsia="zh-CN"/>
        </w:rPr>
        <w:t xml:space="preserve">1387.87</w:t>
      </w:r>
      <w:r>
        <w:rPr>
          <w:rFonts w:hint="eastAsia"/>
          <w:sz w:val="24"/>
          <w:highlight w:val="none"/>
        </w:rPr>
        <w:t xml:space="preserve">万元</w:t>
      </w:r>
      <w:r/>
    </w:p>
    <w:p>
      <w:pPr>
        <w:ind w:firstLine="480"/>
        <w:spacing w:line="360" w:lineRule="auto"/>
        <w:rPr>
          <w:sz w:val="24"/>
          <w:highlight w:val="none"/>
        </w:rPr>
      </w:pPr>
      <w:r>
        <w:rPr>
          <w:rFonts w:hint="eastAsia"/>
          <w:sz w:val="24"/>
          <w:highlight w:val="none"/>
        </w:rPr>
        <w:t xml:space="preserve">4.</w:t>
      </w:r>
      <w:r>
        <w:rPr>
          <w:sz w:val="24"/>
          <w:highlight w:val="none"/>
        </w:rPr>
        <w:t xml:space="preserve">项目最高限价：</w:t>
      </w:r>
      <w:r/>
    </w:p>
    <w:tbl>
      <w:tblPr>
        <w:tblStyle w:val="819"/>
        <w:tblW w:w="9533"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79"/>
        <w:gridCol w:w="4356"/>
        <w:gridCol w:w="1928"/>
        <w:gridCol w:w="2236"/>
      </w:tblGrid>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标段</w:t>
            </w:r>
            <w:r/>
          </w:p>
        </w:tc>
        <w:tc>
          <w:tcPr>
            <w:shd w:val="clear" w:color="auto" w:fill="auto"/>
            <w:tcBorders>
              <w:top w:val="single" w:color="000000" w:sz="4" w:space="0"/>
              <w:left w:val="single" w:color="000000" w:sz="4" w:space="0"/>
              <w:bottom w:val="single" w:color="000000" w:sz="4" w:space="0"/>
              <w:right w:val="single" w:color="000000" w:sz="4" w:space="0"/>
            </w:tcBorders>
            <w:tcW w:w="4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区域范围</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绿化面积（㎡）</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最高限</w:t>
            </w:r>
            <w:r>
              <w:rPr>
                <w:rFonts w:hint="eastAsia" w:ascii="宋体" w:hAnsi="宋体" w:eastAsia="宋体" w:cs="宋体"/>
                <w:i w:val="0"/>
                <w:iCs w:val="0"/>
                <w:color w:val="000000"/>
                <w:sz w:val="24"/>
                <w:szCs w:val="24"/>
                <w:highlight w:val="none"/>
                <w:u w:val="none"/>
                <w:lang w:val="en-US" w:eastAsia="zh-CN" w:bidi="ar"/>
              </w:rPr>
              <w:t xml:space="preserve">价（万元）</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半夜浜片区（昆仑北路以东）</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200093</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100.04</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昆仑园区（竹箦河东—昆仑北路）</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202973</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101.49</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濑江新城片区</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219248</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109.62</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芜申运河南岸（泓盛南路等）</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197313</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98.66</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幸福城片区</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201157</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100.58</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城北新区（S239以南、芜申运河以北）</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212847</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106.42</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吴潭渡西片（S239以北、泓盛路以西）</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211318</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105.66</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吴潭渡东片（S239以北、泓盛路以东）</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188895</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94.45</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芜申运河北岸（龙山大道北）</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183741</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91.87</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中关村大道沿线（含互通）</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200756</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100.38</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蒋店片区（陶家河以西）</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193480</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96.74</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创智园周边</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214482</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107.24</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239沿线</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197570</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98.79</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园区绿雕养护</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75.93 </w:t>
            </w:r>
            <w:r/>
          </w:p>
        </w:tc>
      </w:tr>
    </w:tbl>
    <w:p>
      <w:pPr>
        <w:ind w:firstLine="480"/>
        <w:spacing w:line="360" w:lineRule="auto"/>
        <w:tabs>
          <w:tab w:val="center" w:pos="4199" w:leader="none"/>
        </w:tabs>
        <w:rPr>
          <w:rFonts w:ascii="宋体" w:hAnsi="宋体"/>
          <w:sz w:val="24"/>
          <w:highlight w:val="none"/>
        </w:rPr>
      </w:pPr>
      <w:r>
        <w:rPr>
          <w:rFonts w:hint="eastAsia"/>
          <w:sz w:val="24"/>
          <w:highlight w:val="none"/>
        </w:rPr>
        <w:t xml:space="preserve">5</w:t>
      </w:r>
      <w:r>
        <w:rPr>
          <w:sz w:val="24"/>
          <w:highlight w:val="none"/>
        </w:rPr>
        <w:t xml:space="preserve">.采购需求：</w:t>
      </w:r>
      <w:r>
        <w:rPr>
          <w:rFonts w:hint="eastAsia" w:ascii="宋体" w:hAnsi="宋体"/>
          <w:sz w:val="24"/>
          <w:highlight w:val="none"/>
        </w:rPr>
        <w:t xml:space="preserve">本项目分为</w:t>
      </w:r>
      <w:r>
        <w:rPr>
          <w:rFonts w:hint="eastAsia" w:ascii="宋体" w:hAnsi="宋体"/>
          <w:sz w:val="24"/>
          <w:highlight w:val="none"/>
          <w:lang w:eastAsia="zh-CN"/>
        </w:rPr>
        <w:t xml:space="preserve">14个标段</w:t>
      </w:r>
      <w:r>
        <w:rPr>
          <w:rFonts w:hint="eastAsia" w:ascii="宋体" w:hAnsi="宋体"/>
          <w:sz w:val="24"/>
          <w:highlight w:val="none"/>
        </w:rPr>
        <w:t xml:space="preserve">。对</w:t>
      </w:r>
      <w:r>
        <w:rPr>
          <w:rFonts w:hint="eastAsia" w:ascii="宋体" w:hAnsi="宋体"/>
          <w:sz w:val="24"/>
          <w:highlight w:val="none"/>
          <w:lang w:eastAsia="zh-CN"/>
        </w:rPr>
        <w:t xml:space="preserve">14个标段</w:t>
      </w:r>
      <w:r>
        <w:rPr>
          <w:rFonts w:hint="eastAsia" w:ascii="宋体" w:hAnsi="宋体"/>
          <w:sz w:val="24"/>
          <w:highlight w:val="none"/>
          <w:lang w:val="en-US" w:eastAsia="zh-CN"/>
        </w:rPr>
        <w:t xml:space="preserve">区域范围</w:t>
      </w:r>
      <w:r>
        <w:rPr>
          <w:rFonts w:hint="eastAsia" w:ascii="宋体" w:hAnsi="宋体"/>
          <w:sz w:val="24"/>
          <w:highlight w:val="none"/>
        </w:rPr>
        <w:t xml:space="preserve">进行养护，具体要求详见</w:t>
      </w:r>
      <w:r>
        <w:rPr>
          <w:rFonts w:hint="eastAsia" w:ascii="宋体" w:hAnsi="宋体"/>
          <w:sz w:val="24"/>
          <w:highlight w:val="none"/>
          <w:lang w:val="en-US" w:eastAsia="zh-CN"/>
        </w:rPr>
        <w:t xml:space="preserve">招标</w:t>
      </w:r>
      <w:r>
        <w:rPr>
          <w:rFonts w:hint="eastAsia" w:ascii="宋体" w:hAnsi="宋体"/>
          <w:sz w:val="24"/>
          <w:highlight w:val="none"/>
        </w:rPr>
        <w:t xml:space="preserve">文件。</w:t>
      </w:r>
      <w:r/>
    </w:p>
    <w:p>
      <w:pPr>
        <w:ind w:firstLine="482"/>
        <w:spacing w:line="360" w:lineRule="auto"/>
        <w:tabs>
          <w:tab w:val="center" w:pos="4199" w:leader="none"/>
        </w:tabs>
        <w:rPr>
          <w:rFonts w:ascii="宋体" w:hAnsi="宋体"/>
          <w:b/>
          <w:sz w:val="24"/>
          <w:highlight w:val="none"/>
        </w:rPr>
      </w:pPr>
      <w:r>
        <w:rPr>
          <w:rFonts w:hint="eastAsia" w:ascii="宋体" w:hAnsi="宋体"/>
          <w:b/>
          <w:sz w:val="24"/>
          <w:highlight w:val="none"/>
        </w:rPr>
        <w:t xml:space="preserve">每个投标</w:t>
      </w:r>
      <w:r>
        <w:rPr>
          <w:rFonts w:hint="eastAsia" w:ascii="宋体" w:hAnsi="宋体"/>
          <w:b/>
          <w:sz w:val="24"/>
          <w:highlight w:val="none"/>
          <w:lang w:val="en-US" w:eastAsia="zh-CN"/>
        </w:rPr>
        <w:t xml:space="preserve">人</w:t>
      </w:r>
      <w:r>
        <w:rPr>
          <w:rFonts w:hint="eastAsia" w:ascii="宋体" w:hAnsi="宋体"/>
          <w:b/>
          <w:sz w:val="24"/>
          <w:highlight w:val="none"/>
        </w:rPr>
        <w:t xml:space="preserve">可根据自己的养护能力，同时参与</w:t>
      </w:r>
      <w:r>
        <w:rPr>
          <w:rFonts w:hint="eastAsia" w:ascii="宋体" w:hAnsi="宋体"/>
          <w:b/>
          <w:sz w:val="24"/>
          <w:highlight w:val="none"/>
          <w:lang w:eastAsia="zh-CN"/>
        </w:rPr>
        <w:t xml:space="preserve">14个标段</w:t>
      </w:r>
      <w:r>
        <w:rPr>
          <w:rFonts w:hint="eastAsia" w:ascii="宋体" w:hAnsi="宋体"/>
          <w:b/>
          <w:sz w:val="24"/>
          <w:highlight w:val="none"/>
        </w:rPr>
        <w:t xml:space="preserve">的投标，但只能中1个标段。</w:t>
      </w:r>
      <w:r/>
    </w:p>
    <w:p>
      <w:pPr>
        <w:ind w:firstLine="482"/>
        <w:spacing w:line="360" w:lineRule="auto"/>
        <w:tabs>
          <w:tab w:val="center" w:pos="4199" w:leader="none"/>
        </w:tabs>
        <w:rPr>
          <w:sz w:val="24"/>
          <w:highlight w:val="none"/>
        </w:rPr>
      </w:pPr>
      <w:r>
        <w:rPr>
          <w:rFonts w:hint="eastAsia" w:ascii="宋体" w:hAnsi="宋体"/>
          <w:b/>
          <w:sz w:val="24"/>
          <w:highlight w:val="none"/>
        </w:rPr>
        <w:t xml:space="preserve">中标顺序为评标顺序，评标顺序为标段顺序，已经中标的单位仍然参与后续标段的评分，但不得再次中标。</w:t>
      </w:r>
      <w:r/>
    </w:p>
    <w:p>
      <w:pPr>
        <w:numPr>
          <w:ilvl w:val="0"/>
          <w:numId w:val="0"/>
        </w:numPr>
        <w:ind w:firstLine="480"/>
        <w:spacing w:line="360" w:lineRule="auto"/>
        <w:rPr>
          <w:rFonts w:hint="eastAsia"/>
          <w:sz w:val="24"/>
          <w:highlight w:val="none"/>
          <w:lang w:eastAsia="zh-CN"/>
        </w:rPr>
      </w:pPr>
      <w:r>
        <w:rPr>
          <w:rFonts w:hint="eastAsia" w:ascii="Times New Roman" w:hAnsi="Times New Roman" w:eastAsia="宋体" w:cs="Times New Roman"/>
          <w:sz w:val="24"/>
          <w:szCs w:val="24"/>
          <w:highlight w:val="none"/>
          <w:lang w:val="en-US" w:eastAsia="zh-CN" w:bidi="ar-SA"/>
        </w:rPr>
        <w:t xml:space="preserve">6.</w:t>
      </w:r>
      <w:r>
        <w:rPr>
          <w:sz w:val="24"/>
          <w:highlight w:val="none"/>
        </w:rPr>
        <w:t xml:space="preserve">合同履行期限：</w:t>
      </w:r>
      <w:r>
        <w:rPr>
          <w:rFonts w:hint="eastAsia" w:eastAsia="宋体"/>
          <w:sz w:val="24"/>
          <w:highlight w:val="none"/>
          <w:lang w:eastAsia="zh-CN"/>
        </w:rPr>
        <w:t xml:space="preserve">01-13标段</w:t>
      </w:r>
      <w:r>
        <w:rPr>
          <w:rFonts w:hint="eastAsia"/>
          <w:sz w:val="24"/>
          <w:highlight w:val="none"/>
          <w:lang w:eastAsia="zh-CN"/>
        </w:rPr>
        <w:t xml:space="preserve">自合同签订之日起至202</w:t>
      </w:r>
      <w:r>
        <w:rPr>
          <w:rFonts w:hint="eastAsia"/>
          <w:sz w:val="24"/>
          <w:highlight w:val="none"/>
          <w:lang w:val="en-US" w:eastAsia="zh-CN"/>
        </w:rPr>
        <w:t xml:space="preserve">6</w:t>
      </w:r>
      <w:r>
        <w:rPr>
          <w:rFonts w:hint="eastAsia"/>
          <w:sz w:val="24"/>
          <w:highlight w:val="none"/>
          <w:lang w:eastAsia="zh-CN"/>
        </w:rPr>
        <w:t xml:space="preserve">年12月31日（含第一个月为试用养护期，由采购方组织月度考核汇总后评出年度考核分，考核排名在前七名的可续签下一年合同）。</w:t>
      </w:r>
      <w:r>
        <w:rPr>
          <w:rFonts w:hint="eastAsia"/>
          <w:sz w:val="24"/>
          <w:highlight w:val="none"/>
          <w:lang w:val="en-US" w:eastAsia="zh-CN"/>
        </w:rPr>
        <w:t xml:space="preserve">14标段</w:t>
      </w:r>
      <w:r>
        <w:rPr>
          <w:rFonts w:hint="eastAsia" w:eastAsia="宋体"/>
          <w:sz w:val="24"/>
          <w:highlight w:val="none"/>
          <w:lang w:eastAsia="zh-CN"/>
        </w:rPr>
        <w:t xml:space="preserve">自合同签订之日起</w:t>
      </w:r>
      <w:r>
        <w:rPr>
          <w:rFonts w:hint="eastAsia"/>
          <w:sz w:val="24"/>
          <w:highlight w:val="none"/>
          <w:lang w:val="en-US" w:eastAsia="zh-CN"/>
        </w:rPr>
        <w:t xml:space="preserve">1年。</w:t>
      </w:r>
      <w:r/>
    </w:p>
    <w:p>
      <w:pPr>
        <w:ind w:firstLine="480"/>
        <w:spacing w:line="360" w:lineRule="auto"/>
        <w:rPr>
          <w:sz w:val="24"/>
          <w:highlight w:val="none"/>
        </w:rPr>
      </w:pPr>
      <w:r>
        <w:rPr>
          <w:rFonts w:hint="eastAsia"/>
          <w:sz w:val="24"/>
          <w:highlight w:val="none"/>
        </w:rPr>
        <w:t xml:space="preserve">7</w:t>
      </w:r>
      <w:r>
        <w:rPr>
          <w:sz w:val="24"/>
          <w:highlight w:val="none"/>
        </w:rPr>
        <w:t xml:space="preserve">.本项目是否接受联合体投标：否。</w:t>
      </w:r>
      <w:r/>
    </w:p>
    <w:p>
      <w:pPr>
        <w:pStyle w:val="1027"/>
        <w:jc w:val="left"/>
        <w:spacing w:before="0" w:line="360" w:lineRule="auto"/>
        <w:rPr>
          <w:rFonts w:ascii="Times New Roman" w:hAnsi="Times New Roman" w:eastAsia="宋体"/>
          <w:sz w:val="24"/>
          <w:szCs w:val="24"/>
          <w:highlight w:val="none"/>
        </w:rPr>
      </w:pPr>
      <w:r/>
      <w:bookmarkStart w:id="10" w:name="_Toc35393791"/>
      <w:r/>
      <w:bookmarkStart w:id="11" w:name="_Toc28359080"/>
      <w:r/>
      <w:bookmarkStart w:id="12" w:name="_Toc35393622"/>
      <w:r/>
      <w:bookmarkStart w:id="13" w:name="_Toc28359003"/>
      <w:r>
        <w:rPr>
          <w:rFonts w:ascii="Times New Roman" w:hAnsi="Times New Roman" w:eastAsia="宋体"/>
          <w:sz w:val="24"/>
          <w:szCs w:val="24"/>
          <w:highlight w:val="none"/>
        </w:rPr>
        <w:t xml:space="preserve">二、申请人的资格要求（须同时满足）</w:t>
      </w:r>
      <w:bookmarkEnd w:id="10"/>
      <w:r/>
      <w:bookmarkEnd w:id="11"/>
      <w:r/>
      <w:bookmarkEnd w:id="12"/>
      <w:r/>
      <w:bookmarkEnd w:id="13"/>
      <w:r/>
      <w:r/>
    </w:p>
    <w:p>
      <w:pPr>
        <w:ind w:firstLine="480"/>
        <w:spacing w:line="360" w:lineRule="auto"/>
        <w:rPr>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p>
    <w:p>
      <w:pPr>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480"/>
        <w:spacing w:line="360" w:lineRule="auto"/>
        <w:rPr>
          <w:sz w:val="24"/>
          <w:highlight w:val="none"/>
        </w:rPr>
      </w:pPr>
      <w:r/>
      <w:bookmarkStart w:id="14" w:name="_Toc28359081"/>
      <w:r/>
      <w:bookmarkStart w:id="15" w:name="_Toc28359004"/>
      <w:r>
        <w:rPr>
          <w:rFonts w:ascii="Times New Roman" w:hAnsi="Times New Roman" w:eastAsia="宋体" w:cs="Times New Roman"/>
          <w:sz w:val="24"/>
          <w:szCs w:val="24"/>
          <w:highlight w:val="none"/>
          <w:lang w:val="en-US" w:eastAsia="zh-CN" w:bidi="ar-SA"/>
        </w:rPr>
        <w:t xml:space="preserve">2.</w:t>
      </w:r>
      <w:r>
        <w:rPr>
          <w:sz w:val="24"/>
          <w:highlight w:val="none"/>
        </w:rPr>
        <w:t xml:space="preserve">落实政府采购政策需满足的资格要求：</w:t>
      </w:r>
      <w:r/>
    </w:p>
    <w:p>
      <w:pPr>
        <w:ind w:firstLine="480"/>
        <w:spacing w:line="360" w:lineRule="auto"/>
        <w:rPr>
          <w:rFonts w:hint="eastAsia" w:ascii="Times New Roman" w:hAnsi="Times New Roman" w:eastAsia="宋体" w:cs="Times New Roman"/>
          <w:b w:val="0"/>
          <w:bCs w:val="0"/>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■本项目专门面向  ■中小 □小微企业  采购。</w:t>
      </w:r>
      <w:r>
        <w:rPr>
          <w:rFonts w:hint="eastAsia" w:ascii="Times New Roman" w:hAnsi="Times New Roman" w:eastAsia="宋体" w:cs="Times New Roman"/>
          <w:b w:val="0"/>
          <w:bCs w:val="0"/>
          <w:sz w:val="24"/>
          <w:szCs w:val="24"/>
          <w:highlight w:val="none"/>
          <w:lang w:val="en-US" w:eastAsia="zh-CN" w:bidi="ar-SA"/>
        </w:rPr>
        <w:t xml:space="preserve">即：提供的货物全部由符合政策要求的中小/小微企业制造、服务全部由符合政策要求的中小/小微企业承接。</w:t>
      </w:r>
      <w:r/>
    </w:p>
    <w:p>
      <w:pPr>
        <w:ind w:firstLine="480"/>
        <w:spacing w:line="360" w:lineRule="auto"/>
        <w:rPr>
          <w:i/>
          <w:iCs/>
          <w:sz w:val="24"/>
          <w:highlight w:val="none"/>
          <w:u w:val="single"/>
        </w:rPr>
      </w:pPr>
      <w:r>
        <w:rPr>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3.1本项目是否接受分支机构参与投标：否；</w:t>
      </w:r>
      <w:r/>
    </w:p>
    <w:p>
      <w:pPr>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3.2本项目是否属于政府购买服务：</w:t>
      </w:r>
      <w:r>
        <w:rPr>
          <w:rFonts w:hint="eastAsia"/>
          <w:sz w:val="24"/>
          <w:highlight w:val="none"/>
          <w:lang w:val="en-US" w:eastAsia="zh-CN"/>
        </w:rPr>
        <w:t xml:space="preserve">否</w:t>
      </w:r>
      <w:r>
        <w:rPr>
          <w:sz w:val="24"/>
          <w:highlight w:val="none"/>
        </w:rPr>
        <w:t xml:space="preserve">；</w:t>
      </w:r>
      <w:r/>
    </w:p>
    <w:p>
      <w:pPr>
        <w:ind w:firstLine="480"/>
        <w:spacing w:line="360" w:lineRule="auto"/>
        <w:tabs>
          <w:tab w:val="left" w:pos="900" w:leader="none"/>
          <w:tab w:val="left" w:pos="1134" w:leader="none"/>
          <w:tab w:val="left" w:pos="1589" w:leader="none"/>
          <w:tab w:val="left" w:pos="5521" w:leader="none"/>
        </w:tabs>
        <w:rPr>
          <w:i/>
          <w:iCs/>
          <w:sz w:val="24"/>
          <w:highlight w:val="none"/>
          <w:u w:val="single"/>
        </w:rPr>
      </w:pPr>
      <w:r>
        <w:rPr>
          <w:sz w:val="24"/>
          <w:highlight w:val="none"/>
        </w:rPr>
        <w:t xml:space="preserve">3.3</w:t>
      </w:r>
      <w:bookmarkEnd w:id="14"/>
      <w:r/>
      <w:bookmarkEnd w:id="15"/>
      <w:r>
        <w:rPr>
          <w:b w:val="0"/>
          <w:bCs w:val="0"/>
          <w:sz w:val="24"/>
          <w:highlight w:val="none"/>
        </w:rPr>
        <w:t xml:space="preserve">其他特定资格要求：</w:t>
      </w:r>
      <w:r>
        <w:rPr>
          <w:rFonts w:hint="eastAsia" w:ascii="Times New Roman" w:eastAsia="宋体"/>
          <w:b w:val="0"/>
          <w:bCs w:val="0"/>
          <w:sz w:val="24"/>
          <w:highlight w:val="none"/>
          <w:u w:val="single"/>
          <w:lang w:val="en-US" w:eastAsia="zh-CN"/>
        </w:rPr>
        <w:t xml:space="preserve">  /     </w:t>
      </w:r>
      <w:r>
        <w:rPr>
          <w:rFonts w:hint="eastAsia" w:eastAsia="宋体"/>
          <w:b w:val="0"/>
          <w:bCs w:val="0"/>
          <w:sz w:val="24"/>
          <w:highlight w:val="none"/>
          <w:lang w:eastAsia="zh-CN"/>
        </w:rPr>
        <w:t xml:space="preserve">。</w:t>
      </w:r>
      <w:r/>
    </w:p>
    <w:p>
      <w:pPr>
        <w:pStyle w:val="1027"/>
        <w:jc w:val="left"/>
        <w:spacing w:before="0" w:line="360" w:lineRule="auto"/>
        <w:widowControl/>
        <w:rPr>
          <w:rFonts w:ascii="Times New Roman" w:hAnsi="Times New Roman" w:eastAsia="宋体"/>
          <w:sz w:val="24"/>
          <w:szCs w:val="24"/>
          <w:highlight w:val="none"/>
        </w:rPr>
      </w:pPr>
      <w:r/>
      <w:bookmarkStart w:id="16" w:name="_Toc35393792"/>
      <w:r/>
      <w:bookmarkStart w:id="17" w:name="_Toc35393623"/>
      <w:r>
        <w:rPr>
          <w:rFonts w:ascii="Times New Roman" w:hAnsi="Times New Roman" w:eastAsia="宋体"/>
          <w:sz w:val="24"/>
          <w:szCs w:val="24"/>
          <w:highlight w:val="none"/>
        </w:rPr>
        <w:t xml:space="preserve">三、</w:t>
      </w:r>
      <w:bookmarkEnd w:id="16"/>
      <w:r/>
      <w:bookmarkEnd w:id="17"/>
      <w:r>
        <w:rPr>
          <w:rFonts w:ascii="Times New Roman" w:hAnsi="Times New Roman" w:eastAsia="宋体"/>
          <w:sz w:val="24"/>
          <w:szCs w:val="24"/>
          <w:highlight w:val="none"/>
        </w:rPr>
        <w:t xml:space="preserve">获取招标文件</w:t>
      </w:r>
      <w:r/>
    </w:p>
    <w:p>
      <w:pPr>
        <w:ind w:firstLine="48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1.时间：</w:t>
      </w:r>
      <w:r>
        <w:rPr>
          <w:rFonts w:hint="eastAsia" w:ascii="Times New Roman" w:hAnsi="Times New Roman" w:eastAsia="宋体" w:cs="Times New Roman"/>
          <w:sz w:val="24"/>
          <w:highlight w:val="none"/>
          <w:lang w:bidi="ar"/>
        </w:rPr>
        <w:t xml:space="preserve">自招标文件公告发布之日起5个工作日</w:t>
      </w:r>
      <w:r>
        <w:rPr>
          <w:rFonts w:ascii="Times New Roman" w:hAnsi="Times New Roman" w:eastAsia="宋体" w:cs="Times New Roman"/>
          <w:sz w:val="24"/>
          <w:highlight w:val="none"/>
        </w:rPr>
        <w:t xml:space="preserve">。</w:t>
      </w:r>
      <w:r/>
    </w:p>
    <w:p>
      <w:pPr>
        <w:ind w:firstLine="48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2.地点：“苏采云”政府采购一体化平台</w:t>
      </w:r>
      <w:r/>
    </w:p>
    <w:p>
      <w:pPr>
        <w:ind w:firstLine="48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3.方式：</w:t>
      </w:r>
      <w:r>
        <w:rPr>
          <w:rFonts w:hint="eastAsia"/>
          <w:sz w:val="24"/>
          <w:highlight w:val="none"/>
          <w:lang w:bidi="ar"/>
        </w:rPr>
        <w:t xml:space="preserve">投标人持CA数字认证证书登录政府采购一体化平台“苏采云”（ http://jszfcg.jscz.gov.cn/jszc/login）获取电子版招标文件。</w:t>
      </w:r>
      <w:r/>
    </w:p>
    <w:p>
      <w:pPr>
        <w:ind w:firstLine="480"/>
        <w:spacing w:line="360" w:lineRule="auto"/>
        <w:rPr>
          <w:sz w:val="24"/>
          <w:highlight w:val="none"/>
        </w:rPr>
      </w:pPr>
      <w:r>
        <w:rPr>
          <w:rFonts w:hint="eastAsia" w:ascii="Times New Roman" w:hAnsi="Times New Roman" w:eastAsia="宋体" w:cs="Times New Roman"/>
          <w:sz w:val="24"/>
          <w:highlight w:val="none"/>
        </w:rPr>
        <w:t xml:space="preserve">4.售价：0元。</w:t>
      </w:r>
      <w:r/>
    </w:p>
    <w:p>
      <w:pPr>
        <w:pStyle w:val="1027"/>
        <w:jc w:val="left"/>
        <w:spacing w:before="0" w:line="360" w:lineRule="auto"/>
        <w:widowControl/>
        <w:rPr>
          <w:rFonts w:ascii="Times New Roman" w:hAnsi="Times New Roman" w:eastAsia="宋体"/>
          <w:sz w:val="24"/>
          <w:szCs w:val="24"/>
          <w:highlight w:val="none"/>
        </w:rPr>
      </w:pPr>
      <w:r/>
      <w:bookmarkStart w:id="18" w:name="_Toc28359082"/>
      <w:r/>
      <w:bookmarkStart w:id="19" w:name="_Toc28359005"/>
      <w:r/>
      <w:bookmarkStart w:id="20" w:name="_Toc35393793"/>
      <w:r/>
      <w:bookmarkStart w:id="21" w:name="_Toc35393624"/>
      <w:r>
        <w:rPr>
          <w:rFonts w:ascii="Times New Roman" w:hAnsi="Times New Roman" w:eastAsia="宋体"/>
          <w:sz w:val="24"/>
          <w:szCs w:val="24"/>
          <w:highlight w:val="none"/>
        </w:rPr>
        <w:t xml:space="preserve">四、提交投标文件</w:t>
      </w:r>
      <w:bookmarkEnd w:id="18"/>
      <w:r/>
      <w:bookmarkEnd w:id="19"/>
      <w:r>
        <w:rPr>
          <w:rFonts w:ascii="Times New Roman" w:hAnsi="Times New Roman" w:eastAsia="宋体"/>
          <w:sz w:val="24"/>
          <w:szCs w:val="24"/>
          <w:highlight w:val="none"/>
        </w:rPr>
        <w:t xml:space="preserve">截止时间、开标时间和地点</w:t>
      </w:r>
      <w:bookmarkEnd w:id="20"/>
      <w:r/>
      <w:bookmarkEnd w:id="21"/>
      <w:r/>
      <w:r/>
    </w:p>
    <w:p>
      <w:pPr>
        <w:ind w:firstLine="480"/>
        <w:spacing w:line="360" w:lineRule="auto"/>
        <w:rPr>
          <w:bCs/>
          <w:sz w:val="24"/>
          <w:highlight w:val="none"/>
          <w:u w:val="single"/>
        </w:rPr>
      </w:pPr>
      <w:r>
        <w:rPr>
          <w:sz w:val="24"/>
          <w:highlight w:val="none"/>
          <w:lang w:bidi="ar"/>
        </w:rPr>
        <w:t xml:space="preserve">投标截止时间、开标时间：</w:t>
      </w:r>
      <w:r>
        <w:rPr>
          <w:rFonts w:hint="eastAsia"/>
          <w:sz w:val="24"/>
          <w:highlight w:val="none"/>
          <w:lang w:bidi="ar"/>
        </w:rPr>
        <w:t xml:space="preserve">202</w:t>
      </w:r>
      <w:r>
        <w:rPr>
          <w:rFonts w:hint="eastAsia"/>
          <w:sz w:val="24"/>
          <w:highlight w:val="none"/>
          <w:lang w:val="en-US" w:eastAsia="zh-CN" w:bidi="ar"/>
        </w:rPr>
        <w:t xml:space="preserve">6</w:t>
      </w:r>
      <w:r>
        <w:rPr>
          <w:sz w:val="24"/>
          <w:highlight w:val="none"/>
          <w:lang w:bidi="ar"/>
        </w:rPr>
        <w:t xml:space="preserve">年</w:t>
      </w:r>
      <w:r>
        <w:rPr>
          <w:rFonts w:hint="eastAsia"/>
          <w:color w:val="auto"/>
          <w:sz w:val="24"/>
          <w:highlight w:val="none"/>
          <w:lang w:eastAsia="zh-CN" w:bidi="ar"/>
        </w:rPr>
        <w:t xml:space="preserve">3月</w:t>
      </w:r>
      <w:r>
        <w:rPr>
          <w:rFonts w:hint="eastAsia"/>
          <w:color w:val="auto"/>
          <w:sz w:val="24"/>
          <w:highlight w:val="none"/>
          <w:lang w:val="en-US" w:eastAsia="zh-CN" w:bidi="ar"/>
        </w:rPr>
        <w:t xml:space="preserve">16</w:t>
      </w:r>
      <w:r>
        <w:rPr>
          <w:rFonts w:hint="eastAsia"/>
          <w:color w:val="auto"/>
          <w:sz w:val="24"/>
          <w:highlight w:val="none"/>
          <w:lang w:eastAsia="zh-CN" w:bidi="ar"/>
        </w:rPr>
        <w:t xml:space="preserve">日</w:t>
      </w:r>
      <w:r>
        <w:rPr>
          <w:rFonts w:hint="eastAsia"/>
          <w:color w:val="auto"/>
          <w:sz w:val="24"/>
          <w:highlight w:val="none"/>
          <w:lang w:bidi="ar"/>
        </w:rPr>
        <w:t xml:space="preserve">0</w:t>
      </w:r>
      <w:r>
        <w:rPr>
          <w:rFonts w:hint="eastAsia"/>
          <w:sz w:val="24"/>
          <w:highlight w:val="none"/>
          <w:lang w:bidi="ar"/>
        </w:rPr>
        <w:t xml:space="preserve">9点30分</w:t>
      </w:r>
      <w:r>
        <w:rPr>
          <w:bCs/>
          <w:sz w:val="24"/>
          <w:highlight w:val="none"/>
          <w:lang w:bidi="ar"/>
        </w:rPr>
        <w:t xml:space="preserve">（北京时间）</w:t>
      </w:r>
      <w:r>
        <w:rPr>
          <w:iCs/>
          <w:sz w:val="24"/>
          <w:highlight w:val="none"/>
          <w:lang w:bidi="ar"/>
        </w:rPr>
        <w:t xml:space="preserve">。</w:t>
      </w:r>
      <w:r/>
    </w:p>
    <w:p>
      <w:pPr>
        <w:ind w:firstLine="480"/>
        <w:spacing w:line="360" w:lineRule="auto"/>
        <w:rPr>
          <w:rFonts w:hint="eastAsia"/>
          <w:sz w:val="24"/>
          <w:highlight w:val="none"/>
          <w:lang w:bidi="ar"/>
        </w:rPr>
      </w:pPr>
      <w:r>
        <w:rPr>
          <w:sz w:val="24"/>
          <w:highlight w:val="none"/>
          <w:lang w:bidi="ar"/>
        </w:rPr>
        <w:t xml:space="preserve">地点：</w:t>
      </w:r>
      <w:r>
        <w:rPr>
          <w:rFonts w:hint="eastAsia" w:ascii="宋体" w:hAnsi="宋体"/>
          <w:sz w:val="24"/>
          <w:highlight w:val="none"/>
          <w:u w:val="single"/>
        </w:rPr>
        <w:t xml:space="preserve">本项目采用不见面交易方式，无需到现场提交，投标人登录政府采购一体化平台“苏采云”供应商端，通过系统在线提交电子投标文件</w:t>
      </w:r>
      <w:r>
        <w:rPr>
          <w:rFonts w:hint="eastAsia" w:ascii="宋体" w:hAnsi="宋体"/>
          <w:sz w:val="24"/>
          <w:highlight w:val="none"/>
          <w:u w:val="single"/>
          <w:lang w:val="zh-TW"/>
        </w:rPr>
        <w:t xml:space="preserve">。</w:t>
      </w:r>
      <w:r/>
    </w:p>
    <w:p>
      <w:pPr>
        <w:pStyle w:val="1027"/>
        <w:jc w:val="left"/>
        <w:spacing w:before="0" w:line="360" w:lineRule="auto"/>
        <w:rPr>
          <w:rFonts w:ascii="Times New Roman" w:hAnsi="Times New Roman" w:eastAsia="宋体"/>
          <w:sz w:val="24"/>
          <w:szCs w:val="24"/>
          <w:highlight w:val="none"/>
        </w:rPr>
      </w:pPr>
      <w:r/>
      <w:bookmarkStart w:id="22" w:name="_Toc28359084"/>
      <w:r/>
      <w:bookmarkStart w:id="23" w:name="_Toc28359007"/>
      <w:r/>
      <w:bookmarkStart w:id="24" w:name="_Toc35393794"/>
      <w:r/>
      <w:bookmarkStart w:id="25" w:name="_Toc35393625"/>
      <w:r>
        <w:rPr>
          <w:rFonts w:hint="eastAsia" w:ascii="Times New Roman" w:hAnsi="Times New Roman" w:eastAsia="宋体"/>
          <w:sz w:val="24"/>
          <w:szCs w:val="24"/>
          <w:highlight w:val="none"/>
          <w:lang w:val="en-US" w:eastAsia="zh-CN"/>
        </w:rPr>
        <w:t xml:space="preserve">五</w:t>
      </w:r>
      <w:r>
        <w:rPr>
          <w:rFonts w:ascii="Times New Roman" w:hAnsi="Times New Roman" w:eastAsia="宋体"/>
          <w:sz w:val="24"/>
          <w:szCs w:val="24"/>
          <w:highlight w:val="none"/>
        </w:rPr>
        <w:t xml:space="preserve">、公告期限</w:t>
      </w:r>
      <w:bookmarkEnd w:id="22"/>
      <w:r/>
      <w:bookmarkEnd w:id="23"/>
      <w:r/>
      <w:bookmarkEnd w:id="24"/>
      <w:r/>
      <w:bookmarkEnd w:id="25"/>
      <w:r/>
      <w:r/>
    </w:p>
    <w:p>
      <w:pPr>
        <w:ind w:firstLine="480"/>
        <w:spacing w:line="360" w:lineRule="auto"/>
        <w:rPr>
          <w:sz w:val="24"/>
          <w:highlight w:val="none"/>
        </w:rPr>
      </w:pPr>
      <w:r>
        <w:rPr>
          <w:sz w:val="24"/>
          <w:highlight w:val="none"/>
        </w:rPr>
        <w:t xml:space="preserve">自本公告发布之日起5个工作日。</w:t>
      </w:r>
      <w:r/>
    </w:p>
    <w:p>
      <w:pPr>
        <w:pStyle w:val="1027"/>
        <w:jc w:val="left"/>
        <w:spacing w:before="0" w:line="360" w:lineRule="auto"/>
        <w:rPr>
          <w:rFonts w:ascii="Times New Roman" w:hAnsi="Times New Roman" w:eastAsia="宋体"/>
          <w:sz w:val="24"/>
          <w:szCs w:val="24"/>
          <w:highlight w:val="none"/>
        </w:rPr>
      </w:pPr>
      <w:r/>
      <w:bookmarkStart w:id="26" w:name="_Toc35393626"/>
      <w:r/>
      <w:bookmarkStart w:id="27" w:name="_Toc35393795"/>
      <w:r>
        <w:rPr>
          <w:rFonts w:hint="eastAsia" w:ascii="Times New Roman" w:hAnsi="Times New Roman" w:eastAsia="宋体"/>
          <w:sz w:val="24"/>
          <w:szCs w:val="24"/>
          <w:highlight w:val="none"/>
          <w:lang w:val="en-US" w:eastAsia="zh-CN"/>
        </w:rPr>
        <w:t xml:space="preserve">六</w:t>
      </w:r>
      <w:r>
        <w:rPr>
          <w:rFonts w:ascii="Times New Roman" w:hAnsi="Times New Roman" w:eastAsia="宋体"/>
          <w:sz w:val="24"/>
          <w:szCs w:val="24"/>
          <w:highlight w:val="none"/>
        </w:rPr>
        <w:t xml:space="preserve">、其他补充事宜</w:t>
      </w:r>
      <w:bookmarkEnd w:id="26"/>
      <w:r/>
      <w:bookmarkEnd w:id="27"/>
      <w:r/>
      <w:r/>
    </w:p>
    <w:p>
      <w:pPr>
        <w:ind w:firstLine="480"/>
        <w:spacing w:line="360" w:lineRule="auto"/>
        <w:rPr>
          <w:sz w:val="24"/>
          <w:highlight w:val="none"/>
        </w:rPr>
      </w:pPr>
      <w:r>
        <w:rPr>
          <w:sz w:val="24"/>
          <w:highlight w:val="none"/>
        </w:rPr>
        <w:t xml:space="preserve">1.本项目需要落实的政府采购政策：</w:t>
      </w:r>
      <w:r>
        <w:rPr>
          <w:rFonts w:hint="eastAsia"/>
          <w:sz w:val="24"/>
          <w:highlight w:val="none"/>
          <w:u w:val="single"/>
        </w:rPr>
        <w:t xml:space="preserve">扶持中小企业、残疾人福利单位、监狱企业</w:t>
      </w:r>
      <w:r>
        <w:rPr>
          <w:sz w:val="24"/>
          <w:highlight w:val="none"/>
          <w:lang w:bidi="ar"/>
        </w:rPr>
        <w:t xml:space="preserve">。</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技术支持服务热线    0519-85588210</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CA认证证书办理（可邮寄）联系电话   0519-85588120</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2.1办理CA认证证书</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投标人登录政府采购一体化平台“苏采云”“新CA办理指南”，按照程序要求办理。</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2.2注册</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投标人登录政府采购一体化平台“苏采云”下载“ 用户注册”查阅后进行自助注册。</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2.3控件、客户端下载</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投标人登录政府采购一体化平台“苏采云”下载“驱动下载”，安装驱动。</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2.4 获取电子招标文件</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投标人持CA数字认证证书登录政府采购一体化平台“苏采云”获取电子招标文件。未在规定期限内通过政府采购一体化平台“苏采云”获取招标文件的投标无效。</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2.5编制电子投标文件</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2</w:t>
      </w:r>
      <w:r>
        <w:rPr>
          <w:rFonts w:hint="eastAsia" w:ascii="宋体" w:hAnsi="宋体" w:eastAsia="宋体" w:cs="宋体"/>
          <w:b w:val="0"/>
          <w:bCs/>
          <w:sz w:val="24"/>
          <w:highlight w:val="none"/>
          <w:lang w:val="zh-TW" w:eastAsia="zh-TW" w:bidi="ar"/>
        </w:rPr>
        <w:t xml:space="preserve">.6</w:t>
      </w:r>
      <w:r>
        <w:rPr>
          <w:rFonts w:hint="eastAsia" w:ascii="宋体" w:hAnsi="宋体" w:eastAsia="宋体" w:cs="宋体"/>
          <w:b w:val="0"/>
          <w:bCs/>
          <w:sz w:val="24"/>
          <w:highlight w:val="none"/>
          <w:lang w:val="zh-TW" w:bidi="ar"/>
        </w:rPr>
        <w:t xml:space="preserve">提交电子投标文件</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投标人应于投标截止时间前在政府采购一体化平台“苏采云”提交电子投标文件，上传电子投标文件过程中请保持与互联网的连接畅通。</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2.</w:t>
      </w:r>
      <w:r>
        <w:rPr>
          <w:rFonts w:hint="eastAsia" w:ascii="宋体" w:hAnsi="宋体" w:eastAsia="宋体" w:cs="宋体"/>
          <w:b w:val="0"/>
          <w:bCs/>
          <w:sz w:val="24"/>
          <w:highlight w:val="none"/>
          <w:lang w:val="zh-TW" w:eastAsia="zh-TW" w:bidi="ar"/>
        </w:rPr>
        <w:t xml:space="preserve">7</w:t>
      </w:r>
      <w:r>
        <w:rPr>
          <w:rFonts w:hint="eastAsia" w:ascii="宋体" w:hAnsi="宋体" w:eastAsia="宋体" w:cs="宋体"/>
          <w:b w:val="0"/>
          <w:bCs/>
          <w:sz w:val="24"/>
          <w:highlight w:val="none"/>
          <w:lang w:val="zh-TW" w:bidi="ar"/>
        </w:rPr>
        <w:t xml:space="preserve">电子开标</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投标人使用</w:t>
      </w:r>
      <w:r>
        <w:rPr>
          <w:rFonts w:hint="eastAsia" w:ascii="宋体" w:hAnsi="宋体" w:eastAsia="宋体" w:cs="宋体"/>
          <w:b w:val="0"/>
          <w:bCs/>
          <w:sz w:val="24"/>
          <w:highlight w:val="none"/>
          <w:lang w:bidi="ar"/>
        </w:rPr>
        <w:t xml:space="preserve">CA认证证书</w:t>
      </w:r>
      <w:r>
        <w:rPr>
          <w:rFonts w:hint="eastAsia" w:ascii="宋体" w:hAnsi="宋体" w:eastAsia="宋体" w:cs="宋体"/>
          <w:b w:val="0"/>
          <w:bCs/>
          <w:sz w:val="24"/>
          <w:highlight w:val="none"/>
          <w:lang w:val="zh-TW" w:bidi="ar"/>
        </w:rPr>
        <w:t xml:space="preserve">登录</w:t>
      </w:r>
      <w:r>
        <w:rPr>
          <w:rFonts w:hint="eastAsia" w:ascii="宋体" w:hAnsi="宋体" w:eastAsia="宋体" w:cs="宋体"/>
          <w:b w:val="0"/>
          <w:bCs/>
          <w:sz w:val="24"/>
          <w:highlight w:val="none"/>
          <w:lang w:bidi="ar"/>
        </w:rPr>
        <w:t xml:space="preserve">政府采购一体化平台“苏采云”进行电子化不见面开标</w:t>
      </w:r>
      <w:r>
        <w:rPr>
          <w:rFonts w:hint="eastAsia" w:ascii="宋体" w:hAnsi="宋体" w:eastAsia="宋体" w:cs="宋体"/>
          <w:b w:val="0"/>
          <w:bCs/>
          <w:sz w:val="24"/>
          <w:highlight w:val="none"/>
          <w:lang w:val="zh-TW" w:bidi="ar"/>
        </w:rPr>
        <w:t xml:space="preserve">。</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2.8注意事项</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val="zh-TW" w:bidi="ar"/>
        </w:rPr>
        <w:t xml:space="preserve">投标人在开标前应当</w:t>
      </w:r>
      <w:r>
        <w:rPr>
          <w:rFonts w:hint="eastAsia" w:ascii="宋体" w:hAnsi="宋体" w:eastAsia="宋体" w:cs="宋体"/>
          <w:b w:val="0"/>
          <w:bCs/>
          <w:sz w:val="24"/>
          <w:highlight w:val="none"/>
          <w:lang w:bidi="ar"/>
        </w:rPr>
        <w:t xml:space="preserve">使用“验证CA”功能验证本地计算机的控件环境是否正常，并且在开标、评审过程中不可随意更换计算机，必须使用验证成功的计算机进行操作，否则造成相应后果由投标人自行承担。</w:t>
      </w:r>
      <w:r/>
    </w:p>
    <w:p>
      <w:pPr>
        <w:numPr>
          <w:ilvl w:val="0"/>
          <w:numId w:val="0"/>
        </w:num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szCs w:val="24"/>
          <w:highlight w:val="none"/>
          <w:lang w:val="zh-TW" w:eastAsia="zh-CN" w:bidi="ar"/>
        </w:rPr>
        <w:t xml:space="preserve">3.</w:t>
      </w:r>
      <w:r>
        <w:rPr>
          <w:rFonts w:hint="eastAsia" w:ascii="宋体" w:hAnsi="宋体" w:eastAsia="宋体" w:cs="宋体"/>
          <w:b w:val="0"/>
          <w:bCs/>
          <w:sz w:val="24"/>
          <w:highlight w:val="none"/>
          <w:lang w:val="zh-TW" w:bidi="ar"/>
        </w:rPr>
        <w:t xml:space="preserve">关于常州市中小企业政府采购信用融资：</w:t>
      </w:r>
      <w:r/>
    </w:p>
    <w:p>
      <w:pPr>
        <w:numPr>
          <w:ilvl w:val="0"/>
          <w:numId w:val="0"/>
        </w:numPr>
        <w:ind w:firstLine="480"/>
        <w:jc w:val="left"/>
        <w:spacing w:line="360" w:lineRule="auto"/>
        <w:rPr>
          <w:sz w:val="24"/>
          <w:highlight w:val="none"/>
          <w:lang w:val="zh-TW" w:bidi="ar"/>
        </w:rPr>
      </w:pPr>
      <w:r>
        <w:rPr>
          <w:rFonts w:hint="eastAsia" w:ascii="宋体" w:hAnsi="宋体" w:eastAsia="宋体" w:cs="宋体"/>
          <w:b w:val="0"/>
          <w:bCs/>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政府采购一体化平台“苏采云”</w:t>
      </w:r>
      <w:r>
        <w:rPr>
          <w:rFonts w:hint="eastAsia" w:ascii="Times New Roman" w:hAnsi="Times New Roman" w:eastAsia="宋体" w:cs="Times New Roman"/>
          <w:b w:val="0"/>
          <w:bCs/>
          <w:sz w:val="24"/>
          <w:highlight w:val="none"/>
          <w:lang w:val="zh-TW" w:bidi="ar"/>
        </w:rPr>
        <w:t xml:space="preserve">。</w:t>
      </w:r>
      <w:r/>
    </w:p>
    <w:p>
      <w:pPr>
        <w:pStyle w:val="1027"/>
        <w:jc w:val="left"/>
        <w:spacing w:before="0" w:line="360" w:lineRule="auto"/>
        <w:rPr>
          <w:rFonts w:ascii="Times New Roman" w:hAnsi="Times New Roman" w:eastAsia="宋体"/>
          <w:sz w:val="24"/>
          <w:szCs w:val="24"/>
          <w:highlight w:val="none"/>
        </w:rPr>
      </w:pPr>
      <w:r/>
      <w:bookmarkStart w:id="28" w:name="_Toc28359085"/>
      <w:r/>
      <w:bookmarkStart w:id="29" w:name="_Toc28359008"/>
      <w:r/>
      <w:bookmarkStart w:id="30" w:name="_Toc35393627"/>
      <w:r/>
      <w:bookmarkStart w:id="31" w:name="_Toc35393796"/>
      <w:r>
        <w:rPr>
          <w:rFonts w:hint="eastAsia" w:ascii="Times New Roman" w:hAnsi="Times New Roman" w:eastAsia="宋体"/>
          <w:sz w:val="24"/>
          <w:szCs w:val="24"/>
          <w:highlight w:val="none"/>
          <w:lang w:val="en-US" w:eastAsia="zh-CN"/>
        </w:rPr>
        <w:t xml:space="preserve">七</w:t>
      </w:r>
      <w:r>
        <w:rPr>
          <w:rFonts w:ascii="Times New Roman" w:hAnsi="Times New Roman" w:eastAsia="宋体"/>
          <w:sz w:val="24"/>
          <w:szCs w:val="24"/>
          <w:highlight w:val="none"/>
        </w:rPr>
        <w:t xml:space="preserve">、对本次招标提出询问，请按以下方式联系。</w:t>
      </w:r>
      <w:bookmarkEnd w:id="28"/>
      <w:r/>
      <w:bookmarkEnd w:id="29"/>
      <w:r/>
      <w:bookmarkEnd w:id="30"/>
      <w:r/>
      <w:bookmarkEnd w:id="31"/>
      <w:r/>
      <w:r/>
    </w:p>
    <w:p>
      <w:pPr>
        <w:jc w:val="left"/>
        <w:spacing w:line="360" w:lineRule="auto"/>
        <w:widowControl/>
        <w:rPr>
          <w:b/>
          <w:sz w:val="24"/>
          <w:highlight w:val="none"/>
        </w:rPr>
      </w:pPr>
      <w:r>
        <w:rPr>
          <w:sz w:val="24"/>
          <w:highlight w:val="none"/>
        </w:rPr>
        <w:t xml:space="preserve">　　　</w:t>
      </w:r>
      <w:r>
        <w:rPr>
          <w:b/>
          <w:sz w:val="24"/>
          <w:highlight w:val="none"/>
        </w:rPr>
        <w:t xml:space="preserve">1.采购人信息</w:t>
      </w:r>
      <w:r/>
    </w:p>
    <w:p>
      <w:pPr>
        <w:ind w:left="1079" w:hanging="300"/>
        <w:jc w:val="left"/>
        <w:spacing w:line="360" w:lineRule="auto"/>
        <w:rPr>
          <w:sz w:val="24"/>
          <w:highlight w:val="none"/>
        </w:rPr>
      </w:pPr>
      <w:r/>
      <w:bookmarkStart w:id="32" w:name="_Toc28359009"/>
      <w:r/>
      <w:bookmarkStart w:id="33" w:name="_Toc28359086"/>
      <w:r>
        <w:rPr>
          <w:sz w:val="24"/>
          <w:highlight w:val="none"/>
        </w:rPr>
        <w:t xml:space="preserve">名    称：</w:t>
      </w:r>
      <w:r>
        <w:rPr>
          <w:rFonts w:hint="eastAsia" w:ascii="Times New Roman" w:hAnsi="Times New Roman" w:eastAsia="宋体" w:cs="Times New Roman"/>
          <w:sz w:val="24"/>
          <w:highlight w:val="none"/>
          <w:lang w:eastAsia="zh-CN"/>
        </w:rPr>
        <w:t xml:space="preserve">江苏省溧阳高新技术产业开发区国有资产管理中心</w:t>
      </w:r>
      <w:r/>
    </w:p>
    <w:p>
      <w:pPr>
        <w:ind w:left="1079" w:hanging="300"/>
        <w:jc w:val="left"/>
        <w:spacing w:line="360" w:lineRule="auto"/>
        <w:rPr>
          <w:sz w:val="24"/>
          <w:highlight w:val="none"/>
        </w:rPr>
      </w:pPr>
      <w:r>
        <w:rPr>
          <w:sz w:val="24"/>
          <w:highlight w:val="none"/>
        </w:rPr>
        <w:t xml:space="preserve">地    址：</w:t>
      </w:r>
      <w:r>
        <w:rPr>
          <w:rFonts w:hint="eastAsia"/>
          <w:sz w:val="24"/>
          <w:highlight w:val="none"/>
        </w:rPr>
        <w:t xml:space="preserve">溧阳市泓口路219号</w:t>
      </w:r>
      <w:r/>
    </w:p>
    <w:p>
      <w:pPr>
        <w:ind w:left="1079" w:hanging="300"/>
        <w:jc w:val="left"/>
        <w:spacing w:line="360" w:lineRule="auto"/>
        <w:rPr>
          <w:rFonts w:hint="default" w:eastAsia="宋体"/>
          <w:sz w:val="24"/>
          <w:highlight w:val="none"/>
          <w:u w:val="single"/>
          <w:lang w:val="en-US" w:eastAsia="zh-CN"/>
        </w:rPr>
      </w:pPr>
      <w:r>
        <w:rPr>
          <w:sz w:val="24"/>
          <w:highlight w:val="none"/>
        </w:rPr>
        <w:t xml:space="preserve">联系方式：</w:t>
      </w:r>
      <w:r>
        <w:rPr>
          <w:rFonts w:hint="eastAsia"/>
          <w:sz w:val="24"/>
          <w:highlight w:val="none"/>
        </w:rPr>
        <w:t xml:space="preserve">吕先生</w:t>
      </w:r>
      <w:r>
        <w:rPr>
          <w:rFonts w:hint="eastAsia"/>
          <w:sz w:val="24"/>
          <w:highlight w:val="none"/>
          <w:lang w:val="en-US" w:eastAsia="zh-CN"/>
        </w:rPr>
        <w:t xml:space="preserve">  0519-80996809</w:t>
      </w:r>
      <w:r/>
    </w:p>
    <w:p>
      <w:pPr>
        <w:ind w:left="1080" w:hanging="301"/>
        <w:jc w:val="left"/>
        <w:spacing w:line="360" w:lineRule="auto"/>
        <w:rPr>
          <w:b/>
          <w:sz w:val="24"/>
          <w:highlight w:val="none"/>
        </w:rPr>
      </w:pPr>
      <w:r>
        <w:rPr>
          <w:b/>
          <w:sz w:val="24"/>
          <w:highlight w:val="none"/>
        </w:rPr>
        <w:t xml:space="preserve">2.采购代理机构信息</w:t>
      </w:r>
      <w:bookmarkEnd w:id="32"/>
      <w:r/>
      <w:bookmarkEnd w:id="33"/>
      <w:r/>
      <w:r/>
    </w:p>
    <w:p>
      <w:pPr>
        <w:ind w:left="1079" w:hanging="300"/>
        <w:jc w:val="left"/>
        <w:spacing w:line="360" w:lineRule="auto"/>
        <w:rPr>
          <w:rFonts w:hint="eastAsia" w:eastAsia="宋体"/>
          <w:sz w:val="24"/>
          <w:highlight w:val="none"/>
          <w:lang w:eastAsia="zh-CN"/>
        </w:rPr>
      </w:pPr>
      <w:r/>
      <w:bookmarkStart w:id="34" w:name="_Toc28359087"/>
      <w:r/>
      <w:bookmarkStart w:id="35" w:name="_Toc28359010"/>
      <w:r>
        <w:rPr>
          <w:sz w:val="24"/>
          <w:highlight w:val="none"/>
        </w:rPr>
        <w:t xml:space="preserve">名    称：</w:t>
      </w:r>
      <w:r>
        <w:rPr>
          <w:rFonts w:hint="eastAsia"/>
          <w:sz w:val="24"/>
          <w:highlight w:val="none"/>
          <w:lang w:eastAsia="zh-CN"/>
        </w:rPr>
        <w:t xml:space="preserve">溧阳普弘信工程项目管理有限公司</w:t>
      </w:r>
      <w:r/>
    </w:p>
    <w:p>
      <w:pPr>
        <w:ind w:left="1079" w:hanging="300"/>
        <w:jc w:val="left"/>
        <w:spacing w:line="360" w:lineRule="auto"/>
        <w:rPr>
          <w:rFonts w:hint="default" w:eastAsia="宋体"/>
          <w:sz w:val="24"/>
          <w:highlight w:val="none"/>
          <w:lang w:val="en-US" w:eastAsia="zh-CN"/>
        </w:rPr>
      </w:pPr>
      <w:r>
        <w:rPr>
          <w:sz w:val="24"/>
          <w:highlight w:val="none"/>
        </w:rPr>
        <w:t xml:space="preserve">地    址：</w:t>
      </w:r>
      <w:r>
        <w:rPr>
          <w:rFonts w:hint="eastAsia"/>
          <w:sz w:val="24"/>
          <w:highlight w:val="none"/>
        </w:rPr>
        <w:t xml:space="preserve">溧阳市</w:t>
      </w:r>
      <w:r>
        <w:rPr>
          <w:rFonts w:hint="eastAsia"/>
          <w:sz w:val="24"/>
          <w:highlight w:val="none"/>
          <w:lang w:val="en-US" w:eastAsia="zh-CN"/>
        </w:rPr>
        <w:t xml:space="preserve">平陵大厦19楼1920室</w:t>
      </w:r>
      <w:r/>
    </w:p>
    <w:p>
      <w:pPr>
        <w:ind w:left="1079" w:hanging="300"/>
        <w:jc w:val="left"/>
        <w:spacing w:line="360" w:lineRule="auto"/>
        <w:rPr>
          <w:rFonts w:hint="default" w:eastAsia="宋体"/>
          <w:sz w:val="24"/>
          <w:highlight w:val="none"/>
          <w:u w:val="single"/>
          <w:lang w:val="en-US" w:eastAsia="zh-CN"/>
        </w:rPr>
      </w:pPr>
      <w:r>
        <w:rPr>
          <w:sz w:val="24"/>
          <w:highlight w:val="none"/>
        </w:rPr>
        <w:t xml:space="preserve">联系方式：</w:t>
      </w:r>
      <w:r>
        <w:rPr>
          <w:rFonts w:hint="eastAsia"/>
          <w:sz w:val="24"/>
          <w:highlight w:val="none"/>
          <w:lang w:val="en-US" w:eastAsia="zh-CN"/>
        </w:rPr>
        <w:t xml:space="preserve">0519-80692728</w:t>
      </w:r>
      <w:r/>
    </w:p>
    <w:p>
      <w:pPr>
        <w:ind w:firstLine="723"/>
        <w:spacing w:line="360" w:lineRule="auto"/>
        <w:rPr>
          <w:b/>
          <w:sz w:val="24"/>
          <w:highlight w:val="none"/>
          <w:u w:val="single"/>
        </w:rPr>
      </w:pPr>
      <w:r>
        <w:rPr>
          <w:b/>
          <w:sz w:val="24"/>
          <w:highlight w:val="none"/>
        </w:rPr>
        <w:t xml:space="preserve">3.项目联系方式</w:t>
      </w:r>
      <w:bookmarkEnd w:id="34"/>
      <w:r/>
      <w:bookmarkEnd w:id="35"/>
      <w:r/>
      <w:r/>
    </w:p>
    <w:p>
      <w:pPr>
        <w:pStyle w:val="1064"/>
        <w:ind w:firstLine="720"/>
        <w:spacing w:line="360" w:lineRule="auto"/>
        <w:rPr>
          <w:rFonts w:hint="eastAsia" w:ascii="Times New Roman" w:hAnsi="Times New Roman" w:eastAsia="宋体"/>
          <w:sz w:val="24"/>
          <w:szCs w:val="24"/>
          <w:highlight w:val="none"/>
          <w:lang w:eastAsia="zh-CN"/>
        </w:rPr>
      </w:pPr>
      <w:r>
        <w:rPr>
          <w:rFonts w:ascii="Times New Roman" w:hAnsi="Times New Roman"/>
          <w:sz w:val="24"/>
          <w:szCs w:val="24"/>
          <w:highlight w:val="none"/>
        </w:rPr>
        <w:t xml:space="preserve">项目联系人：</w:t>
      </w:r>
      <w:r>
        <w:rPr>
          <w:rFonts w:hint="eastAsia" w:ascii="Times New Roman" w:hAnsi="Times New Roman"/>
          <w:sz w:val="24"/>
          <w:highlight w:val="none"/>
          <w:lang w:val="en-US" w:eastAsia="zh-CN"/>
        </w:rPr>
        <w:t xml:space="preserve">潘工</w:t>
      </w:r>
      <w:r/>
    </w:p>
    <w:p>
      <w:pPr>
        <w:pStyle w:val="1064"/>
        <w:ind w:firstLine="720"/>
        <w:spacing w:line="360" w:lineRule="auto"/>
        <w:rPr>
          <w:rFonts w:hint="default" w:ascii="Times New Roman" w:hAnsi="Times New Roman"/>
          <w:sz w:val="24"/>
          <w:highlight w:val="none"/>
        </w:rPr>
      </w:pPr>
      <w:r>
        <w:rPr>
          <w:rFonts w:ascii="Times New Roman" w:hAnsi="Times New Roman"/>
          <w:sz w:val="24"/>
          <w:highlight w:val="none"/>
        </w:rPr>
        <w:t xml:space="preserve">电      话：</w:t>
      </w:r>
      <w:r>
        <w:rPr>
          <w:rFonts w:hint="eastAsia" w:ascii="Times New Roman" w:eastAsia="宋体"/>
          <w:sz w:val="24"/>
          <w:highlight w:val="none"/>
          <w:lang w:val="en-US" w:eastAsia="zh-CN"/>
        </w:rPr>
        <w:t xml:space="preserve">0519-80692728</w:t>
      </w:r>
      <w:r/>
    </w:p>
    <w:p>
      <w:pPr>
        <w:ind w:left="852" w:hanging="432"/>
        <w:jc w:val="left"/>
        <w:spacing w:line="360" w:lineRule="auto"/>
        <w:rPr>
          <w:rFonts w:hint="eastAsia"/>
          <w:b/>
          <w:bCs/>
          <w:sz w:val="24"/>
          <w:highlight w:val="none"/>
        </w:rPr>
      </w:pPr>
      <w:r>
        <w:rPr>
          <w:rFonts w:hint="eastAsia"/>
          <w:b/>
          <w:bCs/>
          <w:sz w:val="24"/>
          <w:highlight w:val="none"/>
        </w:rPr>
        <w:t xml:space="preserve">注：以上个人信息，由于工作需要经机构或本人同意对外公布。</w:t>
      </w:r>
      <w:bookmarkStart w:id="36" w:name="_Toc305158928"/>
      <w:r/>
      <w:bookmarkStart w:id="37" w:name="_Toc127161488"/>
      <w:r/>
      <w:bookmarkStart w:id="38" w:name="_Toc353825548"/>
      <w:r/>
      <w:bookmarkStart w:id="39" w:name="_Toc305158854"/>
      <w:r/>
      <w:bookmarkStart w:id="40" w:name="_Toc264969275"/>
      <w:r/>
      <w:bookmarkStart w:id="41" w:name="_Toc150774783"/>
      <w:r/>
      <w:bookmarkStart w:id="42" w:name="_Toc512937850"/>
      <w:r/>
      <w:bookmarkStart w:id="43" w:name="_Toc195842950"/>
      <w:r/>
      <w:bookmarkStart w:id="44" w:name="_Toc99301420"/>
      <w:r/>
      <w:bookmarkStart w:id="45" w:name="_Toc265228423"/>
      <w:r/>
      <w:bookmarkStart w:id="46" w:name="_Toc353873938"/>
      <w:r/>
      <w:bookmarkStart w:id="47" w:name="_Toc127151777"/>
      <w:r/>
      <w:bookmarkStart w:id="48" w:name="_Toc226965856"/>
      <w:r/>
      <w:r/>
    </w:p>
    <w:p>
      <w:pPr>
        <w:ind w:left="852" w:hanging="432"/>
        <w:jc w:val="center"/>
        <w:spacing w:line="360" w:lineRule="auto"/>
        <w:rPr>
          <w:b/>
          <w:sz w:val="36"/>
          <w:szCs w:val="36"/>
          <w:highlight w:val="none"/>
        </w:rPr>
      </w:pPr>
      <w:r>
        <w:rPr>
          <w:b/>
          <w:sz w:val="36"/>
          <w:szCs w:val="36"/>
          <w:highlight w:val="none"/>
        </w:rPr>
      </w:r>
      <w:r/>
    </w:p>
    <w:p>
      <w:pPr>
        <w:rPr>
          <w:b/>
          <w:sz w:val="36"/>
          <w:szCs w:val="36"/>
          <w:highlight w:val="none"/>
        </w:rPr>
      </w:pPr>
      <w:r>
        <w:rPr>
          <w:b/>
          <w:sz w:val="36"/>
          <w:szCs w:val="36"/>
          <w:highlight w:val="none"/>
        </w:rPr>
        <w:br w:type="page" w:clear="all"/>
      </w:r>
      <w:r/>
    </w:p>
    <w:p>
      <w:pPr>
        <w:ind w:left="852" w:hanging="432"/>
        <w:jc w:val="center"/>
        <w:spacing w:line="360" w:lineRule="auto"/>
        <w:rPr>
          <w:b/>
          <w:sz w:val="32"/>
          <w:szCs w:val="32"/>
          <w:highlight w:val="none"/>
        </w:rPr>
      </w:pPr>
      <w:r>
        <w:rPr>
          <w:b/>
          <w:sz w:val="36"/>
          <w:szCs w:val="36"/>
          <w:highlight w:val="none"/>
        </w:rPr>
        <w:t xml:space="preserve">第二章   </w:t>
      </w:r>
      <w:r>
        <w:rPr>
          <w:rFonts w:hint="eastAsia"/>
          <w:b/>
          <w:sz w:val="36"/>
          <w:szCs w:val="36"/>
          <w:highlight w:val="none"/>
        </w:rPr>
        <w:t xml:space="preserve">投标</w:t>
      </w:r>
      <w:r>
        <w:rPr>
          <w:rFonts w:hint="eastAsia"/>
          <w:b/>
          <w:sz w:val="36"/>
          <w:szCs w:val="36"/>
          <w:highlight w:val="none"/>
          <w:lang w:val="en-US" w:eastAsia="zh-CN"/>
        </w:rPr>
        <w:t xml:space="preserve">人</w:t>
      </w:r>
      <w:r>
        <w:rPr>
          <w:b/>
          <w:sz w:val="36"/>
          <w:szCs w:val="36"/>
          <w:highlight w:val="none"/>
        </w:rPr>
        <w:t xml:space="preserve">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027"/>
        <w:spacing w:before="0" w:line="360" w:lineRule="auto"/>
        <w:tabs>
          <w:tab w:val="center" w:pos="4592" w:leader="none"/>
          <w:tab w:val="left" w:pos="7860" w:leader="none"/>
        </w:tabs>
        <w:rPr>
          <w:sz w:val="24"/>
          <w:highlight w:val="none"/>
        </w:rPr>
      </w:pPr>
      <w:r/>
      <w:bookmarkStart w:id="49" w:name="_Toc150774619"/>
      <w:r/>
      <w:bookmarkStart w:id="50" w:name="_Toc226337215"/>
      <w:r/>
      <w:bookmarkStart w:id="51" w:name="_Toc151193617"/>
      <w:r/>
      <w:bookmarkStart w:id="52" w:name="_Toc127151519"/>
      <w:r/>
      <w:bookmarkStart w:id="53" w:name="_Toc195842884"/>
      <w:r/>
      <w:bookmarkStart w:id="54" w:name="_Toc226965709"/>
      <w:r/>
      <w:bookmarkStart w:id="55" w:name="_Toc164608788"/>
      <w:r/>
      <w:bookmarkStart w:id="56" w:name="_Toc164608633"/>
      <w:r/>
      <w:bookmarkStart w:id="57" w:name="_Toc164351613"/>
      <w:r/>
      <w:bookmarkStart w:id="58" w:name="_Toc151193761"/>
      <w:r/>
      <w:bookmarkStart w:id="59" w:name="_Toc127161433"/>
      <w:r/>
      <w:bookmarkStart w:id="60" w:name="_Toc226309763"/>
      <w:r/>
      <w:bookmarkStart w:id="61" w:name="_Toc127151720"/>
      <w:r/>
      <w:bookmarkStart w:id="62" w:name="_Toc150774724"/>
      <w:r/>
      <w:bookmarkStart w:id="63" w:name="_Toc151193689"/>
      <w:r/>
      <w:bookmarkStart w:id="64" w:name="_Toc520356144"/>
      <w:r/>
      <w:bookmarkStart w:id="65" w:name="_Toc164229214"/>
      <w:r/>
      <w:bookmarkStart w:id="66" w:name="_Toc226965792"/>
      <w:r/>
      <w:bookmarkStart w:id="67" w:name="_Toc150509270"/>
      <w:r/>
      <w:bookmarkStart w:id="68" w:name="_Toc151193907"/>
      <w:r/>
      <w:bookmarkStart w:id="69" w:name="_Toc151193833"/>
      <w:r/>
      <w:bookmarkStart w:id="70" w:name="_Toc149720812"/>
      <w:r/>
      <w:bookmarkStart w:id="71" w:name="_Toc150480757"/>
      <w:r/>
      <w:bookmarkStart w:id="72" w:name="_Toc151190146"/>
      <w:r/>
      <w:bookmarkStart w:id="73" w:name="_Toc142311021"/>
      <w:r/>
      <w:bookmarkStart w:id="74" w:name="_Toc164229360"/>
      <w:r>
        <w:rPr>
          <w:rFonts w:hint="eastAsia" w:ascii="Times New Roman" w:hAnsi="Times New Roman" w:eastAsia="宋体"/>
          <w:sz w:val="28"/>
          <w:highlight w:val="none"/>
        </w:rPr>
        <w:t xml:space="preserve">投标</w:t>
      </w:r>
      <w:r>
        <w:rPr>
          <w:rFonts w:hint="eastAsia" w:ascii="Times New Roman" w:hAnsi="Times New Roman" w:eastAsia="宋体"/>
          <w:sz w:val="28"/>
          <w:highlight w:val="none"/>
          <w:lang w:val="en-US" w:eastAsia="zh-CN"/>
        </w:rPr>
        <w:t xml:space="preserve">人</w:t>
      </w:r>
      <w:r>
        <w:rPr>
          <w:rFonts w:ascii="Times New Roman" w:hAnsi="Times New Roman" w:eastAsia="宋体"/>
          <w:sz w:val="28"/>
          <w:highlight w:val="none"/>
        </w:rPr>
        <w:t xml:space="preserve">须知资料表</w:t>
      </w:r>
      <w:r/>
    </w:p>
    <w:p>
      <w:pPr>
        <w:ind w:firstLine="480"/>
        <w:spacing w:line="360" w:lineRule="auto"/>
        <w:rPr>
          <w:rFonts w:hint="eastAsia" w:ascii="Times New Roman" w:hAnsi="Times New Roman" w:eastAsia="宋体" w:cs="Times New Roman"/>
          <w:sz w:val="24"/>
          <w:highlight w:val="none"/>
        </w:rPr>
      </w:pPr>
      <w:r>
        <w:rPr>
          <w:rFonts w:ascii="Times New Roman" w:hAnsi="Times New Roman" w:eastAsia="宋体" w:cs="Times New Roman"/>
          <w:sz w:val="24"/>
          <w:highlight w:val="none"/>
        </w:rPr>
        <w:t xml:space="preserve">本表是对投标人须知的具体补充和修改，如有矛盾，均以本资料表为准。</w:t>
      </w:r>
      <w:r/>
    </w:p>
    <w:p>
      <w:pPr>
        <w:ind w:firstLine="480"/>
        <w:spacing w:line="360" w:lineRule="auto"/>
        <w:rPr>
          <w:sz w:val="24"/>
          <w:highlight w:val="none"/>
        </w:rPr>
      </w:pPr>
      <w:r>
        <w:rPr>
          <w:rFonts w:ascii="Times New Roman" w:hAnsi="Times New Roman" w:eastAsia="宋体" w:cs="Times New Roman"/>
          <w:sz w:val="24"/>
          <w:highlight w:val="none"/>
        </w:rPr>
        <w:t xml:space="preserve">标记</w:t>
      </w:r>
      <w:r>
        <w:rPr>
          <w:rFonts w:ascii="Times New Roman" w:hAnsi="Times New Roman" w:eastAsia="宋体" w:cs="Times New Roman"/>
          <w:color w:val="000000"/>
          <w:sz w:val="24"/>
          <w:highlight w:val="none"/>
        </w:rPr>
        <w:t xml:space="preserve">“</w:t>
      </w:r>
      <w:r>
        <w:rPr>
          <w:rFonts w:ascii="Times New Roman" w:hAnsi="Times New Roman" w:eastAsia="宋体" w:cs="Times New Roman"/>
          <w:b/>
          <w:color w:val="000000"/>
          <w:sz w:val="24"/>
          <w:highlight w:val="none"/>
        </w:rPr>
        <w:t xml:space="preserve">■</w:t>
      </w:r>
      <w:r>
        <w:rPr>
          <w:rFonts w:ascii="Times New Roman" w:hAnsi="Times New Roman" w:eastAsia="宋体" w:cs="Times New Roman"/>
          <w:color w:val="000000"/>
          <w:sz w:val="24"/>
          <w:highlight w:val="none"/>
        </w:rPr>
        <w:t xml:space="preserve">”</w:t>
      </w:r>
      <w:r>
        <w:rPr>
          <w:rFonts w:ascii="Times New Roman" w:hAnsi="Times New Roman" w:eastAsia="宋体" w:cs="Times New Roman"/>
          <w:sz w:val="24"/>
          <w:highlight w:val="none"/>
        </w:rPr>
        <w:t xml:space="preserve">的选项意为适用于本项目，标记“□”的选项意为不适用于本项目。</w:t>
      </w:r>
      <w:r/>
    </w:p>
    <w:tbl>
      <w:tblPr>
        <w:tblStyle w:val="819"/>
        <w:tblpPr w:horzAnchor="page" w:tblpX="1220" w:vertAnchor="text" w:tblpY="447" w:leftFromText="180" w:topFromText="0" w:rightFromText="180" w:bottomFromText="0"/>
        <w:tblW w:w="102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jc w:val="center"/>
              <w:rPr>
                <w:rFonts w:ascii="Times New Roman" w:hAnsi="Times New Roman" w:eastAsia="宋体" w:cs="Times New Roman"/>
                <w:b/>
                <w:bCs/>
                <w:sz w:val="24"/>
                <w:highlight w:val="none"/>
              </w:rPr>
            </w:pPr>
            <w:r>
              <w:rPr>
                <w:rFonts w:ascii="Times New Roman" w:hAnsi="Times New Roman" w:eastAsia="宋体" w:cs="Times New Roman"/>
                <w:b/>
                <w:sz w:val="24"/>
                <w:highlight w:val="none"/>
              </w:rPr>
              <w:t xml:space="preserve">条款号</w:t>
            </w:r>
            <w:r/>
          </w:p>
        </w:tc>
        <w:tc>
          <w:tcPr>
            <w:tcW w:w="1701" w:type="dxa"/>
            <w:vAlign w:val="center"/>
            <w:textDirection w:val="lrTb"/>
            <w:noWrap w:val="false"/>
          </w:tcPr>
          <w:p>
            <w:pPr>
              <w:jc w:val="center"/>
              <w:rPr>
                <w:rFonts w:ascii="Times New Roman" w:hAnsi="Times New Roman" w:eastAsia="宋体" w:cs="Times New Roman"/>
                <w:b/>
                <w:bCs/>
                <w:sz w:val="24"/>
                <w:highlight w:val="none"/>
              </w:rPr>
            </w:pPr>
            <w:r>
              <w:rPr>
                <w:rFonts w:ascii="Times New Roman" w:hAnsi="Times New Roman" w:eastAsia="宋体" w:cs="Times New Roman"/>
                <w:b/>
                <w:bCs/>
                <w:sz w:val="24"/>
                <w:highlight w:val="none"/>
              </w:rPr>
              <w:t xml:space="preserve">条目</w:t>
            </w:r>
            <w:r/>
          </w:p>
        </w:tc>
        <w:tc>
          <w:tcPr>
            <w:tcW w:w="7540" w:type="dxa"/>
            <w:vAlign w:val="center"/>
            <w:textDirection w:val="lrTb"/>
            <w:noWrap w:val="false"/>
          </w:tcPr>
          <w:p>
            <w:pPr>
              <w:jc w:val="center"/>
              <w:rPr>
                <w:rFonts w:ascii="Times New Roman" w:hAnsi="Times New Roman" w:eastAsia="宋体" w:cs="Times New Roman"/>
                <w:b/>
                <w:bCs/>
                <w:sz w:val="24"/>
                <w:highlight w:val="none"/>
              </w:rPr>
            </w:pPr>
            <w:r>
              <w:rPr>
                <w:rFonts w:ascii="Times New Roman" w:hAnsi="Times New Roman" w:eastAsia="宋体" w:cs="Times New Roman"/>
                <w:b/>
                <w:bCs/>
                <w:sz w:val="24"/>
                <w:highlight w:val="none"/>
              </w:rPr>
              <w:t xml:space="preserve">内容</w:t>
            </w:r>
            <w:r/>
          </w:p>
        </w:tc>
      </w:tr>
      <w:tr>
        <w:trPr>
          <w:trHeight w:val="20"/>
        </w:trPr>
        <w:tc>
          <w:tcPr>
            <w:tcW w:w="988" w:type="dxa"/>
            <w:vAlign w:val="center"/>
            <w:textDirection w:val="lrTb"/>
            <w:noWrap w:val="false"/>
          </w:tcPr>
          <w:p>
            <w:pPr>
              <w:jc w:val="center"/>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2.2</w:t>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项目属性</w:t>
            </w:r>
            <w:r/>
          </w:p>
        </w:tc>
        <w:tc>
          <w:tcPr>
            <w:tcW w:w="7540" w:type="dxa"/>
            <w:vAlign w:val="center"/>
            <w:textDirection w:val="lrTb"/>
            <w:noWrap w:val="false"/>
          </w:tcPr>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项目属性：</w:t>
            </w:r>
            <w:r/>
          </w:p>
          <w:p>
            <w:pPr>
              <w:jc w:val="left"/>
              <w:rPr>
                <w:rFonts w:ascii="Times New Roman" w:hAnsi="Times New Roman" w:eastAsia="宋体" w:cs="Times New Roman"/>
                <w:sz w:val="24"/>
                <w:highlight w:val="none"/>
              </w:rPr>
            </w:pPr>
            <w:r>
              <w:rPr>
                <w:rFonts w:ascii="Times New Roman" w:hAnsi="Times New Roman" w:eastAsia="宋体" w:cs="Times New Roman"/>
                <w:b/>
                <w:color w:val="000000"/>
                <w:sz w:val="24"/>
                <w:highlight w:val="none"/>
              </w:rPr>
              <w:t xml:space="preserve">■</w:t>
            </w:r>
            <w:r>
              <w:rPr>
                <w:rFonts w:ascii="Times New Roman" w:hAnsi="Times New Roman" w:eastAsia="宋体" w:cs="Times New Roman"/>
                <w:sz w:val="24"/>
                <w:highlight w:val="none"/>
              </w:rPr>
              <w:t xml:space="preserve">服务</w:t>
            </w:r>
            <w:r/>
          </w:p>
          <w:p>
            <w:pPr>
              <w:jc w:val="left"/>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□货物</w:t>
            </w:r>
            <w:r/>
          </w:p>
        </w:tc>
      </w:tr>
      <w:tr>
        <w:trPr>
          <w:trHeight w:val="20"/>
        </w:trPr>
        <w:tc>
          <w:tcPr>
            <w:tcW w:w="988" w:type="dxa"/>
            <w:vAlign w:val="center"/>
            <w:textDirection w:val="lrTb"/>
            <w:noWrap w:val="false"/>
          </w:tcPr>
          <w:p>
            <w:pPr>
              <w:jc w:val="center"/>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2.3</w:t>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科研仪器设备</w:t>
            </w:r>
            <w:r/>
          </w:p>
        </w:tc>
        <w:tc>
          <w:tcPr>
            <w:tcW w:w="7540" w:type="dxa"/>
            <w:vAlign w:val="center"/>
            <w:textDirection w:val="lrTb"/>
            <w:noWrap w:val="false"/>
          </w:tcPr>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是否属于科研仪器设备采购项目：</w:t>
            </w:r>
            <w:r/>
          </w:p>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□是</w:t>
            </w:r>
            <w:r/>
          </w:p>
          <w:p>
            <w:pPr>
              <w:jc w:val="left"/>
              <w:rPr>
                <w:rFonts w:ascii="Times New Roman" w:hAnsi="Times New Roman" w:eastAsia="宋体" w:cs="Times New Roman"/>
                <w:sz w:val="24"/>
                <w:highlight w:val="none"/>
              </w:rPr>
            </w:pPr>
            <w:r>
              <w:rPr>
                <w:rFonts w:ascii="Times New Roman" w:hAnsi="Times New Roman" w:eastAsia="宋体" w:cs="Times New Roman"/>
                <w:b/>
                <w:color w:val="000000"/>
                <w:sz w:val="24"/>
                <w:highlight w:val="none"/>
              </w:rPr>
              <w:t xml:space="preserve">■</w:t>
            </w:r>
            <w:r>
              <w:rPr>
                <w:rFonts w:ascii="Times New Roman" w:hAnsi="Times New Roman" w:eastAsia="宋体" w:cs="Times New Roman"/>
                <w:sz w:val="24"/>
                <w:highlight w:val="none"/>
              </w:rPr>
              <w:t xml:space="preserve">否</w:t>
            </w:r>
            <w:r/>
          </w:p>
        </w:tc>
      </w:tr>
      <w:tr>
        <w:trPr>
          <w:trHeight w:val="20"/>
        </w:trPr>
        <w:tc>
          <w:tcPr>
            <w:tcW w:w="988" w:type="dxa"/>
            <w:vAlign w:val="center"/>
            <w:vMerge w:val="restart"/>
            <w:textDirection w:val="lrTb"/>
            <w:noWrap w:val="false"/>
          </w:tcPr>
          <w:p>
            <w:pPr>
              <w:jc w:val="center"/>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3.1</w:t>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现场考察</w:t>
            </w:r>
            <w:r/>
          </w:p>
        </w:tc>
        <w:tc>
          <w:tcPr>
            <w:tcW w:w="7540" w:type="dxa"/>
            <w:vAlign w:val="center"/>
            <w:textDirection w:val="lrTb"/>
            <w:noWrap w:val="false"/>
          </w:tcPr>
          <w:p>
            <w:pPr>
              <w:jc w:val="left"/>
              <w:rPr>
                <w:rFonts w:ascii="Times New Roman" w:hAnsi="Times New Roman" w:eastAsia="宋体" w:cs="Times New Roman"/>
                <w:sz w:val="24"/>
                <w:highlight w:val="none"/>
              </w:rPr>
            </w:pPr>
            <w:r>
              <w:rPr>
                <w:rFonts w:ascii="Times New Roman" w:hAnsi="Times New Roman" w:eastAsia="宋体" w:cs="Times New Roman"/>
                <w:b/>
                <w:color w:val="000000"/>
                <w:sz w:val="24"/>
                <w:highlight w:val="none"/>
              </w:rPr>
              <w:t xml:space="preserve">■</w:t>
            </w:r>
            <w:r>
              <w:rPr>
                <w:rFonts w:ascii="Times New Roman" w:hAnsi="Times New Roman" w:eastAsia="宋体" w:cs="Times New Roman"/>
                <w:sz w:val="24"/>
                <w:highlight w:val="none"/>
              </w:rPr>
              <w:t xml:space="preserve">不组织</w:t>
            </w:r>
            <w:r/>
          </w:p>
          <w:p>
            <w:pPr>
              <w:jc w:val="left"/>
              <w:rPr>
                <w:rFonts w:ascii="Times New Roman" w:hAnsi="Times New Roman" w:eastAsia="宋体" w:cs="Times New Roman"/>
                <w:bCs/>
                <w:sz w:val="24"/>
                <w:highlight w:val="none"/>
              </w:rPr>
            </w:pPr>
            <w:r>
              <w:rPr>
                <w:rFonts w:ascii="Times New Roman" w:hAnsi="Times New Roman" w:eastAsia="宋体" w:cs="Times New Roman"/>
                <w:sz w:val="24"/>
                <w:highlight w:val="none"/>
              </w:rPr>
              <w:t xml:space="preserve">□组织，考察时间：__年_月_日_</w:t>
            </w:r>
            <w:r>
              <w:rPr>
                <w:rFonts w:ascii="Times New Roman" w:hAnsi="Times New Roman" w:eastAsia="宋体" w:cs="Times New Roman"/>
                <w:bCs/>
                <w:sz w:val="24"/>
                <w:highlight w:val="none"/>
              </w:rPr>
              <w:t xml:space="preserve">点</w:t>
            </w:r>
            <w:r>
              <w:rPr>
                <w:rFonts w:ascii="Times New Roman" w:hAnsi="Times New Roman" w:eastAsia="宋体" w:cs="Times New Roman"/>
                <w:sz w:val="24"/>
                <w:highlight w:val="none"/>
              </w:rPr>
              <w:t xml:space="preserve">_</w:t>
            </w:r>
            <w:r>
              <w:rPr>
                <w:rFonts w:ascii="Times New Roman" w:hAnsi="Times New Roman" w:eastAsia="宋体" w:cs="Times New Roman"/>
                <w:bCs/>
                <w:sz w:val="24"/>
                <w:highlight w:val="none"/>
              </w:rPr>
              <w:t xml:space="preserve">分</w:t>
            </w:r>
            <w:r/>
          </w:p>
          <w:p>
            <w:pPr>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0"/>
                <w:highlight w:val="none"/>
                <w:lang w:val="en-US" w:eastAsia="zh-CN" w:bidi="ar-SA"/>
              </w:rPr>
              <w:t xml:space="preserve">考察地点：____________。</w:t>
            </w:r>
            <w:r/>
          </w:p>
        </w:tc>
      </w:tr>
      <w:tr>
        <w:trPr>
          <w:trHeight w:val="20"/>
        </w:trPr>
        <w:tc>
          <w:tcPr>
            <w:tcW w:w="988" w:type="dxa"/>
            <w:vAlign w:val="center"/>
            <w:vMerge w:val="continue"/>
            <w:textDirection w:val="lrTb"/>
            <w:noWrap w:val="false"/>
          </w:tcPr>
          <w:p>
            <w:pPr>
              <w:jc w:val="center"/>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开标前答疑会</w:t>
            </w:r>
            <w:r/>
          </w:p>
        </w:tc>
        <w:tc>
          <w:tcPr>
            <w:tcW w:w="7540" w:type="dxa"/>
            <w:vAlign w:val="center"/>
            <w:textDirection w:val="lrTb"/>
            <w:noWrap w:val="false"/>
          </w:tcPr>
          <w:p>
            <w:pPr>
              <w:jc w:val="left"/>
              <w:rPr>
                <w:rFonts w:ascii="Times New Roman" w:hAnsi="Times New Roman" w:eastAsia="宋体" w:cs="Times New Roman"/>
                <w:sz w:val="24"/>
                <w:highlight w:val="none"/>
              </w:rPr>
            </w:pPr>
            <w:r>
              <w:rPr>
                <w:rFonts w:ascii="Times New Roman" w:hAnsi="Times New Roman" w:eastAsia="宋体" w:cs="Times New Roman"/>
                <w:b/>
                <w:color w:val="000000"/>
                <w:sz w:val="24"/>
                <w:highlight w:val="none"/>
              </w:rPr>
              <w:t xml:space="preserve">■</w:t>
            </w:r>
            <w:r>
              <w:rPr>
                <w:rFonts w:ascii="Times New Roman" w:hAnsi="Times New Roman" w:eastAsia="宋体" w:cs="Times New Roman"/>
                <w:sz w:val="24"/>
                <w:highlight w:val="none"/>
              </w:rPr>
              <w:t xml:space="preserve">不召开</w:t>
            </w:r>
            <w:r/>
          </w:p>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□召开，召开时间：__年_月_日_</w:t>
            </w:r>
            <w:r>
              <w:rPr>
                <w:rFonts w:ascii="Times New Roman" w:hAnsi="Times New Roman" w:eastAsia="宋体" w:cs="Times New Roman"/>
                <w:bCs/>
                <w:sz w:val="24"/>
                <w:highlight w:val="none"/>
              </w:rPr>
              <w:t xml:space="preserve">点</w:t>
            </w:r>
            <w:r>
              <w:rPr>
                <w:rFonts w:ascii="Times New Roman" w:hAnsi="Times New Roman" w:eastAsia="宋体" w:cs="Times New Roman"/>
                <w:sz w:val="24"/>
                <w:highlight w:val="none"/>
              </w:rPr>
              <w:t xml:space="preserve">_</w:t>
            </w:r>
            <w:r>
              <w:rPr>
                <w:rFonts w:ascii="Times New Roman" w:hAnsi="Times New Roman" w:eastAsia="宋体" w:cs="Times New Roman"/>
                <w:bCs/>
                <w:sz w:val="24"/>
                <w:highlight w:val="none"/>
              </w:rPr>
              <w:t xml:space="preserve">分</w:t>
            </w:r>
            <w:r/>
          </w:p>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召开地点：____________</w:t>
            </w:r>
            <w:r>
              <w:rPr>
                <w:rFonts w:hint="eastAsia" w:ascii="Times New Roman" w:hAnsi="Times New Roman" w:eastAsia="宋体" w:cs="Times New Roman"/>
                <w:sz w:val="24"/>
                <w:highlight w:val="none"/>
              </w:rPr>
              <w:t xml:space="preserve">。</w:t>
            </w:r>
            <w:r/>
          </w:p>
        </w:tc>
      </w:tr>
      <w:tr>
        <w:trPr>
          <w:trHeight w:val="558"/>
        </w:trPr>
        <w:tc>
          <w:tcPr>
            <w:tcW w:w="988" w:type="dxa"/>
            <w:vAlign w:val="center"/>
            <w:textDirection w:val="lrTb"/>
            <w:noWrap w:val="false"/>
          </w:tcPr>
          <w:p>
            <w:pPr>
              <w:jc w:val="center"/>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5.2.5</w:t>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标的所属行业</w:t>
            </w:r>
            <w:r/>
          </w:p>
        </w:tc>
        <w:tc>
          <w:tcPr>
            <w:tcW w:w="7540" w:type="dxa"/>
            <w:vAlign w:val="center"/>
            <w:textDirection w:val="lrTb"/>
            <w:noWrap w:val="false"/>
          </w:tcPr>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本项目采购标的对应的中小企业划分标准所属行业：</w:t>
            </w:r>
            <w:r>
              <w:rPr>
                <w:rFonts w:hint="eastAsia" w:ascii="Times New Roman" w:hAnsi="Times New Roman" w:eastAsia="宋体" w:cs="Times New Roman"/>
                <w:b/>
                <w:bCs/>
                <w:color w:val="000000"/>
                <w:sz w:val="24"/>
                <w:highlight w:val="none"/>
                <w:u w:val="single"/>
                <w:lang w:val="en-US" w:eastAsia="zh-CN"/>
              </w:rPr>
              <w:t xml:space="preserve">其他未列明行</w:t>
            </w:r>
            <w:r>
              <w:rPr>
                <w:rFonts w:hint="eastAsia" w:ascii="Times New Roman" w:hAnsi="Times New Roman" w:eastAsia="宋体" w:cs="Times New Roman"/>
                <w:b/>
                <w:bCs/>
                <w:color w:val="000000"/>
                <w:sz w:val="24"/>
                <w:highlight w:val="none"/>
                <w:u w:val="single"/>
              </w:rPr>
              <w:t xml:space="preserve">业</w:t>
            </w:r>
            <w:r>
              <w:rPr>
                <w:rFonts w:hint="eastAsia" w:ascii="Times New Roman" w:hAnsi="Times New Roman" w:eastAsia="宋体" w:cs="Times New Roman"/>
                <w:sz w:val="24"/>
                <w:highlight w:val="none"/>
                <w:u w:val="single"/>
              </w:rPr>
              <w:t xml:space="preserve"> </w:t>
            </w:r>
            <w:r/>
          </w:p>
        </w:tc>
      </w:tr>
      <w:tr>
        <w:trPr>
          <w:trHeight w:val="475"/>
        </w:trPr>
        <w:tc>
          <w:tcPr>
            <w:tcW w:w="988" w:type="dxa"/>
            <w:vAlign w:val="center"/>
            <w:textDirection w:val="lrTb"/>
            <w:noWrap w:val="false"/>
          </w:tcPr>
          <w:p>
            <w:pPr>
              <w:jc w:val="center"/>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11.2</w:t>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投标报价</w:t>
            </w:r>
            <w:r/>
          </w:p>
        </w:tc>
        <w:tc>
          <w:tcPr>
            <w:tcW w:w="7540" w:type="dxa"/>
            <w:vAlign w:val="center"/>
            <w:textDirection w:val="lrTb"/>
            <w:noWrap w:val="false"/>
          </w:tcPr>
          <w:p>
            <w:pPr>
              <w:jc w:val="left"/>
              <w:spacing w:line="240"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投标报价的特殊规定：</w:t>
            </w:r>
            <w:r/>
          </w:p>
          <w:p>
            <w:pPr>
              <w:jc w:val="left"/>
              <w:spacing w:line="240" w:lineRule="auto"/>
              <w:rPr>
                <w:rFonts w:ascii="Times New Roman" w:hAnsi="Times New Roman" w:eastAsia="宋体" w:cs="Times New Roman"/>
                <w:sz w:val="24"/>
                <w:highlight w:val="none"/>
              </w:rPr>
            </w:pPr>
            <w:r>
              <w:rPr>
                <w:rFonts w:hint="eastAsia" w:ascii="宋体" w:hAnsi="宋体" w:eastAsia="宋体" w:cs="宋体"/>
                <w:b/>
                <w:sz w:val="24"/>
                <w:highlight w:val="none"/>
              </w:rPr>
              <w:t xml:space="preserve">■</w:t>
            </w:r>
            <w:r>
              <w:rPr>
                <w:rFonts w:ascii="Times New Roman" w:hAnsi="Times New Roman" w:eastAsia="宋体" w:cs="Times New Roman"/>
                <w:sz w:val="24"/>
                <w:highlight w:val="none"/>
              </w:rPr>
              <w:t xml:space="preserve">无</w:t>
            </w:r>
            <w:r/>
          </w:p>
          <w:p>
            <w:pPr>
              <w:jc w:val="left"/>
              <w:rPr>
                <w:rFonts w:ascii="Times New Roman" w:hAnsi="Times New Roman" w:eastAsia="宋体" w:cs="Times New Roman"/>
                <w:sz w:val="24"/>
                <w:highlight w:val="none"/>
              </w:rPr>
            </w:pPr>
            <w:r>
              <w:rPr>
                <w:rFonts w:hint="eastAsia" w:ascii="宋体" w:hAnsi="宋体" w:eastAsia="宋体" w:cs="宋体"/>
                <w:sz w:val="24"/>
                <w:highlight w:val="none"/>
              </w:rPr>
              <w:t xml:space="preserve">□</w:t>
            </w:r>
            <w:r>
              <w:rPr>
                <w:rFonts w:ascii="Times New Roman" w:hAnsi="Times New Roman" w:eastAsia="宋体" w:cs="Times New Roman"/>
                <w:sz w:val="24"/>
                <w:highlight w:val="none"/>
              </w:rPr>
              <w:t xml:space="preserve">有，具体情形：_____。</w:t>
            </w:r>
            <w:r/>
          </w:p>
        </w:tc>
      </w:tr>
      <w:tr>
        <w:trPr>
          <w:trHeight w:val="428"/>
        </w:trPr>
        <w:tc>
          <w:tcPr>
            <w:tcW w:w="988" w:type="dxa"/>
            <w:vAlign w:val="center"/>
            <w:textDirection w:val="lrTb"/>
            <w:noWrap w:val="false"/>
          </w:tcPr>
          <w:p>
            <w:pPr>
              <w:jc w:val="center"/>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12</w:t>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投标保证金</w:t>
            </w:r>
            <w:r/>
          </w:p>
        </w:tc>
        <w:tc>
          <w:tcPr>
            <w:tcW w:w="7540" w:type="dxa"/>
            <w:vAlign w:val="center"/>
            <w:textDirection w:val="lrTb"/>
            <w:noWrap w:val="false"/>
          </w:tcPr>
          <w:p>
            <w:pPr>
              <w:jc w:val="lef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免收</w:t>
            </w:r>
            <w:r/>
          </w:p>
        </w:tc>
      </w:tr>
      <w:tr>
        <w:trPr>
          <w:trHeight w:val="451"/>
        </w:trPr>
        <w:tc>
          <w:tcPr>
            <w:tcW w:w="988" w:type="dxa"/>
            <w:vAlign w:val="center"/>
            <w:textDirection w:val="lrTb"/>
            <w:noWrap w:val="false"/>
          </w:tcPr>
          <w:p>
            <w:pPr>
              <w:jc w:val="center"/>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13.1</w:t>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投标有效期</w:t>
            </w:r>
            <w:r/>
          </w:p>
        </w:tc>
        <w:tc>
          <w:tcPr>
            <w:tcW w:w="7540" w:type="dxa"/>
            <w:vAlign w:val="center"/>
            <w:textDirection w:val="lrTb"/>
            <w:noWrap w:val="false"/>
          </w:tcPr>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自提交投标文件的截止之日起算</w:t>
            </w:r>
            <w:r>
              <w:rPr>
                <w:rFonts w:hint="eastAsia" w:ascii="Times New Roman" w:hAnsi="Times New Roman" w:eastAsia="宋体" w:cs="Times New Roman"/>
                <w:sz w:val="24"/>
                <w:highlight w:val="none"/>
                <w:u w:val="single"/>
              </w:rPr>
              <w:t xml:space="preserve"> 60 </w:t>
            </w:r>
            <w:r>
              <w:rPr>
                <w:rFonts w:ascii="Times New Roman" w:hAnsi="Times New Roman" w:eastAsia="宋体" w:cs="Times New Roman"/>
                <w:sz w:val="24"/>
                <w:highlight w:val="none"/>
              </w:rPr>
              <w:t xml:space="preserve">日历天。</w:t>
            </w:r>
            <w:r/>
          </w:p>
        </w:tc>
      </w:tr>
      <w:tr>
        <w:trPr>
          <w:trHeight w:val="20"/>
        </w:trPr>
        <w:tc>
          <w:tcPr>
            <w:tcW w:w="988" w:type="dxa"/>
            <w:vAlign w:val="center"/>
            <w:textDirection w:val="lrTb"/>
            <w:noWrap w:val="false"/>
          </w:tcPr>
          <w:p>
            <w:pPr>
              <w:jc w:val="center"/>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25.5</w:t>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分包</w:t>
            </w:r>
            <w:r/>
          </w:p>
        </w:tc>
        <w:tc>
          <w:tcPr>
            <w:tcW w:w="7540" w:type="dxa"/>
            <w:vAlign w:val="center"/>
            <w:textDirection w:val="lrTb"/>
            <w:noWrap w:val="false"/>
          </w:tcPr>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本项目的非主体、非关键性工作是否允许分包： </w:t>
            </w:r>
            <w:r/>
          </w:p>
          <w:p>
            <w:pPr>
              <w:jc w:val="left"/>
              <w:rPr>
                <w:rFonts w:ascii="Times New Roman" w:hAnsi="Times New Roman" w:eastAsia="宋体" w:cs="Times New Roman"/>
                <w:sz w:val="24"/>
                <w:highlight w:val="none"/>
              </w:rPr>
            </w:pPr>
            <w:r>
              <w:rPr>
                <w:rFonts w:ascii="Times New Roman" w:hAnsi="Times New Roman" w:eastAsia="宋体" w:cs="Times New Roman"/>
                <w:b/>
                <w:color w:val="000000"/>
                <w:sz w:val="24"/>
                <w:highlight w:val="none"/>
              </w:rPr>
              <w:t xml:space="preserve">■</w:t>
            </w:r>
            <w:r>
              <w:rPr>
                <w:rFonts w:ascii="Times New Roman" w:hAnsi="Times New Roman" w:eastAsia="宋体" w:cs="Times New Roman"/>
                <w:sz w:val="24"/>
                <w:highlight w:val="none"/>
              </w:rPr>
              <w:t xml:space="preserve">不允许</w:t>
            </w:r>
            <w:r/>
          </w:p>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□允许，具体要求：</w:t>
            </w:r>
            <w:r/>
          </w:p>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（1）可以分包履行的具体内容：_____；</w:t>
            </w:r>
            <w:r/>
          </w:p>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（2）允许分包的金额或者比例：_____；</w:t>
            </w:r>
            <w:r/>
          </w:p>
          <w:p>
            <w:pPr>
              <w:jc w:val="left"/>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（3）其他要求：_____。</w:t>
            </w:r>
            <w:r/>
          </w:p>
        </w:tc>
      </w:tr>
      <w:tr>
        <w:trPr>
          <w:trHeight w:val="474"/>
        </w:trPr>
        <w:tc>
          <w:tcPr>
            <w:tcW w:w="988" w:type="dxa"/>
            <w:vAlign w:val="center"/>
            <w:textDirection w:val="lrTb"/>
            <w:noWrap w:val="false"/>
          </w:tcPr>
          <w:p>
            <w:pPr>
              <w:jc w:val="center"/>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26.1.1</w:t>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询问</w:t>
            </w:r>
            <w:r/>
          </w:p>
        </w:tc>
        <w:tc>
          <w:tcPr>
            <w:tcW w:w="7540" w:type="dxa"/>
            <w:vAlign w:val="center"/>
            <w:textDirection w:val="lrTb"/>
            <w:noWrap w:val="false"/>
          </w:tcPr>
          <w:p>
            <w:pPr>
              <w:jc w:val="left"/>
              <w:rPr>
                <w:rFonts w:ascii="Times New Roman" w:hAnsi="Times New Roman" w:eastAsia="宋体" w:cs="Times New Roman"/>
                <w:sz w:val="24"/>
                <w:highlight w:val="none"/>
              </w:rPr>
            </w:pPr>
            <w:r>
              <w:rPr>
                <w:rFonts w:hint="eastAsia" w:ascii="宋体" w:hAnsi="宋体" w:eastAsia="宋体" w:cs="Times New Roman"/>
                <w:sz w:val="24"/>
                <w:szCs w:val="24"/>
                <w:highlight w:val="none"/>
              </w:rPr>
              <w:t xml:space="preserve">已登记参加本项目的供应商对</w:t>
            </w:r>
            <w:r>
              <w:rPr>
                <w:rFonts w:hint="eastAsia" w:ascii="宋体" w:hAnsi="宋体" w:eastAsia="宋体" w:cs="Times New Roman"/>
                <w:sz w:val="24"/>
                <w:szCs w:val="24"/>
                <w:highlight w:val="none"/>
                <w:lang w:val="en-US" w:eastAsia="zh-CN"/>
              </w:rPr>
              <w:t xml:space="preserve">招标</w:t>
            </w:r>
            <w:r>
              <w:rPr>
                <w:rFonts w:hint="eastAsia" w:ascii="宋体" w:hAnsi="宋体" w:eastAsia="宋体" w:cs="Times New Roman"/>
                <w:sz w:val="24"/>
                <w:szCs w:val="24"/>
                <w:highlight w:val="none"/>
                <w:lang w:eastAsia="zh-CN"/>
              </w:rPr>
              <w:t xml:space="preserve">文件</w:t>
            </w:r>
            <w:r>
              <w:rPr>
                <w:rFonts w:hint="eastAsia" w:ascii="宋体" w:hAnsi="宋体" w:eastAsia="宋体" w:cs="Times New Roman"/>
                <w:sz w:val="24"/>
                <w:szCs w:val="24"/>
                <w:highlight w:val="none"/>
              </w:rPr>
              <w:t xml:space="preserve">如有疑问，可于</w:t>
            </w:r>
            <w:r>
              <w:rPr>
                <w:rFonts w:ascii="宋体" w:hAnsi="宋体" w:eastAsia="宋体" w:cs="Times New Roman"/>
                <w:b/>
                <w:bCs/>
                <w:sz w:val="24"/>
                <w:szCs w:val="24"/>
                <w:highlight w:val="none"/>
                <w:u w:val="single"/>
              </w:rPr>
              <w:t xml:space="preserve">202</w:t>
            </w:r>
            <w:r>
              <w:rPr>
                <w:rFonts w:hint="eastAsia" w:ascii="宋体" w:hAnsi="宋体" w:eastAsia="宋体" w:cs="Times New Roman"/>
                <w:b/>
                <w:bCs/>
                <w:sz w:val="24"/>
                <w:szCs w:val="24"/>
                <w:highlight w:val="none"/>
                <w:u w:val="single"/>
                <w:lang w:val="en-US" w:eastAsia="zh-CN"/>
              </w:rPr>
              <w:t xml:space="preserve">6</w:t>
            </w:r>
            <w:r>
              <w:rPr>
                <w:rFonts w:ascii="宋体" w:hAnsi="宋体" w:eastAsia="宋体" w:cs="Times New Roman"/>
                <w:b/>
                <w:bCs/>
                <w:sz w:val="24"/>
                <w:szCs w:val="24"/>
                <w:highlight w:val="none"/>
                <w:u w:val="single"/>
              </w:rPr>
              <w:t xml:space="preserve">年</w:t>
            </w:r>
            <w:r>
              <w:rPr>
                <w:rFonts w:hint="eastAsia" w:ascii="宋体" w:hAnsi="宋体" w:eastAsia="宋体" w:cs="Times New Roman"/>
                <w:b/>
                <w:bCs/>
                <w:sz w:val="24"/>
                <w:szCs w:val="24"/>
                <w:highlight w:val="none"/>
                <w:u w:val="single"/>
                <w:lang w:val="en-US" w:eastAsia="zh-CN"/>
              </w:rPr>
              <w:t xml:space="preserve">02</w:t>
            </w:r>
            <w:r>
              <w:rPr>
                <w:rFonts w:ascii="宋体" w:hAnsi="宋体" w:eastAsia="宋体" w:cs="Times New Roman"/>
                <w:b/>
                <w:bCs/>
                <w:sz w:val="24"/>
                <w:szCs w:val="24"/>
                <w:highlight w:val="none"/>
                <w:u w:val="single"/>
              </w:rPr>
              <w:t xml:space="preserve">月</w:t>
            </w:r>
            <w:r>
              <w:rPr>
                <w:rFonts w:hint="eastAsia" w:ascii="宋体" w:hAnsi="宋体" w:eastAsia="宋体" w:cs="Times New Roman"/>
                <w:b/>
                <w:bCs/>
                <w:sz w:val="24"/>
                <w:szCs w:val="24"/>
                <w:highlight w:val="none"/>
                <w:u w:val="single"/>
                <w:lang w:val="en-US" w:eastAsia="zh-CN"/>
              </w:rPr>
              <w:t xml:space="preserve">27</w:t>
            </w:r>
            <w:r>
              <w:rPr>
                <w:rFonts w:ascii="宋体" w:hAnsi="宋体" w:eastAsia="宋体" w:cs="Times New Roman"/>
                <w:b/>
                <w:bCs/>
                <w:sz w:val="24"/>
                <w:szCs w:val="24"/>
                <w:highlight w:val="none"/>
                <w:u w:val="single"/>
              </w:rPr>
              <w:t xml:space="preserve">日</w:t>
            </w:r>
            <w:r>
              <w:rPr>
                <w:rFonts w:hint="eastAsia" w:ascii="宋体" w:hAnsi="宋体" w:eastAsia="宋体" w:cs="Times New Roman"/>
                <w:b/>
                <w:bCs/>
                <w:sz w:val="24"/>
                <w:szCs w:val="24"/>
                <w:highlight w:val="none"/>
                <w:u w:val="single"/>
                <w:lang w:val="en-US" w:eastAsia="zh-CN"/>
              </w:rPr>
              <w:t xml:space="preserve">17</w:t>
            </w:r>
            <w:r>
              <w:rPr>
                <w:rFonts w:hint="eastAsia" w:ascii="宋体" w:hAnsi="宋体" w:eastAsia="宋体" w:cs="Times New Roman"/>
                <w:b/>
                <w:bCs/>
                <w:sz w:val="24"/>
                <w:szCs w:val="24"/>
                <w:highlight w:val="none"/>
                <w:u w:val="single"/>
              </w:rPr>
              <w:t xml:space="preserve">时</w:t>
            </w:r>
            <w:r>
              <w:rPr>
                <w:rFonts w:hint="eastAsia" w:ascii="宋体" w:hAnsi="宋体" w:eastAsia="宋体" w:cs="Times New Roman"/>
                <w:b/>
                <w:bCs/>
                <w:sz w:val="24"/>
                <w:szCs w:val="24"/>
                <w:highlight w:val="none"/>
                <w:u w:val="single"/>
                <w:lang w:val="en-US" w:eastAsia="zh-CN"/>
              </w:rPr>
              <w:t xml:space="preserve">0</w:t>
            </w:r>
            <w:r>
              <w:rPr>
                <w:rFonts w:ascii="宋体" w:hAnsi="宋体" w:eastAsia="宋体" w:cs="Times New Roman"/>
                <w:b/>
                <w:bCs/>
                <w:sz w:val="24"/>
                <w:szCs w:val="24"/>
                <w:highlight w:val="none"/>
                <w:u w:val="single"/>
              </w:rPr>
              <w:t xml:space="preserve">0分</w:t>
            </w:r>
            <w:r>
              <w:rPr>
                <w:rFonts w:hint="eastAsia" w:ascii="宋体" w:hAnsi="宋体" w:eastAsia="宋体" w:cs="Times New Roman"/>
                <w:b/>
                <w:bCs/>
                <w:sz w:val="24"/>
                <w:szCs w:val="24"/>
                <w:highlight w:val="none"/>
                <w:u w:val="single"/>
              </w:rPr>
              <w:t xml:space="preserve">前</w:t>
            </w:r>
            <w:r>
              <w:rPr>
                <w:rFonts w:hint="eastAsia" w:ascii="宋体" w:hAnsi="宋体" w:eastAsia="宋体" w:cs="Times New Roman"/>
                <w:sz w:val="24"/>
                <w:szCs w:val="24"/>
                <w:highlight w:val="none"/>
              </w:rPr>
              <w:t xml:space="preserve">将相关疑问（详见</w:t>
            </w:r>
            <w:r>
              <w:rPr>
                <w:rFonts w:hint="eastAsia" w:ascii="宋体" w:hAnsi="宋体" w:eastAsia="宋体" w:cs="Times New Roman"/>
                <w:sz w:val="24"/>
                <w:szCs w:val="24"/>
                <w:highlight w:val="none"/>
                <w:lang w:val="en-US" w:eastAsia="zh-CN"/>
              </w:rPr>
              <w:t xml:space="preserve">招标</w:t>
            </w:r>
            <w:r>
              <w:rPr>
                <w:rFonts w:hint="eastAsia" w:ascii="宋体" w:hAnsi="宋体" w:eastAsia="宋体" w:cs="Times New Roman"/>
                <w:sz w:val="24"/>
                <w:szCs w:val="24"/>
                <w:highlight w:val="none"/>
                <w:lang w:eastAsia="zh-CN"/>
              </w:rPr>
              <w:t xml:space="preserve">文件</w:t>
            </w:r>
            <w:r>
              <w:rPr>
                <w:rFonts w:hint="eastAsia" w:ascii="宋体" w:hAnsi="宋体" w:eastAsia="宋体" w:cs="Times New Roman"/>
                <w:sz w:val="24"/>
                <w:szCs w:val="24"/>
                <w:highlight w:val="none"/>
              </w:rPr>
              <w:t xml:space="preserve">中“关于</w:t>
            </w:r>
            <w:r>
              <w:rPr>
                <w:rFonts w:hint="eastAsia" w:ascii="宋体" w:hAnsi="宋体" w:eastAsia="宋体" w:cs="Times New Roman"/>
                <w:sz w:val="24"/>
                <w:szCs w:val="24"/>
                <w:highlight w:val="none"/>
                <w:lang w:val="en-US" w:eastAsia="zh-CN"/>
              </w:rPr>
              <w:t xml:space="preserve">招标</w:t>
            </w:r>
            <w:r>
              <w:rPr>
                <w:rFonts w:hint="eastAsia" w:ascii="宋体" w:hAnsi="宋体" w:eastAsia="宋体" w:cs="Times New Roman"/>
                <w:sz w:val="24"/>
                <w:szCs w:val="24"/>
                <w:highlight w:val="none"/>
                <w:lang w:eastAsia="zh-CN"/>
              </w:rPr>
              <w:t xml:space="preserve">文件</w:t>
            </w:r>
            <w:r>
              <w:rPr>
                <w:rFonts w:hint="eastAsia" w:ascii="宋体" w:hAnsi="宋体" w:eastAsia="宋体" w:cs="Times New Roman"/>
                <w:sz w:val="24"/>
                <w:szCs w:val="24"/>
                <w:highlight w:val="none"/>
              </w:rPr>
              <w:t xml:space="preserve">的询问内容”）发送至邮箱</w:t>
            </w:r>
            <w:r>
              <w:rPr>
                <w:rFonts w:hint="eastAsia" w:ascii="宋体" w:hAnsi="宋体" w:eastAsia="宋体" w:cs="Times New Roman"/>
                <w:b/>
                <w:bCs/>
                <w:sz w:val="24"/>
                <w:szCs w:val="24"/>
                <w:highlight w:val="none"/>
              </w:rPr>
              <w:t xml:space="preserve">（</w:t>
            </w:r>
            <w:r>
              <w:rPr>
                <w:rFonts w:hint="eastAsia" w:ascii="宋体" w:hAnsi="宋体" w:eastAsia="宋体" w:cs="宋体"/>
                <w:b/>
                <w:bCs/>
                <w:sz w:val="24"/>
                <w:szCs w:val="24"/>
                <w:highlight w:val="none"/>
                <w:lang w:val="en-US" w:eastAsia="zh-CN"/>
              </w:rPr>
              <w:t xml:space="preserve">915583014</w:t>
            </w:r>
            <w:r>
              <w:rPr>
                <w:rFonts w:hint="eastAsia" w:ascii="宋体" w:hAnsi="宋体" w:eastAsia="宋体" w:cs="宋体"/>
                <w:b/>
                <w:bCs/>
                <w:sz w:val="24"/>
                <w:szCs w:val="24"/>
                <w:highlight w:val="none"/>
              </w:rPr>
              <w:t xml:space="preserve">@qq.com</w:t>
            </w:r>
            <w:r>
              <w:rPr>
                <w:rFonts w:hint="eastAsia" w:ascii="宋体" w:hAnsi="宋体" w:eastAsia="宋体" w:cs="Times New Roman"/>
                <w:b/>
                <w:bCs/>
                <w:sz w:val="24"/>
                <w:szCs w:val="24"/>
                <w:highlight w:val="none"/>
              </w:rPr>
              <w:t xml:space="preserve">）</w:t>
            </w:r>
            <w:r>
              <w:rPr>
                <w:rFonts w:hint="eastAsia" w:ascii="宋体" w:hAnsi="宋体" w:eastAsia="宋体" w:cs="Times New Roman"/>
                <w:sz w:val="24"/>
                <w:szCs w:val="24"/>
                <w:highlight w:val="none"/>
              </w:rPr>
              <w:t xml:space="preserve">进行咨询，如口头可解释的问题亦可电话咨询采购人</w:t>
            </w:r>
            <w:r>
              <w:rPr>
                <w:rFonts w:hint="eastAsia" w:ascii="宋体" w:hAnsi="宋体" w:eastAsia="宋体" w:cs="Times New Roman"/>
                <w:sz w:val="24"/>
                <w:szCs w:val="24"/>
                <w:highlight w:val="none"/>
                <w:lang w:val="en-US" w:eastAsia="zh-CN"/>
              </w:rPr>
              <w:t xml:space="preserve">或采购代理机构</w:t>
            </w:r>
            <w:r>
              <w:rPr>
                <w:rFonts w:hint="eastAsia" w:ascii="宋体" w:hAnsi="宋体" w:eastAsia="宋体" w:cs="Times New Roman"/>
                <w:sz w:val="24"/>
                <w:szCs w:val="24"/>
                <w:highlight w:val="none"/>
              </w:rPr>
              <w:t xml:space="preserve">。未提出疑问将被视为完全认同</w:t>
            </w:r>
            <w:r>
              <w:rPr>
                <w:rFonts w:hint="eastAsia" w:ascii="宋体" w:hAnsi="宋体" w:eastAsia="宋体" w:cs="Times New Roman"/>
                <w:sz w:val="24"/>
                <w:szCs w:val="24"/>
                <w:highlight w:val="none"/>
                <w:lang w:val="en-US" w:eastAsia="zh-CN"/>
              </w:rPr>
              <w:t xml:space="preserve">招标</w:t>
            </w:r>
            <w:r>
              <w:rPr>
                <w:rFonts w:hint="eastAsia" w:ascii="宋体" w:hAnsi="宋体" w:eastAsia="宋体" w:cs="Times New Roman"/>
                <w:sz w:val="24"/>
                <w:szCs w:val="24"/>
                <w:highlight w:val="none"/>
                <w:lang w:eastAsia="zh-CN"/>
              </w:rPr>
              <w:t xml:space="preserve">文件</w:t>
            </w:r>
            <w:r>
              <w:rPr>
                <w:rFonts w:hint="eastAsia" w:ascii="宋体" w:hAnsi="宋体" w:eastAsia="宋体" w:cs="Times New Roman"/>
                <w:sz w:val="24"/>
                <w:szCs w:val="24"/>
                <w:highlight w:val="none"/>
              </w:rPr>
              <w:t xml:space="preserve">，逾期将不接受其对于</w:t>
            </w:r>
            <w:r>
              <w:rPr>
                <w:rFonts w:hint="eastAsia" w:ascii="宋体" w:hAnsi="宋体" w:eastAsia="宋体" w:cs="Times New Roman"/>
                <w:sz w:val="24"/>
                <w:szCs w:val="24"/>
                <w:highlight w:val="none"/>
                <w:lang w:val="en-US" w:eastAsia="zh-CN"/>
              </w:rPr>
              <w:t xml:space="preserve">招标</w:t>
            </w:r>
            <w:r>
              <w:rPr>
                <w:rFonts w:hint="eastAsia" w:ascii="宋体" w:hAnsi="宋体" w:eastAsia="宋体" w:cs="Times New Roman"/>
                <w:sz w:val="24"/>
                <w:szCs w:val="24"/>
                <w:highlight w:val="none"/>
              </w:rPr>
              <w:t xml:space="preserve">文件的相关异议。如有变更，更正公告将会在江苏政府采购网、常州市政府采购网公布。</w:t>
            </w:r>
            <w:r/>
          </w:p>
        </w:tc>
      </w:tr>
      <w:tr>
        <w:trPr>
          <w:trHeight w:val="20"/>
        </w:trPr>
        <w:tc>
          <w:tcPr>
            <w:tcW w:w="988" w:type="dxa"/>
            <w:vAlign w:val="center"/>
            <w:textDirection w:val="lrTb"/>
            <w:noWrap w:val="false"/>
          </w:tcPr>
          <w:p>
            <w:pPr>
              <w:jc w:val="center"/>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26.3</w:t>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联系方式</w:t>
            </w:r>
            <w:r/>
          </w:p>
        </w:tc>
        <w:tc>
          <w:tcPr>
            <w:tcW w:w="7540" w:type="dxa"/>
            <w:vAlign w:val="center"/>
            <w:textDirection w:val="lrTb"/>
            <w:noWrap w:val="false"/>
          </w:tcPr>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接收询问和质疑的联系方式</w:t>
            </w:r>
            <w:r/>
          </w:p>
          <w:p>
            <w:pPr>
              <w:jc w:val="left"/>
              <w:rPr>
                <w:rFonts w:hint="default" w:ascii="Times New Roman" w:hAnsi="Times New Roman" w:eastAsia="宋体" w:cs="Times New Roman"/>
                <w:sz w:val="24"/>
                <w:highlight w:val="none"/>
                <w:lang w:val="en-US" w:eastAsia="zh-CN"/>
              </w:rPr>
            </w:pPr>
            <w:r>
              <w:rPr>
                <w:rFonts w:ascii="Times New Roman" w:hAnsi="Times New Roman" w:eastAsia="宋体" w:cs="Times New Roman"/>
                <w:sz w:val="24"/>
                <w:highlight w:val="none"/>
              </w:rPr>
              <w:t xml:space="preserve">联系部门：</w:t>
            </w:r>
            <w:r>
              <w:rPr>
                <w:rFonts w:hint="eastAsia" w:ascii="宋体" w:hAnsi="宋体" w:eastAsia="宋体" w:cs="Times New Roman"/>
                <w:sz w:val="24"/>
                <w:szCs w:val="24"/>
                <w:highlight w:val="none"/>
                <w:lang w:val="en-US" w:eastAsia="zh-CN"/>
              </w:rPr>
              <w:t xml:space="preserve">溧阳普弘信工程项目管理有限公司</w:t>
            </w:r>
            <w:r/>
          </w:p>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w:t>
            </w:r>
            <w:r>
              <w:rPr>
                <w:rFonts w:hint="eastAsia" w:ascii="Times New Roman" w:hAnsi="Times New Roman" w:eastAsia="宋体" w:cs="Times New Roman"/>
                <w:sz w:val="24"/>
                <w:highlight w:val="none"/>
              </w:rPr>
              <w:t xml:space="preserve">0519-</w:t>
            </w:r>
            <w:r>
              <w:rPr>
                <w:rFonts w:hint="eastAsia" w:ascii="Times New Roman" w:hAnsi="Times New Roman" w:eastAsia="宋体" w:cs="Times New Roman"/>
                <w:sz w:val="24"/>
                <w:highlight w:val="none"/>
                <w:lang w:val="en-US" w:eastAsia="zh-CN"/>
              </w:rPr>
              <w:t xml:space="preserve">80692728</w:t>
            </w:r>
            <w:r>
              <w:rPr>
                <w:rFonts w:ascii="Times New Roman" w:hAnsi="Times New Roman" w:eastAsia="宋体" w:cs="Times New Roman"/>
                <w:sz w:val="24"/>
                <w:highlight w:val="none"/>
              </w:rPr>
              <w:t xml:space="preserve">；</w:t>
            </w:r>
            <w:r/>
          </w:p>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通讯地址：</w:t>
            </w:r>
            <w:r>
              <w:rPr>
                <w:rFonts w:hint="eastAsia" w:ascii="Times New Roman" w:hAnsi="Times New Roman" w:eastAsia="宋体" w:cs="Times New Roman"/>
                <w:sz w:val="24"/>
                <w:highlight w:val="none"/>
                <w:lang w:eastAsia="zh-CN"/>
              </w:rPr>
              <w:t xml:space="preserve">溧阳市</w:t>
            </w:r>
            <w:r>
              <w:rPr>
                <w:rFonts w:hint="eastAsia" w:ascii="Times New Roman" w:hAnsi="Times New Roman" w:eastAsia="宋体" w:cs="Times New Roman"/>
                <w:sz w:val="24"/>
                <w:highlight w:val="none"/>
                <w:lang w:val="en-US" w:eastAsia="zh-CN"/>
              </w:rPr>
              <w:t xml:space="preserve">平陵大厦19楼1920室</w:t>
            </w:r>
            <w:r>
              <w:rPr>
                <w:rFonts w:hint="eastAsia" w:ascii="Times New Roman" w:hAnsi="Times New Roman" w:eastAsia="宋体" w:cs="Times New Roman"/>
                <w:sz w:val="24"/>
                <w:highlight w:val="none"/>
                <w:lang w:eastAsia="zh-CN"/>
              </w:rPr>
              <w:t xml:space="preserve">。</w:t>
            </w:r>
            <w:r/>
          </w:p>
        </w:tc>
      </w:tr>
      <w:tr>
        <w:trPr>
          <w:trHeight w:val="20"/>
        </w:trPr>
        <w:tc>
          <w:tcPr>
            <w:tcW w:w="988" w:type="dxa"/>
            <w:vAlign w:val="center"/>
            <w:textDirection w:val="lrTb"/>
            <w:noWrap w:val="false"/>
          </w:tcPr>
          <w:p>
            <w:pPr>
              <w:jc w:val="center"/>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27</w:t>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代理费</w:t>
            </w:r>
            <w:r/>
          </w:p>
        </w:tc>
        <w:tc>
          <w:tcPr>
            <w:tcW w:w="7540" w:type="dxa"/>
            <w:vAlign w:val="center"/>
            <w:textDirection w:val="lrTb"/>
            <w:noWrap w:val="false"/>
          </w:tcPr>
          <w:p>
            <w:pPr>
              <w:jc w:val="left"/>
              <w:spacing w:before="84" w:after="84"/>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收费对象：成交供应商</w:t>
            </w:r>
            <w:r/>
          </w:p>
          <w:p>
            <w:pPr>
              <w:jc w:val="left"/>
              <w:spacing w:before="84" w:after="84"/>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收费标准</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按《园区国有资金投资建设项目招标代理服务计费标准及有关事项》执行</w:t>
            </w:r>
            <w:r>
              <w:rPr>
                <w:rFonts w:hint="eastAsia" w:ascii="Times New Roman" w:hAnsi="Times New Roman" w:eastAsia="宋体" w:cs="Times New Roman"/>
                <w:sz w:val="24"/>
                <w:highlight w:val="none"/>
                <w:lang w:val="en-US" w:eastAsia="zh-CN"/>
              </w:rPr>
              <w:t xml:space="preserve">。</w:t>
            </w:r>
            <w:r/>
          </w:p>
          <w:p>
            <w:pPr>
              <w:jc w:val="lef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缴纳时间：领取中标通知书前。</w:t>
            </w:r>
            <w:r/>
          </w:p>
        </w:tc>
      </w:tr>
    </w:tbl>
    <w:p>
      <w:pPr>
        <w:jc w:val="center"/>
        <w:rPr>
          <w:b/>
          <w:sz w:val="28"/>
          <w:szCs w:val="28"/>
          <w:highlight w:val="none"/>
        </w:rPr>
      </w:pPr>
      <w:r>
        <w:rPr>
          <w:highlight w:val="none"/>
        </w:rPr>
        <w:br w:type="page" w:clear="all"/>
      </w:r>
      <w:bookmarkStart w:id="75" w:name="_Toc305158785"/>
      <w:r/>
      <w:bookmarkStart w:id="76" w:name="_Toc195842882"/>
      <w:r/>
      <w:bookmarkStart w:id="77" w:name="_Toc353825542"/>
      <w:r/>
      <w:bookmarkStart w:id="78" w:name="_Toc142311019"/>
      <w:r/>
      <w:bookmarkStart w:id="79" w:name="_Toc265228355"/>
      <w:r/>
      <w:bookmarkStart w:id="80" w:name="_Toc150480755"/>
      <w:r/>
      <w:bookmarkStart w:id="81" w:name="_Toc305158859"/>
      <w:r/>
      <w:bookmarkStart w:id="82" w:name="_Toc226337213"/>
      <w:r/>
      <w:bookmarkStart w:id="83" w:name="_Toc150774722"/>
      <w:r/>
      <w:bookmarkStart w:id="84" w:name="_Toc127151517"/>
      <w:r/>
      <w:bookmarkStart w:id="85" w:name="_Toc353873932"/>
      <w:r/>
      <w:bookmarkStart w:id="86" w:name="_Toc226965790"/>
      <w:r/>
      <w:bookmarkStart w:id="87" w:name="_Toc353873662"/>
      <w:r/>
      <w:bookmarkStart w:id="88" w:name="_Toc264969207"/>
      <w:r>
        <w:rPr>
          <w:rFonts w:ascii="Times New Roman" w:hAnsi="Times New Roman" w:eastAsia="宋体" w:cs="Times New Roman"/>
          <w:b/>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027"/>
        <w:jc w:val="left"/>
        <w:spacing w:before="0" w:line="360" w:lineRule="auto"/>
        <w:tabs>
          <w:tab w:val="center" w:pos="4592" w:leader="none"/>
          <w:tab w:val="left" w:pos="7860" w:leader="none"/>
        </w:tabs>
        <w:rPr>
          <w:rFonts w:ascii="Times New Roman" w:hAnsi="Times New Roman" w:eastAsia="宋体"/>
          <w:sz w:val="28"/>
          <w:highlight w:val="none"/>
        </w:rPr>
      </w:pPr>
      <w:r/>
      <w:bookmarkStart w:id="89" w:name="_Toc520356143"/>
      <w:r/>
      <w:bookmarkStart w:id="90" w:name="_Toc127151518"/>
      <w:r>
        <w:rPr>
          <w:rFonts w:ascii="Times New Roman" w:hAnsi="Times New Roman" w:eastAsia="宋体"/>
          <w:sz w:val="28"/>
          <w:highlight w:val="none"/>
        </w:rPr>
        <w:tab/>
      </w:r>
      <w:bookmarkStart w:id="91" w:name="_Toc305158786"/>
      <w:r/>
      <w:bookmarkStart w:id="92" w:name="_Toc150480756"/>
      <w:r/>
      <w:bookmarkStart w:id="93" w:name="_Toc142311020"/>
      <w:r/>
      <w:bookmarkStart w:id="94" w:name="_Toc151193688"/>
      <w:r/>
      <w:bookmarkStart w:id="95" w:name="_Toc150774618"/>
      <w:r/>
      <w:bookmarkStart w:id="96" w:name="_Toc264969208"/>
      <w:r/>
      <w:bookmarkStart w:id="97" w:name="_Toc150509269"/>
      <w:r/>
      <w:bookmarkStart w:id="98" w:name="_Toc151190145"/>
      <w:r/>
      <w:bookmarkStart w:id="99" w:name="_Toc151193906"/>
      <w:r/>
      <w:bookmarkStart w:id="100" w:name="_Toc226965791"/>
      <w:r/>
      <w:bookmarkStart w:id="101" w:name="_Toc151193616"/>
      <w:r/>
      <w:bookmarkStart w:id="102" w:name="_Toc226309762"/>
      <w:r/>
      <w:bookmarkStart w:id="103" w:name="_Toc151193760"/>
      <w:r/>
      <w:bookmarkStart w:id="104" w:name="_Toc226965708"/>
      <w:r/>
      <w:bookmarkStart w:id="105" w:name="_Toc305158860"/>
      <w:r/>
      <w:bookmarkStart w:id="106" w:name="_Toc226337214"/>
      <w:r/>
      <w:bookmarkStart w:id="107" w:name="_Toc150774723"/>
      <w:r/>
      <w:bookmarkStart w:id="108" w:name="_Toc195842883"/>
      <w:r/>
      <w:bookmarkStart w:id="109" w:name="_Toc151193832"/>
      <w:r/>
      <w:bookmarkStart w:id="110" w:name="_Toc265228356"/>
      <w:r>
        <w:rPr>
          <w:rFonts w:ascii="Times New Roman" w:hAnsi="Times New Roman" w:eastAsia="宋体"/>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highlight w:val="none"/>
        </w:rPr>
        <w:tab/>
      </w:r>
      <w:r/>
    </w:p>
    <w:p>
      <w:pPr>
        <w:ind w:left="357" w:hanging="357"/>
        <w:spacing w:line="360" w:lineRule="auto"/>
        <w:tabs>
          <w:tab w:val="left" w:pos="360" w:leader="none"/>
        </w:tabs>
        <w:rPr>
          <w:sz w:val="24"/>
          <w:highlight w:val="none"/>
        </w:rPr>
        <w:outlineLvl w:val="1"/>
      </w:pPr>
      <w:r/>
      <w:bookmarkStart w:id="111" w:name="_Toc265228357"/>
      <w:r/>
      <w:bookmarkStart w:id="112" w:name="_Toc305158787"/>
      <w:r/>
      <w:bookmarkStart w:id="113" w:name="_Toc305158861"/>
      <w:r/>
      <w:bookmarkStart w:id="114" w:name="_Toc264969209"/>
      <w:r>
        <w:rPr>
          <w:rFonts w:hint="eastAsia"/>
          <w:sz w:val="24"/>
          <w:highlight w:val="none"/>
        </w:rPr>
        <w:t xml:space="preserve">1</w:t>
      </w:r>
      <w:r>
        <w:rPr>
          <w:sz w:val="24"/>
          <w:highlight w:val="none"/>
        </w:rPr>
        <w:t xml:space="preserve">采购人、采购代理机构、</w:t>
      </w:r>
      <w:bookmarkEnd w:id="111"/>
      <w:r/>
      <w:bookmarkEnd w:id="112"/>
      <w:r/>
      <w:bookmarkEnd w:id="113"/>
      <w:r/>
      <w:bookmarkEnd w:id="114"/>
      <w:r>
        <w:rPr>
          <w:rFonts w:hint="eastAsia"/>
          <w:sz w:val="24"/>
          <w:highlight w:val="none"/>
        </w:rPr>
        <w:t xml:space="preserve">投标</w:t>
      </w:r>
      <w:r>
        <w:rPr>
          <w:rFonts w:hint="eastAsia"/>
          <w:sz w:val="24"/>
          <w:highlight w:val="none"/>
          <w:lang w:val="en-US" w:eastAsia="zh-CN"/>
        </w:rPr>
        <w:t xml:space="preserve">人</w:t>
      </w:r>
      <w:r>
        <w:rPr>
          <w:rFonts w:hint="eastAsia"/>
          <w:sz w:val="24"/>
          <w:highlight w:val="none"/>
        </w:rPr>
        <w:t xml:space="preserve">、联合体</w:t>
      </w:r>
      <w:r/>
    </w:p>
    <w:p>
      <w:pPr>
        <w:numPr>
          <w:ilvl w:val="1"/>
          <w:numId w:val="0"/>
        </w:numPr>
        <w:ind w:firstLine="480"/>
        <w:spacing w:line="360" w:lineRule="auto"/>
        <w:tabs>
          <w:tab w:val="left" w:pos="1080" w:leader="none"/>
          <w:tab w:val="left" w:pos="2014" w:leader="none"/>
          <w:tab w:val="left" w:pos="5521" w:leader="none"/>
        </w:tabs>
        <w:rPr>
          <w:sz w:val="24"/>
          <w:highlight w:val="none"/>
        </w:rPr>
      </w:pPr>
      <w:r>
        <w:rPr>
          <w:sz w:val="24"/>
          <w:highlight w:val="none"/>
        </w:rPr>
        <w:t xml:space="preserve">1.1采购人、采购代理机构：指依法进行政府采购的国家机关、事业单位、团体组织，及其委托的采购代理机构。本项目采购人、采购代理机构见第一章《投标邀请》。</w:t>
      </w:r>
      <w:r/>
    </w:p>
    <w:p>
      <w:pPr>
        <w:numPr>
          <w:ilvl w:val="1"/>
          <w:numId w:val="0"/>
        </w:numPr>
        <w:ind w:firstLine="480"/>
        <w:spacing w:line="360" w:lineRule="auto"/>
        <w:tabs>
          <w:tab w:val="left" w:pos="1080" w:leader="none"/>
          <w:tab w:val="left" w:pos="2014" w:leader="none"/>
          <w:tab w:val="left" w:pos="5521" w:leader="none"/>
        </w:tabs>
        <w:rPr>
          <w:sz w:val="24"/>
          <w:highlight w:val="none"/>
        </w:rPr>
      </w:pPr>
      <w:r>
        <w:rPr>
          <w:sz w:val="24"/>
          <w:highlight w:val="none"/>
        </w:rPr>
        <w:t xml:space="preserve">1.2</w:t>
      </w: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p>
    <w:p>
      <w:pPr>
        <w:numPr>
          <w:ilvl w:val="1"/>
          <w:numId w:val="0"/>
        </w:numPr>
        <w:ind w:firstLine="480"/>
        <w:spacing w:line="360" w:lineRule="auto"/>
        <w:tabs>
          <w:tab w:val="left" w:pos="1080" w:leader="none"/>
          <w:tab w:val="left" w:pos="2014" w:leader="none"/>
          <w:tab w:val="left" w:pos="5521" w:leader="none"/>
        </w:tabs>
        <w:rPr>
          <w:sz w:val="24"/>
          <w:highlight w:val="none"/>
        </w:rPr>
      </w:pPr>
      <w:r>
        <w:rPr>
          <w:sz w:val="24"/>
          <w:highlight w:val="none"/>
        </w:rPr>
        <w:t xml:space="preserve">1.3</w:t>
      </w:r>
      <w:r>
        <w:rPr>
          <w:rFonts w:hint="eastAsia"/>
          <w:sz w:val="24"/>
          <w:highlight w:val="none"/>
        </w:rPr>
        <w:t xml:space="preserve">联合体：指两个以上的自然人、法人或者其他组织组成一个联合体，以一个供应商的身份共同参加政府采购。</w:t>
      </w:r>
      <w:r/>
    </w:p>
    <w:p>
      <w:pPr>
        <w:ind w:left="357" w:hanging="357"/>
        <w:spacing w:line="360" w:lineRule="auto"/>
        <w:tabs>
          <w:tab w:val="left" w:pos="360" w:leader="none"/>
        </w:tabs>
        <w:rPr>
          <w:sz w:val="24"/>
          <w:highlight w:val="none"/>
        </w:rPr>
        <w:outlineLvl w:val="1"/>
      </w:pPr>
      <w:r/>
      <w:bookmarkStart w:id="115" w:name="_Toc151193618"/>
      <w:r/>
      <w:bookmarkStart w:id="116" w:name="_Toc150774725"/>
      <w:r/>
      <w:bookmarkStart w:id="117" w:name="_Toc226309764"/>
      <w:r/>
      <w:bookmarkStart w:id="118" w:name="_Toc226337216"/>
      <w:r/>
      <w:bookmarkStart w:id="119" w:name="_Toc127161434"/>
      <w:r/>
      <w:bookmarkStart w:id="120" w:name="_Toc305158862"/>
      <w:r/>
      <w:bookmarkStart w:id="121" w:name="_Toc164229215"/>
      <w:r/>
      <w:bookmarkStart w:id="122" w:name="_Toc151193908"/>
      <w:r/>
      <w:bookmarkStart w:id="123" w:name="_Toc305158788"/>
      <w:r/>
      <w:bookmarkStart w:id="124" w:name="_Toc164229361"/>
      <w:r/>
      <w:bookmarkStart w:id="125" w:name="_Toc226965710"/>
      <w:r/>
      <w:bookmarkStart w:id="126" w:name="_Toc265228358"/>
      <w:r/>
      <w:bookmarkStart w:id="127" w:name="_Toc195842885"/>
      <w:r/>
      <w:bookmarkStart w:id="128" w:name="_Toc150509271"/>
      <w:r/>
      <w:bookmarkStart w:id="129" w:name="_Toc164608789"/>
      <w:r/>
      <w:bookmarkStart w:id="130" w:name="_Toc264969210"/>
      <w:r/>
      <w:bookmarkStart w:id="131" w:name="_Toc149720813"/>
      <w:r/>
      <w:bookmarkStart w:id="132" w:name="_Toc151193762"/>
      <w:r/>
      <w:bookmarkStart w:id="133" w:name="_Toc151190147"/>
      <w:r/>
      <w:bookmarkStart w:id="134" w:name="_Toc164608634"/>
      <w:r/>
      <w:bookmarkStart w:id="135" w:name="_Toc142311022"/>
      <w:r/>
      <w:bookmarkStart w:id="136" w:name="_Toc150480758"/>
      <w:r/>
      <w:bookmarkStart w:id="137" w:name="_Toc151193690"/>
      <w:r/>
      <w:bookmarkStart w:id="138" w:name="_Toc127151520"/>
      <w:r/>
      <w:bookmarkStart w:id="139" w:name="_Toc127151721"/>
      <w:r/>
      <w:bookmarkStart w:id="140" w:name="_Toc151193834"/>
      <w:r/>
      <w:bookmarkStart w:id="141" w:name="_Toc226965793"/>
      <w:r/>
      <w:bookmarkStart w:id="142" w:name="_Toc150774620"/>
      <w:r/>
      <w:bookmarkStart w:id="143" w:name="_Toc164351614"/>
      <w:r>
        <w:rPr>
          <w:rFonts w:hint="eastAsia"/>
          <w:sz w:val="24"/>
          <w:highlight w:val="none"/>
        </w:rPr>
        <w:t xml:space="preserve">2</w:t>
      </w:r>
      <w:r>
        <w:rPr>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sz w:val="24"/>
          <w:highlight w:val="none"/>
        </w:rPr>
        <w:t xml:space="preserve">、项目属性、科研仪器设备采购、核心产品</w:t>
      </w:r>
      <w:r/>
    </w:p>
    <w:p>
      <w:pPr>
        <w:numPr>
          <w:ilvl w:val="1"/>
          <w:numId w:val="0"/>
        </w:numPr>
        <w:ind w:firstLine="480"/>
        <w:spacing w:line="360" w:lineRule="auto"/>
        <w:tabs>
          <w:tab w:val="left" w:pos="1080" w:leader="none"/>
          <w:tab w:val="left" w:pos="2014" w:leader="none"/>
        </w:tabs>
        <w:rPr>
          <w:sz w:val="24"/>
          <w:highlight w:val="none"/>
        </w:rPr>
      </w:pPr>
      <w:r>
        <w:rPr>
          <w:sz w:val="24"/>
          <w:highlight w:val="none"/>
        </w:rPr>
        <w:t xml:space="preserve">2.1资金来源为财政性资金或本项目采购中无法与财政性资金分割的非财政性资金。</w:t>
      </w:r>
      <w:r/>
    </w:p>
    <w:p>
      <w:pPr>
        <w:numPr>
          <w:ilvl w:val="1"/>
          <w:numId w:val="0"/>
        </w:numPr>
        <w:ind w:firstLine="480"/>
        <w:spacing w:line="360" w:lineRule="auto"/>
        <w:tabs>
          <w:tab w:val="left" w:pos="1080" w:leader="none"/>
          <w:tab w:val="left" w:pos="2014" w:leader="none"/>
        </w:tabs>
        <w:rPr>
          <w:sz w:val="24"/>
          <w:highlight w:val="none"/>
        </w:rPr>
      </w:pPr>
      <w:r>
        <w:rPr>
          <w:sz w:val="24"/>
          <w:highlight w:val="none"/>
        </w:rPr>
        <w:t xml:space="preserve">2.2项目属性见《</w:t>
      </w: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须知资料表》。</w:t>
      </w:r>
      <w:r/>
    </w:p>
    <w:p>
      <w:pPr>
        <w:numPr>
          <w:ilvl w:val="1"/>
          <w:numId w:val="0"/>
        </w:numPr>
        <w:ind w:firstLine="480"/>
        <w:spacing w:line="360" w:lineRule="auto"/>
        <w:tabs>
          <w:tab w:val="left" w:pos="1080" w:leader="none"/>
          <w:tab w:val="left" w:pos="2014" w:leader="none"/>
        </w:tabs>
        <w:rPr>
          <w:sz w:val="24"/>
          <w:highlight w:val="none"/>
        </w:rPr>
      </w:pPr>
      <w:r>
        <w:rPr>
          <w:sz w:val="24"/>
          <w:highlight w:val="none"/>
        </w:rPr>
        <w:t xml:space="preserve">2.3是否属于科研仪器设备采购见《</w:t>
      </w: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须知资料表》。</w:t>
      </w:r>
      <w:r/>
    </w:p>
    <w:p>
      <w:pPr>
        <w:ind w:left="357" w:hanging="357"/>
        <w:spacing w:line="360" w:lineRule="auto"/>
        <w:tabs>
          <w:tab w:val="left" w:pos="360" w:leader="none"/>
        </w:tabs>
        <w:rPr>
          <w:sz w:val="24"/>
          <w:highlight w:val="none"/>
        </w:rPr>
        <w:outlineLvl w:val="1"/>
      </w:pPr>
      <w:r>
        <w:rPr>
          <w:rFonts w:hint="eastAsia"/>
          <w:sz w:val="24"/>
          <w:highlight w:val="none"/>
        </w:rPr>
        <w:t xml:space="preserve">3</w:t>
      </w:r>
      <w:r>
        <w:rPr>
          <w:sz w:val="24"/>
          <w:highlight w:val="none"/>
        </w:rPr>
        <w:t xml:space="preserve">现场考察、开标前答疑会</w:t>
      </w:r>
      <w:r/>
    </w:p>
    <w:p>
      <w:pPr>
        <w:ind w:firstLine="480"/>
        <w:spacing w:line="360" w:lineRule="auto"/>
        <w:tabs>
          <w:tab w:val="left" w:pos="360" w:leader="none"/>
        </w:tabs>
        <w:rPr>
          <w:rFonts w:hint="eastAsia"/>
          <w:sz w:val="24"/>
          <w:highlight w:val="none"/>
        </w:rPr>
        <w:outlineLvl w:val="1"/>
      </w:pPr>
      <w:r/>
      <w:bookmarkStart w:id="144" w:name="_Toc226309766"/>
      <w:r/>
      <w:bookmarkStart w:id="145" w:name="_Toc305158790"/>
      <w:r/>
      <w:bookmarkStart w:id="146" w:name="_Toc150774622"/>
      <w:r/>
      <w:bookmarkStart w:id="147" w:name="_Toc226965712"/>
      <w:r/>
      <w:bookmarkStart w:id="148" w:name="_Toc151193692"/>
      <w:r/>
      <w:bookmarkStart w:id="149" w:name="_Toc150480760"/>
      <w:r/>
      <w:bookmarkStart w:id="150" w:name="_Toc150774727"/>
      <w:r/>
      <w:bookmarkStart w:id="151" w:name="_Toc151193620"/>
      <w:r/>
      <w:bookmarkStart w:id="152" w:name="_Toc195842887"/>
      <w:r/>
      <w:bookmarkStart w:id="153" w:name="_Toc520356146"/>
      <w:r/>
      <w:bookmarkStart w:id="154" w:name="_Toc265228360"/>
      <w:r/>
      <w:bookmarkStart w:id="155" w:name="_Toc142311024"/>
      <w:r/>
      <w:bookmarkStart w:id="156" w:name="_Toc226965795"/>
      <w:r/>
      <w:bookmarkStart w:id="157" w:name="_Toc305158864"/>
      <w:r/>
      <w:bookmarkStart w:id="158" w:name="_Toc151193910"/>
      <w:r/>
      <w:bookmarkStart w:id="159" w:name="_Toc151193836"/>
      <w:r/>
      <w:bookmarkStart w:id="160" w:name="_Toc127151522"/>
      <w:r/>
      <w:bookmarkStart w:id="161" w:name="_Toc264969212"/>
      <w:r/>
      <w:bookmarkStart w:id="162" w:name="_Toc226337218"/>
      <w:r/>
      <w:bookmarkStart w:id="163" w:name="_Toc151190149"/>
      <w:r/>
      <w:bookmarkStart w:id="164" w:name="_Toc151193764"/>
      <w:r/>
      <w:bookmarkStart w:id="165" w:name="_Toc150509273"/>
      <w:r>
        <w:rPr>
          <w:rFonts w:hint="eastAsia"/>
          <w:sz w:val="24"/>
          <w:highlight w:val="none"/>
          <w:lang w:val="en-US" w:eastAsia="zh-CN"/>
        </w:rPr>
        <w:t xml:space="preserve">3.1</w:t>
      </w:r>
      <w:r>
        <w:rPr>
          <w:rFonts w:hint="eastAsia"/>
          <w:sz w:val="24"/>
          <w:highlight w:val="none"/>
        </w:rPr>
        <w:t xml:space="preserve">若《投标人须知资料表》中规定了组织现场考察、召开开标前答疑会，则投标人应按要求在规定的时间和地点参加。</w:t>
      </w:r>
      <w:r/>
    </w:p>
    <w:p>
      <w:pPr>
        <w:ind w:firstLine="480"/>
        <w:spacing w:line="360" w:lineRule="auto"/>
        <w:tabs>
          <w:tab w:val="left" w:pos="360" w:leader="none"/>
        </w:tabs>
        <w:rPr>
          <w:rFonts w:hint="eastAsia"/>
          <w:sz w:val="24"/>
          <w:highlight w:val="none"/>
        </w:rPr>
        <w:outlineLvl w:val="1"/>
      </w:pPr>
      <w:r>
        <w:rPr>
          <w:rFonts w:hint="eastAsia"/>
          <w:sz w:val="24"/>
          <w:highlight w:val="none"/>
          <w:lang w:val="en-US" w:eastAsia="zh-CN"/>
        </w:rPr>
        <w:t xml:space="preserve">3.2</w:t>
      </w:r>
      <w:r>
        <w:rPr>
          <w:rFonts w:hint="eastAsia"/>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ind w:left="357" w:hanging="357"/>
        <w:spacing w:line="360" w:lineRule="auto"/>
        <w:tabs>
          <w:tab w:val="left" w:pos="360" w:leader="none"/>
        </w:tabs>
        <w:rPr>
          <w:sz w:val="24"/>
          <w:highlight w:val="none"/>
        </w:rPr>
        <w:outlineLvl w:val="1"/>
      </w:pPr>
      <w:r>
        <w:rPr>
          <w:rFonts w:hint="eastAsia"/>
          <w:sz w:val="24"/>
          <w:highlight w:val="none"/>
        </w:rPr>
        <w:t xml:space="preserve">4</w:t>
      </w:r>
      <w:r>
        <w:rPr>
          <w:sz w:val="24"/>
          <w:highlight w:val="none"/>
        </w:rPr>
        <w:t xml:space="preserve">样品</w:t>
      </w:r>
      <w:r/>
    </w:p>
    <w:p>
      <w:pPr>
        <w:numPr>
          <w:ilvl w:val="1"/>
          <w:numId w:val="0"/>
        </w:numPr>
        <w:ind w:firstLine="480"/>
        <w:spacing w:line="360" w:lineRule="auto"/>
        <w:tabs>
          <w:tab w:val="left" w:pos="1080" w:leader="none"/>
          <w:tab w:val="left" w:pos="2014" w:leader="none"/>
        </w:tabs>
        <w:rPr>
          <w:rFonts w:hint="eastAsia"/>
          <w:sz w:val="24"/>
          <w:highlight w:val="none"/>
        </w:rPr>
      </w:pPr>
      <w:r>
        <w:rPr>
          <w:sz w:val="24"/>
          <w:highlight w:val="none"/>
        </w:rPr>
        <w:t xml:space="preserve">4.1</w:t>
      </w:r>
      <w:r>
        <w:rPr>
          <w:rFonts w:hint="eastAsia"/>
          <w:sz w:val="24"/>
          <w:highlight w:val="none"/>
        </w:rPr>
        <w:t xml:space="preserve">本项目是否要求投标人提供样品，以及样品制作的标准和要求、是否需要随样品提交相关检测报告、样品的递交与退还等要求见《投标人须知资料表》。</w:t>
      </w:r>
      <w:r/>
    </w:p>
    <w:p>
      <w:pPr>
        <w:numPr>
          <w:ilvl w:val="1"/>
          <w:numId w:val="0"/>
        </w:numPr>
        <w:ind w:left="1044" w:hanging="580"/>
        <w:spacing w:line="360" w:lineRule="auto"/>
        <w:tabs>
          <w:tab w:val="left" w:pos="1080" w:leader="none"/>
          <w:tab w:val="left" w:pos="2014" w:leader="none"/>
        </w:tabs>
        <w:rPr>
          <w:sz w:val="24"/>
          <w:highlight w:val="none"/>
        </w:rPr>
      </w:pPr>
      <w:r>
        <w:rPr>
          <w:rFonts w:hint="eastAsia"/>
          <w:sz w:val="24"/>
          <w:highlight w:val="none"/>
          <w:lang w:val="en-US" w:eastAsia="zh-CN"/>
        </w:rPr>
        <w:t xml:space="preserve">4.2</w:t>
      </w:r>
      <w:r>
        <w:rPr>
          <w:rFonts w:hint="eastAsia"/>
          <w:sz w:val="24"/>
          <w:highlight w:val="none"/>
        </w:rPr>
        <w:t xml:space="preserve">样品的评审方法以及评审标准等内容见第四章《评标方法和评标标准》。</w:t>
      </w:r>
      <w:r/>
    </w:p>
    <w:p>
      <w:pPr>
        <w:ind w:left="357" w:hanging="357"/>
        <w:spacing w:line="360" w:lineRule="auto"/>
        <w:tabs>
          <w:tab w:val="left" w:pos="360" w:leader="none"/>
        </w:tabs>
        <w:rPr>
          <w:sz w:val="24"/>
          <w:highlight w:val="none"/>
        </w:rPr>
        <w:outlineLvl w:val="1"/>
      </w:pPr>
      <w:r>
        <w:rPr>
          <w:rFonts w:hint="eastAsia"/>
          <w:sz w:val="24"/>
          <w:highlight w:val="none"/>
        </w:rPr>
        <w:t xml:space="preserve">5</w:t>
      </w:r>
      <w:r>
        <w:rPr>
          <w:sz w:val="24"/>
          <w:highlight w:val="none"/>
        </w:rPr>
        <w:t xml:space="preserve">政府采购政策（包括但不限于下列具体政策要求）</w:t>
      </w:r>
      <w:r/>
    </w:p>
    <w:p>
      <w:pPr>
        <w:numPr>
          <w:ilvl w:val="2"/>
          <w:numId w:val="0"/>
        </w:numPr>
        <w:ind w:firstLine="480"/>
        <w:spacing w:line="360" w:lineRule="auto"/>
        <w:tabs>
          <w:tab w:val="left" w:pos="2014" w:leader="none"/>
        </w:tabs>
        <w:rPr>
          <w:rFonts w:hint="eastAsia"/>
          <w:sz w:val="24"/>
          <w:highlight w:val="none"/>
        </w:rPr>
      </w:pPr>
      <w:r>
        <w:rPr>
          <w:rFonts w:hint="eastAsia"/>
          <w:sz w:val="24"/>
          <w:highlight w:val="none"/>
        </w:rPr>
        <w:t xml:space="preserve">5.1进口产品</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2"/>
          <w:numId w:val="0"/>
        </w:numPr>
        <w:ind w:firstLine="480"/>
        <w:spacing w:line="360" w:lineRule="auto"/>
        <w:tabs>
          <w:tab w:val="left" w:pos="2014" w:leader="none"/>
        </w:tabs>
        <w:rPr>
          <w:rFonts w:hint="eastAsia"/>
          <w:sz w:val="24"/>
          <w:highlight w:val="none"/>
        </w:rPr>
      </w:pPr>
      <w:r>
        <w:rPr>
          <w:rFonts w:hint="eastAsia"/>
          <w:sz w:val="24"/>
          <w:highlight w:val="none"/>
        </w:rPr>
        <w:t xml:space="preserve">5.2中小企业、监狱企业及残疾人福利性单位</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5.2.1中小企业定义：</w:t>
      </w:r>
      <w:r/>
    </w:p>
    <w:p>
      <w:pPr>
        <w:numPr>
          <w:ilvl w:val="2"/>
          <w:numId w:val="0"/>
        </w:numPr>
        <w:ind w:firstLine="720"/>
        <w:spacing w:line="360" w:lineRule="auto"/>
        <w:tabs>
          <w:tab w:val="left" w:pos="2014" w:leader="none"/>
        </w:tabs>
        <w:rPr>
          <w:rFonts w:hint="eastAsia"/>
          <w:sz w:val="24"/>
          <w:highlight w:val="none"/>
        </w:rPr>
      </w:pPr>
      <w:r>
        <w:rPr>
          <w:rFonts w:hint="eastAsia"/>
          <w:sz w:val="24"/>
          <w:highlight w:val="none"/>
        </w:rPr>
        <w:t xml:space="preserve">5.2.1.1中小企业是</w:t>
      </w:r>
      <w:r>
        <w:rPr>
          <w:rFonts w:hint="eastAsia"/>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2"/>
          <w:numId w:val="0"/>
        </w:numPr>
        <w:ind w:firstLine="720"/>
        <w:spacing w:line="360" w:lineRule="auto"/>
        <w:tabs>
          <w:tab w:val="left" w:pos="2014" w:leader="none"/>
        </w:tabs>
        <w:rPr>
          <w:rFonts w:hint="eastAsia"/>
          <w:sz w:val="24"/>
          <w:highlight w:val="none"/>
        </w:rPr>
      </w:pPr>
      <w:r>
        <w:rPr>
          <w:rFonts w:hint="eastAsia"/>
          <w:sz w:val="24"/>
          <w:highlight w:val="none"/>
        </w:rPr>
        <w:t xml:space="preserve">5.2.1.2供应商提供的货物、工程或者服务符合下列情形的，享受中小企业扶持政策：</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在服务采购项目中，服务由中小企业承接，即提供服务的人员为中小企业依照《中华人民共和国劳动合同法》订立劳动合同的从业人员。</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5.2.1.3在货物采购项目中，供应商提供的货物既有中小企业制造货物，也有大型企业制造货物的，不享受中小企业扶持政策。</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5.2.1.4以联合体形式参加政府采购活动，联合体各方均为中小企业的，联合体视同中小企业。其中，联合体各方均为小微企业的，联合体视同小微企业。</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5.2.3残疾人福利单位定义：享受政府采购支持政策的残疾人福利性单位应当同时满足以下条件：</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5.2.3.1安置的残疾人占本单位在职职工人数的比例不低于25%（含25%），并且安置的残疾人人数不少于10 人（含10 人）；</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5.2.3.2依法与安置的每位残疾人签订了一年以上（含一年）的劳动合同或服务协议；</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5.2.3.3为安置的每位残疾人按月足额缴纳了基本养老保险、基本医疗保险、失业保险、工伤保险和生育保险等社会保险费；</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5.2.3.4通过银行等金融机构向安置的每位残疾人，按月支付了不低于单位所在区县适用的经省级人民政府批准的月最低工资标准的工资；</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5.2.3.5提供本单位制造的货物、承担的工程或者服务（以下简称产品），或者提供其他残疾人福利性单位制造的货物（不包括使用非残疾人福利性单位注册商标的货物）；</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5.2.4本项目是否专门面向中小企业预留采购份额见第一章《招标公告》。</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5.2.5采购标的对应的中小企业划分标准所属行业见《投标人须知资料表》。</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5.2.6小微企业价格评审优惠的政策调整：见第四章《评标方法和评标标准》。</w:t>
      </w:r>
      <w:r/>
    </w:p>
    <w:p>
      <w:pPr>
        <w:numPr>
          <w:ilvl w:val="2"/>
          <w:numId w:val="0"/>
        </w:numPr>
        <w:ind w:firstLine="480"/>
        <w:spacing w:line="360" w:lineRule="auto"/>
        <w:tabs>
          <w:tab w:val="left" w:pos="2014" w:leader="none"/>
        </w:tabs>
        <w:rPr>
          <w:rFonts w:hint="eastAsia"/>
          <w:sz w:val="24"/>
          <w:highlight w:val="none"/>
        </w:rPr>
      </w:pPr>
      <w:r>
        <w:rPr>
          <w:rFonts w:hint="eastAsia"/>
          <w:sz w:val="24"/>
          <w:highlight w:val="none"/>
        </w:rPr>
        <w:t xml:space="preserve">5.3政府采购节能产品、环境标志产品</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5.3.3如本项目采购产品属于实施政府强制采购品目清单范围的节能产品，则投标人所报产品必须获得国家确定的认证机构出具的、处于有效期之内的节能产品认证证书，否则投标无效；</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5.3.4非政府强制采购的节能产品或环境标志产品，依据品目清单和认证证书实施政府优先采购。优先采购的具体规定见第四章《评标方法和评标标准》（如涉及）。</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2"/>
          <w:numId w:val="0"/>
        </w:numPr>
        <w:ind w:firstLine="480"/>
        <w:spacing w:line="360" w:lineRule="auto"/>
        <w:tabs>
          <w:tab w:val="left" w:pos="2014" w:leader="none"/>
        </w:tabs>
        <w:rPr>
          <w:rFonts w:hint="eastAsia"/>
          <w:sz w:val="24"/>
          <w:highlight w:val="none"/>
        </w:rPr>
      </w:pPr>
      <w:r>
        <w:rPr>
          <w:rFonts w:hint="eastAsia"/>
          <w:sz w:val="24"/>
          <w:highlight w:val="none"/>
        </w:rPr>
        <w:t xml:space="preserve">5.4支持乡村产业振兴管理</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p>
    <w:p>
      <w:pPr>
        <w:numPr>
          <w:ilvl w:val="2"/>
          <w:numId w:val="0"/>
        </w:numPr>
        <w:ind w:firstLine="480"/>
        <w:spacing w:line="360" w:lineRule="auto"/>
        <w:tabs>
          <w:tab w:val="left" w:pos="2014" w:leader="none"/>
        </w:tabs>
        <w:rPr>
          <w:rFonts w:hint="eastAsia"/>
          <w:sz w:val="24"/>
          <w:highlight w:val="none"/>
        </w:rPr>
      </w:pPr>
      <w:r>
        <w:rPr>
          <w:rFonts w:hint="eastAsia"/>
          <w:sz w:val="24"/>
          <w:highlight w:val="none"/>
        </w:rPr>
        <w:t xml:space="preserve">5.5正版软件</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5.5.1依据《财政部国家发展改革委 信息产业部关于印发无线局域网产品政府采购实施意见的通知》（财库〔2005〕366 号），采购无线局域网产品和含有无线局域网功能的计算机、通信设备、打印</w:t>
      </w:r>
      <w:r>
        <w:rPr>
          <w:rFonts w:hint="eastAsia"/>
          <w:sz w:val="24"/>
          <w:highlight w:val="none"/>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2"/>
          <w:numId w:val="0"/>
        </w:numPr>
        <w:ind w:firstLine="480"/>
        <w:spacing w:line="360" w:lineRule="auto"/>
        <w:tabs>
          <w:tab w:val="left" w:pos="2014" w:leader="none"/>
        </w:tabs>
        <w:rPr>
          <w:rFonts w:hint="eastAsia"/>
          <w:sz w:val="24"/>
          <w:highlight w:val="none"/>
        </w:rPr>
      </w:pPr>
      <w:r>
        <w:rPr>
          <w:rFonts w:hint="eastAsia"/>
          <w:sz w:val="24"/>
          <w:highlight w:val="none"/>
        </w:rPr>
        <w:t xml:space="preserve">5.6信息安全产品</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5.6.1所投产品属于《关于调整信息安全产品强制性认证实施要求的公告》（2009 年第33 号）范围的，采购经国家认证的信息安全产品，否则投标无效。关于信息安全相关规定依据《关于信息安全产品实施政府采购的通知》（财库〔2010〕48 号）。</w:t>
      </w:r>
      <w:r/>
    </w:p>
    <w:p>
      <w:pPr>
        <w:numPr>
          <w:ilvl w:val="2"/>
          <w:numId w:val="0"/>
        </w:numPr>
        <w:ind w:firstLine="480"/>
        <w:spacing w:line="360" w:lineRule="auto"/>
        <w:tabs>
          <w:tab w:val="left" w:pos="2014" w:leader="none"/>
        </w:tabs>
        <w:rPr>
          <w:rFonts w:hint="eastAsia"/>
          <w:sz w:val="24"/>
          <w:highlight w:val="none"/>
        </w:rPr>
      </w:pPr>
      <w:r>
        <w:rPr>
          <w:rFonts w:hint="eastAsia"/>
          <w:sz w:val="24"/>
          <w:highlight w:val="none"/>
        </w:rPr>
        <w:t xml:space="preserve">5.7政府采购创新产品政策</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2"/>
          <w:numId w:val="0"/>
        </w:numPr>
        <w:ind w:firstLine="480"/>
        <w:spacing w:line="360" w:lineRule="auto"/>
        <w:tabs>
          <w:tab w:val="left" w:pos="2014" w:leader="none"/>
        </w:tabs>
        <w:rPr>
          <w:rFonts w:hint="eastAsia"/>
          <w:sz w:val="24"/>
          <w:highlight w:val="none"/>
        </w:rPr>
      </w:pPr>
      <w:r>
        <w:rPr>
          <w:rFonts w:hint="eastAsia"/>
          <w:sz w:val="24"/>
          <w:highlight w:val="none"/>
        </w:rPr>
        <w:t xml:space="preserve">5.8绿色采购政策</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5.8.1绿色数据中心政策 </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依据《绿色数据中心政府采购需求标准（试行）》（财办库〔2023〕7 号）文件精神，采购</w:t>
      </w:r>
      <w:r>
        <w:rPr>
          <w:rFonts w:hint="eastAsia"/>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5.8.2推广应用绿色建材</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5.8.3优先使用低挥发性有机化合物产品</w:t>
      </w:r>
      <w:r/>
    </w:p>
    <w:p>
      <w:pPr>
        <w:numPr>
          <w:ilvl w:val="2"/>
          <w:numId w:val="0"/>
        </w:numPr>
        <w:ind w:firstLine="787"/>
        <w:spacing w:line="360" w:lineRule="auto"/>
        <w:tabs>
          <w:tab w:val="left" w:pos="2014" w:leader="none"/>
        </w:tabs>
        <w:rPr>
          <w:rFonts w:hint="eastAsia"/>
          <w:sz w:val="24"/>
          <w:highlight w:val="none"/>
        </w:rPr>
      </w:pPr>
      <w:r>
        <w:rPr>
          <w:rFonts w:hint="eastAsia"/>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left="357" w:hanging="357"/>
        <w:spacing w:line="360" w:lineRule="auto"/>
        <w:tabs>
          <w:tab w:val="left" w:pos="360" w:leader="none"/>
        </w:tabs>
        <w:rPr>
          <w:sz w:val="24"/>
          <w:highlight w:val="none"/>
        </w:rPr>
        <w:outlineLvl w:val="1"/>
      </w:pPr>
      <w:r>
        <w:rPr>
          <w:rFonts w:hint="eastAsia"/>
          <w:sz w:val="24"/>
          <w:highlight w:val="none"/>
        </w:rPr>
        <w:t xml:space="preserve">6</w:t>
      </w:r>
      <w:r>
        <w:rPr>
          <w:sz w:val="24"/>
          <w:highlight w:val="none"/>
        </w:rPr>
        <w:t xml:space="preserve">投标费用</w:t>
      </w:r>
      <w:r/>
    </w:p>
    <w:p>
      <w:pPr>
        <w:numPr>
          <w:ilvl w:val="1"/>
          <w:numId w:val="0"/>
        </w:numPr>
        <w:ind w:firstLine="480"/>
        <w:spacing w:line="360" w:lineRule="auto"/>
        <w:tabs>
          <w:tab w:val="left" w:pos="1080" w:leader="none"/>
          <w:tab w:val="left" w:pos="2014" w:leader="none"/>
        </w:tabs>
        <w:rPr>
          <w:sz w:val="24"/>
          <w:highlight w:val="none"/>
        </w:rPr>
      </w:pPr>
      <w:r>
        <w:rPr>
          <w:sz w:val="24"/>
          <w:highlight w:val="none"/>
        </w:rPr>
        <w:t xml:space="preserve">6.1</w:t>
      </w:r>
      <w:r>
        <w:rPr>
          <w:rFonts w:hint="eastAsia"/>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highlight w:val="none"/>
        </w:rPr>
      </w:pPr>
      <w:r/>
      <w:bookmarkStart w:id="166" w:name="_1.8_计量单位"/>
      <w:r/>
      <w:bookmarkEnd w:id="166"/>
      <w:r/>
      <w:r/>
    </w:p>
    <w:p>
      <w:pPr>
        <w:pStyle w:val="1027"/>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Times New Roman" w:hAnsi="Times New Roman" w:eastAsia="宋体"/>
          <w:sz w:val="28"/>
          <w:highlight w:val="none"/>
          <w:lang w:val="en-US" w:eastAsia="zh-CN"/>
        </w:rPr>
        <w:t xml:space="preserve">招标</w:t>
      </w:r>
      <w:r>
        <w:rPr>
          <w:rFonts w:hint="eastAsia" w:ascii="Times New Roman" w:hAnsi="Times New Roman" w:eastAsia="宋体"/>
          <w:sz w:val="28"/>
          <w:highlight w:val="none"/>
        </w:rPr>
        <w:t xml:space="preserve">文件</w:t>
      </w:r>
      <w:r/>
    </w:p>
    <w:p>
      <w:pPr>
        <w:ind w:left="357" w:hanging="357"/>
        <w:spacing w:line="360" w:lineRule="auto"/>
        <w:tabs>
          <w:tab w:val="left" w:pos="360" w:leader="none"/>
        </w:tabs>
        <w:rPr>
          <w:sz w:val="24"/>
          <w:highlight w:val="none"/>
        </w:rPr>
        <w:outlineLvl w:val="1"/>
      </w:pPr>
      <w:r/>
      <w:bookmarkStart w:id="167" w:name="_Toc164608637"/>
      <w:r/>
      <w:bookmarkStart w:id="168" w:name="_Toc265228361"/>
      <w:r/>
      <w:bookmarkStart w:id="169" w:name="_Toc150774728"/>
      <w:r/>
      <w:bookmarkStart w:id="170" w:name="_Toc305158791"/>
      <w:r/>
      <w:bookmarkStart w:id="171" w:name="_Toc226965713"/>
      <w:r/>
      <w:bookmarkStart w:id="172" w:name="_Toc151193693"/>
      <w:r/>
      <w:bookmarkStart w:id="173" w:name="_Toc151193621"/>
      <w:r/>
      <w:bookmarkStart w:id="174" w:name="_Toc164608792"/>
      <w:r/>
      <w:bookmarkStart w:id="175" w:name="_Toc151190150"/>
      <w:r/>
      <w:bookmarkStart w:id="176" w:name="_Toc226965796"/>
      <w:r/>
      <w:bookmarkStart w:id="177" w:name="_Toc195842888"/>
      <w:r/>
      <w:bookmarkStart w:id="178" w:name="_Toc142311025"/>
      <w:r/>
      <w:bookmarkStart w:id="179" w:name="_Toc151193911"/>
      <w:r/>
      <w:bookmarkStart w:id="180" w:name="_Toc127151523"/>
      <w:r/>
      <w:bookmarkStart w:id="181" w:name="_Toc150509274"/>
      <w:r/>
      <w:bookmarkStart w:id="182" w:name="_Toc151193837"/>
      <w:r/>
      <w:bookmarkStart w:id="183" w:name="_Toc520356147"/>
      <w:r/>
      <w:bookmarkStart w:id="184" w:name="_Toc127161437"/>
      <w:r/>
      <w:bookmarkStart w:id="185" w:name="_Toc149720816"/>
      <w:r/>
      <w:bookmarkStart w:id="186" w:name="_Toc150480761"/>
      <w:r/>
      <w:bookmarkStart w:id="187" w:name="_Toc305158865"/>
      <w:r/>
      <w:bookmarkStart w:id="188" w:name="_Toc164229218"/>
      <w:r/>
      <w:bookmarkStart w:id="189" w:name="_Toc127151724"/>
      <w:r/>
      <w:bookmarkStart w:id="190" w:name="_Toc226337219"/>
      <w:r/>
      <w:bookmarkStart w:id="191" w:name="_Toc264969213"/>
      <w:r/>
      <w:bookmarkStart w:id="192" w:name="_Toc164229364"/>
      <w:r/>
      <w:bookmarkStart w:id="193" w:name="_Toc150774623"/>
      <w:r/>
      <w:bookmarkStart w:id="194" w:name="_Toc164351617"/>
      <w:r/>
      <w:bookmarkStart w:id="195" w:name="_Toc151193765"/>
      <w:r/>
      <w:bookmarkStart w:id="196" w:name="_Toc226309767"/>
      <w:r>
        <w:rPr>
          <w:rFonts w:hint="eastAsia"/>
          <w:sz w:val="24"/>
          <w:highlight w:val="none"/>
        </w:rPr>
        <w:t xml:space="preserve">7</w:t>
      </w:r>
      <w:r>
        <w:rPr>
          <w:rFonts w:hint="eastAsia"/>
          <w:sz w:val="24"/>
          <w:highlight w:val="none"/>
          <w:lang w:val="en-US" w:eastAsia="zh-CN"/>
        </w:rPr>
        <w:t xml:space="preserve">招标</w:t>
      </w:r>
      <w:r>
        <w:rPr>
          <w:rFonts w:hint="eastAsia"/>
          <w:sz w:val="24"/>
          <w:highlight w:val="none"/>
        </w:rPr>
        <w:t xml:space="preserve">文件</w:t>
      </w:r>
      <w:r>
        <w:rPr>
          <w:sz w:val="24"/>
          <w:highlight w:val="none"/>
        </w:rPr>
        <w:t xml:space="preserve">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sz w:val="24"/>
          <w:highlight w:val="none"/>
        </w:rPr>
        <w:t xml:space="preserve">成</w:t>
      </w:r>
      <w:r/>
    </w:p>
    <w:p>
      <w:pPr>
        <w:numPr>
          <w:ilvl w:val="1"/>
          <w:numId w:val="0"/>
        </w:numPr>
        <w:ind w:firstLine="480"/>
        <w:spacing w:line="360" w:lineRule="auto"/>
        <w:tabs>
          <w:tab w:val="left" w:pos="1080" w:leader="none"/>
          <w:tab w:val="left" w:pos="2014" w:leader="none"/>
        </w:tabs>
        <w:rPr>
          <w:sz w:val="24"/>
          <w:highlight w:val="none"/>
        </w:rPr>
      </w:pPr>
      <w:r>
        <w:rPr>
          <w:sz w:val="24"/>
          <w:highlight w:val="none"/>
        </w:rPr>
        <w:t xml:space="preserve">7.1</w:t>
      </w:r>
      <w:r>
        <w:rPr>
          <w:rFonts w:hint="eastAsia"/>
          <w:sz w:val="24"/>
          <w:highlight w:val="none"/>
          <w:lang w:val="en-US" w:eastAsia="zh-CN"/>
        </w:rPr>
        <w:t xml:space="preserve">招标</w:t>
      </w:r>
      <w:r>
        <w:rPr>
          <w:rFonts w:hint="eastAsia"/>
          <w:sz w:val="24"/>
          <w:highlight w:val="none"/>
        </w:rPr>
        <w:t xml:space="preserve">文件</w:t>
      </w:r>
      <w:r>
        <w:rPr>
          <w:sz w:val="24"/>
          <w:highlight w:val="none"/>
        </w:rPr>
        <w:t xml:space="preserve">包括以下部分：</w:t>
      </w:r>
      <w:r/>
    </w:p>
    <w:p>
      <w:pPr>
        <w:numPr>
          <w:ilvl w:val="0"/>
          <w:numId w:val="8"/>
        </w:numPr>
        <w:ind w:left="1440" w:firstLine="5"/>
        <w:spacing w:line="360" w:lineRule="auto"/>
        <w:tabs>
          <w:tab w:val="left" w:pos="1980" w:leader="none"/>
          <w:tab w:val="left" w:pos="2520" w:leader="none"/>
        </w:tabs>
        <w:rPr>
          <w:sz w:val="24"/>
          <w:highlight w:val="none"/>
        </w:rPr>
      </w:pPr>
      <w:r>
        <w:rPr>
          <w:sz w:val="24"/>
          <w:highlight w:val="none"/>
        </w:rPr>
        <w:t xml:space="preserve">投标邀请</w:t>
      </w:r>
      <w:r/>
    </w:p>
    <w:p>
      <w:pPr>
        <w:numPr>
          <w:ilvl w:val="0"/>
          <w:numId w:val="8"/>
        </w:numPr>
        <w:ind w:left="1440" w:firstLine="5"/>
        <w:spacing w:line="360" w:lineRule="auto"/>
        <w:tabs>
          <w:tab w:val="left" w:pos="1980" w:leader="none"/>
          <w:tab w:val="left" w:pos="2520" w:leader="none"/>
        </w:tabs>
        <w:rPr>
          <w:sz w:val="24"/>
          <w:highlight w:val="none"/>
        </w:rPr>
      </w:pP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须知</w:t>
      </w:r>
      <w:r/>
    </w:p>
    <w:p>
      <w:pPr>
        <w:numPr>
          <w:ilvl w:val="0"/>
          <w:numId w:val="8"/>
        </w:numPr>
        <w:ind w:left="1440" w:firstLine="5"/>
        <w:spacing w:line="360" w:lineRule="auto"/>
        <w:tabs>
          <w:tab w:val="left" w:pos="1980" w:leader="none"/>
          <w:tab w:val="left" w:pos="2520" w:leader="none"/>
        </w:tabs>
        <w:rPr>
          <w:sz w:val="24"/>
          <w:highlight w:val="none"/>
        </w:rPr>
      </w:pPr>
      <w:r>
        <w:rPr>
          <w:sz w:val="24"/>
          <w:highlight w:val="none"/>
        </w:rPr>
        <w:t xml:space="preserve">资格审查</w:t>
      </w:r>
      <w:r/>
    </w:p>
    <w:p>
      <w:pPr>
        <w:numPr>
          <w:ilvl w:val="0"/>
          <w:numId w:val="8"/>
        </w:numPr>
        <w:ind w:left="1440" w:firstLine="5"/>
        <w:spacing w:line="360" w:lineRule="auto"/>
        <w:tabs>
          <w:tab w:val="left" w:pos="1980" w:leader="none"/>
          <w:tab w:val="left" w:pos="2520" w:leader="none"/>
        </w:tabs>
        <w:rPr>
          <w:sz w:val="24"/>
          <w:highlight w:val="none"/>
        </w:rPr>
      </w:pPr>
      <w:r>
        <w:rPr>
          <w:sz w:val="24"/>
          <w:highlight w:val="none"/>
        </w:rPr>
        <w:t xml:space="preserve">评标程序、评标方法和评标标准</w:t>
      </w:r>
      <w:r/>
    </w:p>
    <w:p>
      <w:pPr>
        <w:numPr>
          <w:ilvl w:val="0"/>
          <w:numId w:val="8"/>
        </w:numPr>
        <w:ind w:left="1440" w:firstLine="5"/>
        <w:spacing w:line="360" w:lineRule="auto"/>
        <w:tabs>
          <w:tab w:val="left" w:pos="1980" w:leader="none"/>
          <w:tab w:val="left" w:pos="2520" w:leader="none"/>
        </w:tabs>
        <w:rPr>
          <w:sz w:val="24"/>
          <w:highlight w:val="none"/>
        </w:rPr>
      </w:pPr>
      <w:r>
        <w:rPr>
          <w:sz w:val="24"/>
          <w:highlight w:val="none"/>
        </w:rPr>
        <w:t xml:space="preserve">采购需求</w:t>
      </w:r>
      <w:r/>
    </w:p>
    <w:p>
      <w:pPr>
        <w:numPr>
          <w:ilvl w:val="0"/>
          <w:numId w:val="8"/>
        </w:numPr>
        <w:ind w:left="1440" w:firstLine="5"/>
        <w:spacing w:line="360" w:lineRule="auto"/>
        <w:tabs>
          <w:tab w:val="left" w:pos="1980" w:leader="none"/>
          <w:tab w:val="left" w:pos="2520" w:leader="none"/>
        </w:tabs>
        <w:rPr>
          <w:sz w:val="24"/>
          <w:highlight w:val="none"/>
        </w:rPr>
      </w:pPr>
      <w:r>
        <w:rPr>
          <w:sz w:val="24"/>
          <w:highlight w:val="none"/>
        </w:rPr>
        <w:t xml:space="preserve">拟签订的合同文本</w:t>
      </w:r>
      <w:r/>
    </w:p>
    <w:p>
      <w:pPr>
        <w:numPr>
          <w:ilvl w:val="0"/>
          <w:numId w:val="8"/>
        </w:numPr>
        <w:ind w:left="1440" w:firstLine="5"/>
        <w:spacing w:line="360" w:lineRule="auto"/>
        <w:tabs>
          <w:tab w:val="left" w:pos="1980" w:leader="none"/>
          <w:tab w:val="left" w:pos="2520" w:leader="none"/>
        </w:tabs>
        <w:rPr>
          <w:sz w:val="24"/>
          <w:highlight w:val="none"/>
        </w:rPr>
      </w:pPr>
      <w:r>
        <w:rPr>
          <w:sz w:val="24"/>
          <w:highlight w:val="none"/>
        </w:rPr>
        <w:t xml:space="preserve">投标文件格式</w:t>
      </w:r>
      <w:r/>
    </w:p>
    <w:p>
      <w:pPr>
        <w:numPr>
          <w:ilvl w:val="1"/>
          <w:numId w:val="0"/>
        </w:numPr>
        <w:ind w:firstLine="480"/>
        <w:spacing w:line="360" w:lineRule="auto"/>
        <w:tabs>
          <w:tab w:val="left" w:pos="1080" w:leader="none"/>
          <w:tab w:val="left" w:pos="2014" w:leader="none"/>
        </w:tabs>
        <w:rPr>
          <w:sz w:val="24"/>
          <w:highlight w:val="none"/>
        </w:rPr>
      </w:pPr>
      <w:r>
        <w:rPr>
          <w:sz w:val="24"/>
          <w:highlight w:val="none"/>
        </w:rPr>
        <w:t xml:space="preserve">7.2投标人应认真阅读招标文件的全部内容。投标人应按照招标文件要求提交投标文件并保证所提供的全部资料的真实性，并对招标文件做出实质性响应，否则</w:t>
      </w:r>
      <w:r>
        <w:rPr>
          <w:b/>
          <w:sz w:val="24"/>
          <w:highlight w:val="none"/>
        </w:rPr>
        <w:t xml:space="preserve">投标无效</w:t>
      </w:r>
      <w:r>
        <w:rPr>
          <w:sz w:val="24"/>
          <w:highlight w:val="none"/>
        </w:rPr>
        <w:t xml:space="preserve">。</w:t>
      </w:r>
      <w:r/>
    </w:p>
    <w:p>
      <w:pPr>
        <w:ind w:left="357" w:hanging="357"/>
        <w:spacing w:line="360" w:lineRule="auto"/>
        <w:tabs>
          <w:tab w:val="left" w:pos="1080" w:leader="none"/>
          <w:tab w:val="left" w:pos="2014" w:leader="none"/>
        </w:tabs>
        <w:rPr>
          <w:sz w:val="24"/>
          <w:highlight w:val="none"/>
        </w:rPr>
        <w:outlineLvl w:val="1"/>
      </w:pPr>
      <w:r>
        <w:rPr>
          <w:rFonts w:hint="eastAsia"/>
          <w:sz w:val="24"/>
          <w:highlight w:val="none"/>
        </w:rPr>
        <w:t xml:space="preserve">8</w:t>
      </w:r>
      <w:r>
        <w:rPr>
          <w:sz w:val="24"/>
          <w:highlight w:val="none"/>
        </w:rPr>
        <w:t xml:space="preserve">对</w:t>
      </w:r>
      <w:r>
        <w:rPr>
          <w:rFonts w:hint="eastAsia"/>
          <w:sz w:val="24"/>
          <w:highlight w:val="none"/>
          <w:lang w:val="en-US" w:eastAsia="zh-CN"/>
        </w:rPr>
        <w:t xml:space="preserve">招标</w:t>
      </w:r>
      <w:r>
        <w:rPr>
          <w:rFonts w:hint="eastAsia"/>
          <w:sz w:val="24"/>
          <w:highlight w:val="none"/>
        </w:rPr>
        <w:t xml:space="preserve">文件</w:t>
      </w:r>
      <w:r>
        <w:rPr>
          <w:sz w:val="24"/>
          <w:highlight w:val="none"/>
        </w:rPr>
        <w:t xml:space="preserve">的澄清或修改</w:t>
      </w:r>
      <w:r/>
    </w:p>
    <w:p>
      <w:pPr>
        <w:numPr>
          <w:ilvl w:val="1"/>
          <w:numId w:val="0"/>
        </w:numPr>
        <w:ind w:firstLine="480"/>
        <w:spacing w:line="360" w:lineRule="auto"/>
        <w:tabs>
          <w:tab w:val="left" w:pos="1080" w:leader="none"/>
          <w:tab w:val="left" w:pos="1561" w:leader="none"/>
          <w:tab w:val="left" w:pos="2014" w:leader="none"/>
        </w:tabs>
        <w:rPr>
          <w:rFonts w:hint="eastAsia"/>
          <w:sz w:val="24"/>
          <w:highlight w:val="none"/>
        </w:rPr>
      </w:pPr>
      <w:r>
        <w:rPr>
          <w:sz w:val="24"/>
          <w:highlight w:val="none"/>
        </w:rPr>
        <w:t xml:space="preserve">8.1</w:t>
      </w:r>
      <w:r>
        <w:rPr>
          <w:rFonts w:hint="eastAsia"/>
          <w:sz w:val="24"/>
          <w:highlight w:val="none"/>
        </w:rPr>
        <w:t xml:space="preserve">采购人或采购代理机构对已发出的招标文件进行必要澄清或者修改的，将在原公告发布媒体上以发布更正公告的形式通知所有获取招标文件的潜在投标人。</w:t>
      </w:r>
      <w:r/>
    </w:p>
    <w:p>
      <w:pPr>
        <w:numPr>
          <w:ilvl w:val="1"/>
          <w:numId w:val="0"/>
        </w:numPr>
        <w:ind w:firstLine="480"/>
        <w:spacing w:line="360" w:lineRule="auto"/>
        <w:tabs>
          <w:tab w:val="left" w:pos="1080" w:leader="none"/>
          <w:tab w:val="left" w:pos="1561" w:leader="none"/>
          <w:tab w:val="left" w:pos="2014" w:leader="none"/>
        </w:tabs>
        <w:rPr>
          <w:sz w:val="24"/>
          <w:highlight w:val="none"/>
        </w:rPr>
      </w:pPr>
      <w:r>
        <w:rPr>
          <w:rFonts w:hint="eastAsia"/>
          <w:sz w:val="24"/>
          <w:highlight w:val="none"/>
          <w:lang w:val="en-US" w:eastAsia="zh-CN"/>
        </w:rPr>
        <w:t xml:space="preserve">8.2</w:t>
      </w:r>
      <w:r>
        <w:rPr>
          <w:rFonts w:hint="eastAsia"/>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highlight w:val="none"/>
        </w:rPr>
      </w:pPr>
      <w:r/>
      <w:bookmarkStart w:id="197" w:name="_Toc516367020"/>
      <w:r/>
      <w:bookmarkStart w:id="198" w:name="_Toc226965799"/>
      <w:r/>
      <w:bookmarkStart w:id="199" w:name="_Toc520356150"/>
      <w:r/>
      <w:bookmarkStart w:id="200" w:name="_Toc226309770"/>
      <w:r/>
      <w:bookmarkStart w:id="201" w:name="_Toc127151526"/>
      <w:r/>
      <w:bookmarkStart w:id="202" w:name="_Toc151193624"/>
      <w:r/>
      <w:bookmarkStart w:id="203" w:name="_Toc226337222"/>
      <w:r/>
      <w:bookmarkStart w:id="204" w:name="_Toc151193768"/>
      <w:r/>
      <w:bookmarkStart w:id="205" w:name="_Toc150509277"/>
      <w:r/>
      <w:bookmarkStart w:id="206" w:name="_Toc150480764"/>
      <w:r/>
      <w:bookmarkStart w:id="207" w:name="_Toc305158794"/>
      <w:r/>
      <w:bookmarkStart w:id="208" w:name="_Toc151193914"/>
      <w:r/>
      <w:bookmarkStart w:id="209" w:name="_Toc151193840"/>
      <w:r/>
      <w:bookmarkStart w:id="210" w:name="_Toc226965716"/>
      <w:r/>
      <w:bookmarkStart w:id="211" w:name="_Toc195842891"/>
      <w:r/>
      <w:bookmarkStart w:id="212" w:name="_Toc150774731"/>
      <w:r/>
      <w:bookmarkStart w:id="213" w:name="_Toc142311028"/>
      <w:r/>
      <w:bookmarkStart w:id="214" w:name="_Toc264969216"/>
      <w:r/>
      <w:bookmarkStart w:id="215" w:name="_Toc305158868"/>
      <w:r/>
      <w:bookmarkStart w:id="216" w:name="_Toc150774626"/>
      <w:r/>
      <w:bookmarkStart w:id="217" w:name="_Toc151193696"/>
      <w:r/>
      <w:bookmarkStart w:id="218" w:name="_Toc265228364"/>
      <w:r/>
      <w:bookmarkStart w:id="219" w:name="_Toc151190153"/>
      <w:r/>
      <w:r/>
    </w:p>
    <w:p>
      <w:pPr>
        <w:pStyle w:val="1027"/>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197"/>
      <w:r>
        <w:rPr>
          <w:rFonts w:ascii="Times New Roman" w:hAnsi="Times New Roman" w:eastAsia="宋体"/>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ind w:left="357" w:hanging="357"/>
        <w:spacing w:line="360" w:lineRule="auto"/>
        <w:tabs>
          <w:tab w:val="left" w:pos="360" w:leader="none"/>
        </w:tabs>
        <w:rPr>
          <w:sz w:val="24"/>
          <w:highlight w:val="none"/>
        </w:rPr>
        <w:outlineLvl w:val="1"/>
      </w:pPr>
      <w:r/>
      <w:bookmarkStart w:id="220" w:name="_Toc520356151"/>
      <w:r/>
      <w:bookmarkStart w:id="221" w:name="_Toc195842892"/>
      <w:r/>
      <w:bookmarkStart w:id="222" w:name="_Toc151193697"/>
      <w:r/>
      <w:bookmarkStart w:id="223" w:name="_Toc150480765"/>
      <w:r/>
      <w:bookmarkStart w:id="224" w:name="_Toc142311029"/>
      <w:r/>
      <w:bookmarkStart w:id="225" w:name="_Toc151190154"/>
      <w:r/>
      <w:bookmarkStart w:id="226" w:name="_Toc150509278"/>
      <w:r/>
      <w:bookmarkStart w:id="227" w:name="_Toc226965717"/>
      <w:r/>
      <w:bookmarkStart w:id="228" w:name="_Toc151193625"/>
      <w:r/>
      <w:bookmarkStart w:id="229" w:name="_Toc516367021"/>
      <w:r/>
      <w:bookmarkStart w:id="230" w:name="_Toc226337223"/>
      <w:r/>
      <w:bookmarkStart w:id="231" w:name="_Toc151193769"/>
      <w:r/>
      <w:bookmarkStart w:id="232" w:name="_Toc150774732"/>
      <w:r/>
      <w:bookmarkStart w:id="233" w:name="_Toc150774627"/>
      <w:r/>
      <w:bookmarkStart w:id="234" w:name="_Toc164608796"/>
      <w:r/>
      <w:bookmarkStart w:id="235" w:name="_Toc226965800"/>
      <w:r/>
      <w:bookmarkStart w:id="236" w:name="_Toc127161441"/>
      <w:r/>
      <w:bookmarkStart w:id="237" w:name="_Toc151193915"/>
      <w:r/>
      <w:bookmarkStart w:id="238" w:name="_Toc305158795"/>
      <w:r/>
      <w:bookmarkStart w:id="239" w:name="_Toc226309771"/>
      <w:r/>
      <w:bookmarkStart w:id="240" w:name="_Toc164229222"/>
      <w:r/>
      <w:bookmarkStart w:id="241" w:name="_Toc149720820"/>
      <w:r/>
      <w:bookmarkStart w:id="242" w:name="_Toc127151527"/>
      <w:r/>
      <w:bookmarkStart w:id="243" w:name="_Toc164608641"/>
      <w:r/>
      <w:bookmarkStart w:id="244" w:name="_Toc151193841"/>
      <w:r/>
      <w:bookmarkStart w:id="245" w:name="_Toc127151728"/>
      <w:r/>
      <w:bookmarkStart w:id="246" w:name="_Toc164351621"/>
      <w:r/>
      <w:bookmarkStart w:id="247" w:name="_Toc265228365"/>
      <w:r/>
      <w:bookmarkStart w:id="248" w:name="_Toc264969217"/>
      <w:r/>
      <w:bookmarkStart w:id="249" w:name="_Toc305158869"/>
      <w:r/>
      <w:bookmarkStart w:id="250" w:name="_Toc164229368"/>
      <w:r>
        <w:rPr>
          <w:rFonts w:hint="eastAsia"/>
          <w:sz w:val="24"/>
          <w:highlight w:val="none"/>
        </w:rPr>
        <w:t xml:space="preserve">9</w:t>
      </w:r>
      <w:r>
        <w:rPr>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sz w:val="24"/>
          <w:highlight w:val="none"/>
        </w:rPr>
        <w:t xml:space="preserve">及投标语言</w:t>
      </w:r>
      <w:r/>
    </w:p>
    <w:p>
      <w:pPr>
        <w:numPr>
          <w:ilvl w:val="1"/>
          <w:numId w:val="0"/>
        </w:numPr>
        <w:ind w:firstLine="480"/>
        <w:spacing w:line="360" w:lineRule="auto"/>
        <w:tabs>
          <w:tab w:val="left" w:pos="1080" w:leader="none"/>
          <w:tab w:val="left" w:pos="2014" w:leader="none"/>
        </w:tabs>
        <w:rPr>
          <w:rFonts w:hint="eastAsia"/>
          <w:sz w:val="24"/>
          <w:highlight w:val="none"/>
        </w:rPr>
      </w:pPr>
      <w:r>
        <w:rPr>
          <w:sz w:val="24"/>
          <w:highlight w:val="none"/>
        </w:rPr>
        <w:t xml:space="preserve">9.1</w:t>
      </w:r>
      <w:r>
        <w:rPr>
          <w:rFonts w:hint="eastAsia"/>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无效投标。</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9.2除招标文件有特殊要求外，本项目投标所使用的计量单位，应采用中华人民共和国法定计量单位。</w:t>
      </w:r>
      <w:r/>
    </w:p>
    <w:p>
      <w:pPr>
        <w:numPr>
          <w:ilvl w:val="1"/>
          <w:numId w:val="0"/>
        </w:numPr>
        <w:ind w:firstLine="480"/>
        <w:spacing w:line="360" w:lineRule="auto"/>
        <w:tabs>
          <w:tab w:val="left" w:pos="1080" w:leader="none"/>
          <w:tab w:val="left" w:pos="2014" w:leader="none"/>
        </w:tabs>
        <w:rPr>
          <w:sz w:val="24"/>
          <w:highlight w:val="none"/>
        </w:rPr>
      </w:pPr>
      <w:r>
        <w:rPr>
          <w:rFonts w:hint="eastAsia"/>
          <w:sz w:val="24"/>
          <w:highlight w:val="none"/>
          <w:lang w:val="en-US" w:eastAsia="zh-CN"/>
        </w:rPr>
        <w:t xml:space="preserve">9.3</w:t>
      </w:r>
      <w:r>
        <w:rPr>
          <w:rFonts w:hint="eastAsia"/>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left="357" w:hanging="357"/>
        <w:spacing w:line="360" w:lineRule="auto"/>
        <w:tabs>
          <w:tab w:val="left" w:pos="360" w:leader="none"/>
        </w:tabs>
        <w:rPr>
          <w:sz w:val="24"/>
          <w:highlight w:val="none"/>
        </w:rPr>
        <w:outlineLvl w:val="1"/>
      </w:pPr>
      <w:r/>
      <w:bookmarkStart w:id="251" w:name="_Toc516367022"/>
      <w:r/>
      <w:bookmarkStart w:id="252" w:name="_Ref467306676"/>
      <w:r/>
      <w:bookmarkStart w:id="253" w:name="_Ref467306195"/>
      <w:r/>
      <w:bookmarkStart w:id="254" w:name="_Toc226309772"/>
      <w:r/>
      <w:bookmarkStart w:id="255" w:name="_Toc151193770"/>
      <w:r/>
      <w:bookmarkStart w:id="256" w:name="_Toc164229223"/>
      <w:r/>
      <w:bookmarkStart w:id="257" w:name="_Toc149720821"/>
      <w:r/>
      <w:bookmarkStart w:id="258" w:name="_Toc226965801"/>
      <w:r/>
      <w:bookmarkStart w:id="259" w:name="_Toc305158870"/>
      <w:r/>
      <w:bookmarkStart w:id="260" w:name="_Toc127151528"/>
      <w:r/>
      <w:bookmarkStart w:id="261" w:name="_Toc151193842"/>
      <w:r/>
      <w:bookmarkStart w:id="262" w:name="_Toc151190155"/>
      <w:r/>
      <w:bookmarkStart w:id="263" w:name="_Toc150774733"/>
      <w:r/>
      <w:bookmarkStart w:id="264" w:name="_Toc150480766"/>
      <w:r/>
      <w:bookmarkStart w:id="265" w:name="_Toc195842893"/>
      <w:r/>
      <w:bookmarkStart w:id="266" w:name="_Toc151193916"/>
      <w:r/>
      <w:bookmarkStart w:id="267" w:name="_Toc151193698"/>
      <w:r/>
      <w:bookmarkStart w:id="268" w:name="_Toc226965718"/>
      <w:r/>
      <w:bookmarkStart w:id="269" w:name="_Toc151193626"/>
      <w:r/>
      <w:bookmarkStart w:id="270" w:name="_Toc164229369"/>
      <w:r/>
      <w:bookmarkStart w:id="271" w:name="_Toc127151729"/>
      <w:r/>
      <w:bookmarkStart w:id="272" w:name="_Toc305158796"/>
      <w:r/>
      <w:bookmarkStart w:id="273" w:name="_Toc164608642"/>
      <w:r/>
      <w:bookmarkStart w:id="274" w:name="_Toc150509279"/>
      <w:r/>
      <w:bookmarkStart w:id="275" w:name="_Toc142311030"/>
      <w:r/>
      <w:bookmarkStart w:id="276" w:name="_Toc150774628"/>
      <w:r/>
      <w:bookmarkStart w:id="277" w:name="_Toc164351622"/>
      <w:r/>
      <w:bookmarkStart w:id="278" w:name="_Toc520356152"/>
      <w:r/>
      <w:bookmarkStart w:id="279" w:name="_Toc264969218"/>
      <w:r/>
      <w:bookmarkStart w:id="280" w:name="_Toc226337224"/>
      <w:r/>
      <w:bookmarkStart w:id="281" w:name="_Toc127161442"/>
      <w:r/>
      <w:bookmarkStart w:id="282" w:name="_Toc265228366"/>
      <w:r/>
      <w:bookmarkStart w:id="283" w:name="_Toc164608797"/>
      <w:r>
        <w:rPr>
          <w:rFonts w:hint="eastAsia"/>
          <w:sz w:val="24"/>
          <w:highlight w:val="none"/>
        </w:rPr>
        <w:t xml:space="preserve">10</w:t>
      </w:r>
      <w:r>
        <w:rPr>
          <w:sz w:val="24"/>
          <w:highlight w:val="none"/>
        </w:rPr>
        <w:t xml:space="preserve">投标文件</w:t>
      </w:r>
      <w:bookmarkEnd w:id="251"/>
      <w:r/>
      <w:bookmarkEnd w:id="252"/>
      <w:r/>
      <w:bookmarkEnd w:id="253"/>
      <w:r>
        <w:rPr>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10.1投标人应当按照招标文件的要求编制投标文件。投标文件应由《资格证明文件》、《商务技术文件》两部分构成。投标文件的部分格式要求，见第七章《投标文件格式》。</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10.3第四章《评标程序、评标方法和评标标准》中涉及的证明文件。</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0"/>
        </w:numPr>
        <w:ind w:firstLine="480"/>
        <w:spacing w:line="360" w:lineRule="auto"/>
        <w:tabs>
          <w:tab w:val="left" w:pos="1080" w:leader="none"/>
          <w:tab w:val="left" w:pos="2014" w:leader="none"/>
        </w:tabs>
        <w:rPr>
          <w:sz w:val="24"/>
          <w:highlight w:val="none"/>
        </w:rPr>
      </w:pPr>
      <w:r>
        <w:rPr>
          <w:rFonts w:hint="eastAsia"/>
          <w:sz w:val="24"/>
          <w:highlight w:val="none"/>
          <w:lang w:val="en-US" w:eastAsia="zh-CN"/>
        </w:rPr>
        <w:t xml:space="preserve">10.5</w:t>
      </w:r>
      <w:r>
        <w:rPr>
          <w:rFonts w:hint="eastAsia"/>
          <w:sz w:val="24"/>
          <w:highlight w:val="none"/>
        </w:rPr>
        <w:t xml:space="preserve">投标人认为应附的其他材料。</w:t>
      </w:r>
      <w:r/>
    </w:p>
    <w:p>
      <w:pPr>
        <w:ind w:left="357" w:hanging="357"/>
        <w:spacing w:line="360" w:lineRule="auto"/>
        <w:tabs>
          <w:tab w:val="left" w:pos="360" w:leader="none"/>
        </w:tabs>
        <w:rPr>
          <w:sz w:val="24"/>
          <w:highlight w:val="none"/>
        </w:rPr>
        <w:outlineLvl w:val="1"/>
      </w:pPr>
      <w:r/>
      <w:bookmarkStart w:id="284" w:name="_Toc151193918"/>
      <w:r/>
      <w:bookmarkStart w:id="285" w:name="_Toc164608799"/>
      <w:r/>
      <w:bookmarkStart w:id="286" w:name="_Toc151190157"/>
      <w:r/>
      <w:bookmarkStart w:id="287" w:name="_Toc150509281"/>
      <w:r/>
      <w:bookmarkStart w:id="288" w:name="_Toc142311032"/>
      <w:r/>
      <w:bookmarkStart w:id="289" w:name="_Toc151193772"/>
      <w:r/>
      <w:bookmarkStart w:id="290" w:name="_Toc164229225"/>
      <w:r/>
      <w:bookmarkStart w:id="291" w:name="_Toc520356155"/>
      <w:r/>
      <w:bookmarkStart w:id="292" w:name="_Toc150480768"/>
      <w:r/>
      <w:bookmarkStart w:id="293" w:name="_Toc164351624"/>
      <w:r/>
      <w:bookmarkStart w:id="294" w:name="_Toc127151731"/>
      <w:r/>
      <w:bookmarkStart w:id="295" w:name="_Toc195842895"/>
      <w:r/>
      <w:bookmarkStart w:id="296" w:name="_Toc150774630"/>
      <w:r/>
      <w:bookmarkStart w:id="297" w:name="_Toc151193628"/>
      <w:r/>
      <w:bookmarkStart w:id="298" w:name="_Toc151193700"/>
      <w:r/>
      <w:bookmarkStart w:id="299" w:name="_Toc149720823"/>
      <w:r/>
      <w:bookmarkStart w:id="300" w:name="_Toc164608644"/>
      <w:r/>
      <w:bookmarkStart w:id="301" w:name="_Toc150774735"/>
      <w:r/>
      <w:bookmarkStart w:id="302" w:name="_Toc127151530"/>
      <w:r/>
      <w:bookmarkStart w:id="303" w:name="_Toc164229371"/>
      <w:r/>
      <w:bookmarkStart w:id="304" w:name="_Toc127161444"/>
      <w:r/>
      <w:bookmarkStart w:id="305" w:name="_Toc151193844"/>
      <w:r>
        <w:rPr>
          <w:rFonts w:hint="eastAsia"/>
          <w:sz w:val="24"/>
          <w:highlight w:val="none"/>
        </w:rPr>
        <w:t xml:space="preserve">11</w:t>
      </w:r>
      <w:r>
        <w:rPr>
          <w:sz w:val="24"/>
          <w:highlight w:val="none"/>
        </w:rPr>
        <w:t xml:space="preserve">投标报价</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11.1所有投标均以</w:t>
      </w:r>
      <w:r>
        <w:rPr>
          <w:rFonts w:hint="eastAsia"/>
          <w:sz w:val="24"/>
          <w:highlight w:val="none"/>
        </w:rPr>
        <w:t xml:space="preserve">人民币</w:t>
      </w:r>
      <w:r>
        <w:rPr>
          <w:rFonts w:hint="eastAsia"/>
          <w:sz w:val="24"/>
          <w:highlight w:val="none"/>
        </w:rPr>
        <w:t xml:space="preserve">报价。</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11.2投标人的报价应包括为完成本项目所发生的一切费用和税费，招标人将不再支付报价以外的任何费用。投标人的报价应包括但不限于下列内容，《投标人须知资料表》中有特殊规定的，从其规定。</w:t>
      </w:r>
      <w:r/>
    </w:p>
    <w:p>
      <w:pPr>
        <w:numPr>
          <w:ilvl w:val="1"/>
          <w:numId w:val="0"/>
        </w:numPr>
        <w:ind w:firstLine="720"/>
        <w:spacing w:line="360" w:lineRule="auto"/>
        <w:tabs>
          <w:tab w:val="left" w:pos="1080" w:leader="none"/>
          <w:tab w:val="left" w:pos="2014" w:leader="none"/>
        </w:tabs>
        <w:rPr>
          <w:rFonts w:hint="eastAsia"/>
          <w:sz w:val="24"/>
          <w:highlight w:val="none"/>
        </w:rPr>
      </w:pPr>
      <w:r>
        <w:rPr>
          <w:rFonts w:hint="eastAsia"/>
          <w:sz w:val="24"/>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1"/>
          <w:numId w:val="0"/>
        </w:numPr>
        <w:ind w:firstLine="720"/>
        <w:spacing w:line="360" w:lineRule="auto"/>
        <w:tabs>
          <w:tab w:val="left" w:pos="1080" w:leader="none"/>
          <w:tab w:val="left" w:pos="2014" w:leader="none"/>
        </w:tabs>
        <w:rPr>
          <w:rFonts w:hint="eastAsia"/>
          <w:sz w:val="24"/>
          <w:highlight w:val="none"/>
        </w:rPr>
      </w:pPr>
      <w:r>
        <w:rPr>
          <w:rFonts w:hint="eastAsia"/>
          <w:sz w:val="24"/>
          <w:highlight w:val="none"/>
        </w:rPr>
        <w:t xml:space="preserve">11.2.2按照招标文件要求完成本项目的全部相关服务费用。 </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11.3采购人不得向供应商索要或者接受其给予的赠品、回扣或者与采购无关的其他商品、服务。</w:t>
      </w:r>
      <w:r/>
    </w:p>
    <w:p>
      <w:pPr>
        <w:numPr>
          <w:ilvl w:val="1"/>
          <w:numId w:val="0"/>
        </w:numPr>
        <w:ind w:firstLine="480"/>
        <w:spacing w:line="360" w:lineRule="auto"/>
        <w:tabs>
          <w:tab w:val="left" w:pos="1080" w:leader="none"/>
          <w:tab w:val="left" w:pos="2014" w:leader="none"/>
        </w:tabs>
        <w:rPr>
          <w:sz w:val="24"/>
          <w:highlight w:val="none"/>
        </w:rPr>
      </w:pPr>
      <w:r>
        <w:rPr>
          <w:rFonts w:hint="eastAsia"/>
          <w:sz w:val="24"/>
          <w:highlight w:val="none"/>
        </w:rPr>
        <w:t xml:space="preserve">11.4投标人不能提供任何有选择性或可调整的报价，否则其</w:t>
      </w:r>
      <w:r>
        <w:rPr>
          <w:rFonts w:hint="eastAsia"/>
          <w:b/>
          <w:bCs/>
          <w:sz w:val="24"/>
          <w:highlight w:val="none"/>
        </w:rPr>
        <w:t xml:space="preserve">投标无效</w:t>
      </w:r>
      <w:r>
        <w:rPr>
          <w:rFonts w:hint="eastAsia"/>
          <w:sz w:val="24"/>
          <w:highlight w:val="none"/>
        </w:rPr>
        <w:t xml:space="preserve">。</w:t>
      </w:r>
      <w:r/>
    </w:p>
    <w:p>
      <w:pPr>
        <w:ind w:left="357" w:hanging="357"/>
        <w:spacing w:line="360" w:lineRule="auto"/>
        <w:tabs>
          <w:tab w:val="left" w:pos="360" w:leader="none"/>
        </w:tabs>
        <w:rPr>
          <w:sz w:val="24"/>
          <w:highlight w:val="none"/>
        </w:rPr>
        <w:outlineLvl w:val="1"/>
      </w:pPr>
      <w:r/>
      <w:bookmarkStart w:id="306" w:name="_Toc151193629"/>
      <w:r/>
      <w:bookmarkStart w:id="307" w:name="_Toc150509282"/>
      <w:r/>
      <w:bookmarkStart w:id="308" w:name="_Toc520356156"/>
      <w:r/>
      <w:bookmarkStart w:id="309" w:name="_Toc265228369"/>
      <w:r/>
      <w:bookmarkStart w:id="310" w:name="_Toc150774631"/>
      <w:r/>
      <w:bookmarkStart w:id="311" w:name="_Toc149720824"/>
      <w:r/>
      <w:bookmarkStart w:id="312" w:name="_Toc127151732"/>
      <w:r/>
      <w:bookmarkStart w:id="313" w:name="_Toc164608645"/>
      <w:r/>
      <w:bookmarkStart w:id="314" w:name="_Toc226309775"/>
      <w:r/>
      <w:bookmarkStart w:id="315" w:name="_Toc226965721"/>
      <w:r/>
      <w:bookmarkStart w:id="316" w:name="_Toc264969221"/>
      <w:r/>
      <w:bookmarkStart w:id="317" w:name="_Toc305158873"/>
      <w:r/>
      <w:bookmarkStart w:id="318" w:name="_Toc226337227"/>
      <w:r/>
      <w:bookmarkStart w:id="319" w:name="_Toc164229226"/>
      <w:r/>
      <w:bookmarkStart w:id="320" w:name="_Toc127161445"/>
      <w:r/>
      <w:bookmarkStart w:id="321" w:name="_Toc164608800"/>
      <w:r/>
      <w:bookmarkStart w:id="322" w:name="_Toc151193919"/>
      <w:r/>
      <w:bookmarkStart w:id="323" w:name="_Toc151190158"/>
      <w:r/>
      <w:bookmarkStart w:id="324" w:name="_Toc164229372"/>
      <w:r/>
      <w:bookmarkStart w:id="325" w:name="_Toc142311033"/>
      <w:r/>
      <w:bookmarkStart w:id="326" w:name="_Toc305158799"/>
      <w:r/>
      <w:bookmarkStart w:id="327" w:name="_Toc151193701"/>
      <w:r/>
      <w:bookmarkStart w:id="328" w:name="_Toc226965804"/>
      <w:r/>
      <w:bookmarkStart w:id="329" w:name="_Toc150480769"/>
      <w:r/>
      <w:bookmarkStart w:id="330" w:name="_Toc195842896"/>
      <w:r/>
      <w:bookmarkStart w:id="331" w:name="_Toc151193845"/>
      <w:r/>
      <w:bookmarkStart w:id="332" w:name="_Toc127151531"/>
      <w:r/>
      <w:bookmarkStart w:id="333" w:name="_Toc150774736"/>
      <w:r/>
      <w:bookmarkStart w:id="334" w:name="_Toc164351625"/>
      <w:r/>
      <w:bookmarkStart w:id="335" w:name="_Ref467306513"/>
      <w:r/>
      <w:bookmarkStart w:id="336" w:name="_Toc151193773"/>
      <w:r>
        <w:rPr>
          <w:rFonts w:hint="eastAsia"/>
          <w:sz w:val="24"/>
          <w:highlight w:val="none"/>
        </w:rPr>
        <w:t xml:space="preserve">12</w:t>
      </w:r>
      <w:r>
        <w:rPr>
          <w:sz w:val="24"/>
          <w:highlight w:val="none"/>
        </w:rPr>
        <w:t xml:space="preserve">投标保证金</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
    </w:p>
    <w:p>
      <w:pPr>
        <w:ind w:firstLine="480"/>
        <w:spacing w:line="360" w:lineRule="auto"/>
        <w:tabs>
          <w:tab w:val="left" w:pos="360" w:leader="none"/>
        </w:tabs>
        <w:rPr>
          <w:sz w:val="24"/>
          <w:highlight w:val="none"/>
        </w:rPr>
        <w:outlineLvl w:val="1"/>
      </w:pPr>
      <w:r>
        <w:rPr>
          <w:rFonts w:hint="eastAsia"/>
          <w:sz w:val="24"/>
          <w:highlight w:val="none"/>
        </w:rPr>
        <w:t xml:space="preserve">根据江苏省和常州市的相关文件规定，免收投标保证金。</w:t>
      </w:r>
      <w:r/>
    </w:p>
    <w:p>
      <w:pPr>
        <w:ind w:left="357" w:hanging="357"/>
        <w:spacing w:line="360" w:lineRule="auto"/>
        <w:tabs>
          <w:tab w:val="left" w:pos="360" w:leader="none"/>
        </w:tabs>
        <w:rPr>
          <w:sz w:val="24"/>
          <w:highlight w:val="none"/>
        </w:rPr>
        <w:outlineLvl w:val="1"/>
      </w:pPr>
      <w:r/>
      <w:bookmarkStart w:id="337" w:name="_Toc164351626"/>
      <w:r/>
      <w:bookmarkStart w:id="338" w:name="_Toc265228370"/>
      <w:r/>
      <w:bookmarkStart w:id="339" w:name="_Toc164608646"/>
      <w:r/>
      <w:bookmarkStart w:id="340" w:name="_Toc150480770"/>
      <w:r/>
      <w:bookmarkStart w:id="341" w:name="_Toc151193630"/>
      <w:r/>
      <w:bookmarkStart w:id="342" w:name="_Toc164229227"/>
      <w:r/>
      <w:bookmarkStart w:id="343" w:name="_Toc150509283"/>
      <w:r/>
      <w:bookmarkStart w:id="344" w:name="_Toc151193702"/>
      <w:r/>
      <w:bookmarkStart w:id="345" w:name="_Toc520356157"/>
      <w:r/>
      <w:bookmarkStart w:id="346" w:name="_Toc264969222"/>
      <w:r/>
      <w:bookmarkStart w:id="347" w:name="_Toc226965805"/>
      <w:r/>
      <w:bookmarkStart w:id="348" w:name="_Toc149720825"/>
      <w:r/>
      <w:bookmarkStart w:id="349" w:name="_Toc151190159"/>
      <w:r/>
      <w:bookmarkStart w:id="350" w:name="_Toc195842897"/>
      <w:r/>
      <w:bookmarkStart w:id="351" w:name="_Toc127151733"/>
      <w:r/>
      <w:bookmarkStart w:id="352" w:name="_Toc164608801"/>
      <w:r/>
      <w:bookmarkStart w:id="353" w:name="_Toc226965722"/>
      <w:r/>
      <w:bookmarkStart w:id="354" w:name="_Toc142311034"/>
      <w:r/>
      <w:bookmarkStart w:id="355" w:name="_Toc305158800"/>
      <w:r/>
      <w:bookmarkStart w:id="356" w:name="_Toc164229373"/>
      <w:r/>
      <w:bookmarkStart w:id="357" w:name="_Toc151193920"/>
      <w:r/>
      <w:bookmarkStart w:id="358" w:name="_Toc151193774"/>
      <w:r/>
      <w:bookmarkStart w:id="359" w:name="_Toc150774737"/>
      <w:r/>
      <w:bookmarkStart w:id="360" w:name="_Toc150774632"/>
      <w:r/>
      <w:bookmarkStart w:id="361" w:name="_Toc226309776"/>
      <w:r/>
      <w:bookmarkStart w:id="362" w:name="_Toc127151532"/>
      <w:r/>
      <w:bookmarkStart w:id="363" w:name="_Toc151193846"/>
      <w:r/>
      <w:bookmarkStart w:id="364" w:name="_Toc226337228"/>
      <w:r/>
      <w:bookmarkStart w:id="365" w:name="_Toc305158874"/>
      <w:r/>
      <w:bookmarkStart w:id="366" w:name="_Toc127161446"/>
      <w:r>
        <w:rPr>
          <w:rFonts w:hint="eastAsia"/>
          <w:sz w:val="24"/>
          <w:highlight w:val="none"/>
        </w:rPr>
        <w:t xml:space="preserve">13</w:t>
      </w:r>
      <w:r>
        <w:rPr>
          <w:sz w:val="24"/>
          <w:highlight w:val="none"/>
        </w:rPr>
        <w:t xml:space="preserve">投标有效期</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
    </w:p>
    <w:p>
      <w:pPr>
        <w:numPr>
          <w:ilvl w:val="1"/>
          <w:numId w:val="0"/>
        </w:numPr>
        <w:ind w:firstLine="480"/>
        <w:spacing w:line="360" w:lineRule="auto"/>
        <w:tabs>
          <w:tab w:val="left" w:pos="1080" w:leader="none"/>
          <w:tab w:val="left" w:pos="2014" w:leader="none"/>
        </w:tabs>
        <w:rPr>
          <w:sz w:val="24"/>
          <w:highlight w:val="none"/>
        </w:rPr>
      </w:pPr>
      <w:r>
        <w:rPr>
          <w:sz w:val="24"/>
          <w:highlight w:val="none"/>
        </w:rPr>
        <w:t xml:space="preserve">13.1投标</w:t>
      </w:r>
      <w:r>
        <w:rPr>
          <w:rFonts w:hint="eastAsia"/>
          <w:sz w:val="24"/>
          <w:highlight w:val="none"/>
        </w:rPr>
        <w:t xml:space="preserve">文件</w:t>
      </w:r>
      <w:r>
        <w:rPr>
          <w:sz w:val="24"/>
          <w:highlight w:val="none"/>
        </w:rPr>
        <w:t xml:space="preserve">应在本</w:t>
      </w:r>
      <w:r>
        <w:rPr>
          <w:rFonts w:hint="eastAsia"/>
          <w:sz w:val="24"/>
          <w:highlight w:val="none"/>
          <w:lang w:val="en-US" w:eastAsia="zh-CN"/>
        </w:rPr>
        <w:t xml:space="preserve">招标</w:t>
      </w:r>
      <w:r>
        <w:rPr>
          <w:rFonts w:hint="eastAsia"/>
          <w:sz w:val="24"/>
          <w:highlight w:val="none"/>
        </w:rPr>
        <w:t xml:space="preserve">文件</w:t>
      </w:r>
      <w:r>
        <w:rPr>
          <w:sz w:val="24"/>
          <w:highlight w:val="none"/>
        </w:rPr>
        <w:t xml:space="preserve">《</w:t>
      </w: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须知资料表》中规定的投标有效期内保持有效，投标有效期少于</w:t>
      </w:r>
      <w:r>
        <w:rPr>
          <w:rFonts w:hint="eastAsia"/>
          <w:sz w:val="24"/>
          <w:highlight w:val="none"/>
          <w:lang w:val="en-US" w:eastAsia="zh-CN"/>
        </w:rPr>
        <w:t xml:space="preserve">招标</w:t>
      </w:r>
      <w:r>
        <w:rPr>
          <w:rFonts w:hint="eastAsia"/>
          <w:sz w:val="24"/>
          <w:highlight w:val="none"/>
        </w:rPr>
        <w:t xml:space="preserve">文件</w:t>
      </w:r>
      <w:r>
        <w:rPr>
          <w:sz w:val="24"/>
          <w:highlight w:val="none"/>
        </w:rPr>
        <w:t xml:space="preserve">规定期限的，其</w:t>
      </w:r>
      <w:r>
        <w:rPr>
          <w:b/>
          <w:sz w:val="24"/>
          <w:highlight w:val="none"/>
        </w:rPr>
        <w:t xml:space="preserve">投标无效</w:t>
      </w:r>
      <w:r>
        <w:rPr>
          <w:sz w:val="24"/>
          <w:highlight w:val="none"/>
        </w:rPr>
        <w:t xml:space="preserve">。</w:t>
      </w:r>
      <w:r/>
    </w:p>
    <w:p>
      <w:pPr>
        <w:ind w:left="357" w:hanging="357"/>
        <w:spacing w:line="360" w:lineRule="auto"/>
        <w:tabs>
          <w:tab w:val="left" w:pos="360" w:leader="none"/>
        </w:tabs>
        <w:rPr>
          <w:sz w:val="24"/>
          <w:highlight w:val="none"/>
        </w:rPr>
        <w:outlineLvl w:val="1"/>
      </w:pPr>
      <w:r/>
      <w:bookmarkStart w:id="367" w:name="_Toc226965723"/>
      <w:r/>
      <w:bookmarkStart w:id="368" w:name="_Toc226309777"/>
      <w:r/>
      <w:bookmarkStart w:id="369" w:name="_Toc127161447"/>
      <w:r/>
      <w:bookmarkStart w:id="370" w:name="_Toc226965806"/>
      <w:r/>
      <w:bookmarkStart w:id="371" w:name="_Toc127151533"/>
      <w:r/>
      <w:bookmarkStart w:id="372" w:name="_Toc520356158"/>
      <w:r/>
      <w:bookmarkStart w:id="373" w:name="_Toc264969223"/>
      <w:r/>
      <w:bookmarkStart w:id="374" w:name="_Toc305158801"/>
      <w:r/>
      <w:bookmarkStart w:id="375" w:name="_Toc164608802"/>
      <w:r/>
      <w:bookmarkStart w:id="376" w:name="_Toc151193631"/>
      <w:r/>
      <w:bookmarkStart w:id="377" w:name="_Toc127151734"/>
      <w:r/>
      <w:bookmarkStart w:id="378" w:name="_Toc164351627"/>
      <w:r/>
      <w:bookmarkStart w:id="379" w:name="_Toc150774633"/>
      <w:r/>
      <w:bookmarkStart w:id="380" w:name="_Toc142311035"/>
      <w:r/>
      <w:bookmarkStart w:id="381" w:name="_Toc151193775"/>
      <w:r/>
      <w:bookmarkStart w:id="382" w:name="_Toc150509284"/>
      <w:r/>
      <w:bookmarkStart w:id="383" w:name="_Toc150480771"/>
      <w:r/>
      <w:bookmarkStart w:id="384" w:name="_Toc195842898"/>
      <w:r/>
      <w:bookmarkStart w:id="385" w:name="_Toc151193703"/>
      <w:r/>
      <w:bookmarkStart w:id="386" w:name="_Toc226337229"/>
      <w:r/>
      <w:bookmarkStart w:id="387" w:name="_Toc164229374"/>
      <w:r/>
      <w:bookmarkStart w:id="388" w:name="_Toc265228371"/>
      <w:r/>
      <w:bookmarkStart w:id="389" w:name="_Toc164229228"/>
      <w:r/>
      <w:bookmarkStart w:id="390" w:name="_Toc164608647"/>
      <w:r/>
      <w:bookmarkStart w:id="391" w:name="_Toc151193921"/>
      <w:r/>
      <w:bookmarkStart w:id="392" w:name="_Toc305158875"/>
      <w:r/>
      <w:bookmarkStart w:id="393" w:name="_Toc149720826"/>
      <w:r/>
      <w:bookmarkStart w:id="394" w:name="_Toc150774738"/>
      <w:r/>
      <w:bookmarkStart w:id="395" w:name="_Toc151193847"/>
      <w:r/>
      <w:bookmarkStart w:id="396" w:name="_Toc151190160"/>
      <w:r>
        <w:rPr>
          <w:rFonts w:hint="eastAsia"/>
          <w:sz w:val="24"/>
          <w:highlight w:val="none"/>
        </w:rPr>
        <w:t xml:space="preserve">14</w:t>
      </w:r>
      <w:r>
        <w:rPr>
          <w:sz w:val="24"/>
          <w:highlight w:val="none"/>
        </w:rPr>
        <w:t xml:space="preserve">投标文件的签署</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Pr>
          <w:sz w:val="24"/>
          <w:highlight w:val="none"/>
        </w:rPr>
        <w:t xml:space="preserve">、加盖公章</w:t>
      </w:r>
      <w:r/>
    </w:p>
    <w:p>
      <w:pPr>
        <w:numPr>
          <w:ilvl w:val="1"/>
          <w:numId w:val="0"/>
        </w:numPr>
        <w:ind w:firstLine="480"/>
        <w:spacing w:line="360" w:lineRule="auto"/>
        <w:tabs>
          <w:tab w:val="left" w:pos="1080" w:leader="none"/>
          <w:tab w:val="left" w:pos="2014" w:leader="none"/>
        </w:tabs>
        <w:rPr>
          <w:rFonts w:hint="eastAsia"/>
          <w:sz w:val="24"/>
          <w:highlight w:val="none"/>
        </w:rPr>
      </w:pPr>
      <w:r/>
      <w:bookmarkStart w:id="397" w:name="_Toc226337230"/>
      <w:r/>
      <w:bookmarkStart w:id="398" w:name="_Toc226309778"/>
      <w:r/>
      <w:bookmarkStart w:id="399" w:name="_Toc151193848"/>
      <w:r/>
      <w:bookmarkStart w:id="400" w:name="_Toc226965724"/>
      <w:r/>
      <w:bookmarkStart w:id="401" w:name="_Toc305158876"/>
      <w:r/>
      <w:bookmarkStart w:id="402" w:name="_Toc150509285"/>
      <w:r/>
      <w:bookmarkStart w:id="403" w:name="_Toc151193922"/>
      <w:r/>
      <w:bookmarkStart w:id="404" w:name="_Toc265228372"/>
      <w:r/>
      <w:bookmarkStart w:id="405" w:name="_Toc195842899"/>
      <w:r/>
      <w:bookmarkStart w:id="406" w:name="_Toc142311036"/>
      <w:r/>
      <w:bookmarkStart w:id="407" w:name="_Toc151193776"/>
      <w:r/>
      <w:bookmarkStart w:id="408" w:name="_Toc151190161"/>
      <w:r/>
      <w:bookmarkStart w:id="409" w:name="_Toc150480772"/>
      <w:r/>
      <w:bookmarkStart w:id="410" w:name="_Toc520356159"/>
      <w:r/>
      <w:bookmarkStart w:id="411" w:name="_Toc150774739"/>
      <w:r/>
      <w:bookmarkStart w:id="412" w:name="_Toc305158802"/>
      <w:r/>
      <w:bookmarkStart w:id="413" w:name="_Toc151193704"/>
      <w:r/>
      <w:bookmarkStart w:id="414" w:name="_Toc151193632"/>
      <w:r/>
      <w:bookmarkStart w:id="415" w:name="_Toc150774634"/>
      <w:r/>
      <w:bookmarkStart w:id="416" w:name="_Toc127151534"/>
      <w:r/>
      <w:bookmarkStart w:id="417" w:name="_Toc264969224"/>
      <w:r/>
      <w:bookmarkStart w:id="418" w:name="_Toc226965807"/>
      <w:r>
        <w:rPr>
          <w:rFonts w:hint="eastAsia"/>
          <w:sz w:val="24"/>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0"/>
        </w:numPr>
        <w:ind w:firstLine="480"/>
        <w:spacing w:line="360" w:lineRule="auto"/>
        <w:tabs>
          <w:tab w:val="left" w:pos="1080" w:leader="none"/>
          <w:tab w:val="left" w:pos="2014" w:leader="none"/>
        </w:tabs>
        <w:rPr>
          <w:sz w:val="24"/>
          <w:highlight w:val="none"/>
        </w:rPr>
      </w:pPr>
      <w:r>
        <w:rPr>
          <w:rFonts w:hint="eastAsia"/>
          <w:sz w:val="24"/>
          <w:highlight w:val="none"/>
          <w:lang w:val="en-US" w:eastAsia="zh-CN"/>
        </w:rPr>
        <w:t xml:space="preserve">14.2</w:t>
      </w:r>
      <w:r>
        <w:rPr>
          <w:rFonts w:hint="eastAsia"/>
          <w:sz w:val="24"/>
          <w:highlight w:val="none"/>
        </w:rPr>
        <w:t xml:space="preserve">招标文件要求加盖公章的内容，一般通过投标文件编制工具加盖电子签章。</w:t>
      </w:r>
      <w:r/>
    </w:p>
    <w:p>
      <w:pPr>
        <w:ind w:left="357"/>
        <w:spacing w:line="360" w:lineRule="auto"/>
        <w:tabs>
          <w:tab w:val="left" w:pos="900" w:leader="none"/>
          <w:tab w:val="left" w:pos="1080" w:leader="none"/>
        </w:tabs>
        <w:rPr>
          <w:highlight w:val="none"/>
        </w:rPr>
      </w:pPr>
      <w:r>
        <w:rPr>
          <w:highlight w:val="none"/>
        </w:rPr>
      </w:r>
      <w:r/>
    </w:p>
    <w:p>
      <w:pPr>
        <w:pStyle w:val="1027"/>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r/>
    </w:p>
    <w:p>
      <w:pPr>
        <w:ind w:left="357" w:hanging="357"/>
        <w:spacing w:line="360" w:lineRule="auto"/>
        <w:tabs>
          <w:tab w:val="left" w:pos="360" w:leader="none"/>
        </w:tabs>
        <w:rPr>
          <w:sz w:val="24"/>
          <w:highlight w:val="none"/>
        </w:rPr>
        <w:outlineLvl w:val="1"/>
      </w:pPr>
      <w:r/>
      <w:bookmarkStart w:id="419" w:name="_Toc164229376"/>
      <w:r/>
      <w:bookmarkStart w:id="420" w:name="_Toc164351629"/>
      <w:r/>
      <w:bookmarkStart w:id="421" w:name="_Toc226309779"/>
      <w:r/>
      <w:bookmarkStart w:id="422" w:name="_Toc127151736"/>
      <w:r/>
      <w:bookmarkStart w:id="423" w:name="_Toc149720828"/>
      <w:r/>
      <w:bookmarkStart w:id="424" w:name="_Toc195842900"/>
      <w:r/>
      <w:bookmarkStart w:id="425" w:name="_Toc226965808"/>
      <w:r/>
      <w:bookmarkStart w:id="426" w:name="_Toc150774635"/>
      <w:r/>
      <w:bookmarkStart w:id="427" w:name="_Toc151193705"/>
      <w:r/>
      <w:bookmarkStart w:id="428" w:name="_Toc264969225"/>
      <w:r/>
      <w:bookmarkStart w:id="429" w:name="_Toc151193633"/>
      <w:r/>
      <w:bookmarkStart w:id="430" w:name="_Toc164229230"/>
      <w:r/>
      <w:bookmarkStart w:id="431" w:name="_Toc520356160"/>
      <w:r/>
      <w:bookmarkStart w:id="432" w:name="_Toc150480773"/>
      <w:r/>
      <w:bookmarkStart w:id="433" w:name="_Toc265228373"/>
      <w:r/>
      <w:bookmarkStart w:id="434" w:name="_Toc226337231"/>
      <w:r/>
      <w:bookmarkStart w:id="435" w:name="_Toc150509286"/>
      <w:r/>
      <w:bookmarkStart w:id="436" w:name="_Toc151193777"/>
      <w:r/>
      <w:bookmarkStart w:id="437" w:name="_Toc164608649"/>
      <w:r/>
      <w:bookmarkStart w:id="438" w:name="_Toc164608804"/>
      <w:r/>
      <w:bookmarkStart w:id="439" w:name="_Toc226965725"/>
      <w:r/>
      <w:bookmarkStart w:id="440" w:name="_Toc151193923"/>
      <w:r/>
      <w:bookmarkStart w:id="441" w:name="_Toc150774740"/>
      <w:r/>
      <w:bookmarkStart w:id="442" w:name="_Toc305158877"/>
      <w:r/>
      <w:bookmarkStart w:id="443" w:name="_Toc142311037"/>
      <w:r/>
      <w:bookmarkStart w:id="444" w:name="_Toc127151535"/>
      <w:r/>
      <w:bookmarkStart w:id="445" w:name="_Toc127161449"/>
      <w:r/>
      <w:bookmarkStart w:id="446" w:name="_Toc151193849"/>
      <w:r/>
      <w:bookmarkStart w:id="447" w:name="_Toc305158803"/>
      <w:r/>
      <w:bookmarkStart w:id="448" w:name="_Toc151190162"/>
      <w:r>
        <w:rPr>
          <w:rFonts w:hint="eastAsia"/>
          <w:sz w:val="24"/>
          <w:highlight w:val="none"/>
        </w:rPr>
        <w:t xml:space="preserve">15</w:t>
      </w:r>
      <w:r>
        <w:rPr>
          <w:sz w:val="24"/>
          <w:highlight w:val="none"/>
        </w:rPr>
        <w:t xml:space="preserve">投标文件的</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Pr>
          <w:sz w:val="24"/>
          <w:highlight w:val="none"/>
        </w:rPr>
        <w:t xml:space="preserve">提交</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15.1本项目使用“苏采云”政府采购一体化平台。投标人根据招标文件及“苏采云”政府采购一体化平台供应商操作手册要求编制、生成并提交电子投标文件。</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15.2采购人及采购代理机构拒绝接受通过“苏采云”政府采购一体化平台以外任何形式提交的投标文件。</w:t>
      </w:r>
      <w:r/>
    </w:p>
    <w:p>
      <w:pPr>
        <w:numPr>
          <w:ilvl w:val="1"/>
          <w:numId w:val="0"/>
        </w:numPr>
        <w:spacing w:line="360" w:lineRule="auto"/>
        <w:tabs>
          <w:tab w:val="left" w:pos="1080" w:leader="none"/>
          <w:tab w:val="left" w:pos="2014" w:leader="none"/>
        </w:tabs>
        <w:rPr>
          <w:rFonts w:hint="eastAsia"/>
          <w:sz w:val="24"/>
          <w:highlight w:val="none"/>
        </w:rPr>
      </w:pPr>
      <w:r>
        <w:rPr>
          <w:rFonts w:hint="eastAsia"/>
          <w:sz w:val="24"/>
          <w:highlight w:val="none"/>
        </w:rPr>
        <w:t xml:space="preserve">16投标截止时间</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16.1投标人应在招标文件要求提交投标文件截止时间前，将电子投标文件提交至“苏采云”政府采购一体化平台。</w:t>
      </w:r>
      <w:r/>
    </w:p>
    <w:p>
      <w:pPr>
        <w:numPr>
          <w:ilvl w:val="1"/>
          <w:numId w:val="0"/>
        </w:numPr>
        <w:spacing w:line="360" w:lineRule="auto"/>
        <w:tabs>
          <w:tab w:val="left" w:pos="1080" w:leader="none"/>
          <w:tab w:val="left" w:pos="2014" w:leader="none"/>
        </w:tabs>
        <w:rPr>
          <w:rFonts w:hint="eastAsia"/>
          <w:sz w:val="24"/>
          <w:highlight w:val="none"/>
        </w:rPr>
      </w:pPr>
      <w:r>
        <w:rPr>
          <w:rFonts w:hint="eastAsia"/>
          <w:sz w:val="24"/>
          <w:highlight w:val="none"/>
        </w:rPr>
        <w:t xml:space="preserve">17投标文件的修改与撤回</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17.1投标截止时间前，投标人可以通过“苏采云”政府采购一体化平台对所提交的投标文件进行补充、修改或者撤回。</w:t>
      </w:r>
      <w:r/>
    </w:p>
    <w:p>
      <w:pPr>
        <w:numPr>
          <w:ilvl w:val="1"/>
          <w:numId w:val="0"/>
        </w:numPr>
        <w:ind w:firstLine="480"/>
        <w:spacing w:line="360" w:lineRule="auto"/>
        <w:tabs>
          <w:tab w:val="left" w:pos="1080" w:leader="none"/>
          <w:tab w:val="left" w:pos="2014" w:leader="none"/>
        </w:tabs>
        <w:rPr>
          <w:sz w:val="24"/>
          <w:highlight w:val="none"/>
        </w:rPr>
      </w:pPr>
      <w:r>
        <w:rPr>
          <w:rFonts w:hint="eastAsia"/>
          <w:sz w:val="24"/>
          <w:highlight w:val="none"/>
          <w:lang w:val="en-US" w:eastAsia="zh-CN"/>
        </w:rPr>
        <w:t xml:space="preserve">17.2</w:t>
      </w:r>
      <w:r>
        <w:rPr>
          <w:rFonts w:hint="eastAsia"/>
          <w:sz w:val="24"/>
          <w:highlight w:val="none"/>
        </w:rPr>
        <w:t xml:space="preserve">投标人对投标文件的补充、修改的内容应当按照招标文件要求签署、加盖公章，作为投标文件的组成部分。</w:t>
      </w:r>
      <w:r/>
    </w:p>
    <w:p>
      <w:pPr>
        <w:spacing w:line="360" w:lineRule="auto"/>
        <w:rPr>
          <w:sz w:val="24"/>
          <w:highlight w:val="none"/>
        </w:rPr>
      </w:pPr>
      <w:r>
        <w:rPr>
          <w:sz w:val="24"/>
          <w:highlight w:val="none"/>
        </w:rPr>
      </w:r>
      <w:r/>
    </w:p>
    <w:p>
      <w:pPr>
        <w:pStyle w:val="1027"/>
        <w:spacing w:before="0" w:line="360" w:lineRule="auto"/>
        <w:rPr>
          <w:rFonts w:ascii="Times New Roman" w:hAnsi="Times New Roman" w:eastAsia="宋体"/>
          <w:sz w:val="28"/>
          <w:highlight w:val="none"/>
        </w:rPr>
      </w:pPr>
      <w:r/>
      <w:bookmarkStart w:id="449" w:name="_Toc151190165"/>
      <w:r/>
      <w:bookmarkStart w:id="450" w:name="_Toc127151538"/>
      <w:r/>
      <w:bookmarkStart w:id="451" w:name="_Toc151193926"/>
      <w:r/>
      <w:bookmarkStart w:id="452" w:name="_Toc226965728"/>
      <w:r/>
      <w:bookmarkStart w:id="453" w:name="_Toc195842903"/>
      <w:r/>
      <w:bookmarkStart w:id="454" w:name="_Toc151193852"/>
      <w:r/>
      <w:bookmarkStart w:id="455" w:name="_Toc305158806"/>
      <w:r/>
      <w:bookmarkStart w:id="456" w:name="_Toc151193636"/>
      <w:r/>
      <w:bookmarkStart w:id="457" w:name="_Toc264969228"/>
      <w:r/>
      <w:bookmarkStart w:id="458" w:name="_Toc226965811"/>
      <w:r/>
      <w:bookmarkStart w:id="459" w:name="_Toc150774743"/>
      <w:r/>
      <w:bookmarkStart w:id="460" w:name="_Toc151193708"/>
      <w:r/>
      <w:bookmarkStart w:id="461" w:name="_Toc150774638"/>
      <w:r/>
      <w:bookmarkStart w:id="462" w:name="_Toc520356163"/>
      <w:r/>
      <w:bookmarkStart w:id="463" w:name="_Toc305158880"/>
      <w:r/>
      <w:bookmarkStart w:id="464" w:name="_Toc150509289"/>
      <w:r/>
      <w:bookmarkStart w:id="465" w:name="_Toc150480776"/>
      <w:r/>
      <w:bookmarkStart w:id="466" w:name="_Toc265228376"/>
      <w:r/>
      <w:bookmarkStart w:id="467" w:name="_Toc151193780"/>
      <w:r/>
      <w:bookmarkStart w:id="468" w:name="_Toc226337234"/>
      <w:r/>
      <w:bookmarkStart w:id="469" w:name="_Toc142311040"/>
      <w:r/>
      <w:bookmarkStart w:id="470" w:name="_Toc226309782"/>
      <w:r>
        <w:rPr>
          <w:rFonts w:ascii="Times New Roman" w:hAnsi="Times New Roman" w:eastAsia="宋体"/>
          <w:sz w:val="28"/>
          <w:highlight w:val="none"/>
        </w:rPr>
        <w:t xml:space="preserve">五   开标、资格审查及评标</w:t>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
    </w:p>
    <w:p>
      <w:pPr>
        <w:ind w:left="357" w:hanging="357"/>
        <w:spacing w:line="360" w:lineRule="auto"/>
        <w:tabs>
          <w:tab w:val="left" w:pos="360" w:leader="none"/>
        </w:tabs>
        <w:rPr>
          <w:sz w:val="24"/>
          <w:highlight w:val="none"/>
        </w:rPr>
        <w:outlineLvl w:val="1"/>
      </w:pPr>
      <w:r/>
      <w:bookmarkStart w:id="471" w:name="_Toc151193781"/>
      <w:r/>
      <w:bookmarkStart w:id="472" w:name="_Toc164608808"/>
      <w:r/>
      <w:bookmarkStart w:id="473" w:name="_Toc151190166"/>
      <w:r/>
      <w:bookmarkStart w:id="474" w:name="_Toc164608653"/>
      <w:r/>
      <w:bookmarkStart w:id="475" w:name="_Toc226965729"/>
      <w:r/>
      <w:bookmarkStart w:id="476" w:name="_Toc305158881"/>
      <w:r/>
      <w:bookmarkStart w:id="477" w:name="_Toc265228377"/>
      <w:r/>
      <w:bookmarkStart w:id="478" w:name="_Toc164229234"/>
      <w:r/>
      <w:bookmarkStart w:id="479" w:name="_Toc127151539"/>
      <w:r/>
      <w:bookmarkStart w:id="480" w:name="_Toc150509290"/>
      <w:r/>
      <w:bookmarkStart w:id="481" w:name="_Toc305158807"/>
      <w:r/>
      <w:bookmarkStart w:id="482" w:name="_Toc127161453"/>
      <w:r/>
      <w:bookmarkStart w:id="483" w:name="_Toc149720832"/>
      <w:r/>
      <w:bookmarkStart w:id="484" w:name="_Toc151193927"/>
      <w:r/>
      <w:bookmarkStart w:id="485" w:name="_Toc226309783"/>
      <w:r/>
      <w:bookmarkStart w:id="486" w:name="_Toc151193709"/>
      <w:r/>
      <w:bookmarkStart w:id="487" w:name="_Toc264969229"/>
      <w:r/>
      <w:bookmarkStart w:id="488" w:name="_Toc164351633"/>
      <w:r/>
      <w:bookmarkStart w:id="489" w:name="_Toc142311041"/>
      <w:r/>
      <w:bookmarkStart w:id="490" w:name="_Toc164229380"/>
      <w:r/>
      <w:bookmarkStart w:id="491" w:name="_Toc195842904"/>
      <w:r/>
      <w:bookmarkStart w:id="492" w:name="_Toc151193637"/>
      <w:r/>
      <w:bookmarkStart w:id="493" w:name="_Toc226965812"/>
      <w:r/>
      <w:bookmarkStart w:id="494" w:name="_Toc520356164"/>
      <w:r/>
      <w:bookmarkStart w:id="495" w:name="_Toc150774744"/>
      <w:r/>
      <w:bookmarkStart w:id="496" w:name="_Toc150774639"/>
      <w:r/>
      <w:bookmarkStart w:id="497" w:name="_Toc226337235"/>
      <w:r/>
      <w:bookmarkStart w:id="498" w:name="_Toc150480777"/>
      <w:r/>
      <w:bookmarkStart w:id="499" w:name="_Toc151193853"/>
      <w:r/>
      <w:bookmarkStart w:id="500" w:name="_Toc127151740"/>
      <w:r>
        <w:rPr>
          <w:rFonts w:hint="eastAsia"/>
          <w:sz w:val="24"/>
          <w:highlight w:val="none"/>
        </w:rPr>
        <w:t xml:space="preserve">18</w:t>
      </w:r>
      <w:r>
        <w:rPr>
          <w:sz w:val="24"/>
          <w:highlight w:val="none"/>
        </w:rPr>
        <w:t xml:space="preserve">开标</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
    </w:p>
    <w:p>
      <w:pPr>
        <w:ind w:firstLine="480"/>
        <w:spacing w:line="360" w:lineRule="auto"/>
        <w:tabs>
          <w:tab w:val="left" w:pos="1080" w:leader="none"/>
          <w:tab w:val="left" w:pos="1589" w:leader="none"/>
          <w:tab w:val="left" w:pos="2014" w:leader="none"/>
        </w:tabs>
        <w:rPr>
          <w:rFonts w:hint="eastAsia"/>
          <w:sz w:val="24"/>
          <w:highlight w:val="none"/>
        </w:rPr>
      </w:pPr>
      <w:r/>
      <w:bookmarkStart w:id="501" w:name="_Toc520356165"/>
      <w:r>
        <w:rPr>
          <w:rFonts w:hint="eastAsia"/>
          <w:sz w:val="24"/>
          <w:highlight w:val="none"/>
        </w:rPr>
        <w:t xml:space="preserve">18.1采购人或采购代理机构将按招标文件的规定，在投标截止时间的同一时间和招标文件预先确定的地点组织开标。</w:t>
      </w:r>
      <w:r/>
    </w:p>
    <w:p>
      <w:pPr>
        <w:ind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18.2本项目开标采用不见面招投标模式，使用“苏采云”政府采购一体化平台在线进行开标。投标人应在规定的时间内对投标文件进行解密，因非系统原因导致的解密失败，视为</w:t>
      </w:r>
      <w:r>
        <w:rPr>
          <w:rFonts w:hint="eastAsia"/>
          <w:b/>
          <w:bCs/>
          <w:sz w:val="24"/>
          <w:highlight w:val="none"/>
        </w:rPr>
        <w:t xml:space="preserve">投标无效</w:t>
      </w:r>
      <w:r>
        <w:rPr>
          <w:rFonts w:hint="eastAsia"/>
          <w:sz w:val="24"/>
          <w:highlight w:val="none"/>
        </w:rPr>
        <w:t xml:space="preserve">。</w:t>
      </w:r>
      <w:r/>
    </w:p>
    <w:p>
      <w:pPr>
        <w:ind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p>
    <w:p>
      <w:pPr>
        <w:ind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ind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18.5投标人不足3家的，不予开标。</w:t>
      </w:r>
      <w:r/>
    </w:p>
    <w:p>
      <w:pPr>
        <w:ind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ind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ind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18.8如果在采购活动过程中出现以下情形，导致““苏采云”政府采购一体化平台”系统无法正常运行，或者无法保证本项目采购活动的公平、公正和安全时，代理机构可以延缓或者暂停采购活动，情况严重的可以终止采购活动：</w:t>
      </w:r>
      <w:r/>
    </w:p>
    <w:p>
      <w:pPr>
        <w:ind w:firstLine="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1)平台系统发生故障而无法登录访问的；</w:t>
      </w:r>
      <w:r/>
    </w:p>
    <w:p>
      <w:pPr>
        <w:ind w:firstLine="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2)平台系统应用或数据库出现错误，不能进行正常操作的；</w:t>
      </w:r>
      <w:r/>
    </w:p>
    <w:p>
      <w:pPr>
        <w:ind w:firstLine="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3)平台系统发现严重安全漏洞，有潜在泄密危险的；</w:t>
      </w:r>
      <w:r/>
    </w:p>
    <w:p>
      <w:pPr>
        <w:ind w:firstLine="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4)病毒发作导致平台系统不能进行正常操作的；</w:t>
      </w:r>
      <w:r/>
    </w:p>
    <w:p>
      <w:pPr>
        <w:ind w:firstLine="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5)其他无法保证本次采购活动的公平、公正和安全的情况。</w:t>
      </w:r>
      <w:r/>
    </w:p>
    <w:p>
      <w:pPr>
        <w:ind w:firstLine="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ind w:left="357" w:hanging="357"/>
        <w:spacing w:line="360" w:lineRule="auto"/>
        <w:tabs>
          <w:tab w:val="left" w:pos="360" w:leader="none"/>
        </w:tabs>
        <w:rPr>
          <w:sz w:val="24"/>
          <w:highlight w:val="none"/>
        </w:rPr>
        <w:outlineLvl w:val="1"/>
      </w:pPr>
      <w:r>
        <w:rPr>
          <w:rFonts w:hint="eastAsia"/>
          <w:sz w:val="24"/>
          <w:highlight w:val="none"/>
        </w:rPr>
        <w:t xml:space="preserve">19</w:t>
      </w:r>
      <w:r>
        <w:rPr>
          <w:sz w:val="24"/>
          <w:highlight w:val="none"/>
        </w:rPr>
        <w:t xml:space="preserve">资格审查</w:t>
      </w:r>
      <w:r/>
    </w:p>
    <w:p>
      <w:pPr>
        <w:numPr>
          <w:ilvl w:val="1"/>
          <w:numId w:val="0"/>
        </w:numPr>
        <w:ind w:firstLine="480"/>
        <w:spacing w:line="360" w:lineRule="auto"/>
        <w:tabs>
          <w:tab w:val="left" w:pos="1080" w:leader="none"/>
          <w:tab w:val="left" w:pos="2014" w:leader="none"/>
        </w:tabs>
        <w:rPr>
          <w:sz w:val="24"/>
          <w:highlight w:val="none"/>
        </w:rPr>
      </w:pPr>
      <w:r>
        <w:rPr>
          <w:sz w:val="24"/>
          <w:highlight w:val="none"/>
        </w:rPr>
        <w:t xml:space="preserve">19.1见第三章《资格审查》。</w:t>
      </w:r>
      <w:bookmarkEnd w:id="501"/>
      <w:r/>
      <w:r/>
    </w:p>
    <w:p>
      <w:pPr>
        <w:ind w:left="357" w:hanging="357"/>
        <w:spacing w:line="360" w:lineRule="auto"/>
        <w:tabs>
          <w:tab w:val="left" w:pos="360" w:leader="none"/>
        </w:tabs>
        <w:rPr>
          <w:sz w:val="24"/>
          <w:highlight w:val="none"/>
        </w:rPr>
        <w:outlineLvl w:val="1"/>
      </w:pPr>
      <w:r/>
      <w:bookmarkStart w:id="502" w:name="_Toc305158808"/>
      <w:r/>
      <w:bookmarkStart w:id="503" w:name="_Toc226965813"/>
      <w:r/>
      <w:bookmarkStart w:id="504" w:name="_Toc151193928"/>
      <w:r/>
      <w:bookmarkStart w:id="505" w:name="_Toc150774745"/>
      <w:r/>
      <w:bookmarkStart w:id="506" w:name="_Toc164229381"/>
      <w:r/>
      <w:bookmarkStart w:id="507" w:name="_Toc151193854"/>
      <w:r/>
      <w:bookmarkStart w:id="508" w:name="_Toc151193638"/>
      <w:r/>
      <w:bookmarkStart w:id="509" w:name="_Toc226965730"/>
      <w:r/>
      <w:bookmarkStart w:id="510" w:name="_Toc127151540"/>
      <w:r/>
      <w:bookmarkStart w:id="511" w:name="_Toc164608809"/>
      <w:r/>
      <w:bookmarkStart w:id="512" w:name="_Toc149720833"/>
      <w:r/>
      <w:bookmarkStart w:id="513" w:name="_Toc164608654"/>
      <w:r/>
      <w:bookmarkStart w:id="514" w:name="_Toc127161454"/>
      <w:r/>
      <w:bookmarkStart w:id="515" w:name="_Toc127151741"/>
      <w:r/>
      <w:bookmarkStart w:id="516" w:name="_Toc195842905"/>
      <w:r/>
      <w:bookmarkStart w:id="517" w:name="_Toc150480778"/>
      <w:r/>
      <w:bookmarkStart w:id="518" w:name="_Toc142311042"/>
      <w:r/>
      <w:bookmarkStart w:id="519" w:name="_Toc150509291"/>
      <w:r/>
      <w:bookmarkStart w:id="520" w:name="_Toc305158882"/>
      <w:r/>
      <w:bookmarkStart w:id="521" w:name="_Toc226309784"/>
      <w:r/>
      <w:bookmarkStart w:id="522" w:name="_Toc226337236"/>
      <w:r/>
      <w:bookmarkStart w:id="523" w:name="_Toc265228378"/>
      <w:r/>
      <w:bookmarkStart w:id="524" w:name="_Toc264969230"/>
      <w:r/>
      <w:bookmarkStart w:id="525" w:name="_Toc150774640"/>
      <w:r/>
      <w:bookmarkStart w:id="526" w:name="_Toc164351634"/>
      <w:r/>
      <w:bookmarkStart w:id="527" w:name="_Toc151193710"/>
      <w:r/>
      <w:bookmarkStart w:id="528" w:name="_Toc151193782"/>
      <w:r/>
      <w:bookmarkStart w:id="529" w:name="_Toc151190167"/>
      <w:r/>
      <w:bookmarkStart w:id="530" w:name="_Toc164229235"/>
      <w:r>
        <w:rPr>
          <w:rFonts w:hint="eastAsia"/>
          <w:sz w:val="24"/>
          <w:highlight w:val="none"/>
        </w:rPr>
        <w:t xml:space="preserve">20</w:t>
      </w:r>
      <w:r>
        <w:rPr>
          <w:sz w:val="24"/>
          <w:highlight w:val="none"/>
        </w:rPr>
        <w:t xml:space="preserve">评标委员会</w:t>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
    </w:p>
    <w:p>
      <w:pPr>
        <w:numPr>
          <w:ilvl w:val="1"/>
          <w:numId w:val="0"/>
        </w:numPr>
        <w:ind w:firstLine="480"/>
        <w:spacing w:line="360" w:lineRule="auto"/>
        <w:tabs>
          <w:tab w:val="left" w:pos="1080" w:leader="none"/>
          <w:tab w:val="left" w:pos="2014" w:leader="none"/>
        </w:tabs>
        <w:rPr>
          <w:sz w:val="24"/>
          <w:highlight w:val="none"/>
        </w:rPr>
      </w:pPr>
      <w:r>
        <w:rPr>
          <w:sz w:val="24"/>
          <w:highlight w:val="none"/>
        </w:rPr>
        <w:t xml:space="preserve">20.1评标委员会根据政府采购有关规定和本次招标采购项目的特点进行组建，并负责具体评标事务，独立履行职责。</w:t>
      </w:r>
      <w:bookmarkStart w:id="531" w:name="_Toc520356166"/>
      <w:r/>
      <w:r/>
    </w:p>
    <w:p>
      <w:pPr>
        <w:numPr>
          <w:ilvl w:val="1"/>
          <w:numId w:val="0"/>
        </w:numPr>
        <w:ind w:firstLine="480"/>
        <w:spacing w:line="360" w:lineRule="auto"/>
        <w:tabs>
          <w:tab w:val="left" w:pos="1080" w:leader="none"/>
          <w:tab w:val="left" w:pos="2014" w:leader="none"/>
        </w:tabs>
        <w:rPr>
          <w:sz w:val="24"/>
          <w:highlight w:val="none"/>
        </w:rPr>
      </w:pPr>
      <w:r>
        <w:rPr>
          <w:sz w:val="24"/>
          <w:highlight w:val="none"/>
        </w:rPr>
        <w:t xml:space="preserve">20.2评审专家须符合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531"/>
      <w:r/>
      <w:bookmarkStart w:id="532" w:name="_Toc520356169"/>
      <w:r/>
      <w:r/>
    </w:p>
    <w:p>
      <w:pPr>
        <w:ind w:left="357" w:hanging="357"/>
        <w:spacing w:line="360" w:lineRule="auto"/>
        <w:tabs>
          <w:tab w:val="left" w:pos="360" w:leader="none"/>
        </w:tabs>
        <w:rPr>
          <w:sz w:val="24"/>
          <w:highlight w:val="none"/>
        </w:rPr>
        <w:outlineLvl w:val="1"/>
      </w:pPr>
      <w:r>
        <w:rPr>
          <w:rFonts w:hint="eastAsia"/>
          <w:sz w:val="24"/>
          <w:highlight w:val="none"/>
        </w:rPr>
        <w:t xml:space="preserve">21</w:t>
      </w:r>
      <w:r>
        <w:rPr>
          <w:sz w:val="24"/>
          <w:highlight w:val="none"/>
        </w:rPr>
        <w:t xml:space="preserve">评标程序、评标方法和评标标准</w:t>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21.1见第四章《评标程序、评标方法和评标标准》。</w:t>
      </w:r>
      <w:r/>
    </w:p>
    <w:p>
      <w:pPr>
        <w:ind w:left="1080"/>
        <w:spacing w:line="360" w:lineRule="auto"/>
        <w:tabs>
          <w:tab w:val="left" w:pos="360" w:leader="none"/>
          <w:tab w:val="left" w:pos="1080" w:leader="none"/>
        </w:tabs>
        <w:rPr>
          <w:sz w:val="24"/>
          <w:highlight w:val="none"/>
        </w:rPr>
      </w:pPr>
      <w:r>
        <w:rPr>
          <w:sz w:val="24"/>
          <w:highlight w:val="none"/>
        </w:rPr>
      </w:r>
      <w:r/>
    </w:p>
    <w:p>
      <w:pPr>
        <w:pStyle w:val="1027"/>
        <w:spacing w:before="0" w:line="360" w:lineRule="auto"/>
        <w:rPr>
          <w:rFonts w:ascii="Times New Roman" w:hAnsi="Times New Roman" w:eastAsia="宋体"/>
          <w:sz w:val="28"/>
          <w:highlight w:val="none"/>
        </w:rPr>
      </w:pPr>
      <w:r/>
      <w:bookmarkStart w:id="533" w:name="_Toc150774750"/>
      <w:r/>
      <w:bookmarkStart w:id="534" w:name="_Toc151193787"/>
      <w:r/>
      <w:bookmarkStart w:id="535" w:name="_Toc150509296"/>
      <w:r/>
      <w:bookmarkStart w:id="536" w:name="_Toc264969235"/>
      <w:r/>
      <w:bookmarkStart w:id="537" w:name="_Toc151193933"/>
      <w:r/>
      <w:bookmarkStart w:id="538" w:name="_Toc150480783"/>
      <w:r/>
      <w:bookmarkStart w:id="539" w:name="_Toc127151545"/>
      <w:r/>
      <w:bookmarkStart w:id="540" w:name="_Toc305158887"/>
      <w:r/>
      <w:bookmarkStart w:id="541" w:name="_Toc151190172"/>
      <w:r/>
      <w:bookmarkStart w:id="542" w:name="_Toc151193715"/>
      <w:r/>
      <w:bookmarkStart w:id="543" w:name="_Toc195842910"/>
      <w:r/>
      <w:bookmarkStart w:id="544" w:name="_Toc151193859"/>
      <w:r/>
      <w:bookmarkStart w:id="545" w:name="_Toc305158813"/>
      <w:r/>
      <w:bookmarkStart w:id="546" w:name="_Toc151193643"/>
      <w:r/>
      <w:bookmarkStart w:id="547" w:name="_Toc142311047"/>
      <w:r/>
      <w:bookmarkStart w:id="548" w:name="_Toc150774645"/>
      <w:r/>
      <w:bookmarkStart w:id="549" w:name="_Toc226965818"/>
      <w:r/>
      <w:bookmarkStart w:id="550" w:name="_Toc226337241"/>
      <w:r/>
      <w:bookmarkStart w:id="551" w:name="_Toc226309789"/>
      <w:r/>
      <w:bookmarkStart w:id="552" w:name="_Toc226965735"/>
      <w:r/>
      <w:bookmarkStart w:id="553" w:name="_Toc265228383"/>
      <w:r>
        <w:rPr>
          <w:rFonts w:ascii="Times New Roman" w:hAnsi="Times New Roman" w:eastAsia="宋体"/>
          <w:sz w:val="28"/>
          <w:highlight w:val="none"/>
        </w:rPr>
        <w:t xml:space="preserve">六   </w:t>
      </w:r>
      <w:bookmarkEnd w:id="532"/>
      <w:r>
        <w:rPr>
          <w:rFonts w:ascii="Times New Roman" w:hAnsi="Times New Roman" w:eastAsia="宋体"/>
          <w:sz w:val="28"/>
          <w:highlight w:val="none"/>
        </w:rPr>
        <w:t xml:space="preserve">确定中标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Start w:id="554" w:name="_Toc150480785"/>
      <w:r/>
      <w:bookmarkStart w:id="555" w:name="_Toc164608661"/>
      <w:r/>
      <w:bookmarkStart w:id="556" w:name="_Toc305158889"/>
      <w:r/>
      <w:bookmarkStart w:id="557" w:name="_Toc151193935"/>
      <w:r/>
      <w:bookmarkStart w:id="558" w:name="_Toc151193645"/>
      <w:r/>
      <w:bookmarkStart w:id="559" w:name="_Toc127151547"/>
      <w:r/>
      <w:bookmarkStart w:id="560" w:name="_Toc151190174"/>
      <w:r/>
      <w:bookmarkStart w:id="561" w:name="_Toc150774647"/>
      <w:r/>
      <w:bookmarkStart w:id="562" w:name="_Toc151193789"/>
      <w:r/>
      <w:bookmarkStart w:id="563" w:name="_Toc226965737"/>
      <w:r/>
      <w:bookmarkStart w:id="564" w:name="_Toc164351641"/>
      <w:r/>
      <w:bookmarkStart w:id="565" w:name="_Toc195842912"/>
      <w:r/>
      <w:bookmarkStart w:id="566" w:name="_Toc127161461"/>
      <w:r/>
      <w:bookmarkStart w:id="567" w:name="_Toc127151748"/>
      <w:r/>
      <w:bookmarkStart w:id="568" w:name="_Toc226309791"/>
      <w:r/>
      <w:bookmarkStart w:id="569" w:name="_Toc264969237"/>
      <w:r/>
      <w:bookmarkStart w:id="570" w:name="_Toc265228385"/>
      <w:r/>
      <w:bookmarkStart w:id="571" w:name="_Toc149720840"/>
      <w:r/>
      <w:bookmarkStart w:id="572" w:name="_Toc226337243"/>
      <w:r/>
      <w:bookmarkStart w:id="573" w:name="_Toc150509298"/>
      <w:r/>
      <w:bookmarkStart w:id="574" w:name="_Toc226965820"/>
      <w:r/>
      <w:bookmarkStart w:id="575" w:name="_Toc164229388"/>
      <w:r/>
      <w:bookmarkStart w:id="576" w:name="_Toc151193717"/>
      <w:r/>
      <w:bookmarkStart w:id="577" w:name="_Toc150774752"/>
      <w:r/>
      <w:bookmarkStart w:id="578" w:name="_Toc142311049"/>
      <w:r/>
      <w:bookmarkStart w:id="579" w:name="_Toc305158815"/>
      <w:r/>
      <w:bookmarkStart w:id="580" w:name="_Toc164229242"/>
      <w:r/>
      <w:bookmarkStart w:id="581" w:name="_Toc164608816"/>
      <w:r/>
      <w:bookmarkStart w:id="582" w:name="_Toc151193861"/>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
    </w:p>
    <w:p>
      <w:pPr>
        <w:numPr>
          <w:ilvl w:val="1"/>
          <w:numId w:val="0"/>
        </w:numPr>
        <w:spacing w:line="360" w:lineRule="auto"/>
        <w:tabs>
          <w:tab w:val="left" w:pos="1080" w:leader="none"/>
          <w:tab w:val="left" w:pos="2014" w:leader="none"/>
        </w:tabs>
        <w:rPr>
          <w:rFonts w:hint="eastAsia"/>
          <w:sz w:val="24"/>
          <w:highlight w:val="none"/>
        </w:rPr>
      </w:pPr>
      <w:r>
        <w:rPr>
          <w:rFonts w:hint="eastAsia"/>
          <w:sz w:val="24"/>
          <w:highlight w:val="none"/>
        </w:rPr>
        <w:t xml:space="preserve">22确定中标人</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22.1采购人将在评标报告确定的中标候选人名单中按顺序确定中标人，中标候选人并列的，由采购人依法确定。</w:t>
      </w:r>
      <w:r/>
    </w:p>
    <w:p>
      <w:pPr>
        <w:numPr>
          <w:ilvl w:val="1"/>
          <w:numId w:val="0"/>
        </w:numPr>
        <w:spacing w:line="360" w:lineRule="auto"/>
        <w:tabs>
          <w:tab w:val="left" w:pos="1080" w:leader="none"/>
          <w:tab w:val="left" w:pos="2014" w:leader="none"/>
        </w:tabs>
        <w:rPr>
          <w:rFonts w:hint="eastAsia"/>
          <w:sz w:val="24"/>
          <w:highlight w:val="none"/>
        </w:rPr>
      </w:pPr>
      <w:r>
        <w:rPr>
          <w:rFonts w:hint="eastAsia"/>
          <w:sz w:val="24"/>
          <w:highlight w:val="none"/>
        </w:rPr>
        <w:t xml:space="preserve">23中标公告与中标通知书</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23.1采购人或采购代理机构自中标人确定之日起2个工作日内，在苏采云公告中标结果，同时向中标人发出中标通知书，中标公告期限为1个工作日。</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23.2中标通知书对采购人和中标供应商均具有法律效力。中标通知书发出后，采购人改变中标结果的，或者中标供应商放弃中标项目的，应当依法承担法律责任。</w:t>
      </w:r>
      <w:r/>
    </w:p>
    <w:p>
      <w:pPr>
        <w:numPr>
          <w:ilvl w:val="1"/>
          <w:numId w:val="0"/>
        </w:numPr>
        <w:spacing w:line="360" w:lineRule="auto"/>
        <w:tabs>
          <w:tab w:val="left" w:pos="1080" w:leader="none"/>
          <w:tab w:val="left" w:pos="2014" w:leader="none"/>
        </w:tabs>
        <w:rPr>
          <w:rFonts w:hint="eastAsia"/>
          <w:sz w:val="24"/>
          <w:highlight w:val="none"/>
        </w:rPr>
      </w:pPr>
      <w:r>
        <w:rPr>
          <w:rFonts w:hint="eastAsia"/>
          <w:sz w:val="24"/>
          <w:highlight w:val="none"/>
        </w:rPr>
        <w:t xml:space="preserve">24废标</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24.1在招标采购中，出现下列情形之一的，应予废标：</w:t>
      </w:r>
      <w:r/>
    </w:p>
    <w:p>
      <w:pPr>
        <w:numPr>
          <w:ilvl w:val="1"/>
          <w:numId w:val="0"/>
        </w:numPr>
        <w:ind w:firstLine="720"/>
        <w:spacing w:line="360" w:lineRule="auto"/>
        <w:tabs>
          <w:tab w:val="left" w:pos="1080" w:leader="none"/>
          <w:tab w:val="left" w:pos="2014" w:leader="none"/>
        </w:tabs>
        <w:rPr>
          <w:rFonts w:hint="eastAsia"/>
          <w:sz w:val="24"/>
          <w:highlight w:val="none"/>
        </w:rPr>
      </w:pPr>
      <w:r>
        <w:rPr>
          <w:rFonts w:hint="eastAsia"/>
          <w:sz w:val="24"/>
          <w:highlight w:val="none"/>
        </w:rPr>
        <w:t xml:space="preserve">24.1.1符合专业条件的供应商或者对招标文件作实质响应的供应商不足三家的；</w:t>
      </w:r>
      <w:r/>
    </w:p>
    <w:p>
      <w:pPr>
        <w:numPr>
          <w:ilvl w:val="1"/>
          <w:numId w:val="0"/>
        </w:numPr>
        <w:ind w:firstLine="720"/>
        <w:spacing w:line="360" w:lineRule="auto"/>
        <w:tabs>
          <w:tab w:val="left" w:pos="1080" w:leader="none"/>
          <w:tab w:val="left" w:pos="2014" w:leader="none"/>
        </w:tabs>
        <w:rPr>
          <w:rFonts w:hint="eastAsia"/>
          <w:sz w:val="24"/>
          <w:highlight w:val="none"/>
        </w:rPr>
      </w:pPr>
      <w:r>
        <w:rPr>
          <w:rFonts w:hint="eastAsia"/>
          <w:sz w:val="24"/>
          <w:highlight w:val="none"/>
        </w:rPr>
        <w:t xml:space="preserve">24.1.2出现影响采购公正的违法、违规行为的；</w:t>
      </w:r>
      <w:r/>
    </w:p>
    <w:p>
      <w:pPr>
        <w:numPr>
          <w:ilvl w:val="1"/>
          <w:numId w:val="0"/>
        </w:numPr>
        <w:ind w:firstLine="720"/>
        <w:spacing w:line="360" w:lineRule="auto"/>
        <w:tabs>
          <w:tab w:val="left" w:pos="1080" w:leader="none"/>
          <w:tab w:val="left" w:pos="2014" w:leader="none"/>
        </w:tabs>
        <w:rPr>
          <w:rFonts w:hint="eastAsia"/>
          <w:sz w:val="24"/>
          <w:highlight w:val="none"/>
        </w:rPr>
      </w:pPr>
      <w:r>
        <w:rPr>
          <w:rFonts w:hint="eastAsia"/>
          <w:sz w:val="24"/>
          <w:highlight w:val="none"/>
        </w:rPr>
        <w:t xml:space="preserve">24.1.3投标人的报价均超过了采购预算，采购人不能支付的；</w:t>
      </w:r>
      <w:r/>
    </w:p>
    <w:p>
      <w:pPr>
        <w:numPr>
          <w:ilvl w:val="1"/>
          <w:numId w:val="0"/>
        </w:numPr>
        <w:ind w:firstLine="720"/>
        <w:spacing w:line="360" w:lineRule="auto"/>
        <w:tabs>
          <w:tab w:val="left" w:pos="1080" w:leader="none"/>
          <w:tab w:val="left" w:pos="2014" w:leader="none"/>
        </w:tabs>
        <w:rPr>
          <w:rFonts w:hint="eastAsia"/>
          <w:sz w:val="24"/>
          <w:highlight w:val="none"/>
        </w:rPr>
      </w:pPr>
      <w:r>
        <w:rPr>
          <w:rFonts w:hint="eastAsia"/>
          <w:sz w:val="24"/>
          <w:highlight w:val="none"/>
        </w:rPr>
        <w:t xml:space="preserve">24.1.4因重大变故，采购任务取消的。</w:t>
      </w:r>
      <w:r/>
    </w:p>
    <w:p>
      <w:pPr>
        <w:numPr>
          <w:ilvl w:val="1"/>
          <w:numId w:val="0"/>
        </w:numPr>
        <w:ind w:firstLine="720"/>
        <w:spacing w:line="360" w:lineRule="auto"/>
        <w:tabs>
          <w:tab w:val="left" w:pos="1080" w:leader="none"/>
          <w:tab w:val="left" w:pos="2014" w:leader="none"/>
        </w:tabs>
        <w:rPr>
          <w:rFonts w:hint="eastAsia"/>
          <w:sz w:val="24"/>
          <w:highlight w:val="none"/>
        </w:rPr>
      </w:pPr>
      <w:r>
        <w:rPr>
          <w:rFonts w:hint="eastAsia"/>
          <w:sz w:val="24"/>
          <w:highlight w:val="none"/>
        </w:rPr>
        <w:t xml:space="preserve">24.1.5平台系统出现序号18.8的所述情形，情况严重且影响采购活动公平、公正性的。</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24.2废标后，采购人将废标理由通知所有投标人。</w:t>
      </w:r>
      <w:r/>
    </w:p>
    <w:p>
      <w:pPr>
        <w:numPr>
          <w:ilvl w:val="1"/>
          <w:numId w:val="0"/>
        </w:numPr>
        <w:spacing w:line="360" w:lineRule="auto"/>
        <w:tabs>
          <w:tab w:val="left" w:pos="1080" w:leader="none"/>
          <w:tab w:val="left" w:pos="2014" w:leader="none"/>
        </w:tabs>
        <w:rPr>
          <w:rFonts w:hint="eastAsia"/>
          <w:sz w:val="24"/>
          <w:highlight w:val="none"/>
        </w:rPr>
      </w:pPr>
      <w:r>
        <w:rPr>
          <w:rFonts w:hint="eastAsia"/>
          <w:sz w:val="24"/>
          <w:highlight w:val="none"/>
        </w:rPr>
        <w:t xml:space="preserve">25签订合同</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25.2中标人拒绝与采购人签订合同的，采购人可以按照评标报告推荐的中标候选人名单排序，确定下一候选人为中标人，也可以重新开展政府采购活动。</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25.3联合体中标的，联合体各方应当共同与采购人签订合同，就中标项目向采购人承担连带责任。</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25.4政府采购合同不能转包。</w:t>
      </w:r>
      <w:r/>
    </w:p>
    <w:p>
      <w:pPr>
        <w:numPr>
          <w:ilvl w:val="1"/>
          <w:numId w:val="0"/>
        </w:numPr>
        <w:ind w:firstLine="480"/>
        <w:spacing w:line="360" w:lineRule="auto"/>
        <w:tabs>
          <w:tab w:val="left" w:pos="1080" w:leader="none"/>
          <w:tab w:val="left" w:pos="2014" w:leader="none"/>
        </w:tabs>
        <w:rPr>
          <w:sz w:val="24"/>
          <w:highlight w:val="none"/>
        </w:rPr>
      </w:pPr>
      <w:r>
        <w:rPr>
          <w:rFonts w:hint="eastAsia"/>
          <w:sz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b/>
          <w:bCs/>
          <w:sz w:val="24"/>
          <w:highlight w:val="none"/>
        </w:rPr>
        <w:t xml:space="preserve">投标无效</w:t>
      </w:r>
      <w:r>
        <w:rPr>
          <w:rFonts w:hint="eastAsia"/>
          <w:sz w:val="24"/>
          <w:highlight w:val="none"/>
        </w:rPr>
        <w:t xml:space="preserve">。中标人就采购项目和分包项目向采购人负责，分包供应商就分包项目承担责任。</w:t>
      </w:r>
      <w:r/>
    </w:p>
    <w:p>
      <w:pPr>
        <w:ind w:left="357" w:hanging="357"/>
        <w:spacing w:line="360" w:lineRule="auto"/>
        <w:tabs>
          <w:tab w:val="left" w:pos="360" w:leader="none"/>
        </w:tabs>
        <w:rPr>
          <w:sz w:val="24"/>
          <w:highlight w:val="none"/>
        </w:rPr>
        <w:outlineLvl w:val="1"/>
      </w:pPr>
      <w:r>
        <w:rPr>
          <w:rFonts w:hint="eastAsia"/>
          <w:sz w:val="24"/>
          <w:highlight w:val="none"/>
        </w:rPr>
        <w:t xml:space="preserve">26</w:t>
      </w:r>
      <w:r>
        <w:rPr>
          <w:sz w:val="24"/>
          <w:highlight w:val="none"/>
        </w:rPr>
        <w:t xml:space="preserve">询问与质疑</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26.1询问</w:t>
      </w:r>
      <w:r/>
    </w:p>
    <w:p>
      <w:pPr>
        <w:numPr>
          <w:ilvl w:val="1"/>
          <w:numId w:val="0"/>
        </w:numPr>
        <w:ind w:firstLine="720"/>
        <w:spacing w:line="360" w:lineRule="auto"/>
        <w:tabs>
          <w:tab w:val="left" w:pos="1080" w:leader="none"/>
          <w:tab w:val="left" w:pos="2014" w:leader="none"/>
        </w:tabs>
        <w:rPr>
          <w:rFonts w:hint="eastAsia"/>
          <w:sz w:val="24"/>
          <w:highlight w:val="none"/>
        </w:rPr>
      </w:pPr>
      <w:r>
        <w:rPr>
          <w:rFonts w:hint="eastAsia"/>
          <w:sz w:val="24"/>
          <w:highlight w:val="none"/>
        </w:rPr>
        <w:t xml:space="preserve">26.1.1投标人对政府采购活动事项有疑问的，可依法提出询问，并按《投标人须知资料表》载明的形式送达采购人或采购代理机构。</w:t>
      </w:r>
      <w:r/>
    </w:p>
    <w:p>
      <w:pPr>
        <w:numPr>
          <w:ilvl w:val="1"/>
          <w:numId w:val="0"/>
        </w:numPr>
        <w:ind w:firstLine="720"/>
        <w:spacing w:line="360" w:lineRule="auto"/>
        <w:tabs>
          <w:tab w:val="left" w:pos="1080" w:leader="none"/>
          <w:tab w:val="left" w:pos="2014" w:leader="none"/>
        </w:tabs>
        <w:rPr>
          <w:rFonts w:hint="eastAsia"/>
          <w:sz w:val="24"/>
          <w:highlight w:val="none"/>
        </w:rPr>
      </w:pPr>
      <w:r>
        <w:rPr>
          <w:rFonts w:hint="eastAsia"/>
          <w:sz w:val="24"/>
          <w:highlight w:val="none"/>
        </w:rPr>
        <w:t xml:space="preserve">26.1.2采购人或采购代理机构对供应商依法提出的询问，在3个工作日内作出答复，但答复的内容不得涉及商业秘密。</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26.2质疑</w:t>
      </w:r>
      <w:r/>
    </w:p>
    <w:p>
      <w:pPr>
        <w:numPr>
          <w:ilvl w:val="1"/>
          <w:numId w:val="0"/>
        </w:numPr>
        <w:ind w:firstLine="720"/>
        <w:spacing w:line="360" w:lineRule="auto"/>
        <w:tabs>
          <w:tab w:val="left" w:pos="1080" w:leader="none"/>
          <w:tab w:val="left" w:pos="2014" w:leader="none"/>
        </w:tabs>
        <w:rPr>
          <w:rFonts w:hint="eastAsia"/>
          <w:sz w:val="24"/>
          <w:highlight w:val="none"/>
        </w:rPr>
      </w:pPr>
      <w:r>
        <w:rPr>
          <w:rFonts w:hint="eastAsia"/>
          <w:sz w:val="24"/>
          <w:highlight w:val="none"/>
        </w:rPr>
        <w:t xml:space="preserve">26.2.1投标人认为</w:t>
      </w:r>
      <w:r>
        <w:rPr>
          <w:rFonts w:hint="eastAsia"/>
          <w:sz w:val="24"/>
          <w:highlight w:val="none"/>
          <w:lang w:val="en-US" w:eastAsia="zh-CN"/>
        </w:rPr>
        <w:t xml:space="preserve">招标</w:t>
      </w:r>
      <w:r>
        <w:rPr>
          <w:rFonts w:hint="eastAsia"/>
          <w:sz w:val="24"/>
          <w:highlight w:val="none"/>
        </w:rPr>
        <w:t xml:space="preserve">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1"/>
          <w:numId w:val="0"/>
        </w:numPr>
        <w:ind w:firstLine="720"/>
        <w:spacing w:line="360" w:lineRule="auto"/>
        <w:tabs>
          <w:tab w:val="left" w:pos="1080" w:leader="none"/>
          <w:tab w:val="left" w:pos="2014" w:leader="none"/>
        </w:tabs>
        <w:rPr>
          <w:rFonts w:hint="eastAsia"/>
          <w:sz w:val="24"/>
          <w:highlight w:val="none"/>
        </w:rPr>
      </w:pPr>
      <w:r>
        <w:rPr>
          <w:rFonts w:hint="eastAsia"/>
          <w:sz w:val="24"/>
          <w:highlight w:val="none"/>
        </w:rPr>
        <w:t xml:space="preserve">26.2.2招标文件中采购需求以及相关部分（第四章、第五章以及投标人资格要求）由采购人负责制定和管理，对该部分内容有询问或者质疑的，投标人应当向采购人书面提出，由采购人负责接收和回复。</w:t>
      </w:r>
      <w:r/>
    </w:p>
    <w:p>
      <w:pPr>
        <w:numPr>
          <w:ilvl w:val="1"/>
          <w:numId w:val="0"/>
        </w:numPr>
        <w:ind w:firstLine="720"/>
        <w:spacing w:line="360" w:lineRule="auto"/>
        <w:tabs>
          <w:tab w:val="left" w:pos="1080" w:leader="none"/>
          <w:tab w:val="left" w:pos="2014" w:leader="none"/>
        </w:tabs>
        <w:rPr>
          <w:rFonts w:hint="eastAsia"/>
          <w:sz w:val="24"/>
          <w:highlight w:val="none"/>
        </w:rPr>
      </w:pPr>
      <w:r>
        <w:rPr>
          <w:rFonts w:hint="eastAsia"/>
          <w:sz w:val="24"/>
          <w:highlight w:val="none"/>
        </w:rPr>
        <w:t xml:space="preserve">26.2.3质疑函须使用财政部制定的范本文件。（下载网址：http://gks.mof.gov.cn/ztztz/zhengfucaigouguanli/201802/t20180201_2804589.htm）</w:t>
      </w:r>
      <w:r/>
    </w:p>
    <w:p>
      <w:pPr>
        <w:numPr>
          <w:ilvl w:val="1"/>
          <w:numId w:val="0"/>
        </w:numPr>
        <w:ind w:firstLine="720"/>
        <w:spacing w:line="360" w:lineRule="auto"/>
        <w:tabs>
          <w:tab w:val="left" w:pos="1080" w:leader="none"/>
          <w:tab w:val="left" w:pos="2014" w:leader="none"/>
        </w:tabs>
        <w:rPr>
          <w:rFonts w:hint="eastAsia"/>
          <w:sz w:val="24"/>
          <w:highlight w:val="none"/>
        </w:rPr>
      </w:pPr>
      <w:r>
        <w:rPr>
          <w:rFonts w:hint="eastAsia"/>
          <w:sz w:val="24"/>
          <w:highlight w:val="none"/>
        </w:rPr>
        <w:t xml:space="preserve">26.2.4投标人为自然人的，应当由本人签字；投标人为法人或者其他组织的，应当由法定代表人、主要负责人，或者其授权代表签字或者加盖公章，并加盖公章。</w:t>
      </w:r>
      <w:r/>
    </w:p>
    <w:p>
      <w:pPr>
        <w:numPr>
          <w:ilvl w:val="1"/>
          <w:numId w:val="0"/>
        </w:numPr>
        <w:ind w:firstLine="720"/>
        <w:spacing w:line="360" w:lineRule="auto"/>
        <w:tabs>
          <w:tab w:val="left" w:pos="1080" w:leader="none"/>
          <w:tab w:val="left" w:pos="2014" w:leader="none"/>
        </w:tabs>
        <w:rPr>
          <w:rFonts w:hint="eastAsia"/>
          <w:sz w:val="24"/>
          <w:highlight w:val="none"/>
        </w:rPr>
      </w:pPr>
      <w:r>
        <w:rPr>
          <w:rFonts w:hint="eastAsia"/>
          <w:sz w:val="24"/>
          <w:highlight w:val="none"/>
        </w:rPr>
        <w:t xml:space="preserve">26.2.5投标人应在法定质疑期内一次性提出针对同一采购程序环节的质疑，法定质疑期内针对同一采购程序环节再次提出的质疑，采购人、采购代理机构有权不予答复。</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26.3接收询问和质疑的联系部门、联系电话和通讯地址见《投标人须知资料表》。</w:t>
      </w:r>
      <w:r/>
    </w:p>
    <w:p>
      <w:pPr>
        <w:numPr>
          <w:ilvl w:val="1"/>
          <w:numId w:val="0"/>
        </w:numPr>
        <w:spacing w:line="360" w:lineRule="auto"/>
        <w:tabs>
          <w:tab w:val="left" w:pos="1080" w:leader="none"/>
          <w:tab w:val="left" w:pos="2014" w:leader="none"/>
        </w:tabs>
        <w:rPr>
          <w:rFonts w:hint="eastAsia"/>
          <w:sz w:val="24"/>
          <w:highlight w:val="none"/>
        </w:rPr>
      </w:pPr>
      <w:r>
        <w:rPr>
          <w:rFonts w:hint="eastAsia"/>
          <w:sz w:val="24"/>
          <w:highlight w:val="none"/>
        </w:rPr>
        <w:t xml:space="preserve">27代理费</w:t>
      </w:r>
      <w:r/>
    </w:p>
    <w:p>
      <w:pPr>
        <w:numPr>
          <w:ilvl w:val="1"/>
          <w:numId w:val="0"/>
        </w:numPr>
        <w:ind w:firstLine="480"/>
        <w:spacing w:line="360" w:lineRule="auto"/>
        <w:tabs>
          <w:tab w:val="left" w:pos="1080" w:leader="none"/>
          <w:tab w:val="left" w:pos="2014" w:leader="none"/>
        </w:tabs>
        <w:rPr>
          <w:rFonts w:hint="eastAsia"/>
          <w:sz w:val="24"/>
          <w:highlight w:val="none"/>
        </w:rPr>
      </w:pPr>
      <w:r>
        <w:rPr>
          <w:rFonts w:hint="eastAsia"/>
          <w:sz w:val="24"/>
          <w:highlight w:val="none"/>
        </w:rPr>
        <w:t xml:space="preserve">27.1收费对象、收费标准及缴纳时间见《投标人须知资料表》。由中标人支付的，中标人须一次性向采购代理机构缴纳代理费，投标报价应包含代理费用。</w:t>
      </w:r>
      <w:r/>
    </w:p>
    <w:p>
      <w:pPr>
        <w:ind w:left="360"/>
        <w:spacing w:line="360" w:lineRule="auto"/>
        <w:tabs>
          <w:tab w:val="left" w:pos="360" w:leader="none"/>
          <w:tab w:val="left" w:pos="1080" w:leader="none"/>
        </w:tabs>
        <w:rPr>
          <w:sz w:val="24"/>
          <w:highlight w:val="none"/>
        </w:rPr>
      </w:pPr>
      <w:r>
        <w:rPr>
          <w:sz w:val="24"/>
          <w:highlight w:val="none"/>
        </w:rPr>
      </w:r>
      <w:r/>
    </w:p>
    <w:p>
      <w:pPr>
        <w:jc w:val="center"/>
        <w:spacing w:line="360" w:lineRule="auto"/>
        <w:rPr>
          <w:b/>
          <w:sz w:val="36"/>
          <w:szCs w:val="36"/>
          <w:highlight w:val="none"/>
        </w:rPr>
        <w:outlineLvl w:val="0"/>
      </w:pPr>
      <w:r/>
      <w:bookmarkStart w:id="583" w:name="_Toc226965827"/>
      <w:r/>
      <w:bookmarkStart w:id="584" w:name="_Toc150774759"/>
      <w:r/>
      <w:bookmarkStart w:id="585" w:name="_Toc142311056"/>
      <w:r/>
      <w:bookmarkStart w:id="586" w:name="_Toc127151554"/>
      <w:r/>
      <w:bookmarkStart w:id="587" w:name="_Toc305158896"/>
      <w:r/>
      <w:bookmarkStart w:id="588" w:name="_Toc305158822"/>
      <w:r/>
      <w:bookmarkStart w:id="589" w:name="_Toc264969244"/>
      <w:r/>
      <w:bookmarkStart w:id="590" w:name="_Toc150480792"/>
      <w:r/>
      <w:bookmarkStart w:id="591" w:name="_Toc353825544"/>
      <w:r/>
      <w:bookmarkStart w:id="592" w:name="_Toc353873664"/>
      <w:r/>
      <w:bookmarkStart w:id="593" w:name="_Toc265228392"/>
      <w:r/>
      <w:bookmarkStart w:id="594" w:name="_Toc353873934"/>
      <w:r/>
      <w:bookmarkStart w:id="595" w:name="_Toc226337250"/>
      <w:r>
        <w:rPr>
          <w:sz w:val="24"/>
          <w:highlight w:val="none"/>
        </w:rPr>
        <w:br w:type="page" w:clear="all"/>
      </w:r>
      <w:bookmarkStart w:id="596" w:name="_Toc99301421"/>
      <w:r>
        <w:rPr>
          <w:b/>
          <w:sz w:val="36"/>
          <w:szCs w:val="36"/>
          <w:highlight w:val="none"/>
        </w:rPr>
        <w:t xml:space="preserve">第三章   </w:t>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Pr>
          <w:b/>
          <w:sz w:val="36"/>
          <w:szCs w:val="36"/>
          <w:highlight w:val="none"/>
        </w:rPr>
        <w:t xml:space="preserve">资格审查</w:t>
      </w:r>
      <w:bookmarkEnd w:id="596"/>
      <w:r/>
      <w:bookmarkStart w:id="597" w:name="_Toc487900382"/>
      <w:r/>
      <w:r/>
    </w:p>
    <w:p>
      <w:pPr>
        <w:jc w:val="center"/>
        <w:spacing w:line="360" w:lineRule="auto"/>
        <w:tabs>
          <w:tab w:val="left" w:pos="360" w:leader="none"/>
          <w:tab w:val="left" w:pos="900" w:leader="none"/>
        </w:tabs>
        <w:rPr>
          <w:b/>
          <w:sz w:val="24"/>
          <w:highlight w:val="none"/>
        </w:rPr>
        <w:outlineLvl w:val="1"/>
      </w:pPr>
      <w:r/>
      <w:bookmarkStart w:id="598" w:name="_Toc99301422"/>
      <w:r>
        <w:rPr>
          <w:b/>
          <w:sz w:val="24"/>
          <w:highlight w:val="none"/>
        </w:rPr>
        <w:t xml:space="preserve">一、资格审查程序</w:t>
      </w:r>
      <w:bookmarkEnd w:id="598"/>
      <w:r/>
      <w:r/>
    </w:p>
    <w:p>
      <w:pPr>
        <w:numPr>
          <w:ilvl w:val="0"/>
          <w:numId w:val="9"/>
        </w:numPr>
        <w:ind w:left="426" w:hanging="426"/>
        <w:spacing w:line="360" w:lineRule="auto"/>
        <w:tabs>
          <w:tab w:val="left" w:pos="426" w:leader="none"/>
          <w:tab w:val="left" w:pos="851" w:leader="none"/>
          <w:tab w:val="clear" w:pos="900" w:leader="none"/>
        </w:tabs>
        <w:rPr>
          <w:sz w:val="24"/>
          <w:highlight w:val="none"/>
        </w:rPr>
        <w:outlineLvl w:val="1"/>
      </w:pPr>
      <w:r>
        <w:rPr>
          <w:sz w:val="24"/>
          <w:highlight w:val="none"/>
        </w:rPr>
        <w:t xml:space="preserve">开标结束后，采购人将根据《资格审查要求》中的规定，对</w:t>
      </w: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进行资格审查，并形成资格审查结果。</w:t>
      </w:r>
      <w:r/>
    </w:p>
    <w:p>
      <w:pPr>
        <w:numPr>
          <w:ilvl w:val="0"/>
          <w:numId w:val="9"/>
        </w:numPr>
        <w:ind w:left="426" w:hanging="426"/>
        <w:spacing w:line="360" w:lineRule="auto"/>
        <w:tabs>
          <w:tab w:val="left" w:pos="426" w:leader="none"/>
          <w:tab w:val="left" w:pos="851" w:leader="none"/>
          <w:tab w:val="clear" w:pos="900" w:leader="none"/>
        </w:tabs>
        <w:rPr>
          <w:sz w:val="24"/>
          <w:highlight w:val="none"/>
        </w:rPr>
        <w:outlineLvl w:val="1"/>
      </w:pPr>
      <w:r>
        <w:rPr>
          <w:sz w:val="24"/>
          <w:highlight w:val="none"/>
        </w:rPr>
        <w:t xml:space="preserve">《资格审查要求》中对格式有要求的，除</w:t>
      </w:r>
      <w:r>
        <w:rPr>
          <w:rFonts w:hint="eastAsia"/>
          <w:sz w:val="24"/>
          <w:highlight w:val="none"/>
          <w:lang w:val="en-US" w:eastAsia="zh-CN"/>
        </w:rPr>
        <w:t xml:space="preserve">招标</w:t>
      </w:r>
      <w:r>
        <w:rPr>
          <w:rFonts w:hint="eastAsia"/>
          <w:sz w:val="24"/>
          <w:highlight w:val="none"/>
        </w:rPr>
        <w:t xml:space="preserve">文件</w:t>
      </w:r>
      <w:r>
        <w:rPr>
          <w:sz w:val="24"/>
          <w:highlight w:val="none"/>
        </w:rPr>
        <w:t xml:space="preserve">另有规定外，均为“实质性格式”文件。</w:t>
      </w:r>
      <w:r/>
    </w:p>
    <w:p>
      <w:pPr>
        <w:numPr>
          <w:ilvl w:val="0"/>
          <w:numId w:val="9"/>
        </w:numPr>
        <w:ind w:left="426" w:hanging="426"/>
        <w:spacing w:line="360" w:lineRule="auto"/>
        <w:tabs>
          <w:tab w:val="left" w:pos="426" w:leader="none"/>
          <w:tab w:val="left" w:pos="851" w:leader="none"/>
          <w:tab w:val="clear" w:pos="900" w:leader="none"/>
        </w:tabs>
        <w:rPr>
          <w:sz w:val="24"/>
          <w:highlight w:val="none"/>
        </w:rPr>
        <w:outlineLvl w:val="1"/>
      </w:pP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《资格证明文件》有任何一项不符合《资格审查要求》的，资格审查不合格，其</w:t>
      </w:r>
      <w:r>
        <w:rPr>
          <w:b/>
          <w:sz w:val="24"/>
          <w:highlight w:val="none"/>
        </w:rPr>
        <w:t xml:space="preserve">投标无效</w:t>
      </w:r>
      <w:r>
        <w:rPr>
          <w:sz w:val="24"/>
          <w:highlight w:val="none"/>
        </w:rPr>
        <w:t xml:space="preserve">。</w:t>
      </w:r>
      <w:r/>
    </w:p>
    <w:p>
      <w:pPr>
        <w:numPr>
          <w:ilvl w:val="0"/>
          <w:numId w:val="9"/>
        </w:numPr>
        <w:ind w:left="426" w:hanging="426"/>
        <w:spacing w:line="360" w:lineRule="auto"/>
        <w:tabs>
          <w:tab w:val="left" w:pos="426" w:leader="none"/>
          <w:tab w:val="left" w:pos="851" w:leader="none"/>
          <w:tab w:val="clear" w:pos="900" w:leader="none"/>
        </w:tabs>
        <w:rPr>
          <w:sz w:val="24"/>
          <w:highlight w:val="none"/>
        </w:rPr>
        <w:outlineLvl w:val="1"/>
      </w:pPr>
      <w:r>
        <w:rPr>
          <w:sz w:val="24"/>
          <w:highlight w:val="none"/>
        </w:rPr>
        <w:t xml:space="preserve">资格审查合格的</w:t>
      </w: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不足3家的，不进行评标。</w:t>
      </w:r>
      <w:r/>
    </w:p>
    <w:p>
      <w:pPr>
        <w:jc w:val="left"/>
        <w:widowControl/>
        <w:rPr>
          <w:sz w:val="24"/>
          <w:highlight w:val="none"/>
        </w:rPr>
      </w:pPr>
      <w:r>
        <w:rPr>
          <w:sz w:val="24"/>
          <w:highlight w:val="none"/>
        </w:rPr>
      </w:r>
      <w:r/>
    </w:p>
    <w:p>
      <w:pPr>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p>
    <w:tbl>
      <w:tblPr>
        <w:tblStyle w:val="81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5"/>
        <w:gridCol w:w="2103"/>
        <w:gridCol w:w="5119"/>
        <w:gridCol w:w="1738"/>
      </w:tblGrid>
      <w:tr>
        <w:trPr>
          <w:cantSplit/>
          <w:trHeight w:val="468"/>
          <w:tblHeader/>
        </w:trPr>
        <w:tc>
          <w:tcPr>
            <w:tcW w:w="455" w:type="pct"/>
            <w:vAlign w:val="center"/>
            <w:textDirection w:val="lrTb"/>
            <w:noWrap w:val="false"/>
          </w:tcPr>
          <w:p>
            <w:pPr>
              <w:jc w:val="center"/>
              <w:tabs>
                <w:tab w:val="left" w:pos="1080" w:leader="none"/>
              </w:tabs>
              <w:rPr>
                <w:b/>
                <w:sz w:val="24"/>
                <w:highlight w:val="none"/>
              </w:rPr>
            </w:pPr>
            <w:r/>
            <w:bookmarkStart w:id="599" w:name="_Hlt487972895"/>
            <w:r/>
            <w:bookmarkEnd w:id="599"/>
            <w:r>
              <w:rPr>
                <w:b/>
                <w:sz w:val="24"/>
                <w:highlight w:val="none"/>
              </w:rPr>
              <w:t xml:space="preserve">序号</w:t>
            </w:r>
            <w:r/>
          </w:p>
        </w:tc>
        <w:tc>
          <w:tcPr>
            <w:tcW w:w="1066" w:type="pct"/>
            <w:vAlign w:val="center"/>
            <w:textDirection w:val="lrTb"/>
            <w:noWrap w:val="false"/>
          </w:tcPr>
          <w:p>
            <w:pPr>
              <w:jc w:val="center"/>
              <w:tabs>
                <w:tab w:val="left" w:pos="1080" w:leader="none"/>
              </w:tabs>
              <w:rPr>
                <w:b/>
                <w:sz w:val="24"/>
                <w:highlight w:val="none"/>
              </w:rPr>
            </w:pPr>
            <w:r>
              <w:rPr>
                <w:b/>
                <w:sz w:val="24"/>
                <w:highlight w:val="none"/>
              </w:rPr>
              <w:t xml:space="preserve">审查因素</w:t>
            </w:r>
            <w:r/>
          </w:p>
        </w:tc>
        <w:tc>
          <w:tcPr>
            <w:tcW w:w="2595" w:type="pct"/>
            <w:vAlign w:val="center"/>
            <w:textDirection w:val="lrTb"/>
            <w:noWrap w:val="false"/>
          </w:tcPr>
          <w:p>
            <w:pPr>
              <w:jc w:val="center"/>
              <w:tabs>
                <w:tab w:val="left" w:pos="1080" w:leader="none"/>
              </w:tabs>
              <w:rPr>
                <w:b/>
                <w:sz w:val="24"/>
                <w:highlight w:val="none"/>
              </w:rPr>
            </w:pPr>
            <w:r>
              <w:rPr>
                <w:b/>
                <w:sz w:val="24"/>
                <w:highlight w:val="none"/>
              </w:rPr>
              <w:t xml:space="preserve">审查内容</w:t>
            </w:r>
            <w:r/>
          </w:p>
        </w:tc>
        <w:tc>
          <w:tcPr>
            <w:tcW w:w="881" w:type="pct"/>
            <w:vAlign w:val="center"/>
            <w:textDirection w:val="lrTb"/>
            <w:noWrap w:val="false"/>
          </w:tcPr>
          <w:p>
            <w:pPr>
              <w:jc w:val="center"/>
              <w:tabs>
                <w:tab w:val="left" w:pos="1080" w:leader="none"/>
              </w:tabs>
              <w:rPr>
                <w:b/>
                <w:sz w:val="24"/>
                <w:highlight w:val="none"/>
              </w:rPr>
            </w:pPr>
            <w:r>
              <w:rPr>
                <w:b/>
                <w:sz w:val="24"/>
                <w:highlight w:val="none"/>
              </w:rPr>
              <w:t xml:space="preserve">格式要求</w:t>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1</w:t>
            </w:r>
            <w:r/>
          </w:p>
        </w:tc>
        <w:tc>
          <w:tcPr>
            <w:tcW w:w="1066" w:type="pct"/>
            <w:vAlign w:val="center"/>
            <w:textDirection w:val="lrTb"/>
            <w:noWrap w:val="false"/>
          </w:tcPr>
          <w:p>
            <w:pPr>
              <w:tabs>
                <w:tab w:val="left" w:pos="1080" w:leader="none"/>
              </w:tabs>
              <w:rPr>
                <w:sz w:val="24"/>
                <w:highlight w:val="none"/>
              </w:rPr>
            </w:pPr>
            <w:r>
              <w:rPr>
                <w:sz w:val="24"/>
                <w:highlight w:val="none"/>
              </w:rPr>
              <w:t xml:space="preserve">满足《中华人民共和国政府采购法》第二十二条规定及法律法规的其他规定</w:t>
            </w:r>
            <w:r/>
          </w:p>
        </w:tc>
        <w:tc>
          <w:tcPr>
            <w:tcW w:w="2595" w:type="pct"/>
            <w:vAlign w:val="center"/>
            <w:textDirection w:val="lrTb"/>
            <w:noWrap w:val="false"/>
          </w:tcPr>
          <w:p>
            <w:pPr>
              <w:tabs>
                <w:tab w:val="left" w:pos="1080" w:leader="none"/>
              </w:tabs>
              <w:rPr>
                <w:sz w:val="24"/>
                <w:highlight w:val="none"/>
              </w:rPr>
            </w:pPr>
            <w:r>
              <w:rPr>
                <w:sz w:val="24"/>
                <w:highlight w:val="none"/>
              </w:rPr>
              <w:t xml:space="preserve">具体规定见第一章《投标邀请》</w:t>
            </w:r>
            <w:r/>
          </w:p>
        </w:tc>
        <w:tc>
          <w:tcPr>
            <w:tcW w:w="881" w:type="pct"/>
            <w:vAlign w:val="center"/>
            <w:textDirection w:val="lrTb"/>
            <w:noWrap w:val="false"/>
          </w:tcPr>
          <w:p>
            <w:pPr>
              <w:tabs>
                <w:tab w:val="left" w:pos="1080" w:leader="none"/>
              </w:tabs>
              <w:rPr>
                <w:sz w:val="24"/>
                <w:highlight w:val="none"/>
              </w:rPr>
            </w:pPr>
            <w:r>
              <w:rPr>
                <w:sz w:val="24"/>
                <w:highlight w:val="none"/>
              </w:rPr>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1</w:t>
            </w:r>
            <w:r>
              <w:rPr>
                <w:rFonts w:hint="eastAsia"/>
                <w:sz w:val="24"/>
                <w:highlight w:val="none"/>
              </w:rPr>
              <w:t xml:space="preserve">-1</w:t>
            </w:r>
            <w:r/>
          </w:p>
        </w:tc>
        <w:tc>
          <w:tcPr>
            <w:tcW w:w="1066" w:type="pct"/>
            <w:vAlign w:val="center"/>
            <w:textDirection w:val="lrTb"/>
            <w:noWrap w:val="false"/>
          </w:tcPr>
          <w:p>
            <w:pPr>
              <w:tabs>
                <w:tab w:val="left" w:pos="1080" w:leader="none"/>
              </w:tabs>
              <w:rPr>
                <w:sz w:val="24"/>
                <w:highlight w:val="none"/>
              </w:rPr>
            </w:pPr>
            <w:r>
              <w:rPr>
                <w:rFonts w:hint="eastAsia"/>
                <w:sz w:val="24"/>
                <w:highlight w:val="none"/>
              </w:rPr>
              <w:t xml:space="preserve">投标</w:t>
            </w:r>
            <w:r>
              <w:rPr>
                <w:rFonts w:hint="eastAsia"/>
                <w:sz w:val="24"/>
                <w:highlight w:val="none"/>
                <w:lang w:val="en-US" w:eastAsia="zh-CN"/>
              </w:rPr>
              <w:t xml:space="preserve">人</w:t>
            </w:r>
            <w:r>
              <w:rPr>
                <w:rFonts w:hint="eastAsia"/>
                <w:sz w:val="24"/>
                <w:highlight w:val="none"/>
              </w:rPr>
              <w:t xml:space="preserve">资格声明函</w:t>
            </w:r>
            <w:r/>
          </w:p>
        </w:tc>
        <w:tc>
          <w:tcPr>
            <w:tcW w:w="2595" w:type="pct"/>
            <w:vAlign w:val="center"/>
            <w:textDirection w:val="lrTb"/>
            <w:noWrap w:val="false"/>
          </w:tcPr>
          <w:p>
            <w:pPr>
              <w:tabs>
                <w:tab w:val="left" w:pos="1080" w:leader="none"/>
              </w:tabs>
              <w:rPr>
                <w:sz w:val="24"/>
                <w:highlight w:val="none"/>
              </w:rPr>
            </w:pPr>
            <w:r>
              <w:rPr>
                <w:sz w:val="24"/>
                <w:highlight w:val="none"/>
              </w:rPr>
              <w:t xml:space="preserve">提供了符合</w:t>
            </w:r>
            <w:r>
              <w:rPr>
                <w:rFonts w:hint="eastAsia"/>
                <w:sz w:val="24"/>
                <w:highlight w:val="none"/>
                <w:lang w:val="en-US" w:eastAsia="zh-CN"/>
              </w:rPr>
              <w:t xml:space="preserve">招标</w:t>
            </w:r>
            <w:r>
              <w:rPr>
                <w:rFonts w:hint="eastAsia"/>
                <w:sz w:val="24"/>
                <w:highlight w:val="none"/>
              </w:rPr>
              <w:t xml:space="preserve">文件</w:t>
            </w:r>
            <w:r>
              <w:rPr>
                <w:sz w:val="24"/>
                <w:highlight w:val="none"/>
              </w:rPr>
              <w:t xml:space="preserve">要求的《</w:t>
            </w:r>
            <w:r>
              <w:rPr>
                <w:rFonts w:hint="eastAsia"/>
                <w:sz w:val="24"/>
                <w:highlight w:val="none"/>
              </w:rPr>
              <w:t xml:space="preserve">投标</w:t>
            </w:r>
            <w:r>
              <w:rPr>
                <w:rFonts w:hint="eastAsia"/>
                <w:sz w:val="24"/>
                <w:highlight w:val="none"/>
                <w:lang w:val="en-US" w:eastAsia="zh-CN"/>
              </w:rPr>
              <w:t xml:space="preserve">人</w:t>
            </w:r>
            <w:r>
              <w:rPr>
                <w:rFonts w:hint="eastAsia"/>
                <w:sz w:val="24"/>
                <w:highlight w:val="none"/>
              </w:rPr>
              <w:t xml:space="preserve">资格声明函</w:t>
            </w:r>
            <w:r>
              <w:rPr>
                <w:sz w:val="24"/>
                <w:highlight w:val="none"/>
              </w:rPr>
              <w:t xml:space="preserve">》。</w:t>
            </w:r>
            <w:r/>
          </w:p>
        </w:tc>
        <w:tc>
          <w:tcPr>
            <w:tcW w:w="881" w:type="pct"/>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rFonts w:hint="eastAsia"/>
                <w:sz w:val="24"/>
                <w:highlight w:val="none"/>
              </w:rPr>
              <w:t xml:space="preserve">1-2</w:t>
            </w:r>
            <w:r/>
          </w:p>
        </w:tc>
        <w:tc>
          <w:tcPr>
            <w:tcW w:w="1066" w:type="pct"/>
            <w:vAlign w:val="center"/>
            <w:textDirection w:val="lrTb"/>
            <w:noWrap w:val="false"/>
          </w:tcPr>
          <w:p>
            <w:pPr>
              <w:tabs>
                <w:tab w:val="left" w:pos="1080" w:leader="none"/>
              </w:tabs>
              <w:rPr>
                <w:sz w:val="24"/>
                <w:highlight w:val="none"/>
              </w:rPr>
            </w:pP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信用记录</w:t>
            </w:r>
            <w:r/>
          </w:p>
        </w:tc>
        <w:tc>
          <w:tcPr>
            <w:tcW w:w="2595" w:type="pct"/>
            <w:vAlign w:val="center"/>
            <w:textDirection w:val="lrTb"/>
            <w:noWrap w:val="false"/>
          </w:tcPr>
          <w:p>
            <w:pPr>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p>
          <w:p>
            <w:pPr>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p>
          <w:p>
            <w:pPr>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p>
          <w:p>
            <w:pPr>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w:t>
            </w: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，其</w:t>
            </w:r>
            <w:r>
              <w:rPr>
                <w:b/>
                <w:sz w:val="24"/>
                <w:highlight w:val="none"/>
              </w:rPr>
              <w:t xml:space="preserve">投标无效</w:t>
            </w:r>
            <w:r>
              <w:rPr>
                <w:sz w:val="24"/>
                <w:highlight w:val="none"/>
              </w:rPr>
              <w:t xml:space="preserve">。</w:t>
            </w:r>
            <w:r/>
          </w:p>
        </w:tc>
        <w:tc>
          <w:tcPr>
            <w:tcW w:w="881" w:type="pct"/>
            <w:vAlign w:val="center"/>
            <w:textDirection w:val="lrTb"/>
            <w:noWrap w:val="false"/>
          </w:tcPr>
          <w:p>
            <w:pPr>
              <w:tabs>
                <w:tab w:val="left" w:pos="1080" w:leader="none"/>
              </w:tabs>
              <w:rPr>
                <w:sz w:val="24"/>
                <w:highlight w:val="none"/>
              </w:rPr>
            </w:pPr>
            <w:r>
              <w:rPr>
                <w:rFonts w:hint="eastAsia" w:eastAsia="宋体"/>
                <w:sz w:val="24"/>
                <w:highlight w:val="none"/>
                <w:lang w:eastAsia="zh-CN"/>
              </w:rPr>
              <w:t xml:space="preserve">无需</w:t>
            </w:r>
            <w:r>
              <w:rPr>
                <w:sz w:val="24"/>
                <w:highlight w:val="none"/>
              </w:rPr>
              <w:t xml:space="preserve">投标人提供，由采购人查询。</w:t>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2</w:t>
            </w:r>
            <w:r/>
          </w:p>
        </w:tc>
        <w:tc>
          <w:tcPr>
            <w:tcW w:w="1066" w:type="pct"/>
            <w:vAlign w:val="center"/>
            <w:textDirection w:val="lrTb"/>
            <w:noWrap w:val="false"/>
          </w:tcPr>
          <w:p>
            <w:pPr>
              <w:tabs>
                <w:tab w:val="left" w:pos="1080" w:leader="none"/>
              </w:tabs>
              <w:rPr>
                <w:sz w:val="24"/>
                <w:highlight w:val="none"/>
              </w:rPr>
            </w:pPr>
            <w:r>
              <w:rPr>
                <w:sz w:val="24"/>
                <w:highlight w:val="none"/>
              </w:rPr>
              <w:t xml:space="preserve">落实政府采购政策需满足的资格要求</w:t>
            </w:r>
            <w:r/>
          </w:p>
        </w:tc>
        <w:tc>
          <w:tcPr>
            <w:tcW w:w="2595" w:type="pct"/>
            <w:vAlign w:val="center"/>
            <w:textDirection w:val="lrTb"/>
            <w:noWrap w:val="false"/>
          </w:tcPr>
          <w:p>
            <w:pPr>
              <w:tabs>
                <w:tab w:val="left" w:pos="1080" w:leader="none"/>
              </w:tabs>
              <w:rPr>
                <w:sz w:val="24"/>
                <w:highlight w:val="none"/>
              </w:rPr>
            </w:pPr>
            <w:r>
              <w:rPr>
                <w:sz w:val="24"/>
                <w:highlight w:val="none"/>
              </w:rPr>
              <w:t xml:space="preserve">具体要求见第一章《投标邀请》</w:t>
            </w:r>
            <w:r/>
          </w:p>
        </w:tc>
        <w:tc>
          <w:tcPr>
            <w:tcW w:w="881" w:type="pct"/>
            <w:vAlign w:val="center"/>
            <w:textDirection w:val="lrTb"/>
            <w:noWrap w:val="false"/>
          </w:tcPr>
          <w:p>
            <w:pPr>
              <w:tabs>
                <w:tab w:val="left" w:pos="1080" w:leader="none"/>
              </w:tabs>
              <w:rPr>
                <w:sz w:val="24"/>
                <w:highlight w:val="none"/>
              </w:rPr>
            </w:pPr>
            <w:r>
              <w:rPr>
                <w:sz w:val="24"/>
                <w:highlight w:val="none"/>
              </w:rPr>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2-1</w:t>
            </w:r>
            <w:r/>
          </w:p>
        </w:tc>
        <w:tc>
          <w:tcPr>
            <w:tcW w:w="1066" w:type="pct"/>
            <w:vAlign w:val="center"/>
            <w:textDirection w:val="lrTb"/>
            <w:noWrap w:val="false"/>
          </w:tcPr>
          <w:p>
            <w:pPr>
              <w:tabs>
                <w:tab w:val="left" w:pos="1080" w:leader="none"/>
              </w:tabs>
              <w:rPr>
                <w:sz w:val="24"/>
                <w:highlight w:val="none"/>
              </w:rPr>
            </w:pPr>
            <w:r>
              <w:rPr>
                <w:sz w:val="24"/>
                <w:highlight w:val="none"/>
              </w:rPr>
              <w:t xml:space="preserve">中小企业声明函</w:t>
            </w:r>
            <w:r/>
          </w:p>
        </w:tc>
        <w:tc>
          <w:tcPr>
            <w:tcW w:w="2595" w:type="pct"/>
            <w:vAlign w:val="center"/>
            <w:textDirection w:val="lrTb"/>
            <w:noWrap w:val="false"/>
          </w:tcPr>
          <w:p>
            <w:pPr>
              <w:numPr>
                <w:ilvl w:val="0"/>
                <w:numId w:val="10"/>
              </w:numPr>
              <w:tabs>
                <w:tab w:val="left" w:pos="1080" w:leader="none"/>
              </w:tabs>
              <w:rPr>
                <w:rFonts w:hint="eastAsia"/>
                <w:sz w:val="24"/>
                <w:highlight w:val="none"/>
              </w:rPr>
            </w:pPr>
            <w:r>
              <w:rPr>
                <w:rFonts w:hint="eastAsia"/>
                <w:sz w:val="24"/>
                <w:highlight w:val="none"/>
              </w:rPr>
              <w:t xml:space="preserve">投标</w:t>
            </w:r>
            <w:r>
              <w:rPr>
                <w:rFonts w:hint="eastAsia"/>
                <w:sz w:val="24"/>
                <w:highlight w:val="none"/>
                <w:lang w:val="en-US" w:eastAsia="zh-CN"/>
              </w:rPr>
              <w:t xml:space="preserve">人</w:t>
            </w:r>
            <w:r>
              <w:rPr>
                <w:rFonts w:hint="eastAsia"/>
                <w:sz w:val="24"/>
                <w:highlight w:val="none"/>
              </w:rPr>
              <w:t xml:space="preserve">应提供中小企业声明函</w:t>
            </w:r>
            <w:r>
              <w:rPr>
                <w:rFonts w:hint="eastAsia"/>
                <w:sz w:val="24"/>
                <w:highlight w:val="none"/>
                <w:lang w:eastAsia="zh-CN"/>
              </w:rPr>
              <w:t xml:space="preserve">；</w:t>
            </w:r>
            <w:r>
              <w:rPr>
                <w:rFonts w:hint="eastAsia"/>
                <w:sz w:val="24"/>
                <w:highlight w:val="none"/>
              </w:rPr>
              <w:t xml:space="preserve">如为监狱企业或</w:t>
            </w:r>
            <w:r>
              <w:rPr>
                <w:sz w:val="24"/>
                <w:highlight w:val="none"/>
              </w:rPr>
              <w:t xml:space="preserve">残疾人福利性单位</w:t>
            </w:r>
            <w:r>
              <w:rPr>
                <w:rFonts w:hint="eastAsia"/>
                <w:sz w:val="24"/>
                <w:highlight w:val="none"/>
              </w:rPr>
              <w:t xml:space="preserve">，不必提供中小企业声明函，但须按注1或注2要求提供证明材料。</w:t>
            </w:r>
            <w:r/>
          </w:p>
          <w:p>
            <w:pPr>
              <w:numPr>
                <w:ilvl w:val="0"/>
                <w:numId w:val="0"/>
              </w:numPr>
              <w:tabs>
                <w:tab w:val="left" w:pos="1080"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r>
            <w:r/>
          </w:p>
          <w:p>
            <w:pPr>
              <w:numPr>
                <w:ilvl w:val="0"/>
                <w:numId w:val="0"/>
              </w:numPr>
              <w:tabs>
                <w:tab w:val="left" w:pos="1080"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注1：</w:t>
            </w:r>
            <w:r>
              <w:rPr>
                <w:rFonts w:ascii="Times New Roman" w:hAnsi="Times New Roman" w:eastAsia="宋体" w:cs="Times New Roman"/>
                <w:sz w:val="24"/>
                <w:highlight w:val="none"/>
              </w:rPr>
              <w:t xml:space="preserve">监狱企业须提供由省级以上监狱管理局（常州市含教育矫治局）、戒毒管理局（含新疆生产建设兵团）出具的属于监狱企业的证明文件。</w:t>
            </w:r>
            <w:r/>
          </w:p>
          <w:p>
            <w:pPr>
              <w:tabs>
                <w:tab w:val="left" w:pos="1080" w:leader="none"/>
              </w:tabs>
              <w:rPr>
                <w:sz w:val="24"/>
                <w:highlight w:val="none"/>
              </w:rPr>
            </w:pPr>
            <w:r>
              <w:rPr>
                <w:rFonts w:hint="eastAsia" w:ascii="Times New Roman" w:hAnsi="Times New Roman" w:eastAsia="宋体" w:cs="Times New Roman"/>
                <w:sz w:val="24"/>
                <w:highlight w:val="none"/>
              </w:rPr>
              <w:t xml:space="preserve">注2：</w:t>
            </w:r>
            <w:r>
              <w:rPr>
                <w:rFonts w:ascii="Times New Roman" w:hAnsi="Times New Roman" w:eastAsia="宋体" w:cs="Times New Roman"/>
                <w:sz w:val="24"/>
                <w:highlight w:val="none"/>
              </w:rPr>
              <w:t xml:space="preserve">残疾人福利性单位须按招标文件要求提供《残疾人福利性单位声明函》</w:t>
            </w:r>
            <w:r>
              <w:rPr>
                <w:sz w:val="24"/>
                <w:highlight w:val="none"/>
              </w:rPr>
              <w:t xml:space="preserve">。</w:t>
            </w:r>
            <w:r/>
          </w:p>
        </w:tc>
        <w:tc>
          <w:tcPr>
            <w:tcW w:w="881" w:type="pct"/>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3</w:t>
            </w:r>
            <w:r/>
          </w:p>
        </w:tc>
        <w:tc>
          <w:tcPr>
            <w:tcW w:w="1066" w:type="pct"/>
            <w:vAlign w:val="center"/>
            <w:textDirection w:val="lrTb"/>
            <w:noWrap w:val="false"/>
          </w:tcPr>
          <w:p>
            <w:pPr>
              <w:tabs>
                <w:tab w:val="left" w:pos="1080" w:leader="none"/>
              </w:tabs>
              <w:rPr>
                <w:sz w:val="24"/>
                <w:highlight w:val="none"/>
              </w:rPr>
            </w:pPr>
            <w:r>
              <w:rPr>
                <w:sz w:val="24"/>
                <w:highlight w:val="none"/>
              </w:rPr>
              <w:t xml:space="preserve">本项目的特定资格要求</w:t>
            </w:r>
            <w:r/>
          </w:p>
        </w:tc>
        <w:tc>
          <w:tcPr>
            <w:tcW w:w="2595" w:type="pct"/>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1" w:type="pct"/>
            <w:vAlign w:val="center"/>
            <w:textDirection w:val="lrTb"/>
            <w:noWrap w:val="false"/>
          </w:tcPr>
          <w:p>
            <w:pPr>
              <w:tabs>
                <w:tab w:val="left" w:pos="1080" w:leader="none"/>
              </w:tabs>
              <w:rPr>
                <w:sz w:val="24"/>
                <w:highlight w:val="none"/>
              </w:rPr>
            </w:pPr>
            <w:r>
              <w:rPr>
                <w:sz w:val="24"/>
                <w:highlight w:val="none"/>
              </w:rPr>
            </w:r>
            <w:r/>
          </w:p>
        </w:tc>
      </w:tr>
      <w:tr>
        <w:trPr>
          <w:cantSplit/>
          <w:trHeight w:val="460"/>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3-</w:t>
            </w:r>
            <w:r>
              <w:rPr>
                <w:rFonts w:hint="eastAsia"/>
                <w:sz w:val="24"/>
                <w:highlight w:val="none"/>
              </w:rPr>
              <w:t xml:space="preserve">3</w:t>
            </w:r>
            <w:r/>
          </w:p>
        </w:tc>
        <w:tc>
          <w:tcPr>
            <w:tcW w:w="1066" w:type="pct"/>
            <w:vAlign w:val="center"/>
            <w:textDirection w:val="lrTb"/>
            <w:noWrap w:val="false"/>
          </w:tcPr>
          <w:p>
            <w:pPr>
              <w:tabs>
                <w:tab w:val="left" w:pos="1080" w:leader="none"/>
              </w:tabs>
              <w:rPr>
                <w:sz w:val="24"/>
                <w:highlight w:val="none"/>
              </w:rPr>
            </w:pPr>
            <w:r>
              <w:rPr>
                <w:sz w:val="24"/>
                <w:highlight w:val="none"/>
              </w:rPr>
              <w:t xml:space="preserve">其他特定资格要求</w:t>
            </w:r>
            <w:r/>
          </w:p>
        </w:tc>
        <w:tc>
          <w:tcPr>
            <w:tcW w:w="2595" w:type="pct"/>
            <w:vAlign w:val="center"/>
            <w:textDirection w:val="lrTb"/>
            <w:noWrap w:val="false"/>
          </w:tcPr>
          <w:p>
            <w:pPr>
              <w:tabs>
                <w:tab w:val="left" w:pos="1080" w:leader="none"/>
              </w:tabs>
              <w:rPr>
                <w:sz w:val="24"/>
                <w:highlight w:val="none"/>
              </w:rPr>
            </w:pPr>
            <w:r>
              <w:rPr>
                <w:sz w:val="24"/>
                <w:highlight w:val="none"/>
              </w:rPr>
              <w:t xml:space="preserve">如有，见第一章《</w:t>
            </w:r>
            <w:r>
              <w:rPr>
                <w:rFonts w:hint="eastAsia" w:ascii="Times New Roman" w:eastAsia="宋体"/>
                <w:sz w:val="24"/>
                <w:highlight w:val="none"/>
                <w:lang w:val="en-US" w:eastAsia="zh-CN"/>
              </w:rPr>
              <w:t xml:space="preserve">采购邀请</w:t>
            </w:r>
            <w:r>
              <w:rPr>
                <w:sz w:val="24"/>
                <w:highlight w:val="none"/>
              </w:rPr>
              <w:t xml:space="preserve">》</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597"/>
            <w:r/>
            <w:r/>
          </w:p>
        </w:tc>
        <w:tc>
          <w:tcPr>
            <w:tcW w:w="881" w:type="pct"/>
            <w:vAlign w:val="center"/>
            <w:textDirection w:val="lrTb"/>
            <w:noWrap w:val="false"/>
          </w:tcPr>
          <w:p>
            <w:pPr>
              <w:tabs>
                <w:tab w:val="left" w:pos="1080" w:leader="none"/>
              </w:tabs>
              <w:rPr>
                <w:sz w:val="24"/>
                <w:highlight w:val="none"/>
              </w:rPr>
            </w:pPr>
            <w:r>
              <w:rPr>
                <w:sz w:val="24"/>
                <w:highlight w:val="none"/>
              </w:rPr>
            </w:r>
            <w:r/>
          </w:p>
        </w:tc>
      </w:tr>
    </w:tbl>
    <w:p>
      <w:pPr>
        <w:jc w:val="center"/>
        <w:widowControl/>
        <w:rPr>
          <w:b/>
          <w:sz w:val="36"/>
          <w:szCs w:val="36"/>
          <w:highlight w:val="none"/>
        </w:rPr>
      </w:pPr>
      <w:r/>
      <w:bookmarkStart w:id="600" w:name="_Toc127151779"/>
      <w:r/>
      <w:bookmarkStart w:id="601" w:name="_Toc226965858"/>
      <w:r/>
      <w:bookmarkStart w:id="602" w:name="_Toc353873940"/>
      <w:r/>
      <w:bookmarkStart w:id="603" w:name="_Toc127161490"/>
      <w:r/>
      <w:bookmarkStart w:id="604" w:name="_Toc353825550"/>
      <w:r>
        <w:rPr>
          <w:sz w:val="24"/>
          <w:highlight w:val="none"/>
        </w:rPr>
        <w:br w:type="page" w:clear="all"/>
      </w:r>
      <w:bookmarkStart w:id="605" w:name="_Toc99301423"/>
      <w:r>
        <w:rPr>
          <w:b/>
          <w:sz w:val="36"/>
          <w:szCs w:val="36"/>
          <w:highlight w:val="none"/>
        </w:rPr>
        <w:t xml:space="preserve">第四章   </w:t>
      </w:r>
      <w:bookmarkEnd w:id="600"/>
      <w:r/>
      <w:bookmarkEnd w:id="601"/>
      <w:r/>
      <w:bookmarkEnd w:id="602"/>
      <w:r/>
      <w:bookmarkEnd w:id="603"/>
      <w:r/>
      <w:bookmarkEnd w:id="604"/>
      <w:r/>
      <w:bookmarkStart w:id="606" w:name="_Hlt164229061"/>
      <w:r/>
      <w:bookmarkEnd w:id="606"/>
      <w:r>
        <w:rPr>
          <w:b/>
          <w:sz w:val="36"/>
          <w:szCs w:val="36"/>
          <w:highlight w:val="none"/>
        </w:rPr>
        <w:t xml:space="preserve">评标程序、评标方法和评标标准</w:t>
      </w:r>
      <w:bookmarkEnd w:id="605"/>
      <w:r/>
      <w:r/>
    </w:p>
    <w:p>
      <w:pPr>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p>
    <w:p>
      <w:pPr>
        <w:numPr>
          <w:ilvl w:val="0"/>
          <w:numId w:val="11"/>
        </w:numPr>
        <w:spacing w:line="360" w:lineRule="auto"/>
        <w:tabs>
          <w:tab w:val="left" w:pos="360" w:leader="none"/>
        </w:tabs>
        <w:rPr>
          <w:sz w:val="24"/>
          <w:highlight w:val="none"/>
        </w:rPr>
        <w:outlineLvl w:val="1"/>
      </w:pPr>
      <w:r/>
      <w:bookmarkStart w:id="607" w:name="_Toc151193855"/>
      <w:r/>
      <w:bookmarkStart w:id="608" w:name="_Toc164608655"/>
      <w:r/>
      <w:bookmarkStart w:id="609" w:name="_Toc164229382"/>
      <w:r/>
      <w:bookmarkStart w:id="610" w:name="_Toc151193929"/>
      <w:r/>
      <w:bookmarkStart w:id="611" w:name="_Toc195842906"/>
      <w:r/>
      <w:bookmarkStart w:id="612" w:name="_Toc151193783"/>
      <w:r/>
      <w:bookmarkStart w:id="613" w:name="_Toc264969231"/>
      <w:r/>
      <w:bookmarkStart w:id="614" w:name="_Toc150480779"/>
      <w:r/>
      <w:bookmarkStart w:id="615" w:name="_Toc127151742"/>
      <w:r/>
      <w:bookmarkStart w:id="616" w:name="_Toc226309785"/>
      <w:r/>
      <w:bookmarkStart w:id="617" w:name="_Toc164608810"/>
      <w:r/>
      <w:bookmarkStart w:id="618" w:name="_Toc127161455"/>
      <w:r/>
      <w:bookmarkStart w:id="619" w:name="_Toc151190168"/>
      <w:r/>
      <w:bookmarkStart w:id="620" w:name="_Toc150774746"/>
      <w:r/>
      <w:bookmarkStart w:id="621" w:name="_Toc149720834"/>
      <w:r/>
      <w:bookmarkStart w:id="622" w:name="_Toc150509292"/>
      <w:r/>
      <w:bookmarkStart w:id="623" w:name="_Toc305158809"/>
      <w:r/>
      <w:bookmarkStart w:id="624" w:name="_Toc226337237"/>
      <w:r/>
      <w:bookmarkStart w:id="625" w:name="_Toc226965731"/>
      <w:r/>
      <w:bookmarkStart w:id="626" w:name="_Toc305158883"/>
      <w:r/>
      <w:bookmarkStart w:id="627" w:name="_Toc150774641"/>
      <w:r/>
      <w:bookmarkStart w:id="628" w:name="_Toc164229236"/>
      <w:r/>
      <w:bookmarkStart w:id="629" w:name="_Toc226965814"/>
      <w:r/>
      <w:bookmarkStart w:id="630" w:name="_Toc127151541"/>
      <w:r/>
      <w:bookmarkStart w:id="631" w:name="_Toc151193711"/>
      <w:r/>
      <w:bookmarkStart w:id="632" w:name="_Toc142311043"/>
      <w:r/>
      <w:bookmarkStart w:id="633" w:name="_Toc265228379"/>
      <w:r/>
      <w:bookmarkStart w:id="634" w:name="_Toc151193639"/>
      <w:r/>
      <w:bookmarkStart w:id="635" w:name="_Toc164351635"/>
      <w:r/>
      <w:bookmarkStart w:id="636" w:name="_Toc353873941"/>
      <w:r/>
      <w:bookmarkStart w:id="637" w:name="_Toc353825551"/>
      <w:r/>
      <w:bookmarkStart w:id="638" w:name="_Toc305158897"/>
      <w:r/>
      <w:bookmarkStart w:id="639" w:name="_Toc305158823"/>
      <w:r/>
      <w:bookmarkStart w:id="640" w:name="_Toc264969245"/>
      <w:r/>
      <w:bookmarkStart w:id="641" w:name="_Toc226965828"/>
      <w:r/>
      <w:bookmarkStart w:id="642" w:name="_Toc142311057"/>
      <w:r/>
      <w:bookmarkStart w:id="643" w:name="_Toc150480793"/>
      <w:r/>
      <w:bookmarkStart w:id="644" w:name="_Toc127151555"/>
      <w:r/>
      <w:bookmarkStart w:id="645" w:name="_Toc353825545"/>
      <w:r/>
      <w:bookmarkStart w:id="646" w:name="_Toc150774760"/>
      <w:r/>
      <w:bookmarkStart w:id="647" w:name="_Toc265228393"/>
      <w:r/>
      <w:bookmarkStart w:id="648" w:name="_Toc353873665"/>
      <w:r/>
      <w:bookmarkStart w:id="649" w:name="_Toc353873935"/>
      <w:r/>
      <w:bookmarkStart w:id="650" w:name="_Toc226337251"/>
      <w:r/>
      <w:bookmarkStart w:id="651" w:name="_Toc195842920"/>
      <w:r>
        <w:rPr>
          <w:sz w:val="24"/>
          <w:highlight w:val="none"/>
        </w:rPr>
        <w:t xml:space="preserve">投标文件的符合性审查</w:t>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评标委员会对资格审查合格的</w:t>
      </w: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的投标文件进行符合性审查，以确定其是否满足</w:t>
      </w:r>
      <w:r>
        <w:rPr>
          <w:rFonts w:hint="eastAsia"/>
          <w:sz w:val="24"/>
          <w:highlight w:val="none"/>
          <w:lang w:val="en-US" w:eastAsia="zh-CN"/>
        </w:rPr>
        <w:t xml:space="preserve">招标</w:t>
      </w:r>
      <w:r>
        <w:rPr>
          <w:rFonts w:hint="eastAsia"/>
          <w:sz w:val="24"/>
          <w:highlight w:val="none"/>
        </w:rPr>
        <w:t xml:space="preserve">文件</w:t>
      </w:r>
      <w:r>
        <w:rPr>
          <w:sz w:val="24"/>
          <w:highlight w:val="none"/>
        </w:rPr>
        <w:t xml:space="preserve">的实质性要求。</w:t>
      </w:r>
      <w:bookmarkStart w:id="652" w:name="_Toc520356167"/>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w:t>
      </w: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的投标文件是否实质上响应</w:t>
      </w:r>
      <w:r>
        <w:rPr>
          <w:rFonts w:hint="eastAsia"/>
          <w:sz w:val="24"/>
          <w:highlight w:val="none"/>
          <w:lang w:val="en-US" w:eastAsia="zh-CN"/>
        </w:rPr>
        <w:t xml:space="preserve">招标</w:t>
      </w:r>
      <w:r>
        <w:rPr>
          <w:rFonts w:hint="eastAsia"/>
          <w:sz w:val="24"/>
          <w:highlight w:val="none"/>
        </w:rPr>
        <w:t xml:space="preserve">文件</w:t>
      </w:r>
      <w:r>
        <w:rPr>
          <w:sz w:val="24"/>
          <w:highlight w:val="none"/>
        </w:rPr>
        <w:t xml:space="preserve">进行符合性审查，并形成符合性审查评审结果。</w:t>
      </w:r>
      <w:r>
        <w:rPr>
          <w:rFonts w:hint="eastAsia"/>
          <w:sz w:val="24"/>
          <w:highlight w:val="none"/>
        </w:rPr>
        <w:t xml:space="preserve">投标</w:t>
      </w:r>
      <w:r>
        <w:rPr>
          <w:rFonts w:hint="eastAsia"/>
          <w:sz w:val="24"/>
          <w:highlight w:val="none"/>
          <w:lang w:val="en-US" w:eastAsia="zh-CN"/>
        </w:rPr>
        <w:t xml:space="preserve">人</w:t>
      </w:r>
      <w:r>
        <w:rPr>
          <w:rFonts w:hint="eastAsia"/>
          <w:sz w:val="24"/>
          <w:highlight w:val="none"/>
        </w:rPr>
        <w:t xml:space="preserve">《商务技术文件》有任何一项不符合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652"/>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p>
    <w:p>
      <w:pPr>
        <w:ind w:hanging="357"/>
        <w:jc w:val="center"/>
        <w:spacing w:line="360" w:lineRule="auto"/>
        <w:tabs>
          <w:tab w:val="left" w:pos="900" w:leader="none"/>
          <w:tab w:val="left" w:pos="1080" w:leader="none"/>
          <w:tab w:val="left" w:pos="1589" w:leader="none"/>
        </w:tabs>
        <w:rPr>
          <w:b/>
          <w:sz w:val="24"/>
          <w:highlight w:val="none"/>
        </w:rPr>
      </w:pPr>
      <w:r>
        <w:rPr>
          <w:b/>
          <w:sz w:val="24"/>
          <w:highlight w:val="none"/>
        </w:rPr>
        <w:t xml:space="preserve">符合性审查</w:t>
      </w:r>
      <w:r>
        <w:rPr>
          <w:rFonts w:hint="eastAsia"/>
          <w:b/>
          <w:sz w:val="24"/>
          <w:highlight w:val="none"/>
        </w:rPr>
        <w:t xml:space="preserve">要求</w:t>
      </w:r>
      <w:r/>
    </w:p>
    <w:tbl>
      <w:tblPr>
        <w:tblStyle w:val="81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1922"/>
        <w:gridCol w:w="7140"/>
      </w:tblGrid>
      <w:tr>
        <w:trPr>
          <w:jc w:val="center"/>
          <w:trHeight w:val="300"/>
        </w:trPr>
        <w:tc>
          <w:tcPr>
            <w:tcW w:w="402" w:type="pct"/>
            <w:vAlign w:val="center"/>
            <w:textDirection w:val="lrTb"/>
            <w:noWrap w:val="false"/>
          </w:tcPr>
          <w:p>
            <w:pPr>
              <w:jc w:val="center"/>
              <w:widowControl/>
              <w:rPr>
                <w:b/>
                <w:sz w:val="24"/>
                <w:highlight w:val="none"/>
              </w:rPr>
            </w:pPr>
            <w:r>
              <w:rPr>
                <w:b/>
                <w:sz w:val="24"/>
                <w:highlight w:val="none"/>
              </w:rPr>
              <w:t xml:space="preserve">序号</w:t>
            </w:r>
            <w:r/>
          </w:p>
        </w:tc>
        <w:tc>
          <w:tcPr>
            <w:tcW w:w="975" w:type="pct"/>
            <w:vAlign w:val="center"/>
            <w:textDirection w:val="lrTb"/>
            <w:noWrap w:val="false"/>
          </w:tcPr>
          <w:p>
            <w:pPr>
              <w:jc w:val="center"/>
              <w:widowControl/>
              <w:rPr>
                <w:b/>
                <w:sz w:val="24"/>
                <w:highlight w:val="none"/>
              </w:rPr>
            </w:pPr>
            <w:r>
              <w:rPr>
                <w:b/>
                <w:sz w:val="24"/>
                <w:highlight w:val="none"/>
              </w:rPr>
              <w:t xml:space="preserve">审查因素</w:t>
            </w:r>
            <w:r/>
          </w:p>
        </w:tc>
        <w:tc>
          <w:tcPr>
            <w:tcW w:w="3622" w:type="pct"/>
            <w:vAlign w:val="center"/>
            <w:textDirection w:val="lrTb"/>
            <w:noWrap w:val="false"/>
          </w:tcPr>
          <w:p>
            <w:pPr>
              <w:jc w:val="center"/>
              <w:widowControl/>
              <w:rPr>
                <w:b/>
                <w:sz w:val="24"/>
                <w:highlight w:val="none"/>
              </w:rPr>
            </w:pPr>
            <w:r>
              <w:rPr>
                <w:b/>
                <w:sz w:val="24"/>
                <w:highlight w:val="none"/>
              </w:rPr>
              <w:t xml:space="preserve">审查内容</w:t>
            </w:r>
            <w:r/>
          </w:p>
        </w:tc>
      </w:tr>
      <w:tr>
        <w:trPr>
          <w:jc w:val="center"/>
          <w:trHeight w:val="685"/>
        </w:trPr>
        <w:tc>
          <w:tcPr>
            <w:tcW w:w="402" w:type="pct"/>
            <w:vAlign w:val="center"/>
            <w:textDirection w:val="lrTb"/>
            <w:noWrap w:val="false"/>
          </w:tcPr>
          <w:p>
            <w:pPr>
              <w:jc w:val="center"/>
              <w:widowControl/>
              <w:rPr>
                <w:sz w:val="24"/>
                <w:highlight w:val="none"/>
              </w:rPr>
            </w:pPr>
            <w:r>
              <w:rPr>
                <w:sz w:val="24"/>
                <w:highlight w:val="none"/>
              </w:rPr>
              <w:t xml:space="preserve">1</w:t>
            </w:r>
            <w:r/>
          </w:p>
        </w:tc>
        <w:tc>
          <w:tcPr>
            <w:tcW w:w="975" w:type="pct"/>
            <w:vAlign w:val="center"/>
            <w:textDirection w:val="lrTb"/>
            <w:noWrap w:val="false"/>
          </w:tcPr>
          <w:p>
            <w:pPr>
              <w:jc w:val="left"/>
              <w:widowControl/>
              <w:rPr>
                <w:sz w:val="24"/>
                <w:highlight w:val="none"/>
              </w:rPr>
            </w:pPr>
            <w:r>
              <w:rPr>
                <w:rFonts w:hint="eastAsia"/>
                <w:sz w:val="24"/>
                <w:highlight w:val="none"/>
              </w:rPr>
              <w:t xml:space="preserve">投标函、法定代表人资格证明书和政府采购供应商信用承诺书</w:t>
            </w:r>
            <w:r/>
          </w:p>
        </w:tc>
        <w:tc>
          <w:tcPr>
            <w:tcW w:w="3622" w:type="pct"/>
            <w:vAlign w:val="center"/>
            <w:textDirection w:val="lrTb"/>
            <w:noWrap w:val="false"/>
          </w:tcPr>
          <w:p>
            <w:pPr>
              <w:jc w:val="left"/>
              <w:widowControl/>
              <w:rPr>
                <w:sz w:val="24"/>
                <w:highlight w:val="none"/>
              </w:rPr>
            </w:pPr>
            <w:r>
              <w:rPr>
                <w:color w:val="000000"/>
                <w:sz w:val="24"/>
                <w:highlight w:val="none"/>
              </w:rPr>
              <w:t xml:space="preserve">按招标文件要求提供</w:t>
            </w:r>
            <w:r>
              <w:rPr>
                <w:rFonts w:hint="eastAsia"/>
                <w:color w:val="000000"/>
                <w:sz w:val="24"/>
                <w:highlight w:val="none"/>
              </w:rPr>
              <w:t xml:space="preserve">投标函、法定代表人资格证明书和政府采购供应商信用承诺书</w:t>
            </w:r>
            <w:r>
              <w:rPr>
                <w:sz w:val="24"/>
                <w:highlight w:val="none"/>
              </w:rPr>
              <w:t xml:space="preserve">；</w:t>
            </w:r>
            <w:r/>
          </w:p>
        </w:tc>
      </w:tr>
      <w:tr>
        <w:trPr>
          <w:jc w:val="center"/>
          <w:trHeight w:val="685"/>
        </w:trPr>
        <w:tc>
          <w:tcPr>
            <w:tcW w:w="402" w:type="pct"/>
            <w:vAlign w:val="center"/>
            <w:textDirection w:val="lrTb"/>
            <w:noWrap w:val="false"/>
          </w:tcPr>
          <w:p>
            <w:pPr>
              <w:jc w:val="center"/>
              <w:widowControl/>
              <w:rPr>
                <w:sz w:val="24"/>
                <w:highlight w:val="none"/>
              </w:rPr>
            </w:pPr>
            <w:r>
              <w:rPr>
                <w:sz w:val="24"/>
                <w:highlight w:val="none"/>
              </w:rPr>
              <w:t xml:space="preserve">2</w:t>
            </w:r>
            <w:r/>
          </w:p>
        </w:tc>
        <w:tc>
          <w:tcPr>
            <w:tcW w:w="975" w:type="pct"/>
            <w:vAlign w:val="center"/>
            <w:textDirection w:val="lrTb"/>
            <w:noWrap w:val="false"/>
          </w:tcPr>
          <w:p>
            <w:pPr>
              <w:jc w:val="left"/>
              <w:widowControl/>
              <w:rPr>
                <w:sz w:val="24"/>
                <w:highlight w:val="none"/>
              </w:rPr>
            </w:pPr>
            <w:r>
              <w:rPr>
                <w:sz w:val="24"/>
                <w:highlight w:val="none"/>
              </w:rPr>
              <w:t xml:space="preserve">投标完整性</w:t>
            </w:r>
            <w:r/>
          </w:p>
        </w:tc>
        <w:tc>
          <w:tcPr>
            <w:tcW w:w="3622" w:type="pct"/>
            <w:vAlign w:val="center"/>
            <w:textDirection w:val="lrTb"/>
            <w:noWrap w:val="false"/>
          </w:tcPr>
          <w:p>
            <w:pPr>
              <w:jc w:val="left"/>
              <w:widowControl/>
              <w:rPr>
                <w:sz w:val="24"/>
                <w:highlight w:val="none"/>
              </w:rPr>
            </w:pPr>
            <w:r>
              <w:rPr>
                <w:rFonts w:hint="eastAsia"/>
                <w:sz w:val="24"/>
                <w:highlight w:val="none"/>
              </w:rPr>
              <w:t xml:space="preserve">未</w:t>
            </w:r>
            <w:r>
              <w:rPr>
                <w:sz w:val="24"/>
                <w:highlight w:val="none"/>
              </w:rPr>
              <w:t xml:space="preserve">将一个采购包中的内容拆开投标；</w:t>
            </w:r>
            <w:r/>
          </w:p>
        </w:tc>
      </w:tr>
      <w:tr>
        <w:trPr>
          <w:jc w:val="center"/>
          <w:trHeight w:val="685"/>
        </w:trPr>
        <w:tc>
          <w:tcPr>
            <w:tcW w:w="402" w:type="pct"/>
            <w:vAlign w:val="center"/>
            <w:textDirection w:val="lrTb"/>
            <w:noWrap w:val="false"/>
          </w:tcPr>
          <w:p>
            <w:pPr>
              <w:jc w:val="center"/>
              <w:widowControl/>
              <w:rPr>
                <w:sz w:val="24"/>
                <w:highlight w:val="none"/>
              </w:rPr>
            </w:pPr>
            <w:r>
              <w:rPr>
                <w:sz w:val="24"/>
                <w:highlight w:val="none"/>
              </w:rPr>
              <w:t xml:space="preserve">3</w:t>
            </w:r>
            <w:r/>
          </w:p>
        </w:tc>
        <w:tc>
          <w:tcPr>
            <w:tcW w:w="975" w:type="pct"/>
            <w:vAlign w:val="center"/>
            <w:textDirection w:val="lrTb"/>
            <w:noWrap w:val="false"/>
          </w:tcPr>
          <w:p>
            <w:pPr>
              <w:jc w:val="left"/>
              <w:widowControl/>
              <w:rPr>
                <w:b/>
                <w:bCs/>
                <w:sz w:val="24"/>
                <w:highlight w:val="none"/>
              </w:rPr>
            </w:pPr>
            <w:r>
              <w:rPr>
                <w:b/>
                <w:bCs/>
                <w:sz w:val="24"/>
                <w:highlight w:val="none"/>
              </w:rPr>
              <w:t xml:space="preserve">投标报价</w:t>
            </w:r>
            <w:r/>
          </w:p>
        </w:tc>
        <w:tc>
          <w:tcPr>
            <w:tcW w:w="3622" w:type="pct"/>
            <w:vAlign w:val="center"/>
            <w:textDirection w:val="lrTb"/>
            <w:noWrap w:val="false"/>
          </w:tcPr>
          <w:p>
            <w:pPr>
              <w:jc w:val="left"/>
              <w:widowControl/>
              <w:rPr>
                <w:b/>
                <w:bCs/>
                <w:sz w:val="24"/>
                <w:highlight w:val="none"/>
              </w:rPr>
            </w:pPr>
            <w:r>
              <w:rPr>
                <w:b/>
                <w:bCs/>
                <w:sz w:val="24"/>
                <w:highlight w:val="none"/>
              </w:rPr>
              <w:t xml:space="preserve">投标报价</w:t>
            </w:r>
            <w:r>
              <w:rPr>
                <w:rFonts w:hint="eastAsia"/>
                <w:b/>
                <w:bCs/>
                <w:sz w:val="24"/>
                <w:highlight w:val="none"/>
              </w:rPr>
              <w:t xml:space="preserve">未</w:t>
            </w:r>
            <w:r>
              <w:rPr>
                <w:b/>
                <w:bCs/>
                <w:sz w:val="24"/>
                <w:highlight w:val="none"/>
              </w:rPr>
              <w:t xml:space="preserve">超过</w:t>
            </w:r>
            <w:r>
              <w:rPr>
                <w:rFonts w:hint="eastAsia"/>
                <w:b/>
                <w:bCs/>
                <w:sz w:val="24"/>
                <w:highlight w:val="none"/>
                <w:lang w:val="en-US" w:eastAsia="zh-CN"/>
              </w:rPr>
              <w:t xml:space="preserve">招标</w:t>
            </w:r>
            <w:r>
              <w:rPr>
                <w:rFonts w:hint="eastAsia"/>
                <w:b/>
                <w:bCs/>
                <w:sz w:val="24"/>
                <w:highlight w:val="none"/>
              </w:rPr>
              <w:t xml:space="preserve">文件</w:t>
            </w:r>
            <w:r>
              <w:rPr>
                <w:b/>
                <w:bCs/>
                <w:sz w:val="24"/>
                <w:highlight w:val="none"/>
              </w:rPr>
              <w:t xml:space="preserve">中规定的项目预算金额或者</w:t>
            </w:r>
            <w:r>
              <w:rPr>
                <w:rFonts w:hint="eastAsia"/>
                <w:b/>
                <w:bCs/>
                <w:sz w:val="24"/>
                <w:highlight w:val="none"/>
              </w:rPr>
              <w:t xml:space="preserve">相应标段</w:t>
            </w:r>
            <w:r>
              <w:rPr>
                <w:b/>
                <w:bCs/>
                <w:sz w:val="24"/>
                <w:highlight w:val="none"/>
              </w:rPr>
              <w:t xml:space="preserve">最高限价；</w:t>
            </w:r>
            <w:r/>
          </w:p>
        </w:tc>
      </w:tr>
      <w:tr>
        <w:trPr>
          <w:jc w:val="center"/>
          <w:trHeight w:val="685"/>
        </w:trPr>
        <w:tc>
          <w:tcPr>
            <w:tcW w:w="402" w:type="pct"/>
            <w:vAlign w:val="center"/>
            <w:textDirection w:val="lrTb"/>
            <w:noWrap w:val="false"/>
          </w:tcPr>
          <w:p>
            <w:pPr>
              <w:jc w:val="center"/>
              <w:widowControl/>
              <w:rPr>
                <w:sz w:val="24"/>
                <w:highlight w:val="none"/>
              </w:rPr>
            </w:pPr>
            <w:r>
              <w:rPr>
                <w:sz w:val="24"/>
                <w:highlight w:val="none"/>
              </w:rPr>
              <w:t xml:space="preserve">4</w:t>
            </w:r>
            <w:r/>
          </w:p>
        </w:tc>
        <w:tc>
          <w:tcPr>
            <w:tcW w:w="975" w:type="pct"/>
            <w:vAlign w:val="center"/>
            <w:textDirection w:val="lrTb"/>
            <w:noWrap w:val="false"/>
          </w:tcPr>
          <w:p>
            <w:pPr>
              <w:jc w:val="left"/>
              <w:widowControl/>
              <w:rPr>
                <w:sz w:val="24"/>
                <w:highlight w:val="none"/>
              </w:rPr>
            </w:pPr>
            <w:r>
              <w:rPr>
                <w:sz w:val="24"/>
                <w:highlight w:val="none"/>
              </w:rPr>
              <w:t xml:space="preserve">报价唯一性</w:t>
            </w:r>
            <w:r/>
          </w:p>
        </w:tc>
        <w:tc>
          <w:tcPr>
            <w:tcW w:w="3622" w:type="pct"/>
            <w:vAlign w:val="center"/>
            <w:textDirection w:val="lrTb"/>
            <w:noWrap w:val="false"/>
          </w:tcPr>
          <w:p>
            <w:pPr>
              <w:jc w:val="left"/>
              <w:widowControl/>
              <w:rPr>
                <w:sz w:val="24"/>
                <w:highlight w:val="none"/>
              </w:rPr>
            </w:pPr>
            <w:r>
              <w:rPr>
                <w:sz w:val="24"/>
                <w:highlight w:val="none"/>
              </w:rPr>
              <w:t xml:space="preserve">投标文件</w:t>
            </w:r>
            <w:r>
              <w:rPr>
                <w:rFonts w:hint="eastAsia"/>
                <w:sz w:val="24"/>
                <w:highlight w:val="none"/>
              </w:rPr>
              <w:t xml:space="preserve">未出现可选择性或可调整的报价（</w:t>
            </w:r>
            <w:r>
              <w:rPr>
                <w:rFonts w:hint="eastAsia"/>
                <w:sz w:val="24"/>
                <w:highlight w:val="none"/>
                <w:lang w:val="en-US" w:eastAsia="zh-CN"/>
              </w:rPr>
              <w:t xml:space="preserve">招标</w:t>
            </w:r>
            <w:r>
              <w:rPr>
                <w:rFonts w:hint="eastAsia"/>
                <w:sz w:val="24"/>
                <w:highlight w:val="none"/>
              </w:rPr>
              <w:t xml:space="preserve">文件另有规定的除外）</w:t>
            </w:r>
            <w:r>
              <w:rPr>
                <w:sz w:val="24"/>
                <w:highlight w:val="none"/>
              </w:rPr>
              <w:t xml:space="preserve">；</w:t>
            </w:r>
            <w:r/>
          </w:p>
        </w:tc>
      </w:tr>
      <w:tr>
        <w:trPr>
          <w:jc w:val="center"/>
          <w:trHeight w:val="685"/>
        </w:trPr>
        <w:tc>
          <w:tcPr>
            <w:tcW w:w="402" w:type="pct"/>
            <w:vAlign w:val="center"/>
            <w:textDirection w:val="lrTb"/>
            <w:noWrap w:val="false"/>
          </w:tcPr>
          <w:p>
            <w:pPr>
              <w:jc w:val="center"/>
              <w:widowControl/>
              <w:rPr>
                <w:sz w:val="24"/>
                <w:highlight w:val="none"/>
              </w:rPr>
            </w:pPr>
            <w:r>
              <w:rPr>
                <w:sz w:val="24"/>
                <w:highlight w:val="none"/>
              </w:rPr>
              <w:t xml:space="preserve">5</w:t>
            </w:r>
            <w:r/>
          </w:p>
        </w:tc>
        <w:tc>
          <w:tcPr>
            <w:tcW w:w="975" w:type="pct"/>
            <w:vAlign w:val="center"/>
            <w:textDirection w:val="lrTb"/>
            <w:noWrap w:val="false"/>
          </w:tcPr>
          <w:p>
            <w:pPr>
              <w:jc w:val="left"/>
              <w:widowControl/>
              <w:rPr>
                <w:sz w:val="24"/>
                <w:highlight w:val="none"/>
              </w:rPr>
            </w:pPr>
            <w:r>
              <w:rPr>
                <w:sz w:val="24"/>
                <w:highlight w:val="none"/>
              </w:rPr>
              <w:t xml:space="preserve">投标有效期</w:t>
            </w:r>
            <w:r/>
          </w:p>
        </w:tc>
        <w:tc>
          <w:tcPr>
            <w:tcW w:w="3622" w:type="pct"/>
            <w:vAlign w:val="center"/>
            <w:textDirection w:val="lrTb"/>
            <w:noWrap w:val="false"/>
          </w:tcPr>
          <w:p>
            <w:pPr>
              <w:jc w:val="left"/>
              <w:widowControl/>
              <w:rPr>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sz w:val="24"/>
                <w:highlight w:val="none"/>
              </w:rPr>
              <w:t xml:space="preserve">；</w:t>
            </w:r>
            <w:r/>
          </w:p>
        </w:tc>
      </w:tr>
      <w:tr>
        <w:trPr>
          <w:jc w:val="center"/>
          <w:trHeight w:val="685"/>
        </w:trPr>
        <w:tc>
          <w:tcPr>
            <w:tcW w:w="402" w:type="pct"/>
            <w:vAlign w:val="center"/>
            <w:textDirection w:val="lrTb"/>
            <w:noWrap w:val="false"/>
          </w:tcPr>
          <w:p>
            <w:pPr>
              <w:jc w:val="center"/>
              <w:widowControl/>
              <w:rPr>
                <w:sz w:val="24"/>
                <w:highlight w:val="none"/>
              </w:rPr>
            </w:pPr>
            <w:r>
              <w:rPr>
                <w:sz w:val="24"/>
                <w:highlight w:val="none"/>
              </w:rPr>
              <w:t xml:space="preserve">6</w:t>
            </w:r>
            <w:r/>
          </w:p>
        </w:tc>
        <w:tc>
          <w:tcPr>
            <w:tcW w:w="975" w:type="pct"/>
            <w:vAlign w:val="center"/>
            <w:textDirection w:val="lrTb"/>
            <w:noWrap w:val="false"/>
          </w:tcPr>
          <w:p>
            <w:pPr>
              <w:jc w:val="left"/>
              <w:widowControl/>
              <w:rPr>
                <w:sz w:val="24"/>
                <w:highlight w:val="none"/>
              </w:rPr>
            </w:pPr>
            <w:r>
              <w:rPr>
                <w:sz w:val="24"/>
                <w:highlight w:val="none"/>
              </w:rPr>
              <w:t xml:space="preserve">签署、加盖公章</w:t>
            </w:r>
            <w:r/>
          </w:p>
        </w:tc>
        <w:tc>
          <w:tcPr>
            <w:tcW w:w="3622" w:type="pct"/>
            <w:vAlign w:val="center"/>
            <w:textDirection w:val="lrTb"/>
            <w:noWrap w:val="false"/>
          </w:tcPr>
          <w:p>
            <w:pPr>
              <w:jc w:val="left"/>
              <w:widowControl/>
              <w:rPr>
                <w:sz w:val="24"/>
                <w:highlight w:val="none"/>
              </w:rPr>
            </w:pPr>
            <w:r>
              <w:rPr>
                <w:color w:val="000000"/>
                <w:sz w:val="24"/>
                <w:highlight w:val="none"/>
              </w:rPr>
              <w:t xml:space="preserve">按照招标文件要求签署、加盖公章的</w:t>
            </w:r>
            <w:r>
              <w:rPr>
                <w:sz w:val="24"/>
                <w:highlight w:val="none"/>
              </w:rPr>
              <w:t xml:space="preserve">；</w:t>
            </w:r>
            <w:r/>
          </w:p>
        </w:tc>
      </w:tr>
      <w:tr>
        <w:trPr>
          <w:jc w:val="center"/>
          <w:trHeight w:val="685"/>
        </w:trPr>
        <w:tc>
          <w:tcPr>
            <w:tcW w:w="402" w:type="pct"/>
            <w:vAlign w:val="center"/>
            <w:textDirection w:val="lrTb"/>
            <w:noWrap w:val="false"/>
          </w:tcPr>
          <w:p>
            <w:pPr>
              <w:jc w:val="center"/>
              <w:widowControl/>
              <w:rPr>
                <w:sz w:val="24"/>
                <w:highlight w:val="none"/>
              </w:rPr>
            </w:pPr>
            <w:r>
              <w:rPr>
                <w:rFonts w:hint="eastAsia"/>
                <w:sz w:val="24"/>
                <w:highlight w:val="none"/>
              </w:rPr>
              <w:t xml:space="preserve">7</w:t>
            </w:r>
            <w:r/>
          </w:p>
        </w:tc>
        <w:tc>
          <w:tcPr>
            <w:tcW w:w="975" w:type="pct"/>
            <w:vAlign w:val="center"/>
            <w:textDirection w:val="lrTb"/>
            <w:noWrap w:val="false"/>
          </w:tcPr>
          <w:p>
            <w:pPr>
              <w:jc w:val="left"/>
              <w:widowControl/>
              <w:rPr>
                <w:sz w:val="24"/>
                <w:highlight w:val="none"/>
              </w:rPr>
            </w:pPr>
            <w:r>
              <w:rPr>
                <w:rFonts w:hint="eastAsia"/>
                <w:sz w:val="24"/>
                <w:highlight w:val="none"/>
              </w:rPr>
              <w:t xml:space="preserve">实质性格式</w:t>
            </w:r>
            <w:r/>
          </w:p>
        </w:tc>
        <w:tc>
          <w:tcPr>
            <w:tcW w:w="3622" w:type="pct"/>
            <w:vAlign w:val="center"/>
            <w:textDirection w:val="lrTb"/>
            <w:noWrap w:val="false"/>
          </w:tcPr>
          <w:p>
            <w:pPr>
              <w:jc w:val="left"/>
              <w:widowControl/>
              <w:rPr>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p>
        </w:tc>
      </w:tr>
      <w:tr>
        <w:trPr>
          <w:jc w:val="center"/>
          <w:trHeight w:val="685"/>
        </w:trPr>
        <w:tc>
          <w:tcPr>
            <w:tcW w:w="402" w:type="pct"/>
            <w:vAlign w:val="center"/>
            <w:textDirection w:val="lrTb"/>
            <w:noWrap w:val="false"/>
          </w:tcPr>
          <w:p>
            <w:pPr>
              <w:jc w:val="center"/>
              <w:widowControl/>
              <w:rPr>
                <w:sz w:val="24"/>
                <w:highlight w:val="none"/>
              </w:rPr>
            </w:pPr>
            <w:r>
              <w:rPr>
                <w:rFonts w:hint="eastAsia"/>
                <w:sz w:val="24"/>
                <w:highlight w:val="none"/>
              </w:rPr>
              <w:t xml:space="preserve">8</w:t>
            </w:r>
            <w:r/>
          </w:p>
        </w:tc>
        <w:tc>
          <w:tcPr>
            <w:tcW w:w="975" w:type="pct"/>
            <w:vAlign w:val="center"/>
            <w:textDirection w:val="lrTb"/>
            <w:noWrap w:val="false"/>
          </w:tcPr>
          <w:p>
            <w:pPr>
              <w:jc w:val="left"/>
              <w:widowControl/>
              <w:rPr>
                <w:sz w:val="24"/>
                <w:highlight w:val="none"/>
              </w:rPr>
            </w:pPr>
            <w:r>
              <w:rPr>
                <w:sz w:val="24"/>
                <w:highlight w:val="none"/>
              </w:rPr>
              <w:t xml:space="preserve">报价的修正</w:t>
            </w:r>
            <w:r/>
          </w:p>
        </w:tc>
        <w:tc>
          <w:tcPr>
            <w:tcW w:w="3622" w:type="pct"/>
            <w:vAlign w:val="center"/>
            <w:textDirection w:val="lrTb"/>
            <w:noWrap w:val="false"/>
          </w:tcPr>
          <w:p>
            <w:pPr>
              <w:jc w:val="left"/>
              <w:widowControl/>
              <w:rPr>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w:t>
            </w:r>
            <w:r>
              <w:rPr>
                <w:sz w:val="24"/>
                <w:highlight w:val="none"/>
              </w:rPr>
              <w:t xml:space="preserve">；</w:t>
            </w:r>
            <w:r/>
          </w:p>
        </w:tc>
      </w:tr>
      <w:tr>
        <w:trPr>
          <w:jc w:val="center"/>
          <w:trHeight w:val="685"/>
        </w:trPr>
        <w:tc>
          <w:tcPr>
            <w:tcW w:w="402" w:type="pct"/>
            <w:vAlign w:val="center"/>
            <w:textDirection w:val="lrTb"/>
            <w:noWrap w:val="false"/>
          </w:tcPr>
          <w:p>
            <w:pPr>
              <w:jc w:val="center"/>
              <w:widowControl/>
              <w:rPr>
                <w:sz w:val="24"/>
                <w:highlight w:val="none"/>
              </w:rPr>
            </w:pPr>
            <w:r>
              <w:rPr>
                <w:rFonts w:hint="eastAsia"/>
                <w:sz w:val="24"/>
                <w:highlight w:val="none"/>
              </w:rPr>
              <w:t xml:space="preserve">9</w:t>
            </w:r>
            <w:r/>
          </w:p>
        </w:tc>
        <w:tc>
          <w:tcPr>
            <w:tcW w:w="975" w:type="pct"/>
            <w:vAlign w:val="center"/>
            <w:textDirection w:val="lrTb"/>
            <w:noWrap w:val="false"/>
          </w:tcPr>
          <w:p>
            <w:pPr>
              <w:jc w:val="left"/>
              <w:widowControl/>
              <w:rPr>
                <w:sz w:val="24"/>
                <w:highlight w:val="none"/>
              </w:rPr>
            </w:pPr>
            <w:r>
              <w:rPr>
                <w:sz w:val="24"/>
                <w:highlight w:val="none"/>
              </w:rPr>
              <w:t xml:space="preserve">报价合理性</w:t>
            </w:r>
            <w:r/>
          </w:p>
        </w:tc>
        <w:tc>
          <w:tcPr>
            <w:tcW w:w="3622" w:type="pct"/>
            <w:vAlign w:val="center"/>
            <w:textDirection w:val="lrTb"/>
            <w:noWrap w:val="false"/>
          </w:tcPr>
          <w:p>
            <w:pPr>
              <w:jc w:val="left"/>
              <w:widowControl/>
              <w:rPr>
                <w:sz w:val="24"/>
                <w:highlight w:val="none"/>
              </w:rPr>
            </w:pPr>
            <w:r>
              <w:rPr>
                <w:color w:val="000000"/>
                <w:sz w:val="24"/>
                <w:highlight w:val="none"/>
              </w:rPr>
              <w:t xml:space="preserve">报价合理，或</w:t>
            </w:r>
            <w:r>
              <w:rPr>
                <w:rFonts w:hint="eastAsia"/>
                <w:sz w:val="24"/>
                <w:highlight w:val="none"/>
              </w:rPr>
              <w:t xml:space="preserve">投标人的报价明显低于其他通过符合性审查投标人的报价，</w:t>
            </w:r>
            <w:r>
              <w:rPr>
                <w:sz w:val="24"/>
                <w:highlight w:val="none"/>
              </w:rPr>
              <w:t xml:space="preserve">有可能影响产品质量或者不能诚信履约的</w:t>
            </w:r>
            <w:r>
              <w:rPr>
                <w:rFonts w:hint="eastAsia"/>
                <w:sz w:val="24"/>
                <w:highlight w:val="none"/>
              </w:rPr>
              <w:t xml:space="preserve">，能够应评标委员会要求在规定时间内证明其报价合理性的</w:t>
            </w:r>
            <w:r>
              <w:rPr>
                <w:sz w:val="24"/>
                <w:highlight w:val="none"/>
              </w:rPr>
              <w:t xml:space="preserve">；</w:t>
            </w:r>
            <w:r/>
          </w:p>
        </w:tc>
      </w:tr>
      <w:tr>
        <w:trPr>
          <w:jc w:val="center"/>
          <w:trHeight w:val="685"/>
        </w:trPr>
        <w:tc>
          <w:tcPr>
            <w:tcW w:w="402" w:type="pct"/>
            <w:vAlign w:val="center"/>
            <w:textDirection w:val="lrTb"/>
            <w:noWrap w:val="false"/>
          </w:tcPr>
          <w:p>
            <w:pPr>
              <w:jc w:val="center"/>
              <w:widowControl/>
              <w:rPr>
                <w:sz w:val="24"/>
                <w:highlight w:val="none"/>
              </w:rPr>
            </w:pPr>
            <w:r>
              <w:rPr>
                <w:rFonts w:hint="eastAsia"/>
                <w:sz w:val="24"/>
                <w:highlight w:val="none"/>
              </w:rPr>
              <w:t xml:space="preserve">10</w:t>
            </w:r>
            <w:r/>
          </w:p>
        </w:tc>
        <w:tc>
          <w:tcPr>
            <w:tcW w:w="975" w:type="pct"/>
            <w:vAlign w:val="center"/>
            <w:textDirection w:val="lrTb"/>
            <w:noWrap w:val="false"/>
          </w:tcPr>
          <w:p>
            <w:pPr>
              <w:jc w:val="left"/>
              <w:widowControl/>
              <w:rPr>
                <w:sz w:val="24"/>
                <w:highlight w:val="none"/>
              </w:rPr>
            </w:pPr>
            <w:r>
              <w:rPr>
                <w:sz w:val="24"/>
                <w:highlight w:val="none"/>
              </w:rPr>
              <w:t xml:space="preserve">公平竞争</w:t>
            </w:r>
            <w:r/>
          </w:p>
        </w:tc>
        <w:tc>
          <w:tcPr>
            <w:tcW w:w="3622" w:type="pct"/>
            <w:vAlign w:val="center"/>
            <w:textDirection w:val="lrTb"/>
            <w:noWrap w:val="false"/>
          </w:tcPr>
          <w:p>
            <w:pPr>
              <w:jc w:val="left"/>
              <w:widowControl/>
              <w:rPr>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rPr>
                <w:sz w:val="24"/>
                <w:highlight w:val="none"/>
              </w:rPr>
              <w:t xml:space="preserve">；</w:t>
            </w:r>
            <w:r/>
          </w:p>
        </w:tc>
      </w:tr>
      <w:tr>
        <w:trPr>
          <w:jc w:val="center"/>
          <w:trHeight w:val="685"/>
        </w:trPr>
        <w:tc>
          <w:tcPr>
            <w:tcW w:w="402" w:type="pct"/>
            <w:vAlign w:val="center"/>
            <w:textDirection w:val="lrTb"/>
            <w:noWrap w:val="false"/>
          </w:tcPr>
          <w:p>
            <w:pPr>
              <w:jc w:val="center"/>
              <w:widowControl/>
              <w:rPr>
                <w:sz w:val="24"/>
                <w:highlight w:val="none"/>
              </w:rPr>
            </w:pPr>
            <w:r>
              <w:rPr>
                <w:rFonts w:hint="eastAsia"/>
                <w:sz w:val="24"/>
                <w:highlight w:val="none"/>
              </w:rPr>
              <w:t xml:space="preserve">11</w:t>
            </w:r>
            <w:r/>
          </w:p>
        </w:tc>
        <w:tc>
          <w:tcPr>
            <w:tcW w:w="975" w:type="pct"/>
            <w:vAlign w:val="center"/>
            <w:textDirection w:val="lrTb"/>
            <w:noWrap w:val="false"/>
          </w:tcPr>
          <w:p>
            <w:pPr>
              <w:jc w:val="left"/>
              <w:widowControl/>
              <w:rPr>
                <w:sz w:val="24"/>
                <w:highlight w:val="none"/>
              </w:rPr>
            </w:pPr>
            <w:r>
              <w:rPr>
                <w:sz w:val="24"/>
                <w:highlight w:val="none"/>
              </w:rPr>
              <w:t xml:space="preserve">串通投标</w:t>
            </w:r>
            <w:r/>
          </w:p>
        </w:tc>
        <w:tc>
          <w:tcPr>
            <w:tcW w:w="3622" w:type="pct"/>
            <w:vAlign w:val="center"/>
            <w:textDirection w:val="lrTb"/>
            <w:noWrap w:val="false"/>
          </w:tcPr>
          <w:p>
            <w:pPr>
              <w:jc w:val="left"/>
              <w:widowControl/>
              <w:rPr>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hint="eastAsia"/>
                <w:sz w:val="24"/>
                <w:highlight w:val="none"/>
              </w:rPr>
              <w:t xml:space="preserve">；</w:t>
            </w:r>
            <w:r/>
          </w:p>
        </w:tc>
      </w:tr>
      <w:tr>
        <w:trPr>
          <w:jc w:val="center"/>
          <w:trHeight w:val="685"/>
        </w:trPr>
        <w:tc>
          <w:tcPr>
            <w:tcW w:w="402" w:type="pct"/>
            <w:vAlign w:val="center"/>
            <w:textDirection w:val="lrTb"/>
            <w:noWrap w:val="false"/>
          </w:tcPr>
          <w:p>
            <w:pPr>
              <w:jc w:val="center"/>
              <w:widowControl/>
              <w:rPr>
                <w:sz w:val="24"/>
                <w:highlight w:val="none"/>
              </w:rPr>
            </w:pPr>
            <w:r>
              <w:rPr>
                <w:rFonts w:hint="eastAsia"/>
                <w:sz w:val="24"/>
                <w:highlight w:val="none"/>
              </w:rPr>
              <w:t xml:space="preserve">12</w:t>
            </w:r>
            <w:r/>
          </w:p>
        </w:tc>
        <w:tc>
          <w:tcPr>
            <w:tcW w:w="975" w:type="pct"/>
            <w:vAlign w:val="center"/>
            <w:textDirection w:val="lrTb"/>
            <w:noWrap w:val="false"/>
          </w:tcPr>
          <w:p>
            <w:pPr>
              <w:jc w:val="left"/>
              <w:widowControl/>
              <w:rPr>
                <w:sz w:val="24"/>
                <w:highlight w:val="none"/>
              </w:rPr>
            </w:pPr>
            <w:r>
              <w:rPr>
                <w:sz w:val="24"/>
                <w:highlight w:val="none"/>
              </w:rPr>
              <w:t xml:space="preserve">附加条件</w:t>
            </w:r>
            <w:r/>
          </w:p>
        </w:tc>
        <w:tc>
          <w:tcPr>
            <w:tcW w:w="3622" w:type="pct"/>
            <w:vAlign w:val="center"/>
            <w:textDirection w:val="lrTb"/>
            <w:noWrap w:val="false"/>
          </w:tcPr>
          <w:p>
            <w:pPr>
              <w:jc w:val="left"/>
              <w:widowControl/>
              <w:rPr>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sz w:val="24"/>
                <w:highlight w:val="none"/>
              </w:rPr>
              <w:t xml:space="preserve">；</w:t>
            </w:r>
            <w:r/>
          </w:p>
        </w:tc>
      </w:tr>
      <w:tr>
        <w:trPr>
          <w:jc w:val="center"/>
          <w:trHeight w:val="685"/>
        </w:trPr>
        <w:tc>
          <w:tcPr>
            <w:tcW w:w="402" w:type="pct"/>
            <w:vAlign w:val="center"/>
            <w:textDirection w:val="lrTb"/>
            <w:noWrap w:val="false"/>
          </w:tcPr>
          <w:p>
            <w:pPr>
              <w:jc w:val="center"/>
              <w:widowControl/>
              <w:rPr>
                <w:sz w:val="24"/>
                <w:highlight w:val="none"/>
              </w:rPr>
            </w:pPr>
            <w:r>
              <w:rPr>
                <w:rFonts w:hint="eastAsia"/>
                <w:sz w:val="24"/>
                <w:highlight w:val="none"/>
              </w:rPr>
              <w:t xml:space="preserve">13</w:t>
            </w:r>
            <w:r/>
          </w:p>
        </w:tc>
        <w:tc>
          <w:tcPr>
            <w:tcW w:w="975" w:type="pct"/>
            <w:vAlign w:val="center"/>
            <w:textDirection w:val="lrTb"/>
            <w:noWrap w:val="false"/>
          </w:tcPr>
          <w:p>
            <w:pPr>
              <w:jc w:val="left"/>
              <w:widowControl/>
              <w:rPr>
                <w:sz w:val="24"/>
                <w:highlight w:val="none"/>
              </w:rPr>
            </w:pPr>
            <w:r>
              <w:rPr>
                <w:sz w:val="24"/>
                <w:highlight w:val="none"/>
              </w:rPr>
              <w:t xml:space="preserve">其他无效情形</w:t>
            </w:r>
            <w:r/>
          </w:p>
        </w:tc>
        <w:tc>
          <w:tcPr>
            <w:tcW w:w="3622" w:type="pct"/>
            <w:vAlign w:val="center"/>
            <w:textDirection w:val="lrTb"/>
            <w:noWrap w:val="false"/>
          </w:tcPr>
          <w:p>
            <w:pPr>
              <w:jc w:val="left"/>
              <w:widowControl/>
              <w:rPr>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sz w:val="24"/>
                <w:highlight w:val="none"/>
              </w:rPr>
              <w:t xml:space="preserve">。</w:t>
            </w:r>
            <w:r/>
          </w:p>
        </w:tc>
      </w:tr>
    </w:tbl>
    <w:p>
      <w:pPr>
        <w:numPr>
          <w:ilvl w:val="0"/>
          <w:numId w:val="12"/>
        </w:numPr>
        <w:spacing w:line="360" w:lineRule="auto"/>
        <w:tabs>
          <w:tab w:val="left" w:pos="1080" w:leader="none"/>
          <w:tab w:val="left" w:pos="1589" w:leader="none"/>
        </w:tabs>
        <w:rPr>
          <w:sz w:val="24"/>
          <w:highlight w:val="none"/>
        </w:rPr>
        <w:sectPr>
          <w:headerReference w:type="default" r:id="rId9"/>
          <w:footerReference w:type="default" r:id="rId14"/>
          <w:footerReference w:type="even" r:id="rId15"/>
          <w:footnotePr/>
          <w:endnotePr/>
          <w:type w:val="nextPage"/>
          <w:pgSz w:w="11907" w:h="16840" w:orient="portrait"/>
          <w:pgMar w:top="1418" w:right="1134" w:bottom="1418" w:left="1134" w:header="851" w:footer="851" w:gutter="0"/>
          <w:cols w:num="1" w:sep="0" w:space="720" w:equalWidth="1"/>
          <w:docGrid w:linePitch="360"/>
        </w:sectPr>
      </w:pPr>
      <w:r>
        <w:rPr>
          <w:sz w:val="24"/>
          <w:highlight w:val="none"/>
        </w:rPr>
      </w:r>
      <w:r/>
    </w:p>
    <w:p>
      <w:pPr>
        <w:numPr>
          <w:ilvl w:val="0"/>
          <w:numId w:val="11"/>
        </w:numPr>
        <w:spacing w:line="360" w:lineRule="auto"/>
        <w:tabs>
          <w:tab w:val="left" w:pos="360" w:leader="none"/>
        </w:tabs>
        <w:rPr>
          <w:sz w:val="24"/>
          <w:highlight w:val="none"/>
        </w:rPr>
        <w:outlineLvl w:val="1"/>
      </w:pPr>
      <w:r>
        <w:rPr>
          <w:sz w:val="24"/>
          <w:highlight w:val="none"/>
        </w:rPr>
        <w:t xml:space="preserve">投标文件有关事项的澄清或者说明</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评标过程中，评标委员会将</w:t>
      </w:r>
      <w:r>
        <w:rPr>
          <w:rFonts w:hint="eastAsia"/>
          <w:sz w:val="24"/>
          <w:highlight w:val="none"/>
        </w:rPr>
        <w:t xml:space="preserve">通过</w:t>
      </w:r>
      <w:r>
        <w:rPr>
          <w:rFonts w:hint="eastAsia" w:eastAsia="宋体"/>
          <w:sz w:val="24"/>
          <w:highlight w:val="none"/>
          <w:lang w:eastAsia="zh-CN"/>
        </w:rPr>
        <w:t xml:space="preserve">“苏采云”政府采购一体化平台</w:t>
      </w:r>
      <w:r>
        <w:rPr>
          <w:rFonts w:hint="eastAsia"/>
          <w:sz w:val="24"/>
          <w:highlight w:val="none"/>
        </w:rPr>
        <w:t xml:space="preserve">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p>
    <w:p>
      <w:pPr>
        <w:numPr>
          <w:ilvl w:val="1"/>
          <w:numId w:val="11"/>
        </w:numPr>
        <w:ind w:left="1077" w:hanging="720"/>
        <w:spacing w:line="360" w:lineRule="auto"/>
        <w:tabs>
          <w:tab w:val="left" w:pos="1080" w:leader="none"/>
        </w:tabs>
        <w:rPr>
          <w:rFonts w:hint="eastAsia" w:ascii="宋体" w:hAnsi="宋体" w:eastAsia="宋体" w:cs="宋体"/>
          <w:b/>
          <w:bCs/>
          <w:sz w:val="24"/>
          <w:szCs w:val="24"/>
          <w:highlight w:val="none"/>
          <w:u w:val="single"/>
          <w:lang w:val="en-US" w:eastAsia="zh-CN"/>
        </w:rPr>
      </w:pPr>
      <w:r>
        <w:rPr>
          <w:rFonts w:hint="eastAsia" w:ascii="宋体" w:hAnsi="宋体" w:eastAsia="宋体" w:cs="宋体"/>
          <w:b/>
          <w:bCs/>
          <w:sz w:val="24"/>
          <w:szCs w:val="24"/>
          <w:highlight w:val="none"/>
          <w:u w:val="single"/>
          <w:lang w:val="en-US" w:eastAsia="zh-CN"/>
        </w:rPr>
        <w:t xml:space="preserve">评审委员会启动异常低价投标（响应）审查的情形和具体要求，包括：</w:t>
      </w:r>
      <w:r/>
    </w:p>
    <w:p>
      <w:pPr>
        <w:numPr>
          <w:ilvl w:val="0"/>
          <w:numId w:val="0"/>
        </w:numPr>
        <w:ind w:firstLine="480"/>
        <w:jc w:val="left"/>
        <w:spacing w:line="360" w:lineRule="auto"/>
        <w:widowControl/>
        <w:tabs>
          <w:tab w:val="left" w:pos="840" w:leader="none"/>
          <w:tab w:val="left" w:pos="1872" w:leader="none"/>
        </w:tabs>
        <w:rPr>
          <w:rFonts w:hint="eastAsia" w:ascii="宋体" w:hAnsi="宋体" w:eastAsia="宋体" w:cs="宋体"/>
          <w:b/>
          <w:bCs/>
          <w:sz w:val="24"/>
          <w:szCs w:val="24"/>
          <w:highlight w:val="none"/>
          <w:u w:val="single"/>
          <w:lang w:val="en-US" w:eastAsia="zh-CN"/>
        </w:rPr>
      </w:pPr>
      <w:r>
        <w:rPr>
          <w:rFonts w:hint="eastAsia" w:ascii="宋体" w:hAnsi="宋体" w:eastAsia="宋体" w:cs="宋体"/>
          <w:b/>
          <w:bCs/>
          <w:sz w:val="24"/>
          <w:szCs w:val="24"/>
          <w:highlight w:val="none"/>
          <w:u w:val="single"/>
          <w:lang w:val="en-US" w:eastAsia="zh-CN"/>
        </w:rPr>
        <w:t xml:space="preserve">（一）评审过程中出现下列情形之一的，评审委员会应当启动异常低价投标（响应）审查程序：</w:t>
      </w:r>
      <w:r/>
    </w:p>
    <w:p>
      <w:pPr>
        <w:numPr>
          <w:ilvl w:val="0"/>
          <w:numId w:val="0"/>
        </w:numPr>
        <w:ind w:firstLine="480"/>
        <w:jc w:val="left"/>
        <w:spacing w:line="360" w:lineRule="auto"/>
        <w:widowControl/>
        <w:tabs>
          <w:tab w:val="left" w:pos="840" w:leader="none"/>
          <w:tab w:val="left" w:pos="1872" w:leader="none"/>
        </w:tabs>
        <w:rPr>
          <w:rFonts w:hint="eastAsia" w:ascii="宋体" w:hAnsi="宋体" w:eastAsia="宋体" w:cs="宋体"/>
          <w:b/>
          <w:bCs/>
          <w:sz w:val="24"/>
          <w:szCs w:val="24"/>
          <w:highlight w:val="none"/>
          <w:u w:val="single"/>
          <w:lang w:val="en-US" w:eastAsia="zh-CN"/>
        </w:rPr>
      </w:pPr>
      <w:r>
        <w:rPr>
          <w:rFonts w:hint="eastAsia" w:ascii="宋体" w:hAnsi="宋体" w:eastAsia="宋体" w:cs="宋体"/>
          <w:b/>
          <w:bCs/>
          <w:sz w:val="24"/>
          <w:szCs w:val="24"/>
          <w:highlight w:val="none"/>
          <w:u w:val="single"/>
          <w:lang w:val="en-US" w:eastAsia="zh-CN"/>
        </w:rPr>
        <w:t xml:space="preserve">1.投标（响应）报价低于采购项目预算50%的，即投标（响应）报价&lt;采购项目预算×50% ；</w:t>
      </w:r>
      <w:r/>
    </w:p>
    <w:p>
      <w:pPr>
        <w:numPr>
          <w:ilvl w:val="0"/>
          <w:numId w:val="0"/>
        </w:numPr>
        <w:ind w:firstLine="480"/>
        <w:jc w:val="left"/>
        <w:spacing w:line="360" w:lineRule="auto"/>
        <w:widowControl/>
        <w:tabs>
          <w:tab w:val="left" w:pos="840" w:leader="none"/>
          <w:tab w:val="left" w:pos="1872" w:leader="none"/>
        </w:tabs>
        <w:rPr>
          <w:rFonts w:hint="eastAsia" w:ascii="宋体" w:hAnsi="宋体" w:eastAsia="宋体" w:cs="宋体"/>
          <w:b/>
          <w:bCs/>
          <w:sz w:val="24"/>
          <w:szCs w:val="24"/>
          <w:highlight w:val="none"/>
          <w:u w:val="single"/>
          <w:lang w:val="en-US" w:eastAsia="zh-CN"/>
        </w:rPr>
      </w:pPr>
      <w:r>
        <w:rPr>
          <w:rFonts w:hint="eastAsia" w:ascii="宋体" w:hAnsi="宋体" w:eastAsia="宋体" w:cs="宋体"/>
          <w:b/>
          <w:bCs/>
          <w:sz w:val="24"/>
          <w:szCs w:val="24"/>
          <w:highlight w:val="none"/>
          <w:u w:val="single"/>
          <w:lang w:val="en-US" w:eastAsia="zh-CN"/>
        </w:rPr>
        <w:t xml:space="preserve">2.投标（响应）报价低于采购项目最高限价45%的，即投标（响应）报价&lt;采购项目最高限价×45% ；</w:t>
      </w:r>
      <w:r/>
    </w:p>
    <w:p>
      <w:pPr>
        <w:numPr>
          <w:ilvl w:val="0"/>
          <w:numId w:val="0"/>
        </w:numPr>
        <w:ind w:firstLine="480"/>
        <w:jc w:val="left"/>
        <w:spacing w:line="360" w:lineRule="auto"/>
        <w:widowControl/>
        <w:tabs>
          <w:tab w:val="left" w:pos="840" w:leader="none"/>
          <w:tab w:val="left" w:pos="1872" w:leader="none"/>
        </w:tabs>
        <w:rPr>
          <w:rFonts w:hint="eastAsia" w:ascii="宋体" w:hAnsi="宋体" w:eastAsia="宋体" w:cs="宋体"/>
          <w:b/>
          <w:bCs/>
          <w:sz w:val="24"/>
          <w:szCs w:val="24"/>
          <w:highlight w:val="none"/>
          <w:u w:val="single"/>
          <w:lang w:val="en-US" w:eastAsia="zh-CN"/>
        </w:rPr>
      </w:pPr>
      <w:r>
        <w:rPr>
          <w:rFonts w:hint="eastAsia" w:ascii="宋体" w:hAnsi="宋体" w:eastAsia="宋体" w:cs="宋体"/>
          <w:b/>
          <w:bCs/>
          <w:sz w:val="24"/>
          <w:szCs w:val="24"/>
          <w:highlight w:val="none"/>
          <w:u w:val="single"/>
          <w:lang w:val="en-US" w:eastAsia="zh-CN"/>
        </w:rPr>
        <w:t xml:space="preserve">3.评审委员会认定的供应商报价过低、有可能影响产品质量或者不能诚信履约的其他情形。</w:t>
      </w:r>
      <w:r/>
    </w:p>
    <w:p>
      <w:pPr>
        <w:numPr>
          <w:ilvl w:val="0"/>
          <w:numId w:val="0"/>
        </w:numPr>
        <w:ind w:firstLine="480"/>
        <w:jc w:val="left"/>
        <w:spacing w:line="360" w:lineRule="auto"/>
        <w:widowControl/>
        <w:tabs>
          <w:tab w:val="left" w:pos="840" w:leader="none"/>
          <w:tab w:val="left" w:pos="1872" w:leader="none"/>
        </w:tabs>
        <w:rPr>
          <w:sz w:val="24"/>
          <w:highlight w:val="none"/>
        </w:rPr>
      </w:pPr>
      <w:r>
        <w:rPr>
          <w:rFonts w:hint="eastAsia" w:ascii="宋体" w:hAnsi="宋体" w:eastAsia="宋体" w:cs="宋体"/>
          <w:b/>
          <w:bCs/>
          <w:sz w:val="24"/>
          <w:szCs w:val="24"/>
          <w:highlight w:val="none"/>
          <w:u w:val="single"/>
          <w:lang w:val="en-US" w:eastAsia="zh-CN"/>
        </w:rPr>
        <w:t xml:space="preserve">（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1"/>
          <w:numId w:val="11"/>
        </w:numPr>
        <w:ind w:left="1077" w:hanging="720"/>
        <w:spacing w:line="360" w:lineRule="auto"/>
        <w:tabs>
          <w:tab w:val="left" w:pos="1080" w:leader="none"/>
        </w:tabs>
        <w:rPr>
          <w:sz w:val="24"/>
          <w:highlight w:val="none"/>
        </w:rPr>
      </w:pPr>
      <w:r>
        <w:rPr>
          <w:sz w:val="24"/>
          <w:highlight w:val="none"/>
        </w:rPr>
        <w:t xml:space="preserve">投标报价须包含</w:t>
      </w:r>
      <w:r>
        <w:rPr>
          <w:rFonts w:hint="eastAsia"/>
          <w:sz w:val="24"/>
          <w:highlight w:val="none"/>
          <w:lang w:val="en-US" w:eastAsia="zh-CN"/>
        </w:rPr>
        <w:t xml:space="preserve">招标</w:t>
      </w:r>
      <w:r>
        <w:rPr>
          <w:rFonts w:hint="eastAsia"/>
          <w:sz w:val="24"/>
          <w:highlight w:val="none"/>
        </w:rPr>
        <w:t xml:space="preserve">文件</w:t>
      </w:r>
      <w:r>
        <w:rPr>
          <w:sz w:val="24"/>
          <w:highlight w:val="none"/>
        </w:rPr>
        <w:t xml:space="preserve">全部内容，如分项报价表有缺漏视为已含在其他各项报价中，将不对投标总价进行调整。评标委员会有权要求</w:t>
      </w: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在</w:t>
      </w:r>
      <w:r>
        <w:rPr>
          <w:rFonts w:hint="eastAsia"/>
          <w:sz w:val="24"/>
          <w:highlight w:val="none"/>
        </w:rPr>
        <w:t xml:space="preserve">规定</w:t>
      </w:r>
      <w:r>
        <w:rPr>
          <w:sz w:val="24"/>
          <w:highlight w:val="none"/>
        </w:rPr>
        <w:t xml:space="preserve">的时间内对此进行书面确认，</w:t>
      </w: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不确认的，视为将一个采购包中的内容拆开投标，其</w:t>
      </w:r>
      <w:r>
        <w:rPr>
          <w:b/>
          <w:sz w:val="24"/>
          <w:highlight w:val="none"/>
        </w:rPr>
        <w:t xml:space="preserve">投标无效</w:t>
      </w:r>
      <w:r>
        <w:rPr>
          <w:sz w:val="24"/>
          <w:highlight w:val="none"/>
        </w:rPr>
        <w:t xml:space="preserve">。</w:t>
      </w:r>
      <w:r/>
    </w:p>
    <w:p>
      <w:pPr>
        <w:numPr>
          <w:ilvl w:val="1"/>
          <w:numId w:val="11"/>
        </w:numPr>
        <w:ind w:left="1077" w:hanging="720"/>
        <w:spacing w:line="360" w:lineRule="auto"/>
        <w:tabs>
          <w:tab w:val="left" w:pos="1080" w:leader="none"/>
        </w:tabs>
        <w:rPr>
          <w:sz w:val="24"/>
          <w:highlight w:val="none"/>
        </w:rPr>
      </w:pPr>
      <w:r>
        <w:rPr>
          <w:sz w:val="24"/>
          <w:highlight w:val="none"/>
        </w:rPr>
        <w:t xml:space="preserve">投标文件报价出现前后不一致的，按照下列规定修正：</w:t>
      </w:r>
      <w:r/>
    </w:p>
    <w:p>
      <w:pPr>
        <w:numPr>
          <w:ilvl w:val="2"/>
          <w:numId w:val="11"/>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招标文件对于报价修正是否另有规定：</w:t>
      </w:r>
      <w:r/>
    </w:p>
    <w:p>
      <w:pPr>
        <w:numPr>
          <w:ilvl w:val="0"/>
          <w:numId w:val="0"/>
        </w:numPr>
        <w:ind w:left="1135" w:firstLine="960"/>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□有，具体规定为：______________</w:t>
      </w:r>
      <w:r/>
    </w:p>
    <w:p>
      <w:pPr>
        <w:numPr>
          <w:ilvl w:val="0"/>
          <w:numId w:val="0"/>
        </w:numPr>
        <w:ind w:left="1135" w:firstLine="960"/>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■无，按下述2.4.2-2.4.7项规定修正。</w:t>
      </w:r>
      <w:r/>
    </w:p>
    <w:p>
      <w:pPr>
        <w:numPr>
          <w:ilvl w:val="2"/>
          <w:numId w:val="11"/>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单独递交的开标一览表（报价表）与投标文件中开标一览表（报价表）内容不一致的，以单独递交的开标一览表（报价表）为准；</w:t>
      </w:r>
      <w:r/>
    </w:p>
    <w:p>
      <w:pPr>
        <w:numPr>
          <w:ilvl w:val="2"/>
          <w:numId w:val="11"/>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投标文件中开标一览表（报价表）内容与投标文件中相应内容不一致的，以开标一览表（报价表）为准；</w:t>
      </w:r>
      <w:r/>
    </w:p>
    <w:p>
      <w:pPr>
        <w:numPr>
          <w:ilvl w:val="2"/>
          <w:numId w:val="11"/>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大写金额和小写金额不一致的，以大写金额为准；</w:t>
      </w:r>
      <w:r/>
    </w:p>
    <w:p>
      <w:pPr>
        <w:numPr>
          <w:ilvl w:val="2"/>
          <w:numId w:val="11"/>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单价金额小数点或者百分比有明显错位的，以开标一览表的总价为准，并修改单价；</w:t>
      </w:r>
      <w:r/>
    </w:p>
    <w:p>
      <w:pPr>
        <w:numPr>
          <w:ilvl w:val="2"/>
          <w:numId w:val="11"/>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w:t>
      </w: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书面确认后产生约束力，</w:t>
      </w: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不确认的，其</w:t>
      </w:r>
      <w:r>
        <w:rPr>
          <w:b/>
          <w:sz w:val="24"/>
          <w:highlight w:val="none"/>
        </w:rPr>
        <w:t xml:space="preserve">投标无效</w:t>
      </w:r>
      <w:r>
        <w:rPr>
          <w:sz w:val="24"/>
          <w:highlight w:val="none"/>
        </w:rPr>
        <w:t xml:space="preserve">。</w:t>
      </w:r>
      <w:r/>
    </w:p>
    <w:p>
      <w:pPr>
        <w:numPr>
          <w:ilvl w:val="0"/>
          <w:numId w:val="0"/>
        </w:numPr>
        <w:ind w:left="1199" w:hanging="720"/>
        <w:spacing w:line="360" w:lineRule="auto"/>
        <w:tabs>
          <w:tab w:val="left" w:pos="1080" w:leader="none"/>
          <w:tab w:val="left" w:pos="1589" w:leader="none"/>
          <w:tab w:val="left" w:pos="2014" w:leader="none"/>
        </w:tabs>
        <w:rPr>
          <w:rFonts w:hint="eastAsia"/>
          <w:sz w:val="24"/>
          <w:highlight w:val="none"/>
          <w:lang w:val="en-US" w:eastAsia="zh-CN"/>
        </w:rPr>
      </w:pPr>
      <w:r>
        <w:rPr>
          <w:rFonts w:hint="eastAsia"/>
          <w:sz w:val="24"/>
          <w:highlight w:val="none"/>
          <w:lang w:val="en-US" w:eastAsia="zh-CN"/>
        </w:rPr>
        <w:t xml:space="preserve">2.5    落实政府采购政策的价格调整：只有符合第二章《投标人须知》5.2条规定情形的，可以享受中小企业扶持政策，用扣除后的价格参加评审；否则，评标时价格不予扣除。</w:t>
      </w:r>
      <w:r/>
    </w:p>
    <w:p>
      <w:pPr>
        <w:numPr>
          <w:ilvl w:val="0"/>
          <w:numId w:val="0"/>
        </w:numPr>
        <w:ind w:left="1135"/>
        <w:spacing w:line="360" w:lineRule="auto"/>
        <w:tabs>
          <w:tab w:val="left" w:pos="1080" w:leader="none"/>
          <w:tab w:val="left" w:pos="1589" w:leader="none"/>
          <w:tab w:val="left" w:pos="2014" w:leader="none"/>
        </w:tabs>
        <w:rPr>
          <w:rFonts w:hint="eastAsia"/>
          <w:sz w:val="24"/>
          <w:highlight w:val="none"/>
          <w:lang w:val="en-US" w:eastAsia="zh-CN"/>
        </w:rPr>
      </w:pPr>
      <w:r>
        <w:rPr>
          <w:rFonts w:hint="eastAsia"/>
          <w:sz w:val="24"/>
          <w:highlight w:val="none"/>
          <w:lang w:val="en-US" w:eastAsia="zh-CN"/>
        </w:rPr>
        <w:t xml:space="preserve">2.5.1   对于未预留份额专门面向中小企业采购的采购项目，以及预留份额项目中的非预留部分采购包，对小微企业报价给予20%的扣除，用扣除后的价格参加评审。</w:t>
      </w:r>
      <w:r/>
    </w:p>
    <w:p>
      <w:pPr>
        <w:numPr>
          <w:ilvl w:val="0"/>
          <w:numId w:val="0"/>
        </w:numPr>
        <w:ind w:left="1135"/>
        <w:spacing w:line="360" w:lineRule="auto"/>
        <w:tabs>
          <w:tab w:val="left" w:pos="1080" w:leader="none"/>
          <w:tab w:val="left" w:pos="1589" w:leader="none"/>
          <w:tab w:val="left" w:pos="2014" w:leader="none"/>
        </w:tabs>
        <w:rPr>
          <w:rFonts w:hint="eastAsia"/>
          <w:sz w:val="24"/>
          <w:highlight w:val="none"/>
          <w:lang w:val="en-US" w:eastAsia="zh-CN"/>
        </w:rPr>
      </w:pPr>
      <w:r>
        <w:rPr>
          <w:rFonts w:hint="eastAsia"/>
          <w:sz w:val="24"/>
          <w:highlight w:val="none"/>
          <w:lang w:val="en-US" w:eastAsia="zh-CN"/>
        </w:rPr>
        <w:t xml:space="preserve">2.5.2   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30%以上的联合体或者大中型企业的报价给予3%的扣除，用扣除后的价格参加评审。</w:t>
      </w:r>
      <w:r/>
    </w:p>
    <w:p>
      <w:pPr>
        <w:numPr>
          <w:ilvl w:val="0"/>
          <w:numId w:val="0"/>
        </w:numPr>
        <w:ind w:left="1135"/>
        <w:spacing w:line="360" w:lineRule="auto"/>
        <w:tabs>
          <w:tab w:val="left" w:pos="1080" w:leader="none"/>
          <w:tab w:val="left" w:pos="1589" w:leader="none"/>
          <w:tab w:val="left" w:pos="2014" w:leader="none"/>
        </w:tabs>
        <w:rPr>
          <w:rFonts w:hint="eastAsia"/>
          <w:sz w:val="24"/>
          <w:highlight w:val="none"/>
          <w:lang w:val="en-US" w:eastAsia="zh-CN"/>
        </w:rPr>
      </w:pPr>
      <w:r>
        <w:rPr>
          <w:rFonts w:hint="eastAsia"/>
          <w:sz w:val="24"/>
          <w:highlight w:val="none"/>
          <w:lang w:val="en-US" w:eastAsia="zh-CN"/>
        </w:rPr>
        <w:t xml:space="preserve">2.5.3   组成联合体或者接受分包的小微企业与联合体内其他企业、分包企业之间存在直接控股、管理关系的，不享受价格扣除优惠政策。</w:t>
      </w:r>
      <w:r/>
    </w:p>
    <w:p>
      <w:pPr>
        <w:numPr>
          <w:ilvl w:val="0"/>
          <w:numId w:val="0"/>
        </w:numPr>
        <w:ind w:left="1135"/>
        <w:spacing w:line="360" w:lineRule="auto"/>
        <w:tabs>
          <w:tab w:val="left" w:pos="1080" w:leader="none"/>
          <w:tab w:val="left" w:pos="1589" w:leader="none"/>
          <w:tab w:val="left" w:pos="2014" w:leader="none"/>
        </w:tabs>
        <w:rPr>
          <w:rFonts w:hint="eastAsia"/>
          <w:sz w:val="24"/>
          <w:highlight w:val="none"/>
          <w:lang w:val="en-US" w:eastAsia="zh-CN"/>
        </w:rPr>
      </w:pPr>
      <w:r>
        <w:rPr>
          <w:rFonts w:hint="eastAsia"/>
          <w:sz w:val="24"/>
          <w:highlight w:val="none"/>
          <w:lang w:val="en-US" w:eastAsia="zh-CN"/>
        </w:rPr>
        <w:t xml:space="preserve">2.5.4   价格扣除比例对小型企业和微型企业同等对待，不作区分。</w:t>
      </w:r>
      <w:r/>
    </w:p>
    <w:p>
      <w:pPr>
        <w:numPr>
          <w:ilvl w:val="0"/>
          <w:numId w:val="0"/>
        </w:numPr>
        <w:ind w:left="1135"/>
        <w:spacing w:line="360" w:lineRule="auto"/>
        <w:tabs>
          <w:tab w:val="left" w:pos="1080" w:leader="none"/>
          <w:tab w:val="left" w:pos="1589" w:leader="none"/>
          <w:tab w:val="left" w:pos="2014" w:leader="none"/>
        </w:tabs>
        <w:rPr>
          <w:rFonts w:hint="eastAsia"/>
          <w:sz w:val="24"/>
          <w:highlight w:val="none"/>
          <w:lang w:val="en-US" w:eastAsia="zh-CN"/>
        </w:rPr>
      </w:pPr>
      <w:r>
        <w:rPr>
          <w:rFonts w:hint="eastAsia"/>
          <w:sz w:val="24"/>
          <w:highlight w:val="none"/>
          <w:lang w:val="en-US" w:eastAsia="zh-CN"/>
        </w:rPr>
        <w:t xml:space="preserve">2.5.5   中小企业参加政府采购活动，应当按照招标文件给定的格式出具《中小企业声明函》，否则不得享受相关中小企业扶持政策。</w:t>
      </w:r>
      <w:r/>
    </w:p>
    <w:p>
      <w:pPr>
        <w:numPr>
          <w:ilvl w:val="0"/>
          <w:numId w:val="0"/>
        </w:numPr>
        <w:ind w:left="1135"/>
        <w:spacing w:line="360" w:lineRule="auto"/>
        <w:tabs>
          <w:tab w:val="left" w:pos="1080" w:leader="none"/>
          <w:tab w:val="left" w:pos="1589" w:leader="none"/>
          <w:tab w:val="left" w:pos="2014" w:leader="none"/>
        </w:tabs>
        <w:rPr>
          <w:rFonts w:hint="eastAsia"/>
          <w:sz w:val="24"/>
          <w:highlight w:val="none"/>
          <w:lang w:val="en-US" w:eastAsia="zh-CN"/>
        </w:rPr>
      </w:pPr>
      <w:r>
        <w:rPr>
          <w:rFonts w:hint="eastAsia"/>
          <w:sz w:val="24"/>
          <w:highlight w:val="none"/>
          <w:lang w:val="en-US" w:eastAsia="zh-CN"/>
        </w:rPr>
        <w:t xml:space="preserve">2.5.6   监狱企业提供了由省级以上监狱管理局（常州市含教育矫治局）、戒毒管理局（含新疆生产建设兵团）出具的属于监狱企业的证明文件的，视同小微企业。</w:t>
      </w:r>
      <w:r/>
    </w:p>
    <w:p>
      <w:pPr>
        <w:numPr>
          <w:ilvl w:val="0"/>
          <w:numId w:val="0"/>
        </w:numPr>
        <w:ind w:left="1135"/>
        <w:spacing w:line="360" w:lineRule="auto"/>
        <w:tabs>
          <w:tab w:val="left" w:pos="1080" w:leader="none"/>
          <w:tab w:val="left" w:pos="1589" w:leader="none"/>
          <w:tab w:val="left" w:pos="2014" w:leader="none"/>
        </w:tabs>
        <w:rPr>
          <w:rFonts w:hint="eastAsia"/>
          <w:sz w:val="24"/>
          <w:highlight w:val="none"/>
          <w:lang w:val="en-US" w:eastAsia="zh-CN"/>
        </w:rPr>
      </w:pPr>
      <w:r>
        <w:rPr>
          <w:rFonts w:hint="eastAsia"/>
          <w:sz w:val="24"/>
          <w:highlight w:val="none"/>
          <w:lang w:val="en-US" w:eastAsia="zh-CN"/>
        </w:rPr>
        <w:t xml:space="preserve">2.5.7   残疾人福利性单位按招标文件要求提供了《残疾人福利性单位声明函》（见附件）的，视同小微企业。</w:t>
      </w:r>
      <w:r/>
    </w:p>
    <w:p>
      <w:pPr>
        <w:numPr>
          <w:ilvl w:val="0"/>
          <w:numId w:val="0"/>
        </w:numPr>
        <w:ind w:left="1135"/>
        <w:spacing w:line="360" w:lineRule="auto"/>
        <w:tabs>
          <w:tab w:val="left" w:pos="1080" w:leader="none"/>
          <w:tab w:val="left" w:pos="1589" w:leader="none"/>
          <w:tab w:val="left" w:pos="2014" w:leader="none"/>
        </w:tabs>
        <w:rPr>
          <w:rFonts w:hint="eastAsia"/>
          <w:sz w:val="24"/>
          <w:highlight w:val="none"/>
          <w:lang w:val="en-US" w:eastAsia="zh-CN"/>
        </w:rPr>
      </w:pPr>
      <w:r>
        <w:rPr>
          <w:rFonts w:hint="eastAsia"/>
          <w:sz w:val="24"/>
          <w:highlight w:val="none"/>
          <w:lang w:val="en-US" w:eastAsia="zh-CN"/>
        </w:rPr>
        <w:t xml:space="preserve">2.5.8   若投标人同时属于小型或微型企业、监狱企业、残疾人福利性单位中的两种及以上，将不重复享受小微企业价格扣减的优惠政策。</w:t>
      </w:r>
      <w:r/>
    </w:p>
    <w:p>
      <w:pPr>
        <w:numPr>
          <w:ilvl w:val="0"/>
          <w:numId w:val="0"/>
        </w:numPr>
        <w:ind w:firstLine="480"/>
        <w:spacing w:line="360" w:lineRule="auto"/>
        <w:tabs>
          <w:tab w:val="left" w:pos="1080" w:leader="none"/>
          <w:tab w:val="left" w:pos="1589" w:leader="none"/>
          <w:tab w:val="left" w:pos="2014" w:leader="none"/>
        </w:tabs>
        <w:rPr>
          <w:rFonts w:hint="eastAsia"/>
          <w:sz w:val="24"/>
          <w:highlight w:val="none"/>
          <w:lang w:val="en-US" w:eastAsia="zh-CN"/>
        </w:rPr>
      </w:pPr>
      <w:r>
        <w:rPr>
          <w:rFonts w:hint="eastAsia"/>
          <w:sz w:val="24"/>
          <w:highlight w:val="none"/>
          <w:lang w:val="en-US" w:eastAsia="zh-CN"/>
        </w:rPr>
        <w:t xml:space="preserve">2.6    落实政府采购政策（采购本国产品的支持政策）的价格调整：</w:t>
      </w:r>
      <w:r/>
    </w:p>
    <w:p>
      <w:pPr>
        <w:numPr>
          <w:ilvl w:val="0"/>
          <w:numId w:val="0"/>
        </w:numPr>
        <w:ind w:left="1135"/>
        <w:spacing w:line="360" w:lineRule="auto"/>
        <w:tabs>
          <w:tab w:val="left" w:pos="1080" w:leader="none"/>
          <w:tab w:val="left" w:pos="1589" w:leader="none"/>
          <w:tab w:val="left" w:pos="2014" w:leader="none"/>
        </w:tabs>
        <w:rPr>
          <w:rFonts w:hint="eastAsia"/>
          <w:sz w:val="24"/>
          <w:highlight w:val="none"/>
          <w:lang w:val="en-US" w:eastAsia="zh-CN"/>
        </w:rPr>
      </w:pPr>
      <w:r>
        <w:rPr>
          <w:rFonts w:hint="eastAsia"/>
          <w:sz w:val="24"/>
          <w:highlight w:val="none"/>
          <w:lang w:val="en-US" w:eastAsia="zh-CN"/>
        </w:rPr>
        <w:t xml:space="preserve">2.6.1   本项目政府采购活动中既有本国产品又有非本国产品参与竞争的，依法对本国产品给予价格评审优惠，对本国产品的报价给予 20%的价格扣除，用扣除后的价格参与评审。</w:t>
      </w:r>
      <w:r/>
    </w:p>
    <w:p>
      <w:pPr>
        <w:numPr>
          <w:ilvl w:val="0"/>
          <w:numId w:val="0"/>
        </w:numPr>
        <w:ind w:left="1135"/>
        <w:spacing w:line="360" w:lineRule="auto"/>
        <w:tabs>
          <w:tab w:val="left" w:pos="1080" w:leader="none"/>
          <w:tab w:val="left" w:pos="1589" w:leader="none"/>
          <w:tab w:val="left" w:pos="2014" w:leader="none"/>
        </w:tabs>
        <w:rPr>
          <w:rFonts w:hint="eastAsia"/>
          <w:sz w:val="24"/>
          <w:highlight w:val="none"/>
          <w:lang w:val="en-US" w:eastAsia="zh-CN"/>
        </w:rPr>
      </w:pPr>
      <w:r>
        <w:rPr>
          <w:rFonts w:hint="eastAsia"/>
          <w:sz w:val="24"/>
          <w:highlight w:val="none"/>
          <w:lang w:val="en-US" w:eastAsia="zh-CN"/>
        </w:rPr>
        <w:t xml:space="preserve">2.6.2   当采购项目或者采购包中含有多种产品，供应商为该采购项目或者采购包提供的符合本国产品标准的产品成本之和占该供应商提供的全部产品成本之和的比例达到80%以上时（供应商需在“第六章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left="1135"/>
        <w:spacing w:line="360" w:lineRule="auto"/>
        <w:tabs>
          <w:tab w:val="left" w:pos="1080" w:leader="none"/>
          <w:tab w:val="left" w:pos="1589" w:leader="none"/>
          <w:tab w:val="left" w:pos="2014" w:leader="none"/>
        </w:tabs>
        <w:rPr>
          <w:rFonts w:hint="eastAsia"/>
          <w:sz w:val="24"/>
          <w:highlight w:val="none"/>
          <w:lang w:val="en-US" w:eastAsia="zh-CN"/>
        </w:rPr>
      </w:pPr>
      <w:r>
        <w:rPr>
          <w:rFonts w:hint="eastAsia"/>
          <w:sz w:val="24"/>
          <w:highlight w:val="none"/>
          <w:lang w:val="en-US" w:eastAsia="zh-CN"/>
        </w:rPr>
        <w:t xml:space="preserve">2.6.3   供应商需按照招标文件的要求提供《关于符合本国产品标准的声明函》（以下简称《声明函》），如不提供将不享受本国产品价格评审优惠。</w:t>
      </w:r>
      <w:r/>
    </w:p>
    <w:p>
      <w:pPr>
        <w:numPr>
          <w:ilvl w:val="0"/>
          <w:numId w:val="0"/>
        </w:numPr>
        <w:ind w:left="1135"/>
        <w:spacing w:line="360" w:lineRule="auto"/>
        <w:tabs>
          <w:tab w:val="left" w:pos="1080" w:leader="none"/>
          <w:tab w:val="left" w:pos="1589" w:leader="none"/>
          <w:tab w:val="left" w:pos="2014" w:leader="none"/>
        </w:tabs>
        <w:rPr>
          <w:rFonts w:hint="eastAsia"/>
          <w:sz w:val="24"/>
          <w:highlight w:val="none"/>
          <w:lang w:val="en-US" w:eastAsia="zh-CN"/>
        </w:rPr>
      </w:pPr>
      <w:r>
        <w:rPr>
          <w:rFonts w:hint="eastAsia"/>
          <w:sz w:val="24"/>
          <w:highlight w:val="none"/>
          <w:lang w:val="en-US" w:eastAsia="zh-CN"/>
        </w:rPr>
        <w:t xml:space="preserve">2.6.4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left="1135"/>
        <w:spacing w:line="360" w:lineRule="auto"/>
        <w:tabs>
          <w:tab w:val="left" w:pos="1080" w:leader="none"/>
          <w:tab w:val="left" w:pos="1589" w:leader="none"/>
          <w:tab w:val="left" w:pos="2014" w:leader="none"/>
        </w:tabs>
        <w:rPr>
          <w:rFonts w:hint="eastAsia"/>
          <w:sz w:val="24"/>
          <w:highlight w:val="none"/>
          <w:lang w:val="en-US" w:eastAsia="zh-CN"/>
        </w:rPr>
      </w:pPr>
      <w:r>
        <w:rPr>
          <w:rFonts w:hint="eastAsia"/>
          <w:sz w:val="24"/>
          <w:highlight w:val="none"/>
          <w:lang w:val="en-US" w:eastAsia="zh-CN"/>
        </w:rPr>
        <w:t xml:space="preserve">2.6.5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ind w:left="1135"/>
        <w:spacing w:line="360" w:lineRule="auto"/>
        <w:tabs>
          <w:tab w:val="left" w:pos="1080" w:leader="none"/>
          <w:tab w:val="left" w:pos="1589" w:leader="none"/>
          <w:tab w:val="left" w:pos="2014" w:leader="none"/>
        </w:tabs>
        <w:rPr>
          <w:sz w:val="24"/>
          <w:highlight w:val="none"/>
        </w:rPr>
      </w:pPr>
      <w:r>
        <w:rPr>
          <w:rFonts w:hint="eastAsia"/>
          <w:sz w:val="24"/>
          <w:highlight w:val="none"/>
          <w:lang w:val="en-US" w:eastAsia="zh-CN"/>
        </w:rPr>
        <w:t xml:space="preserve">2.6.6   对本国产品给予的价格评审优惠与小微企业价格扣减的优惠政策可重复享受。</w:t>
      </w:r>
      <w:r/>
    </w:p>
    <w:p>
      <w:pPr>
        <w:numPr>
          <w:ilvl w:val="0"/>
          <w:numId w:val="11"/>
        </w:numPr>
        <w:spacing w:line="360" w:lineRule="auto"/>
        <w:tabs>
          <w:tab w:val="left" w:pos="360" w:leader="none"/>
        </w:tabs>
        <w:rPr>
          <w:sz w:val="24"/>
          <w:highlight w:val="none"/>
        </w:rPr>
        <w:outlineLvl w:val="1"/>
      </w:pPr>
      <w:r>
        <w:rPr>
          <w:sz w:val="24"/>
          <w:highlight w:val="none"/>
        </w:rPr>
        <w:t xml:space="preserve">投标文件的比较和评价</w:t>
      </w:r>
      <w:bookmarkEnd w:id="636"/>
      <w:r/>
      <w:bookmarkEnd w:id="637"/>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评标委员会将按照</w:t>
      </w:r>
      <w:r>
        <w:rPr>
          <w:rFonts w:hint="eastAsia"/>
          <w:sz w:val="24"/>
          <w:highlight w:val="none"/>
          <w:lang w:val="en-US" w:eastAsia="zh-CN"/>
        </w:rPr>
        <w:t xml:space="preserve">招标</w:t>
      </w:r>
      <w:r>
        <w:rPr>
          <w:rFonts w:hint="eastAsia"/>
          <w:sz w:val="24"/>
          <w:highlight w:val="none"/>
        </w:rPr>
        <w:t xml:space="preserve">文件</w:t>
      </w:r>
      <w:r>
        <w:rPr>
          <w:sz w:val="24"/>
          <w:highlight w:val="none"/>
        </w:rPr>
        <w:t xml:space="preserve">中规定的评标方法和标准，对符合性审查合格的投标文件进行商务和技术评估，综合比较与评价；未通过符合性审查的投标文件不得进入比较与评价。</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评标方法和评标标准</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本项目采用的评标方法为：综合评分法，指投标文件满足</w:t>
      </w:r>
      <w:r>
        <w:rPr>
          <w:rFonts w:hint="eastAsia"/>
          <w:sz w:val="24"/>
          <w:highlight w:val="none"/>
          <w:lang w:val="en-US" w:eastAsia="zh-CN"/>
        </w:rPr>
        <w:t xml:space="preserve">招标</w:t>
      </w:r>
      <w:r>
        <w:rPr>
          <w:rFonts w:hint="eastAsia"/>
          <w:sz w:val="24"/>
          <w:highlight w:val="none"/>
        </w:rPr>
        <w:t xml:space="preserve">文件</w:t>
      </w:r>
      <w:r>
        <w:rPr>
          <w:sz w:val="24"/>
          <w:highlight w:val="none"/>
        </w:rPr>
        <w:t xml:space="preserve">全部实质性要求，且按照评审因素的量化指标评审得分最高的</w:t>
      </w: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为中标候选人的评标方法，见《评标标准》</w:t>
      </w:r>
      <w:r>
        <w:rPr>
          <w:rFonts w:hint="eastAsia"/>
          <w:sz w:val="24"/>
          <w:highlight w:val="none"/>
        </w:rPr>
        <w:t xml:space="preserve">，</w:t>
      </w:r>
      <w:r>
        <w:rPr>
          <w:rFonts w:hint="eastAsia"/>
          <w:sz w:val="24"/>
          <w:highlight w:val="none"/>
          <w:lang w:val="en-US" w:eastAsia="zh-CN"/>
        </w:rPr>
        <w:t xml:space="preserve">招标</w:t>
      </w:r>
      <w:r>
        <w:rPr>
          <w:rFonts w:hint="eastAsia"/>
          <w:sz w:val="24"/>
          <w:highlight w:val="none"/>
        </w:rPr>
        <w:t xml:space="preserve">文件中没有规定的评标标准不得作为评审的依据。</w:t>
      </w:r>
      <w:r/>
    </w:p>
    <w:p>
      <w:pPr>
        <w:numPr>
          <w:ilvl w:val="0"/>
          <w:numId w:val="11"/>
        </w:numPr>
        <w:spacing w:line="360" w:lineRule="auto"/>
        <w:tabs>
          <w:tab w:val="left" w:pos="360" w:leader="none"/>
        </w:tabs>
        <w:rPr>
          <w:sz w:val="24"/>
          <w:highlight w:val="none"/>
        </w:rPr>
        <w:outlineLvl w:val="1"/>
      </w:pPr>
      <w:r>
        <w:rPr>
          <w:sz w:val="24"/>
          <w:highlight w:val="none"/>
        </w:rPr>
        <w:t xml:space="preserve">确定</w:t>
      </w:r>
      <w:bookmarkStart w:id="653" w:name="_Toc195842911"/>
      <w:r/>
      <w:bookmarkStart w:id="654" w:name="_Toc151193716"/>
      <w:r/>
      <w:bookmarkStart w:id="655" w:name="_Toc520356170"/>
      <w:r/>
      <w:bookmarkStart w:id="656" w:name="_Toc164229241"/>
      <w:r/>
      <w:bookmarkStart w:id="657" w:name="_Toc150774646"/>
      <w:r/>
      <w:bookmarkStart w:id="658" w:name="_Toc142311048"/>
      <w:r/>
      <w:bookmarkStart w:id="659" w:name="_Ref467307010"/>
      <w:r/>
      <w:bookmarkStart w:id="660" w:name="_Toc226965736"/>
      <w:r/>
      <w:bookmarkStart w:id="661" w:name="_Toc127161460"/>
      <w:r/>
      <w:bookmarkStart w:id="662" w:name="_Toc226337242"/>
      <w:r/>
      <w:bookmarkStart w:id="663" w:name="_Toc150480784"/>
      <w:r/>
      <w:bookmarkStart w:id="664" w:name="_Toc149720839"/>
      <w:r/>
      <w:bookmarkStart w:id="665" w:name="_Toc305158814"/>
      <w:r/>
      <w:bookmarkStart w:id="666" w:name="_Toc150509297"/>
      <w:r/>
      <w:bookmarkStart w:id="667" w:name="_Toc151193934"/>
      <w:r/>
      <w:bookmarkStart w:id="668" w:name="_Toc164229387"/>
      <w:r/>
      <w:bookmarkStart w:id="669" w:name="_Toc226309790"/>
      <w:r/>
      <w:bookmarkStart w:id="670" w:name="_Toc164351640"/>
      <w:r/>
      <w:bookmarkStart w:id="671" w:name="_Toc127151546"/>
      <w:r/>
      <w:bookmarkStart w:id="672" w:name="_Toc127151747"/>
      <w:r/>
      <w:bookmarkStart w:id="673" w:name="_Toc264969236"/>
      <w:r/>
      <w:bookmarkStart w:id="674" w:name="_Toc305158888"/>
      <w:r/>
      <w:bookmarkStart w:id="675" w:name="_Toc151190173"/>
      <w:r/>
      <w:bookmarkStart w:id="676" w:name="_Toc151193788"/>
      <w:r/>
      <w:bookmarkStart w:id="677" w:name="_Toc265228384"/>
      <w:r/>
      <w:bookmarkStart w:id="678" w:name="_Toc151193860"/>
      <w:r/>
      <w:bookmarkStart w:id="679" w:name="_Toc164608815"/>
      <w:r/>
      <w:bookmarkStart w:id="680" w:name="_Toc151193644"/>
      <w:r/>
      <w:bookmarkStart w:id="681" w:name="_Toc226965819"/>
      <w:r/>
      <w:bookmarkStart w:id="682" w:name="_Toc164608660"/>
      <w:r/>
      <w:bookmarkStart w:id="683" w:name="_Toc150774751"/>
      <w:r>
        <w:rPr>
          <w:sz w:val="24"/>
          <w:highlight w:val="none"/>
        </w:rPr>
        <w:t xml:space="preserve">中标候选人名单</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r/>
    </w:p>
    <w:p>
      <w:pPr>
        <w:numPr>
          <w:ilvl w:val="1"/>
          <w:numId w:val="11"/>
        </w:numPr>
        <w:ind w:left="1077" w:hanging="720"/>
        <w:spacing w:line="360" w:lineRule="auto"/>
        <w:tabs>
          <w:tab w:val="left" w:pos="1080" w:leader="none"/>
        </w:tabs>
        <w:rPr>
          <w:sz w:val="24"/>
          <w:highlight w:val="none"/>
        </w:rPr>
      </w:pPr>
      <w:r>
        <w:rPr>
          <w:sz w:val="24"/>
          <w:highlight w:val="none"/>
        </w:rPr>
        <w:t xml:space="preserve">采用综合评分法时，评标结果按评审后得分由高到低顺序排列。得分相同的，按投标报价由低到高顺序排列。得分且投标报价相同的并列。投标文件满足</w:t>
      </w:r>
      <w:r>
        <w:rPr>
          <w:rFonts w:hint="eastAsia"/>
          <w:sz w:val="24"/>
          <w:highlight w:val="none"/>
          <w:lang w:val="en-US" w:eastAsia="zh-CN"/>
        </w:rPr>
        <w:t xml:space="preserve">招标</w:t>
      </w:r>
      <w:r>
        <w:rPr>
          <w:rFonts w:hint="eastAsia"/>
          <w:sz w:val="24"/>
          <w:highlight w:val="none"/>
        </w:rPr>
        <w:t xml:space="preserve">文件</w:t>
      </w:r>
      <w:r>
        <w:rPr>
          <w:sz w:val="24"/>
          <w:highlight w:val="none"/>
        </w:rPr>
        <w:t xml:space="preserve">全部实质性要求，且按照评审因素的量化指标评审得分最高的</w:t>
      </w: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为排名第一的中标候选人。评分分值计算保留小数点后两位，第三位四舍五入。</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p>
    <w:p>
      <w:pPr>
        <w:numPr>
          <w:ilvl w:val="0"/>
          <w:numId w:val="11"/>
        </w:numPr>
        <w:spacing w:line="360" w:lineRule="auto"/>
        <w:tabs>
          <w:tab w:val="left" w:pos="360" w:leader="none"/>
        </w:tabs>
        <w:rPr>
          <w:sz w:val="24"/>
          <w:highlight w:val="none"/>
        </w:rPr>
        <w:outlineLvl w:val="1"/>
      </w:pPr>
      <w:r>
        <w:rPr>
          <w:sz w:val="24"/>
          <w:highlight w:val="none"/>
        </w:rPr>
        <w:t xml:space="preserve">报告违法行为</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评标委员会在评标过程中发现</w:t>
      </w: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有行贿、提供虚假材料或者串通等违法行为时，有向采购人、采购代理机构或者有关部门报告的职责。</w:t>
      </w:r>
      <w:r/>
    </w:p>
    <w:p>
      <w:pPr>
        <w:jc w:val="center"/>
        <w:widowControl/>
        <w:rPr>
          <w:rFonts w:hint="eastAsia" w:ascii="宋体" w:hAnsi="宋体" w:cs="宋体"/>
          <w:sz w:val="24"/>
          <w:highlight w:val="none"/>
        </w:rPr>
      </w:pPr>
      <w:r>
        <w:rPr>
          <w:b/>
          <w:sz w:val="24"/>
          <w:highlight w:val="none"/>
        </w:rPr>
        <w:br w:type="page" w:clear="all"/>
      </w:r>
      <w:r>
        <w:rPr>
          <w:b/>
          <w:sz w:val="24"/>
          <w:highlight w:val="none"/>
        </w:rPr>
        <w:t xml:space="preserve">二、评标标准</w:t>
      </w:r>
      <w:r/>
    </w:p>
    <w:p>
      <w:pPr>
        <w:ind w:firstLine="480"/>
        <w:spacing w:line="360" w:lineRule="auto"/>
        <w:tabs>
          <w:tab w:val="left" w:pos="360" w:leader="none"/>
          <w:tab w:val="left" w:pos="900" w:leader="none"/>
          <w:tab w:val="left" w:pos="1080" w:leader="none"/>
          <w:tab w:val="left" w:pos="2014" w:leader="none"/>
        </w:tabs>
        <w:rPr>
          <w:rFonts w:hint="default"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01-13标段：</w:t>
      </w:r>
      <w:r/>
    </w:p>
    <w:tbl>
      <w:tblPr>
        <w:tblStyle w:val="819"/>
        <w:tblW w:w="100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4006"/>
        <w:gridCol w:w="2812"/>
      </w:tblGrid>
      <w:tr>
        <w:trPr>
          <w:jc w:val="center"/>
        </w:trPr>
        <w:tc>
          <w:tcPr>
            <w:tcW w:w="835" w:type="dxa"/>
            <w:vAlign w:val="center"/>
            <w:textDirection w:val="lrTb"/>
            <w:noWrap w:val="false"/>
          </w:tcPr>
          <w:p>
            <w:pPr>
              <w:ind w:firstLine="28"/>
              <w:jc w:val="center"/>
              <w:rPr>
                <w:sz w:val="24"/>
                <w:highlight w:val="none"/>
              </w:rPr>
            </w:pPr>
            <w:r>
              <w:rPr>
                <w:sz w:val="24"/>
                <w:highlight w:val="none"/>
              </w:rPr>
              <w:t xml:space="preserve">序号</w:t>
            </w:r>
            <w:r/>
          </w:p>
        </w:tc>
        <w:tc>
          <w:tcPr>
            <w:tcW w:w="1462" w:type="dxa"/>
            <w:vAlign w:val="center"/>
            <w:textDirection w:val="lrTb"/>
            <w:noWrap w:val="false"/>
          </w:tcPr>
          <w:p>
            <w:pPr>
              <w:ind w:firstLine="28"/>
              <w:jc w:val="center"/>
              <w:rPr>
                <w:sz w:val="24"/>
                <w:highlight w:val="none"/>
              </w:rPr>
            </w:pPr>
            <w:r>
              <w:rPr>
                <w:sz w:val="24"/>
                <w:highlight w:val="none"/>
              </w:rPr>
              <w:t xml:space="preserve">评分因素</w:t>
            </w:r>
            <w:r/>
          </w:p>
        </w:tc>
        <w:tc>
          <w:tcPr>
            <w:tcW w:w="913" w:type="dxa"/>
            <w:vAlign w:val="center"/>
            <w:textDirection w:val="lrTb"/>
            <w:noWrap w:val="false"/>
          </w:tcPr>
          <w:p>
            <w:pPr>
              <w:ind w:firstLine="28"/>
              <w:jc w:val="center"/>
              <w:rPr>
                <w:sz w:val="24"/>
                <w:highlight w:val="none"/>
              </w:rPr>
            </w:pPr>
            <w:r>
              <w:rPr>
                <w:sz w:val="24"/>
                <w:highlight w:val="none"/>
              </w:rPr>
              <w:t xml:space="preserve">分值</w:t>
            </w:r>
            <w:r/>
          </w:p>
        </w:tc>
        <w:tc>
          <w:tcPr>
            <w:tcW w:w="4006" w:type="dxa"/>
            <w:vAlign w:val="center"/>
            <w:textDirection w:val="lrTb"/>
            <w:noWrap w:val="false"/>
          </w:tcPr>
          <w:p>
            <w:pPr>
              <w:ind w:firstLine="28"/>
              <w:jc w:val="center"/>
              <w:rPr>
                <w:sz w:val="24"/>
                <w:highlight w:val="none"/>
              </w:rPr>
            </w:pPr>
            <w:r>
              <w:rPr>
                <w:sz w:val="24"/>
                <w:highlight w:val="none"/>
              </w:rPr>
              <w:t xml:space="preserve">评分标准</w:t>
            </w:r>
            <w:r/>
          </w:p>
        </w:tc>
        <w:tc>
          <w:tcPr>
            <w:tcW w:w="2812" w:type="dxa"/>
            <w:vAlign w:val="center"/>
            <w:textDirection w:val="lrTb"/>
            <w:noWrap w:val="false"/>
          </w:tcPr>
          <w:p>
            <w:pPr>
              <w:pStyle w:val="1269"/>
              <w:spacing w:before="0" w:after="0" w:line="240" w:lineRule="auto"/>
              <w:rPr>
                <w:rFonts w:eastAsia="宋体"/>
                <w:b w:val="0"/>
                <w:szCs w:val="24"/>
                <w:highlight w:val="none"/>
              </w:rPr>
            </w:pPr>
            <w:r>
              <w:rPr>
                <w:rFonts w:eastAsia="宋体"/>
                <w:b w:val="0"/>
                <w:szCs w:val="24"/>
                <w:highlight w:val="none"/>
              </w:rPr>
              <w:t xml:space="preserve">说明</w:t>
            </w:r>
            <w:r/>
          </w:p>
        </w:tc>
      </w:tr>
      <w:tr>
        <w:trPr>
          <w:jc w:val="center"/>
          <w:trHeight w:val="631"/>
        </w:trPr>
        <w:tc>
          <w:tcPr>
            <w:tcW w:w="835" w:type="dxa"/>
            <w:vAlign w:val="center"/>
            <w:textDirection w:val="lrTb"/>
            <w:noWrap w:val="false"/>
          </w:tcPr>
          <w:p>
            <w:pPr>
              <w:ind w:firstLine="28"/>
              <w:jc w:val="center"/>
              <w:rPr>
                <w:sz w:val="24"/>
                <w:highlight w:val="none"/>
              </w:rPr>
            </w:pPr>
            <w:r>
              <w:rPr>
                <w:rFonts w:hint="eastAsia"/>
                <w:sz w:val="24"/>
                <w:highlight w:val="none"/>
              </w:rPr>
              <w:t xml:space="preserve">1</w:t>
            </w:r>
            <w:r/>
          </w:p>
        </w:tc>
        <w:tc>
          <w:tcPr>
            <w:tcW w:w="1462" w:type="dxa"/>
            <w:vAlign w:val="center"/>
            <w:textDirection w:val="lrTb"/>
            <w:noWrap w:val="false"/>
          </w:tcPr>
          <w:p>
            <w:pPr>
              <w:ind w:firstLine="28"/>
              <w:jc w:val="center"/>
              <w:rPr>
                <w:sz w:val="24"/>
                <w:highlight w:val="none"/>
              </w:rPr>
            </w:pPr>
            <w:r>
              <w:rPr>
                <w:rFonts w:hint="eastAsia"/>
                <w:sz w:val="24"/>
                <w:highlight w:val="none"/>
              </w:rPr>
              <w:t xml:space="preserve">价格分</w:t>
            </w:r>
            <w:r/>
          </w:p>
        </w:tc>
        <w:tc>
          <w:tcPr>
            <w:tcW w:w="913" w:type="dxa"/>
            <w:vAlign w:val="center"/>
            <w:textDirection w:val="lrTb"/>
            <w:noWrap w:val="false"/>
          </w:tcPr>
          <w:p>
            <w:pPr>
              <w:ind w:firstLine="28"/>
              <w:jc w:val="center"/>
              <w:rPr>
                <w:sz w:val="24"/>
                <w:highlight w:val="none"/>
              </w:rPr>
            </w:pPr>
            <w:r>
              <w:rPr>
                <w:rFonts w:hint="eastAsia"/>
                <w:sz w:val="24"/>
                <w:highlight w:val="none"/>
              </w:rPr>
              <w:t xml:space="preserve">30</w:t>
            </w:r>
            <w:r/>
          </w:p>
        </w:tc>
        <w:tc>
          <w:tcPr>
            <w:tcW w:w="400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满足招标文件要求且投标价格最低的投标报价为评标基准价，其价格分为满分。其他投标人的价格分统一按照下列公式计算：</w:t>
            </w:r>
            <w:r/>
          </w:p>
          <w:p>
            <w:pPr>
              <w:rPr>
                <w:sz w:val="24"/>
                <w:highlight w:val="none"/>
              </w:rPr>
            </w:pPr>
            <w:r>
              <w:rPr>
                <w:rFonts w:hint="eastAsia" w:ascii="宋体" w:hAnsi="宋体" w:eastAsia="宋体" w:cs="宋体"/>
                <w:sz w:val="24"/>
                <w:szCs w:val="24"/>
                <w:highlight w:val="none"/>
              </w:rPr>
              <w:t xml:space="preserve">投标报价得分＝（评标基准价/投标报价）×分值。</w:t>
            </w:r>
            <w:r/>
          </w:p>
        </w:tc>
        <w:tc>
          <w:tcPr>
            <w:tcW w:w="2812" w:type="dxa"/>
            <w:vAlign w:val="center"/>
            <w:textDirection w:val="lrTb"/>
            <w:noWrap w:val="false"/>
          </w:tcPr>
          <w:p>
            <w:pPr>
              <w:ind w:left="-38"/>
              <w:rPr>
                <w:sz w:val="24"/>
                <w:highlight w:val="none"/>
              </w:rPr>
            </w:pPr>
            <w:r>
              <w:rPr>
                <w:rFonts w:hint="eastAsia"/>
                <w:sz w:val="24"/>
                <w:highlight w:val="none"/>
              </w:rPr>
              <w:t xml:space="preserve">此处投标报价指经过报价修正，及</w:t>
            </w:r>
            <w:r>
              <w:rPr>
                <w:sz w:val="24"/>
                <w:highlight w:val="none"/>
              </w:rPr>
              <w:t xml:space="preserve">因落实政府采购政策进行价格调整</w:t>
            </w:r>
            <w:r>
              <w:rPr>
                <w:rFonts w:hint="eastAsia"/>
                <w:sz w:val="24"/>
                <w:highlight w:val="none"/>
              </w:rPr>
              <w:t xml:space="preserve">后</w:t>
            </w:r>
            <w:r>
              <w:rPr>
                <w:sz w:val="24"/>
                <w:highlight w:val="none"/>
              </w:rPr>
              <w:t xml:space="preserve">的</w:t>
            </w:r>
            <w:r>
              <w:rPr>
                <w:rFonts w:hint="eastAsia"/>
                <w:sz w:val="24"/>
                <w:highlight w:val="none"/>
              </w:rPr>
              <w:t xml:space="preserve">报价</w:t>
            </w:r>
            <w:r/>
          </w:p>
        </w:tc>
      </w:tr>
      <w:tr>
        <w:trPr>
          <w:jc w:val="center"/>
        </w:trPr>
        <w:tc>
          <w:tcPr>
            <w:tcW w:w="835" w:type="dxa"/>
            <w:vAlign w:val="center"/>
            <w:textDirection w:val="lrTb"/>
            <w:noWrap w:val="false"/>
          </w:tcPr>
          <w:p>
            <w:pPr>
              <w:ind w:firstLine="28"/>
              <w:jc w:val="center"/>
              <w:rPr>
                <w:sz w:val="24"/>
                <w:highlight w:val="none"/>
              </w:rPr>
            </w:pPr>
            <w:r>
              <w:rPr>
                <w:rFonts w:hint="eastAsia"/>
                <w:sz w:val="24"/>
                <w:highlight w:val="none"/>
              </w:rPr>
              <w:t xml:space="preserve">2</w:t>
            </w:r>
            <w:r/>
          </w:p>
        </w:tc>
        <w:tc>
          <w:tcPr>
            <w:tcW w:w="1462" w:type="dxa"/>
            <w:vAlign w:val="center"/>
            <w:textDirection w:val="lrTb"/>
            <w:noWrap w:val="false"/>
          </w:tcPr>
          <w:p>
            <w:pPr>
              <w:ind w:firstLine="28"/>
              <w:jc w:val="center"/>
              <w:rPr>
                <w:sz w:val="24"/>
                <w:highlight w:val="none"/>
              </w:rPr>
            </w:pPr>
            <w:r>
              <w:rPr>
                <w:rFonts w:hint="eastAsia"/>
                <w:sz w:val="24"/>
                <w:highlight w:val="none"/>
              </w:rPr>
              <w:t xml:space="preserve">主观分</w:t>
            </w:r>
            <w:r/>
          </w:p>
        </w:tc>
        <w:tc>
          <w:tcPr>
            <w:tcW w:w="913" w:type="dxa"/>
            <w:vAlign w:val="center"/>
            <w:textDirection w:val="lrTb"/>
            <w:noWrap w:val="false"/>
          </w:tcPr>
          <w:p>
            <w:pPr>
              <w:ind w:firstLine="28"/>
              <w:jc w:val="center"/>
              <w:rPr>
                <w:sz w:val="24"/>
                <w:highlight w:val="none"/>
              </w:rPr>
            </w:pPr>
            <w:r>
              <w:rPr>
                <w:rFonts w:hint="eastAsia"/>
                <w:sz w:val="24"/>
                <w:highlight w:val="none"/>
              </w:rPr>
              <w:t xml:space="preserve">50</w:t>
            </w:r>
            <w:r/>
          </w:p>
        </w:tc>
        <w:tc>
          <w:tcPr>
            <w:tcW w:w="4006" w:type="dxa"/>
            <w:vAlign w:val="center"/>
            <w:textDirection w:val="lrTb"/>
            <w:noWrap w:val="false"/>
          </w:tcPr>
          <w:p>
            <w:pPr>
              <w:rPr>
                <w:sz w:val="24"/>
                <w:highlight w:val="none"/>
              </w:rPr>
            </w:pPr>
            <w:r>
              <w:rPr>
                <w:sz w:val="24"/>
                <w:highlight w:val="none"/>
              </w:rPr>
            </w:r>
            <w:r/>
          </w:p>
        </w:tc>
        <w:tc>
          <w:tcPr>
            <w:tcW w:w="2812" w:type="dxa"/>
            <w:vAlign w:val="center"/>
            <w:textDirection w:val="lrTb"/>
            <w:noWrap w:val="false"/>
          </w:tcPr>
          <w:p>
            <w:pPr>
              <w:ind w:left="-38"/>
              <w:rPr>
                <w:sz w:val="24"/>
                <w:highlight w:val="none"/>
              </w:rPr>
            </w:pPr>
            <w:r>
              <w:rPr>
                <w:sz w:val="24"/>
                <w:highlight w:val="none"/>
              </w:rPr>
            </w:r>
            <w:r/>
          </w:p>
        </w:tc>
      </w:tr>
      <w:tr>
        <w:trPr>
          <w:jc w:val="center"/>
        </w:trPr>
        <w:tc>
          <w:tcPr>
            <w:tcW w:w="835" w:type="dxa"/>
            <w:vAlign w:val="center"/>
            <w:textDirection w:val="lrTb"/>
            <w:noWrap w:val="false"/>
          </w:tcPr>
          <w:p>
            <w:pPr>
              <w:ind w:firstLine="28"/>
              <w:jc w:val="center"/>
              <w:spacing w:line="360" w:lineRule="auto"/>
              <w:rPr>
                <w:sz w:val="24"/>
                <w:highlight w:val="none"/>
              </w:rPr>
            </w:pPr>
            <w:r>
              <w:rPr>
                <w:rFonts w:hint="eastAsia"/>
                <w:sz w:val="24"/>
                <w:highlight w:val="none"/>
              </w:rPr>
              <w:t xml:space="preserve">1</w:t>
            </w:r>
            <w:r/>
          </w:p>
        </w:tc>
        <w:tc>
          <w:tcPr>
            <w:tcW w:w="1462" w:type="dxa"/>
            <w:vAlign w:val="center"/>
            <w:textDirection w:val="lrTb"/>
            <w:noWrap w:val="false"/>
          </w:tcPr>
          <w:p>
            <w:pPr>
              <w:ind w:firstLine="28"/>
              <w:jc w:val="center"/>
              <w:spacing w:line="360" w:lineRule="auto"/>
              <w:rPr>
                <w:sz w:val="24"/>
                <w:highlight w:val="none"/>
              </w:rPr>
            </w:pPr>
            <w:r>
              <w:rPr>
                <w:rFonts w:hint="eastAsia" w:ascii="宋体" w:hAnsi="宋体" w:cs="宋体"/>
                <w:sz w:val="24"/>
                <w:highlight w:val="none"/>
              </w:rPr>
              <w:t xml:space="preserve">全年养护计划</w:t>
            </w:r>
            <w:r/>
          </w:p>
        </w:tc>
        <w:tc>
          <w:tcPr>
            <w:tcW w:w="913" w:type="dxa"/>
            <w:vAlign w:val="center"/>
            <w:textDirection w:val="lrTb"/>
            <w:noWrap w:val="false"/>
          </w:tcPr>
          <w:p>
            <w:pPr>
              <w:ind w:firstLine="28"/>
              <w:jc w:val="center"/>
              <w:spacing w:line="360" w:lineRule="auto"/>
              <w:rPr>
                <w:sz w:val="24"/>
                <w:highlight w:val="none"/>
              </w:rPr>
            </w:pPr>
            <w:r>
              <w:rPr>
                <w:rFonts w:hint="eastAsia"/>
                <w:sz w:val="24"/>
                <w:highlight w:val="none"/>
              </w:rPr>
              <w:t xml:space="preserve">10</w:t>
            </w:r>
            <w:r/>
          </w:p>
        </w:tc>
        <w:tc>
          <w:tcPr>
            <w:tcW w:w="4006" w:type="dxa"/>
            <w:vAlign w:val="center"/>
            <w:textDirection w:val="lrTb"/>
            <w:noWrap w:val="false"/>
          </w:tcPr>
          <w:p>
            <w:pPr>
              <w:rPr>
                <w:rFonts w:ascii="宋体" w:hAnsi="宋体"/>
                <w:sz w:val="24"/>
                <w:highlight w:val="none"/>
              </w:rPr>
            </w:pPr>
            <w:r>
              <w:rPr>
                <w:rFonts w:hint="eastAsia" w:ascii="宋体" w:hAnsi="宋体"/>
                <w:sz w:val="24"/>
                <w:highlight w:val="none"/>
              </w:rPr>
              <w:t xml:space="preserve">1、养护月历</w:t>
            </w:r>
            <w:r/>
          </w:p>
          <w:p>
            <w:pPr>
              <w:rPr>
                <w:rFonts w:ascii="宋体" w:hAnsi="宋体"/>
                <w:sz w:val="24"/>
                <w:highlight w:val="none"/>
              </w:rPr>
            </w:pPr>
            <w:r>
              <w:rPr>
                <w:rFonts w:hint="eastAsia" w:ascii="宋体" w:hAnsi="宋体"/>
                <w:sz w:val="24"/>
                <w:highlight w:val="none"/>
              </w:rPr>
              <w:t xml:space="preserve">2、冬季涂白实施计划与标准</w:t>
            </w:r>
            <w:r/>
          </w:p>
          <w:p>
            <w:pPr>
              <w:rPr>
                <w:rFonts w:ascii="宋体" w:hAnsi="宋体"/>
                <w:sz w:val="24"/>
                <w:highlight w:val="none"/>
              </w:rPr>
            </w:pPr>
            <w:r>
              <w:rPr>
                <w:rFonts w:hint="eastAsia" w:ascii="宋体" w:hAnsi="宋体"/>
                <w:sz w:val="24"/>
                <w:highlight w:val="none"/>
              </w:rPr>
              <w:t xml:space="preserve">3、标段情况调查和养护情况分析</w:t>
            </w:r>
            <w:r/>
          </w:p>
          <w:p>
            <w:pPr>
              <w:rPr>
                <w:rFonts w:ascii="宋体" w:hAnsi="宋体"/>
                <w:sz w:val="24"/>
                <w:highlight w:val="none"/>
              </w:rPr>
            </w:pPr>
            <w:r>
              <w:rPr>
                <w:rFonts w:hint="eastAsia" w:ascii="宋体" w:hAnsi="宋体"/>
                <w:sz w:val="24"/>
                <w:highlight w:val="none"/>
              </w:rPr>
              <w:t xml:space="preserve">4、总体养护组织布置及规划</w:t>
            </w:r>
            <w:r/>
          </w:p>
          <w:p>
            <w:pPr>
              <w:rPr>
                <w:sz w:val="24"/>
                <w:highlight w:val="none"/>
              </w:rPr>
            </w:pPr>
            <w:r>
              <w:rPr>
                <w:rFonts w:hint="eastAsia" w:ascii="宋体" w:hAnsi="宋体"/>
                <w:sz w:val="24"/>
                <w:highlight w:val="none"/>
              </w:rPr>
              <w:t xml:space="preserve">计划全面完善，科学合理，可操作性强的得10分；计划基本完整，较合理、操作性一般的得7分；计划凌乱、有缺失，少量有操作性的得4分；不提供不得分。</w:t>
            </w:r>
            <w:r/>
          </w:p>
        </w:tc>
        <w:tc>
          <w:tcPr>
            <w:tcW w:w="2812" w:type="dxa"/>
            <w:vAlign w:val="center"/>
            <w:textDirection w:val="lrTb"/>
            <w:noWrap w:val="false"/>
          </w:tcPr>
          <w:p>
            <w:pPr>
              <w:ind w:left="-38"/>
              <w:rPr>
                <w:sz w:val="24"/>
                <w:highlight w:val="none"/>
              </w:rPr>
            </w:pPr>
            <w:r>
              <w:rPr>
                <w:sz w:val="24"/>
                <w:highlight w:val="none"/>
              </w:rPr>
            </w:r>
            <w:r/>
          </w:p>
        </w:tc>
      </w:tr>
      <w:tr>
        <w:trPr>
          <w:jc w:val="center"/>
        </w:trPr>
        <w:tc>
          <w:tcPr>
            <w:tcW w:w="835" w:type="dxa"/>
            <w:vAlign w:val="center"/>
            <w:textDirection w:val="lrTb"/>
            <w:noWrap w:val="false"/>
          </w:tcPr>
          <w:p>
            <w:pPr>
              <w:ind w:firstLine="28"/>
              <w:jc w:val="center"/>
              <w:spacing w:line="360" w:lineRule="auto"/>
              <w:rPr>
                <w:sz w:val="24"/>
                <w:highlight w:val="none"/>
              </w:rPr>
            </w:pPr>
            <w:r>
              <w:rPr>
                <w:rFonts w:hint="eastAsia"/>
                <w:sz w:val="24"/>
                <w:highlight w:val="none"/>
              </w:rPr>
              <w:t xml:space="preserve">2</w:t>
            </w:r>
            <w:r/>
          </w:p>
        </w:tc>
        <w:tc>
          <w:tcPr>
            <w:tcW w:w="1462" w:type="dxa"/>
            <w:vAlign w:val="center"/>
            <w:textDirection w:val="lrTb"/>
            <w:noWrap w:val="false"/>
          </w:tcPr>
          <w:p>
            <w:pPr>
              <w:ind w:firstLine="28"/>
              <w:jc w:val="center"/>
              <w:spacing w:line="360" w:lineRule="auto"/>
              <w:rPr>
                <w:sz w:val="24"/>
                <w:highlight w:val="none"/>
              </w:rPr>
            </w:pPr>
            <w:r>
              <w:rPr>
                <w:rFonts w:hint="eastAsia" w:ascii="宋体" w:hAnsi="宋体" w:cs="宋体"/>
                <w:sz w:val="24"/>
                <w:highlight w:val="none"/>
              </w:rPr>
              <w:t xml:space="preserve">病虫害防治方案</w:t>
            </w:r>
            <w:r/>
          </w:p>
        </w:tc>
        <w:tc>
          <w:tcPr>
            <w:tcW w:w="913" w:type="dxa"/>
            <w:vAlign w:val="center"/>
            <w:textDirection w:val="lrTb"/>
            <w:noWrap w:val="false"/>
          </w:tcPr>
          <w:p>
            <w:pPr>
              <w:ind w:firstLine="28"/>
              <w:jc w:val="center"/>
              <w:spacing w:line="360" w:lineRule="auto"/>
              <w:rPr>
                <w:sz w:val="24"/>
                <w:highlight w:val="none"/>
              </w:rPr>
            </w:pPr>
            <w:r>
              <w:rPr>
                <w:rFonts w:hint="eastAsia"/>
                <w:sz w:val="24"/>
                <w:highlight w:val="none"/>
              </w:rPr>
              <w:t xml:space="preserve">12</w:t>
            </w:r>
            <w:r/>
          </w:p>
        </w:tc>
        <w:tc>
          <w:tcPr>
            <w:tcW w:w="4006" w:type="dxa"/>
            <w:vAlign w:val="center"/>
            <w:textDirection w:val="lrTb"/>
            <w:noWrap w:val="false"/>
          </w:tcPr>
          <w:p>
            <w:pPr>
              <w:rPr>
                <w:rFonts w:ascii="宋体" w:hAnsi="宋体"/>
                <w:sz w:val="24"/>
                <w:highlight w:val="none"/>
              </w:rPr>
            </w:pPr>
            <w:r>
              <w:rPr>
                <w:rFonts w:hint="eastAsia" w:ascii="宋体" w:hAnsi="宋体"/>
                <w:sz w:val="24"/>
                <w:highlight w:val="none"/>
              </w:rPr>
              <w:t xml:space="preserve">1、食叶性害虫防治方案</w:t>
            </w:r>
            <w:r/>
          </w:p>
          <w:p>
            <w:pPr>
              <w:rPr>
                <w:rFonts w:ascii="宋体" w:hAnsi="宋体"/>
                <w:sz w:val="24"/>
                <w:highlight w:val="none"/>
              </w:rPr>
            </w:pPr>
            <w:r>
              <w:rPr>
                <w:rFonts w:hint="eastAsia" w:ascii="宋体" w:hAnsi="宋体"/>
                <w:sz w:val="24"/>
                <w:highlight w:val="none"/>
              </w:rPr>
              <w:t xml:space="preserve">2、蛀干性害虫防治方案</w:t>
            </w:r>
            <w:r/>
          </w:p>
          <w:p>
            <w:pPr>
              <w:rPr>
                <w:rFonts w:ascii="宋体" w:hAnsi="宋体"/>
                <w:sz w:val="24"/>
                <w:highlight w:val="none"/>
              </w:rPr>
            </w:pPr>
            <w:r>
              <w:rPr>
                <w:rFonts w:hint="eastAsia" w:ascii="宋体" w:hAnsi="宋体"/>
                <w:sz w:val="24"/>
                <w:highlight w:val="none"/>
              </w:rPr>
              <w:t xml:space="preserve">3、刺吸式害虫防治方案</w:t>
            </w:r>
            <w:r/>
          </w:p>
          <w:p>
            <w:pPr>
              <w:rPr>
                <w:rFonts w:ascii="宋体" w:hAnsi="宋体"/>
                <w:sz w:val="24"/>
                <w:highlight w:val="none"/>
              </w:rPr>
            </w:pPr>
            <w:r>
              <w:rPr>
                <w:rFonts w:hint="eastAsia" w:ascii="宋体" w:hAnsi="宋体"/>
                <w:sz w:val="24"/>
                <w:highlight w:val="none"/>
              </w:rPr>
              <w:t xml:space="preserve">4、常见病害防治方案</w:t>
            </w:r>
            <w:r/>
          </w:p>
          <w:p>
            <w:pPr>
              <w:rPr>
                <w:sz w:val="24"/>
                <w:highlight w:val="none"/>
              </w:rPr>
            </w:pPr>
            <w:r>
              <w:rPr>
                <w:rFonts w:hint="eastAsia" w:ascii="宋体" w:hAnsi="宋体"/>
                <w:sz w:val="24"/>
                <w:highlight w:val="none"/>
              </w:rPr>
              <w:t xml:space="preserve">方案全面完善，针对性及可行性强得12分；方案基本完整，针对性及可行性一般的得8分；方案内容不完整，缺漏较多，少量具有可行性的得4分；不提供不得分。</w:t>
            </w:r>
            <w:r/>
          </w:p>
        </w:tc>
        <w:tc>
          <w:tcPr>
            <w:tcW w:w="2812" w:type="dxa"/>
            <w:vAlign w:val="center"/>
            <w:textDirection w:val="lrTb"/>
            <w:noWrap w:val="false"/>
          </w:tcPr>
          <w:p>
            <w:pPr>
              <w:ind w:left="-38"/>
              <w:rPr>
                <w:sz w:val="24"/>
                <w:highlight w:val="none"/>
              </w:rPr>
            </w:pPr>
            <w:r>
              <w:rPr>
                <w:sz w:val="24"/>
                <w:highlight w:val="none"/>
              </w:rPr>
            </w:r>
            <w:r/>
          </w:p>
        </w:tc>
      </w:tr>
      <w:tr>
        <w:trPr>
          <w:jc w:val="center"/>
        </w:trPr>
        <w:tc>
          <w:tcPr>
            <w:tcW w:w="835" w:type="dxa"/>
            <w:vAlign w:val="center"/>
            <w:textDirection w:val="lrTb"/>
            <w:noWrap w:val="false"/>
          </w:tcPr>
          <w:p>
            <w:pPr>
              <w:ind w:firstLine="28"/>
              <w:jc w:val="center"/>
              <w:spacing w:line="360" w:lineRule="auto"/>
              <w:rPr>
                <w:sz w:val="24"/>
                <w:highlight w:val="none"/>
              </w:rPr>
            </w:pPr>
            <w:r>
              <w:rPr>
                <w:rFonts w:hint="eastAsia"/>
                <w:sz w:val="24"/>
                <w:highlight w:val="none"/>
              </w:rPr>
              <w:t xml:space="preserve">3</w:t>
            </w:r>
            <w:r/>
          </w:p>
        </w:tc>
        <w:tc>
          <w:tcPr>
            <w:tcW w:w="1462" w:type="dxa"/>
            <w:vAlign w:val="center"/>
            <w:textDirection w:val="lrTb"/>
            <w:noWrap w:val="false"/>
          </w:tcPr>
          <w:p>
            <w:pPr>
              <w:ind w:firstLine="28"/>
              <w:jc w:val="center"/>
              <w:spacing w:line="360" w:lineRule="auto"/>
              <w:rPr>
                <w:sz w:val="24"/>
                <w:highlight w:val="none"/>
              </w:rPr>
            </w:pPr>
            <w:r>
              <w:rPr>
                <w:rFonts w:hint="eastAsia" w:ascii="宋体" w:hAnsi="宋体"/>
                <w:sz w:val="24"/>
                <w:highlight w:val="none"/>
              </w:rPr>
              <w:t xml:space="preserve">植物修剪方案</w:t>
            </w:r>
            <w:r/>
          </w:p>
        </w:tc>
        <w:tc>
          <w:tcPr>
            <w:tcW w:w="913" w:type="dxa"/>
            <w:vAlign w:val="center"/>
            <w:textDirection w:val="lrTb"/>
            <w:noWrap w:val="false"/>
          </w:tcPr>
          <w:p>
            <w:pPr>
              <w:ind w:firstLine="28"/>
              <w:jc w:val="center"/>
              <w:spacing w:line="360" w:lineRule="auto"/>
              <w:rPr>
                <w:sz w:val="24"/>
                <w:highlight w:val="none"/>
              </w:rPr>
            </w:pPr>
            <w:r>
              <w:rPr>
                <w:rFonts w:hint="eastAsia"/>
                <w:sz w:val="24"/>
                <w:highlight w:val="none"/>
              </w:rPr>
              <w:t xml:space="preserve">16</w:t>
            </w:r>
            <w:r/>
          </w:p>
        </w:tc>
        <w:tc>
          <w:tcPr>
            <w:tcW w:w="4006" w:type="dxa"/>
            <w:vAlign w:val="center"/>
            <w:textDirection w:val="lrTb"/>
            <w:noWrap w:val="false"/>
          </w:tcPr>
          <w:p>
            <w:pPr>
              <w:rPr>
                <w:rFonts w:ascii="宋体" w:hAnsi="宋体"/>
                <w:sz w:val="24"/>
                <w:highlight w:val="none"/>
              </w:rPr>
            </w:pPr>
            <w:r>
              <w:rPr>
                <w:rFonts w:hint="eastAsia" w:ascii="宋体" w:hAnsi="宋体"/>
                <w:sz w:val="24"/>
                <w:highlight w:val="none"/>
              </w:rPr>
              <w:t xml:space="preserve">1、大型乔木修剪方案</w:t>
            </w:r>
            <w:r/>
          </w:p>
          <w:p>
            <w:pPr>
              <w:rPr>
                <w:rFonts w:ascii="宋体" w:hAnsi="宋体"/>
                <w:sz w:val="24"/>
                <w:highlight w:val="none"/>
              </w:rPr>
            </w:pPr>
            <w:r>
              <w:rPr>
                <w:rFonts w:hint="eastAsia" w:ascii="宋体" w:hAnsi="宋体"/>
                <w:sz w:val="24"/>
                <w:highlight w:val="none"/>
              </w:rPr>
              <w:t xml:space="preserve">2、绿篱色块修剪方案</w:t>
            </w:r>
            <w:r/>
          </w:p>
          <w:p>
            <w:pPr>
              <w:rPr>
                <w:rFonts w:ascii="宋体" w:hAnsi="宋体"/>
                <w:sz w:val="24"/>
                <w:highlight w:val="none"/>
              </w:rPr>
            </w:pPr>
            <w:r>
              <w:rPr>
                <w:rFonts w:hint="eastAsia" w:ascii="宋体" w:hAnsi="宋体"/>
                <w:sz w:val="24"/>
                <w:highlight w:val="none"/>
              </w:rPr>
              <w:t xml:space="preserve">3、草坪修剪方案</w:t>
            </w:r>
            <w:r/>
          </w:p>
          <w:p>
            <w:pPr>
              <w:rPr>
                <w:rFonts w:ascii="宋体" w:hAnsi="宋体"/>
                <w:sz w:val="24"/>
                <w:highlight w:val="none"/>
              </w:rPr>
            </w:pPr>
            <w:r>
              <w:rPr>
                <w:rFonts w:hint="eastAsia" w:ascii="宋体" w:hAnsi="宋体"/>
                <w:sz w:val="24"/>
                <w:highlight w:val="none"/>
              </w:rPr>
              <w:t xml:space="preserve">4、常见花灌木修剪方案</w:t>
            </w:r>
            <w:r/>
          </w:p>
          <w:p>
            <w:pPr>
              <w:rPr>
                <w:sz w:val="24"/>
                <w:highlight w:val="none"/>
              </w:rPr>
            </w:pPr>
            <w:r>
              <w:rPr>
                <w:rFonts w:hint="eastAsia" w:ascii="宋体" w:hAnsi="宋体"/>
                <w:sz w:val="24"/>
                <w:highlight w:val="none"/>
              </w:rPr>
              <w:t xml:space="preserve">方案全面完善，针对性及可行性强得16分；方案基本完整，针对性及可行性一般的得10分；方案内容不完整，缺漏较多，少量具有可行性的得4分；不提供不得分。</w:t>
            </w:r>
            <w:r/>
          </w:p>
        </w:tc>
        <w:tc>
          <w:tcPr>
            <w:tcW w:w="2812" w:type="dxa"/>
            <w:vAlign w:val="center"/>
            <w:textDirection w:val="lrTb"/>
            <w:noWrap w:val="false"/>
          </w:tcPr>
          <w:p>
            <w:pPr>
              <w:ind w:left="-38"/>
              <w:rPr>
                <w:sz w:val="24"/>
                <w:highlight w:val="none"/>
              </w:rPr>
            </w:pPr>
            <w:r>
              <w:rPr>
                <w:sz w:val="24"/>
                <w:highlight w:val="none"/>
              </w:rPr>
            </w:r>
            <w:r/>
          </w:p>
        </w:tc>
      </w:tr>
      <w:tr>
        <w:trPr>
          <w:jc w:val="center"/>
        </w:trPr>
        <w:tc>
          <w:tcPr>
            <w:tcW w:w="835" w:type="dxa"/>
            <w:vAlign w:val="center"/>
            <w:textDirection w:val="lrTb"/>
            <w:noWrap w:val="false"/>
          </w:tcPr>
          <w:p>
            <w:pPr>
              <w:ind w:firstLine="28"/>
              <w:jc w:val="center"/>
              <w:spacing w:line="360" w:lineRule="auto"/>
              <w:rPr>
                <w:sz w:val="24"/>
                <w:highlight w:val="none"/>
              </w:rPr>
            </w:pPr>
            <w:r>
              <w:rPr>
                <w:rFonts w:hint="eastAsia"/>
                <w:sz w:val="24"/>
                <w:highlight w:val="none"/>
              </w:rPr>
              <w:t xml:space="preserve">4</w:t>
            </w:r>
            <w:r/>
          </w:p>
        </w:tc>
        <w:tc>
          <w:tcPr>
            <w:tcW w:w="1462" w:type="dxa"/>
            <w:vAlign w:val="center"/>
            <w:textDirection w:val="lrTb"/>
            <w:noWrap w:val="false"/>
          </w:tcPr>
          <w:p>
            <w:pPr>
              <w:ind w:firstLine="28"/>
              <w:jc w:val="center"/>
              <w:spacing w:line="360" w:lineRule="auto"/>
              <w:rPr>
                <w:sz w:val="24"/>
                <w:highlight w:val="none"/>
              </w:rPr>
            </w:pPr>
            <w:r>
              <w:rPr>
                <w:rFonts w:hint="eastAsia" w:ascii="宋体" w:hAnsi="宋体"/>
                <w:sz w:val="24"/>
                <w:highlight w:val="none"/>
              </w:rPr>
              <w:t xml:space="preserve">极端天气和突发事件预案</w:t>
            </w:r>
            <w:r/>
          </w:p>
        </w:tc>
        <w:tc>
          <w:tcPr>
            <w:tcW w:w="913" w:type="dxa"/>
            <w:vAlign w:val="center"/>
            <w:textDirection w:val="lrTb"/>
            <w:noWrap w:val="false"/>
          </w:tcPr>
          <w:p>
            <w:pPr>
              <w:ind w:firstLine="28"/>
              <w:jc w:val="center"/>
              <w:spacing w:line="360" w:lineRule="auto"/>
              <w:rPr>
                <w:sz w:val="24"/>
                <w:highlight w:val="none"/>
              </w:rPr>
            </w:pPr>
            <w:r>
              <w:rPr>
                <w:rFonts w:hint="eastAsia"/>
                <w:sz w:val="24"/>
                <w:highlight w:val="none"/>
              </w:rPr>
              <w:t xml:space="preserve">8</w:t>
            </w:r>
            <w:r/>
          </w:p>
        </w:tc>
        <w:tc>
          <w:tcPr>
            <w:tcW w:w="4006" w:type="dxa"/>
            <w:vAlign w:val="center"/>
            <w:textDirection w:val="lrTb"/>
            <w:noWrap w:val="false"/>
          </w:tcPr>
          <w:p>
            <w:pPr>
              <w:rPr>
                <w:rFonts w:ascii="宋体" w:hAnsi="宋体"/>
                <w:sz w:val="24"/>
                <w:highlight w:val="none"/>
              </w:rPr>
            </w:pPr>
            <w:r>
              <w:rPr>
                <w:rFonts w:hint="eastAsia" w:ascii="宋体" w:hAnsi="宋体"/>
                <w:sz w:val="24"/>
                <w:highlight w:val="none"/>
              </w:rPr>
              <w:t xml:space="preserve">1、抗旱保苗预案</w:t>
            </w:r>
            <w:r/>
          </w:p>
          <w:p>
            <w:pPr>
              <w:rPr>
                <w:rFonts w:ascii="宋体" w:hAnsi="宋体"/>
                <w:sz w:val="24"/>
                <w:highlight w:val="none"/>
              </w:rPr>
            </w:pPr>
            <w:r>
              <w:rPr>
                <w:rFonts w:hint="eastAsia" w:ascii="宋体" w:hAnsi="宋体"/>
                <w:sz w:val="24"/>
                <w:highlight w:val="none"/>
              </w:rPr>
              <w:t xml:space="preserve">2、防台风应急预案</w:t>
            </w:r>
            <w:r/>
          </w:p>
          <w:p>
            <w:pPr>
              <w:rPr>
                <w:rFonts w:ascii="宋体" w:hAnsi="宋体"/>
                <w:sz w:val="24"/>
                <w:highlight w:val="none"/>
              </w:rPr>
            </w:pPr>
            <w:r>
              <w:rPr>
                <w:rFonts w:hint="eastAsia" w:ascii="宋体" w:hAnsi="宋体"/>
                <w:sz w:val="24"/>
                <w:highlight w:val="none"/>
              </w:rPr>
              <w:t xml:space="preserve">3、防寒防冻应急预案</w:t>
            </w:r>
            <w:r/>
          </w:p>
          <w:p>
            <w:pPr>
              <w:rPr>
                <w:rFonts w:ascii="宋体" w:hAnsi="宋体"/>
                <w:sz w:val="24"/>
                <w:highlight w:val="none"/>
              </w:rPr>
            </w:pPr>
            <w:r>
              <w:rPr>
                <w:rFonts w:hint="eastAsia" w:ascii="宋体" w:hAnsi="宋体"/>
                <w:sz w:val="24"/>
                <w:highlight w:val="none"/>
              </w:rPr>
              <w:t xml:space="preserve">4、排水防涝应急预案</w:t>
            </w:r>
            <w:r/>
          </w:p>
          <w:p>
            <w:pPr>
              <w:rPr>
                <w:rFonts w:ascii="宋体" w:hAnsi="宋体"/>
                <w:sz w:val="24"/>
                <w:highlight w:val="none"/>
              </w:rPr>
            </w:pPr>
            <w:r>
              <w:rPr>
                <w:rFonts w:hint="eastAsia" w:ascii="宋体" w:hAnsi="宋体"/>
                <w:sz w:val="24"/>
                <w:highlight w:val="none"/>
              </w:rPr>
              <w:t xml:space="preserve">5、聚众上访事件应急预案</w:t>
            </w:r>
            <w:r/>
          </w:p>
          <w:p>
            <w:pPr>
              <w:rPr>
                <w:sz w:val="24"/>
                <w:highlight w:val="none"/>
              </w:rPr>
            </w:pPr>
            <w:r>
              <w:rPr>
                <w:rFonts w:hint="eastAsia" w:ascii="宋体" w:hAnsi="宋体"/>
                <w:sz w:val="24"/>
                <w:highlight w:val="none"/>
              </w:rPr>
              <w:t xml:space="preserve">预案全面完善，科学合理，可操作性强的得8分；预案基本完整，较合理、操作性一般的得5分；预案内容缺失，少量有操作性的得2分；不提供不得分。</w:t>
            </w:r>
            <w:r/>
          </w:p>
        </w:tc>
        <w:tc>
          <w:tcPr>
            <w:tcW w:w="2812" w:type="dxa"/>
            <w:vAlign w:val="center"/>
            <w:textDirection w:val="lrTb"/>
            <w:noWrap w:val="false"/>
          </w:tcPr>
          <w:p>
            <w:pPr>
              <w:ind w:left="-38"/>
              <w:rPr>
                <w:sz w:val="24"/>
                <w:highlight w:val="none"/>
              </w:rPr>
            </w:pPr>
            <w:r>
              <w:rPr>
                <w:sz w:val="24"/>
                <w:highlight w:val="none"/>
              </w:rPr>
            </w:r>
            <w:r/>
          </w:p>
        </w:tc>
      </w:tr>
      <w:tr>
        <w:trPr>
          <w:jc w:val="center"/>
          <w:trHeight w:val="3110"/>
        </w:trPr>
        <w:tc>
          <w:tcPr>
            <w:tcW w:w="835" w:type="dxa"/>
            <w:vAlign w:val="center"/>
            <w:textDirection w:val="lrTb"/>
            <w:noWrap w:val="false"/>
          </w:tcPr>
          <w:p>
            <w:pPr>
              <w:ind w:firstLine="28"/>
              <w:jc w:val="center"/>
              <w:spacing w:line="360" w:lineRule="auto"/>
              <w:rPr>
                <w:sz w:val="24"/>
                <w:highlight w:val="none"/>
              </w:rPr>
            </w:pPr>
            <w:r>
              <w:rPr>
                <w:rFonts w:hint="eastAsia"/>
                <w:sz w:val="24"/>
                <w:highlight w:val="none"/>
              </w:rPr>
              <w:t xml:space="preserve">5</w:t>
            </w:r>
            <w:r/>
          </w:p>
        </w:tc>
        <w:tc>
          <w:tcPr>
            <w:tcW w:w="1462" w:type="dxa"/>
            <w:vAlign w:val="center"/>
            <w:textDirection w:val="lrTb"/>
            <w:noWrap w:val="false"/>
          </w:tcPr>
          <w:p>
            <w:pPr>
              <w:ind w:firstLine="28"/>
              <w:jc w:val="center"/>
              <w:spacing w:line="360" w:lineRule="auto"/>
              <w:rPr>
                <w:sz w:val="24"/>
                <w:highlight w:val="none"/>
              </w:rPr>
            </w:pPr>
            <w:r>
              <w:rPr>
                <w:rFonts w:hint="eastAsia" w:ascii="宋体" w:hAnsi="宋体"/>
                <w:sz w:val="24"/>
                <w:highlight w:val="none"/>
              </w:rPr>
              <w:t xml:space="preserve">安全操作规程</w:t>
            </w:r>
            <w:r/>
          </w:p>
        </w:tc>
        <w:tc>
          <w:tcPr>
            <w:tcW w:w="913" w:type="dxa"/>
            <w:vAlign w:val="center"/>
            <w:textDirection w:val="lrTb"/>
            <w:noWrap w:val="false"/>
          </w:tcPr>
          <w:p>
            <w:pPr>
              <w:ind w:firstLine="28"/>
              <w:jc w:val="center"/>
              <w:spacing w:line="360" w:lineRule="auto"/>
              <w:rPr>
                <w:sz w:val="24"/>
                <w:highlight w:val="none"/>
              </w:rPr>
            </w:pPr>
            <w:r>
              <w:rPr>
                <w:rFonts w:hint="eastAsia"/>
                <w:sz w:val="24"/>
                <w:highlight w:val="none"/>
              </w:rPr>
              <w:t xml:space="preserve">4</w:t>
            </w:r>
            <w:r/>
          </w:p>
        </w:tc>
        <w:tc>
          <w:tcPr>
            <w:tcW w:w="4006" w:type="dxa"/>
            <w:vAlign w:val="center"/>
            <w:textDirection w:val="lrTb"/>
            <w:noWrap w:val="false"/>
          </w:tcPr>
          <w:p>
            <w:pPr>
              <w:rPr>
                <w:rFonts w:ascii="宋体" w:hAnsi="宋体"/>
                <w:sz w:val="24"/>
                <w:highlight w:val="none"/>
              </w:rPr>
            </w:pPr>
            <w:r>
              <w:rPr>
                <w:rFonts w:hint="eastAsia" w:ascii="宋体" w:hAnsi="宋体"/>
                <w:sz w:val="24"/>
                <w:highlight w:val="none"/>
              </w:rPr>
              <w:t xml:space="preserve">1、登高作业安全规程</w:t>
            </w:r>
            <w:r/>
          </w:p>
          <w:p>
            <w:pPr>
              <w:rPr>
                <w:rFonts w:ascii="宋体" w:hAnsi="宋体"/>
                <w:sz w:val="24"/>
                <w:highlight w:val="none"/>
              </w:rPr>
            </w:pPr>
            <w:r>
              <w:rPr>
                <w:rFonts w:hint="eastAsia" w:ascii="宋体" w:hAnsi="宋体"/>
                <w:sz w:val="24"/>
                <w:highlight w:val="none"/>
              </w:rPr>
              <w:t xml:space="preserve">2、农药使用安全规程</w:t>
            </w:r>
            <w:r/>
          </w:p>
          <w:p>
            <w:pPr>
              <w:rPr>
                <w:rFonts w:ascii="宋体" w:hAnsi="宋体"/>
                <w:sz w:val="24"/>
                <w:highlight w:val="none"/>
              </w:rPr>
            </w:pPr>
            <w:r>
              <w:rPr>
                <w:rFonts w:hint="eastAsia" w:ascii="宋体" w:hAnsi="宋体"/>
                <w:sz w:val="24"/>
                <w:highlight w:val="none"/>
              </w:rPr>
              <w:t xml:space="preserve">3、机械使用安全规程</w:t>
            </w:r>
            <w:r/>
          </w:p>
          <w:p>
            <w:pPr>
              <w:rPr>
                <w:rFonts w:ascii="宋体" w:hAnsi="宋体"/>
                <w:sz w:val="24"/>
                <w:highlight w:val="none"/>
              </w:rPr>
            </w:pPr>
            <w:r>
              <w:rPr>
                <w:rFonts w:hint="eastAsia" w:ascii="宋体" w:hAnsi="宋体"/>
                <w:sz w:val="24"/>
                <w:highlight w:val="none"/>
              </w:rPr>
              <w:t xml:space="preserve">4、修剪过程安全规程</w:t>
            </w:r>
            <w:r/>
          </w:p>
          <w:p>
            <w:pPr>
              <w:rPr>
                <w:rFonts w:ascii="宋体" w:hAnsi="宋体"/>
                <w:sz w:val="24"/>
                <w:highlight w:val="none"/>
              </w:rPr>
            </w:pPr>
            <w:r>
              <w:rPr>
                <w:rFonts w:hint="eastAsia" w:ascii="宋体" w:hAnsi="宋体"/>
                <w:sz w:val="24"/>
                <w:highlight w:val="none"/>
              </w:rPr>
              <w:t xml:space="preserve">安全操作规程方案全面完善，针对性及可行性强得4分；方案基本完整，针对性及可行性一般的得3分；方案内容不完整，缺漏较多，少量具有可行性的得1分；不提供不得分。</w:t>
            </w:r>
            <w:r/>
          </w:p>
        </w:tc>
        <w:tc>
          <w:tcPr>
            <w:tcW w:w="2812" w:type="dxa"/>
            <w:vAlign w:val="center"/>
            <w:textDirection w:val="lrTb"/>
            <w:noWrap w:val="false"/>
          </w:tcPr>
          <w:p>
            <w:pPr>
              <w:ind w:left="-38"/>
              <w:rPr>
                <w:sz w:val="24"/>
                <w:highlight w:val="none"/>
              </w:rPr>
            </w:pPr>
            <w:r>
              <w:rPr>
                <w:sz w:val="24"/>
                <w:highlight w:val="none"/>
              </w:rPr>
            </w:r>
            <w:r/>
          </w:p>
        </w:tc>
      </w:tr>
      <w:tr>
        <w:trPr>
          <w:jc w:val="center"/>
          <w:trHeight w:val="90"/>
        </w:trPr>
        <w:tc>
          <w:tcPr>
            <w:tcW w:w="835" w:type="dxa"/>
            <w:vAlign w:val="center"/>
            <w:textDirection w:val="lrTb"/>
            <w:noWrap w:val="false"/>
          </w:tcPr>
          <w:p>
            <w:pPr>
              <w:ind w:firstLine="28"/>
              <w:jc w:val="center"/>
              <w:rPr>
                <w:sz w:val="24"/>
                <w:highlight w:val="none"/>
              </w:rPr>
            </w:pPr>
            <w:r>
              <w:rPr>
                <w:rFonts w:hint="eastAsia"/>
                <w:sz w:val="24"/>
                <w:highlight w:val="none"/>
              </w:rPr>
              <w:t xml:space="preserve">3</w:t>
            </w:r>
            <w:r/>
          </w:p>
        </w:tc>
        <w:tc>
          <w:tcPr>
            <w:tcW w:w="1462" w:type="dxa"/>
            <w:vAlign w:val="center"/>
            <w:textDirection w:val="lrTb"/>
            <w:noWrap w:val="false"/>
          </w:tcPr>
          <w:p>
            <w:pPr>
              <w:ind w:firstLine="28"/>
              <w:jc w:val="center"/>
              <w:rPr>
                <w:sz w:val="24"/>
                <w:highlight w:val="none"/>
              </w:rPr>
            </w:pPr>
            <w:r>
              <w:rPr>
                <w:rFonts w:hint="eastAsia"/>
                <w:sz w:val="24"/>
                <w:highlight w:val="none"/>
              </w:rPr>
              <w:t xml:space="preserve">客观分</w:t>
            </w:r>
            <w:r/>
          </w:p>
        </w:tc>
        <w:tc>
          <w:tcPr>
            <w:tcW w:w="913" w:type="dxa"/>
            <w:vAlign w:val="center"/>
            <w:textDirection w:val="lrTb"/>
            <w:noWrap w:val="false"/>
          </w:tcPr>
          <w:p>
            <w:pPr>
              <w:ind w:firstLine="28"/>
              <w:jc w:val="center"/>
              <w:rPr>
                <w:sz w:val="24"/>
                <w:highlight w:val="none"/>
              </w:rPr>
            </w:pPr>
            <w:r>
              <w:rPr>
                <w:rFonts w:hint="eastAsia"/>
                <w:sz w:val="24"/>
                <w:highlight w:val="none"/>
              </w:rPr>
              <w:t xml:space="preserve">20</w:t>
            </w:r>
            <w:r/>
          </w:p>
        </w:tc>
        <w:tc>
          <w:tcPr>
            <w:tcW w:w="4006" w:type="dxa"/>
            <w:vAlign w:val="center"/>
            <w:textDirection w:val="lrTb"/>
            <w:noWrap w:val="false"/>
          </w:tcPr>
          <w:p>
            <w:pPr>
              <w:rPr>
                <w:sz w:val="24"/>
                <w:highlight w:val="none"/>
              </w:rPr>
            </w:pPr>
            <w:r>
              <w:rPr>
                <w:sz w:val="24"/>
                <w:highlight w:val="none"/>
              </w:rPr>
            </w:r>
            <w:r/>
          </w:p>
        </w:tc>
        <w:tc>
          <w:tcPr>
            <w:tcW w:w="2812" w:type="dxa"/>
            <w:vAlign w:val="center"/>
            <w:textDirection w:val="lrTb"/>
            <w:noWrap w:val="false"/>
          </w:tcPr>
          <w:p>
            <w:pPr>
              <w:ind w:left="-38"/>
              <w:rPr>
                <w:sz w:val="24"/>
                <w:highlight w:val="none"/>
              </w:rPr>
            </w:pPr>
            <w:r>
              <w:rPr>
                <w:sz w:val="24"/>
                <w:highlight w:val="none"/>
              </w:rPr>
            </w:r>
            <w:r/>
          </w:p>
        </w:tc>
      </w:tr>
      <w:tr>
        <w:trPr>
          <w:jc w:val="center"/>
        </w:trPr>
        <w:tc>
          <w:tcPr>
            <w:tcW w:w="835" w:type="dxa"/>
            <w:vAlign w:val="center"/>
            <w:textDirection w:val="lrTb"/>
            <w:noWrap w:val="false"/>
          </w:tcPr>
          <w:p>
            <w:pPr>
              <w:ind w:firstLine="28"/>
              <w:jc w:val="center"/>
              <w:rPr>
                <w:sz w:val="24"/>
                <w:highlight w:val="none"/>
              </w:rPr>
            </w:pPr>
            <w:r>
              <w:rPr>
                <w:rFonts w:hint="eastAsia"/>
                <w:sz w:val="24"/>
                <w:highlight w:val="none"/>
              </w:rPr>
              <w:t xml:space="preserve">3.1</w:t>
            </w:r>
            <w:r/>
          </w:p>
        </w:tc>
        <w:tc>
          <w:tcPr>
            <w:tcW w:w="1462" w:type="dxa"/>
            <w:vAlign w:val="center"/>
            <w:textDirection w:val="lrTb"/>
            <w:noWrap w:val="false"/>
          </w:tcPr>
          <w:p>
            <w:pPr>
              <w:jc w:val="center"/>
              <w:spacing w:line="360" w:lineRule="auto"/>
              <w:rPr>
                <w:sz w:val="24"/>
                <w:highlight w:val="none"/>
              </w:rPr>
            </w:pPr>
            <w:r>
              <w:rPr>
                <w:rFonts w:hint="eastAsia"/>
                <w:sz w:val="24"/>
                <w:highlight w:val="none"/>
              </w:rPr>
              <w:t xml:space="preserve">企业荣誉</w:t>
            </w:r>
            <w:r/>
          </w:p>
        </w:tc>
        <w:tc>
          <w:tcPr>
            <w:tcW w:w="913" w:type="dxa"/>
            <w:vAlign w:val="center"/>
            <w:textDirection w:val="lrTb"/>
            <w:noWrap w:val="false"/>
          </w:tcPr>
          <w:p>
            <w:pPr>
              <w:jc w:val="center"/>
              <w:spacing w:line="360" w:lineRule="auto"/>
              <w:rPr>
                <w:sz w:val="24"/>
                <w:highlight w:val="none"/>
              </w:rPr>
            </w:pPr>
            <w:r>
              <w:rPr>
                <w:rFonts w:hint="eastAsia"/>
                <w:sz w:val="24"/>
                <w:highlight w:val="none"/>
              </w:rPr>
              <w:t xml:space="preserve">3</w:t>
            </w:r>
            <w:r/>
          </w:p>
        </w:tc>
        <w:tc>
          <w:tcPr>
            <w:tcW w:w="4006" w:type="dxa"/>
            <w:vAlign w:val="center"/>
            <w:textDirection w:val="lrTb"/>
            <w:noWrap w:val="false"/>
          </w:tcPr>
          <w:p>
            <w:pPr>
              <w:rPr>
                <w:sz w:val="24"/>
                <w:highlight w:val="none"/>
              </w:rPr>
            </w:pPr>
            <w:r>
              <w:rPr>
                <w:rFonts w:hint="eastAsia"/>
                <w:sz w:val="24"/>
                <w:highlight w:val="none"/>
              </w:rPr>
              <w:t xml:space="preserve">企业近 3 年 (本项目开标当日向前推算 3 年之日起至本项目开标当日止) 获得过政府职能部门颁发的有关绿化建设项目或绿化养护管理项目的荣誉或奖项的，有 1个得 3 分。</w:t>
            </w:r>
            <w:r/>
          </w:p>
        </w:tc>
        <w:tc>
          <w:tcPr>
            <w:tcW w:w="2812" w:type="dxa"/>
            <w:vAlign w:val="center"/>
            <w:textDirection w:val="lrTb"/>
            <w:noWrap w:val="false"/>
          </w:tcPr>
          <w:p>
            <w:pPr>
              <w:ind w:left="-38"/>
              <w:rPr>
                <w:rFonts w:ascii="宋体" w:hAnsi="宋体" w:cs="宋体"/>
                <w:sz w:val="24"/>
                <w:highlight w:val="none"/>
              </w:rPr>
            </w:pPr>
            <w:r>
              <w:rPr>
                <w:rFonts w:hint="eastAsia" w:ascii="宋体" w:hAnsi="宋体" w:cs="宋体"/>
                <w:sz w:val="24"/>
                <w:highlight w:val="none"/>
              </w:rPr>
              <w:t xml:space="preserve">须提供获奖证明材料</w:t>
            </w:r>
            <w:r>
              <w:rPr>
                <w:rFonts w:hint="eastAsia" w:ascii="宋体" w:hAnsi="宋体" w:cs="宋体"/>
                <w:sz w:val="24"/>
                <w:highlight w:val="none"/>
                <w:lang w:val="en-US" w:eastAsia="zh-CN"/>
              </w:rPr>
              <w:t xml:space="preserve">原件扫描件加盖公章</w:t>
            </w:r>
            <w:r>
              <w:rPr>
                <w:rFonts w:hint="eastAsia" w:ascii="宋体" w:hAnsi="宋体" w:cs="宋体"/>
                <w:sz w:val="24"/>
                <w:highlight w:val="none"/>
              </w:rPr>
              <w:t xml:space="preserve">，时间以获奖证明材料所载时间为准，不提供不得分。</w:t>
            </w:r>
            <w:r/>
          </w:p>
          <w:p>
            <w:pPr>
              <w:ind w:left="-38"/>
              <w:rPr>
                <w:rFonts w:ascii="宋体" w:hAnsi="宋体" w:cs="宋体"/>
                <w:sz w:val="24"/>
                <w:highlight w:val="none"/>
              </w:rPr>
            </w:pPr>
            <w:r>
              <w:rPr>
                <w:rFonts w:hint="eastAsia" w:ascii="宋体" w:hAnsi="宋体" w:cs="宋体"/>
                <w:sz w:val="24"/>
                <w:highlight w:val="none"/>
              </w:rPr>
              <w:t xml:space="preserve">同一个项目获得不同奖项的，仅计分一次。</w:t>
            </w:r>
            <w:r/>
          </w:p>
        </w:tc>
      </w:tr>
      <w:tr>
        <w:trPr>
          <w:cantSplit/>
          <w:jc w:val="center"/>
        </w:trPr>
        <w:tc>
          <w:tcPr>
            <w:tcW w:w="835" w:type="dxa"/>
            <w:vAlign w:val="center"/>
            <w:textDirection w:val="lrTb"/>
            <w:noWrap w:val="false"/>
          </w:tcPr>
          <w:p>
            <w:pPr>
              <w:ind w:firstLine="28"/>
              <w:jc w:val="center"/>
              <w:rPr>
                <w:sz w:val="24"/>
                <w:highlight w:val="none"/>
              </w:rPr>
            </w:pPr>
            <w:r>
              <w:rPr>
                <w:rFonts w:hint="eastAsia"/>
                <w:sz w:val="24"/>
                <w:highlight w:val="none"/>
              </w:rPr>
              <w:t xml:space="preserve">3.2</w:t>
            </w:r>
            <w:r/>
          </w:p>
        </w:tc>
        <w:tc>
          <w:tcPr>
            <w:tcW w:w="1462" w:type="dxa"/>
            <w:vAlign w:val="center"/>
            <w:textDirection w:val="lrTb"/>
            <w:noWrap w:val="false"/>
          </w:tcPr>
          <w:p>
            <w:pPr>
              <w:jc w:val="center"/>
              <w:spacing w:line="360" w:lineRule="auto"/>
              <w:rPr>
                <w:sz w:val="24"/>
                <w:highlight w:val="none"/>
              </w:rPr>
            </w:pPr>
            <w:r>
              <w:rPr>
                <w:rFonts w:hint="eastAsia"/>
                <w:sz w:val="24"/>
                <w:highlight w:val="none"/>
              </w:rPr>
              <w:t xml:space="preserve">企业业绩</w:t>
            </w:r>
            <w:r/>
          </w:p>
        </w:tc>
        <w:tc>
          <w:tcPr>
            <w:tcW w:w="913" w:type="dxa"/>
            <w:vAlign w:val="center"/>
            <w:textDirection w:val="lrTb"/>
            <w:noWrap w:val="false"/>
          </w:tcPr>
          <w:p>
            <w:pPr>
              <w:jc w:val="center"/>
              <w:spacing w:line="360" w:lineRule="auto"/>
              <w:rPr>
                <w:sz w:val="24"/>
                <w:highlight w:val="none"/>
              </w:rPr>
            </w:pPr>
            <w:r>
              <w:rPr>
                <w:rFonts w:hint="eastAsia"/>
                <w:sz w:val="24"/>
                <w:highlight w:val="none"/>
              </w:rPr>
              <w:t xml:space="preserve">3</w:t>
            </w:r>
            <w:r/>
          </w:p>
        </w:tc>
        <w:tc>
          <w:tcPr>
            <w:tcBorders>
              <w:bottom w:val="single" w:color="auto" w:sz="4" w:space="0"/>
            </w:tcBorders>
            <w:tcW w:w="4006" w:type="dxa"/>
            <w:vAlign w:val="center"/>
            <w:textDirection w:val="lrTb"/>
            <w:noWrap w:val="false"/>
          </w:tcPr>
          <w:p>
            <w:pPr>
              <w:pStyle w:val="1119"/>
              <w:ind w:firstLine="0"/>
              <w:jc w:val="left"/>
              <w:rPr>
                <w:sz w:val="24"/>
                <w:highlight w:val="none"/>
              </w:rPr>
            </w:pPr>
            <w:r>
              <w:rPr>
                <w:rFonts w:hint="eastAsia"/>
                <w:sz w:val="24"/>
                <w:highlight w:val="none"/>
              </w:rPr>
              <w:t xml:space="preserve">企业自近</w:t>
            </w:r>
            <w:r>
              <w:rPr>
                <w:rFonts w:hint="eastAsia"/>
                <w:sz w:val="24"/>
                <w:highlight w:val="none"/>
                <w:lang w:val="en-US" w:eastAsia="zh-CN"/>
              </w:rPr>
              <w:t xml:space="preserve">3</w:t>
            </w:r>
            <w:r>
              <w:rPr>
                <w:rFonts w:hint="eastAsia"/>
                <w:sz w:val="24"/>
                <w:highlight w:val="none"/>
              </w:rPr>
              <w:t xml:space="preserve">年 (本项目开标当日向前推算 </w:t>
            </w:r>
            <w:r>
              <w:rPr>
                <w:rFonts w:hint="eastAsia"/>
                <w:sz w:val="24"/>
                <w:highlight w:val="none"/>
                <w:lang w:val="en-US" w:eastAsia="zh-CN"/>
              </w:rPr>
              <w:t xml:space="preserve">3</w:t>
            </w:r>
            <w:r>
              <w:rPr>
                <w:rFonts w:hint="eastAsia"/>
                <w:sz w:val="24"/>
                <w:highlight w:val="none"/>
              </w:rPr>
              <w:t xml:space="preserve">年之日起至本项目开标当日止) 以来承担过绿化养护项目或绿化工程建设业绩的，有 1个得 1分，本项最高3分。</w:t>
            </w:r>
            <w:r/>
          </w:p>
        </w:tc>
        <w:tc>
          <w:tcPr>
            <w:tcBorders>
              <w:bottom w:val="single" w:color="auto" w:sz="4" w:space="0"/>
            </w:tcBorders>
            <w:tcW w:w="2812" w:type="dxa"/>
            <w:vAlign w:val="center"/>
            <w:textDirection w:val="lrTb"/>
            <w:noWrap w:val="false"/>
          </w:tcPr>
          <w:p>
            <w:pPr>
              <w:pStyle w:val="1119"/>
              <w:ind w:firstLine="0"/>
              <w:rPr>
                <w:rFonts w:ascii="宋体" w:hAnsi="宋体" w:cs="宋体"/>
                <w:sz w:val="24"/>
                <w:szCs w:val="24"/>
                <w:highlight w:val="none"/>
              </w:rPr>
            </w:pPr>
            <w:r>
              <w:rPr>
                <w:rFonts w:hint="eastAsia" w:ascii="宋体" w:hAnsi="宋体" w:cs="宋体"/>
                <w:sz w:val="24"/>
                <w:szCs w:val="24"/>
                <w:highlight w:val="none"/>
              </w:rPr>
              <w:t xml:space="preserve">提供合同原件</w:t>
            </w:r>
            <w:r>
              <w:rPr>
                <w:rFonts w:hint="eastAsia" w:ascii="宋体" w:hAnsi="宋体" w:cs="宋体"/>
                <w:sz w:val="24"/>
                <w:szCs w:val="24"/>
                <w:highlight w:val="none"/>
                <w:lang w:val="en-US" w:eastAsia="zh-CN"/>
              </w:rPr>
              <w:t xml:space="preserve">扫描件加盖公章</w:t>
            </w:r>
            <w:r>
              <w:rPr>
                <w:rFonts w:hint="eastAsia" w:ascii="宋体" w:hAnsi="宋体" w:cs="宋体"/>
                <w:sz w:val="24"/>
                <w:szCs w:val="24"/>
                <w:highlight w:val="none"/>
              </w:rPr>
              <w:t xml:space="preserve">(时间以合同签订时间为准），未提供不得分</w:t>
            </w:r>
            <w:r/>
          </w:p>
        </w:tc>
      </w:tr>
      <w:tr>
        <w:trPr>
          <w:cantSplit/>
          <w:jc w:val="center"/>
          <w:trHeight w:val="996"/>
        </w:trPr>
        <w:tc>
          <w:tcPr>
            <w:tcW w:w="835" w:type="dxa"/>
            <w:vAlign w:val="center"/>
            <w:textDirection w:val="lrTb"/>
            <w:noWrap w:val="false"/>
          </w:tcPr>
          <w:p>
            <w:pPr>
              <w:ind w:firstLine="28"/>
              <w:jc w:val="center"/>
              <w:rPr>
                <w:sz w:val="24"/>
                <w:highlight w:val="none"/>
              </w:rPr>
            </w:pPr>
            <w:r>
              <w:rPr>
                <w:rFonts w:hint="eastAsia"/>
                <w:sz w:val="24"/>
                <w:highlight w:val="none"/>
              </w:rPr>
              <w:t xml:space="preserve">3.3</w:t>
            </w:r>
            <w:r/>
          </w:p>
        </w:tc>
        <w:tc>
          <w:tcPr>
            <w:tcW w:w="1462" w:type="dxa"/>
            <w:vAlign w:val="center"/>
            <w:textDirection w:val="lrTb"/>
            <w:noWrap w:val="false"/>
          </w:tcPr>
          <w:p>
            <w:pPr>
              <w:jc w:val="center"/>
              <w:spacing w:line="360" w:lineRule="auto"/>
              <w:rPr>
                <w:sz w:val="24"/>
                <w:highlight w:val="none"/>
              </w:rPr>
            </w:pPr>
            <w:r>
              <w:rPr>
                <w:rFonts w:hint="eastAsia"/>
                <w:sz w:val="24"/>
                <w:highlight w:val="none"/>
              </w:rPr>
              <w:t xml:space="preserve">安全管理人员</w:t>
            </w:r>
            <w:r/>
          </w:p>
        </w:tc>
        <w:tc>
          <w:tcPr>
            <w:tcW w:w="913" w:type="dxa"/>
            <w:vAlign w:val="center"/>
            <w:textDirection w:val="lrTb"/>
            <w:noWrap w:val="false"/>
          </w:tcPr>
          <w:p>
            <w:pPr>
              <w:jc w:val="center"/>
              <w:spacing w:line="360" w:lineRule="auto"/>
              <w:rPr>
                <w:sz w:val="24"/>
                <w:highlight w:val="none"/>
              </w:rPr>
            </w:pPr>
            <w:r>
              <w:rPr>
                <w:rFonts w:hint="eastAsia"/>
                <w:sz w:val="24"/>
                <w:highlight w:val="none"/>
              </w:rPr>
              <w:t xml:space="preserve">3</w:t>
            </w:r>
            <w:r/>
          </w:p>
        </w:tc>
        <w:tc>
          <w:tcPr>
            <w:tcBorders>
              <w:top w:val="single" w:color="auto" w:sz="4" w:space="0"/>
            </w:tcBorders>
            <w:tcW w:w="4006" w:type="dxa"/>
            <w:vAlign w:val="center"/>
            <w:textDirection w:val="lrTb"/>
            <w:noWrap w:val="false"/>
          </w:tcPr>
          <w:p>
            <w:pPr>
              <w:rPr>
                <w:sz w:val="24"/>
                <w:highlight w:val="none"/>
              </w:rPr>
            </w:pPr>
            <w:r>
              <w:rPr>
                <w:rFonts w:hint="eastAsia"/>
                <w:sz w:val="24"/>
                <w:highlight w:val="none"/>
              </w:rPr>
              <w:t xml:space="preserve">为本项目配备安全管理人员的得 3 分</w:t>
            </w:r>
            <w:r/>
          </w:p>
        </w:tc>
        <w:tc>
          <w:tcPr>
            <w:tcBorders>
              <w:top w:val="single" w:color="auto" w:sz="4" w:space="0"/>
            </w:tcBorders>
            <w:tcW w:w="2812" w:type="dxa"/>
            <w:vAlign w:val="center"/>
            <w:textDirection w:val="lrTb"/>
            <w:noWrap w:val="false"/>
          </w:tcPr>
          <w:p>
            <w:pPr>
              <w:ind w:left="-38"/>
              <w:rPr>
                <w:rFonts w:hint="default" w:ascii="宋体" w:hAnsi="宋体" w:eastAsia="宋体" w:cs="宋体"/>
                <w:sz w:val="24"/>
                <w:highlight w:val="none"/>
                <w:lang w:val="en-US" w:eastAsia="zh-CN"/>
              </w:rPr>
            </w:pPr>
            <w:r>
              <w:rPr>
                <w:rFonts w:hint="eastAsia" w:ascii="宋体" w:hAnsi="宋体" w:cs="宋体"/>
                <w:sz w:val="24"/>
                <w:highlight w:val="none"/>
              </w:rPr>
              <w:t xml:space="preserve">提供安全员资格证书或安全生产培训合格证明材料</w:t>
            </w:r>
            <w:r>
              <w:rPr>
                <w:rFonts w:hint="eastAsia" w:ascii="宋体" w:hAnsi="宋体" w:cs="宋体"/>
                <w:sz w:val="24"/>
                <w:highlight w:val="none"/>
                <w:lang w:val="en-US" w:eastAsia="zh-CN"/>
              </w:rPr>
              <w:t xml:space="preserve">原件扫描件加盖公章，未提供的不得分。</w:t>
            </w:r>
            <w:r/>
          </w:p>
        </w:tc>
      </w:tr>
      <w:tr>
        <w:trPr>
          <w:cantSplit/>
          <w:jc w:val="center"/>
          <w:trHeight w:val="90"/>
        </w:trPr>
        <w:tc>
          <w:tcPr>
            <w:tcW w:w="835" w:type="dxa"/>
            <w:vAlign w:val="center"/>
            <w:textDirection w:val="lrTb"/>
            <w:noWrap w:val="false"/>
          </w:tcPr>
          <w:p>
            <w:pPr>
              <w:ind w:firstLine="28"/>
              <w:jc w:val="center"/>
              <w:rPr>
                <w:sz w:val="24"/>
                <w:highlight w:val="none"/>
              </w:rPr>
            </w:pPr>
            <w:r>
              <w:rPr>
                <w:rFonts w:hint="eastAsia"/>
                <w:sz w:val="24"/>
                <w:highlight w:val="none"/>
              </w:rPr>
              <w:t xml:space="preserve">3.4</w:t>
            </w:r>
            <w:r/>
          </w:p>
        </w:tc>
        <w:tc>
          <w:tcPr>
            <w:tcW w:w="1462" w:type="dxa"/>
            <w:vAlign w:val="center"/>
            <w:textDirection w:val="lrTb"/>
            <w:noWrap w:val="false"/>
          </w:tcPr>
          <w:p>
            <w:pPr>
              <w:jc w:val="center"/>
              <w:spacing w:line="360" w:lineRule="auto"/>
              <w:rPr>
                <w:sz w:val="24"/>
                <w:highlight w:val="none"/>
              </w:rPr>
            </w:pPr>
            <w:r>
              <w:rPr>
                <w:rFonts w:hint="eastAsia"/>
                <w:sz w:val="24"/>
                <w:highlight w:val="none"/>
              </w:rPr>
              <w:t xml:space="preserve">项目负责人</w:t>
            </w:r>
            <w:r/>
          </w:p>
        </w:tc>
        <w:tc>
          <w:tcPr>
            <w:tcW w:w="913" w:type="dxa"/>
            <w:vAlign w:val="center"/>
            <w:textDirection w:val="lrTb"/>
            <w:noWrap w:val="false"/>
          </w:tcPr>
          <w:p>
            <w:pPr>
              <w:jc w:val="center"/>
              <w:spacing w:line="360" w:lineRule="auto"/>
              <w:rPr>
                <w:sz w:val="24"/>
                <w:highlight w:val="none"/>
              </w:rPr>
            </w:pPr>
            <w:r>
              <w:rPr>
                <w:rFonts w:hint="eastAsia"/>
                <w:sz w:val="24"/>
                <w:highlight w:val="none"/>
              </w:rPr>
              <w:t xml:space="preserve">5</w:t>
            </w:r>
            <w:r/>
          </w:p>
        </w:tc>
        <w:tc>
          <w:tcPr>
            <w:tcBorders>
              <w:bottom w:val="single" w:color="auto" w:sz="4" w:space="0"/>
            </w:tcBorders>
            <w:tcW w:w="4006" w:type="dxa"/>
            <w:vAlign w:val="center"/>
            <w:textDirection w:val="lrTb"/>
            <w:noWrap w:val="false"/>
          </w:tcPr>
          <w:p>
            <w:pPr>
              <w:pStyle w:val="1119"/>
              <w:ind w:firstLine="0"/>
              <w:rPr>
                <w:sz w:val="24"/>
                <w:highlight w:val="none"/>
              </w:rPr>
            </w:pPr>
            <w:r>
              <w:rPr>
                <w:rFonts w:hint="eastAsia"/>
                <w:sz w:val="24"/>
                <w:highlight w:val="none"/>
              </w:rPr>
              <w:t xml:space="preserve">拟派项目负责人具有高级工程师证书或园林工程师证书的得5分</w:t>
            </w:r>
            <w:r>
              <w:rPr>
                <w:rFonts w:hint="eastAsia"/>
                <w:sz w:val="24"/>
                <w:highlight w:val="none"/>
                <w:lang w:eastAsia="zh-CN"/>
              </w:rPr>
              <w:t xml:space="preserve">；</w:t>
            </w:r>
            <w:r>
              <w:rPr>
                <w:rFonts w:hint="eastAsia"/>
                <w:sz w:val="24"/>
                <w:highlight w:val="none"/>
                <w:lang w:val="en-US" w:eastAsia="zh-CN"/>
              </w:rPr>
              <w:t xml:space="preserve">具</w:t>
            </w:r>
            <w:r>
              <w:rPr>
                <w:rFonts w:hint="eastAsia"/>
                <w:sz w:val="24"/>
                <w:highlight w:val="none"/>
              </w:rPr>
              <w:t xml:space="preserve">有园林绿化岗位证书的得1分</w:t>
            </w:r>
            <w:r>
              <w:rPr>
                <w:rFonts w:hint="eastAsia"/>
                <w:sz w:val="24"/>
                <w:highlight w:val="none"/>
                <w:lang w:eastAsia="zh-CN"/>
              </w:rPr>
              <w:t xml:space="preserve">。</w:t>
            </w:r>
            <w:r>
              <w:rPr>
                <w:rFonts w:hint="eastAsia"/>
                <w:sz w:val="24"/>
                <w:highlight w:val="none"/>
              </w:rPr>
              <w:t xml:space="preserve">以上若未有证书不得分</w:t>
            </w:r>
            <w:r>
              <w:rPr>
                <w:rFonts w:hint="eastAsia"/>
                <w:sz w:val="24"/>
                <w:highlight w:val="none"/>
                <w:lang w:eastAsia="zh-CN"/>
              </w:rPr>
              <w:t xml:space="preserve">，</w:t>
            </w:r>
            <w:r>
              <w:rPr>
                <w:rFonts w:hint="eastAsia"/>
                <w:sz w:val="24"/>
                <w:highlight w:val="none"/>
                <w:lang w:val="en-US" w:eastAsia="zh-CN"/>
              </w:rPr>
              <w:t xml:space="preserve">满分5分</w:t>
            </w:r>
            <w:r>
              <w:rPr>
                <w:rFonts w:hint="eastAsia"/>
                <w:sz w:val="24"/>
                <w:highlight w:val="none"/>
              </w:rPr>
              <w:t xml:space="preserve">；</w:t>
            </w:r>
            <w:r/>
          </w:p>
        </w:tc>
        <w:tc>
          <w:tcPr>
            <w:tcBorders>
              <w:bottom w:val="single" w:color="auto" w:sz="4" w:space="0"/>
            </w:tcBorders>
            <w:tcW w:w="2812" w:type="dxa"/>
            <w:vAlign w:val="center"/>
            <w:textDirection w:val="lrTb"/>
            <w:noWrap w:val="false"/>
          </w:tcPr>
          <w:p>
            <w:pPr>
              <w:ind w:left="-38"/>
              <w:rPr>
                <w:rFonts w:ascii="宋体" w:hAnsi="宋体" w:cs="宋体"/>
                <w:sz w:val="24"/>
                <w:highlight w:val="none"/>
              </w:rPr>
            </w:pPr>
            <w:r>
              <w:rPr>
                <w:rFonts w:hint="eastAsia" w:ascii="宋体" w:hAnsi="宋体" w:cs="宋体"/>
                <w:sz w:val="24"/>
                <w:highlight w:val="none"/>
              </w:rPr>
              <w:t xml:space="preserve">提供证书</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专业以职称证书为准，职称证书不体现专业的则提供毕业证书</w:t>
            </w:r>
            <w:r>
              <w:rPr>
                <w:rFonts w:hint="eastAsia" w:ascii="宋体" w:hAnsi="宋体" w:cs="宋体"/>
                <w:sz w:val="24"/>
                <w:highlight w:val="none"/>
                <w:lang w:eastAsia="zh-CN"/>
              </w:rPr>
              <w:t xml:space="preserve">）</w:t>
            </w:r>
            <w:r>
              <w:rPr>
                <w:rFonts w:hint="eastAsia" w:ascii="宋体" w:hAnsi="宋体" w:cs="宋体"/>
                <w:sz w:val="24"/>
                <w:highlight w:val="none"/>
              </w:rPr>
              <w:t xml:space="preserve">原件</w:t>
            </w:r>
            <w:r>
              <w:rPr>
                <w:rFonts w:hint="eastAsia" w:ascii="宋体" w:hAnsi="宋体" w:cs="宋体"/>
                <w:sz w:val="24"/>
                <w:highlight w:val="none"/>
                <w:lang w:val="en-US" w:eastAsia="zh-CN"/>
              </w:rPr>
              <w:t xml:space="preserve">扫描件</w:t>
            </w:r>
            <w:r>
              <w:rPr>
                <w:rFonts w:hint="eastAsia" w:ascii="宋体" w:hAnsi="宋体" w:cs="宋体"/>
                <w:sz w:val="24"/>
                <w:highlight w:val="none"/>
              </w:rPr>
              <w:t xml:space="preserve">和人员最近3个月任意一个月的社保扫描件</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加盖公章，</w:t>
            </w:r>
            <w:r>
              <w:rPr>
                <w:rFonts w:hint="eastAsia" w:ascii="宋体" w:hAnsi="宋体" w:cs="宋体"/>
                <w:sz w:val="24"/>
                <w:highlight w:val="none"/>
              </w:rPr>
              <w:t xml:space="preserve">上传系统，未提供不得分</w:t>
            </w:r>
            <w:r/>
          </w:p>
        </w:tc>
      </w:tr>
      <w:tr>
        <w:trPr>
          <w:cantSplit/>
          <w:jc w:val="center"/>
        </w:trPr>
        <w:tc>
          <w:tcPr>
            <w:tcW w:w="835" w:type="dxa"/>
            <w:vAlign w:val="center"/>
            <w:textDirection w:val="lrTb"/>
            <w:noWrap w:val="false"/>
          </w:tcPr>
          <w:p>
            <w:pPr>
              <w:ind w:firstLine="28"/>
              <w:jc w:val="center"/>
              <w:rPr>
                <w:sz w:val="24"/>
                <w:highlight w:val="none"/>
              </w:rPr>
            </w:pPr>
            <w:r>
              <w:rPr>
                <w:rFonts w:hint="eastAsia"/>
                <w:sz w:val="24"/>
                <w:highlight w:val="none"/>
              </w:rPr>
              <w:t xml:space="preserve">3.5</w:t>
            </w:r>
            <w:r/>
          </w:p>
        </w:tc>
        <w:tc>
          <w:tcPr>
            <w:tcW w:w="1462"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机械配备</w:t>
            </w:r>
            <w:r/>
          </w:p>
        </w:tc>
        <w:tc>
          <w:tcPr>
            <w:tcW w:w="913"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6</w:t>
            </w:r>
            <w:r/>
          </w:p>
        </w:tc>
        <w:tc>
          <w:tcPr>
            <w:tcBorders>
              <w:top w:val="single" w:color="auto" w:sz="4" w:space="0"/>
              <w:bottom w:val="single" w:color="auto" w:sz="4" w:space="0"/>
            </w:tcBorders>
            <w:tcW w:w="4006"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投标人自备洒水车、农用车、割灌机、水泵、吹风机、油锯、打药机、割草机、绿篱机中每配备一种机械的得1分，本项最高得6分。</w:t>
            </w:r>
            <w:r/>
          </w:p>
        </w:tc>
        <w:tc>
          <w:tcPr>
            <w:tcBorders>
              <w:top w:val="single" w:color="auto" w:sz="4" w:space="0"/>
              <w:bottom w:val="single" w:color="auto" w:sz="4" w:space="0"/>
            </w:tcBorders>
            <w:tcW w:w="2812" w:type="dxa"/>
            <w:vAlign w:val="center"/>
            <w:textDirection w:val="lrTb"/>
            <w:noWrap w:val="false"/>
          </w:tcPr>
          <w:p>
            <w:pPr>
              <w:ind w:left="-38"/>
              <w:rPr>
                <w:rFonts w:ascii="宋体" w:hAnsi="宋体" w:cs="宋体"/>
                <w:b/>
                <w:sz w:val="24"/>
                <w:highlight w:val="none"/>
              </w:rPr>
            </w:pPr>
            <w:r>
              <w:rPr>
                <w:rFonts w:hint="eastAsia" w:ascii="宋体" w:hAnsi="宋体" w:cs="宋体"/>
                <w:sz w:val="24"/>
                <w:highlight w:val="none"/>
              </w:rPr>
              <w:t xml:space="preserve">提供设备发票</w:t>
            </w:r>
            <w:r>
              <w:rPr>
                <w:rFonts w:hint="eastAsia" w:ascii="宋体" w:hAnsi="宋体" w:cs="宋体"/>
                <w:sz w:val="24"/>
                <w:highlight w:val="none"/>
                <w:lang w:val="en-US" w:eastAsia="zh-CN"/>
              </w:rPr>
              <w:t xml:space="preserve">原件扫描件</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加盖公章，</w:t>
            </w:r>
            <w:r>
              <w:rPr>
                <w:rFonts w:hint="eastAsia" w:ascii="宋体" w:hAnsi="宋体" w:cs="宋体"/>
                <w:sz w:val="24"/>
                <w:highlight w:val="none"/>
              </w:rPr>
              <w:t xml:space="preserve">上传系统，未提供不得分</w:t>
            </w:r>
            <w:r/>
          </w:p>
        </w:tc>
      </w:tr>
      <w:tr>
        <w:trPr>
          <w:jc w:val="center"/>
          <w:trHeight w:val="594"/>
        </w:trPr>
        <w:tc>
          <w:tcPr>
            <w:gridSpan w:val="2"/>
            <w:tcW w:w="2297" w:type="dxa"/>
            <w:vAlign w:val="center"/>
            <w:textDirection w:val="lrTb"/>
            <w:noWrap w:val="false"/>
          </w:tcPr>
          <w:p>
            <w:pPr>
              <w:ind w:firstLine="28"/>
              <w:jc w:val="center"/>
              <w:rPr>
                <w:sz w:val="24"/>
                <w:highlight w:val="none"/>
              </w:rPr>
            </w:pPr>
            <w:r>
              <w:rPr>
                <w:sz w:val="24"/>
                <w:highlight w:val="none"/>
              </w:rPr>
              <w:t xml:space="preserve">合计</w:t>
            </w:r>
            <w:r/>
          </w:p>
        </w:tc>
        <w:tc>
          <w:tcPr>
            <w:tcW w:w="913" w:type="dxa"/>
            <w:vAlign w:val="center"/>
            <w:textDirection w:val="lrTb"/>
            <w:noWrap w:val="false"/>
          </w:tcPr>
          <w:p>
            <w:pPr>
              <w:ind w:firstLine="28"/>
              <w:jc w:val="center"/>
              <w:rPr>
                <w:sz w:val="24"/>
                <w:highlight w:val="none"/>
              </w:rPr>
            </w:pPr>
            <w:r>
              <w:rPr>
                <w:sz w:val="24"/>
                <w:highlight w:val="none"/>
              </w:rPr>
              <w:t xml:space="preserve">100</w:t>
            </w:r>
            <w:r/>
          </w:p>
        </w:tc>
        <w:tc>
          <w:tcPr>
            <w:gridSpan w:val="2"/>
            <w:tcW w:w="6818" w:type="dxa"/>
            <w:vAlign w:val="center"/>
            <w:textDirection w:val="lrTb"/>
            <w:noWrap w:val="false"/>
          </w:tcPr>
          <w:p>
            <w:pPr>
              <w:rPr>
                <w:sz w:val="24"/>
                <w:highlight w:val="none"/>
              </w:rPr>
            </w:pPr>
            <w:r>
              <w:rPr>
                <w:sz w:val="24"/>
                <w:highlight w:val="none"/>
              </w:rPr>
            </w:r>
            <w:r/>
          </w:p>
        </w:tc>
      </w:tr>
    </w:tbl>
    <w:p>
      <w:pPr>
        <w:jc w:val="left"/>
        <w:widowControl/>
        <w:rPr>
          <w:rFonts w:hint="eastAsia"/>
          <w:b/>
          <w:sz w:val="24"/>
          <w:highlight w:val="none"/>
        </w:rPr>
      </w:pPr>
      <w:r>
        <w:rPr>
          <w:rFonts w:hint="eastAsia"/>
          <w:b/>
          <w:sz w:val="24"/>
          <w:highlight w:val="none"/>
        </w:rPr>
      </w:r>
      <w:r/>
    </w:p>
    <w:p>
      <w:pPr>
        <w:jc w:val="left"/>
        <w:widowControl/>
        <w:rPr>
          <w:rFonts w:hint="eastAsia"/>
          <w:b/>
          <w:sz w:val="24"/>
          <w:highlight w:val="none"/>
          <w:lang w:val="en-US" w:eastAsia="zh-CN"/>
        </w:rPr>
      </w:pPr>
      <w:r>
        <w:rPr>
          <w:rFonts w:hint="eastAsia"/>
          <w:b/>
          <w:sz w:val="24"/>
          <w:highlight w:val="none"/>
          <w:lang w:val="en-US" w:eastAsia="zh-CN"/>
        </w:rPr>
        <w:t xml:space="preserve">14标段：</w:t>
      </w:r>
      <w:r/>
    </w:p>
    <w:tbl>
      <w:tblPr>
        <w:tblStyle w:val="819"/>
        <w:tblpPr w:horzAnchor="page" w:tblpX="1379" w:vertAnchor="text" w:tblpY="386" w:leftFromText="180" w:topFromText="0" w:rightFromText="180" w:bottomFromText="0"/>
        <w:tblW w:w="482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454"/>
        <w:gridCol w:w="891"/>
        <w:gridCol w:w="4012"/>
        <w:gridCol w:w="2438"/>
      </w:tblGrid>
      <w:tr>
        <w:trPr>
          <w:trHeight w:val="454"/>
        </w:trPr>
        <w:tc>
          <w:tcPr>
            <w:tcW w:w="379" w:type="pct"/>
            <w:vAlign w:val="center"/>
            <w:textDirection w:val="lrTb"/>
            <w:noWrap w:val="false"/>
          </w:tcPr>
          <w:p>
            <w:pPr>
              <w:ind w:firstLine="28"/>
              <w:jc w:val="center"/>
              <w:spacing w:line="300" w:lineRule="exact"/>
              <w:rPr>
                <w:rFonts w:ascii="宋体" w:hAnsi="宋体" w:eastAsia="宋体" w:cs="宋体"/>
                <w:b/>
                <w:szCs w:val="21"/>
                <w:highlight w:val="none"/>
              </w:rPr>
            </w:pPr>
            <w:r>
              <w:rPr>
                <w:rFonts w:hint="eastAsia" w:ascii="宋体" w:hAnsi="宋体" w:eastAsia="宋体" w:cs="宋体"/>
                <w:b/>
                <w:szCs w:val="21"/>
                <w:highlight w:val="none"/>
              </w:rPr>
              <w:t xml:space="preserve">序号</w:t>
            </w:r>
            <w:r/>
          </w:p>
        </w:tc>
        <w:tc>
          <w:tcPr>
            <w:tcW w:w="763" w:type="pct"/>
            <w:vAlign w:val="center"/>
            <w:textDirection w:val="lrTb"/>
            <w:noWrap w:val="false"/>
          </w:tcPr>
          <w:p>
            <w:pPr>
              <w:ind w:firstLine="28"/>
              <w:jc w:val="center"/>
              <w:spacing w:line="300" w:lineRule="exact"/>
              <w:rPr>
                <w:rFonts w:ascii="宋体" w:hAnsi="宋体" w:eastAsia="宋体" w:cs="宋体"/>
                <w:b/>
                <w:szCs w:val="21"/>
                <w:highlight w:val="none"/>
              </w:rPr>
            </w:pPr>
            <w:r>
              <w:rPr>
                <w:rFonts w:hint="eastAsia" w:ascii="宋体" w:hAnsi="宋体" w:eastAsia="宋体" w:cs="宋体"/>
                <w:b/>
                <w:szCs w:val="21"/>
                <w:highlight w:val="none"/>
              </w:rPr>
              <w:t xml:space="preserve">评分</w:t>
            </w:r>
            <w:r/>
          </w:p>
          <w:p>
            <w:pPr>
              <w:ind w:firstLine="28"/>
              <w:jc w:val="center"/>
              <w:spacing w:line="300" w:lineRule="exact"/>
              <w:rPr>
                <w:rFonts w:ascii="宋体" w:hAnsi="宋体" w:eastAsia="宋体" w:cs="宋体"/>
                <w:b/>
                <w:szCs w:val="21"/>
                <w:highlight w:val="none"/>
              </w:rPr>
            </w:pPr>
            <w:r>
              <w:rPr>
                <w:rFonts w:hint="eastAsia" w:ascii="宋体" w:hAnsi="宋体" w:eastAsia="宋体" w:cs="宋体"/>
                <w:b/>
                <w:szCs w:val="21"/>
                <w:highlight w:val="none"/>
              </w:rPr>
              <w:t xml:space="preserve">因素</w:t>
            </w:r>
            <w:r/>
          </w:p>
        </w:tc>
        <w:tc>
          <w:tcPr>
            <w:tcW w:w="468" w:type="pct"/>
            <w:vAlign w:val="center"/>
            <w:textDirection w:val="lrTb"/>
            <w:noWrap w:val="false"/>
          </w:tcPr>
          <w:p>
            <w:pPr>
              <w:ind w:firstLine="28"/>
              <w:jc w:val="center"/>
              <w:spacing w:line="300" w:lineRule="exact"/>
              <w:rPr>
                <w:rFonts w:ascii="宋体" w:hAnsi="宋体" w:eastAsia="宋体" w:cs="宋体"/>
                <w:b/>
                <w:szCs w:val="21"/>
                <w:highlight w:val="none"/>
              </w:rPr>
            </w:pPr>
            <w:r>
              <w:rPr>
                <w:rFonts w:hint="eastAsia" w:ascii="宋体" w:hAnsi="宋体" w:eastAsia="宋体" w:cs="宋体"/>
                <w:b/>
                <w:szCs w:val="21"/>
                <w:highlight w:val="none"/>
              </w:rPr>
              <w:t xml:space="preserve">分值</w:t>
            </w:r>
            <w:r/>
          </w:p>
        </w:tc>
        <w:tc>
          <w:tcPr>
            <w:tcW w:w="2107" w:type="pct"/>
            <w:vAlign w:val="center"/>
            <w:textDirection w:val="lrTb"/>
            <w:noWrap w:val="false"/>
          </w:tcPr>
          <w:p>
            <w:pPr>
              <w:ind w:firstLine="28"/>
              <w:jc w:val="center"/>
              <w:spacing w:line="300" w:lineRule="exact"/>
              <w:rPr>
                <w:rFonts w:ascii="宋体" w:hAnsi="宋体" w:eastAsia="宋体" w:cs="宋体"/>
                <w:b/>
                <w:szCs w:val="21"/>
                <w:highlight w:val="none"/>
              </w:rPr>
            </w:pPr>
            <w:r>
              <w:rPr>
                <w:rFonts w:hint="eastAsia" w:ascii="宋体" w:hAnsi="宋体" w:eastAsia="宋体" w:cs="宋体"/>
                <w:b/>
                <w:szCs w:val="21"/>
                <w:highlight w:val="none"/>
              </w:rPr>
              <w:t xml:space="preserve">评分标准</w:t>
            </w:r>
            <w:r/>
          </w:p>
        </w:tc>
        <w:tc>
          <w:tcPr>
            <w:tcW w:w="1280" w:type="pct"/>
            <w:vAlign w:val="center"/>
            <w:textDirection w:val="lrTb"/>
            <w:noWrap w:val="false"/>
          </w:tcPr>
          <w:p>
            <w:pPr>
              <w:jc w:val="both"/>
              <w:spacing w:before="0" w:after="0" w:line="300" w:lineRule="exact"/>
              <w:widowControl w:val="off"/>
              <w:rPr>
                <w:rFonts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说明</w:t>
            </w:r>
            <w:r/>
          </w:p>
        </w:tc>
      </w:tr>
      <w:tr>
        <w:trPr>
          <w:trHeight w:val="454"/>
        </w:trPr>
        <w:tc>
          <w:tcPr>
            <w:tcW w:w="379" w:type="pct"/>
            <w:vAlign w:val="center"/>
            <w:textDirection w:val="lrTb"/>
            <w:noWrap w:val="false"/>
          </w:tcPr>
          <w:p>
            <w:pPr>
              <w:ind w:firstLine="28"/>
              <w:jc w:val="center"/>
              <w:spacing w:line="320" w:lineRule="exact"/>
              <w:rPr>
                <w:rFonts w:ascii="宋体" w:hAnsi="宋体" w:eastAsia="宋体" w:cs="宋体"/>
                <w:b/>
                <w:szCs w:val="21"/>
                <w:highlight w:val="none"/>
              </w:rPr>
            </w:pPr>
            <w:r>
              <w:rPr>
                <w:rFonts w:hint="eastAsia" w:ascii="宋体" w:hAnsi="宋体" w:eastAsia="宋体" w:cs="宋体"/>
                <w:b/>
                <w:szCs w:val="21"/>
                <w:highlight w:val="none"/>
              </w:rPr>
              <w:t xml:space="preserve">1</w:t>
            </w:r>
            <w:r/>
          </w:p>
        </w:tc>
        <w:tc>
          <w:tcPr>
            <w:tcW w:w="763" w:type="pct"/>
            <w:vAlign w:val="center"/>
            <w:textDirection w:val="lrTb"/>
            <w:noWrap w:val="false"/>
          </w:tcPr>
          <w:p>
            <w:pPr>
              <w:ind w:firstLine="28"/>
              <w:jc w:val="center"/>
              <w:spacing w:line="320" w:lineRule="exact"/>
              <w:rPr>
                <w:rFonts w:ascii="宋体" w:hAnsi="宋体" w:eastAsia="宋体" w:cs="宋体"/>
                <w:b/>
                <w:szCs w:val="21"/>
                <w:highlight w:val="none"/>
              </w:rPr>
            </w:pPr>
            <w:r>
              <w:rPr>
                <w:rFonts w:hint="eastAsia" w:ascii="宋体" w:hAnsi="宋体" w:eastAsia="宋体" w:cs="宋体"/>
                <w:b/>
                <w:szCs w:val="21"/>
                <w:highlight w:val="none"/>
              </w:rPr>
              <w:t xml:space="preserve">价格分</w:t>
            </w:r>
            <w:r/>
          </w:p>
        </w:tc>
        <w:tc>
          <w:tcPr>
            <w:tcW w:w="468" w:type="pct"/>
            <w:vAlign w:val="center"/>
            <w:textDirection w:val="lrTb"/>
            <w:noWrap w:val="false"/>
          </w:tcPr>
          <w:p>
            <w:pPr>
              <w:ind w:firstLine="28"/>
              <w:jc w:val="center"/>
              <w:spacing w:line="300" w:lineRule="exact"/>
              <w:rPr>
                <w:rFonts w:eastAsia="宋体"/>
                <w:highlight w:val="none"/>
              </w:rPr>
            </w:pPr>
            <w:r>
              <w:rPr>
                <w:rFonts w:hint="eastAsia" w:ascii="宋体" w:hAnsi="宋体" w:eastAsia="宋体" w:cs="宋体"/>
                <w:b/>
                <w:szCs w:val="21"/>
                <w:highlight w:val="none"/>
                <w:lang w:val="en-US" w:eastAsia="zh-CN"/>
              </w:rPr>
              <w:t xml:space="preserve">3</w:t>
            </w:r>
            <w:r>
              <w:rPr>
                <w:rFonts w:hint="eastAsia" w:ascii="宋体" w:hAnsi="宋体" w:eastAsia="宋体" w:cs="宋体"/>
                <w:b/>
                <w:szCs w:val="21"/>
                <w:highlight w:val="none"/>
              </w:rPr>
              <w:t xml:space="preserve">0</w:t>
            </w:r>
            <w:r/>
          </w:p>
        </w:tc>
        <w:tc>
          <w:tcPr>
            <w:tcW w:w="2107" w:type="pct"/>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满足</w:t>
            </w:r>
            <w:r>
              <w:rPr>
                <w:rFonts w:hint="eastAsia" w:ascii="宋体" w:hAnsi="宋体" w:cs="宋体"/>
                <w:sz w:val="24"/>
                <w:highlight w:val="none"/>
                <w:lang w:val="en-US" w:eastAsia="zh-CN"/>
              </w:rPr>
              <w:t xml:space="preserve">招标</w:t>
            </w:r>
            <w:r>
              <w:rPr>
                <w:rFonts w:hint="eastAsia" w:ascii="宋体" w:hAnsi="宋体" w:cs="宋体"/>
                <w:sz w:val="24"/>
                <w:highlight w:val="none"/>
              </w:rPr>
              <w:t xml:space="preserve">文件要求且投标价格最低的投标报价为评标基准价，其价格分为满分。其他投标</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的价格分统一按照下列公式计算：</w:t>
            </w:r>
            <w:r/>
          </w:p>
          <w:p>
            <w:pPr>
              <w:rPr>
                <w:rFonts w:ascii="宋体" w:hAnsi="宋体" w:eastAsia="宋体" w:cs="宋体"/>
                <w:szCs w:val="21"/>
                <w:highlight w:val="none"/>
              </w:rPr>
            </w:pPr>
            <w:r>
              <w:rPr>
                <w:rFonts w:hint="eastAsia" w:ascii="宋体" w:hAnsi="宋体" w:cs="宋体"/>
                <w:sz w:val="24"/>
                <w:highlight w:val="none"/>
              </w:rPr>
              <w:t xml:space="preserve">投标报价得分＝（评标基准价/投标报价）×分值。</w:t>
            </w:r>
            <w:r/>
          </w:p>
        </w:tc>
        <w:tc>
          <w:tcPr>
            <w:tcW w:w="1280" w:type="pct"/>
            <w:vAlign w:val="center"/>
            <w:textDirection w:val="lrTb"/>
            <w:noWrap w:val="false"/>
          </w:tcPr>
          <w:p>
            <w:pPr>
              <w:ind w:left="-38"/>
              <w:rPr>
                <w:rFonts w:ascii="宋体" w:hAnsi="宋体" w:eastAsia="宋体" w:cs="宋体"/>
                <w:szCs w:val="21"/>
                <w:highlight w:val="none"/>
              </w:rPr>
            </w:pPr>
            <w:r>
              <w:rPr>
                <w:rFonts w:hint="eastAsia"/>
                <w:sz w:val="24"/>
                <w:highlight w:val="none"/>
              </w:rPr>
              <w:t xml:space="preserve">此处投标报价指经过报价修正，及</w:t>
            </w:r>
            <w:r>
              <w:rPr>
                <w:sz w:val="24"/>
                <w:highlight w:val="none"/>
              </w:rPr>
              <w:t xml:space="preserve">因落实政府采购政策进行价格调整</w:t>
            </w:r>
            <w:r>
              <w:rPr>
                <w:rFonts w:hint="eastAsia"/>
                <w:sz w:val="24"/>
                <w:highlight w:val="none"/>
              </w:rPr>
              <w:t xml:space="preserve">后</w:t>
            </w:r>
            <w:r>
              <w:rPr>
                <w:sz w:val="24"/>
                <w:highlight w:val="none"/>
              </w:rPr>
              <w:t xml:space="preserve">的</w:t>
            </w:r>
            <w:r>
              <w:rPr>
                <w:rFonts w:hint="eastAsia"/>
                <w:sz w:val="24"/>
                <w:highlight w:val="none"/>
              </w:rPr>
              <w:t xml:space="preserve">报价</w:t>
            </w:r>
            <w:r/>
          </w:p>
        </w:tc>
      </w:tr>
      <w:tr>
        <w:trPr>
          <w:trHeight w:val="454"/>
        </w:trPr>
        <w:tc>
          <w:tcPr>
            <w:tcW w:w="379" w:type="pct"/>
            <w:vAlign w:val="center"/>
            <w:textDirection w:val="lrTb"/>
            <w:noWrap w:val="false"/>
          </w:tcPr>
          <w:p>
            <w:pPr>
              <w:ind w:firstLine="28"/>
              <w:jc w:val="center"/>
              <w:spacing w:line="300" w:lineRule="exact"/>
              <w:rPr>
                <w:rFonts w:ascii="宋体" w:hAnsi="宋体" w:eastAsia="宋体" w:cs="宋体"/>
                <w:b/>
                <w:szCs w:val="21"/>
                <w:highlight w:val="none"/>
              </w:rPr>
            </w:pPr>
            <w:r>
              <w:rPr>
                <w:rFonts w:hint="eastAsia" w:ascii="宋体" w:hAnsi="宋体" w:eastAsia="宋体" w:cs="宋体"/>
                <w:b/>
                <w:szCs w:val="21"/>
                <w:highlight w:val="none"/>
              </w:rPr>
              <w:t xml:space="preserve">2</w:t>
            </w:r>
            <w:r/>
          </w:p>
        </w:tc>
        <w:tc>
          <w:tcPr>
            <w:tcW w:w="763" w:type="pct"/>
            <w:vAlign w:val="center"/>
            <w:textDirection w:val="lrTb"/>
            <w:noWrap w:val="false"/>
          </w:tcPr>
          <w:p>
            <w:pPr>
              <w:ind w:firstLine="28"/>
              <w:jc w:val="center"/>
              <w:spacing w:line="300" w:lineRule="exact"/>
              <w:rPr>
                <w:rFonts w:ascii="宋体" w:hAnsi="宋体" w:eastAsia="宋体" w:cs="宋体"/>
                <w:b/>
                <w:szCs w:val="21"/>
                <w:highlight w:val="none"/>
              </w:rPr>
            </w:pPr>
            <w:r>
              <w:rPr>
                <w:rFonts w:hint="eastAsia" w:ascii="宋体" w:hAnsi="宋体" w:eastAsia="宋体" w:cs="宋体"/>
                <w:b/>
                <w:szCs w:val="21"/>
                <w:highlight w:val="none"/>
              </w:rPr>
              <w:t xml:space="preserve">主观分</w:t>
            </w:r>
            <w:r/>
          </w:p>
        </w:tc>
        <w:tc>
          <w:tcPr>
            <w:tcW w:w="468" w:type="pct"/>
            <w:vAlign w:val="center"/>
            <w:textDirection w:val="lrTb"/>
            <w:noWrap w:val="false"/>
          </w:tcPr>
          <w:p>
            <w:pPr>
              <w:ind w:firstLine="28"/>
              <w:jc w:val="center"/>
              <w:spacing w:line="300" w:lineRule="exact"/>
              <w:rPr>
                <w:rFonts w:ascii="宋体" w:hAnsi="宋体" w:eastAsia="宋体" w:cs="宋体"/>
                <w:b/>
                <w:szCs w:val="21"/>
                <w:highlight w:val="none"/>
              </w:rPr>
            </w:pPr>
            <w:r>
              <w:rPr>
                <w:rFonts w:hint="eastAsia" w:ascii="宋体" w:hAnsi="宋体" w:eastAsia="宋体" w:cs="宋体"/>
                <w:b/>
                <w:szCs w:val="21"/>
                <w:highlight w:val="none"/>
                <w:lang w:val="en-US" w:eastAsia="zh-CN"/>
              </w:rPr>
              <w:t xml:space="preserve">5</w:t>
            </w:r>
            <w:r>
              <w:rPr>
                <w:rFonts w:ascii="宋体" w:hAnsi="宋体" w:eastAsia="宋体" w:cs="宋体"/>
                <w:b/>
                <w:szCs w:val="21"/>
                <w:highlight w:val="none"/>
              </w:rPr>
              <w:t xml:space="preserve">0</w:t>
            </w:r>
            <w:r/>
          </w:p>
        </w:tc>
        <w:tc>
          <w:tcPr>
            <w:tcW w:w="2107" w:type="pct"/>
            <w:vAlign w:val="center"/>
            <w:textDirection w:val="lrTb"/>
            <w:noWrap w:val="false"/>
          </w:tcPr>
          <w:p>
            <w:pPr>
              <w:ind w:firstLine="420"/>
              <w:spacing w:line="300" w:lineRule="exact"/>
              <w:rPr>
                <w:rFonts w:ascii="宋体" w:hAnsi="宋体" w:eastAsia="宋体" w:cs="宋体"/>
                <w:szCs w:val="21"/>
                <w:highlight w:val="none"/>
              </w:rPr>
            </w:pPr>
            <w:r>
              <w:rPr>
                <w:rFonts w:ascii="宋体" w:hAnsi="宋体" w:eastAsia="宋体" w:cs="宋体"/>
                <w:szCs w:val="21"/>
                <w:highlight w:val="none"/>
              </w:rPr>
            </w:r>
            <w:r/>
          </w:p>
        </w:tc>
        <w:tc>
          <w:tcPr>
            <w:tcW w:w="1280" w:type="pct"/>
            <w:vAlign w:val="center"/>
            <w:textDirection w:val="lrTb"/>
            <w:noWrap w:val="false"/>
          </w:tcPr>
          <w:p>
            <w:pPr>
              <w:ind w:left="-38"/>
              <w:spacing w:line="300" w:lineRule="exact"/>
              <w:rPr>
                <w:rFonts w:ascii="宋体" w:hAnsi="宋体" w:eastAsia="宋体" w:cs="宋体"/>
                <w:szCs w:val="21"/>
                <w:highlight w:val="none"/>
              </w:rPr>
            </w:pPr>
            <w:r>
              <w:rPr>
                <w:rFonts w:ascii="宋体" w:hAnsi="宋体" w:eastAsia="宋体" w:cs="宋体"/>
                <w:szCs w:val="21"/>
                <w:highlight w:val="none"/>
              </w:rPr>
            </w:r>
            <w:r/>
          </w:p>
        </w:tc>
      </w:tr>
      <w:tr>
        <w:trPr>
          <w:trHeight w:val="454"/>
        </w:trPr>
        <w:tc>
          <w:tcPr>
            <w:tcW w:w="379" w:type="pct"/>
            <w:vAlign w:val="center"/>
            <w:textDirection w:val="lrTb"/>
            <w:noWrap w:val="false"/>
          </w:tcPr>
          <w:p>
            <w:pPr>
              <w:rPr>
                <w:rFonts w:hint="eastAsia" w:ascii="宋体" w:hAnsi="宋体" w:cs="宋体"/>
                <w:sz w:val="24"/>
                <w:highlight w:val="none"/>
                <w:lang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1</w:t>
            </w:r>
            <w:r/>
          </w:p>
        </w:tc>
        <w:tc>
          <w:tcPr>
            <w:tcW w:w="763"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lang w:eastAsia="zh-CN"/>
              </w:rPr>
              <w:t xml:space="preserve">绿雕</w:t>
            </w:r>
            <w:r>
              <w:rPr>
                <w:rFonts w:hint="eastAsia" w:ascii="宋体" w:hAnsi="宋体" w:cs="宋体"/>
                <w:sz w:val="24"/>
                <w:highlight w:val="none"/>
                <w:lang w:val="en-US" w:eastAsia="zh-CN"/>
              </w:rPr>
              <w:t xml:space="preserve">种植情况</w:t>
            </w:r>
            <w:r>
              <w:rPr>
                <w:rFonts w:hint="eastAsia" w:ascii="宋体" w:hAnsi="宋体" w:cs="宋体"/>
                <w:sz w:val="24"/>
                <w:highlight w:val="none"/>
              </w:rPr>
              <w:t xml:space="preserve">及施工组织方案</w:t>
            </w:r>
            <w:r/>
          </w:p>
        </w:tc>
        <w:tc>
          <w:tcPr>
            <w:tcW w:w="468" w:type="pct"/>
            <w:vAlign w:val="center"/>
            <w:textDirection w:val="lrTb"/>
            <w:noWrap w:val="false"/>
          </w:tcPr>
          <w:p>
            <w:pPr>
              <w:jc w:val="center"/>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15</w:t>
            </w:r>
            <w:r/>
          </w:p>
        </w:tc>
        <w:tc>
          <w:tcPr>
            <w:tcW w:w="2107"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评委根据供应商提供的</w:t>
            </w:r>
            <w:r>
              <w:rPr>
                <w:rFonts w:hint="eastAsia" w:ascii="宋体" w:hAnsi="宋体" w:cs="宋体"/>
                <w:sz w:val="24"/>
                <w:highlight w:val="none"/>
                <w:lang w:val="en-US" w:eastAsia="zh-CN"/>
              </w:rPr>
              <w:t xml:space="preserve">绿雕</w:t>
            </w:r>
            <w:r>
              <w:rPr>
                <w:rFonts w:hint="eastAsia" w:ascii="宋体" w:hAnsi="宋体" w:cs="宋体"/>
                <w:sz w:val="24"/>
                <w:highlight w:val="none"/>
              </w:rPr>
              <w:t xml:space="preserve">种植情况和施工组织方案内容进行综合评审：</w:t>
            </w:r>
            <w:r/>
          </w:p>
          <w:p>
            <w:pPr>
              <w:rPr>
                <w:rFonts w:hint="eastAsia" w:ascii="宋体" w:hAnsi="宋体" w:cs="宋体"/>
                <w:sz w:val="24"/>
                <w:highlight w:val="none"/>
              </w:rPr>
            </w:pPr>
            <w:r>
              <w:rPr>
                <w:rFonts w:hint="eastAsia" w:ascii="宋体" w:hAnsi="宋体" w:cs="宋体"/>
                <w:sz w:val="24"/>
                <w:highlight w:val="none"/>
              </w:rPr>
              <w:t xml:space="preserve">供应商针对以上各项要求提出的</w:t>
            </w:r>
            <w:r>
              <w:rPr>
                <w:rFonts w:hint="eastAsia" w:ascii="宋体" w:hAnsi="宋体" w:cs="宋体"/>
                <w:sz w:val="24"/>
                <w:highlight w:val="none"/>
                <w:lang w:val="en-US" w:eastAsia="zh-CN"/>
              </w:rPr>
              <w:t xml:space="preserve">绿雕</w:t>
            </w:r>
            <w:r>
              <w:rPr>
                <w:rFonts w:hint="eastAsia" w:ascii="宋体" w:hAnsi="宋体" w:cs="宋体"/>
                <w:sz w:val="24"/>
                <w:highlight w:val="none"/>
              </w:rPr>
              <w:t xml:space="preserve">种植情况优于招标人需求，施工组织方案合理、规范、全面，可行性较高的，得</w:t>
            </w:r>
            <w:r>
              <w:rPr>
                <w:rFonts w:hint="eastAsia" w:ascii="宋体" w:hAnsi="宋体" w:cs="宋体"/>
                <w:sz w:val="24"/>
                <w:highlight w:val="none"/>
                <w:lang w:val="en-US" w:eastAsia="zh-CN"/>
              </w:rPr>
              <w:t xml:space="preserve">15</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供应商针对以上各项要求提出的</w:t>
            </w:r>
            <w:r>
              <w:rPr>
                <w:rFonts w:hint="eastAsia" w:ascii="宋体" w:hAnsi="宋体" w:cs="宋体"/>
                <w:sz w:val="24"/>
                <w:highlight w:val="none"/>
                <w:lang w:val="en-US" w:eastAsia="zh-CN"/>
              </w:rPr>
              <w:t xml:space="preserve">绿雕</w:t>
            </w:r>
            <w:r>
              <w:rPr>
                <w:rFonts w:hint="eastAsia" w:ascii="宋体" w:hAnsi="宋体" w:cs="宋体"/>
                <w:sz w:val="24"/>
                <w:highlight w:val="none"/>
              </w:rPr>
              <w:t xml:space="preserve">种植情况符合招标人需求，施工组织方案比较合理、规范、全面，具备可行性的，得</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供应商针对以上各项要求提出的</w:t>
            </w:r>
            <w:r>
              <w:rPr>
                <w:rFonts w:hint="eastAsia" w:ascii="宋体" w:hAnsi="宋体" w:cs="宋体"/>
                <w:sz w:val="24"/>
                <w:highlight w:val="none"/>
                <w:lang w:val="en-US" w:eastAsia="zh-CN"/>
              </w:rPr>
              <w:t xml:space="preserve">绿雕</w:t>
            </w:r>
            <w:r>
              <w:rPr>
                <w:rFonts w:hint="eastAsia" w:ascii="宋体" w:hAnsi="宋体" w:cs="宋体"/>
                <w:sz w:val="24"/>
                <w:highlight w:val="none"/>
              </w:rPr>
              <w:t xml:space="preserve">质量符合招标人需求，施工组织方案基本合理、规范，可行性一般的，得</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供应商针对以上各项要求提出的</w:t>
            </w:r>
            <w:r>
              <w:rPr>
                <w:rFonts w:hint="eastAsia" w:ascii="宋体" w:hAnsi="宋体" w:cs="宋体"/>
                <w:sz w:val="24"/>
                <w:highlight w:val="none"/>
                <w:lang w:val="en-US" w:eastAsia="zh-CN"/>
              </w:rPr>
              <w:t xml:space="preserve">绿雕</w:t>
            </w:r>
            <w:r>
              <w:rPr>
                <w:rFonts w:hint="eastAsia" w:ascii="宋体" w:hAnsi="宋体" w:cs="宋体"/>
                <w:sz w:val="24"/>
                <w:highlight w:val="none"/>
              </w:rPr>
              <w:t xml:space="preserve">质量基本符合招标人需求，施工组织方案合理、规范、可行性欠缺的，得5分；</w:t>
            </w:r>
            <w:r/>
          </w:p>
          <w:p>
            <w:pPr>
              <w:rPr>
                <w:rFonts w:hint="eastAsia" w:ascii="宋体" w:hAnsi="宋体" w:cs="宋体"/>
                <w:sz w:val="24"/>
                <w:highlight w:val="none"/>
              </w:rPr>
            </w:pPr>
            <w:r>
              <w:rPr>
                <w:rFonts w:hint="eastAsia" w:ascii="宋体" w:hAnsi="宋体" w:cs="宋体"/>
                <w:sz w:val="24"/>
                <w:highlight w:val="none"/>
              </w:rPr>
              <w:t xml:space="preserve">未提供不得分。</w:t>
            </w:r>
            <w:r/>
          </w:p>
        </w:tc>
        <w:tc>
          <w:tcPr>
            <w:tcW w:w="1280"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trHeight w:val="454"/>
        </w:trPr>
        <w:tc>
          <w:tcPr>
            <w:tcW w:w="379" w:type="pct"/>
            <w:vAlign w:val="center"/>
            <w:textDirection w:val="lrTb"/>
            <w:noWrap w:val="false"/>
          </w:tcPr>
          <w:p>
            <w:pPr>
              <w:rPr>
                <w:rFonts w:hint="eastAsia" w:ascii="宋体" w:hAnsi="宋体" w:cs="宋体"/>
                <w:sz w:val="24"/>
                <w:highlight w:val="none"/>
                <w:lang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2</w:t>
            </w:r>
            <w:r/>
          </w:p>
        </w:tc>
        <w:tc>
          <w:tcPr>
            <w:tcW w:w="763"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lang w:eastAsia="zh-CN"/>
              </w:rPr>
              <w:t xml:space="preserve">绿雕</w:t>
            </w:r>
            <w:r>
              <w:rPr>
                <w:rFonts w:hint="eastAsia" w:ascii="宋体" w:hAnsi="宋体" w:cs="宋体"/>
                <w:sz w:val="24"/>
                <w:highlight w:val="none"/>
              </w:rPr>
              <w:t xml:space="preserve">养护方案</w:t>
            </w:r>
            <w:r/>
          </w:p>
        </w:tc>
        <w:tc>
          <w:tcPr>
            <w:tcW w:w="468" w:type="pct"/>
            <w:vAlign w:val="center"/>
            <w:textDirection w:val="lrTb"/>
            <w:noWrap w:val="false"/>
          </w:tcPr>
          <w:p>
            <w:pPr>
              <w:jc w:val="center"/>
              <w:rPr>
                <w:rFonts w:hint="default" w:ascii="宋体" w:hAnsi="宋体" w:cs="宋体"/>
                <w:sz w:val="24"/>
                <w:highlight w:val="none"/>
                <w:lang w:val="en-US"/>
              </w:rPr>
            </w:pPr>
            <w:r>
              <w:rPr>
                <w:rFonts w:hint="eastAsia" w:ascii="宋体" w:hAnsi="宋体" w:cs="宋体"/>
                <w:sz w:val="24"/>
                <w:highlight w:val="none"/>
                <w:lang w:val="en-US" w:eastAsia="zh-CN"/>
              </w:rPr>
              <w:t xml:space="preserve">15</w:t>
            </w:r>
            <w:r/>
          </w:p>
        </w:tc>
        <w:tc>
          <w:tcPr>
            <w:tcW w:w="2107"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评委根据供应商在服务期内提供的</w:t>
            </w:r>
            <w:r>
              <w:rPr>
                <w:rFonts w:hint="eastAsia" w:ascii="宋体" w:hAnsi="宋体" w:cs="宋体"/>
                <w:sz w:val="24"/>
                <w:highlight w:val="none"/>
                <w:lang w:eastAsia="zh-CN"/>
              </w:rPr>
              <w:t xml:space="preserve">绿雕</w:t>
            </w:r>
            <w:r>
              <w:rPr>
                <w:rFonts w:hint="eastAsia" w:ascii="宋体" w:hAnsi="宋体" w:cs="宋体"/>
                <w:sz w:val="24"/>
                <w:highlight w:val="none"/>
              </w:rPr>
              <w:t xml:space="preserve">种植后的养护服务方案（根据开放式公园标准化要求进行作业、日常养护措施、巡查整改、台账记录）等内容进行综合评审：</w:t>
            </w:r>
            <w:r/>
          </w:p>
          <w:p>
            <w:pPr>
              <w:rPr>
                <w:rFonts w:hint="eastAsia" w:ascii="宋体" w:hAnsi="宋体" w:cs="宋体"/>
                <w:sz w:val="24"/>
                <w:highlight w:val="none"/>
              </w:rPr>
            </w:pPr>
            <w:r>
              <w:rPr>
                <w:rFonts w:hint="eastAsia" w:ascii="宋体" w:hAnsi="宋体" w:cs="宋体"/>
                <w:sz w:val="24"/>
                <w:highlight w:val="none"/>
              </w:rPr>
              <w:t xml:space="preserve">响应文件中提供的养护服务内容具体详尽、符合实际、切实可行的，得</w:t>
            </w:r>
            <w:r>
              <w:rPr>
                <w:rFonts w:hint="eastAsia" w:ascii="宋体" w:hAnsi="宋体" w:cs="宋体"/>
                <w:sz w:val="24"/>
                <w:highlight w:val="none"/>
                <w:lang w:val="en-US" w:eastAsia="zh-CN"/>
              </w:rPr>
              <w:t xml:space="preserve">15</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响应文件中提供的养护服务内容较具体、较符合实际、操作性较可行的，得1</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响应文件中提供的养护服务内容不够具体、基本符合实际、操作性基本可行的，得</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响应文件中提供的养护服务内容较少、操作性较弱的，得5分；</w:t>
            </w:r>
            <w:r/>
          </w:p>
          <w:p>
            <w:pPr>
              <w:rPr>
                <w:rFonts w:hint="eastAsia" w:ascii="宋体" w:hAnsi="宋体" w:cs="宋体"/>
                <w:sz w:val="24"/>
                <w:highlight w:val="none"/>
              </w:rPr>
            </w:pPr>
            <w:r>
              <w:rPr>
                <w:rFonts w:hint="eastAsia" w:ascii="宋体" w:hAnsi="宋体" w:cs="宋体"/>
                <w:sz w:val="24"/>
                <w:highlight w:val="none"/>
              </w:rPr>
              <w:t xml:space="preserve">未提供不得分。</w:t>
            </w:r>
            <w:r/>
          </w:p>
        </w:tc>
        <w:tc>
          <w:tcPr>
            <w:tcW w:w="1280"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trHeight w:val="454"/>
        </w:trPr>
        <w:tc>
          <w:tcPr>
            <w:tcW w:w="379" w:type="pct"/>
            <w:vAlign w:val="center"/>
            <w:textDirection w:val="lrTb"/>
            <w:noWrap w:val="false"/>
          </w:tcPr>
          <w:p>
            <w:pPr>
              <w:rPr>
                <w:rFonts w:hint="eastAsia" w:ascii="宋体" w:hAnsi="宋体" w:cs="宋体"/>
                <w:sz w:val="24"/>
                <w:highlight w:val="none"/>
                <w:lang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3</w:t>
            </w:r>
            <w:r/>
          </w:p>
        </w:tc>
        <w:tc>
          <w:tcPr>
            <w:tcW w:w="763"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临时</w:t>
            </w:r>
            <w:r/>
          </w:p>
          <w:p>
            <w:pPr>
              <w:rPr>
                <w:rFonts w:hint="eastAsia" w:ascii="宋体" w:hAnsi="宋体" w:cs="宋体"/>
                <w:sz w:val="24"/>
                <w:highlight w:val="none"/>
              </w:rPr>
            </w:pPr>
            <w:r>
              <w:rPr>
                <w:rFonts w:hint="eastAsia" w:ascii="宋体" w:hAnsi="宋体" w:cs="宋体"/>
                <w:sz w:val="24"/>
                <w:highlight w:val="none"/>
              </w:rPr>
              <w:t xml:space="preserve">布置</w:t>
            </w:r>
            <w:r/>
          </w:p>
        </w:tc>
        <w:tc>
          <w:tcPr>
            <w:tcW w:w="468" w:type="pct"/>
            <w:vAlign w:val="center"/>
            <w:textDirection w:val="lrTb"/>
            <w:noWrap w:val="false"/>
          </w:tcPr>
          <w:p>
            <w:pPr>
              <w:jc w:val="center"/>
              <w:rPr>
                <w:rFonts w:hint="eastAsia" w:ascii="宋体" w:hAnsi="宋体" w:cs="宋体"/>
                <w:sz w:val="24"/>
                <w:highlight w:val="none"/>
                <w:lang w:eastAsia="zh-CN"/>
              </w:rPr>
            </w:pPr>
            <w:r>
              <w:rPr>
                <w:rFonts w:hint="eastAsia" w:ascii="宋体" w:hAnsi="宋体" w:cs="宋体"/>
                <w:sz w:val="24"/>
                <w:highlight w:val="none"/>
                <w:lang w:val="en-US" w:eastAsia="zh-CN"/>
              </w:rPr>
              <w:t xml:space="preserve">5</w:t>
            </w:r>
            <w:r/>
          </w:p>
        </w:tc>
        <w:tc>
          <w:tcPr>
            <w:tcW w:w="2107"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评委根据供应商提供的接到招标人临时性布置任务时的应对方案，包括响应时间、完成</w:t>
            </w:r>
            <w:r>
              <w:rPr>
                <w:rFonts w:hint="eastAsia" w:ascii="宋体" w:hAnsi="宋体" w:cs="宋体"/>
                <w:sz w:val="24"/>
                <w:highlight w:val="none"/>
                <w:lang w:val="en-US" w:eastAsia="zh-CN"/>
              </w:rPr>
              <w:t xml:space="preserve">绿雕</w:t>
            </w:r>
            <w:r>
              <w:rPr>
                <w:rFonts w:hint="eastAsia" w:ascii="宋体" w:hAnsi="宋体" w:cs="宋体"/>
                <w:sz w:val="24"/>
                <w:highlight w:val="none"/>
              </w:rPr>
              <w:t xml:space="preserve">布置的时间承诺、</w:t>
            </w:r>
            <w:r>
              <w:rPr>
                <w:rFonts w:hint="eastAsia" w:ascii="宋体" w:hAnsi="宋体" w:cs="宋体"/>
                <w:sz w:val="24"/>
                <w:highlight w:val="none"/>
                <w:lang w:val="en-US" w:eastAsia="zh-CN"/>
              </w:rPr>
              <w:t xml:space="preserve">绿雕</w:t>
            </w:r>
            <w:r>
              <w:rPr>
                <w:rFonts w:hint="eastAsia" w:ascii="宋体" w:hAnsi="宋体" w:cs="宋体"/>
                <w:sz w:val="24"/>
                <w:highlight w:val="none"/>
              </w:rPr>
              <w:t xml:space="preserve">质量承诺等内容进行评审：</w:t>
            </w:r>
            <w:r/>
          </w:p>
          <w:p>
            <w:pPr>
              <w:rPr>
                <w:rFonts w:hint="eastAsia" w:ascii="宋体" w:hAnsi="宋体" w:cs="宋体"/>
                <w:sz w:val="24"/>
                <w:highlight w:val="none"/>
              </w:rPr>
            </w:pPr>
            <w:r>
              <w:rPr>
                <w:rFonts w:hint="eastAsia" w:ascii="宋体" w:hAnsi="宋体" w:cs="宋体"/>
                <w:sz w:val="24"/>
                <w:highlight w:val="none"/>
              </w:rPr>
              <w:t xml:space="preserve">措施方案具体、可行，基本满足项目实施要求的，得5分；</w:t>
            </w:r>
            <w:r/>
          </w:p>
          <w:p>
            <w:pPr>
              <w:rPr>
                <w:rFonts w:hint="eastAsia" w:ascii="宋体" w:hAnsi="宋体" w:cs="宋体"/>
                <w:sz w:val="24"/>
                <w:highlight w:val="none"/>
              </w:rPr>
            </w:pPr>
            <w:r>
              <w:rPr>
                <w:rFonts w:hint="eastAsia" w:ascii="宋体" w:hAnsi="宋体" w:cs="宋体"/>
                <w:sz w:val="24"/>
                <w:highlight w:val="none"/>
              </w:rPr>
              <w:t xml:space="preserve">措施方案较具体、可行，能基本满足项目实施要求的，得4分；</w:t>
            </w:r>
            <w:r/>
          </w:p>
          <w:p>
            <w:pPr>
              <w:rPr>
                <w:rFonts w:hint="eastAsia" w:ascii="宋体" w:hAnsi="宋体" w:cs="宋体"/>
                <w:sz w:val="24"/>
                <w:highlight w:val="none"/>
              </w:rPr>
            </w:pPr>
            <w:r>
              <w:rPr>
                <w:rFonts w:hint="eastAsia" w:ascii="宋体" w:hAnsi="宋体" w:cs="宋体"/>
                <w:sz w:val="24"/>
                <w:highlight w:val="none"/>
              </w:rPr>
              <w:t xml:space="preserve">措施方案内容较简单，对项目实施要求响应一般的，得3分；</w:t>
            </w:r>
            <w:r/>
          </w:p>
          <w:p>
            <w:pPr>
              <w:rPr>
                <w:rFonts w:hint="eastAsia" w:ascii="宋体" w:hAnsi="宋体" w:cs="宋体"/>
                <w:sz w:val="24"/>
                <w:highlight w:val="none"/>
              </w:rPr>
            </w:pPr>
            <w:r>
              <w:rPr>
                <w:rFonts w:hint="eastAsia" w:ascii="宋体" w:hAnsi="宋体" w:cs="宋体"/>
                <w:sz w:val="24"/>
                <w:highlight w:val="none"/>
              </w:rPr>
              <w:t xml:space="preserve">措施方案内容较差、无针对性或可行性较差的，得2分；</w:t>
            </w:r>
            <w:r/>
          </w:p>
          <w:p>
            <w:pPr>
              <w:rPr>
                <w:rFonts w:hint="eastAsia" w:ascii="宋体" w:hAnsi="宋体" w:cs="宋体"/>
                <w:sz w:val="24"/>
                <w:highlight w:val="none"/>
              </w:rPr>
            </w:pPr>
            <w:r>
              <w:rPr>
                <w:rFonts w:hint="eastAsia" w:ascii="宋体" w:hAnsi="宋体" w:cs="宋体"/>
                <w:sz w:val="24"/>
                <w:highlight w:val="none"/>
              </w:rPr>
              <w:t xml:space="preserve">未提供不得分。</w:t>
            </w:r>
            <w:r/>
          </w:p>
        </w:tc>
        <w:tc>
          <w:tcPr>
            <w:tcW w:w="1280"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trHeight w:val="454"/>
        </w:trPr>
        <w:tc>
          <w:tcPr>
            <w:tcW w:w="379" w:type="pct"/>
            <w:vAlign w:val="center"/>
            <w:textDirection w:val="lrTb"/>
            <w:noWrap w:val="false"/>
          </w:tcPr>
          <w:p>
            <w:pPr>
              <w:rPr>
                <w:rFonts w:hint="eastAsia" w:ascii="宋体" w:hAnsi="宋体" w:cs="宋体"/>
                <w:sz w:val="24"/>
                <w:highlight w:val="none"/>
                <w:lang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4</w:t>
            </w:r>
            <w:r/>
          </w:p>
        </w:tc>
        <w:tc>
          <w:tcPr>
            <w:tcW w:w="763"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安全、文明管养措施与应急预案</w:t>
            </w:r>
            <w:r/>
          </w:p>
        </w:tc>
        <w:tc>
          <w:tcPr>
            <w:tcW w:w="468" w:type="pct"/>
            <w:vAlign w:val="center"/>
            <w:textDirection w:val="lrTb"/>
            <w:noWrap w:val="false"/>
          </w:tcPr>
          <w:p>
            <w:pPr>
              <w:jc w:val="center"/>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10</w:t>
            </w:r>
            <w:r/>
          </w:p>
        </w:tc>
        <w:tc>
          <w:tcPr>
            <w:tcW w:w="2107" w:type="pct"/>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评委根据供应商针对本项目制定的安全、文明管养措施、定期有专人巡查</w:t>
            </w:r>
            <w:r>
              <w:rPr>
                <w:rFonts w:hint="eastAsia" w:ascii="宋体" w:hAnsi="宋体" w:cs="宋体"/>
                <w:sz w:val="24"/>
                <w:highlight w:val="none"/>
                <w:lang w:eastAsia="zh-CN"/>
              </w:rPr>
              <w:t xml:space="preserve">绿雕</w:t>
            </w:r>
            <w:r>
              <w:rPr>
                <w:rFonts w:hint="eastAsia" w:ascii="宋体" w:hAnsi="宋体" w:cs="宋体"/>
                <w:sz w:val="24"/>
                <w:highlight w:val="none"/>
              </w:rPr>
              <w:t xml:space="preserve">若发生破坏或侵占第一时间上报制度、拟定的灾害性天气和突发事件应急预案等内容进行综合评审：</w:t>
            </w:r>
            <w:r/>
          </w:p>
          <w:p>
            <w:pPr>
              <w:rPr>
                <w:rFonts w:hint="eastAsia" w:ascii="宋体" w:hAnsi="宋体" w:cs="宋体"/>
                <w:sz w:val="24"/>
                <w:highlight w:val="none"/>
              </w:rPr>
            </w:pPr>
            <w:r>
              <w:rPr>
                <w:rFonts w:hint="eastAsia" w:ascii="宋体" w:hAnsi="宋体" w:cs="宋体"/>
                <w:sz w:val="24"/>
                <w:highlight w:val="none"/>
              </w:rPr>
              <w:t xml:space="preserve">响应文件中针对以上各项措施要求提出的方案具体详实、应急预案具有有效的预防和补救措施，合理可行的，得10分；</w:t>
            </w:r>
            <w:r/>
          </w:p>
          <w:p>
            <w:pPr>
              <w:rPr>
                <w:rFonts w:hint="eastAsia" w:ascii="宋体" w:hAnsi="宋体" w:cs="宋体"/>
                <w:sz w:val="24"/>
                <w:highlight w:val="none"/>
              </w:rPr>
            </w:pPr>
            <w:r>
              <w:rPr>
                <w:rFonts w:hint="eastAsia" w:ascii="宋体" w:hAnsi="宋体" w:cs="宋体"/>
                <w:sz w:val="24"/>
                <w:highlight w:val="none"/>
              </w:rPr>
              <w:t xml:space="preserve">响应文件中针对以上各项措施要求提出的方案完整、应急预案具有较有效的预防和补救措施，较合理可行的，得</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响应文件中针对以上各项措施要求提出的方案较完整、应急预案预防和补救措施一般，基本可行的，得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响应文件中针对以上各项措施要求提出的方案较少、应急预案预防和补救措施较差，可行性较差的，得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未提供不得分。</w:t>
            </w:r>
            <w:r/>
          </w:p>
        </w:tc>
        <w:tc>
          <w:tcPr>
            <w:tcW w:w="1280"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trHeight w:val="454"/>
        </w:trPr>
        <w:tc>
          <w:tcPr>
            <w:tcW w:w="379" w:type="pct"/>
            <w:vAlign w:val="center"/>
            <w:textDirection w:val="lrTb"/>
            <w:noWrap w:val="false"/>
          </w:tcPr>
          <w:p>
            <w:pP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2.5</w:t>
            </w:r>
            <w:r/>
          </w:p>
        </w:tc>
        <w:tc>
          <w:tcPr>
            <w:tcW w:w="763"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迎接重大活动和检查评比的保障措施</w:t>
            </w:r>
            <w:r/>
          </w:p>
        </w:tc>
        <w:tc>
          <w:tcPr>
            <w:tcW w:w="468" w:type="pct"/>
            <w:vAlign w:val="center"/>
            <w:textDirection w:val="lrTb"/>
            <w:noWrap w:val="false"/>
          </w:tcPr>
          <w:p>
            <w:pPr>
              <w:jc w:val="center"/>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5</w:t>
            </w:r>
            <w:r/>
          </w:p>
        </w:tc>
        <w:tc>
          <w:tcPr>
            <w:tcW w:w="2107" w:type="pct"/>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评委根据供应商针对迎接重大活动和检查评比的保障措施等进行综合评审：</w:t>
            </w:r>
            <w:r/>
          </w:p>
          <w:p>
            <w:pPr>
              <w:rPr>
                <w:rFonts w:hint="eastAsia" w:ascii="宋体" w:hAnsi="宋体" w:cs="宋体"/>
                <w:sz w:val="24"/>
                <w:highlight w:val="none"/>
              </w:rPr>
            </w:pPr>
            <w:r>
              <w:rPr>
                <w:rFonts w:hint="eastAsia" w:ascii="宋体" w:hAnsi="宋体" w:cs="宋体"/>
                <w:sz w:val="24"/>
                <w:highlight w:val="none"/>
              </w:rPr>
              <w:t xml:space="preserve">迎接重大活动和检查评比的保障措施等内容完整且具有较高可操作性的，得5分；</w:t>
            </w:r>
            <w:r/>
          </w:p>
          <w:p>
            <w:pPr>
              <w:rPr>
                <w:rFonts w:hint="eastAsia" w:ascii="宋体" w:hAnsi="宋体" w:cs="宋体"/>
                <w:sz w:val="24"/>
                <w:highlight w:val="none"/>
              </w:rPr>
            </w:pPr>
            <w:r>
              <w:rPr>
                <w:rFonts w:hint="eastAsia" w:ascii="宋体" w:hAnsi="宋体" w:cs="宋体"/>
                <w:sz w:val="24"/>
                <w:highlight w:val="none"/>
              </w:rPr>
              <w:t xml:space="preserve">迎接重大活动和检查评比的保障措施等内容比较完整且比较可行的，得4分；</w:t>
            </w:r>
            <w:r/>
          </w:p>
          <w:p>
            <w:pPr>
              <w:rPr>
                <w:rFonts w:hint="eastAsia" w:ascii="宋体" w:hAnsi="宋体" w:cs="宋体"/>
                <w:sz w:val="24"/>
                <w:highlight w:val="none"/>
              </w:rPr>
            </w:pPr>
            <w:r>
              <w:rPr>
                <w:rFonts w:hint="eastAsia" w:ascii="宋体" w:hAnsi="宋体" w:cs="宋体"/>
                <w:sz w:val="24"/>
                <w:highlight w:val="none"/>
              </w:rPr>
              <w:t xml:space="preserve">迎接重大活动和检查评比的保障措施等内容基本完整且基本可行的，得3分；</w:t>
            </w:r>
            <w:r/>
          </w:p>
          <w:p>
            <w:pPr>
              <w:rPr>
                <w:rFonts w:hint="eastAsia" w:ascii="宋体" w:hAnsi="宋体" w:cs="宋体"/>
                <w:sz w:val="24"/>
                <w:highlight w:val="none"/>
              </w:rPr>
            </w:pPr>
            <w:r>
              <w:rPr>
                <w:rFonts w:hint="eastAsia" w:ascii="宋体" w:hAnsi="宋体" w:cs="宋体"/>
                <w:sz w:val="24"/>
                <w:highlight w:val="none"/>
              </w:rPr>
              <w:t xml:space="preserve">迎接重大活动和检查评比的保障措施等内容不完整或不太可行的得2分；</w:t>
            </w:r>
            <w:r/>
          </w:p>
          <w:p>
            <w:pPr>
              <w:rPr>
                <w:rFonts w:hint="eastAsia" w:ascii="宋体" w:hAnsi="宋体" w:cs="宋体"/>
                <w:sz w:val="24"/>
                <w:highlight w:val="none"/>
              </w:rPr>
            </w:pPr>
            <w:r>
              <w:rPr>
                <w:rFonts w:hint="eastAsia" w:ascii="宋体" w:hAnsi="宋体" w:cs="宋体"/>
                <w:sz w:val="24"/>
                <w:highlight w:val="none"/>
              </w:rPr>
              <w:t xml:space="preserve">未提供的，不得分。</w:t>
            </w:r>
            <w:r/>
          </w:p>
        </w:tc>
        <w:tc>
          <w:tcPr>
            <w:tcW w:w="1280"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trHeight w:val="454"/>
        </w:trPr>
        <w:tc>
          <w:tcPr>
            <w:tcW w:w="379" w:type="pct"/>
            <w:vAlign w:val="center"/>
            <w:textDirection w:val="lrTb"/>
            <w:noWrap w:val="false"/>
          </w:tcPr>
          <w:p>
            <w:pPr>
              <w:jc w:val="center"/>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3</w:t>
            </w:r>
            <w:r/>
          </w:p>
        </w:tc>
        <w:tc>
          <w:tcPr>
            <w:tcW w:w="763" w:type="pct"/>
            <w:vAlign w:val="center"/>
            <w:textDirection w:val="lrTb"/>
            <w:noWrap w:val="false"/>
          </w:tcPr>
          <w:p>
            <w:pPr>
              <w:jc w:val="center"/>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客观分</w:t>
            </w:r>
            <w:r/>
          </w:p>
        </w:tc>
        <w:tc>
          <w:tcPr>
            <w:tcW w:w="468" w:type="pct"/>
            <w:vAlign w:val="center"/>
            <w:textDirection w:val="lrTb"/>
            <w:noWrap w:val="false"/>
          </w:tcPr>
          <w:p>
            <w:pPr>
              <w:jc w:val="center"/>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 xml:space="preserve">20</w:t>
            </w:r>
            <w:r/>
          </w:p>
        </w:tc>
        <w:tc>
          <w:tcPr>
            <w:tcW w:w="2107" w:type="pct"/>
            <w:vAlign w:val="center"/>
            <w:textDirection w:val="lrTb"/>
            <w:noWrap w:val="false"/>
          </w:tcPr>
          <w:p>
            <w:pPr>
              <w:ind w:firstLine="420"/>
              <w:spacing w:line="300" w:lineRule="exact"/>
              <w:rPr>
                <w:rFonts w:ascii="宋体" w:hAnsi="宋体" w:eastAsia="宋体" w:cs="宋体"/>
                <w:szCs w:val="21"/>
                <w:highlight w:val="none"/>
              </w:rPr>
            </w:pPr>
            <w:r>
              <w:rPr>
                <w:rFonts w:ascii="宋体" w:hAnsi="宋体" w:eastAsia="宋体" w:cs="宋体"/>
                <w:szCs w:val="21"/>
                <w:highlight w:val="none"/>
              </w:rPr>
            </w:r>
            <w:r/>
          </w:p>
        </w:tc>
        <w:tc>
          <w:tcPr>
            <w:tcW w:w="1280" w:type="pct"/>
            <w:vAlign w:val="center"/>
            <w:textDirection w:val="lrTb"/>
            <w:noWrap w:val="false"/>
          </w:tcPr>
          <w:p>
            <w:pPr>
              <w:ind w:left="-38"/>
              <w:spacing w:line="300" w:lineRule="exact"/>
              <w:rPr>
                <w:rFonts w:ascii="宋体" w:hAnsi="宋体" w:eastAsia="宋体" w:cs="宋体"/>
                <w:szCs w:val="21"/>
                <w:highlight w:val="none"/>
              </w:rPr>
            </w:pPr>
            <w:r>
              <w:rPr>
                <w:rFonts w:ascii="宋体" w:hAnsi="宋体" w:eastAsia="宋体" w:cs="宋体"/>
                <w:szCs w:val="21"/>
                <w:highlight w:val="none"/>
              </w:rPr>
            </w:r>
            <w:r/>
          </w:p>
        </w:tc>
      </w:tr>
      <w:tr>
        <w:trPr>
          <w:trHeight w:val="454"/>
        </w:trPr>
        <w:tc>
          <w:tcPr>
            <w:tcW w:w="379"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3.1</w:t>
            </w:r>
            <w:r/>
          </w:p>
        </w:tc>
        <w:tc>
          <w:tcPr>
            <w:tcW w:w="763"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lang w:val="en-US" w:eastAsia="zh-CN"/>
              </w:rPr>
              <w:t xml:space="preserve">类似项目</w:t>
            </w:r>
            <w:r>
              <w:rPr>
                <w:rFonts w:hint="eastAsia" w:ascii="宋体" w:hAnsi="宋体" w:cs="宋体"/>
                <w:sz w:val="24"/>
                <w:highlight w:val="none"/>
              </w:rPr>
              <w:t xml:space="preserve">业绩</w:t>
            </w:r>
            <w:r/>
          </w:p>
        </w:tc>
        <w:tc>
          <w:tcPr>
            <w:tcW w:w="46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6</w:t>
            </w:r>
            <w:r/>
          </w:p>
        </w:tc>
        <w:tc>
          <w:tcPr>
            <w:tcW w:w="2107"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供应商提供自202</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年1月1日至本项目招标公告发布之日止承接过的</w:t>
            </w:r>
            <w:r>
              <w:rPr>
                <w:rFonts w:hint="eastAsia" w:ascii="宋体" w:hAnsi="宋体" w:cs="宋体"/>
                <w:sz w:val="24"/>
                <w:highlight w:val="none"/>
                <w:lang w:eastAsia="zh-CN"/>
              </w:rPr>
              <w:t xml:space="preserve">绿雕</w:t>
            </w:r>
            <w:r>
              <w:rPr>
                <w:rFonts w:hint="eastAsia" w:ascii="宋体" w:hAnsi="宋体" w:cs="宋体"/>
                <w:sz w:val="24"/>
                <w:highlight w:val="none"/>
              </w:rPr>
              <w:t xml:space="preserve">种植养护项目业绩（时间以合同签订时间为准），有一个得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rPr>
                <w:rFonts w:hint="eastAsia" w:ascii="宋体" w:hAnsi="宋体" w:cs="宋体"/>
                <w:sz w:val="24"/>
                <w:highlight w:val="none"/>
              </w:rPr>
              <w:t xml:space="preserve">最高</w:t>
            </w:r>
            <w:r>
              <w:rPr>
                <w:rFonts w:hint="eastAsia" w:ascii="宋体" w:hAnsi="宋体" w:cs="宋体"/>
                <w:sz w:val="24"/>
                <w:highlight w:val="none"/>
                <w:lang w:val="en-US" w:eastAsia="zh-CN"/>
              </w:rPr>
              <w:t xml:space="preserve">得</w:t>
            </w:r>
            <w:r>
              <w:rPr>
                <w:rFonts w:hint="eastAsia" w:ascii="宋体" w:hAnsi="宋体" w:cs="宋体"/>
                <w:sz w:val="24"/>
                <w:highlight w:val="none"/>
              </w:rPr>
              <w:t xml:space="preserve">6分。</w:t>
            </w:r>
            <w:r/>
          </w:p>
        </w:tc>
        <w:tc>
          <w:tcPr>
            <w:tcW w:w="1280" w:type="pct"/>
            <w:vAlign w:val="center"/>
            <w:textDirection w:val="lrTb"/>
            <w:noWrap w:val="false"/>
          </w:tcPr>
          <w:p>
            <w:pPr>
              <w:spacing w:line="300" w:lineRule="exact"/>
              <w:rPr>
                <w:rFonts w:ascii="宋体" w:hAnsi="宋体" w:eastAsia="宋体" w:cs="宋体"/>
                <w:szCs w:val="21"/>
                <w:highlight w:val="none"/>
              </w:rPr>
            </w:pPr>
            <w:r>
              <w:rPr>
                <w:rFonts w:hint="eastAsia" w:ascii="宋体" w:hAnsi="宋体" w:cs="宋体"/>
                <w:sz w:val="24"/>
                <w:highlight w:val="none"/>
                <w:lang w:val="en-US" w:eastAsia="zh-CN"/>
              </w:rPr>
              <w:t xml:space="preserve">投标</w:t>
            </w:r>
            <w:r>
              <w:rPr>
                <w:rFonts w:hint="eastAsia" w:ascii="宋体" w:hAnsi="宋体" w:cs="宋体"/>
                <w:sz w:val="24"/>
                <w:highlight w:val="none"/>
              </w:rPr>
              <w:t xml:space="preserve">文件中提供有效业绩完整合同原件的扫描件并加盖供应商公章</w:t>
            </w:r>
            <w:r>
              <w:rPr>
                <w:rFonts w:hint="eastAsia" w:ascii="宋体" w:hAnsi="宋体" w:cs="宋体"/>
                <w:sz w:val="24"/>
                <w:highlight w:val="none"/>
                <w:lang w:val="en-US" w:eastAsia="zh-CN"/>
              </w:rPr>
              <w:t xml:space="preserve">，未提供的不得分。</w:t>
            </w:r>
            <w:r/>
          </w:p>
        </w:tc>
      </w:tr>
      <w:tr>
        <w:trPr>
          <w:trHeight w:val="454"/>
        </w:trPr>
        <w:tc>
          <w:tcPr>
            <w:tcW w:w="379" w:type="pct"/>
            <w:vAlign w:val="center"/>
            <w:textDirection w:val="lrTb"/>
            <w:noWrap w:val="false"/>
          </w:tcPr>
          <w:p>
            <w:pPr>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3.2</w:t>
            </w:r>
            <w:r/>
          </w:p>
        </w:tc>
        <w:tc>
          <w:tcPr>
            <w:tcW w:w="763" w:type="pct"/>
            <w:vAlign w:val="center"/>
            <w:textDirection w:val="lrTb"/>
            <w:noWrap w:val="false"/>
          </w:tcPr>
          <w:p>
            <w:pPr>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管理体系认证</w:t>
            </w:r>
            <w:r/>
          </w:p>
        </w:tc>
        <w:tc>
          <w:tcPr>
            <w:tcW w:w="468" w:type="pct"/>
            <w:vAlign w:val="center"/>
            <w:textDirection w:val="lrTb"/>
            <w:noWrap w:val="false"/>
          </w:tcPr>
          <w:p>
            <w:pPr>
              <w:jc w:val="center"/>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9</w:t>
            </w:r>
            <w:r/>
          </w:p>
        </w:tc>
        <w:tc>
          <w:tcPr>
            <w:tcW w:w="2107"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通过ISO质量体系认证、环境管理体系认证、职业健康安全管理体系认证，以上认证有一项得3分，最高得9分。</w:t>
            </w:r>
            <w:r/>
          </w:p>
        </w:tc>
        <w:tc>
          <w:tcPr>
            <w:tcW w:w="1280" w:type="pct"/>
            <w:vAlign w:val="center"/>
            <w:textDirection w:val="lrTb"/>
            <w:noWrap w:val="false"/>
          </w:tcPr>
          <w:p>
            <w:pPr>
              <w:spacing w:line="300" w:lineRule="exact"/>
              <w:rPr>
                <w:rFonts w:hint="default" w:ascii="宋体" w:hAnsi="宋体" w:eastAsia="宋体" w:cs="宋体"/>
                <w:szCs w:val="21"/>
                <w:highlight w:val="none"/>
                <w:lang w:val="en-US" w:eastAsia="zh-CN"/>
              </w:rPr>
            </w:pPr>
            <w:r>
              <w:rPr>
                <w:rFonts w:hint="eastAsia" w:ascii="宋体" w:hAnsi="宋体" w:cs="宋体"/>
                <w:sz w:val="24"/>
                <w:highlight w:val="none"/>
                <w:lang w:val="en-US" w:eastAsia="zh-CN"/>
              </w:rPr>
              <w:t xml:space="preserve">提供证书原件扫描件加盖公章，未提供的不得分。</w:t>
            </w:r>
            <w:r/>
          </w:p>
        </w:tc>
      </w:tr>
      <w:tr>
        <w:trPr>
          <w:trHeight w:val="454"/>
        </w:trPr>
        <w:tc>
          <w:tcPr>
            <w:tcW w:w="379" w:type="pct"/>
            <w:vAlign w:val="center"/>
            <w:textDirection w:val="lrTb"/>
            <w:noWrap w:val="false"/>
          </w:tcPr>
          <w:p>
            <w:pPr>
              <w:rPr>
                <w:rFonts w:hint="eastAsia" w:ascii="宋体" w:hAnsi="宋体" w:cs="宋体"/>
                <w:sz w:val="24"/>
                <w:highlight w:val="none"/>
                <w:lang w:eastAsia="zh-CN"/>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3</w:t>
            </w:r>
            <w:r/>
          </w:p>
        </w:tc>
        <w:tc>
          <w:tcPr>
            <w:tcW w:w="763"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投标人</w:t>
            </w:r>
            <w:r/>
          </w:p>
          <w:p>
            <w:pPr>
              <w:rPr>
                <w:rFonts w:hint="eastAsia" w:ascii="宋体" w:hAnsi="宋体" w:cs="宋体"/>
                <w:sz w:val="24"/>
                <w:highlight w:val="none"/>
              </w:rPr>
            </w:pPr>
            <w:r>
              <w:rPr>
                <w:rFonts w:hint="eastAsia" w:ascii="宋体" w:hAnsi="宋体" w:cs="宋体"/>
                <w:sz w:val="24"/>
                <w:highlight w:val="none"/>
              </w:rPr>
              <w:t xml:space="preserve">实力</w:t>
            </w:r>
            <w:r/>
          </w:p>
        </w:tc>
        <w:tc>
          <w:tcPr>
            <w:tcW w:w="468" w:type="pct"/>
            <w:vAlign w:val="center"/>
            <w:textDirection w:val="lrTb"/>
            <w:noWrap w:val="false"/>
          </w:tcPr>
          <w:p>
            <w:pPr>
              <w:jc w:val="center"/>
              <w:rPr>
                <w:rFonts w:hint="eastAsia" w:ascii="宋体" w:hAnsi="宋体" w:cs="宋体"/>
                <w:sz w:val="24"/>
                <w:highlight w:val="none"/>
                <w:lang w:eastAsia="zh-CN"/>
              </w:rPr>
            </w:pPr>
            <w:r>
              <w:rPr>
                <w:rFonts w:hint="eastAsia" w:ascii="宋体" w:hAnsi="宋体" w:cs="宋体"/>
                <w:sz w:val="24"/>
                <w:highlight w:val="none"/>
                <w:lang w:val="en-US" w:eastAsia="zh-CN"/>
              </w:rPr>
              <w:t xml:space="preserve">2</w:t>
            </w:r>
            <w:r/>
          </w:p>
        </w:tc>
        <w:tc>
          <w:tcPr>
            <w:tcW w:w="2107" w:type="pct"/>
            <w:vAlign w:val="center"/>
            <w:textDirection w:val="lrTb"/>
            <w:noWrap w:val="false"/>
          </w:tcPr>
          <w:p>
            <w:pPr>
              <w:rPr>
                <w:rFonts w:hint="eastAsia" w:ascii="宋体" w:hAnsi="宋体" w:cs="宋体"/>
                <w:sz w:val="24"/>
                <w:highlight w:val="none"/>
                <w:lang w:eastAsia="zh-CN"/>
              </w:rPr>
            </w:pPr>
            <w:r>
              <w:rPr>
                <w:rFonts w:hint="eastAsia" w:ascii="宋体" w:hAnsi="宋体" w:cs="宋体"/>
                <w:sz w:val="24"/>
                <w:highlight w:val="none"/>
              </w:rPr>
              <w:t xml:space="preserve">供应商</w:t>
            </w:r>
            <w:r>
              <w:rPr>
                <w:rFonts w:hint="eastAsia" w:ascii="宋体" w:hAnsi="宋体" w:cs="宋体"/>
                <w:sz w:val="24"/>
                <w:highlight w:val="none"/>
                <w:lang w:val="en-US" w:eastAsia="zh-CN"/>
              </w:rPr>
              <w:t xml:space="preserve">承诺</w:t>
            </w:r>
            <w:r>
              <w:rPr>
                <w:rFonts w:hint="eastAsia" w:ascii="宋体" w:hAnsi="宋体" w:cs="宋体"/>
                <w:sz w:val="24"/>
                <w:highlight w:val="none"/>
              </w:rPr>
              <w:t xml:space="preserve">自</w:t>
            </w:r>
            <w:r>
              <w:rPr>
                <w:rFonts w:hint="eastAsia" w:ascii="宋体" w:hAnsi="宋体" w:cs="宋体"/>
                <w:sz w:val="24"/>
                <w:highlight w:val="none"/>
                <w:lang w:val="en-US" w:eastAsia="zh-CN"/>
              </w:rPr>
              <w:t xml:space="preserve">有运输车、洒水车、修剪机、打药机等设备</w:t>
            </w:r>
            <w:r>
              <w:rPr>
                <w:rFonts w:hint="eastAsia" w:ascii="宋体" w:hAnsi="宋体" w:cs="宋体"/>
                <w:sz w:val="24"/>
                <w:highlight w:val="none"/>
              </w:rPr>
              <w:t xml:space="preserve">用于本项目，本项得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tc>
        <w:tc>
          <w:tcPr>
            <w:tcW w:w="1280" w:type="pct"/>
            <w:vAlign w:val="center"/>
            <w:textDirection w:val="lrTb"/>
            <w:noWrap w:val="false"/>
          </w:tcPr>
          <w:p>
            <w:pPr>
              <w:spacing w:line="300" w:lineRule="exact"/>
              <w:rPr>
                <w:rFonts w:hint="default" w:ascii="宋体" w:hAnsi="宋体" w:eastAsia="宋体" w:cs="宋体"/>
                <w:szCs w:val="21"/>
                <w:highlight w:val="none"/>
                <w:lang w:val="en-US"/>
              </w:rPr>
            </w:pPr>
            <w:r>
              <w:rPr>
                <w:rFonts w:hint="eastAsia" w:ascii="宋体" w:hAnsi="宋体" w:cs="宋体"/>
                <w:sz w:val="24"/>
                <w:highlight w:val="none"/>
                <w:lang w:val="en-US" w:eastAsia="zh-CN"/>
              </w:rPr>
              <w:t xml:space="preserve">提供承诺函包括但不仅限于以上设备，加盖公章，未提供的不得分。</w:t>
            </w:r>
            <w:r/>
          </w:p>
        </w:tc>
      </w:tr>
      <w:tr>
        <w:trPr>
          <w:trHeight w:val="454"/>
        </w:trPr>
        <w:tc>
          <w:tcPr>
            <w:tcW w:w="379" w:type="pct"/>
            <w:vAlign w:val="center"/>
            <w:textDirection w:val="lrTb"/>
            <w:noWrap w:val="false"/>
          </w:tcPr>
          <w:p>
            <w:pPr>
              <w:rPr>
                <w:rFonts w:hint="eastAsia" w:ascii="宋体" w:hAnsi="宋体" w:cs="宋体"/>
                <w:sz w:val="24"/>
                <w:highlight w:val="none"/>
                <w:lang w:eastAsia="zh-CN"/>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4</w:t>
            </w:r>
            <w:r/>
          </w:p>
        </w:tc>
        <w:tc>
          <w:tcPr>
            <w:tcW w:w="763"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人员配置、组织管理</w:t>
            </w:r>
            <w:r/>
          </w:p>
        </w:tc>
        <w:tc>
          <w:tcPr>
            <w:tcW w:w="468" w:type="pct"/>
            <w:vAlign w:val="center"/>
            <w:textDirection w:val="lrTb"/>
            <w:noWrap w:val="false"/>
          </w:tcPr>
          <w:p>
            <w:pPr>
              <w:jc w:val="center"/>
              <w:rPr>
                <w:rFonts w:hint="eastAsia" w:ascii="宋体" w:hAnsi="宋体" w:cs="宋体"/>
                <w:sz w:val="24"/>
                <w:highlight w:val="none"/>
                <w:lang w:eastAsia="zh-CN"/>
              </w:rPr>
            </w:pPr>
            <w:r>
              <w:rPr>
                <w:rFonts w:hint="eastAsia" w:ascii="宋体" w:hAnsi="宋体" w:cs="宋体"/>
                <w:sz w:val="24"/>
                <w:highlight w:val="none"/>
                <w:lang w:val="en-US" w:eastAsia="zh-CN"/>
              </w:rPr>
              <w:t xml:space="preserve">3</w:t>
            </w:r>
            <w:r/>
          </w:p>
        </w:tc>
        <w:tc>
          <w:tcPr>
            <w:tcW w:w="2107"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拟派项目负责人具备市政公用工程专业一级注册建造师证书或园林绿化高级工程师职称的得3分，具备市政公用工程专业二级注册建造师证书或园林绿化中级工程师职称的得2分，本项最高得3分。</w:t>
            </w:r>
            <w:r/>
          </w:p>
        </w:tc>
        <w:tc>
          <w:tcPr>
            <w:tcW w:w="1280" w:type="pct"/>
            <w:vAlign w:val="center"/>
            <w:textDirection w:val="lrTb"/>
            <w:noWrap w:val="false"/>
          </w:tcPr>
          <w:p>
            <w:pPr>
              <w:spacing w:line="300" w:lineRule="exact"/>
              <w:rPr>
                <w:rFonts w:ascii="宋体" w:hAnsi="宋体" w:eastAsia="宋体" w:cs="宋体"/>
                <w:szCs w:val="21"/>
                <w:highlight w:val="none"/>
              </w:rPr>
            </w:pPr>
            <w:r>
              <w:rPr>
                <w:rFonts w:hint="eastAsia" w:ascii="宋体" w:hAnsi="宋体" w:cs="宋体"/>
                <w:sz w:val="24"/>
                <w:highlight w:val="none"/>
              </w:rPr>
              <w:t xml:space="preserve">提供证书</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专业以职称证书为准，职称证书不体现专业的则提供毕业证书</w:t>
            </w:r>
            <w:r>
              <w:rPr>
                <w:rFonts w:hint="eastAsia" w:ascii="宋体" w:hAnsi="宋体" w:cs="宋体"/>
                <w:sz w:val="24"/>
                <w:highlight w:val="none"/>
                <w:lang w:eastAsia="zh-CN"/>
              </w:rPr>
              <w:t xml:space="preserve">）</w:t>
            </w:r>
            <w:r>
              <w:rPr>
                <w:rFonts w:hint="eastAsia" w:ascii="宋体" w:hAnsi="宋体" w:cs="宋体"/>
                <w:sz w:val="24"/>
                <w:highlight w:val="none"/>
              </w:rPr>
              <w:t xml:space="preserve">原件</w:t>
            </w:r>
            <w:r>
              <w:rPr>
                <w:rFonts w:hint="eastAsia" w:ascii="宋体" w:hAnsi="宋体" w:cs="宋体"/>
                <w:sz w:val="24"/>
                <w:highlight w:val="none"/>
                <w:lang w:val="en-US" w:eastAsia="zh-CN"/>
              </w:rPr>
              <w:t xml:space="preserve">扫描件</w:t>
            </w:r>
            <w:r>
              <w:rPr>
                <w:rFonts w:hint="eastAsia" w:ascii="宋体" w:hAnsi="宋体" w:cs="宋体"/>
                <w:sz w:val="24"/>
                <w:highlight w:val="none"/>
              </w:rPr>
              <w:t xml:space="preserve">和人员最近3个月任意一个月的社保扫描件</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加盖公章，</w:t>
            </w:r>
            <w:r>
              <w:rPr>
                <w:rFonts w:hint="eastAsia" w:ascii="宋体" w:hAnsi="宋体" w:cs="宋体"/>
                <w:sz w:val="24"/>
                <w:highlight w:val="none"/>
              </w:rPr>
              <w:t xml:space="preserve">上传系统，未提供不得分</w:t>
            </w:r>
            <w:r/>
          </w:p>
        </w:tc>
      </w:tr>
      <w:tr>
        <w:trPr>
          <w:trHeight w:val="454"/>
        </w:trPr>
        <w:tc>
          <w:tcPr>
            <w:gridSpan w:val="2"/>
            <w:tcW w:w="1143" w:type="pct"/>
            <w:vAlign w:val="center"/>
            <w:textDirection w:val="lrTb"/>
            <w:noWrap w:val="false"/>
          </w:tcPr>
          <w:p>
            <w:pPr>
              <w:ind w:firstLine="28"/>
              <w:jc w:val="center"/>
              <w:spacing w:line="300" w:lineRule="exact"/>
              <w:rPr>
                <w:rFonts w:ascii="宋体" w:hAnsi="宋体" w:eastAsia="宋体" w:cs="宋体"/>
                <w:szCs w:val="21"/>
                <w:highlight w:val="none"/>
              </w:rPr>
            </w:pPr>
            <w:r>
              <w:rPr>
                <w:rFonts w:hint="eastAsia" w:ascii="宋体" w:hAnsi="宋体" w:eastAsia="宋体" w:cs="宋体"/>
                <w:szCs w:val="21"/>
                <w:highlight w:val="none"/>
              </w:rPr>
              <w:t xml:space="preserve">合计</w:t>
            </w:r>
            <w:r/>
          </w:p>
        </w:tc>
        <w:tc>
          <w:tcPr>
            <w:tcW w:w="468" w:type="pct"/>
            <w:vAlign w:val="center"/>
            <w:textDirection w:val="lrTb"/>
            <w:noWrap w:val="false"/>
          </w:tcPr>
          <w:p>
            <w:pPr>
              <w:ind w:firstLine="28"/>
              <w:jc w:val="center"/>
              <w:spacing w:line="300" w:lineRule="exact"/>
              <w:rPr>
                <w:rFonts w:ascii="宋体" w:hAnsi="宋体" w:eastAsia="宋体" w:cs="宋体"/>
                <w:b/>
                <w:szCs w:val="21"/>
                <w:highlight w:val="none"/>
              </w:rPr>
            </w:pPr>
            <w:r>
              <w:rPr>
                <w:rFonts w:hint="eastAsia" w:ascii="宋体" w:hAnsi="宋体" w:eastAsia="宋体" w:cs="宋体"/>
                <w:b/>
                <w:szCs w:val="21"/>
                <w:highlight w:val="none"/>
              </w:rPr>
              <w:t xml:space="preserve">100</w:t>
            </w:r>
            <w:r/>
          </w:p>
        </w:tc>
        <w:tc>
          <w:tcPr>
            <w:gridSpan w:val="2"/>
            <w:tcW w:w="3388" w:type="pct"/>
            <w:vAlign w:val="center"/>
            <w:textDirection w:val="lrTb"/>
            <w:noWrap w:val="false"/>
          </w:tcPr>
          <w:p>
            <w:pPr>
              <w:spacing w:line="300" w:lineRule="exact"/>
              <w:rPr>
                <w:rFonts w:ascii="宋体" w:hAnsi="宋体" w:eastAsia="宋体" w:cs="宋体"/>
                <w:szCs w:val="21"/>
                <w:highlight w:val="none"/>
              </w:rPr>
            </w:pPr>
            <w:r>
              <w:rPr>
                <w:rFonts w:ascii="宋体" w:hAnsi="宋体" w:eastAsia="宋体" w:cs="宋体"/>
                <w:szCs w:val="21"/>
                <w:highlight w:val="none"/>
              </w:rPr>
            </w:r>
            <w:r/>
          </w:p>
        </w:tc>
      </w:tr>
    </w:tbl>
    <w:p>
      <w:pPr>
        <w:jc w:val="left"/>
        <w:widowControl/>
        <w:rPr>
          <w:rFonts w:hint="default"/>
          <w:b/>
          <w:sz w:val="24"/>
          <w:highlight w:val="none"/>
          <w:lang w:val="en-US" w:eastAsia="zh-CN"/>
        </w:rPr>
      </w:pPr>
      <w:r>
        <w:rPr>
          <w:rFonts w:hint="default"/>
          <w:b/>
          <w:sz w:val="24"/>
          <w:highlight w:val="none"/>
          <w:lang w:val="en-US" w:eastAsia="zh-CN"/>
        </w:rPr>
      </w:r>
      <w:r/>
    </w:p>
    <w:p>
      <w:pPr>
        <w:jc w:val="left"/>
        <w:widowControl/>
        <w:rPr>
          <w:b/>
          <w:sz w:val="24"/>
          <w:highlight w:val="none"/>
        </w:rPr>
      </w:pPr>
      <w:r>
        <w:rPr>
          <w:rFonts w:hint="eastAsia"/>
          <w:b/>
          <w:sz w:val="24"/>
          <w:highlight w:val="none"/>
        </w:rPr>
        <w:t xml:space="preserve">注：本项目评分细则中需要提供的相关证明材料由投标</w:t>
      </w:r>
      <w:r>
        <w:rPr>
          <w:rFonts w:hint="eastAsia"/>
          <w:b/>
          <w:sz w:val="24"/>
          <w:highlight w:val="none"/>
          <w:lang w:val="en-US" w:eastAsia="zh-CN"/>
        </w:rPr>
        <w:t xml:space="preserve">人</w:t>
      </w:r>
      <w:r>
        <w:rPr>
          <w:rFonts w:hint="eastAsia"/>
          <w:b/>
          <w:sz w:val="24"/>
          <w:highlight w:val="none"/>
        </w:rPr>
        <w:t xml:space="preserve">自行提供，评审专家根据投标</w:t>
      </w:r>
      <w:r>
        <w:rPr>
          <w:rFonts w:hint="eastAsia"/>
          <w:b/>
          <w:sz w:val="24"/>
          <w:highlight w:val="none"/>
          <w:lang w:val="en-US" w:eastAsia="zh-CN"/>
        </w:rPr>
        <w:t xml:space="preserve">人</w:t>
      </w:r>
      <w:r>
        <w:rPr>
          <w:rFonts w:hint="eastAsia"/>
          <w:b/>
          <w:sz w:val="24"/>
          <w:highlight w:val="none"/>
        </w:rPr>
        <w:t xml:space="preserve">提供的相关证明材料进行评审，相关证明材料的全面性、有效性、完整性、真实性由投标</w:t>
      </w:r>
      <w:r>
        <w:rPr>
          <w:rFonts w:hint="eastAsia"/>
          <w:b/>
          <w:sz w:val="24"/>
          <w:highlight w:val="none"/>
          <w:lang w:val="en-US" w:eastAsia="zh-CN"/>
        </w:rPr>
        <w:t xml:space="preserve">人</w:t>
      </w:r>
      <w:r>
        <w:rPr>
          <w:rFonts w:hint="eastAsia"/>
          <w:b/>
          <w:sz w:val="24"/>
          <w:highlight w:val="none"/>
        </w:rPr>
        <w:t xml:space="preserve">自行负责。如发现投标</w:t>
      </w:r>
      <w:r>
        <w:rPr>
          <w:rFonts w:hint="eastAsia"/>
          <w:b/>
          <w:sz w:val="24"/>
          <w:highlight w:val="none"/>
          <w:lang w:val="en-US" w:eastAsia="zh-CN"/>
        </w:rPr>
        <w:t xml:space="preserve">人</w:t>
      </w:r>
      <w:r>
        <w:rPr>
          <w:rFonts w:hint="eastAsia"/>
          <w:b/>
          <w:sz w:val="24"/>
          <w:highlight w:val="none"/>
        </w:rPr>
        <w:t xml:space="preserve">涉嫌资料造假等，采购人将取消其中标资格，并保留进一步追究其法律责任的权利。</w:t>
      </w:r>
      <w:r/>
    </w:p>
    <w:p>
      <w:pPr>
        <w:jc w:val="center"/>
        <w:spacing w:line="360" w:lineRule="auto"/>
        <w:rPr>
          <w:b/>
          <w:sz w:val="36"/>
          <w:szCs w:val="36"/>
          <w:highlight w:val="none"/>
        </w:rPr>
        <w:outlineLvl w:val="0"/>
      </w:pPr>
      <w:r>
        <w:rPr>
          <w:b/>
          <w:sz w:val="24"/>
          <w:highlight w:val="none"/>
        </w:rPr>
        <w:br w:type="page" w:clear="all"/>
      </w:r>
      <w:bookmarkStart w:id="684" w:name="_Toc99301424"/>
      <w:r>
        <w:rPr>
          <w:b/>
          <w:sz w:val="36"/>
          <w:szCs w:val="36"/>
          <w:highlight w:val="none"/>
        </w:rPr>
        <w:t xml:space="preserve">第五章   采购需求</w:t>
      </w:r>
      <w:bookmarkEnd w:id="684"/>
      <w:r/>
      <w:r/>
    </w:p>
    <w:p>
      <w:pPr>
        <w:pStyle w:val="1119"/>
        <w:contextualSpacing/>
        <w:ind w:left="500" w:hanging="500"/>
        <w:spacing w:line="360" w:lineRule="auto"/>
        <w:rPr>
          <w:bCs/>
          <w:sz w:val="24"/>
          <w:highlight w:val="none"/>
        </w:rPr>
      </w:pPr>
      <w:r>
        <w:rPr>
          <w:bCs/>
          <w:sz w:val="24"/>
          <w:highlight w:val="none"/>
        </w:rPr>
        <w:t xml:space="preserve">一、</w:t>
      </w:r>
      <w:r>
        <w:rPr>
          <w:rFonts w:ascii="Times New Roman" w:hAnsi="Times New Roman"/>
          <w:b/>
          <w:sz w:val="24"/>
          <w:szCs w:val="24"/>
          <w:highlight w:val="none"/>
        </w:rPr>
        <w:t xml:space="preserve">采购标的</w:t>
      </w:r>
      <w:r/>
    </w:p>
    <w:p>
      <w:pPr>
        <w:pStyle w:val="1119"/>
        <w:contextualSpacing/>
        <w:ind w:left="500" w:hanging="500"/>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本项目共分</w:t>
      </w:r>
      <w:r>
        <w:rPr>
          <w:rFonts w:hint="eastAsia" w:ascii="Times New Roman" w:hAnsi="Times New Roman"/>
          <w:bCs/>
          <w:sz w:val="24"/>
          <w:szCs w:val="24"/>
          <w:highlight w:val="none"/>
          <w:lang w:val="en-US" w:eastAsia="zh-CN"/>
        </w:rPr>
        <w:t xml:space="preserve">14个标段</w:t>
      </w:r>
      <w:r>
        <w:rPr>
          <w:rFonts w:ascii="Times New Roman" w:hAnsi="Times New Roman"/>
          <w:bCs/>
          <w:sz w:val="24"/>
          <w:szCs w:val="24"/>
          <w:highlight w:val="none"/>
        </w:rPr>
        <w:t xml:space="preserve">：</w:t>
      </w:r>
      <w:r/>
    </w:p>
    <w:tbl>
      <w:tblPr>
        <w:tblStyle w:val="819"/>
        <w:tblW w:w="9533"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79"/>
        <w:gridCol w:w="4356"/>
        <w:gridCol w:w="1928"/>
        <w:gridCol w:w="2236"/>
      </w:tblGrid>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标段</w:t>
            </w:r>
            <w:r/>
          </w:p>
        </w:tc>
        <w:tc>
          <w:tcPr>
            <w:shd w:val="clear" w:color="auto" w:fill="auto"/>
            <w:tcBorders>
              <w:top w:val="single" w:color="000000" w:sz="4" w:space="0"/>
              <w:left w:val="single" w:color="000000" w:sz="4" w:space="0"/>
              <w:bottom w:val="single" w:color="000000" w:sz="4" w:space="0"/>
              <w:right w:val="single" w:color="000000" w:sz="4" w:space="0"/>
            </w:tcBorders>
            <w:tcW w:w="41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区域范围</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绿化面积（㎡）</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控制价（万元）</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半夜浜片区（昆仑北路以东）</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200093</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100.04</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昆仑园区（竹箦河东—昆仑北路）</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202973</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101.49</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濑江新城片区</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219248</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109.62</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芜申运河南岸（泓盛南路等）</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197313</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98.66</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幸福城片区</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201157</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100.58</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城北新区（S239以南、芜申运河以北）</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212847</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106.42</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吴潭渡西片（S239以北、泓盛路以西）</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211318</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105.66</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吴潭渡东片（S239以北、泓盛路以东）</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188895</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94.45</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芜申运河北岸（龙山大道北）</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183741</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91.87</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中关村大道沿线（含互通）</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200756</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100.38</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蒋店片区（陶家河以西）</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193480</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96.74</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创智园周边</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214482</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107.24</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239沿线</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197570</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98.79</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35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园区绿雕养护</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75.93 </w:t>
            </w:r>
            <w:r/>
          </w:p>
        </w:tc>
      </w:tr>
    </w:tbl>
    <w:p>
      <w:pPr>
        <w:ind w:firstLine="480"/>
        <w:spacing w:line="360" w:lineRule="auto"/>
        <w:rPr>
          <w:rFonts w:hint="eastAsia" w:ascii="Times New Roman" w:hAnsi="Times New Roman"/>
          <w:bCs/>
          <w:sz w:val="24"/>
          <w:szCs w:val="24"/>
          <w:highlight w:val="none"/>
        </w:rPr>
      </w:pPr>
      <w:r>
        <w:rPr>
          <w:rFonts w:hint="eastAsia" w:ascii="Times New Roman" w:hAnsi="Times New Roman"/>
          <w:bCs/>
          <w:sz w:val="24"/>
          <w:szCs w:val="24"/>
          <w:highlight w:val="none"/>
        </w:rPr>
      </w:r>
      <w:r/>
    </w:p>
    <w:p>
      <w:pPr>
        <w:ind w:firstLine="480"/>
        <w:spacing w:line="360" w:lineRule="auto"/>
        <w:rPr>
          <w:sz w:val="24"/>
          <w:highlight w:val="none"/>
        </w:rPr>
      </w:pPr>
      <w:r>
        <w:rPr>
          <w:rFonts w:hint="eastAsia"/>
          <w:sz w:val="24"/>
          <w:highlight w:val="none"/>
          <w:lang w:val="en-US" w:eastAsia="zh-CN"/>
        </w:rPr>
        <w:t xml:space="preserve">01-13标段</w:t>
      </w:r>
      <w:r>
        <w:rPr>
          <w:rFonts w:hint="eastAsia"/>
          <w:sz w:val="24"/>
          <w:highlight w:val="none"/>
        </w:rPr>
        <w:t xml:space="preserve">服务内容包括但不限于对标段内树苗的整枝修剪、松土培根、追施肥料、病虫防治、花卉苗木的抗旱排涝、移苗补缺、草籽、化肥等养护用品的采购等</w:t>
      </w:r>
      <w:r>
        <w:rPr>
          <w:sz w:val="24"/>
          <w:highlight w:val="none"/>
        </w:rPr>
        <w:t xml:space="preserve">。</w:t>
      </w:r>
      <w:r/>
    </w:p>
    <w:p>
      <w:pPr>
        <w:ind w:firstLine="480"/>
        <w:spacing w:line="360" w:lineRule="auto"/>
        <w:rPr>
          <w:rFonts w:hint="eastAsia" w:eastAsia="宋体"/>
          <w:sz w:val="24"/>
          <w:highlight w:val="none"/>
          <w:lang w:val="en-US" w:eastAsia="zh-CN"/>
        </w:rPr>
      </w:pPr>
      <w:r>
        <w:rPr>
          <w:rFonts w:hint="eastAsia"/>
          <w:sz w:val="24"/>
          <w:highlight w:val="none"/>
          <w:lang w:val="en-US" w:eastAsia="zh-CN"/>
        </w:rPr>
        <w:t xml:space="preserve">14标段</w:t>
      </w:r>
      <w:r>
        <w:rPr>
          <w:rFonts w:hint="eastAsia"/>
          <w:sz w:val="24"/>
          <w:highlight w:val="none"/>
        </w:rPr>
        <w:t xml:space="preserve">服务内容</w:t>
      </w:r>
      <w:r>
        <w:rPr>
          <w:sz w:val="24"/>
          <w:highlight w:val="none"/>
        </w:rPr>
        <w:t xml:space="preserve">包括但不限于</w:t>
      </w:r>
      <w:r>
        <w:rPr>
          <w:rFonts w:hint="eastAsia"/>
          <w:sz w:val="24"/>
          <w:highlight w:val="none"/>
          <w:lang w:val="en-US" w:eastAsia="zh-CN"/>
        </w:rPr>
        <w:t xml:space="preserve">范围内</w:t>
      </w:r>
      <w:r>
        <w:rPr>
          <w:rFonts w:hint="eastAsia" w:ascii="宋体" w:hAnsi="宋体" w:cs="宋体"/>
          <w:b w:val="0"/>
          <w:bCs/>
          <w:sz w:val="24"/>
          <w:szCs w:val="24"/>
          <w:highlight w:val="none"/>
          <w:lang w:val="en-US" w:eastAsia="zh-CN"/>
        </w:rPr>
        <w:t xml:space="preserve">绿雕</w:t>
      </w:r>
      <w:r>
        <w:rPr>
          <w:rFonts w:hint="eastAsia" w:ascii="宋体" w:hAnsi="宋体" w:eastAsia="宋体" w:cs="宋体"/>
          <w:b w:val="0"/>
          <w:bCs/>
          <w:sz w:val="24"/>
          <w:szCs w:val="24"/>
          <w:highlight w:val="none"/>
        </w:rPr>
        <w:t xml:space="preserve">的</w:t>
      </w:r>
      <w:r>
        <w:rPr>
          <w:rFonts w:hint="eastAsia" w:ascii="宋体" w:hAnsi="宋体" w:eastAsia="宋体" w:cs="宋体"/>
          <w:b w:val="0"/>
          <w:bCs/>
          <w:sz w:val="24"/>
          <w:szCs w:val="24"/>
          <w:highlight w:val="none"/>
          <w:lang w:val="en-US" w:eastAsia="zh-CN"/>
        </w:rPr>
        <w:t xml:space="preserve">种植、养护</w:t>
      </w:r>
      <w:r>
        <w:rPr>
          <w:rFonts w:hint="eastAsia" w:ascii="宋体" w:hAnsi="宋体" w:eastAsia="宋体" w:cs="宋体"/>
          <w:b w:val="0"/>
          <w:bCs/>
          <w:sz w:val="24"/>
          <w:szCs w:val="24"/>
          <w:highlight w:val="none"/>
        </w:rPr>
        <w:t xml:space="preserve">等</w:t>
      </w:r>
      <w:r>
        <w:rPr>
          <w:rFonts w:hint="eastAsia" w:ascii="宋体" w:hAnsi="宋体" w:eastAsia="宋体" w:cs="宋体"/>
          <w:b w:val="0"/>
          <w:bCs/>
          <w:sz w:val="24"/>
          <w:szCs w:val="24"/>
          <w:highlight w:val="none"/>
          <w:lang w:eastAsia="zh-CN"/>
        </w:rPr>
        <w:t xml:space="preserve">。</w:t>
      </w:r>
      <w:r/>
    </w:p>
    <w:p>
      <w:pPr>
        <w:ind w:firstLine="480"/>
        <w:spacing w:line="360" w:lineRule="auto"/>
        <w:rPr>
          <w:sz w:val="24"/>
          <w:highlight w:val="none"/>
        </w:rPr>
      </w:pPr>
      <w:r>
        <w:rPr>
          <w:sz w:val="24"/>
          <w:highlight w:val="none"/>
        </w:rPr>
      </w:r>
      <w:r/>
    </w:p>
    <w:p>
      <w:pPr>
        <w:pStyle w:val="1119"/>
        <w:contextualSpacing/>
        <w:ind w:left="500" w:hanging="500"/>
        <w:spacing w:line="360" w:lineRule="auto"/>
        <w:rPr>
          <w:rFonts w:ascii="Times New Roman" w:hAnsi="Times New Roman"/>
          <w:b/>
          <w:sz w:val="24"/>
          <w:szCs w:val="24"/>
          <w:highlight w:val="none"/>
        </w:rPr>
      </w:pPr>
      <w:r>
        <w:rPr>
          <w:rFonts w:ascii="Times New Roman" w:hAnsi="Times New Roman"/>
          <w:b/>
          <w:sz w:val="24"/>
          <w:szCs w:val="24"/>
          <w:highlight w:val="none"/>
        </w:rPr>
        <w:t xml:space="preserve">二、商务要求</w:t>
      </w:r>
      <w:r/>
    </w:p>
    <w:p>
      <w:pPr>
        <w:contextualSpacing/>
        <w:spacing w:line="360" w:lineRule="auto"/>
        <w:rPr>
          <w:i/>
          <w:sz w:val="24"/>
          <w:highlight w:val="none"/>
        </w:rPr>
      </w:pPr>
      <w:r>
        <w:rPr>
          <w:sz w:val="24"/>
          <w:highlight w:val="none"/>
        </w:rPr>
        <w:t xml:space="preserve">1. </w:t>
      </w:r>
      <w:r>
        <w:rPr>
          <w:rFonts w:hint="eastAsia"/>
          <w:sz w:val="24"/>
          <w:highlight w:val="none"/>
        </w:rPr>
        <w:t xml:space="preserve">服务</w:t>
      </w:r>
      <w:r>
        <w:rPr>
          <w:sz w:val="24"/>
          <w:highlight w:val="none"/>
        </w:rPr>
        <w:t xml:space="preserve">期限和地点</w:t>
      </w:r>
      <w:r/>
    </w:p>
    <w:p>
      <w:pPr>
        <w:contextualSpacing/>
        <w:ind w:firstLine="480"/>
        <w:spacing w:line="360" w:lineRule="auto"/>
        <w:rPr>
          <w:rFonts w:hint="eastAsia" w:ascii="Times New Roman" w:eastAsia="宋体"/>
          <w:sz w:val="24"/>
          <w:highlight w:val="none"/>
          <w:lang w:val="en-US" w:eastAsia="zh-CN"/>
        </w:rPr>
      </w:pPr>
      <w:r>
        <w:rPr>
          <w:rFonts w:hint="eastAsia"/>
          <w:sz w:val="24"/>
          <w:highlight w:val="none"/>
        </w:rPr>
        <w:t xml:space="preserve">服务</w:t>
      </w:r>
      <w:r>
        <w:rPr>
          <w:sz w:val="24"/>
          <w:highlight w:val="none"/>
        </w:rPr>
        <w:t xml:space="preserve">期限</w:t>
      </w:r>
      <w:r>
        <w:rPr>
          <w:rFonts w:hint="eastAsia"/>
          <w:sz w:val="24"/>
          <w:highlight w:val="none"/>
        </w:rPr>
        <w:t xml:space="preserve">：</w:t>
      </w:r>
      <w:r>
        <w:rPr>
          <w:rFonts w:hint="eastAsia" w:eastAsia="宋体"/>
          <w:sz w:val="24"/>
          <w:highlight w:val="none"/>
          <w:lang w:eastAsia="zh-CN"/>
        </w:rPr>
        <w:t xml:space="preserve">01-13标段自合同签订之日起至202</w:t>
      </w:r>
      <w:r>
        <w:rPr>
          <w:rFonts w:hint="eastAsia"/>
          <w:sz w:val="24"/>
          <w:highlight w:val="none"/>
          <w:lang w:val="en-US" w:eastAsia="zh-CN"/>
        </w:rPr>
        <w:t xml:space="preserve">6</w:t>
      </w:r>
      <w:r>
        <w:rPr>
          <w:rFonts w:hint="eastAsia" w:eastAsia="宋体"/>
          <w:sz w:val="24"/>
          <w:highlight w:val="none"/>
          <w:lang w:eastAsia="zh-CN"/>
        </w:rPr>
        <w:t xml:space="preserve">年12月31日（含第一个月为试用养护期，由采购方组织月度考核汇总后评出年度考核分，考核排名在前七名的可续签下一年合同）。</w:t>
      </w:r>
      <w:r>
        <w:rPr>
          <w:rFonts w:hint="eastAsia" w:ascii="Times New Roman" w:eastAsia="宋体"/>
          <w:sz w:val="24"/>
          <w:highlight w:val="none"/>
          <w:lang w:val="en-US" w:eastAsia="zh-CN"/>
        </w:rPr>
        <w:t xml:space="preserve">14标段</w:t>
      </w:r>
      <w:r>
        <w:rPr>
          <w:rFonts w:hint="eastAsia" w:eastAsia="宋体"/>
          <w:sz w:val="24"/>
          <w:highlight w:val="none"/>
          <w:lang w:eastAsia="zh-CN"/>
        </w:rPr>
        <w:t xml:space="preserve">自合同签订之日起</w:t>
      </w:r>
      <w:r>
        <w:rPr>
          <w:rFonts w:hint="eastAsia" w:ascii="Times New Roman" w:eastAsia="宋体"/>
          <w:sz w:val="24"/>
          <w:highlight w:val="none"/>
          <w:lang w:val="en-US" w:eastAsia="zh-CN"/>
        </w:rPr>
        <w:t xml:space="preserve">1年。</w:t>
      </w:r>
      <w:r/>
    </w:p>
    <w:p>
      <w:pPr>
        <w:contextualSpacing/>
        <w:ind w:firstLine="480"/>
        <w:spacing w:line="360" w:lineRule="auto"/>
        <w:rPr>
          <w:sz w:val="24"/>
          <w:highlight w:val="none"/>
        </w:rPr>
      </w:pPr>
      <w:r>
        <w:rPr>
          <w:rFonts w:hint="eastAsia"/>
          <w:sz w:val="24"/>
          <w:highlight w:val="none"/>
        </w:rPr>
        <w:t xml:space="preserve">服务地点：溧阳市</w:t>
      </w:r>
      <w:r/>
    </w:p>
    <w:p>
      <w:pPr>
        <w:numPr>
          <w:ilvl w:val="0"/>
          <w:numId w:val="0"/>
        </w:numPr>
        <w:contextualSpacing/>
        <w:spacing w:line="360" w:lineRule="auto"/>
        <w:rPr>
          <w:rFonts w:hint="eastAsia" w:eastAsia="宋体"/>
          <w:sz w:val="24"/>
          <w:highlight w:val="none"/>
          <w:lang w:eastAsia="zh-CN"/>
        </w:rPr>
      </w:pPr>
      <w:r>
        <w:rPr>
          <w:rFonts w:ascii="Times New Roman" w:hAnsi="Times New Roman" w:eastAsia="宋体" w:cs="Times New Roman"/>
          <w:sz w:val="24"/>
          <w:szCs w:val="24"/>
          <w:highlight w:val="none"/>
          <w:lang w:val="en-US" w:eastAsia="zh-CN" w:bidi="ar-SA"/>
        </w:rPr>
        <w:t xml:space="preserve">2.</w:t>
      </w:r>
      <w:r>
        <w:rPr>
          <w:sz w:val="24"/>
          <w:highlight w:val="none"/>
        </w:rPr>
        <w:t xml:space="preserve">付款条件</w:t>
      </w:r>
      <w:r>
        <w:rPr>
          <w:rFonts w:hint="eastAsia"/>
          <w:sz w:val="24"/>
          <w:highlight w:val="none"/>
          <w:lang w:eastAsia="zh-CN"/>
        </w:rPr>
        <w:t xml:space="preserve">：</w:t>
      </w:r>
      <w:r/>
    </w:p>
    <w:p>
      <w:pPr>
        <w:numPr>
          <w:ilvl w:val="0"/>
          <w:numId w:val="0"/>
        </w:numPr>
        <w:contextualSpacing/>
        <w:spacing w:line="360" w:lineRule="auto"/>
        <w:rPr>
          <w:rFonts w:hint="default" w:eastAsia="宋体"/>
          <w:b/>
          <w:bCs/>
          <w:sz w:val="24"/>
          <w:highlight w:val="none"/>
          <w:lang w:val="en-US" w:eastAsia="zh-CN"/>
        </w:rPr>
      </w:pPr>
      <w:r>
        <w:rPr>
          <w:rFonts w:hint="eastAsia"/>
          <w:b/>
          <w:bCs/>
          <w:sz w:val="24"/>
          <w:highlight w:val="none"/>
          <w:lang w:val="en-US" w:eastAsia="zh-CN"/>
        </w:rPr>
        <w:t xml:space="preserve">01-13标段：</w:t>
      </w:r>
      <w:r/>
    </w:p>
    <w:p>
      <w:pPr>
        <w:ind w:firstLine="480"/>
        <w:spacing w:line="360" w:lineRule="auto"/>
        <w:rPr>
          <w:rFonts w:hint="eastAsia" w:ascii="宋体" w:hAnsi="宋体" w:cs="宋体"/>
          <w:b w:val="0"/>
          <w:bCs w:val="0"/>
          <w:sz w:val="24"/>
          <w:highlight w:val="none"/>
        </w:rPr>
      </w:pPr>
      <w:r>
        <w:rPr>
          <w:rFonts w:hint="eastAsia" w:ascii="宋体" w:hAnsi="宋体" w:cs="宋体"/>
          <w:b w:val="0"/>
          <w:bCs w:val="0"/>
          <w:sz w:val="24"/>
          <w:highlight w:val="none"/>
          <w:lang w:eastAsia="zh-CN"/>
        </w:rPr>
        <w:t xml:space="preserve">绿化养护费用根据年度考核情况年底一次性付清（本次报价按照12个月的养护时间，最终结算按照实际养护时间。每月养护费用=投标报价总价/12）</w:t>
      </w:r>
      <w:r>
        <w:rPr>
          <w:rFonts w:hint="eastAsia" w:ascii="宋体" w:hAnsi="宋体" w:cs="宋体"/>
          <w:b w:val="0"/>
          <w:bCs w:val="0"/>
          <w:sz w:val="24"/>
          <w:highlight w:val="none"/>
        </w:rPr>
        <w:t xml:space="preserve">。</w:t>
      </w:r>
      <w:r/>
    </w:p>
    <w:p>
      <w:pPr>
        <w:spacing w:line="360" w:lineRule="auto"/>
        <w:rPr>
          <w:rFonts w:hint="default"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14标段：</w:t>
      </w:r>
      <w:r/>
    </w:p>
    <w:p>
      <w:pPr>
        <w:numPr>
          <w:ilvl w:val="0"/>
          <w:numId w:val="0"/>
        </w:numPr>
        <w:ind w:firstLine="480"/>
        <w:spacing w:line="360" w:lineRule="auto"/>
        <w:rPr>
          <w:rFonts w:hint="eastAsia" w:ascii="宋体" w:hAnsi="宋体" w:cs="宋体"/>
          <w:b w:val="0"/>
          <w:bCs w:val="0"/>
          <w:sz w:val="24"/>
          <w:highlight w:val="none"/>
          <w:lang w:eastAsia="zh-CN"/>
        </w:rPr>
      </w:pPr>
      <w:r>
        <w:rPr>
          <w:rFonts w:hint="eastAsia" w:ascii="宋体" w:hAnsi="宋体" w:eastAsia="宋体" w:cs="宋体"/>
          <w:b w:val="0"/>
          <w:bCs w:val="0"/>
          <w:sz w:val="24"/>
          <w:szCs w:val="24"/>
          <w:highlight w:val="none"/>
          <w:lang w:val="en-US" w:eastAsia="zh-CN" w:bidi="ar-SA"/>
        </w:rPr>
        <w:t xml:space="preserve">1</w:t>
      </w:r>
      <w:r>
        <w:rPr>
          <w:rFonts w:hint="eastAsia" w:ascii="宋体" w:hAnsi="宋体" w:cs="宋体"/>
          <w:b w:val="0"/>
          <w:bCs w:val="0"/>
          <w:sz w:val="24"/>
          <w:szCs w:val="24"/>
          <w:highlight w:val="none"/>
          <w:lang w:val="en-US" w:eastAsia="zh-CN" w:bidi="ar-SA"/>
        </w:rPr>
        <w:t xml:space="preserve">、</w:t>
      </w:r>
      <w:r>
        <w:rPr>
          <w:rFonts w:hint="eastAsia" w:ascii="宋体" w:hAnsi="宋体" w:cs="宋体"/>
          <w:b w:val="0"/>
          <w:bCs w:val="0"/>
          <w:sz w:val="24"/>
          <w:highlight w:val="none"/>
        </w:rPr>
        <w:t xml:space="preserve">第一次换草竣工验收合格后支付合同价的20%</w:t>
      </w:r>
      <w:r>
        <w:rPr>
          <w:rFonts w:hint="eastAsia" w:ascii="宋体" w:hAnsi="宋体" w:cs="宋体"/>
          <w:b w:val="0"/>
          <w:bCs w:val="0"/>
          <w:sz w:val="24"/>
          <w:highlight w:val="none"/>
          <w:lang w:eastAsia="zh-CN"/>
        </w:rPr>
        <w:t xml:space="preserve">；</w:t>
      </w:r>
      <w:r/>
    </w:p>
    <w:p>
      <w:pPr>
        <w:numPr>
          <w:ilvl w:val="0"/>
          <w:numId w:val="0"/>
        </w:numPr>
        <w:ind w:firstLine="480"/>
        <w:spacing w:line="360" w:lineRule="auto"/>
        <w:rPr>
          <w:rFonts w:hint="eastAsia" w:ascii="宋体" w:hAnsi="宋体" w:cs="宋体"/>
          <w:b w:val="0"/>
          <w:bCs w:val="0"/>
          <w:sz w:val="24"/>
          <w:highlight w:val="none"/>
          <w:lang w:eastAsia="zh-CN"/>
        </w:rPr>
      </w:pPr>
      <w:r>
        <w:rPr>
          <w:rFonts w:hint="eastAsia" w:ascii="宋体" w:hAnsi="宋体" w:cs="宋体"/>
          <w:b w:val="0"/>
          <w:bCs w:val="0"/>
          <w:sz w:val="24"/>
          <w:highlight w:val="none"/>
        </w:rPr>
        <w:t xml:space="preserve">2</w:t>
      </w:r>
      <w:r>
        <w:rPr>
          <w:rFonts w:hint="eastAsia" w:ascii="宋体" w:hAnsi="宋体" w:cs="宋体"/>
          <w:b w:val="0"/>
          <w:bCs w:val="0"/>
          <w:sz w:val="24"/>
          <w:highlight w:val="none"/>
          <w:lang w:eastAsia="zh-CN"/>
        </w:rPr>
        <w:t xml:space="preserve">、</w:t>
      </w:r>
      <w:r>
        <w:rPr>
          <w:rFonts w:hint="eastAsia" w:ascii="宋体" w:hAnsi="宋体" w:cs="宋体"/>
          <w:b w:val="0"/>
          <w:bCs w:val="0"/>
          <w:sz w:val="24"/>
          <w:highlight w:val="none"/>
        </w:rPr>
        <w:t xml:space="preserve">养护满半年草花成活率达100%付至合同价的50%</w:t>
      </w:r>
      <w:r>
        <w:rPr>
          <w:rFonts w:hint="eastAsia" w:ascii="宋体" w:hAnsi="宋体" w:cs="宋体"/>
          <w:b w:val="0"/>
          <w:bCs w:val="0"/>
          <w:sz w:val="24"/>
          <w:highlight w:val="none"/>
          <w:lang w:eastAsia="zh-CN"/>
        </w:rPr>
        <w:t xml:space="preserve">；</w:t>
      </w:r>
      <w:r/>
    </w:p>
    <w:p>
      <w:pPr>
        <w:numPr>
          <w:ilvl w:val="0"/>
          <w:numId w:val="0"/>
        </w:numPr>
        <w:ind w:firstLine="480"/>
        <w:spacing w:line="360" w:lineRule="auto"/>
        <w:rPr>
          <w:rFonts w:hint="eastAsia" w:ascii="宋体" w:hAnsi="宋体" w:cs="宋体"/>
          <w:b w:val="0"/>
          <w:bCs w:val="0"/>
          <w:sz w:val="24"/>
          <w:highlight w:val="none"/>
          <w:lang w:eastAsia="zh-CN"/>
        </w:rPr>
      </w:pPr>
      <w:r>
        <w:rPr>
          <w:rFonts w:hint="eastAsia" w:ascii="宋体" w:hAnsi="宋体" w:cs="宋体"/>
          <w:b w:val="0"/>
          <w:bCs w:val="0"/>
          <w:sz w:val="24"/>
          <w:highlight w:val="none"/>
        </w:rPr>
        <w:t xml:space="preserve">3</w:t>
      </w:r>
      <w:r>
        <w:rPr>
          <w:rFonts w:hint="eastAsia" w:ascii="宋体" w:hAnsi="宋体" w:cs="宋体"/>
          <w:b w:val="0"/>
          <w:bCs w:val="0"/>
          <w:sz w:val="24"/>
          <w:highlight w:val="none"/>
          <w:lang w:eastAsia="zh-CN"/>
        </w:rPr>
        <w:t xml:space="preserve">、</w:t>
      </w:r>
      <w:r>
        <w:rPr>
          <w:rFonts w:hint="eastAsia" w:ascii="宋体" w:hAnsi="宋体" w:cs="宋体"/>
          <w:b w:val="0"/>
          <w:bCs w:val="0"/>
          <w:sz w:val="24"/>
          <w:highlight w:val="none"/>
        </w:rPr>
        <w:t xml:space="preserve">第二次换草竣工验收合格后付至合同价的70%</w:t>
      </w:r>
      <w:r>
        <w:rPr>
          <w:rFonts w:hint="eastAsia" w:ascii="宋体" w:hAnsi="宋体" w:cs="宋体"/>
          <w:b w:val="0"/>
          <w:bCs w:val="0"/>
          <w:sz w:val="24"/>
          <w:highlight w:val="none"/>
          <w:lang w:eastAsia="zh-CN"/>
        </w:rPr>
        <w:t xml:space="preserve">；</w:t>
      </w:r>
      <w:r/>
    </w:p>
    <w:p>
      <w:pPr>
        <w:numPr>
          <w:ilvl w:val="0"/>
          <w:numId w:val="0"/>
        </w:numPr>
        <w:ind w:firstLine="480"/>
        <w:spacing w:line="360" w:lineRule="auto"/>
        <w:rPr>
          <w:rFonts w:hint="eastAsia" w:ascii="宋体" w:hAnsi="宋体" w:cs="宋体"/>
          <w:b/>
          <w:bCs/>
          <w:sz w:val="24"/>
          <w:highlight w:val="none"/>
        </w:rPr>
      </w:pPr>
      <w:r>
        <w:rPr>
          <w:rFonts w:hint="eastAsia" w:ascii="宋体" w:hAnsi="宋体" w:cs="宋体"/>
          <w:b w:val="0"/>
          <w:bCs w:val="0"/>
          <w:sz w:val="24"/>
          <w:highlight w:val="none"/>
        </w:rPr>
        <w:t xml:space="preserve">4</w:t>
      </w:r>
      <w:r>
        <w:rPr>
          <w:rFonts w:hint="eastAsia" w:ascii="宋体" w:hAnsi="宋体" w:cs="宋体"/>
          <w:b w:val="0"/>
          <w:bCs w:val="0"/>
          <w:sz w:val="24"/>
          <w:highlight w:val="none"/>
          <w:lang w:eastAsia="zh-CN"/>
        </w:rPr>
        <w:t xml:space="preserve">、</w:t>
      </w:r>
      <w:r>
        <w:rPr>
          <w:rFonts w:hint="eastAsia" w:ascii="宋体" w:hAnsi="宋体" w:cs="宋体"/>
          <w:b w:val="0"/>
          <w:bCs w:val="0"/>
          <w:sz w:val="24"/>
          <w:highlight w:val="none"/>
        </w:rPr>
        <w:t xml:space="preserve">养护满半年草花成活率达100%付清。</w:t>
      </w:r>
      <w:r/>
    </w:p>
    <w:p>
      <w:pPr>
        <w:pStyle w:val="1119"/>
        <w:contextualSpacing/>
        <w:ind w:left="500" w:hanging="500"/>
        <w:spacing w:line="360" w:lineRule="auto"/>
        <w:rPr>
          <w:rFonts w:ascii="Times New Roman" w:hAnsi="Times New Roman"/>
          <w:b/>
          <w:sz w:val="24"/>
          <w:szCs w:val="24"/>
          <w:highlight w:val="none"/>
        </w:rPr>
      </w:pPr>
      <w:r>
        <w:rPr>
          <w:sz w:val="24"/>
          <w:highlight w:val="none"/>
        </w:rPr>
        <w:t xml:space="preserve">三、</w:t>
      </w:r>
      <w:r>
        <w:rPr>
          <w:rFonts w:ascii="Times New Roman" w:hAnsi="Times New Roman"/>
          <w:b/>
          <w:sz w:val="24"/>
          <w:szCs w:val="24"/>
          <w:highlight w:val="none"/>
        </w:rPr>
        <w:t xml:space="preserve">技术要求</w:t>
      </w:r>
      <w:r/>
    </w:p>
    <w:p>
      <w:pPr>
        <w:pStyle w:val="1119"/>
        <w:contextualSpacing/>
        <w:ind w:left="500" w:hanging="500"/>
        <w:spacing w:line="360" w:lineRule="auto"/>
        <w:rPr>
          <w:rFonts w:hint="default" w:ascii="Times New Roman" w:hAnsi="Times New Roman" w:eastAsia="宋体"/>
          <w:b/>
          <w:sz w:val="24"/>
          <w:szCs w:val="24"/>
          <w:highlight w:val="none"/>
          <w:lang w:val="en-US" w:eastAsia="zh-CN"/>
        </w:rPr>
      </w:pPr>
      <w:r>
        <w:rPr>
          <w:rFonts w:hint="eastAsia" w:ascii="Times New Roman" w:hAnsi="Times New Roman"/>
          <w:b/>
          <w:sz w:val="24"/>
          <w:szCs w:val="24"/>
          <w:highlight w:val="none"/>
          <w:lang w:val="en-US" w:eastAsia="zh-CN"/>
        </w:rPr>
        <w:t xml:space="preserve">01-13标段：</w:t>
      </w:r>
      <w:r/>
    </w:p>
    <w:p>
      <w:pPr>
        <w:spacing w:line="360" w:lineRule="auto"/>
        <w:rPr>
          <w:rFonts w:ascii="宋体" w:hAnsi="宋体" w:cs="宋体"/>
          <w:b/>
          <w:bCs/>
          <w:sz w:val="24"/>
          <w:highlight w:val="none"/>
        </w:rPr>
        <w:outlineLvl w:val="0"/>
      </w:pPr>
      <w:r>
        <w:rPr>
          <w:rFonts w:hint="eastAsia" w:ascii="宋体" w:hAnsi="宋体" w:cs="宋体"/>
          <w:b/>
          <w:bCs/>
          <w:sz w:val="24"/>
          <w:highlight w:val="none"/>
        </w:rPr>
        <w:t xml:space="preserve">（一）基本要求</w:t>
      </w:r>
      <w:r/>
    </w:p>
    <w:p>
      <w:pPr>
        <w:ind w:firstLine="480"/>
        <w:spacing w:line="360" w:lineRule="auto"/>
        <w:rPr>
          <w:rFonts w:ascii="宋体" w:hAnsi="宋体" w:eastAsia="宋体" w:cs="宋体"/>
          <w:sz w:val="24"/>
          <w:highlight w:val="none"/>
        </w:rPr>
        <w:outlineLvl w:val="0"/>
      </w:pPr>
      <w:r>
        <w:rPr>
          <w:rFonts w:hint="eastAsia" w:ascii="宋体" w:hAnsi="宋体" w:eastAsia="宋体" w:cs="宋体"/>
          <w:sz w:val="24"/>
          <w:highlight w:val="none"/>
        </w:rPr>
        <w:t xml:space="preserve">1、在进行劳动力测算时，投标人根据自身经验及现场情况等因素自行配置，但不得低于最低养护人数要求（每标段最低养护人数为10人），投标人需在投标报价中充分考虑该因素，一旦中标，投标报价不随人员配置数量增加而调整。</w:t>
      </w:r>
      <w:r/>
    </w:p>
    <w:p>
      <w:pPr>
        <w:ind w:firstLine="480"/>
        <w:spacing w:line="360" w:lineRule="auto"/>
        <w:rPr>
          <w:rFonts w:ascii="宋体" w:hAnsi="宋体" w:eastAsia="宋体" w:cs="宋体"/>
          <w:sz w:val="24"/>
          <w:highlight w:val="none"/>
        </w:rPr>
        <w:outlineLvl w:val="0"/>
      </w:pP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、现有养护范围内的苗木发生无故缺失或死亡，由承包人按同品种同规格赔偿并包栽包活管理1 年。由于自然灾害和不可抗力原因造成的苗木缺损，由承包人向采购方提出书面申请，经采购方组织有关人员现场核实后再做处理决定。</w:t>
      </w:r>
      <w:r/>
    </w:p>
    <w:p>
      <w:pPr>
        <w:ind w:firstLine="480"/>
        <w:spacing w:line="360" w:lineRule="auto"/>
        <w:rPr>
          <w:rFonts w:ascii="宋体" w:hAnsi="宋体" w:eastAsia="宋体" w:cs="宋体"/>
          <w:sz w:val="24"/>
          <w:highlight w:val="none"/>
        </w:rPr>
        <w:outlineLvl w:val="0"/>
      </w:pP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养护人员工资不得低于溧阳市最低工资标准（合同履行期限内，有新标准执行新标准），否则按无效投标文件处理，养护人员的工资待遇、降温补贴、保险、福利等，按照市里相关规定执行，对可能出现的劳资纠纷、民事责任等，一律由养护方自行处理解决，如造成上访或严重信访事件将追究养护单位责任。</w:t>
      </w:r>
      <w:r/>
    </w:p>
    <w:p>
      <w:pPr>
        <w:ind w:firstLine="480"/>
        <w:spacing w:line="360" w:lineRule="auto"/>
        <w:rPr>
          <w:rFonts w:ascii="宋体" w:hAnsi="宋体" w:eastAsia="宋体" w:cs="宋体"/>
          <w:sz w:val="24"/>
          <w:highlight w:val="none"/>
        </w:rPr>
        <w:outlineLvl w:val="0"/>
      </w:pP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、意外险投保费用必须按规定缴纳，</w:t>
      </w:r>
      <w:r>
        <w:rPr>
          <w:rFonts w:hint="eastAsia" w:ascii="宋体" w:hAnsi="宋体" w:eastAsia="宋体" w:cs="宋体"/>
          <w:b/>
          <w:bCs/>
          <w:sz w:val="24"/>
          <w:highlight w:val="none"/>
        </w:rPr>
        <w:t xml:space="preserve">否则采购方将不签订合同</w:t>
      </w:r>
      <w:r>
        <w:rPr>
          <w:rFonts w:hint="eastAsia" w:ascii="宋体" w:hAnsi="宋体" w:eastAsia="宋体" w:cs="宋体"/>
          <w:sz w:val="24"/>
          <w:highlight w:val="none"/>
        </w:rPr>
        <w:t xml:space="preserve">。投标人可根据自身需求自行提高保险费标准，该费用已包含在投标总价中，结算不做调整。</w:t>
      </w:r>
      <w:r/>
    </w:p>
    <w:p>
      <w:pPr>
        <w:ind w:firstLine="480"/>
        <w:spacing w:line="360" w:lineRule="auto"/>
        <w:rPr>
          <w:rFonts w:ascii="宋体" w:hAnsi="宋体" w:eastAsia="宋体" w:cs="宋体"/>
          <w:sz w:val="24"/>
          <w:highlight w:val="none"/>
        </w:rPr>
        <w:outlineLvl w:val="0"/>
      </w:pPr>
      <w:r>
        <w:rPr>
          <w:rFonts w:hint="eastAsia" w:ascii="宋体" w:hAnsi="宋体" w:cs="宋体"/>
          <w:sz w:val="24"/>
          <w:highlight w:val="none"/>
          <w:lang w:val="en-US" w:eastAsia="zh-CN"/>
        </w:rPr>
        <w:t xml:space="preserve">5</w:t>
      </w:r>
      <w:r>
        <w:rPr>
          <w:rFonts w:hint="eastAsia" w:ascii="宋体" w:hAnsi="宋体" w:eastAsia="宋体" w:cs="宋体"/>
          <w:sz w:val="24"/>
          <w:highlight w:val="none"/>
        </w:rPr>
        <w:t xml:space="preserve">、投标人承接本项目必须配备的机械不得用于 2 个以上采购人（包含本项目采购人）。</w:t>
      </w:r>
      <w:r/>
    </w:p>
    <w:p>
      <w:pPr>
        <w:ind w:firstLine="480"/>
        <w:spacing w:line="360" w:lineRule="auto"/>
        <w:rPr>
          <w:rFonts w:ascii="宋体" w:hAnsi="宋体" w:eastAsia="宋体" w:cs="宋体"/>
          <w:sz w:val="24"/>
          <w:highlight w:val="none"/>
        </w:rPr>
        <w:outlineLvl w:val="0"/>
      </w:pPr>
      <w:r>
        <w:rPr>
          <w:rFonts w:hint="eastAsia" w:ascii="宋体" w:hAnsi="宋体" w:cs="宋体"/>
          <w:sz w:val="24"/>
          <w:highlight w:val="none"/>
          <w:lang w:val="en-US" w:eastAsia="zh-CN"/>
        </w:rPr>
        <w:t xml:space="preserve">6</w:t>
      </w:r>
      <w:r>
        <w:rPr>
          <w:rFonts w:hint="eastAsia" w:ascii="宋体" w:hAnsi="宋体" w:eastAsia="宋体" w:cs="宋体"/>
          <w:sz w:val="24"/>
          <w:highlight w:val="none"/>
        </w:rPr>
        <w:t xml:space="preserve">、</w:t>
      </w:r>
      <w:r>
        <w:rPr>
          <w:rFonts w:hint="eastAsia" w:ascii="宋体" w:hAnsi="宋体" w:eastAsia="宋体" w:cs="宋体"/>
          <w:b/>
          <w:bCs/>
          <w:sz w:val="24"/>
          <w:highlight w:val="none"/>
        </w:rPr>
        <w:t xml:space="preserve">项目现场负责人包含在最低养护人数中</w:t>
      </w:r>
      <w:r>
        <w:rPr>
          <w:rFonts w:hint="eastAsia" w:ascii="宋体" w:hAnsi="宋体" w:eastAsia="宋体" w:cs="宋体"/>
          <w:sz w:val="24"/>
          <w:highlight w:val="none"/>
        </w:rPr>
        <w:t xml:space="preserve">，且必须为绿化工（或花卉工）或者绿化专业技术人员（人员资格认定标准：人社部门发证认定）、人员年龄在 18-60 周岁之间，为投标人的正式职工或者聘用人员，如需更换人员，需经采购方书面同意。</w:t>
      </w:r>
      <w:r/>
    </w:p>
    <w:p>
      <w:pPr>
        <w:ind w:firstLine="480"/>
        <w:spacing w:line="360" w:lineRule="auto"/>
        <w:rPr>
          <w:rFonts w:ascii="宋体" w:hAnsi="宋体" w:eastAsia="宋体" w:cs="宋体"/>
          <w:sz w:val="24"/>
          <w:highlight w:val="none"/>
        </w:rPr>
        <w:outlineLvl w:val="0"/>
      </w:pPr>
      <w:r>
        <w:rPr>
          <w:rFonts w:hint="eastAsia" w:ascii="宋体" w:hAnsi="宋体" w:cs="宋体"/>
          <w:sz w:val="24"/>
          <w:highlight w:val="none"/>
          <w:lang w:val="en-US" w:eastAsia="zh-CN"/>
        </w:rPr>
        <w:t xml:space="preserve">7</w:t>
      </w:r>
      <w:r>
        <w:rPr>
          <w:rFonts w:hint="eastAsia" w:ascii="宋体" w:hAnsi="宋体" w:eastAsia="宋体" w:cs="宋体"/>
          <w:sz w:val="24"/>
          <w:highlight w:val="none"/>
        </w:rPr>
        <w:t xml:space="preserve">、工作时间：上午6~7点—下午5~6点，由养护单位根据季节制定养护计划。</w:t>
      </w:r>
      <w:r/>
    </w:p>
    <w:p>
      <w:pPr>
        <w:ind w:firstLine="480"/>
        <w:spacing w:line="360" w:lineRule="auto"/>
        <w:rPr>
          <w:rFonts w:ascii="宋体" w:hAnsi="宋体" w:eastAsia="宋体" w:cs="宋体"/>
          <w:sz w:val="24"/>
          <w:highlight w:val="none"/>
        </w:rPr>
        <w:outlineLvl w:val="0"/>
      </w:pPr>
      <w:r>
        <w:rPr>
          <w:rFonts w:hint="eastAsia" w:ascii="宋体" w:hAnsi="宋体" w:cs="宋体"/>
          <w:sz w:val="24"/>
          <w:highlight w:val="none"/>
          <w:lang w:val="en-US" w:eastAsia="zh-CN"/>
        </w:rPr>
        <w:t xml:space="preserve">8</w:t>
      </w:r>
      <w:r>
        <w:rPr>
          <w:rFonts w:hint="eastAsia" w:ascii="宋体" w:hAnsi="宋体" w:eastAsia="宋体" w:cs="宋体"/>
          <w:sz w:val="24"/>
          <w:highlight w:val="none"/>
        </w:rPr>
        <w:t xml:space="preserve">、</w:t>
      </w:r>
      <w:r>
        <w:rPr>
          <w:rFonts w:hint="eastAsia" w:ascii="宋体" w:hAnsi="宋体" w:eastAsia="宋体" w:cs="宋体"/>
          <w:b/>
          <w:bCs/>
          <w:color w:val="ff0000"/>
          <w:sz w:val="24"/>
          <w:highlight w:val="none"/>
        </w:rPr>
        <w:t xml:space="preserve">供应商须按</w:t>
      </w:r>
      <w:r>
        <w:rPr>
          <w:rFonts w:hint="eastAsia" w:ascii="宋体" w:hAnsi="宋体" w:cs="宋体"/>
          <w:b/>
          <w:bCs/>
          <w:color w:val="ff0000"/>
          <w:sz w:val="24"/>
          <w:highlight w:val="none"/>
          <w:lang w:val="en-US" w:eastAsia="zh-CN"/>
        </w:rPr>
        <w:t xml:space="preserve">招标</w:t>
      </w:r>
      <w:r>
        <w:rPr>
          <w:rFonts w:hint="eastAsia" w:ascii="宋体" w:hAnsi="宋体" w:eastAsia="宋体" w:cs="宋体"/>
          <w:b/>
          <w:bCs/>
          <w:color w:val="ff0000"/>
          <w:sz w:val="24"/>
          <w:highlight w:val="none"/>
        </w:rPr>
        <w:t xml:space="preserve">文件附件格式出具一份承诺书，并对相应内容进行承诺，否则按无效投标文件处理。</w:t>
      </w:r>
      <w:r/>
    </w:p>
    <w:p>
      <w:pPr>
        <w:ind w:firstLine="480"/>
        <w:spacing w:line="360" w:lineRule="auto"/>
        <w:rPr>
          <w:rFonts w:ascii="宋体" w:hAnsi="宋体" w:cs="宋体"/>
          <w:b/>
          <w:bCs/>
          <w:sz w:val="24"/>
          <w:highlight w:val="none"/>
        </w:rPr>
        <w:outlineLvl w:val="0"/>
      </w:pPr>
      <w:r>
        <w:rPr>
          <w:rFonts w:hint="eastAsia" w:ascii="宋体" w:hAnsi="宋体" w:cs="宋体"/>
          <w:sz w:val="24"/>
          <w:highlight w:val="none"/>
          <w:lang w:val="en-US" w:eastAsia="zh-CN"/>
        </w:rPr>
        <w:t xml:space="preserve">9</w:t>
      </w:r>
      <w:r>
        <w:rPr>
          <w:rFonts w:hint="eastAsia" w:ascii="宋体" w:hAnsi="宋体" w:eastAsia="宋体" w:cs="宋体"/>
          <w:sz w:val="24"/>
          <w:highlight w:val="none"/>
        </w:rPr>
        <w:t xml:space="preserve">、投标人必须承诺一旦中标，必须在中标通知书发出后 1 周内在溧阳市设有固定的办公经营场所，能够满足办公、停车、仓储等要求，提供相关产权证明或租赁合同等材料。</w:t>
      </w:r>
      <w:r>
        <w:rPr>
          <w:rFonts w:hint="eastAsia" w:ascii="宋体" w:hAnsi="宋体" w:eastAsia="宋体" w:cs="宋体"/>
          <w:b/>
          <w:bCs/>
          <w:sz w:val="24"/>
          <w:highlight w:val="none"/>
        </w:rPr>
        <w:t xml:space="preserve">否则，采购人有权取消其中标资格。</w:t>
      </w:r>
      <w:r/>
    </w:p>
    <w:p>
      <w:pPr>
        <w:spacing w:line="360" w:lineRule="auto"/>
        <w:rPr>
          <w:rFonts w:ascii="宋体" w:hAnsi="宋体" w:cs="宋体"/>
          <w:b/>
          <w:bCs/>
          <w:spacing w:val="-2"/>
          <w:sz w:val="24"/>
          <w:highlight w:val="none"/>
        </w:rPr>
        <w:outlineLvl w:val="0"/>
      </w:pPr>
      <w:r>
        <w:rPr>
          <w:rFonts w:hint="eastAsia" w:ascii="宋体" w:hAnsi="宋体" w:cs="宋体"/>
          <w:b/>
          <w:bCs/>
          <w:spacing w:val="-2"/>
          <w:sz w:val="24"/>
          <w:highlight w:val="none"/>
        </w:rPr>
        <w:t xml:space="preserve">（二）</w:t>
      </w:r>
      <w:r>
        <w:rPr>
          <w:rFonts w:ascii="宋体" w:hAnsi="宋体" w:cs="宋体"/>
          <w:b/>
          <w:bCs/>
          <w:spacing w:val="-2"/>
          <w:sz w:val="24"/>
          <w:highlight w:val="none"/>
        </w:rPr>
        <w:t xml:space="preserve">绿地管理要求</w:t>
      </w:r>
      <w:r/>
    </w:p>
    <w:tbl>
      <w:tblPr>
        <w:tblStyle w:val="8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8"/>
        <w:gridCol w:w="1208"/>
        <w:gridCol w:w="3742"/>
        <w:gridCol w:w="3490"/>
      </w:tblGrid>
      <w:tr>
        <w:trPr>
          <w:jc w:val="center"/>
        </w:trPr>
        <w:tc>
          <w:tcPr>
            <w:shd w:val="clear" w:color="auto" w:fill="auto"/>
            <w:tcW w:w="848" w:type="dxa"/>
            <w:vAlign w:val="center"/>
            <w:textDirection w:val="lrTb"/>
            <w:noWrap w:val="false"/>
          </w:tcPr>
          <w:p>
            <w:pPr>
              <w:jc w:val="center"/>
              <w:rPr>
                <w:rFonts w:ascii="Times New Roman" w:hAnsi="Times New Roman" w:eastAsia="宋体" w:cs="Times New Roman"/>
                <w:b/>
                <w:bCs/>
                <w:highlight w:val="none"/>
              </w:rPr>
            </w:pPr>
            <w:r>
              <w:rPr>
                <w:rFonts w:hint="eastAsia" w:ascii="宋体" w:hAnsi="宋体" w:eastAsia="宋体" w:cs="宋体"/>
                <w:b/>
                <w:bCs/>
                <w:spacing w:val="-20"/>
                <w:sz w:val="24"/>
                <w:highlight w:val="none"/>
              </w:rPr>
              <w:t xml:space="preserve">序号</w:t>
            </w:r>
            <w:r/>
          </w:p>
        </w:tc>
        <w:tc>
          <w:tcPr>
            <w:shd w:val="clear" w:color="auto" w:fill="auto"/>
            <w:tcW w:w="1208" w:type="dxa"/>
            <w:vAlign w:val="center"/>
            <w:textDirection w:val="lrTb"/>
            <w:noWrap w:val="false"/>
          </w:tcPr>
          <w:p>
            <w:pPr>
              <w:jc w:val="center"/>
              <w:rPr>
                <w:rFonts w:ascii="宋体" w:hAnsi="宋体" w:eastAsia="宋体" w:cs="宋体"/>
                <w:b/>
                <w:bCs/>
                <w:spacing w:val="-20"/>
                <w:sz w:val="24"/>
                <w:highlight w:val="none"/>
              </w:rPr>
            </w:pPr>
            <w:r>
              <w:rPr>
                <w:rFonts w:hint="eastAsia" w:ascii="宋体" w:hAnsi="宋体" w:eastAsia="宋体" w:cs="宋体"/>
                <w:b/>
                <w:bCs/>
                <w:spacing w:val="-20"/>
                <w:sz w:val="24"/>
                <w:highlight w:val="none"/>
              </w:rPr>
              <w:t xml:space="preserve">内容</w:t>
            </w:r>
            <w:r/>
          </w:p>
        </w:tc>
        <w:tc>
          <w:tcPr>
            <w:shd w:val="clear" w:color="auto" w:fill="auto"/>
            <w:tcW w:w="3742" w:type="dxa"/>
            <w:vAlign w:val="center"/>
            <w:textDirection w:val="lrTb"/>
            <w:noWrap w:val="false"/>
          </w:tcPr>
          <w:p>
            <w:pPr>
              <w:jc w:val="center"/>
              <w:rPr>
                <w:rFonts w:ascii="宋体" w:hAnsi="宋体" w:eastAsia="宋体" w:cs="宋体"/>
                <w:b/>
                <w:bCs/>
                <w:spacing w:val="-20"/>
                <w:sz w:val="24"/>
                <w:highlight w:val="none"/>
              </w:rPr>
            </w:pPr>
            <w:r>
              <w:rPr>
                <w:rFonts w:hint="eastAsia" w:ascii="宋体" w:hAnsi="宋体" w:eastAsia="宋体" w:cs="宋体"/>
                <w:b/>
                <w:bCs/>
                <w:spacing w:val="-20"/>
                <w:sz w:val="24"/>
                <w:highlight w:val="none"/>
              </w:rPr>
              <w:t xml:space="preserve">一 级</w:t>
            </w:r>
            <w:r/>
          </w:p>
        </w:tc>
        <w:tc>
          <w:tcPr>
            <w:shd w:val="clear" w:color="auto" w:fill="auto"/>
            <w:tcW w:w="3490" w:type="dxa"/>
            <w:vAlign w:val="center"/>
            <w:textDirection w:val="lrTb"/>
            <w:noWrap w:val="false"/>
          </w:tcPr>
          <w:p>
            <w:pPr>
              <w:jc w:val="center"/>
              <w:rPr>
                <w:rFonts w:ascii="宋体" w:hAnsi="宋体" w:eastAsia="宋体" w:cs="宋体"/>
                <w:b/>
                <w:bCs/>
                <w:spacing w:val="-20"/>
                <w:sz w:val="24"/>
                <w:highlight w:val="none"/>
              </w:rPr>
            </w:pPr>
            <w:r>
              <w:rPr>
                <w:rFonts w:hint="eastAsia" w:ascii="宋体" w:hAnsi="宋体" w:eastAsia="宋体" w:cs="宋体"/>
                <w:b/>
                <w:bCs/>
                <w:spacing w:val="-20"/>
                <w:sz w:val="24"/>
                <w:highlight w:val="none"/>
              </w:rPr>
              <w:t xml:space="preserve">二 级</w:t>
            </w:r>
            <w:r/>
          </w:p>
        </w:tc>
      </w:tr>
      <w:tr>
        <w:trPr>
          <w:jc w:val="center"/>
        </w:trPr>
        <w:tc>
          <w:tcPr>
            <w:shd w:val="clear" w:color="auto" w:fill="auto"/>
            <w:tcW w:w="848" w:type="dxa"/>
            <w:vAlign w:val="center"/>
            <w:textDirection w:val="lrTb"/>
            <w:noWrap w:val="false"/>
          </w:tcPr>
          <w:p>
            <w:pPr>
              <w:jc w:val="cente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1</w:t>
            </w:r>
            <w:r/>
          </w:p>
        </w:tc>
        <w:tc>
          <w:tcPr>
            <w:shd w:val="clear" w:color="auto" w:fill="auto"/>
            <w:tcW w:w="1208" w:type="dxa"/>
            <w:vAlign w:val="center"/>
            <w:textDirection w:val="lrTb"/>
            <w:noWrap w:val="false"/>
          </w:tcPr>
          <w:p>
            <w:pPr>
              <w:jc w:val="center"/>
              <w:rPr>
                <w:rFonts w:ascii="Times New Roman" w:hAnsi="Times New Roman" w:eastAsia="宋体" w:cs="Times New Roman"/>
                <w:highlight w:val="none"/>
              </w:rPr>
            </w:pPr>
            <w:r>
              <w:rPr>
                <w:rFonts w:ascii="Times New Roman" w:hAnsi="Times New Roman" w:eastAsia="宋体" w:cs="Times New Roman"/>
                <w:highlight w:val="none"/>
              </w:rPr>
              <w:t xml:space="preserve">乔灌木</w:t>
            </w:r>
            <w:r/>
          </w:p>
        </w:tc>
        <w:tc>
          <w:tcPr>
            <w:shd w:val="clear" w:color="auto" w:fill="auto"/>
            <w:tcW w:w="3742"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1、树木生长正常，不歪斜（造型树木除外）；</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2、乔木树形完美，主侧枝均匀，数量 适宜，内膛通风透光，无枯死枝、过密枝、下垂枝等；</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3、花灌木开花及时，正常，花后修剪及时。</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4、乔木根部无萌蘖枝；</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5、无缺株、死树，无杂树，无明显杂草；</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6、基本无病虫害危害迹象。</w:t>
            </w:r>
            <w:r/>
          </w:p>
        </w:tc>
        <w:tc>
          <w:tcPr>
            <w:shd w:val="clear" w:color="auto" w:fill="auto"/>
            <w:tcW w:w="3490"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1、树木生长正常，不歪斜（造型树木除外）；</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2、乔木树形基本完整，符合其自然特征，无明显的枯、死枝；</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3、花灌木开花及时，花后修剪及时； 4、无缺株、死树，无杂树，无藤本缠绕；</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5、无明显病虫害危害迹象；</w:t>
            </w:r>
            <w:r/>
          </w:p>
        </w:tc>
      </w:tr>
      <w:tr>
        <w:trPr>
          <w:jc w:val="center"/>
        </w:trPr>
        <w:tc>
          <w:tcPr>
            <w:shd w:val="clear" w:color="auto" w:fill="auto"/>
            <w:tcW w:w="848" w:type="dxa"/>
            <w:vAlign w:val="center"/>
            <w:textDirection w:val="lrTb"/>
            <w:noWrap w:val="false"/>
          </w:tcPr>
          <w:p>
            <w:pPr>
              <w:jc w:val="cente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2</w:t>
            </w:r>
            <w:r/>
          </w:p>
        </w:tc>
        <w:tc>
          <w:tcPr>
            <w:shd w:val="clear" w:color="auto" w:fill="auto"/>
            <w:tcW w:w="1208" w:type="dxa"/>
            <w:vAlign w:val="center"/>
            <w:textDirection w:val="lrTb"/>
            <w:noWrap w:val="false"/>
          </w:tcPr>
          <w:p>
            <w:pPr>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绿篱色块地被</w:t>
            </w:r>
            <w:r/>
          </w:p>
        </w:tc>
        <w:tc>
          <w:tcPr>
            <w:shd w:val="clear" w:color="auto" w:fill="auto"/>
            <w:tcW w:w="3742"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1、生长茂盛，枝条茂密，密度适宜；</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2、生长季节修剪、追肥及时，修剪形态符合景观观赏要求；</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3、无人为践踏、断行缺株现象；</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4、基本无病虫害危害。</w:t>
            </w:r>
            <w:r/>
          </w:p>
        </w:tc>
        <w:tc>
          <w:tcPr>
            <w:shd w:val="clear" w:color="auto" w:fill="auto"/>
            <w:tcW w:w="3490"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1、生长良好；</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2、生长季节及时修剪、追肥，修剪形态符合生长要求；</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3、无人为践踏、断行缺株现象；</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4、无明显病虫害危害。</w:t>
            </w:r>
            <w:r/>
          </w:p>
        </w:tc>
      </w:tr>
      <w:tr>
        <w:trPr>
          <w:jc w:val="center"/>
        </w:trPr>
        <w:tc>
          <w:tcPr>
            <w:shd w:val="clear" w:color="auto" w:fill="auto"/>
            <w:tcW w:w="848" w:type="dxa"/>
            <w:vAlign w:val="center"/>
            <w:textDirection w:val="lrTb"/>
            <w:noWrap w:val="false"/>
          </w:tcPr>
          <w:p>
            <w:pPr>
              <w:jc w:val="cente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3</w:t>
            </w:r>
            <w:r/>
          </w:p>
        </w:tc>
        <w:tc>
          <w:tcPr>
            <w:shd w:val="clear" w:color="auto" w:fill="auto"/>
            <w:tcW w:w="1208" w:type="dxa"/>
            <w:vAlign w:val="center"/>
            <w:textDirection w:val="lrTb"/>
            <w:noWrap w:val="false"/>
          </w:tcPr>
          <w:p>
            <w:pPr>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草坪</w:t>
            </w:r>
            <w:r/>
          </w:p>
        </w:tc>
        <w:tc>
          <w:tcPr>
            <w:shd w:val="clear" w:color="auto" w:fill="auto"/>
            <w:tcW w:w="3742"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1、草坪生长茂盛，景观效果好；</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2、修剪及时，修剪高度符合要求；</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3、草坪边缘线清晰（树穴、花坛交界处、其他植物间）；</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4、基本无杂草，基本无病虫害危害现象；</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5、草坪集中空秃面积不超过 0.2 ㎡；</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6、绿地平整，无坑洼积水。</w:t>
            </w:r>
            <w:r/>
          </w:p>
        </w:tc>
        <w:tc>
          <w:tcPr>
            <w:shd w:val="clear" w:color="auto" w:fill="auto"/>
            <w:tcW w:w="3490"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1、草坪生长正常，无明显空秃，集中空秃面积不超过 0.5 ㎡；</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2、修剪及时，高度符合要求；</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3、无阔叶杂草、大型野草等，杂草控制高度在 5 ㎝以下；</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4、无明显病虫害危害迹象；</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5、绿地平整，无大面积的坑洼积水现象。</w:t>
            </w:r>
            <w:r/>
          </w:p>
        </w:tc>
      </w:tr>
      <w:tr>
        <w:trPr>
          <w:jc w:val="center"/>
        </w:trPr>
        <w:tc>
          <w:tcPr>
            <w:shd w:val="clear" w:color="auto" w:fill="auto"/>
            <w:tcW w:w="848" w:type="dxa"/>
            <w:vAlign w:val="center"/>
            <w:textDirection w:val="lrTb"/>
            <w:noWrap w:val="false"/>
          </w:tcPr>
          <w:p>
            <w:pPr>
              <w:jc w:val="cente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5</w:t>
            </w:r>
            <w:r/>
          </w:p>
        </w:tc>
        <w:tc>
          <w:tcPr>
            <w:shd w:val="clear" w:color="auto" w:fill="auto"/>
            <w:tcW w:w="1208" w:type="dxa"/>
            <w:vAlign w:val="center"/>
            <w:textDirection w:val="lrTb"/>
            <w:noWrap w:val="false"/>
          </w:tcPr>
          <w:p>
            <w:pPr>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园林设施维护</w:t>
            </w:r>
            <w:r/>
          </w:p>
        </w:tc>
        <w:tc>
          <w:tcPr>
            <w:shd w:val="clear" w:color="auto" w:fill="auto"/>
            <w:tcW w:w="3742"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1、园林建构筑物、小品及各类便民设 施保持完好，无安全隐患、无破损现象，无乱涂写、乱张贴、乱涂刻现象；</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2、设施损坏后修复及时；</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3、树木支撑桩位扎缚规范、有效。</w:t>
            </w:r>
            <w:r/>
          </w:p>
        </w:tc>
        <w:tc>
          <w:tcPr>
            <w:shd w:val="clear" w:color="auto" w:fill="auto"/>
            <w:tcW w:w="3490"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1、园林设施基本完好，有问题及时处理并上报；</w:t>
            </w:r>
            <w:r/>
          </w:p>
        </w:tc>
      </w:tr>
      <w:tr>
        <w:trPr>
          <w:jc w:val="center"/>
        </w:trPr>
        <w:tc>
          <w:tcPr>
            <w:shd w:val="clear" w:color="auto" w:fill="auto"/>
            <w:tcW w:w="848" w:type="dxa"/>
            <w:vAlign w:val="center"/>
            <w:textDirection w:val="lrTb"/>
            <w:noWrap w:val="false"/>
          </w:tcPr>
          <w:p>
            <w:pPr>
              <w:jc w:val="cente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6</w:t>
            </w:r>
            <w:r/>
          </w:p>
        </w:tc>
        <w:tc>
          <w:tcPr>
            <w:shd w:val="clear" w:color="auto" w:fill="auto"/>
            <w:tcW w:w="1208" w:type="dxa"/>
            <w:vAlign w:val="center"/>
            <w:textDirection w:val="lrTb"/>
            <w:noWrap w:val="false"/>
          </w:tcPr>
          <w:p>
            <w:pPr>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卫生保洁</w:t>
            </w:r>
            <w:r/>
          </w:p>
        </w:tc>
        <w:tc>
          <w:tcPr>
            <w:shd w:val="clear" w:color="auto" w:fill="auto"/>
            <w:tcW w:w="3742"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1、绿地各类便民设施整洁，无陈旧积尘；</w:t>
            </w:r>
            <w:r/>
          </w:p>
          <w:p>
            <w:pP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2</w:t>
            </w:r>
            <w:r>
              <w:rPr>
                <w:rFonts w:ascii="宋体" w:hAnsi="宋体" w:eastAsia="宋体" w:cs="宋体"/>
                <w:spacing w:val="-2"/>
                <w:sz w:val="24"/>
                <w:highlight w:val="none"/>
              </w:rPr>
              <w:t xml:space="preserve">、绿地整洁，无枯枝落叶，无杂物、 无白色垃圾（树挂）、无建筑垃圾，垃圾日产日清。</w:t>
            </w:r>
            <w:r/>
          </w:p>
          <w:p>
            <w:pP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3</w:t>
            </w:r>
            <w:r>
              <w:rPr>
                <w:rFonts w:ascii="宋体" w:hAnsi="宋体" w:eastAsia="宋体" w:cs="宋体"/>
                <w:spacing w:val="-2"/>
                <w:sz w:val="24"/>
                <w:highlight w:val="none"/>
              </w:rPr>
              <w:t xml:space="preserve">、作业废弃物（如树枝、树叶、草屑等）、水面杂物， 日产日清。</w:t>
            </w:r>
            <w:r/>
          </w:p>
          <w:p>
            <w:pP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4</w:t>
            </w:r>
            <w:r>
              <w:rPr>
                <w:rFonts w:ascii="宋体" w:hAnsi="宋体" w:eastAsia="宋体" w:cs="宋体"/>
                <w:spacing w:val="-2"/>
                <w:sz w:val="24"/>
                <w:highlight w:val="none"/>
              </w:rPr>
              <w:t xml:space="preserve">、无卫生死角。</w:t>
            </w:r>
            <w:r/>
          </w:p>
        </w:tc>
        <w:tc>
          <w:tcPr>
            <w:shd w:val="clear" w:color="auto" w:fill="auto"/>
            <w:tcW w:w="3490"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1、绿地基本整洁，无枯枝落叶，无明显杂物、无白色垃圾、无建筑垃圾。</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2、作业废弃物（如树枝、树叶、草 屑等）、绿地内水面杂物，日产日清。</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3、无卫生死角。</w:t>
            </w:r>
            <w:r/>
          </w:p>
        </w:tc>
      </w:tr>
      <w:tr>
        <w:trPr>
          <w:jc w:val="center"/>
        </w:trPr>
        <w:tc>
          <w:tcPr>
            <w:shd w:val="clear" w:color="auto" w:fill="auto"/>
            <w:tcW w:w="848" w:type="dxa"/>
            <w:vAlign w:val="center"/>
            <w:textDirection w:val="lrTb"/>
            <w:noWrap w:val="false"/>
          </w:tcPr>
          <w:p>
            <w:pPr>
              <w:jc w:val="cente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7</w:t>
            </w:r>
            <w:r/>
          </w:p>
        </w:tc>
        <w:tc>
          <w:tcPr>
            <w:shd w:val="clear" w:color="auto" w:fill="auto"/>
            <w:tcW w:w="1208" w:type="dxa"/>
            <w:vAlign w:val="center"/>
            <w:textDirection w:val="lrTb"/>
            <w:noWrap w:val="false"/>
          </w:tcPr>
          <w:p>
            <w:pPr>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绿地秩序</w:t>
            </w:r>
            <w:r/>
          </w:p>
        </w:tc>
        <w:tc>
          <w:tcPr>
            <w:shd w:val="clear" w:color="auto" w:fill="auto"/>
            <w:tcW w:w="3742"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1、无侵占毁绿行为和现象；</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2、秩序良好，无乱堆乱放、晾晒衣物、无乱设摊和车辆乱停放现象；</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3、对被破坏或其他原因引起的绿地损坏及时上报；</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4、及时清运各种垃圾杂物等，严禁现场焚烧。</w:t>
            </w:r>
            <w:r/>
          </w:p>
        </w:tc>
        <w:tc>
          <w:tcPr>
            <w:shd w:val="clear" w:color="auto" w:fill="auto"/>
            <w:tcW w:w="3490"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1、无侵占毁绿行为和现象；</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2、秩序良好，无乱堆乱放、晾晒衣物、无乱设摊和车辆乱停放现象；</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3、对被破坏或其他原因引起的绿地损坏及时上报；</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4、及时清运各种垃圾杂物等，严禁现场焚烧。</w:t>
            </w:r>
            <w:r/>
          </w:p>
        </w:tc>
      </w:tr>
      <w:tr>
        <w:trPr>
          <w:jc w:val="center"/>
        </w:trPr>
        <w:tc>
          <w:tcPr>
            <w:shd w:val="clear" w:color="auto" w:fill="auto"/>
            <w:tcW w:w="848" w:type="dxa"/>
            <w:vAlign w:val="center"/>
            <w:textDirection w:val="lrTb"/>
            <w:noWrap w:val="false"/>
          </w:tcPr>
          <w:p>
            <w:pPr>
              <w:jc w:val="cente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8</w:t>
            </w:r>
            <w:r/>
          </w:p>
        </w:tc>
        <w:tc>
          <w:tcPr>
            <w:shd w:val="clear" w:color="auto" w:fill="auto"/>
            <w:tcW w:w="1208" w:type="dxa"/>
            <w:vAlign w:val="center"/>
            <w:textDirection w:val="lrTb"/>
            <w:noWrap w:val="false"/>
          </w:tcPr>
          <w:p>
            <w:pPr>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人员要求</w:t>
            </w:r>
            <w:r/>
          </w:p>
        </w:tc>
        <w:tc>
          <w:tcPr>
            <w:shd w:val="clear" w:color="auto" w:fill="auto"/>
            <w:tcW w:w="3742"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1、上岗人员符合国家用工规定，常规养护工人数量符合规定；</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2、在岗人员统一着装，穿戴整齐，安全、规范、文明作业。</w:t>
            </w:r>
            <w:r/>
          </w:p>
        </w:tc>
        <w:tc>
          <w:tcPr>
            <w:shd w:val="clear" w:color="auto" w:fill="auto"/>
            <w:tcW w:w="3490"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1、上岗人员符合国家用工规定，常规养护工人数量符合规定；</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2、在岗人员统一着装，穿戴整齐，安全、规范、文明作业。</w:t>
            </w:r>
            <w:r/>
          </w:p>
        </w:tc>
      </w:tr>
      <w:tr>
        <w:trPr>
          <w:jc w:val="center"/>
        </w:trPr>
        <w:tc>
          <w:tcPr>
            <w:shd w:val="clear" w:color="auto" w:fill="auto"/>
            <w:tcW w:w="848" w:type="dxa"/>
            <w:vAlign w:val="center"/>
            <w:textDirection w:val="lrTb"/>
            <w:noWrap w:val="false"/>
          </w:tcPr>
          <w:p>
            <w:pPr>
              <w:jc w:val="cente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9</w:t>
            </w:r>
            <w:r/>
          </w:p>
        </w:tc>
        <w:tc>
          <w:tcPr>
            <w:shd w:val="clear" w:color="auto" w:fill="auto"/>
            <w:tcW w:w="1208" w:type="dxa"/>
            <w:vAlign w:val="center"/>
            <w:textDirection w:val="lrTb"/>
            <w:noWrap w:val="false"/>
          </w:tcPr>
          <w:p>
            <w:pPr>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组织管理</w:t>
            </w:r>
            <w:r/>
          </w:p>
        </w:tc>
        <w:tc>
          <w:tcPr>
            <w:shd w:val="clear" w:color="auto" w:fill="auto"/>
            <w:tcW w:w="3742"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1、绿化管理台账齐全，有专人负责；</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2、根据绿地情况，制定绿地养护技术措施及年度养护计划、月度工作计划等；</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3、有应急抢险预案措施；</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4、加强对职工培训，提高职工的技术水平；</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5、按照有关安全生产操作规程组织作业。</w:t>
            </w:r>
            <w:r/>
          </w:p>
        </w:tc>
        <w:tc>
          <w:tcPr>
            <w:shd w:val="clear" w:color="auto" w:fill="auto"/>
            <w:tcW w:w="3490"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1、绿化管理台账齐全，有专人负责；</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2、根据绿地情况，制定绿地养护技 术措施及年度养护计划、月度工作计划等；</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3、有应急抢险预案措施；</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4、加强对职工培训，提高职工的技术水平；</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5、按照有关安全生产操作规程组织作业。</w:t>
            </w:r>
            <w:r/>
          </w:p>
        </w:tc>
      </w:tr>
      <w:tr>
        <w:trPr>
          <w:jc w:val="center"/>
        </w:trPr>
        <w:tc>
          <w:tcPr>
            <w:shd w:val="clear" w:color="auto" w:fill="auto"/>
            <w:tcW w:w="848" w:type="dxa"/>
            <w:vAlign w:val="center"/>
            <w:textDirection w:val="lrTb"/>
            <w:noWrap w:val="false"/>
          </w:tcPr>
          <w:p>
            <w:pPr>
              <w:jc w:val="cente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10</w:t>
            </w:r>
            <w:r/>
          </w:p>
        </w:tc>
        <w:tc>
          <w:tcPr>
            <w:shd w:val="clear" w:color="auto" w:fill="auto"/>
            <w:tcW w:w="1208" w:type="dxa"/>
            <w:vAlign w:val="center"/>
            <w:textDirection w:val="lrTb"/>
            <w:noWrap w:val="false"/>
          </w:tcPr>
          <w:p>
            <w:pPr>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其它</w:t>
            </w:r>
            <w:r/>
          </w:p>
        </w:tc>
        <w:tc>
          <w:tcPr>
            <w:shd w:val="clear" w:color="auto" w:fill="auto"/>
            <w:tcW w:w="3742"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1、工作时间为当日 7：00— 当日 18：00；</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2、绿地养护人员见具体标段。</w:t>
            </w:r>
            <w:r/>
          </w:p>
        </w:tc>
        <w:tc>
          <w:tcPr>
            <w:shd w:val="clear" w:color="auto" w:fill="auto"/>
            <w:tcW w:w="3490"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1、工作时间为当日 7：00—当日 18：00；</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2、绿地养护人员见具体标段。</w:t>
            </w:r>
            <w:r/>
          </w:p>
        </w:tc>
      </w:tr>
    </w:tbl>
    <w:p>
      <w:pPr>
        <w:spacing w:line="360" w:lineRule="auto"/>
        <w:rPr>
          <w:rFonts w:ascii="宋体" w:hAnsi="宋体" w:cs="宋体"/>
          <w:spacing w:val="-2"/>
          <w:sz w:val="24"/>
          <w:highlight w:val="none"/>
        </w:rPr>
        <w:outlineLvl w:val="0"/>
      </w:pPr>
      <w:r>
        <w:rPr>
          <w:rFonts w:ascii="宋体" w:hAnsi="宋体" w:cs="宋体"/>
          <w:spacing w:val="-2"/>
          <w:sz w:val="24"/>
          <w:highlight w:val="none"/>
        </w:rPr>
      </w:r>
      <w:r/>
    </w:p>
    <w:p>
      <w:pPr>
        <w:ind w:firstLine="711"/>
        <w:spacing w:line="360" w:lineRule="auto"/>
        <w:rPr>
          <w:rFonts w:ascii="宋体" w:hAnsi="宋体" w:eastAsia="宋体" w:cs="宋体"/>
          <w:b/>
          <w:bCs/>
          <w:spacing w:val="-2"/>
          <w:sz w:val="24"/>
          <w:highlight w:val="none"/>
        </w:rPr>
        <w:outlineLvl w:val="0"/>
      </w:pPr>
      <w:r>
        <w:rPr>
          <w:rFonts w:hint="eastAsia" w:ascii="宋体" w:hAnsi="宋体" w:eastAsia="宋体" w:cs="宋体"/>
          <w:b/>
          <w:bCs/>
          <w:spacing w:val="-2"/>
          <w:sz w:val="24"/>
          <w:highlight w:val="none"/>
        </w:rPr>
        <w:t xml:space="preserve">（三）</w:t>
      </w:r>
      <w:r>
        <w:rPr>
          <w:rFonts w:ascii="宋体" w:hAnsi="宋体" w:eastAsia="宋体" w:cs="宋体"/>
          <w:b/>
          <w:bCs/>
          <w:spacing w:val="-2"/>
          <w:sz w:val="24"/>
          <w:highlight w:val="none"/>
        </w:rPr>
        <w:t xml:space="preserve">管理及考核要求</w:t>
      </w:r>
      <w:r/>
    </w:p>
    <w:p>
      <w:pPr>
        <w:ind w:firstLine="472"/>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1、绿地养护工作由江苏省溧阳高新技术产业开发区国有资产管理中心组织实施。考核实行百分制，当月考核综合评分分数低于 60 分为不合格。</w:t>
      </w:r>
      <w:r/>
    </w:p>
    <w:p>
      <w:pPr>
        <w:ind w:firstLine="472"/>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2、一个月的试用养护期是检验各单位养护成效的期限，是否签订养护合同，进入正式 养护期由江苏省溧阳高新技术产业开发区国有资产管理中心认定。如一个月的试用养护期 检验不合格，将不签订养护合同。中标单位不得以设备采购、人员招聘、办公经营场所租赁等任何理由向采购人提出经济补偿要求。</w:t>
      </w:r>
      <w:r/>
    </w:p>
    <w:p>
      <w:pPr>
        <w:ind w:firstLine="472"/>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3、乙方在养护期内出现以下问题之一，养护合同将自动终止：</w:t>
      </w:r>
      <w:r/>
    </w:p>
    <w:p>
      <w:pPr>
        <w:ind w:firstLine="236"/>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（1）一养护年度中有连续两次月考核不合格的（考核评分 60 分以下）。</w:t>
      </w:r>
      <w:r/>
    </w:p>
    <w:p>
      <w:pPr>
        <w:ind w:firstLine="236"/>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（2）如在养护期内，发生重大质量、安全方面的责任事故，对绿化景观造成严重破坏或造 成严重社会影响的，采购人将取消其养护资格，扣除养护保证金，并依法继续向承包人追究相应法律和经济责任。</w:t>
      </w:r>
      <w:r/>
    </w:p>
    <w:p>
      <w:pPr>
        <w:ind w:firstLine="236"/>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（3）养护现场负责人随意更换的。</w:t>
      </w:r>
      <w:r/>
    </w:p>
    <w:p>
      <w:pPr>
        <w:ind w:firstLine="236"/>
        <w:spacing w:line="360" w:lineRule="auto"/>
        <w:rPr>
          <w:rFonts w:ascii="宋体" w:hAnsi="宋体" w:cs="宋体"/>
          <w:spacing w:val="-2"/>
          <w:sz w:val="24"/>
          <w:highlight w:val="none"/>
        </w:rPr>
        <w:outlineLvl w:val="0"/>
      </w:pPr>
      <w:r>
        <w:rPr>
          <w:rFonts w:ascii="宋体" w:hAnsi="宋体" w:eastAsia="宋体" w:cs="宋体"/>
          <w:spacing w:val="-2"/>
          <w:sz w:val="24"/>
          <w:highlight w:val="none"/>
        </w:rPr>
        <w:t xml:space="preserve">（4）养护合同进行转包的。被取消养护资格后，由参与竞价养护的第二名投标人获得优先养护资格，依次类推并同样采用以上方法考察单位养护能力。</w:t>
      </w:r>
      <w:r/>
    </w:p>
    <w:p>
      <w:pPr>
        <w:ind w:firstLine="474"/>
        <w:spacing w:line="360" w:lineRule="auto"/>
        <w:rPr>
          <w:rFonts w:ascii="宋体" w:hAnsi="宋体" w:cs="宋体"/>
          <w:b/>
          <w:bCs/>
          <w:spacing w:val="-2"/>
          <w:sz w:val="24"/>
          <w:highlight w:val="none"/>
        </w:rPr>
        <w:outlineLvl w:val="0"/>
      </w:pPr>
      <w:r>
        <w:rPr>
          <w:rFonts w:ascii="宋体" w:hAnsi="宋体" w:cs="宋体"/>
          <w:b/>
          <w:bCs/>
          <w:spacing w:val="-2"/>
          <w:sz w:val="24"/>
          <w:highlight w:val="none"/>
        </w:rPr>
        <w:t xml:space="preserve">4、</w:t>
      </w:r>
      <w:r>
        <w:rPr>
          <w:rFonts w:hint="eastAsia" w:ascii="宋体" w:hAnsi="宋体" w:cs="宋体"/>
          <w:b/>
          <w:bCs/>
          <w:spacing w:val="-2"/>
          <w:sz w:val="24"/>
          <w:highlight w:val="none"/>
          <w:lang w:eastAsia="zh-CN"/>
        </w:rPr>
        <w:t xml:space="preserve">绿化养护费用根据年度考核情况年底一次性付清（本次报价按照12个月的养护时间，最终结算按照实际养护时间。每月养护费用=投标报价总价/12）</w:t>
      </w:r>
      <w:r>
        <w:rPr>
          <w:rFonts w:ascii="宋体" w:hAnsi="宋体" w:cs="宋体"/>
          <w:b/>
          <w:bCs/>
          <w:spacing w:val="-2"/>
          <w:sz w:val="24"/>
          <w:highlight w:val="none"/>
        </w:rPr>
        <w:t xml:space="preserve">。</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5、绿化养护考核实施细则</w:t>
      </w:r>
      <w:r/>
    </w:p>
    <w:tbl>
      <w:tblPr>
        <w:tblStyle w:val="8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727"/>
        <w:gridCol w:w="3585"/>
        <w:gridCol w:w="3465"/>
        <w:gridCol w:w="745"/>
      </w:tblGrid>
      <w:tr>
        <w:trPr>
          <w:trHeight w:val="449"/>
        </w:trPr>
        <w:tc>
          <w:tcPr>
            <w:shd w:val="clear" w:color="auto" w:fill="auto"/>
            <w:tcW w:w="766" w:type="dxa"/>
            <w:vAlign w:val="center"/>
            <w:textDirection w:val="lrTb"/>
            <w:noWrap w:val="false"/>
          </w:tcPr>
          <w:p>
            <w:pPr>
              <w:jc w:val="center"/>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项目</w:t>
            </w:r>
            <w:r/>
          </w:p>
        </w:tc>
        <w:tc>
          <w:tcPr>
            <w:shd w:val="clear" w:color="auto" w:fill="auto"/>
            <w:tcW w:w="727" w:type="dxa"/>
            <w:vAlign w:val="center"/>
            <w:textDirection w:val="lrTb"/>
            <w:noWrap w:val="false"/>
          </w:tcPr>
          <w:p>
            <w:pPr>
              <w:jc w:val="center"/>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分值</w:t>
            </w:r>
            <w:r/>
          </w:p>
        </w:tc>
        <w:tc>
          <w:tcPr>
            <w:shd w:val="clear" w:color="auto" w:fill="auto"/>
            <w:tcW w:w="3585" w:type="dxa"/>
            <w:vAlign w:val="center"/>
            <w:textDirection w:val="lrTb"/>
            <w:noWrap w:val="false"/>
          </w:tcPr>
          <w:p>
            <w:pPr>
              <w:jc w:val="center"/>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考核标准</w:t>
            </w:r>
            <w:r/>
          </w:p>
        </w:tc>
        <w:tc>
          <w:tcPr>
            <w:shd w:val="clear" w:color="auto" w:fill="auto"/>
            <w:tcW w:w="3465" w:type="dxa"/>
            <w:vAlign w:val="center"/>
            <w:textDirection w:val="lrTb"/>
            <w:noWrap w:val="false"/>
          </w:tcPr>
          <w:p>
            <w:pPr>
              <w:jc w:val="center"/>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扣分细则</w:t>
            </w:r>
            <w:r/>
          </w:p>
        </w:tc>
        <w:tc>
          <w:tcPr>
            <w:shd w:val="clear" w:color="auto" w:fill="auto"/>
            <w:tcW w:w="745" w:type="dxa"/>
            <w:vAlign w:val="center"/>
            <w:textDirection w:val="lrTb"/>
            <w:noWrap w:val="false"/>
          </w:tcPr>
          <w:p>
            <w:pPr>
              <w:jc w:val="center"/>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扣分</w:t>
            </w:r>
            <w:r/>
          </w:p>
        </w:tc>
      </w:tr>
      <w:tr>
        <w:trPr>
          <w:trHeight w:val="1090"/>
        </w:trPr>
        <w:tc>
          <w:tcPr>
            <w:shd w:val="clear" w:color="auto" w:fill="auto"/>
            <w:tcW w:w="766" w:type="dxa"/>
            <w:vAlign w:val="center"/>
            <w:vMerge w:val="restart"/>
            <w:textDirection w:val="tbLrV"/>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卫生保洁</w:t>
            </w:r>
            <w:r/>
          </w:p>
        </w:tc>
        <w:tc>
          <w:tcPr>
            <w:shd w:val="clear" w:color="auto" w:fill="auto"/>
            <w:tcW w:w="727" w:type="dxa"/>
            <w:vAlign w:val="center"/>
            <w:vMerge w:val="restart"/>
            <w:textDirection w:val="lrTb"/>
            <w:noWrap w:val="false"/>
          </w:tcPr>
          <w:p>
            <w:pPr>
              <w:jc w:val="cente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5</w:t>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1、花坛、树池、绿地内无白色垃圾、落叶、建筑垃圾；水面无漂浮物等。</w:t>
            </w:r>
            <w:r/>
          </w:p>
        </w:tc>
        <w:tc>
          <w:tcPr>
            <w:shd w:val="clear" w:color="auto" w:fill="auto"/>
            <w:tcW w:w="3465"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发现有陈旧垃圾、杂物扣 2 分/处；发现有卫生死角扣 5 分/处；发现园林设施及水体不整洁扣 1 分/处；垃圾当天不及时清运扣 2 分</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rHeight w:val="824"/>
        </w:trPr>
        <w:tc>
          <w:tcPr>
            <w:shd w:val="clear" w:color="auto" w:fill="auto"/>
            <w:tcW w:w="766" w:type="dxa"/>
            <w:vAlign w:val="center"/>
            <w:vMerge w:val="continue"/>
            <w:textDirection w:val="tbLrV"/>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shd w:val="clear" w:color="auto" w:fill="auto"/>
            <w:tcW w:w="727" w:type="dxa"/>
            <w:vAlign w:val="center"/>
            <w:vMerge w:val="continue"/>
            <w:textDirection w:val="lrTb"/>
            <w:noWrap w:val="false"/>
          </w:tcPr>
          <w:p>
            <w:pPr>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2、生产垃圾日产日清，重点地段随产随清。</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Align w:val="center"/>
            <w:vMerge w:val="restart"/>
            <w:textDirection w:val="tbLrV"/>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草坪养护</w:t>
            </w:r>
            <w:r/>
          </w:p>
        </w:tc>
        <w:tc>
          <w:tcPr>
            <w:shd w:val="clear" w:color="auto" w:fill="auto"/>
            <w:tcW w:w="727" w:type="dxa"/>
            <w:vAlign w:val="center"/>
            <w:vMerge w:val="restart"/>
            <w:textDirection w:val="lrTb"/>
            <w:noWrap w:val="false"/>
          </w:tcPr>
          <w:p>
            <w:pPr>
              <w:jc w:val="cente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20</w:t>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1、生长期长势好，草坪绿期长，抗旱浇水和雨后排水及时，保证绿化带内土壤松透湿润无退化现象。</w:t>
            </w:r>
            <w:r/>
          </w:p>
        </w:tc>
        <w:tc>
          <w:tcPr>
            <w:shd w:val="clear" w:color="auto" w:fill="auto"/>
            <w:tcW w:w="3465"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未及时做好浇水、排水工作致草坪生长不良扣 1 分/处；修剪不合 格每平方扣 1 分；病虫害防治不 力造成危害影响景观的每平方扣 1 分；杂草明显、界线不清扣 1 分/处</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2、修剪平整，冬绿型草坪高度不超过 10 厘米，夏绿型草坪高度不超过 6 厘米，休眠期前作较低修剪。</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3、草坪无病虫害，无空秃，有一定厚度，草根不裸露。</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4、无杂草，与绿篱色块、地被之间界线清晰。</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Merge w:val="restart"/>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乔</w:t>
            </w:r>
            <w:r>
              <w:rPr>
                <w:rFonts w:ascii="宋体" w:hAnsi="宋体" w:eastAsia="宋体" w:cs="宋体"/>
                <w:spacing w:val="-2"/>
                <w:sz w:val="24"/>
                <w:highlight w:val="none"/>
              </w:rPr>
              <w:t xml:space="preserve">灌木养护</w:t>
            </w:r>
            <w:r/>
          </w:p>
        </w:tc>
        <w:tc>
          <w:tcPr>
            <w:shd w:val="clear" w:color="auto" w:fill="auto"/>
            <w:tcW w:w="727"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20</w:t>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1、树木生长正常，无死树、断枝及明显枯死枝，无倾斜、歪倒现象，绿篱色块基本无空缺。</w:t>
            </w:r>
            <w:r/>
          </w:p>
        </w:tc>
        <w:tc>
          <w:tcPr>
            <w:shd w:val="clear" w:color="auto" w:fill="auto"/>
            <w:tcW w:w="3465"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管护不到位，未及时做好浇水、排水工作致苗木死亡的扣 5 分/处；歪斜树不及时扶正、死树、枯枝、断枝不及时处理扣 1分/株。修剪、清理不及时及修剪手法过重扣 1分/处；绿篱色块成片死亡未及时补缺到位扣 1 分/处。出现病虫害症状，防治不力的扣 1 分/ 次，造成严重危害的扣 2 分/次，造成一定范围植株死亡的扣 5 分/次。</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发现明显杂草、杂树扣 1 分/处。</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rHeight w:val="1134"/>
        </w:trPr>
        <w:tc>
          <w:tcPr>
            <w:shd w:val="clear" w:color="auto" w:fill="auto"/>
            <w:tcW w:w="766" w:type="dxa"/>
            <w:vMerge w:val="continue"/>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2、树木的修剪符合景观观赏要求，乔木根部无萌孽枝，绿篱、色块修剪及时到位，垂直绿化牵引、绑扎到位。</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rHeight w:val="1134"/>
        </w:trPr>
        <w:tc>
          <w:tcPr>
            <w:shd w:val="clear" w:color="auto" w:fill="auto"/>
            <w:tcW w:w="766" w:type="dxa"/>
            <w:vMerge w:val="continue"/>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3、以生态农药采取根埋，注射等科学方法进行，严禁使用有机农药，冬季涂白规范整齐。</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rHeight w:val="1134"/>
        </w:trPr>
        <w:tc>
          <w:tcPr>
            <w:shd w:val="clear" w:color="auto" w:fill="auto"/>
            <w:tcW w:w="766" w:type="dxa"/>
            <w:vMerge w:val="continue"/>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4、绿地内无大型杂草、无缠绕性、攀缘性杂草，无乱牵乱挂现象，杂树、树桩清除及时。</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Merge w:val="restart"/>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常规养护</w:t>
            </w:r>
            <w:r/>
          </w:p>
        </w:tc>
        <w:tc>
          <w:tcPr>
            <w:shd w:val="clear" w:color="auto" w:fill="auto"/>
            <w:tcW w:w="727"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15</w:t>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1、年内施肥不少于二次，冬季基肥以有机肥为主，采取穴施、沟施法；季节施肥掌握在花前花后追肥。</w:t>
            </w:r>
            <w:r/>
          </w:p>
        </w:tc>
        <w:tc>
          <w:tcPr>
            <w:shd w:val="clear" w:color="auto" w:fill="auto"/>
            <w:tcW w:w="3465"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年内施肥不少于二次，冬季基肥以有机肥为主，采取穴施、沟施法；季节施肥掌握在花前花后追肥，少施一次扣 1 分，偷工减料扣 1 分；未对缺树缺苗及时进行补种补栽，每次扣 1 分；未做到苗木搭配均匀合理无空缺，色块内树苗均匀整齐无空壳花圃內搭配合理鲜艳漂亮，每次扣 1 分。</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2、根据原有乔灌木色块及花圃规划设计，对缺树缺苗进行补种补栽，做到苗木搭配均匀合理无空缺，色块内树 苗均匀整齐无空壳花圃內搭配合理鲜艳漂亮。</w:t>
            </w:r>
            <w:r/>
          </w:p>
        </w:tc>
        <w:tc>
          <w:tcPr>
            <w:shd w:val="clear" w:color="auto" w:fill="auto"/>
            <w:tcW w:w="3465"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Align w:val="center"/>
            <w:vMerge w:val="restart"/>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绿地秩序</w:t>
            </w:r>
            <w:r/>
          </w:p>
        </w:tc>
        <w:tc>
          <w:tcPr>
            <w:shd w:val="clear" w:color="auto" w:fill="auto"/>
            <w:tcW w:w="727"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15</w:t>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1、绿地上有杂物堆放、乱停车、乱披挂、乱设摊、乱晾晒、乱焚烧生产垃圾的现象。</w:t>
            </w:r>
            <w:r/>
          </w:p>
        </w:tc>
        <w:tc>
          <w:tcPr>
            <w:shd w:val="clear" w:color="auto" w:fill="auto"/>
            <w:tcW w:w="3465"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发现一辆扣 1 分，管养人员自己的车辆扣 2 分/辆,杂物堆放、乱披挂、乱晾晒扣 1 分/处，乱设置 扣 2 分/处，乱焚烧生产垃圾扣 3 分/处，扣完为止。绿地侵占、破坏设施未发现制止或发现未汇报</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的扣 2 分/次。</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rHeight w:val="468"/>
        </w:trPr>
        <w:tc>
          <w:tcPr>
            <w:shd w:val="clear" w:color="auto" w:fill="auto"/>
            <w:tcW w:w="766" w:type="dxa"/>
            <w:vAlign w:val="center"/>
            <w:vMerge w:val="continue"/>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2、发现绿地侵占、偷盗苗木、破坏设施等现象，要立即制止，同时第一时间与采购人联系并汇报。</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rHeight w:val="1134"/>
        </w:trPr>
        <w:tc>
          <w:tcPr>
            <w:shd w:val="clear" w:color="auto" w:fill="auto"/>
            <w:tcW w:w="766" w:type="dxa"/>
            <w:vAlign w:val="center"/>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案件处置</w:t>
            </w:r>
            <w:r/>
          </w:p>
        </w:tc>
        <w:tc>
          <w:tcPr>
            <w:shd w:val="clear" w:color="auto" w:fill="auto"/>
            <w:tcW w:w="727" w:type="dxa"/>
            <w:vAlign w:val="center"/>
            <w:textDirection w:val="lrTb"/>
            <w:noWrap w:val="false"/>
          </w:tcPr>
          <w:p>
            <w:pP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10</w:t>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1、案件发生后，处置人员把信息发往 该标段负责人，接收后应及时作收到回复。</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2、在规定时间内按相关要求处理好案件，如因处置不当，造成返工现象，有一个扣 1 分。</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3、按规范回复案件，即案件序号加两张处置后的照片。</w:t>
            </w:r>
            <w:r/>
          </w:p>
        </w:tc>
        <w:tc>
          <w:tcPr>
            <w:shd w:val="clear" w:color="auto" w:fill="auto"/>
            <w:tcW w:w="346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未及时回复的，每有一个扣 1 分</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rHeight w:val="1386"/>
        </w:trPr>
        <w:tc>
          <w:tcPr>
            <w:shd w:val="clear" w:color="auto" w:fill="auto"/>
            <w:tcW w:w="766" w:type="dxa"/>
            <w:vAlign w:val="center"/>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现场考评</w:t>
            </w:r>
            <w:r/>
          </w:p>
        </w:tc>
        <w:tc>
          <w:tcPr>
            <w:shd w:val="clear" w:color="auto" w:fill="auto"/>
            <w:tcW w:w="727" w:type="dxa"/>
            <w:vAlign w:val="center"/>
            <w:textDirection w:val="lrTb"/>
            <w:noWrap w:val="false"/>
          </w:tcPr>
          <w:p>
            <w:pP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5</w:t>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被现场考评组直接扣分的</w:t>
            </w:r>
            <w:r/>
          </w:p>
        </w:tc>
        <w:tc>
          <w:tcPr>
            <w:shd w:val="clear" w:color="auto" w:fill="auto"/>
            <w:tcW w:w="346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被现场考评组直接扣分的，有一件扣 1 分</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Align w:val="center"/>
            <w:vMerge w:val="restart"/>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其他</w:t>
            </w:r>
            <w:r/>
          </w:p>
        </w:tc>
        <w:tc>
          <w:tcPr>
            <w:shd w:val="clear" w:color="auto" w:fill="auto"/>
            <w:tcW w:w="727"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10</w:t>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1、常规管理人员符合管养绿地要求，人员齐全，年龄符合规定。定职定岗，按规定着标志服装。</w:t>
            </w:r>
            <w:r/>
          </w:p>
        </w:tc>
        <w:tc>
          <w:tcPr>
            <w:shd w:val="clear" w:color="auto" w:fill="auto"/>
            <w:tcW w:w="3465"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上岗人员有缺少或不符合要求扣 5 分/人，聚众聊天、串岗离岗发 现 1 人扣 1 分；不着标志服装,每发现 1 人扣 1 分。未按作业安全操作规程进行登高、机械操作的发现一次扣 1 分。不服从采购人管理，未能按要求完成任务的一次扣 2 分。机械不按合同要求配备，少一台扣 2 分。</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2、安全要求，按绿化作业安全操作规程执行</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3、机械未按照合同要求配备</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Align w:val="center"/>
            <w:textDirection w:val="lrTb"/>
            <w:noWrap w:val="false"/>
          </w:tcPr>
          <w:p>
            <w:pP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合计</w:t>
            </w:r>
            <w:r/>
          </w:p>
        </w:tc>
        <w:tc>
          <w:tcPr>
            <w:shd w:val="clear" w:color="auto" w:fill="auto"/>
            <w:tcW w:w="727" w:type="dxa"/>
            <w:vAlign w:val="center"/>
            <w:textDirection w:val="lrTb"/>
            <w:noWrap w:val="false"/>
          </w:tcPr>
          <w:p>
            <w:pPr>
              <w:jc w:val="center"/>
              <w:rPr>
                <w:rFonts w:ascii="宋体" w:hAnsi="宋体" w:eastAsia="宋体" w:cs="宋体"/>
                <w:sz w:val="24"/>
                <w:highlight w:val="none"/>
              </w:rPr>
            </w:pPr>
            <w:r>
              <w:rPr>
                <w:rFonts w:hint="eastAsia" w:ascii="Times New Roman" w:hAnsi="Times New Roman" w:eastAsia="宋体" w:cs="Times New Roman"/>
                <w:sz w:val="24"/>
                <w:highlight w:val="none"/>
              </w:rPr>
              <w:t xml:space="preserve">100</w:t>
            </w:r>
            <w:r/>
          </w:p>
        </w:tc>
        <w:tc>
          <w:tcPr>
            <w:shd w:val="clear" w:color="auto" w:fill="auto"/>
            <w:tcW w:w="358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465" w:type="dxa"/>
            <w:vAlign w:val="center"/>
            <w:textDirection w:val="lrTb"/>
            <w:noWrap w:val="false"/>
          </w:tcPr>
          <w:p>
            <w:pPr>
              <w:rPr>
                <w:rFonts w:ascii="Times New Roman" w:hAnsi="Times New Roman" w:eastAsia="宋体" w:cs="Times New Roman"/>
                <w:highlight w:val="none"/>
              </w:rPr>
            </w:pPr>
            <w:r>
              <w:rPr>
                <w:rFonts w:hint="eastAsia" w:ascii="Times New Roman" w:hAnsi="Times New Roman" w:eastAsia="宋体" w:cs="Times New Roman"/>
                <w:sz w:val="24"/>
                <w:highlight w:val="none"/>
              </w:rPr>
              <w:t xml:space="preserve">得分</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rHeight w:val="1134"/>
        </w:trPr>
        <w:tc>
          <w:tcPr>
            <w:shd w:val="clear" w:color="auto" w:fill="auto"/>
            <w:tcW w:w="766" w:type="dxa"/>
            <w:vAlign w:val="center"/>
            <w:textDirection w:val="tbLrV"/>
            <w:noWrap w:val="false"/>
          </w:tcPr>
          <w:p>
            <w:pPr>
              <w:jc w:val="center"/>
              <w:rPr>
                <w:rFonts w:ascii="Times New Roman" w:hAnsi="Times New Roman" w:eastAsia="宋体" w:cs="Times New Roman"/>
                <w:highlight w:val="none"/>
              </w:rPr>
            </w:pPr>
            <w:r>
              <w:rPr>
                <w:rFonts w:ascii="Times New Roman" w:hAnsi="Times New Roman" w:eastAsia="宋体" w:cs="Times New Roman"/>
                <w:sz w:val="24"/>
                <w:highlight w:val="none"/>
              </w:rPr>
              <w:t xml:space="preserve">特别条款</w:t>
            </w:r>
            <w:r/>
          </w:p>
        </w:tc>
        <w:tc>
          <w:tcPr>
            <w:gridSpan w:val="4"/>
            <w:shd w:val="clear" w:color="auto" w:fill="auto"/>
            <w:tcW w:w="8522"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1、被媒体曝光或受到各级领导通报批评的，发生一次扣 5 分；</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2、各部门发现的问题或者群众来信来访未能及时整改处理或回复处理不及时、不真实的，每次扣 5 分；</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3、城市长效管理，数字化城管中因管理出现扣分的，直接按实际扣分。</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4、不服从采购人统一管理,未完成采购人安排的其他任务的，发生一次扣 5 分。</w:t>
            </w:r>
            <w:r/>
          </w:p>
        </w:tc>
      </w:tr>
    </w:tbl>
    <w:p>
      <w:pPr>
        <w:spacing w:line="360" w:lineRule="auto"/>
        <w:rPr>
          <w:rFonts w:ascii="宋体" w:hAnsi="宋体" w:cs="宋体"/>
          <w:spacing w:val="-2"/>
          <w:sz w:val="24"/>
          <w:highlight w:val="none"/>
        </w:rPr>
        <w:outlineLvl w:val="0"/>
      </w:pPr>
      <w:r>
        <w:rPr>
          <w:rFonts w:ascii="宋体" w:hAnsi="宋体" w:cs="宋体"/>
          <w:spacing w:val="-2"/>
          <w:sz w:val="24"/>
          <w:highlight w:val="none"/>
        </w:rPr>
      </w:r>
      <w:r/>
    </w:p>
    <w:p>
      <w:pPr>
        <w:ind w:firstLine="480"/>
        <w:jc w:val="left"/>
        <w:spacing w:line="360" w:lineRule="auto"/>
        <w:rPr>
          <w:rFonts w:hint="eastAsia"/>
          <w:sz w:val="24"/>
          <w:highlight w:val="none"/>
        </w:rPr>
        <w:outlineLvl w:val="0"/>
      </w:pPr>
      <w:r>
        <w:rPr>
          <w:rFonts w:hint="eastAsia"/>
          <w:sz w:val="24"/>
          <w:highlight w:val="none"/>
        </w:rPr>
        <w:t xml:space="preserve">日常考核时，对于人员上岗、着装、日常保洁、病虫害以及一些直接造成损害的问题直接扣分；其他问题按要求整改处理，在规定期限未能处理到位的进行扣分。月考核中，发现问题直接扣分。</w:t>
      </w:r>
      <w:r/>
    </w:p>
    <w:p>
      <w:pPr>
        <w:ind w:firstLine="480"/>
        <w:jc w:val="left"/>
        <w:spacing w:line="360" w:lineRule="auto"/>
        <w:rPr>
          <w:b/>
          <w:bCs/>
          <w:sz w:val="24"/>
          <w:highlight w:val="none"/>
        </w:rPr>
        <w:outlineLvl w:val="0"/>
      </w:pPr>
      <w:r>
        <w:rPr>
          <w:rFonts w:hint="eastAsia"/>
          <w:sz w:val="24"/>
          <w:highlight w:val="none"/>
        </w:rPr>
        <w:t xml:space="preserve">上述考核办法最终解释权归属江苏省溧阳高新技术产业开发区国有资产管理中心。《办法》内十项扣分和奖罚累加不保底，本着公正、公平、公开原则，每次扣分和奖罚都在中关村市政绿化养护群内公示，考核得分与年度养护经费挂钩。</w:t>
      </w:r>
      <w:r/>
    </w:p>
    <w:p>
      <w:pPr>
        <w:jc w:val="left"/>
        <w:spacing w:line="360" w:lineRule="auto"/>
        <w:rPr>
          <w:rFonts w:ascii="宋体" w:hAnsi="宋体" w:cs="宋体"/>
          <w:b/>
          <w:bCs/>
          <w:spacing w:val="-2"/>
          <w:sz w:val="24"/>
          <w:highlight w:val="none"/>
        </w:rPr>
        <w:outlineLvl w:val="0"/>
      </w:pPr>
      <w:r>
        <w:rPr>
          <w:rFonts w:hint="eastAsia" w:ascii="宋体" w:hAnsi="宋体" w:cs="宋体"/>
          <w:b/>
          <w:bCs/>
          <w:spacing w:val="-2"/>
          <w:sz w:val="24"/>
          <w:highlight w:val="none"/>
        </w:rPr>
        <w:t xml:space="preserve">（四）绿化养护管理奖惩办法</w:t>
      </w:r>
      <w:r/>
    </w:p>
    <w:p>
      <w:pPr>
        <w:ind w:firstLine="472"/>
        <w:jc w:val="left"/>
        <w:spacing w:line="360" w:lineRule="auto"/>
        <w:rPr>
          <w:rFonts w:hint="eastAsia" w:ascii="宋体" w:hAnsi="宋体" w:cs="宋体"/>
          <w:spacing w:val="-2"/>
          <w:sz w:val="24"/>
          <w:highlight w:val="none"/>
        </w:rPr>
        <w:outlineLvl w:val="0"/>
      </w:pPr>
      <w:r>
        <w:rPr>
          <w:rFonts w:hint="eastAsia" w:ascii="宋体" w:hAnsi="宋体" w:cs="宋体"/>
          <w:spacing w:val="-2"/>
          <w:sz w:val="24"/>
          <w:highlight w:val="none"/>
        </w:rPr>
        <w:t xml:space="preserve">1、绿化养护综合评分在 80 分以上者（含 80 分）按合同价正常结算当月养护经费；综合评分在 60（含）-80 分，按合同价 1/2 结算当月养护经费；综合评分在 60 分以下者，扣除当月养护经费。</w:t>
      </w:r>
      <w:r/>
    </w:p>
    <w:p>
      <w:pPr>
        <w:ind w:firstLine="472"/>
        <w:jc w:val="left"/>
        <w:spacing w:line="360" w:lineRule="auto"/>
        <w:rPr>
          <w:rFonts w:hint="eastAsia" w:ascii="宋体" w:hAnsi="宋体" w:cs="宋体"/>
          <w:spacing w:val="-2"/>
          <w:sz w:val="24"/>
          <w:highlight w:val="none"/>
        </w:rPr>
        <w:outlineLvl w:val="0"/>
      </w:pPr>
      <w:r>
        <w:rPr>
          <w:rFonts w:hint="eastAsia" w:ascii="宋体" w:hAnsi="宋体" w:cs="宋体"/>
          <w:spacing w:val="-2"/>
          <w:sz w:val="24"/>
          <w:highlight w:val="none"/>
        </w:rPr>
        <w:t xml:space="preserve">2、有下列情形之一的，合同采购人有权单方终止与乙方的养护合同，当月的养护经费不予结算：</w:t>
      </w:r>
      <w:r/>
    </w:p>
    <w:p>
      <w:pPr>
        <w:ind w:firstLine="472"/>
        <w:jc w:val="left"/>
        <w:spacing w:line="360" w:lineRule="auto"/>
        <w:rPr>
          <w:rFonts w:hint="eastAsia" w:ascii="宋体" w:hAnsi="宋体" w:cs="宋体"/>
          <w:spacing w:val="-2"/>
          <w:sz w:val="24"/>
          <w:highlight w:val="none"/>
        </w:rPr>
        <w:outlineLvl w:val="0"/>
      </w:pPr>
      <w:r>
        <w:rPr>
          <w:rFonts w:hint="eastAsia" w:ascii="宋体" w:hAnsi="宋体" w:cs="宋体"/>
          <w:spacing w:val="-2"/>
          <w:sz w:val="24"/>
          <w:highlight w:val="none"/>
        </w:rPr>
        <w:t xml:space="preserve">（1）未按</w:t>
      </w:r>
      <w:r>
        <w:rPr>
          <w:rFonts w:hint="eastAsia" w:ascii="宋体" w:hAnsi="宋体" w:cs="宋体"/>
          <w:spacing w:val="-2"/>
          <w:sz w:val="24"/>
          <w:highlight w:val="none"/>
          <w:lang w:val="en-US" w:eastAsia="zh-CN"/>
        </w:rPr>
        <w:t xml:space="preserve">招标</w:t>
      </w:r>
      <w:r>
        <w:rPr>
          <w:rFonts w:hint="eastAsia" w:ascii="宋体" w:hAnsi="宋体" w:cs="宋体"/>
          <w:spacing w:val="-2"/>
          <w:sz w:val="24"/>
          <w:highlight w:val="none"/>
        </w:rPr>
        <w:t xml:space="preserve">文件的要求组织养护工作的（如养护期间没有固定经营场所、机具非自有等）；</w:t>
      </w:r>
      <w:r/>
    </w:p>
    <w:p>
      <w:pPr>
        <w:ind w:firstLine="472"/>
        <w:jc w:val="left"/>
        <w:spacing w:line="360" w:lineRule="auto"/>
        <w:rPr>
          <w:rFonts w:hint="eastAsia" w:ascii="宋体" w:hAnsi="宋体" w:cs="宋体"/>
          <w:spacing w:val="-2"/>
          <w:sz w:val="24"/>
          <w:highlight w:val="none"/>
        </w:rPr>
        <w:outlineLvl w:val="0"/>
      </w:pPr>
      <w:r>
        <w:rPr>
          <w:rFonts w:hint="eastAsia" w:ascii="宋体" w:hAnsi="宋体" w:cs="宋体"/>
          <w:spacing w:val="-2"/>
          <w:sz w:val="24"/>
          <w:highlight w:val="none"/>
        </w:rPr>
        <w:t xml:space="preserve">（2）连续二次考核综合评分在 60 分以下的；</w:t>
      </w:r>
      <w:r/>
    </w:p>
    <w:p>
      <w:pPr>
        <w:ind w:firstLine="472"/>
        <w:jc w:val="left"/>
        <w:spacing w:line="360" w:lineRule="auto"/>
        <w:rPr>
          <w:rFonts w:hint="eastAsia" w:ascii="宋体" w:hAnsi="宋体" w:cs="宋体"/>
          <w:spacing w:val="-2"/>
          <w:sz w:val="24"/>
          <w:highlight w:val="none"/>
        </w:rPr>
        <w:outlineLvl w:val="0"/>
      </w:pPr>
      <w:r>
        <w:rPr>
          <w:rFonts w:hint="eastAsia" w:ascii="宋体" w:hAnsi="宋体" w:cs="宋体"/>
          <w:spacing w:val="-2"/>
          <w:sz w:val="24"/>
          <w:highlight w:val="none"/>
        </w:rPr>
        <w:t xml:space="preserve">（3）养护合同进行转包的；</w:t>
      </w:r>
      <w:r/>
    </w:p>
    <w:p>
      <w:pPr>
        <w:ind w:firstLine="472"/>
        <w:jc w:val="left"/>
        <w:spacing w:line="360" w:lineRule="auto"/>
        <w:rPr>
          <w:rFonts w:hint="eastAsia" w:ascii="宋体" w:hAnsi="宋体" w:cs="宋体"/>
          <w:spacing w:val="-2"/>
          <w:sz w:val="24"/>
          <w:highlight w:val="none"/>
        </w:rPr>
        <w:outlineLvl w:val="0"/>
      </w:pPr>
      <w:r>
        <w:rPr>
          <w:rFonts w:hint="eastAsia" w:ascii="宋体" w:hAnsi="宋体" w:cs="宋体"/>
          <w:spacing w:val="-2"/>
          <w:sz w:val="24"/>
          <w:highlight w:val="none"/>
        </w:rPr>
        <w:t xml:space="preserve">（4）因工人集体罢工、上访、群众举报和投诉等事件致使采购人名誉受损或其它损失的，除按考核要求扣分外，直接扣款 2000 元/次，情节特别严重的终止养护合同；</w:t>
      </w:r>
      <w:r/>
    </w:p>
    <w:p>
      <w:pPr>
        <w:ind w:firstLine="472"/>
        <w:jc w:val="left"/>
        <w:spacing w:line="360" w:lineRule="auto"/>
        <w:rPr>
          <w:rFonts w:hint="eastAsia" w:ascii="宋体" w:hAnsi="宋体" w:cs="宋体"/>
          <w:spacing w:val="-2"/>
          <w:sz w:val="24"/>
          <w:highlight w:val="none"/>
        </w:rPr>
        <w:outlineLvl w:val="0"/>
      </w:pPr>
      <w:r>
        <w:rPr>
          <w:rFonts w:hint="eastAsia" w:ascii="宋体" w:hAnsi="宋体" w:cs="宋体"/>
          <w:spacing w:val="-2"/>
          <w:sz w:val="24"/>
          <w:highlight w:val="none"/>
        </w:rPr>
        <w:t xml:space="preserve">3、绿化养护考核由日常考核巡查和月考核组成，由合同采购人组织实施。</w:t>
      </w:r>
      <w:r/>
    </w:p>
    <w:p>
      <w:pPr>
        <w:ind w:firstLine="472"/>
        <w:jc w:val="left"/>
        <w:spacing w:line="360" w:lineRule="auto"/>
        <w:rPr>
          <w:rFonts w:hint="eastAsia" w:ascii="宋体" w:hAnsi="宋体" w:cs="宋体"/>
          <w:spacing w:val="-2"/>
          <w:sz w:val="24"/>
          <w:highlight w:val="none"/>
        </w:rPr>
        <w:outlineLvl w:val="0"/>
      </w:pPr>
      <w:r>
        <w:rPr>
          <w:rFonts w:hint="eastAsia" w:ascii="宋体" w:hAnsi="宋体" w:cs="宋体"/>
          <w:spacing w:val="-2"/>
          <w:sz w:val="24"/>
          <w:highlight w:val="none"/>
        </w:rPr>
        <w:t xml:space="preserve">4、综合评分=100- 日常考核扣分×70%-月度考核扣分×30%－特别条款扣分。</w:t>
      </w:r>
      <w:r/>
    </w:p>
    <w:p>
      <w:pPr>
        <w:ind w:firstLine="472"/>
        <w:jc w:val="left"/>
        <w:spacing w:line="360" w:lineRule="auto"/>
        <w:rPr>
          <w:rFonts w:hint="eastAsia" w:ascii="宋体" w:hAnsi="宋体" w:cs="宋体"/>
          <w:spacing w:val="-2"/>
          <w:sz w:val="24"/>
          <w:highlight w:val="none"/>
        </w:rPr>
        <w:outlineLvl w:val="0"/>
      </w:pPr>
      <w:r>
        <w:rPr>
          <w:rFonts w:hint="eastAsia" w:ascii="宋体" w:hAnsi="宋体" w:cs="宋体"/>
          <w:spacing w:val="-2"/>
          <w:sz w:val="24"/>
          <w:highlight w:val="none"/>
        </w:rPr>
        <w:t xml:space="preserve">5、暴露出的同一问题采购人电话通知乙方两次后仍未整改到位，采购人将开出“整改通知书 ”，并在当月综合评分中扣除 5 分。</w:t>
      </w:r>
      <w:r/>
    </w:p>
    <w:p>
      <w:pPr>
        <w:ind w:firstLine="472"/>
        <w:jc w:val="left"/>
        <w:spacing w:line="360" w:lineRule="auto"/>
        <w:rPr>
          <w:rFonts w:hint="eastAsia" w:ascii="宋体" w:hAnsi="宋体" w:cs="宋体"/>
          <w:spacing w:val="-2"/>
          <w:sz w:val="24"/>
          <w:highlight w:val="none"/>
        </w:rPr>
        <w:outlineLvl w:val="0"/>
      </w:pPr>
      <w:r>
        <w:rPr>
          <w:rFonts w:hint="eastAsia" w:ascii="宋体" w:hAnsi="宋体" w:cs="宋体"/>
          <w:spacing w:val="-2"/>
          <w:sz w:val="24"/>
          <w:highlight w:val="none"/>
        </w:rPr>
        <w:t xml:space="preserve">6、日常检查过程中，出现下列情况时，除按规定扣分外，还需直接扣除养护经费：</w:t>
      </w:r>
      <w:r/>
    </w:p>
    <w:p>
      <w:pPr>
        <w:ind w:firstLine="472"/>
        <w:jc w:val="left"/>
        <w:spacing w:line="360" w:lineRule="auto"/>
        <w:rPr>
          <w:rFonts w:hint="eastAsia" w:ascii="宋体" w:hAnsi="宋体" w:cs="宋体"/>
          <w:spacing w:val="-2"/>
          <w:sz w:val="24"/>
          <w:highlight w:val="none"/>
        </w:rPr>
        <w:outlineLvl w:val="0"/>
      </w:pPr>
      <w:r>
        <w:rPr>
          <w:rFonts w:hint="eastAsia" w:ascii="宋体" w:hAnsi="宋体" w:cs="宋体"/>
          <w:spacing w:val="-2"/>
          <w:sz w:val="24"/>
          <w:highlight w:val="none"/>
        </w:rPr>
        <w:t xml:space="preserve">（1）现场负责人应按时按规定参加江苏省溧阳高新技术产业开发区国有资产管理中心组织的各项培训、会议；无故缺席的一次扣 500 元；每月到场22天，少一天扣2000元。</w:t>
      </w:r>
      <w:r/>
    </w:p>
    <w:p>
      <w:pPr>
        <w:ind w:firstLine="472"/>
        <w:jc w:val="left"/>
        <w:spacing w:line="360" w:lineRule="auto"/>
        <w:rPr>
          <w:rFonts w:hint="eastAsia" w:ascii="宋体" w:hAnsi="宋体" w:cs="宋体"/>
          <w:spacing w:val="-2"/>
          <w:sz w:val="24"/>
          <w:highlight w:val="none"/>
        </w:rPr>
        <w:outlineLvl w:val="0"/>
      </w:pPr>
      <w:r>
        <w:rPr>
          <w:rFonts w:hint="eastAsia" w:ascii="宋体" w:hAnsi="宋体" w:cs="宋体"/>
          <w:spacing w:val="-2"/>
          <w:sz w:val="24"/>
          <w:highlight w:val="none"/>
        </w:rPr>
        <w:t xml:space="preserve">（2）按合同规定的最低常规养护人数（10人）到岗到位，不足员时，按每人每天 200 元扣除；</w:t>
      </w:r>
      <w:r/>
    </w:p>
    <w:p>
      <w:pPr>
        <w:ind w:firstLine="472"/>
        <w:jc w:val="left"/>
        <w:spacing w:line="360" w:lineRule="auto"/>
        <w:rPr>
          <w:rFonts w:hint="eastAsia" w:ascii="宋体" w:hAnsi="宋体" w:cs="宋体"/>
          <w:spacing w:val="-2"/>
          <w:sz w:val="24"/>
          <w:highlight w:val="none"/>
        </w:rPr>
        <w:outlineLvl w:val="0"/>
      </w:pPr>
      <w:r>
        <w:rPr>
          <w:rFonts w:hint="eastAsia" w:ascii="宋体" w:hAnsi="宋体" w:cs="宋体"/>
          <w:spacing w:val="-2"/>
          <w:sz w:val="24"/>
          <w:highlight w:val="none"/>
        </w:rPr>
        <w:t xml:space="preserve">（3）处于失管状态的地块，采购人有权根据失管的严重程度，在扣分的基础上，直接扣除当月的养护费用；</w:t>
      </w:r>
      <w:r/>
    </w:p>
    <w:p>
      <w:pPr>
        <w:ind w:firstLine="472"/>
        <w:jc w:val="left"/>
        <w:spacing w:line="360" w:lineRule="auto"/>
        <w:rPr>
          <w:rFonts w:hint="eastAsia" w:ascii="宋体" w:hAnsi="宋体" w:cs="宋体"/>
          <w:spacing w:val="-2"/>
          <w:sz w:val="24"/>
          <w:highlight w:val="none"/>
        </w:rPr>
        <w:outlineLvl w:val="0"/>
      </w:pPr>
      <w:r>
        <w:rPr>
          <w:rFonts w:hint="eastAsia" w:ascii="宋体" w:hAnsi="宋体" w:cs="宋体"/>
          <w:spacing w:val="-2"/>
          <w:sz w:val="24"/>
          <w:highlight w:val="none"/>
        </w:rPr>
        <w:t xml:space="preserve">7、该措施中所指的扣款是每月考核综合评分扣款，承包人在结算资金时结清。</w:t>
      </w:r>
      <w:r/>
    </w:p>
    <w:p>
      <w:pPr>
        <w:ind w:firstLine="472"/>
        <w:jc w:val="left"/>
        <w:spacing w:line="360" w:lineRule="auto"/>
        <w:rPr>
          <w:rFonts w:hint="eastAsia" w:ascii="宋体" w:hAnsi="宋体" w:cs="宋体"/>
          <w:spacing w:val="-2"/>
          <w:sz w:val="24"/>
          <w:highlight w:val="none"/>
        </w:rPr>
        <w:outlineLvl w:val="0"/>
      </w:pPr>
      <w:r>
        <w:rPr>
          <w:rFonts w:hint="eastAsia" w:ascii="宋体" w:hAnsi="宋体" w:cs="宋体"/>
          <w:spacing w:val="-2"/>
          <w:sz w:val="24"/>
          <w:highlight w:val="none"/>
        </w:rPr>
        <w:t xml:space="preserve">8、如不当养护造成绿化损失或严重社会影响，如草坪杂化、乔木修剪过重、地被花境长势衰退或严重不良等由承包人负责更新，费用由承包人自行承担。</w:t>
      </w:r>
      <w:r/>
    </w:p>
    <w:p>
      <w:pPr>
        <w:ind w:firstLine="472"/>
        <w:jc w:val="left"/>
        <w:spacing w:line="360" w:lineRule="auto"/>
        <w:rPr>
          <w:rFonts w:hint="eastAsia" w:ascii="宋体" w:hAnsi="宋体" w:cs="宋体"/>
          <w:spacing w:val="-2"/>
          <w:sz w:val="24"/>
          <w:highlight w:val="none"/>
        </w:rPr>
        <w:outlineLvl w:val="0"/>
      </w:pPr>
      <w:r>
        <w:rPr>
          <w:rFonts w:hint="eastAsia" w:ascii="宋体" w:hAnsi="宋体" w:cs="宋体"/>
          <w:spacing w:val="-2"/>
          <w:sz w:val="24"/>
          <w:highlight w:val="none"/>
        </w:rPr>
        <w:t xml:space="preserve">9、应急管理：养护中标单位必须制定灾害性天气应急预案，建立一支稳定的应急抢险队伍，并保证有能力调配到高空作业车、大功率电锯等必须的应急设备，确保出现灾害性天气时，能够第一时间投入抢险救灾中，并服从采购人另行安排的其它范围内的应急抢险任务。</w:t>
      </w:r>
      <w:r/>
    </w:p>
    <w:p>
      <w:pPr>
        <w:ind w:firstLine="472"/>
        <w:jc w:val="left"/>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10、安全责任事故等风险问题：养护期内，承包人须加强安全生产管理，积极主动采取 防范措施，解除安全隐患，同时为养护工人购买保险等方式来规避风险。如养护标段中发 生安全事故、人员伤亡事件，由养护中标单位负责处理解决，处理过程中发生的费用（包括赔偿费用）由承包人承担。</w:t>
      </w:r>
      <w:r/>
    </w:p>
    <w:p>
      <w:pPr>
        <w:jc w:val="center"/>
        <w:spacing w:line="360" w:lineRule="auto"/>
        <w:rPr>
          <w:b/>
          <w:bCs/>
          <w:sz w:val="36"/>
          <w:szCs w:val="36"/>
          <w:highlight w:val="none"/>
        </w:rPr>
        <w:outlineLvl w:val="0"/>
      </w:pPr>
      <w:r>
        <w:rPr>
          <w:b/>
          <w:bCs/>
          <w:sz w:val="36"/>
          <w:szCs w:val="36"/>
          <w:highlight w:val="none"/>
        </w:rPr>
      </w:r>
      <w:r/>
    </w:p>
    <w:p>
      <w:pPr>
        <w:pStyle w:val="1119"/>
        <w:contextualSpacing/>
        <w:ind w:left="500" w:hanging="500"/>
        <w:spacing w:line="360" w:lineRule="auto"/>
        <w:rPr>
          <w:rFonts w:hint="eastAsia" w:ascii="Times New Roman" w:hAnsi="Times New Roman"/>
          <w:b/>
          <w:sz w:val="24"/>
          <w:szCs w:val="24"/>
          <w:highlight w:val="none"/>
          <w:lang w:val="en-US" w:eastAsia="zh-CN"/>
        </w:rPr>
      </w:pPr>
      <w:r>
        <w:rPr>
          <w:rFonts w:hint="eastAsia" w:ascii="Times New Roman" w:hAnsi="Times New Roman"/>
          <w:b/>
          <w:sz w:val="24"/>
          <w:szCs w:val="24"/>
          <w:highlight w:val="none"/>
          <w:lang w:val="en-US" w:eastAsia="zh-CN"/>
        </w:rPr>
        <w:t xml:space="preserve">14标段：</w:t>
      </w:r>
      <w:r/>
    </w:p>
    <w:p>
      <w:pPr>
        <w:contextualSpacing/>
        <w:ind w:firstLine="480"/>
        <w:spacing w:line="360" w:lineRule="auto"/>
        <w:widowControl/>
        <w:rPr>
          <w:rFonts w:hint="default" w:eastAsia="宋体"/>
          <w:b/>
          <w:bCs/>
          <w:color w:val="000000"/>
          <w:sz w:val="24"/>
          <w:highlight w:val="none"/>
          <w:lang w:val="en-US" w:eastAsia="zh-CN"/>
        </w:rPr>
      </w:pPr>
      <w:r>
        <w:rPr>
          <w:rFonts w:hint="eastAsia"/>
          <w:b/>
          <w:bCs/>
          <w:color w:val="000000"/>
          <w:sz w:val="24"/>
          <w:highlight w:val="none"/>
          <w:lang w:val="en-US" w:eastAsia="zh-CN"/>
        </w:rPr>
        <w:t xml:space="preserve">（一）绿雕养护内容：</w:t>
      </w:r>
      <w:r/>
    </w:p>
    <w:p>
      <w:pPr>
        <w:contextualSpacing/>
        <w:ind w:firstLine="480"/>
        <w:spacing w:line="360" w:lineRule="auto"/>
        <w:widowControl/>
        <w:rPr>
          <w:rFonts w:hint="eastAsia"/>
          <w:color w:val="000000"/>
          <w:sz w:val="24"/>
          <w:highlight w:val="none"/>
        </w:rPr>
      </w:pPr>
      <w:r>
        <w:rPr>
          <w:rFonts w:hint="eastAsia"/>
          <w:color w:val="000000"/>
          <w:sz w:val="24"/>
          <w:highlight w:val="none"/>
        </w:rPr>
        <w:t xml:space="preserve">1、完成本项目绿雕花卉栽植更换、设施维护等作业。</w:t>
      </w:r>
      <w:r/>
    </w:p>
    <w:p>
      <w:pPr>
        <w:contextualSpacing/>
        <w:ind w:firstLine="480"/>
        <w:spacing w:line="360" w:lineRule="auto"/>
        <w:widowControl/>
        <w:rPr>
          <w:rFonts w:hint="eastAsia"/>
          <w:color w:val="000000"/>
          <w:sz w:val="24"/>
          <w:highlight w:val="none"/>
        </w:rPr>
      </w:pPr>
      <w:r>
        <w:rPr>
          <w:rFonts w:hint="eastAsia"/>
          <w:color w:val="000000"/>
          <w:sz w:val="24"/>
          <w:highlight w:val="none"/>
        </w:rPr>
        <w:t xml:space="preserve">2、养护期内对竞争性磋商所列明的设施每天巡查，对破坏绿雕、影响绿化景观、环境卫生等行为予以制止，并及时上报和整改到位。接受第三方考核单位的养护全过程现场监管，对于采购人及第三方考核单位巡查下发的问题整改菜单，及时整改。</w:t>
      </w:r>
      <w:r/>
    </w:p>
    <w:p>
      <w:pPr>
        <w:contextualSpacing/>
        <w:ind w:firstLine="480"/>
        <w:spacing w:line="360" w:lineRule="auto"/>
        <w:widowControl/>
        <w:rPr>
          <w:rFonts w:hint="eastAsia"/>
          <w:color w:val="000000"/>
          <w:sz w:val="24"/>
          <w:highlight w:val="none"/>
        </w:rPr>
      </w:pPr>
      <w:r>
        <w:rPr>
          <w:rFonts w:hint="eastAsia"/>
          <w:color w:val="000000"/>
          <w:sz w:val="24"/>
          <w:highlight w:val="none"/>
        </w:rPr>
        <w:t xml:space="preserve">3、完成项目范围内的应急抢险及消险工作。在消险过程中严格确保安全作业；对突发性事件的应急预案，以便应对突发性事件。</w:t>
      </w:r>
      <w:r/>
    </w:p>
    <w:p>
      <w:pPr>
        <w:contextualSpacing/>
        <w:ind w:firstLine="480"/>
        <w:spacing w:line="360" w:lineRule="auto"/>
        <w:widowControl/>
        <w:rPr>
          <w:rFonts w:hint="eastAsia"/>
          <w:color w:val="000000"/>
          <w:sz w:val="24"/>
          <w:highlight w:val="none"/>
        </w:rPr>
      </w:pPr>
      <w:r>
        <w:rPr>
          <w:rFonts w:hint="eastAsia"/>
          <w:color w:val="000000"/>
          <w:sz w:val="24"/>
          <w:highlight w:val="none"/>
        </w:rPr>
        <w:t xml:space="preserve">4、完成项目范围内各类信访、投诉、举报的处理和整改；</w:t>
      </w:r>
      <w:r/>
    </w:p>
    <w:p>
      <w:pPr>
        <w:contextualSpacing/>
        <w:ind w:firstLine="480"/>
        <w:spacing w:line="360" w:lineRule="auto"/>
        <w:widowControl/>
        <w:rPr>
          <w:color w:val="000000"/>
          <w:sz w:val="24"/>
          <w:highlight w:val="none"/>
        </w:rPr>
      </w:pPr>
      <w:r>
        <w:rPr>
          <w:rFonts w:hint="eastAsia"/>
          <w:color w:val="000000"/>
          <w:sz w:val="24"/>
          <w:highlight w:val="none"/>
        </w:rPr>
        <w:t xml:space="preserve">5、完成采购人布置的其他临时性工作和指令性任务</w:t>
      </w:r>
      <w:r>
        <w:rPr>
          <w:color w:val="000000"/>
          <w:sz w:val="24"/>
          <w:highlight w:val="none"/>
        </w:rPr>
        <w:t xml:space="preserve">。</w:t>
      </w:r>
      <w:r/>
    </w:p>
    <w:p>
      <w:pPr>
        <w:contextualSpacing/>
        <w:ind w:firstLine="482"/>
        <w:spacing w:line="360" w:lineRule="auto"/>
        <w:widowControl/>
        <w:rPr>
          <w:b/>
          <w:bCs w:val="0"/>
          <w:color w:val="000000"/>
          <w:sz w:val="24"/>
          <w:highlight w:val="none"/>
        </w:rPr>
      </w:pPr>
      <w:r>
        <w:rPr>
          <w:rFonts w:hint="eastAsia"/>
          <w:b/>
          <w:bCs w:val="0"/>
          <w:color w:val="000000"/>
          <w:sz w:val="24"/>
          <w:highlight w:val="none"/>
          <w:lang w:eastAsia="zh-CN"/>
        </w:rPr>
        <w:t xml:space="preserve">（</w:t>
      </w:r>
      <w:r>
        <w:rPr>
          <w:rFonts w:hint="eastAsia"/>
          <w:b/>
          <w:bCs w:val="0"/>
          <w:color w:val="000000"/>
          <w:sz w:val="24"/>
          <w:highlight w:val="none"/>
          <w:lang w:val="en-US" w:eastAsia="zh-CN"/>
        </w:rPr>
        <w:t xml:space="preserve">二</w:t>
      </w:r>
      <w:r>
        <w:rPr>
          <w:rFonts w:hint="eastAsia"/>
          <w:b/>
          <w:bCs w:val="0"/>
          <w:color w:val="000000"/>
          <w:sz w:val="24"/>
          <w:highlight w:val="none"/>
          <w:lang w:eastAsia="zh-CN"/>
        </w:rPr>
        <w:t xml:space="preserve">）</w:t>
      </w:r>
      <w:r>
        <w:rPr>
          <w:rFonts w:hint="eastAsia"/>
          <w:b/>
          <w:bCs w:val="0"/>
          <w:color w:val="000000"/>
          <w:sz w:val="24"/>
          <w:highlight w:val="none"/>
        </w:rPr>
        <w:t xml:space="preserve">绿雕养护要求</w:t>
      </w:r>
      <w:r/>
    </w:p>
    <w:p>
      <w:pPr>
        <w:contextualSpacing/>
        <w:ind w:firstLine="482"/>
        <w:spacing w:line="360" w:lineRule="auto"/>
        <w:widowControl/>
        <w:rPr>
          <w:rFonts w:hint="eastAsia"/>
          <w:bCs/>
          <w:color w:val="000000"/>
          <w:sz w:val="24"/>
          <w:highlight w:val="none"/>
        </w:rPr>
      </w:pPr>
      <w:r>
        <w:rPr>
          <w:rFonts w:hint="eastAsia"/>
          <w:bCs/>
          <w:color w:val="000000"/>
          <w:sz w:val="24"/>
          <w:highlight w:val="none"/>
        </w:rPr>
        <w:t xml:space="preserve">1</w:t>
      </w:r>
      <w:r>
        <w:rPr>
          <w:rFonts w:hint="eastAsia"/>
          <w:bCs/>
          <w:color w:val="000000"/>
          <w:sz w:val="24"/>
          <w:highlight w:val="none"/>
          <w:lang w:eastAsia="zh-CN"/>
        </w:rPr>
        <w:t xml:space="preserve">、</w:t>
      </w:r>
      <w:r>
        <w:rPr>
          <w:rFonts w:hint="eastAsia"/>
          <w:bCs/>
          <w:color w:val="000000"/>
          <w:sz w:val="24"/>
          <w:highlight w:val="none"/>
        </w:rPr>
        <w:t xml:space="preserve">绿雕整体更换2次。成交后按时组织更换成耐热性佳的夏季草种，入冬前更换成耐寒性佳的冬季草种，根据景观要求不定时补植，在重要节假日和重大活动接待期间，绿雕需按采购人要求统一更新。</w:t>
      </w:r>
      <w:r/>
    </w:p>
    <w:p>
      <w:pPr>
        <w:contextualSpacing/>
        <w:ind w:firstLine="482"/>
        <w:spacing w:line="360" w:lineRule="auto"/>
        <w:widowControl/>
        <w:rPr>
          <w:rFonts w:hint="eastAsia"/>
          <w:bCs/>
          <w:color w:val="000000"/>
          <w:sz w:val="24"/>
          <w:highlight w:val="none"/>
        </w:rPr>
      </w:pPr>
      <w:r>
        <w:rPr>
          <w:rFonts w:hint="eastAsia"/>
          <w:bCs/>
          <w:color w:val="000000"/>
          <w:sz w:val="24"/>
          <w:highlight w:val="none"/>
        </w:rPr>
        <w:t xml:space="preserve">2</w:t>
      </w:r>
      <w:r>
        <w:rPr>
          <w:rFonts w:hint="eastAsia"/>
          <w:bCs/>
          <w:color w:val="000000"/>
          <w:sz w:val="24"/>
          <w:highlight w:val="none"/>
          <w:lang w:eastAsia="zh-CN"/>
        </w:rPr>
        <w:t xml:space="preserve">、</w:t>
      </w:r>
      <w:r>
        <w:rPr>
          <w:rFonts w:hint="eastAsia"/>
          <w:bCs/>
          <w:color w:val="000000"/>
          <w:sz w:val="24"/>
          <w:highlight w:val="none"/>
        </w:rPr>
        <w:t xml:space="preserve">养护方案切实可行，措施具体，针对性强。应根据植物习性、色彩要求进行更换，确保成活，达到效果。</w:t>
      </w:r>
      <w:r/>
    </w:p>
    <w:p>
      <w:pPr>
        <w:contextualSpacing/>
        <w:ind w:firstLine="480"/>
        <w:spacing w:line="360" w:lineRule="auto"/>
        <w:widowControl/>
        <w:rPr>
          <w:rFonts w:hint="eastAsia"/>
          <w:bCs/>
          <w:color w:val="000000"/>
          <w:sz w:val="24"/>
          <w:highlight w:val="none"/>
        </w:rPr>
      </w:pPr>
      <w:r>
        <w:rPr>
          <w:rFonts w:hint="eastAsia"/>
          <w:bCs/>
          <w:color w:val="000000"/>
          <w:sz w:val="24"/>
          <w:highlight w:val="none"/>
        </w:rPr>
        <w:t xml:space="preserve">3</w:t>
      </w:r>
      <w:r>
        <w:rPr>
          <w:rFonts w:hint="eastAsia"/>
          <w:bCs/>
          <w:color w:val="000000"/>
          <w:sz w:val="24"/>
          <w:highlight w:val="none"/>
          <w:lang w:eastAsia="zh-CN"/>
        </w:rPr>
        <w:t xml:space="preserve">、</w:t>
      </w:r>
      <w:r>
        <w:rPr>
          <w:rFonts w:hint="eastAsia"/>
          <w:bCs/>
          <w:color w:val="000000"/>
          <w:sz w:val="24"/>
          <w:highlight w:val="none"/>
        </w:rPr>
        <w:t xml:space="preserve">植物生长良好，无缺水萎蔫、无明显病虫害危害迹象。</w:t>
      </w:r>
      <w:r/>
    </w:p>
    <w:p>
      <w:pPr>
        <w:contextualSpacing/>
        <w:ind w:firstLine="482"/>
        <w:spacing w:line="360" w:lineRule="auto"/>
        <w:widowControl/>
        <w:rPr>
          <w:rFonts w:hint="eastAsia"/>
          <w:bCs/>
          <w:color w:val="000000"/>
          <w:sz w:val="24"/>
          <w:highlight w:val="none"/>
        </w:rPr>
      </w:pPr>
      <w:r>
        <w:rPr>
          <w:rFonts w:hint="eastAsia"/>
          <w:bCs/>
          <w:color w:val="000000"/>
          <w:sz w:val="24"/>
          <w:highlight w:val="none"/>
        </w:rPr>
        <w:t xml:space="preserve">4</w:t>
      </w:r>
      <w:r>
        <w:rPr>
          <w:rFonts w:hint="eastAsia"/>
          <w:bCs/>
          <w:color w:val="000000"/>
          <w:sz w:val="24"/>
          <w:highlight w:val="none"/>
          <w:lang w:eastAsia="zh-CN"/>
        </w:rPr>
        <w:t xml:space="preserve">、</w:t>
      </w:r>
      <w:r>
        <w:rPr>
          <w:rFonts w:hint="eastAsia"/>
          <w:bCs/>
          <w:color w:val="000000"/>
          <w:sz w:val="24"/>
          <w:highlight w:val="none"/>
        </w:rPr>
        <w:t xml:space="preserve">植物修剪造型轮廓清晰、自然，高矮一致，表面平整。</w:t>
      </w:r>
      <w:r/>
    </w:p>
    <w:p>
      <w:pPr>
        <w:contextualSpacing/>
        <w:ind w:firstLine="482"/>
        <w:spacing w:line="360" w:lineRule="auto"/>
        <w:widowControl/>
        <w:rPr>
          <w:rFonts w:hint="eastAsia"/>
          <w:bCs/>
          <w:color w:val="000000"/>
          <w:sz w:val="24"/>
          <w:highlight w:val="none"/>
        </w:rPr>
      </w:pPr>
      <w:r>
        <w:rPr>
          <w:rFonts w:hint="eastAsia"/>
          <w:bCs/>
          <w:color w:val="000000"/>
          <w:sz w:val="24"/>
          <w:highlight w:val="none"/>
        </w:rPr>
        <w:t xml:space="preserve">5</w:t>
      </w:r>
      <w:r>
        <w:rPr>
          <w:rFonts w:hint="eastAsia"/>
          <w:bCs/>
          <w:color w:val="000000"/>
          <w:sz w:val="24"/>
          <w:highlight w:val="none"/>
          <w:lang w:eastAsia="zh-CN"/>
        </w:rPr>
        <w:t xml:space="preserve">、</w:t>
      </w:r>
      <w:r>
        <w:rPr>
          <w:rFonts w:hint="eastAsia"/>
          <w:bCs/>
          <w:color w:val="000000"/>
          <w:sz w:val="24"/>
          <w:highlight w:val="none"/>
        </w:rPr>
        <w:t xml:space="preserve">植株枝叶分布均匀，无枯枝残叶，无影响观赏的空秃缺株。</w:t>
      </w:r>
      <w:r/>
    </w:p>
    <w:p>
      <w:pPr>
        <w:contextualSpacing/>
        <w:ind w:firstLine="482"/>
        <w:spacing w:line="360" w:lineRule="auto"/>
        <w:widowControl/>
        <w:rPr>
          <w:rFonts w:hint="eastAsia"/>
          <w:bCs/>
          <w:color w:val="000000"/>
          <w:sz w:val="24"/>
          <w:highlight w:val="none"/>
        </w:rPr>
      </w:pPr>
      <w:r>
        <w:rPr>
          <w:rFonts w:hint="eastAsia"/>
          <w:bCs/>
          <w:color w:val="000000"/>
          <w:sz w:val="24"/>
          <w:highlight w:val="none"/>
        </w:rPr>
        <w:t xml:space="preserve">6</w:t>
      </w:r>
      <w:r>
        <w:rPr>
          <w:rFonts w:hint="eastAsia"/>
          <w:bCs/>
          <w:color w:val="000000"/>
          <w:sz w:val="24"/>
          <w:highlight w:val="none"/>
          <w:lang w:eastAsia="zh-CN"/>
        </w:rPr>
        <w:t xml:space="preserve">、</w:t>
      </w:r>
      <w:r>
        <w:rPr>
          <w:rFonts w:hint="eastAsia"/>
          <w:bCs/>
          <w:color w:val="000000"/>
          <w:sz w:val="24"/>
          <w:highlight w:val="none"/>
        </w:rPr>
        <w:t xml:space="preserve">表面无杂草、残花败叶，叶面干净整洁。</w:t>
      </w:r>
      <w:r/>
    </w:p>
    <w:p>
      <w:pPr>
        <w:contextualSpacing/>
        <w:ind w:firstLine="482"/>
        <w:spacing w:line="360" w:lineRule="auto"/>
        <w:widowControl/>
        <w:rPr>
          <w:rFonts w:hint="eastAsia"/>
          <w:bCs/>
          <w:color w:val="000000"/>
          <w:sz w:val="24"/>
          <w:highlight w:val="none"/>
        </w:rPr>
      </w:pPr>
      <w:r>
        <w:rPr>
          <w:rFonts w:hint="eastAsia"/>
          <w:bCs/>
          <w:color w:val="000000"/>
          <w:sz w:val="24"/>
          <w:highlight w:val="none"/>
        </w:rPr>
        <w:t xml:space="preserve">7</w:t>
      </w:r>
      <w:r>
        <w:rPr>
          <w:rFonts w:hint="eastAsia"/>
          <w:bCs/>
          <w:color w:val="000000"/>
          <w:sz w:val="24"/>
          <w:highlight w:val="none"/>
          <w:lang w:eastAsia="zh-CN"/>
        </w:rPr>
        <w:t xml:space="preserve">、</w:t>
      </w:r>
      <w:r>
        <w:rPr>
          <w:rFonts w:hint="eastAsia"/>
          <w:bCs/>
          <w:color w:val="000000"/>
          <w:sz w:val="24"/>
          <w:highlight w:val="none"/>
        </w:rPr>
        <w:t xml:space="preserve">确保构件设施完好无损，整体安全牢固，无变型扭曲，无安全隐患。</w:t>
      </w:r>
      <w:r/>
    </w:p>
    <w:p>
      <w:pPr>
        <w:contextualSpacing/>
        <w:ind w:firstLine="482"/>
        <w:spacing w:line="360" w:lineRule="auto"/>
        <w:widowControl/>
        <w:rPr>
          <w:rFonts w:hint="eastAsia"/>
          <w:bCs/>
          <w:color w:val="000000"/>
          <w:sz w:val="24"/>
          <w:highlight w:val="none"/>
        </w:rPr>
      </w:pPr>
      <w:r>
        <w:rPr>
          <w:rFonts w:hint="eastAsia"/>
          <w:bCs/>
          <w:color w:val="000000"/>
          <w:sz w:val="24"/>
          <w:highlight w:val="none"/>
        </w:rPr>
        <w:t xml:space="preserve">8</w:t>
      </w:r>
      <w:r>
        <w:rPr>
          <w:rFonts w:hint="eastAsia"/>
          <w:bCs/>
          <w:color w:val="000000"/>
          <w:sz w:val="24"/>
          <w:highlight w:val="none"/>
          <w:lang w:eastAsia="zh-CN"/>
        </w:rPr>
        <w:t xml:space="preserve">、</w:t>
      </w:r>
      <w:r>
        <w:rPr>
          <w:rFonts w:hint="eastAsia"/>
          <w:bCs/>
          <w:color w:val="000000"/>
          <w:sz w:val="24"/>
          <w:highlight w:val="none"/>
        </w:rPr>
        <w:t xml:space="preserve">部分品种或全部品种有衰败迹象时，应及时补植或更换。</w:t>
      </w:r>
      <w:r/>
    </w:p>
    <w:p>
      <w:pPr>
        <w:contextualSpacing/>
        <w:ind w:firstLine="482"/>
        <w:spacing w:line="360" w:lineRule="auto"/>
        <w:widowControl/>
        <w:rPr>
          <w:rFonts w:hint="eastAsia"/>
          <w:bCs/>
          <w:color w:val="000000"/>
          <w:sz w:val="24"/>
          <w:highlight w:val="none"/>
        </w:rPr>
      </w:pPr>
      <w:r>
        <w:rPr>
          <w:rFonts w:hint="eastAsia"/>
          <w:bCs/>
          <w:color w:val="000000"/>
          <w:sz w:val="24"/>
          <w:highlight w:val="none"/>
        </w:rPr>
        <w:t xml:space="preserve">9</w:t>
      </w:r>
      <w:r>
        <w:rPr>
          <w:rFonts w:hint="eastAsia"/>
          <w:bCs/>
          <w:color w:val="000000"/>
          <w:sz w:val="24"/>
          <w:highlight w:val="none"/>
          <w:lang w:eastAsia="zh-CN"/>
        </w:rPr>
        <w:t xml:space="preserve">、</w:t>
      </w:r>
      <w:r>
        <w:rPr>
          <w:rFonts w:hint="eastAsia"/>
          <w:bCs/>
          <w:color w:val="000000"/>
          <w:sz w:val="24"/>
          <w:highlight w:val="none"/>
        </w:rPr>
        <w:t xml:space="preserve">绿雕本身及周边整洁卫生，无影响观瞻的杂物。</w:t>
      </w:r>
      <w:r/>
    </w:p>
    <w:p>
      <w:pPr>
        <w:contextualSpacing/>
        <w:ind w:firstLine="482"/>
        <w:spacing w:line="360" w:lineRule="auto"/>
        <w:widowControl/>
        <w:rPr>
          <w:rFonts w:hint="default"/>
          <w:bCs/>
          <w:color w:val="000000"/>
          <w:sz w:val="24"/>
          <w:highlight w:val="none"/>
          <w:lang w:val="en-US" w:eastAsia="zh-CN"/>
        </w:rPr>
      </w:pPr>
      <w:r>
        <w:rPr>
          <w:rFonts w:hint="eastAsia"/>
          <w:bCs/>
          <w:color w:val="000000"/>
          <w:sz w:val="24"/>
          <w:highlight w:val="none"/>
        </w:rPr>
        <w:t xml:space="preserve">10</w:t>
      </w:r>
      <w:r>
        <w:rPr>
          <w:rFonts w:hint="eastAsia"/>
          <w:bCs/>
          <w:color w:val="000000"/>
          <w:sz w:val="24"/>
          <w:highlight w:val="none"/>
          <w:lang w:eastAsia="zh-CN"/>
        </w:rPr>
        <w:t xml:space="preserve">、</w:t>
      </w:r>
      <w:r>
        <w:rPr>
          <w:rFonts w:hint="eastAsia"/>
          <w:bCs/>
          <w:color w:val="000000"/>
          <w:sz w:val="24"/>
          <w:highlight w:val="none"/>
        </w:rPr>
        <w:t xml:space="preserve">配合做好绿雕加固或拆除工作。</w:t>
      </w:r>
      <w:r/>
    </w:p>
    <w:p>
      <w:pPr>
        <w:jc w:val="center"/>
        <w:spacing w:line="360" w:lineRule="auto"/>
        <w:rPr>
          <w:b/>
          <w:bCs/>
          <w:sz w:val="36"/>
          <w:szCs w:val="36"/>
          <w:highlight w:val="none"/>
        </w:rPr>
        <w:outlineLvl w:val="0"/>
      </w:pPr>
      <w:r>
        <w:rPr>
          <w:b/>
          <w:bCs/>
          <w:sz w:val="36"/>
          <w:szCs w:val="36"/>
          <w:highlight w:val="none"/>
        </w:rPr>
      </w:r>
      <w:r/>
    </w:p>
    <w:p>
      <w:pPr>
        <w:jc w:val="center"/>
        <w:spacing w:line="360" w:lineRule="auto"/>
        <w:rPr>
          <w:b/>
          <w:bCs/>
          <w:sz w:val="36"/>
          <w:szCs w:val="36"/>
          <w:highlight w:val="none"/>
        </w:rPr>
        <w:outlineLvl w:val="0"/>
      </w:pPr>
      <w:r>
        <w:rPr>
          <w:b/>
          <w:bCs/>
          <w:sz w:val="36"/>
          <w:szCs w:val="36"/>
          <w:highlight w:val="none"/>
        </w:rPr>
      </w:r>
      <w:r/>
    </w:p>
    <w:p>
      <w:pPr>
        <w:jc w:val="center"/>
        <w:spacing w:line="360" w:lineRule="auto"/>
        <w:rPr>
          <w:b/>
          <w:bCs/>
          <w:sz w:val="36"/>
          <w:szCs w:val="36"/>
          <w:highlight w:val="none"/>
        </w:rPr>
        <w:outlineLvl w:val="0"/>
      </w:pPr>
      <w:r>
        <w:rPr>
          <w:b/>
          <w:bCs/>
          <w:sz w:val="36"/>
          <w:szCs w:val="36"/>
          <w:highlight w:val="none"/>
        </w:rPr>
      </w:r>
      <w:r/>
    </w:p>
    <w:p>
      <w:pPr>
        <w:jc w:val="center"/>
        <w:spacing w:line="360" w:lineRule="auto"/>
        <w:rPr>
          <w:b/>
          <w:bCs/>
          <w:sz w:val="36"/>
          <w:szCs w:val="36"/>
          <w:highlight w:val="none"/>
        </w:rPr>
        <w:outlineLvl w:val="0"/>
      </w:pPr>
      <w:r>
        <w:rPr>
          <w:b/>
          <w:bCs/>
          <w:sz w:val="36"/>
          <w:szCs w:val="36"/>
          <w:highlight w:val="none"/>
        </w:rPr>
      </w:r>
      <w:r/>
    </w:p>
    <w:p>
      <w:pPr>
        <w:jc w:val="center"/>
        <w:spacing w:line="360" w:lineRule="auto"/>
        <w:rPr>
          <w:b/>
          <w:bCs/>
          <w:sz w:val="36"/>
          <w:szCs w:val="36"/>
          <w:highlight w:val="none"/>
        </w:rPr>
        <w:outlineLvl w:val="0"/>
      </w:pPr>
      <w:r>
        <w:rPr>
          <w:b/>
          <w:bCs/>
          <w:sz w:val="36"/>
          <w:szCs w:val="36"/>
          <w:highlight w:val="none"/>
        </w:rPr>
      </w:r>
      <w:r/>
    </w:p>
    <w:p>
      <w:pPr>
        <w:jc w:val="center"/>
        <w:spacing w:line="360" w:lineRule="auto"/>
        <w:rPr>
          <w:b/>
          <w:bCs/>
          <w:sz w:val="36"/>
          <w:szCs w:val="36"/>
          <w:highlight w:val="none"/>
        </w:rPr>
        <w:outlineLvl w:val="0"/>
      </w:pPr>
      <w:r>
        <w:rPr>
          <w:b/>
          <w:bCs/>
          <w:sz w:val="36"/>
          <w:szCs w:val="36"/>
          <w:highlight w:val="none"/>
        </w:rPr>
      </w:r>
      <w:r/>
    </w:p>
    <w:p>
      <w:pPr>
        <w:jc w:val="center"/>
        <w:spacing w:line="360" w:lineRule="auto"/>
        <w:rPr>
          <w:b/>
          <w:bCs/>
          <w:sz w:val="36"/>
          <w:szCs w:val="36"/>
          <w:highlight w:val="none"/>
        </w:rPr>
        <w:outlineLvl w:val="0"/>
      </w:pPr>
      <w:r>
        <w:rPr>
          <w:b/>
          <w:bCs/>
          <w:sz w:val="36"/>
          <w:szCs w:val="36"/>
          <w:highlight w:val="none"/>
        </w:rPr>
      </w:r>
      <w:r/>
    </w:p>
    <w:p>
      <w:pPr>
        <w:jc w:val="center"/>
        <w:spacing w:line="360" w:lineRule="auto"/>
        <w:rPr>
          <w:b/>
          <w:bCs/>
          <w:sz w:val="36"/>
          <w:szCs w:val="36"/>
          <w:highlight w:val="none"/>
        </w:rPr>
        <w:outlineLvl w:val="0"/>
      </w:pPr>
      <w:r>
        <w:rPr>
          <w:b/>
          <w:bCs/>
          <w:sz w:val="36"/>
          <w:szCs w:val="36"/>
          <w:highlight w:val="none"/>
        </w:rPr>
      </w:r>
      <w:r/>
    </w:p>
    <w:p>
      <w:pPr>
        <w:jc w:val="center"/>
        <w:spacing w:line="360" w:lineRule="auto"/>
        <w:rPr>
          <w:b/>
          <w:bCs/>
          <w:sz w:val="36"/>
          <w:szCs w:val="36"/>
          <w:highlight w:val="none"/>
        </w:rPr>
        <w:outlineLvl w:val="0"/>
      </w:pPr>
      <w:r>
        <w:rPr>
          <w:b/>
          <w:bCs/>
          <w:sz w:val="36"/>
          <w:szCs w:val="36"/>
          <w:highlight w:val="none"/>
        </w:rPr>
      </w:r>
      <w:r/>
    </w:p>
    <w:p>
      <w:pPr>
        <w:jc w:val="center"/>
        <w:spacing w:line="360" w:lineRule="auto"/>
        <w:rPr>
          <w:b/>
          <w:bCs/>
          <w:sz w:val="36"/>
          <w:szCs w:val="36"/>
          <w:highlight w:val="none"/>
        </w:rPr>
        <w:outlineLvl w:val="0"/>
      </w:pPr>
      <w:r>
        <w:rPr>
          <w:b/>
          <w:bCs/>
          <w:sz w:val="36"/>
          <w:szCs w:val="36"/>
          <w:highlight w:val="none"/>
        </w:rPr>
      </w:r>
      <w:r/>
    </w:p>
    <w:p>
      <w:pPr>
        <w:jc w:val="center"/>
        <w:spacing w:line="360" w:lineRule="auto"/>
        <w:rPr>
          <w:b/>
          <w:bCs/>
          <w:sz w:val="36"/>
          <w:szCs w:val="36"/>
          <w:highlight w:val="none"/>
        </w:rPr>
        <w:outlineLvl w:val="0"/>
      </w:pPr>
      <w:r>
        <w:rPr>
          <w:b/>
          <w:bCs/>
          <w:sz w:val="36"/>
          <w:szCs w:val="36"/>
          <w:highlight w:val="none"/>
        </w:rPr>
      </w:r>
      <w:r/>
    </w:p>
    <w:p>
      <w:pPr>
        <w:jc w:val="center"/>
        <w:spacing w:line="360" w:lineRule="auto"/>
        <w:rPr>
          <w:b/>
          <w:bCs/>
          <w:sz w:val="36"/>
          <w:szCs w:val="36"/>
          <w:highlight w:val="none"/>
        </w:rPr>
        <w:outlineLvl w:val="0"/>
      </w:pPr>
      <w:r>
        <w:rPr>
          <w:b/>
          <w:bCs/>
          <w:sz w:val="36"/>
          <w:szCs w:val="36"/>
          <w:highlight w:val="none"/>
        </w:rPr>
      </w:r>
      <w:r/>
    </w:p>
    <w:p>
      <w:pPr>
        <w:jc w:val="center"/>
        <w:spacing w:line="360" w:lineRule="auto"/>
        <w:rPr>
          <w:b/>
          <w:bCs/>
          <w:sz w:val="36"/>
          <w:szCs w:val="36"/>
          <w:highlight w:val="none"/>
        </w:rPr>
        <w:outlineLvl w:val="0"/>
      </w:pPr>
      <w:r>
        <w:rPr>
          <w:b/>
          <w:bCs/>
          <w:sz w:val="36"/>
          <w:szCs w:val="36"/>
          <w:highlight w:val="none"/>
        </w:rPr>
      </w:r>
      <w:r/>
    </w:p>
    <w:p>
      <w:pPr>
        <w:jc w:val="center"/>
        <w:spacing w:line="360" w:lineRule="auto"/>
        <w:rPr>
          <w:b/>
          <w:bCs/>
          <w:sz w:val="36"/>
          <w:szCs w:val="36"/>
          <w:highlight w:val="none"/>
        </w:rPr>
        <w:outlineLvl w:val="0"/>
      </w:pPr>
      <w:r>
        <w:rPr>
          <w:b/>
          <w:bCs/>
          <w:sz w:val="36"/>
          <w:szCs w:val="36"/>
          <w:highlight w:val="none"/>
        </w:rPr>
      </w:r>
      <w:r/>
    </w:p>
    <w:p>
      <w:pPr>
        <w:spacing w:line="360" w:lineRule="auto"/>
        <w:rPr>
          <w:rFonts w:hint="eastAsia"/>
          <w:b/>
          <w:bCs/>
          <w:sz w:val="36"/>
          <w:szCs w:val="36"/>
          <w:highlight w:val="none"/>
        </w:rPr>
        <w:outlineLvl w:val="0"/>
      </w:pPr>
      <w:r>
        <w:rPr>
          <w:rFonts w:hint="eastAsia"/>
          <w:b/>
          <w:bCs/>
          <w:sz w:val="36"/>
          <w:szCs w:val="36"/>
          <w:highlight w:val="none"/>
        </w:rPr>
      </w:r>
      <w:r/>
    </w:p>
    <w:p>
      <w:pPr>
        <w:jc w:val="center"/>
        <w:spacing w:line="360" w:lineRule="auto"/>
        <w:rPr>
          <w:b/>
          <w:sz w:val="36"/>
          <w:szCs w:val="36"/>
          <w:highlight w:val="none"/>
        </w:rPr>
        <w:outlineLvl w:val="0"/>
      </w:pPr>
      <w:r>
        <w:rPr>
          <w:b/>
          <w:sz w:val="36"/>
          <w:szCs w:val="36"/>
          <w:highlight w:val="none"/>
        </w:rPr>
        <w:t xml:space="preserve"> </w:t>
      </w:r>
      <w:bookmarkStart w:id="685" w:name="_Toc99301425"/>
      <w:r/>
      <w:r/>
    </w:p>
    <w:p>
      <w:pPr>
        <w:rPr>
          <w:b/>
          <w:sz w:val="36"/>
          <w:szCs w:val="36"/>
          <w:highlight w:val="none"/>
        </w:rPr>
      </w:pPr>
      <w:r>
        <w:rPr>
          <w:b/>
          <w:sz w:val="36"/>
          <w:szCs w:val="36"/>
          <w:highlight w:val="none"/>
        </w:rPr>
        <w:br w:type="page" w:clear="all"/>
      </w:r>
      <w:r/>
    </w:p>
    <w:p>
      <w:pPr>
        <w:jc w:val="center"/>
        <w:spacing w:line="360" w:lineRule="auto"/>
        <w:rPr>
          <w:b/>
          <w:bCs/>
          <w:sz w:val="36"/>
          <w:szCs w:val="36"/>
          <w:highlight w:val="none"/>
        </w:rPr>
        <w:outlineLvl w:val="0"/>
      </w:pPr>
      <w:r>
        <w:rPr>
          <w:b/>
          <w:sz w:val="36"/>
          <w:szCs w:val="36"/>
          <w:highlight w:val="none"/>
        </w:rPr>
        <w:t xml:space="preserve">第六章   拟签订的合同文本</w:t>
      </w:r>
      <w:bookmarkEnd w:id="685"/>
      <w:r/>
      <w:r/>
    </w:p>
    <w:p>
      <w:pPr>
        <w:jc w:val="center"/>
        <w:spacing w:line="360" w:lineRule="auto"/>
        <w:rPr>
          <w:b/>
          <w:sz w:val="36"/>
          <w:szCs w:val="36"/>
          <w:highlight w:val="none"/>
        </w:rPr>
        <w:outlineLvl w:val="0"/>
      </w:pPr>
      <w:r>
        <w:rPr>
          <w:b/>
          <w:sz w:val="36"/>
          <w:szCs w:val="36"/>
          <w:highlight w:val="none"/>
        </w:rPr>
      </w:r>
      <w:r/>
    </w:p>
    <w:p>
      <w:pPr>
        <w:jc w:val="center"/>
        <w:spacing w:line="360" w:lineRule="auto"/>
        <w:rPr>
          <w:rFonts w:hint="default" w:eastAsia="宋体"/>
          <w:b/>
          <w:sz w:val="36"/>
          <w:szCs w:val="36"/>
          <w:highlight w:val="none"/>
          <w:lang w:val="en-US" w:eastAsia="zh-CN"/>
        </w:rPr>
        <w:outlineLvl w:val="0"/>
      </w:pPr>
      <w:r>
        <w:rPr>
          <w:rFonts w:hint="eastAsia"/>
          <w:b/>
          <w:sz w:val="36"/>
          <w:szCs w:val="36"/>
          <w:highlight w:val="none"/>
          <w:lang w:val="en-US" w:eastAsia="zh-CN"/>
        </w:rPr>
        <w:t xml:space="preserve">01-13标段</w:t>
      </w:r>
      <w:r/>
    </w:p>
    <w:p>
      <w:pPr>
        <w:jc w:val="center"/>
        <w:spacing w:line="360" w:lineRule="auto"/>
        <w:rPr>
          <w:b/>
          <w:sz w:val="36"/>
          <w:szCs w:val="36"/>
          <w:highlight w:val="none"/>
        </w:rPr>
        <w:outlineLvl w:val="0"/>
      </w:pPr>
      <w:r>
        <w:rPr>
          <w:rFonts w:hint="eastAsia"/>
          <w:b/>
          <w:sz w:val="36"/>
          <w:szCs w:val="36"/>
          <w:highlight w:val="none"/>
        </w:rPr>
        <w:t xml:space="preserve">政府采购合同</w:t>
      </w:r>
      <w:r/>
    </w:p>
    <w:p>
      <w:pPr>
        <w:jc w:val="center"/>
        <w:spacing w:line="360" w:lineRule="auto"/>
        <w:rPr>
          <w:sz w:val="18"/>
          <w:szCs w:val="18"/>
          <w:highlight w:val="none"/>
        </w:rPr>
        <w:outlineLvl w:val="0"/>
      </w:pPr>
      <w:r>
        <w:rPr>
          <w:rFonts w:hint="eastAsia"/>
          <w:b/>
          <w:sz w:val="36"/>
          <w:szCs w:val="36"/>
          <w:highlight w:val="none"/>
        </w:rPr>
        <w:t xml:space="preserve">（服务类）</w:t>
      </w:r>
      <w:r/>
    </w:p>
    <w:p>
      <w:pPr>
        <w:spacing w:line="360" w:lineRule="auto"/>
        <w:tabs>
          <w:tab w:val="left" w:pos="900" w:leader="none"/>
          <w:tab w:val="left" w:pos="1080" w:leader="none"/>
        </w:tabs>
        <w:rPr>
          <w:sz w:val="18"/>
          <w:szCs w:val="18"/>
          <w:highlight w:val="none"/>
        </w:rPr>
      </w:pPr>
      <w:r>
        <w:rPr>
          <w:sz w:val="18"/>
          <w:szCs w:val="18"/>
          <w:highlight w:val="none"/>
        </w:rPr>
      </w:r>
      <w:r/>
    </w:p>
    <w:p>
      <w:pPr>
        <w:spacing w:line="360" w:lineRule="auto"/>
        <w:tabs>
          <w:tab w:val="left" w:pos="900" w:leader="none"/>
          <w:tab w:val="left" w:pos="1080" w:leader="none"/>
        </w:tabs>
        <w:rPr>
          <w:sz w:val="18"/>
          <w:szCs w:val="18"/>
          <w:highlight w:val="none"/>
        </w:rPr>
      </w:pPr>
      <w:r>
        <w:rPr>
          <w:sz w:val="18"/>
          <w:szCs w:val="18"/>
          <w:highlight w:val="none"/>
        </w:rPr>
      </w:r>
      <w:r/>
    </w:p>
    <w:p>
      <w:pPr>
        <w:spacing w:line="360" w:lineRule="auto"/>
        <w:tabs>
          <w:tab w:val="left" w:pos="900" w:leader="none"/>
          <w:tab w:val="left" w:pos="1080" w:leader="none"/>
        </w:tabs>
        <w:rPr>
          <w:sz w:val="18"/>
          <w:szCs w:val="18"/>
          <w:highlight w:val="none"/>
        </w:rPr>
      </w:pPr>
      <w:r>
        <w:rPr>
          <w:sz w:val="18"/>
          <w:szCs w:val="18"/>
          <w:highlight w:val="none"/>
        </w:rPr>
      </w:r>
      <w:r/>
    </w:p>
    <w:p>
      <w:pPr>
        <w:spacing w:line="360" w:lineRule="auto"/>
        <w:tabs>
          <w:tab w:val="left" w:pos="900" w:leader="none"/>
          <w:tab w:val="left" w:pos="1080" w:leader="none"/>
        </w:tabs>
        <w:rPr>
          <w:sz w:val="18"/>
          <w:szCs w:val="18"/>
          <w:highlight w:val="none"/>
        </w:rPr>
      </w:pPr>
      <w:r>
        <w:rPr>
          <w:sz w:val="18"/>
          <w:szCs w:val="18"/>
          <w:highlight w:val="none"/>
        </w:rPr>
      </w:r>
      <w:r/>
    </w:p>
    <w:p>
      <w:pPr>
        <w:spacing w:line="360" w:lineRule="auto"/>
        <w:tabs>
          <w:tab w:val="left" w:pos="900" w:leader="none"/>
          <w:tab w:val="left" w:pos="1080" w:leader="none"/>
        </w:tabs>
        <w:rPr>
          <w:sz w:val="18"/>
          <w:szCs w:val="18"/>
          <w:highlight w:val="none"/>
        </w:rPr>
      </w:pPr>
      <w:r>
        <w:rPr>
          <w:sz w:val="18"/>
          <w:szCs w:val="18"/>
          <w:highlight w:val="none"/>
        </w:rPr>
      </w:r>
      <w:r/>
    </w:p>
    <w:p>
      <w:pPr>
        <w:spacing w:line="360" w:lineRule="auto"/>
        <w:tabs>
          <w:tab w:val="left" w:pos="900" w:leader="none"/>
          <w:tab w:val="left" w:pos="1080" w:leader="none"/>
        </w:tabs>
        <w:rPr>
          <w:sz w:val="18"/>
          <w:szCs w:val="18"/>
          <w:highlight w:val="none"/>
        </w:rPr>
      </w:pPr>
      <w:r>
        <w:rPr>
          <w:sz w:val="18"/>
          <w:szCs w:val="18"/>
          <w:highlight w:val="none"/>
        </w:rPr>
      </w:r>
      <w:r/>
    </w:p>
    <w:p>
      <w:pPr>
        <w:jc w:val="center"/>
        <w:spacing w:line="360" w:lineRule="auto"/>
        <w:rPr>
          <w:b/>
          <w:sz w:val="36"/>
          <w:szCs w:val="36"/>
          <w:highlight w:val="none"/>
        </w:rPr>
        <w:outlineLvl w:val="0"/>
      </w:pPr>
      <w:r>
        <w:rPr>
          <w:rFonts w:hint="eastAsia"/>
          <w:b/>
          <w:sz w:val="36"/>
          <w:szCs w:val="36"/>
          <w:highlight w:val="none"/>
        </w:rPr>
        <w:t xml:space="preserve">第一部分 合同书</w:t>
      </w:r>
      <w:r/>
    </w:p>
    <w:p>
      <w:pPr>
        <w:spacing w:line="360" w:lineRule="auto"/>
        <w:tabs>
          <w:tab w:val="left" w:pos="900" w:leader="none"/>
          <w:tab w:val="left" w:pos="1080" w:leader="none"/>
        </w:tabs>
        <w:rPr>
          <w:sz w:val="18"/>
          <w:szCs w:val="18"/>
          <w:highlight w:val="none"/>
        </w:rPr>
      </w:pPr>
      <w:r>
        <w:rPr>
          <w:sz w:val="18"/>
          <w:szCs w:val="18"/>
          <w:highlight w:val="none"/>
        </w:rPr>
      </w:r>
      <w:r/>
    </w:p>
    <w:p>
      <w:pPr>
        <w:spacing w:line="360" w:lineRule="auto"/>
        <w:tabs>
          <w:tab w:val="left" w:pos="900" w:leader="none"/>
          <w:tab w:val="left" w:pos="1080" w:leader="none"/>
        </w:tabs>
        <w:rPr>
          <w:sz w:val="18"/>
          <w:szCs w:val="18"/>
          <w:highlight w:val="none"/>
        </w:rPr>
      </w:pPr>
      <w:r>
        <w:rPr>
          <w:sz w:val="18"/>
          <w:szCs w:val="18"/>
          <w:highlight w:val="none"/>
        </w:rPr>
      </w:r>
      <w:r/>
    </w:p>
    <w:p>
      <w:pPr>
        <w:spacing w:line="360" w:lineRule="auto"/>
        <w:tabs>
          <w:tab w:val="left" w:pos="900" w:leader="none"/>
          <w:tab w:val="left" w:pos="1080" w:leader="none"/>
        </w:tabs>
        <w:rPr>
          <w:sz w:val="18"/>
          <w:szCs w:val="18"/>
          <w:highlight w:val="none"/>
        </w:rPr>
      </w:pPr>
      <w:r>
        <w:rPr>
          <w:sz w:val="18"/>
          <w:szCs w:val="18"/>
          <w:highlight w:val="none"/>
        </w:rPr>
      </w:r>
      <w:r/>
    </w:p>
    <w:p>
      <w:pPr>
        <w:spacing w:line="360" w:lineRule="auto"/>
        <w:tabs>
          <w:tab w:val="left" w:pos="900" w:leader="none"/>
          <w:tab w:val="left" w:pos="1080" w:leader="none"/>
        </w:tabs>
        <w:rPr>
          <w:sz w:val="18"/>
          <w:szCs w:val="18"/>
          <w:highlight w:val="none"/>
        </w:rPr>
      </w:pPr>
      <w:r>
        <w:rPr>
          <w:sz w:val="18"/>
          <w:szCs w:val="18"/>
          <w:highlight w:val="none"/>
        </w:rPr>
      </w:r>
      <w:r/>
    </w:p>
    <w:p>
      <w:pPr>
        <w:spacing w:line="360" w:lineRule="auto"/>
        <w:tabs>
          <w:tab w:val="left" w:pos="900" w:leader="none"/>
          <w:tab w:val="left" w:pos="1080" w:leader="none"/>
        </w:tabs>
        <w:rPr>
          <w:sz w:val="18"/>
          <w:szCs w:val="18"/>
          <w:highlight w:val="none"/>
        </w:rPr>
      </w:pPr>
      <w:r>
        <w:rPr>
          <w:sz w:val="18"/>
          <w:szCs w:val="18"/>
          <w:highlight w:val="none"/>
        </w:rPr>
      </w:r>
      <w:r/>
    </w:p>
    <w:p>
      <w:pPr>
        <w:spacing w:line="360" w:lineRule="auto"/>
        <w:tabs>
          <w:tab w:val="left" w:pos="900" w:leader="none"/>
          <w:tab w:val="left" w:pos="1080" w:leader="none"/>
        </w:tabs>
        <w:rPr>
          <w:sz w:val="18"/>
          <w:szCs w:val="18"/>
          <w:highlight w:val="none"/>
        </w:rPr>
      </w:pPr>
      <w:r>
        <w:rPr>
          <w:sz w:val="18"/>
          <w:szCs w:val="18"/>
          <w:highlight w:val="none"/>
        </w:rPr>
      </w:r>
      <w:r/>
    </w:p>
    <w:p>
      <w:pPr>
        <w:spacing w:line="360" w:lineRule="auto"/>
        <w:tabs>
          <w:tab w:val="left" w:pos="900" w:leader="none"/>
          <w:tab w:val="left" w:pos="1080" w:leader="none"/>
        </w:tabs>
        <w:rPr>
          <w:sz w:val="18"/>
          <w:szCs w:val="18"/>
          <w:highlight w:val="none"/>
        </w:rPr>
      </w:pPr>
      <w:r>
        <w:rPr>
          <w:sz w:val="18"/>
          <w:szCs w:val="18"/>
          <w:highlight w:val="none"/>
        </w:rPr>
      </w:r>
      <w:r/>
    </w:p>
    <w:p>
      <w:pPr>
        <w:spacing w:line="360" w:lineRule="auto"/>
        <w:tabs>
          <w:tab w:val="left" w:pos="900" w:leader="none"/>
          <w:tab w:val="left" w:pos="1080" w:leader="none"/>
        </w:tabs>
        <w:rPr>
          <w:sz w:val="18"/>
          <w:szCs w:val="18"/>
          <w:highlight w:val="none"/>
        </w:rPr>
      </w:pPr>
      <w:r>
        <w:rPr>
          <w:sz w:val="18"/>
          <w:szCs w:val="18"/>
          <w:highlight w:val="none"/>
        </w:rPr>
      </w:r>
      <w:r/>
    </w:p>
    <w:p>
      <w:pPr>
        <w:spacing w:line="360" w:lineRule="auto"/>
        <w:tabs>
          <w:tab w:val="left" w:pos="900" w:leader="none"/>
          <w:tab w:val="left" w:pos="1080" w:leader="none"/>
        </w:tabs>
        <w:rPr>
          <w:sz w:val="18"/>
          <w:szCs w:val="18"/>
          <w:highlight w:val="none"/>
        </w:rPr>
      </w:pPr>
      <w:r>
        <w:rPr>
          <w:sz w:val="18"/>
          <w:szCs w:val="18"/>
          <w:highlight w:val="none"/>
        </w:rPr>
      </w:r>
      <w:r/>
    </w:p>
    <w:p>
      <w:pPr>
        <w:spacing w:line="360" w:lineRule="auto"/>
        <w:tabs>
          <w:tab w:val="left" w:pos="900" w:leader="none"/>
          <w:tab w:val="left" w:pos="1080" w:leader="none"/>
        </w:tabs>
        <w:rPr>
          <w:sz w:val="24"/>
          <w:highlight w:val="none"/>
        </w:rPr>
      </w:pPr>
      <w:r>
        <w:rPr>
          <w:rFonts w:hint="eastAsia"/>
          <w:sz w:val="24"/>
          <w:highlight w:val="none"/>
        </w:rPr>
        <w:t xml:space="preserve">项目名称：</w:t>
      </w:r>
      <w:r>
        <w:rPr>
          <w:rFonts w:hint="eastAsia"/>
          <w:sz w:val="24"/>
          <w:highlight w:val="none"/>
          <w:lang w:eastAsia="zh-CN"/>
        </w:rPr>
        <w:t xml:space="preserve">2026年园区绿化养护项目</w:t>
      </w:r>
      <w:r/>
    </w:p>
    <w:p>
      <w:pPr>
        <w:spacing w:line="360" w:lineRule="auto"/>
        <w:tabs>
          <w:tab w:val="left" w:pos="900" w:leader="none"/>
          <w:tab w:val="left" w:pos="1080" w:leader="none"/>
        </w:tabs>
        <w:rPr>
          <w:sz w:val="24"/>
          <w:highlight w:val="none"/>
        </w:rPr>
      </w:pPr>
      <w:r>
        <w:rPr>
          <w:sz w:val="24"/>
          <w:highlight w:val="none"/>
        </w:rPr>
      </w:r>
      <w:r/>
    </w:p>
    <w:p>
      <w:pPr>
        <w:spacing w:line="360" w:lineRule="auto"/>
        <w:tabs>
          <w:tab w:val="left" w:pos="900" w:leader="none"/>
          <w:tab w:val="left" w:pos="1080" w:leader="none"/>
        </w:tabs>
        <w:rPr>
          <w:sz w:val="24"/>
          <w:highlight w:val="none"/>
        </w:rPr>
      </w:pPr>
      <w:r>
        <w:rPr>
          <w:rFonts w:hint="eastAsia"/>
          <w:sz w:val="24"/>
          <w:highlight w:val="none"/>
        </w:rPr>
        <w:t xml:space="preserve">甲方：江苏省溧阳高新技术产业开发区国有资产管理中心</w:t>
      </w:r>
      <w:r/>
    </w:p>
    <w:p>
      <w:pPr>
        <w:spacing w:line="360" w:lineRule="auto"/>
        <w:tabs>
          <w:tab w:val="left" w:pos="900" w:leader="none"/>
          <w:tab w:val="left" w:pos="1080" w:leader="none"/>
        </w:tabs>
        <w:rPr>
          <w:sz w:val="24"/>
          <w:highlight w:val="none"/>
        </w:rPr>
      </w:pPr>
      <w:r>
        <w:rPr>
          <w:sz w:val="24"/>
          <w:highlight w:val="none"/>
        </w:rPr>
      </w:r>
      <w:r/>
    </w:p>
    <w:p>
      <w:pPr>
        <w:spacing w:line="360" w:lineRule="auto"/>
        <w:tabs>
          <w:tab w:val="left" w:pos="900" w:leader="none"/>
          <w:tab w:val="left" w:pos="1080" w:leader="none"/>
        </w:tabs>
        <w:rPr>
          <w:sz w:val="24"/>
          <w:highlight w:val="none"/>
        </w:rPr>
      </w:pPr>
      <w:r>
        <w:rPr>
          <w:rFonts w:hint="eastAsia"/>
          <w:sz w:val="24"/>
          <w:highlight w:val="none"/>
        </w:rPr>
        <w:t xml:space="preserve">乙方：                                         </w:t>
      </w:r>
      <w:r/>
    </w:p>
    <w:p>
      <w:pPr>
        <w:spacing w:line="360" w:lineRule="auto"/>
        <w:tabs>
          <w:tab w:val="left" w:pos="900" w:leader="none"/>
          <w:tab w:val="left" w:pos="1080" w:leader="none"/>
        </w:tabs>
        <w:rPr>
          <w:sz w:val="24"/>
          <w:highlight w:val="none"/>
        </w:rPr>
      </w:pPr>
      <w:r>
        <w:rPr>
          <w:sz w:val="24"/>
          <w:highlight w:val="none"/>
        </w:rPr>
      </w:r>
      <w:r/>
    </w:p>
    <w:p>
      <w:pPr>
        <w:spacing w:line="360" w:lineRule="auto"/>
        <w:tabs>
          <w:tab w:val="left" w:pos="900" w:leader="none"/>
          <w:tab w:val="left" w:pos="1080" w:leader="none"/>
        </w:tabs>
        <w:rPr>
          <w:sz w:val="24"/>
          <w:highlight w:val="none"/>
        </w:rPr>
      </w:pPr>
      <w:r>
        <w:rPr>
          <w:rFonts w:hint="eastAsia"/>
          <w:sz w:val="24"/>
          <w:highlight w:val="none"/>
        </w:rPr>
        <w:t xml:space="preserve">签订地：溧阳市</w:t>
      </w:r>
      <w:r/>
    </w:p>
    <w:p>
      <w:pPr>
        <w:spacing w:line="360" w:lineRule="auto"/>
        <w:tabs>
          <w:tab w:val="left" w:pos="900" w:leader="none"/>
          <w:tab w:val="left" w:pos="1080" w:leader="none"/>
        </w:tabs>
        <w:rPr>
          <w:sz w:val="24"/>
          <w:highlight w:val="none"/>
        </w:rPr>
      </w:pPr>
      <w:r>
        <w:rPr>
          <w:sz w:val="24"/>
          <w:highlight w:val="none"/>
        </w:rPr>
      </w:r>
      <w:r/>
    </w:p>
    <w:p>
      <w:pPr>
        <w:spacing w:line="360" w:lineRule="auto"/>
        <w:tabs>
          <w:tab w:val="left" w:pos="900" w:leader="none"/>
          <w:tab w:val="left" w:pos="1080" w:leader="none"/>
        </w:tabs>
        <w:rPr>
          <w:sz w:val="18"/>
          <w:szCs w:val="18"/>
          <w:highlight w:val="none"/>
        </w:rPr>
      </w:pPr>
      <w:r>
        <w:rPr>
          <w:rFonts w:hint="eastAsia"/>
          <w:sz w:val="24"/>
          <w:highlight w:val="none"/>
        </w:rPr>
        <w:t xml:space="preserve">签订日期：202</w:t>
      </w:r>
      <w:r>
        <w:rPr>
          <w:rFonts w:hint="eastAsia"/>
          <w:sz w:val="24"/>
          <w:highlight w:val="none"/>
          <w:lang w:val="en-US" w:eastAsia="zh-CN"/>
        </w:rPr>
        <w:t xml:space="preserve">6</w:t>
      </w:r>
      <w:bookmarkStart w:id="779" w:name="_GoBack"/>
      <w:r/>
      <w:bookmarkEnd w:id="779"/>
      <w:r>
        <w:rPr>
          <w:rFonts w:hint="eastAsia"/>
          <w:sz w:val="24"/>
          <w:highlight w:val="none"/>
        </w:rPr>
        <w:t xml:space="preserve"> 年        月        日</w:t>
      </w:r>
      <w:r/>
    </w:p>
    <w:p>
      <w:pPr>
        <w:jc w:val="center"/>
        <w:spacing w:line="360" w:lineRule="auto"/>
        <w:rPr>
          <w:b/>
          <w:sz w:val="36"/>
          <w:szCs w:val="36"/>
          <w:highlight w:val="none"/>
        </w:rPr>
        <w:outlineLvl w:val="0"/>
      </w:pPr>
      <w:r/>
      <w:bookmarkStart w:id="686" w:name="_Toc99301426"/>
      <w:r/>
      <w:r/>
    </w:p>
    <w:p>
      <w:pPr>
        <w:jc w:val="center"/>
        <w:spacing w:line="360" w:lineRule="auto"/>
        <w:rPr>
          <w:b/>
          <w:sz w:val="36"/>
          <w:szCs w:val="36"/>
          <w:highlight w:val="none"/>
        </w:rPr>
        <w:outlineLvl w:val="0"/>
      </w:pPr>
      <w:r>
        <w:rPr>
          <w:b/>
          <w:sz w:val="36"/>
          <w:szCs w:val="36"/>
          <w:highlight w:val="none"/>
        </w:rPr>
      </w:r>
      <w:r/>
    </w:p>
    <w:p>
      <w:pPr>
        <w:ind w:firstLine="480"/>
        <w:spacing w:line="360" w:lineRule="auto"/>
        <w:rPr>
          <w:bCs/>
          <w:sz w:val="24"/>
          <w:highlight w:val="none"/>
        </w:rPr>
        <w:outlineLvl w:val="0"/>
      </w:pPr>
      <w:r>
        <w:rPr>
          <w:rFonts w:hint="eastAsia"/>
          <w:bCs/>
          <w:sz w:val="24"/>
          <w:highlight w:val="none"/>
        </w:rPr>
        <w:t xml:space="preserve">根据</w:t>
      </w:r>
      <w:r>
        <w:rPr>
          <w:rFonts w:hint="eastAsia"/>
          <w:bCs/>
          <w:sz w:val="24"/>
          <w:highlight w:val="none"/>
          <w:lang w:eastAsia="zh-CN"/>
        </w:rPr>
        <w:t xml:space="preserve">2026年园区绿化养护项目</w:t>
      </w:r>
      <w:r>
        <w:rPr>
          <w:rFonts w:hint="eastAsia"/>
          <w:bCs/>
          <w:sz w:val="24"/>
          <w:highlight w:val="none"/>
          <w:lang w:val="en-US" w:eastAsia="zh-CN"/>
        </w:rPr>
        <w:t xml:space="preserve">招标</w:t>
      </w:r>
      <w:r>
        <w:rPr>
          <w:rFonts w:hint="eastAsia"/>
          <w:bCs/>
          <w:sz w:val="24"/>
          <w:highlight w:val="none"/>
        </w:rPr>
        <w:t xml:space="preserve">文件、谈判结果和中标通知书，甲方和乙方就 </w:t>
      </w:r>
      <w:r>
        <w:rPr>
          <w:rFonts w:hint="eastAsia"/>
          <w:bCs/>
          <w:sz w:val="24"/>
          <w:highlight w:val="none"/>
          <w:lang w:eastAsia="zh-CN"/>
        </w:rPr>
        <w:t xml:space="preserve">2026年园区绿化养护项目</w:t>
      </w:r>
      <w:r>
        <w:rPr>
          <w:rFonts w:hint="eastAsia"/>
          <w:bCs/>
          <w:sz w:val="24"/>
          <w:highlight w:val="none"/>
        </w:rPr>
        <w:t xml:space="preserve">的采购事宜，签订本协议。</w:t>
      </w:r>
      <w:r/>
    </w:p>
    <w:p>
      <w:pPr>
        <w:ind w:firstLine="480"/>
        <w:spacing w:line="360" w:lineRule="auto"/>
        <w:rPr>
          <w:bCs/>
          <w:sz w:val="24"/>
          <w:highlight w:val="none"/>
        </w:rPr>
        <w:outlineLvl w:val="0"/>
      </w:pPr>
      <w:r>
        <w:rPr>
          <w:rFonts w:hint="eastAsia"/>
          <w:bCs/>
          <w:sz w:val="24"/>
          <w:highlight w:val="none"/>
        </w:rPr>
        <w:t xml:space="preserve">一、项目概况及合同金额</w:t>
      </w:r>
      <w:r/>
    </w:p>
    <w:p>
      <w:pPr>
        <w:ind w:firstLine="480"/>
        <w:spacing w:line="360" w:lineRule="auto"/>
        <w:rPr>
          <w:bCs/>
          <w:sz w:val="24"/>
          <w:highlight w:val="none"/>
        </w:rPr>
        <w:outlineLvl w:val="0"/>
      </w:pPr>
      <w:r>
        <w:rPr>
          <w:rFonts w:hint="eastAsia"/>
          <w:bCs/>
          <w:sz w:val="24"/>
          <w:highlight w:val="none"/>
        </w:rPr>
        <w:t xml:space="preserve">1. 项目编号：                                   </w:t>
      </w:r>
      <w:r/>
    </w:p>
    <w:p>
      <w:pPr>
        <w:ind w:firstLine="480"/>
        <w:spacing w:line="360" w:lineRule="auto"/>
        <w:rPr>
          <w:bCs/>
          <w:sz w:val="24"/>
          <w:highlight w:val="none"/>
        </w:rPr>
        <w:outlineLvl w:val="0"/>
      </w:pPr>
      <w:r>
        <w:rPr>
          <w:rFonts w:hint="eastAsia"/>
          <w:bCs/>
          <w:sz w:val="24"/>
          <w:highlight w:val="none"/>
        </w:rPr>
        <w:t xml:space="preserve">2. 项目名称：                                    </w:t>
      </w:r>
      <w:r/>
    </w:p>
    <w:p>
      <w:pPr>
        <w:ind w:firstLine="480"/>
        <w:spacing w:line="360" w:lineRule="auto"/>
        <w:rPr>
          <w:bCs/>
          <w:sz w:val="24"/>
          <w:highlight w:val="none"/>
        </w:rPr>
        <w:outlineLvl w:val="0"/>
      </w:pPr>
      <w:r>
        <w:rPr>
          <w:rFonts w:hint="eastAsia"/>
          <w:bCs/>
          <w:sz w:val="24"/>
          <w:highlight w:val="none"/>
        </w:rPr>
        <w:t xml:space="preserve">3. 养护范围及内容：详见</w:t>
      </w:r>
      <w:r>
        <w:rPr>
          <w:rFonts w:hint="eastAsia"/>
          <w:bCs/>
          <w:sz w:val="24"/>
          <w:highlight w:val="none"/>
          <w:lang w:val="en-US" w:eastAsia="zh-CN"/>
        </w:rPr>
        <w:t xml:space="preserve">招标</w:t>
      </w:r>
      <w:r>
        <w:rPr>
          <w:rFonts w:hint="eastAsia"/>
          <w:bCs/>
          <w:sz w:val="24"/>
          <w:highlight w:val="none"/>
        </w:rPr>
        <w:t xml:space="preserve">文件</w:t>
      </w:r>
      <w:r/>
    </w:p>
    <w:p>
      <w:pPr>
        <w:ind w:firstLine="480"/>
        <w:spacing w:line="360" w:lineRule="auto"/>
        <w:rPr>
          <w:bCs/>
          <w:sz w:val="24"/>
          <w:highlight w:val="none"/>
        </w:rPr>
        <w:outlineLvl w:val="0"/>
      </w:pPr>
      <w:r>
        <w:rPr>
          <w:rFonts w:hint="eastAsia"/>
          <w:bCs/>
          <w:sz w:val="24"/>
          <w:highlight w:val="none"/>
        </w:rPr>
        <w:t xml:space="preserve">4. 合同金额：人民币</w:t>
      </w:r>
      <w:r>
        <w:rPr>
          <w:rFonts w:hint="eastAsia"/>
          <w:bCs/>
          <w:sz w:val="24"/>
          <w:highlight w:val="none"/>
          <w:u w:val="single"/>
        </w:rPr>
        <w:t xml:space="preserve">   </w:t>
      </w:r>
      <w:r>
        <w:rPr>
          <w:rFonts w:hint="eastAsia"/>
          <w:bCs/>
          <w:sz w:val="24"/>
          <w:highlight w:val="none"/>
        </w:rPr>
        <w:t xml:space="preserve">万元/年(大写：</w:t>
      </w:r>
      <w:r>
        <w:rPr>
          <w:rFonts w:hint="eastAsia"/>
          <w:bCs/>
          <w:sz w:val="24"/>
          <w:highlight w:val="none"/>
          <w:u w:val="single"/>
        </w:rPr>
        <w:t xml:space="preserve">   </w:t>
      </w:r>
      <w:r>
        <w:rPr>
          <w:rFonts w:hint="eastAsia"/>
          <w:bCs/>
          <w:sz w:val="24"/>
          <w:highlight w:val="none"/>
        </w:rPr>
        <w:t xml:space="preserve">元整/年 )</w:t>
      </w:r>
      <w:r/>
    </w:p>
    <w:p>
      <w:pPr>
        <w:ind w:firstLine="480"/>
        <w:spacing w:line="360" w:lineRule="auto"/>
        <w:rPr>
          <w:bCs/>
          <w:sz w:val="24"/>
          <w:highlight w:val="none"/>
        </w:rPr>
        <w:outlineLvl w:val="0"/>
      </w:pPr>
      <w:r>
        <w:rPr>
          <w:rFonts w:hint="eastAsia"/>
          <w:bCs/>
          <w:sz w:val="24"/>
          <w:highlight w:val="none"/>
        </w:rPr>
        <w:t xml:space="preserve">二、试用养护期</w:t>
      </w:r>
      <w:r/>
    </w:p>
    <w:p>
      <w:pPr>
        <w:ind w:firstLine="480"/>
        <w:spacing w:line="360" w:lineRule="auto"/>
        <w:rPr>
          <w:bCs/>
          <w:sz w:val="24"/>
          <w:highlight w:val="none"/>
        </w:rPr>
        <w:outlineLvl w:val="0"/>
      </w:pPr>
      <w:r>
        <w:rPr>
          <w:rFonts w:hint="eastAsia"/>
          <w:bCs/>
          <w:sz w:val="24"/>
          <w:highlight w:val="none"/>
        </w:rPr>
        <w:t xml:space="preserve">养护合同期限：自合同签订之日起至 202</w:t>
      </w:r>
      <w:r>
        <w:rPr>
          <w:rFonts w:hint="eastAsia"/>
          <w:bCs/>
          <w:sz w:val="24"/>
          <w:highlight w:val="none"/>
          <w:lang w:val="en-US" w:eastAsia="zh-CN"/>
        </w:rPr>
        <w:t xml:space="preserve">6</w:t>
      </w:r>
      <w:r>
        <w:rPr>
          <w:rFonts w:hint="eastAsia"/>
          <w:bCs/>
          <w:sz w:val="24"/>
          <w:highlight w:val="none"/>
        </w:rPr>
        <w:t xml:space="preserve"> 年 12 月 31 日（202</w:t>
      </w:r>
      <w:r>
        <w:rPr>
          <w:rFonts w:hint="eastAsia"/>
          <w:bCs/>
          <w:sz w:val="24"/>
          <w:highlight w:val="none"/>
          <w:lang w:val="en-US" w:eastAsia="zh-CN"/>
        </w:rPr>
        <w:t xml:space="preserve">6</w:t>
      </w:r>
      <w:r>
        <w:rPr>
          <w:rFonts w:hint="eastAsia"/>
          <w:bCs/>
          <w:sz w:val="24"/>
          <w:highlight w:val="none"/>
        </w:rPr>
        <w:t xml:space="preserve"> 年  月  日至 202</w:t>
      </w:r>
      <w:r>
        <w:rPr>
          <w:rFonts w:hint="eastAsia"/>
          <w:bCs/>
          <w:sz w:val="24"/>
          <w:highlight w:val="none"/>
          <w:lang w:val="en-US" w:eastAsia="zh-CN"/>
        </w:rPr>
        <w:t xml:space="preserve">6</w:t>
      </w:r>
      <w:r>
        <w:rPr>
          <w:rFonts w:hint="eastAsia"/>
          <w:bCs/>
          <w:sz w:val="24"/>
          <w:highlight w:val="none"/>
        </w:rPr>
        <w:t xml:space="preserve"> 年 12 月 31 日）。合同签订后第一个月为试用作业服务期，如考核不合格采购人有权终止合同，是否终止养护合同，进入后续养护期由江苏省溧阳高新技术产业开发区国有资产管理中心认定。中标单位不得以设备采购、人员招聘、办公经营场所租赁等任何理由向采购人提出经济补偿要求。</w:t>
      </w:r>
      <w:r/>
    </w:p>
    <w:p>
      <w:pPr>
        <w:ind w:firstLine="480"/>
        <w:spacing w:line="360" w:lineRule="auto"/>
        <w:rPr>
          <w:bCs/>
          <w:sz w:val="24"/>
          <w:highlight w:val="none"/>
        </w:rPr>
        <w:outlineLvl w:val="0"/>
      </w:pPr>
      <w:r>
        <w:rPr>
          <w:rFonts w:hint="eastAsia"/>
          <w:bCs/>
          <w:sz w:val="24"/>
          <w:highlight w:val="none"/>
        </w:rPr>
        <w:t xml:space="preserve">三、付款方式</w:t>
      </w:r>
      <w:r/>
    </w:p>
    <w:p>
      <w:pPr>
        <w:ind w:firstLine="480"/>
        <w:spacing w:line="360" w:lineRule="auto"/>
        <w:rPr>
          <w:bCs/>
          <w:sz w:val="24"/>
          <w:highlight w:val="none"/>
        </w:rPr>
        <w:outlineLvl w:val="0"/>
      </w:pPr>
      <w:r>
        <w:rPr>
          <w:rFonts w:hint="eastAsia"/>
          <w:bCs/>
          <w:sz w:val="24"/>
          <w:highlight w:val="none"/>
          <w:lang w:eastAsia="zh-CN"/>
        </w:rPr>
        <w:t xml:space="preserve">绿化养护费用根据年度考核情况年底一次性付清（本次报价按照12个月的养护时间，最终结算按照实际养护时间。每月养护费用=投标报价总价/12）</w:t>
      </w:r>
      <w:r>
        <w:rPr>
          <w:rFonts w:hint="eastAsia"/>
          <w:bCs/>
          <w:sz w:val="24"/>
          <w:highlight w:val="none"/>
        </w:rPr>
        <w:t xml:space="preserve">。</w:t>
      </w:r>
      <w:r/>
    </w:p>
    <w:p>
      <w:pPr>
        <w:ind w:firstLine="480"/>
        <w:spacing w:line="360" w:lineRule="auto"/>
        <w:rPr>
          <w:bCs/>
          <w:sz w:val="24"/>
          <w:highlight w:val="none"/>
        </w:rPr>
        <w:outlineLvl w:val="0"/>
      </w:pPr>
      <w:r>
        <w:rPr>
          <w:rFonts w:hint="eastAsia"/>
          <w:bCs/>
          <w:sz w:val="24"/>
          <w:highlight w:val="none"/>
        </w:rPr>
        <w:t xml:space="preserve">四、项目负责人</w:t>
      </w:r>
      <w:r/>
    </w:p>
    <w:p>
      <w:pPr>
        <w:ind w:firstLine="480"/>
        <w:spacing w:line="360" w:lineRule="auto"/>
        <w:rPr>
          <w:bCs/>
          <w:sz w:val="24"/>
          <w:highlight w:val="none"/>
        </w:rPr>
        <w:outlineLvl w:val="0"/>
      </w:pPr>
      <w:r>
        <w:rPr>
          <w:rFonts w:hint="eastAsia"/>
          <w:bCs/>
          <w:sz w:val="24"/>
          <w:highlight w:val="none"/>
        </w:rPr>
        <w:t xml:space="preserve">项目负责人：</w:t>
      </w:r>
      <w:r/>
    </w:p>
    <w:p>
      <w:pPr>
        <w:ind w:firstLine="480"/>
        <w:spacing w:line="360" w:lineRule="auto"/>
        <w:rPr>
          <w:bCs/>
          <w:sz w:val="24"/>
          <w:highlight w:val="none"/>
        </w:rPr>
        <w:outlineLvl w:val="0"/>
      </w:pPr>
      <w:r>
        <w:rPr>
          <w:rFonts w:hint="eastAsia"/>
          <w:bCs/>
          <w:sz w:val="24"/>
          <w:highlight w:val="none"/>
        </w:rPr>
        <w:t xml:space="preserve">履约担保：</w:t>
      </w:r>
      <w:r/>
    </w:p>
    <w:p>
      <w:pPr>
        <w:ind w:firstLine="480"/>
        <w:spacing w:line="360" w:lineRule="auto"/>
        <w:rPr>
          <w:bCs/>
          <w:sz w:val="24"/>
          <w:highlight w:val="none"/>
        </w:rPr>
        <w:outlineLvl w:val="0"/>
      </w:pPr>
      <w:r>
        <w:rPr>
          <w:rFonts w:hint="eastAsia"/>
          <w:bCs/>
          <w:sz w:val="24"/>
          <w:highlight w:val="none"/>
        </w:rPr>
        <w:t xml:space="preserve">乙方在签订合同前必须向甲方缴纳中标价 5%的履约担保。履约担保在合同履约完毕后两周内一次性退还（无息）。</w:t>
      </w:r>
      <w:r/>
    </w:p>
    <w:p>
      <w:pPr>
        <w:ind w:firstLine="480"/>
        <w:spacing w:line="360" w:lineRule="auto"/>
        <w:rPr>
          <w:bCs/>
          <w:sz w:val="24"/>
          <w:highlight w:val="none"/>
        </w:rPr>
        <w:outlineLvl w:val="0"/>
      </w:pPr>
      <w:r>
        <w:rPr>
          <w:rFonts w:hint="eastAsia"/>
          <w:bCs/>
          <w:sz w:val="24"/>
          <w:highlight w:val="none"/>
        </w:rPr>
        <w:t xml:space="preserve">五、绿地管理要求</w:t>
      </w:r>
      <w:r/>
    </w:p>
    <w:tbl>
      <w:tblPr>
        <w:tblStyle w:val="8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8"/>
        <w:gridCol w:w="1208"/>
        <w:gridCol w:w="3742"/>
        <w:gridCol w:w="3490"/>
      </w:tblGrid>
      <w:tr>
        <w:trPr>
          <w:jc w:val="center"/>
        </w:trPr>
        <w:tc>
          <w:tcPr>
            <w:shd w:val="clear" w:color="auto" w:fill="auto"/>
            <w:tcW w:w="848" w:type="dxa"/>
            <w:vAlign w:val="center"/>
            <w:textDirection w:val="lrTb"/>
            <w:noWrap w:val="false"/>
          </w:tcPr>
          <w:p>
            <w:pPr>
              <w:jc w:val="center"/>
              <w:rPr>
                <w:b/>
                <w:bCs/>
                <w:highlight w:val="none"/>
              </w:rPr>
            </w:pPr>
            <w:r>
              <w:rPr>
                <w:rFonts w:hint="eastAsia" w:ascii="宋体" w:hAnsi="宋体" w:cs="宋体"/>
                <w:b/>
                <w:bCs/>
                <w:spacing w:val="-20"/>
                <w:sz w:val="24"/>
                <w:highlight w:val="none"/>
              </w:rPr>
              <w:t xml:space="preserve">序号</w:t>
            </w:r>
            <w:r/>
          </w:p>
        </w:tc>
        <w:tc>
          <w:tcPr>
            <w:shd w:val="clear" w:color="auto" w:fill="auto"/>
            <w:tcW w:w="1208" w:type="dxa"/>
            <w:vAlign w:val="center"/>
            <w:textDirection w:val="lrTb"/>
            <w:noWrap w:val="false"/>
          </w:tcPr>
          <w:p>
            <w:pPr>
              <w:jc w:val="center"/>
              <w:rPr>
                <w:rFonts w:ascii="宋体" w:hAnsi="宋体" w:cs="宋体"/>
                <w:b/>
                <w:bCs/>
                <w:spacing w:val="-20"/>
                <w:sz w:val="24"/>
                <w:highlight w:val="none"/>
              </w:rPr>
            </w:pPr>
            <w:r>
              <w:rPr>
                <w:rFonts w:hint="eastAsia" w:ascii="宋体" w:hAnsi="宋体" w:cs="宋体"/>
                <w:b/>
                <w:bCs/>
                <w:spacing w:val="-20"/>
                <w:sz w:val="24"/>
                <w:highlight w:val="none"/>
              </w:rPr>
              <w:t xml:space="preserve">内容</w:t>
            </w:r>
            <w:r/>
          </w:p>
        </w:tc>
        <w:tc>
          <w:tcPr>
            <w:shd w:val="clear" w:color="auto" w:fill="auto"/>
            <w:tcW w:w="3742" w:type="dxa"/>
            <w:vAlign w:val="center"/>
            <w:textDirection w:val="lrTb"/>
            <w:noWrap w:val="false"/>
          </w:tcPr>
          <w:p>
            <w:pPr>
              <w:jc w:val="center"/>
              <w:rPr>
                <w:rFonts w:ascii="宋体" w:hAnsi="宋体" w:cs="宋体"/>
                <w:b/>
                <w:bCs/>
                <w:spacing w:val="-20"/>
                <w:sz w:val="24"/>
                <w:highlight w:val="none"/>
              </w:rPr>
            </w:pPr>
            <w:r>
              <w:rPr>
                <w:rFonts w:hint="eastAsia" w:ascii="宋体" w:hAnsi="宋体" w:cs="宋体"/>
                <w:b/>
                <w:bCs/>
                <w:spacing w:val="-20"/>
                <w:sz w:val="24"/>
                <w:highlight w:val="none"/>
              </w:rPr>
              <w:t xml:space="preserve">一 级</w:t>
            </w:r>
            <w:r/>
          </w:p>
        </w:tc>
        <w:tc>
          <w:tcPr>
            <w:shd w:val="clear" w:color="auto" w:fill="auto"/>
            <w:tcW w:w="3490" w:type="dxa"/>
            <w:vAlign w:val="center"/>
            <w:textDirection w:val="lrTb"/>
            <w:noWrap w:val="false"/>
          </w:tcPr>
          <w:p>
            <w:pPr>
              <w:jc w:val="center"/>
              <w:rPr>
                <w:rFonts w:ascii="宋体" w:hAnsi="宋体" w:cs="宋体"/>
                <w:b/>
                <w:bCs/>
                <w:spacing w:val="-20"/>
                <w:sz w:val="24"/>
                <w:highlight w:val="none"/>
              </w:rPr>
            </w:pPr>
            <w:r>
              <w:rPr>
                <w:rFonts w:hint="eastAsia" w:ascii="宋体" w:hAnsi="宋体" w:cs="宋体"/>
                <w:b/>
                <w:bCs/>
                <w:spacing w:val="-20"/>
                <w:sz w:val="24"/>
                <w:highlight w:val="none"/>
              </w:rPr>
              <w:t xml:space="preserve">二 级</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1</w:t>
            </w:r>
            <w:r/>
          </w:p>
        </w:tc>
        <w:tc>
          <w:tcPr>
            <w:shd w:val="clear" w:color="auto" w:fill="auto"/>
            <w:tcW w:w="1208" w:type="dxa"/>
            <w:vAlign w:val="center"/>
            <w:textDirection w:val="lrTb"/>
            <w:noWrap w:val="false"/>
          </w:tcPr>
          <w:p>
            <w:pPr>
              <w:jc w:val="center"/>
              <w:rPr>
                <w:highlight w:val="none"/>
              </w:rPr>
            </w:pPr>
            <w:r>
              <w:rPr>
                <w:highlight w:val="none"/>
              </w:rPr>
              <w:t xml:space="preserve">乔灌木</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1、树木生长正常，不歪斜（造型树木除外）；</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2、乔木树形完美，主侧枝均匀，数量适宜，内膛通风透光，无枯死枝、过密枝、下垂枝等；</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3、花灌木开花及时，正常，花后修剪及时。</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4、乔木根部无萌蘖枝；</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5、无缺株、死树，无杂树，无明显杂草；</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6、基本无病虫害危害迹象。</w:t>
            </w:r>
            <w:r/>
          </w:p>
        </w:tc>
        <w:tc>
          <w:tcPr>
            <w:shd w:val="clear" w:color="auto" w:fill="auto"/>
            <w:tcW w:w="3490" w:type="dxa"/>
            <w:vAlign w:val="center"/>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1、树木生长正常，不歪斜（造型树木除外）；</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2、乔木树形基本完整，符合其自然特征，无明显的枯、死枝；</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3、花灌木开花及时，花后修剪及时； </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4、无缺株、死树，无杂树，无藤本缠绕；</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5、无明显病虫害危害迹象；</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2</w:t>
            </w:r>
            <w:r/>
          </w:p>
        </w:tc>
        <w:tc>
          <w:tcPr>
            <w:shd w:val="clear" w:color="auto" w:fill="auto"/>
            <w:tcW w:w="1208" w:type="dxa"/>
            <w:vAlign w:val="center"/>
            <w:textDirection w:val="lrTb"/>
            <w:noWrap w:val="false"/>
          </w:tcPr>
          <w:p>
            <w:pPr>
              <w:jc w:val="center"/>
              <w:spacing w:line="360" w:lineRule="auto"/>
              <w:rPr>
                <w:rFonts w:ascii="宋体" w:hAnsi="宋体" w:cs="宋体"/>
                <w:spacing w:val="-2"/>
                <w:sz w:val="24"/>
                <w:highlight w:val="none"/>
              </w:rPr>
              <w:outlineLvl w:val="0"/>
            </w:pPr>
            <w:r>
              <w:rPr>
                <w:rFonts w:ascii="宋体" w:hAnsi="宋体" w:cs="宋体"/>
                <w:spacing w:val="-2"/>
                <w:sz w:val="24"/>
                <w:highlight w:val="none"/>
              </w:rPr>
              <w:t xml:space="preserve">绿篱色块地被</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1、生长茂盛，枝条茂密，密度适宜；</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2、生长季节修剪、追肥及时，修剪形态符合景观观赏要求；</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3、无人为践踏、断行缺株现象；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4、基本无病虫害危害。</w:t>
            </w:r>
            <w:r/>
          </w:p>
        </w:tc>
        <w:tc>
          <w:tcPr>
            <w:shd w:val="clear" w:color="auto" w:fill="auto"/>
            <w:tcW w:w="3490"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1、生长良好；</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2、生长季节及时修剪、追肥，修剪形态符合生长要求；</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3、无人为践踏、断行缺株现象；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4、无明显病虫害危害。</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3</w:t>
            </w:r>
            <w:r/>
          </w:p>
        </w:tc>
        <w:tc>
          <w:tcPr>
            <w:shd w:val="clear" w:color="auto" w:fill="auto"/>
            <w:tcW w:w="1208" w:type="dxa"/>
            <w:vAlign w:val="center"/>
            <w:textDirection w:val="lrTb"/>
            <w:noWrap w:val="false"/>
          </w:tcPr>
          <w:p>
            <w:pPr>
              <w:jc w:val="center"/>
              <w:spacing w:line="360" w:lineRule="auto"/>
              <w:rPr>
                <w:rFonts w:ascii="宋体" w:hAnsi="宋体" w:cs="宋体"/>
                <w:spacing w:val="-2"/>
                <w:sz w:val="24"/>
                <w:highlight w:val="none"/>
              </w:rPr>
              <w:outlineLvl w:val="0"/>
            </w:pPr>
            <w:r>
              <w:rPr>
                <w:rFonts w:ascii="宋体" w:hAnsi="宋体" w:cs="宋体"/>
                <w:spacing w:val="-2"/>
                <w:sz w:val="24"/>
                <w:highlight w:val="none"/>
              </w:rPr>
              <w:t xml:space="preserve">草坪</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1、草坪生长茂盛，景观效果好；</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2、修剪及时，修剪高度符合要求；</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3、草坪边缘线清晰（树穴、花坛交界处、其他植物间）；</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4、基本无杂草，基本无病虫害危害现象；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5、草坪集中空秃面积不超过 0.2 ㎡；</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6、绿地平整，无坑洼积水。</w:t>
            </w:r>
            <w:r/>
          </w:p>
        </w:tc>
        <w:tc>
          <w:tcPr>
            <w:shd w:val="clear" w:color="auto" w:fill="auto"/>
            <w:tcW w:w="3490" w:type="dxa"/>
            <w:vAlign w:val="center"/>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1、草坪生长正常，无明显空秃，集中空秃面积不超过 0.5 ㎡；</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2、修剪及时，高度符合要求；</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3、无阔叶杂草、大型野草等，杂草控制高度在 5 ㎝以下；</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4、无明显病虫害危害迹象；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5、绿地平整，无大面积的坑洼积水现象。</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5</w:t>
            </w:r>
            <w:r/>
          </w:p>
        </w:tc>
        <w:tc>
          <w:tcPr>
            <w:shd w:val="clear" w:color="auto" w:fill="auto"/>
            <w:tcW w:w="1208" w:type="dxa"/>
            <w:vAlign w:val="center"/>
            <w:textDirection w:val="lrTb"/>
            <w:noWrap w:val="false"/>
          </w:tcPr>
          <w:p>
            <w:pPr>
              <w:jc w:val="center"/>
              <w:spacing w:line="360" w:lineRule="auto"/>
              <w:rPr>
                <w:rFonts w:ascii="宋体" w:hAnsi="宋体" w:cs="宋体"/>
                <w:spacing w:val="-2"/>
                <w:sz w:val="24"/>
                <w:highlight w:val="none"/>
              </w:rPr>
              <w:outlineLvl w:val="0"/>
            </w:pPr>
            <w:r>
              <w:rPr>
                <w:rFonts w:ascii="宋体" w:hAnsi="宋体" w:cs="宋体"/>
                <w:spacing w:val="-2"/>
                <w:sz w:val="24"/>
                <w:highlight w:val="none"/>
              </w:rPr>
              <w:t xml:space="preserve">园林设施维护</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1、园林建构筑物、小品及各类便民设施保持完好，无安全隐患、无破损现象，无乱涂写、乱张贴、乱涂刻现象；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2、设施损坏后修复及时；</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3、树木支撑桩位扎缚规范、有效。</w:t>
            </w:r>
            <w:r/>
          </w:p>
        </w:tc>
        <w:tc>
          <w:tcPr>
            <w:shd w:val="clear" w:color="auto" w:fill="auto"/>
            <w:tcW w:w="3490" w:type="dxa"/>
            <w:vAlign w:val="center"/>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1、园林设施基本完好，有问题及时处理并上报；</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6</w:t>
            </w:r>
            <w:r/>
          </w:p>
        </w:tc>
        <w:tc>
          <w:tcPr>
            <w:shd w:val="clear" w:color="auto" w:fill="auto"/>
            <w:tcW w:w="1208" w:type="dxa"/>
            <w:vAlign w:val="center"/>
            <w:textDirection w:val="lrTb"/>
            <w:noWrap w:val="false"/>
          </w:tcPr>
          <w:p>
            <w:pPr>
              <w:jc w:val="center"/>
              <w:spacing w:line="360" w:lineRule="auto"/>
              <w:rPr>
                <w:rFonts w:ascii="宋体" w:hAnsi="宋体" w:cs="宋体"/>
                <w:spacing w:val="-2"/>
                <w:sz w:val="24"/>
                <w:highlight w:val="none"/>
              </w:rPr>
              <w:outlineLvl w:val="0"/>
            </w:pPr>
            <w:r>
              <w:rPr>
                <w:rFonts w:ascii="宋体" w:hAnsi="宋体" w:cs="宋体"/>
                <w:spacing w:val="-2"/>
                <w:sz w:val="24"/>
                <w:highlight w:val="none"/>
              </w:rPr>
              <w:t xml:space="preserve">卫生保洁</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1、绿地各类便民设施整洁，无陈旧积尘；</w:t>
            </w:r>
            <w:r/>
          </w:p>
          <w:p>
            <w:pP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2</w:t>
            </w:r>
            <w:r>
              <w:rPr>
                <w:rFonts w:ascii="宋体" w:hAnsi="宋体" w:cs="宋体"/>
                <w:spacing w:val="-2"/>
                <w:sz w:val="24"/>
                <w:highlight w:val="none"/>
              </w:rPr>
              <w:t xml:space="preserve">、绿地整洁，无枯枝落叶，无杂物、 无白色垃圾（树挂）、无建筑垃圾，垃圾日产日清。</w:t>
            </w:r>
            <w:r/>
          </w:p>
          <w:p>
            <w:pP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3</w:t>
            </w:r>
            <w:r>
              <w:rPr>
                <w:rFonts w:ascii="宋体" w:hAnsi="宋体" w:cs="宋体"/>
                <w:spacing w:val="-2"/>
                <w:sz w:val="24"/>
                <w:highlight w:val="none"/>
              </w:rPr>
              <w:t xml:space="preserve">、作业废弃物（如树枝、树叶、草屑等）、水面杂物， 日产日清。</w:t>
            </w:r>
            <w:r/>
          </w:p>
          <w:p>
            <w:pP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4</w:t>
            </w:r>
            <w:r>
              <w:rPr>
                <w:rFonts w:ascii="宋体" w:hAnsi="宋体" w:cs="宋体"/>
                <w:spacing w:val="-2"/>
                <w:sz w:val="24"/>
                <w:highlight w:val="none"/>
              </w:rPr>
              <w:t xml:space="preserve">、无卫生死角。</w:t>
            </w:r>
            <w:r/>
          </w:p>
        </w:tc>
        <w:tc>
          <w:tcPr>
            <w:shd w:val="clear" w:color="auto" w:fill="auto"/>
            <w:tcW w:w="3490" w:type="dxa"/>
            <w:vAlign w:val="center"/>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1、绿地基本整洁，无枯枝落叶，无明显杂物、无白色垃圾、无建筑垃圾。</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2、作业废弃物（如树枝、树叶、草 屑等）、绿地内水面杂物，日产日清。</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3、无卫生死角。</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7</w:t>
            </w:r>
            <w:r/>
          </w:p>
        </w:tc>
        <w:tc>
          <w:tcPr>
            <w:shd w:val="clear" w:color="auto" w:fill="auto"/>
            <w:tcW w:w="1208" w:type="dxa"/>
            <w:vAlign w:val="center"/>
            <w:textDirection w:val="lrTb"/>
            <w:noWrap w:val="false"/>
          </w:tcPr>
          <w:p>
            <w:pPr>
              <w:jc w:val="center"/>
              <w:spacing w:line="360" w:lineRule="auto"/>
              <w:rPr>
                <w:rFonts w:ascii="宋体" w:hAnsi="宋体" w:cs="宋体"/>
                <w:spacing w:val="-2"/>
                <w:sz w:val="24"/>
                <w:highlight w:val="none"/>
              </w:rPr>
              <w:outlineLvl w:val="0"/>
            </w:pPr>
            <w:r>
              <w:rPr>
                <w:rFonts w:ascii="宋体" w:hAnsi="宋体" w:cs="宋体"/>
                <w:spacing w:val="-2"/>
                <w:sz w:val="24"/>
                <w:highlight w:val="none"/>
              </w:rPr>
              <w:t xml:space="preserve">绿地秩序</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1、无侵占毁绿行为和现象；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2、秩序良好，无乱堆乱放、晾晒衣物、无乱设摊和车辆乱停放现象；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3、对被破坏或其他原因引起的绿地损坏及时上报；</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4、及时清运各种垃圾杂物等，严禁现场焚烧。</w:t>
            </w:r>
            <w:r/>
          </w:p>
        </w:tc>
        <w:tc>
          <w:tcPr>
            <w:shd w:val="clear" w:color="auto" w:fill="auto"/>
            <w:tcW w:w="3490"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1、无侵占毁绿行为和现象；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2、秩序良好，无乱堆乱放、晾晒衣物、无乱设摊和车辆乱停放现象；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3、对被破坏或其他原因引起的绿地损坏及时上报；</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4、及时清运各种垃圾杂物等，严禁现场焚烧。</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8</w:t>
            </w:r>
            <w:r/>
          </w:p>
        </w:tc>
        <w:tc>
          <w:tcPr>
            <w:shd w:val="clear" w:color="auto" w:fill="auto"/>
            <w:tcW w:w="1208" w:type="dxa"/>
            <w:vAlign w:val="center"/>
            <w:textDirection w:val="lrTb"/>
            <w:noWrap w:val="false"/>
          </w:tcPr>
          <w:p>
            <w:pPr>
              <w:jc w:val="center"/>
              <w:spacing w:line="360" w:lineRule="auto"/>
              <w:rPr>
                <w:rFonts w:ascii="宋体" w:hAnsi="宋体" w:cs="宋体"/>
                <w:spacing w:val="-2"/>
                <w:sz w:val="24"/>
                <w:highlight w:val="none"/>
              </w:rPr>
              <w:outlineLvl w:val="0"/>
            </w:pPr>
            <w:r>
              <w:rPr>
                <w:rFonts w:ascii="宋体" w:hAnsi="宋体" w:cs="宋体"/>
                <w:spacing w:val="-2"/>
                <w:sz w:val="24"/>
                <w:highlight w:val="none"/>
              </w:rPr>
              <w:t xml:space="preserve">人员要求</w:t>
            </w:r>
            <w:r/>
          </w:p>
        </w:tc>
        <w:tc>
          <w:tcPr>
            <w:shd w:val="clear" w:color="auto" w:fill="auto"/>
            <w:tcW w:w="3742" w:type="dxa"/>
            <w:vAlign w:val="center"/>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1、上岗人员符合国家用工规定，常规养护工人数量符合规定；</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2、在岗人员统一着装，穿戴整齐，安全、规范、文明作业。</w:t>
            </w:r>
            <w:r/>
          </w:p>
        </w:tc>
        <w:tc>
          <w:tcPr>
            <w:shd w:val="clear" w:color="auto" w:fill="auto"/>
            <w:tcW w:w="3490"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1、上岗人员符合国家用工规定，常规养护工人数量符合规定；</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2、在岗人员统一着装，穿戴整齐，安全、规范、文明作业。</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9</w:t>
            </w:r>
            <w:r/>
          </w:p>
        </w:tc>
        <w:tc>
          <w:tcPr>
            <w:shd w:val="clear" w:color="auto" w:fill="auto"/>
            <w:tcW w:w="1208" w:type="dxa"/>
            <w:vAlign w:val="center"/>
            <w:textDirection w:val="lrTb"/>
            <w:noWrap w:val="false"/>
          </w:tcPr>
          <w:p>
            <w:pPr>
              <w:jc w:val="center"/>
              <w:spacing w:line="360" w:lineRule="auto"/>
              <w:rPr>
                <w:rFonts w:ascii="宋体" w:hAnsi="宋体" w:cs="宋体"/>
                <w:spacing w:val="-2"/>
                <w:sz w:val="24"/>
                <w:highlight w:val="none"/>
              </w:rPr>
              <w:outlineLvl w:val="0"/>
            </w:pPr>
            <w:r>
              <w:rPr>
                <w:rFonts w:ascii="宋体" w:hAnsi="宋体" w:cs="宋体"/>
                <w:spacing w:val="-2"/>
                <w:sz w:val="24"/>
                <w:highlight w:val="none"/>
              </w:rPr>
              <w:t xml:space="preserve">组织管理</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1、绿化管理台账齐全，有专人负责；</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2、根据绿地情况，制定绿地养护技术措施及年度养护计划、月度工作计划等；</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3、有应急抢险预案措施；</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4、加强对职工培训，提高职工的技术水平；</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5、按照有关安全生产操作规程组织作业。</w:t>
            </w:r>
            <w:r/>
          </w:p>
        </w:tc>
        <w:tc>
          <w:tcPr>
            <w:shd w:val="clear" w:color="auto" w:fill="auto"/>
            <w:tcW w:w="3490"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1、绿化管理台账齐全，有专人负责；</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2、根据绿地情况，制定绿地养护技 术措施及年度养护计划、月度工作计划等；</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3、有应急抢险预案措施；</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4、加强对职工培训，提高职工的技术水平；</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5、按照有关安全生产操作规程组织作业。</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10</w:t>
            </w:r>
            <w:r/>
          </w:p>
        </w:tc>
        <w:tc>
          <w:tcPr>
            <w:shd w:val="clear" w:color="auto" w:fill="auto"/>
            <w:tcW w:w="1208" w:type="dxa"/>
            <w:vAlign w:val="center"/>
            <w:textDirection w:val="lrTb"/>
            <w:noWrap w:val="false"/>
          </w:tcPr>
          <w:p>
            <w:pPr>
              <w:jc w:val="center"/>
              <w:spacing w:line="360" w:lineRule="auto"/>
              <w:rPr>
                <w:rFonts w:ascii="宋体" w:hAnsi="宋体" w:cs="宋体"/>
                <w:spacing w:val="-2"/>
                <w:sz w:val="24"/>
                <w:highlight w:val="none"/>
              </w:rPr>
              <w:outlineLvl w:val="0"/>
            </w:pPr>
            <w:r>
              <w:rPr>
                <w:rFonts w:ascii="宋体" w:hAnsi="宋体" w:cs="宋体"/>
                <w:spacing w:val="-2"/>
                <w:sz w:val="24"/>
                <w:highlight w:val="none"/>
              </w:rPr>
              <w:t xml:space="preserve">其它</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1、工作时间为当日 7：00— 当日 18：00；</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2、绿地养护人员见具体标段。</w:t>
            </w:r>
            <w:r/>
          </w:p>
        </w:tc>
        <w:tc>
          <w:tcPr>
            <w:shd w:val="clear" w:color="auto" w:fill="auto"/>
            <w:tcW w:w="3490"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1、工作时间为当日 7：00—当日 18：00；</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2、绿地养护人员见具体标段。</w:t>
            </w:r>
            <w:r/>
          </w:p>
        </w:tc>
      </w:tr>
      <w:tr>
        <w:trPr>
          <w:jc w:val="center"/>
        </w:trPr>
        <w:tc>
          <w:tcPr>
            <w:shd w:val="clear" w:color="auto" w:fill="auto"/>
            <w:tcW w:w="848" w:type="dxa"/>
            <w:vAlign w:val="center"/>
            <w:textDirection w:val="lrTb"/>
            <w:noWrap w:val="false"/>
          </w:tcPr>
          <w:p>
            <w:pPr>
              <w:jc w:val="center"/>
              <w:rPr>
                <w:b/>
                <w:bCs/>
                <w:highlight w:val="none"/>
              </w:rPr>
            </w:pPr>
            <w:r>
              <w:rPr>
                <w:rFonts w:hint="eastAsia" w:ascii="宋体" w:hAnsi="宋体" w:cs="宋体"/>
                <w:b/>
                <w:bCs/>
                <w:spacing w:val="-20"/>
                <w:sz w:val="24"/>
                <w:highlight w:val="none"/>
              </w:rPr>
              <w:t xml:space="preserve">序号</w:t>
            </w:r>
            <w:r/>
          </w:p>
        </w:tc>
        <w:tc>
          <w:tcPr>
            <w:shd w:val="clear" w:color="auto" w:fill="auto"/>
            <w:tcW w:w="1208" w:type="dxa"/>
            <w:vAlign w:val="center"/>
            <w:textDirection w:val="lrTb"/>
            <w:noWrap w:val="false"/>
          </w:tcPr>
          <w:p>
            <w:pPr>
              <w:jc w:val="center"/>
              <w:rPr>
                <w:rFonts w:ascii="宋体" w:hAnsi="宋体" w:cs="宋体"/>
                <w:b/>
                <w:bCs/>
                <w:spacing w:val="-20"/>
                <w:sz w:val="24"/>
                <w:highlight w:val="none"/>
              </w:rPr>
            </w:pPr>
            <w:r>
              <w:rPr>
                <w:rFonts w:hint="eastAsia" w:ascii="宋体" w:hAnsi="宋体" w:cs="宋体"/>
                <w:b/>
                <w:bCs/>
                <w:spacing w:val="-20"/>
                <w:sz w:val="24"/>
                <w:highlight w:val="none"/>
              </w:rPr>
              <w:t xml:space="preserve">内容</w:t>
            </w:r>
            <w:r/>
          </w:p>
        </w:tc>
        <w:tc>
          <w:tcPr>
            <w:shd w:val="clear" w:color="auto" w:fill="auto"/>
            <w:tcW w:w="3742" w:type="dxa"/>
            <w:vAlign w:val="center"/>
            <w:textDirection w:val="lrTb"/>
            <w:noWrap w:val="false"/>
          </w:tcPr>
          <w:p>
            <w:pPr>
              <w:jc w:val="center"/>
              <w:rPr>
                <w:rFonts w:ascii="宋体" w:hAnsi="宋体" w:cs="宋体"/>
                <w:b/>
                <w:bCs/>
                <w:spacing w:val="-20"/>
                <w:sz w:val="24"/>
                <w:highlight w:val="none"/>
              </w:rPr>
            </w:pPr>
            <w:r>
              <w:rPr>
                <w:rFonts w:hint="eastAsia" w:ascii="宋体" w:hAnsi="宋体" w:cs="宋体"/>
                <w:b/>
                <w:bCs/>
                <w:spacing w:val="-20"/>
                <w:sz w:val="24"/>
                <w:highlight w:val="none"/>
              </w:rPr>
              <w:t xml:space="preserve">一 级</w:t>
            </w:r>
            <w:r/>
          </w:p>
        </w:tc>
        <w:tc>
          <w:tcPr>
            <w:shd w:val="clear" w:color="auto" w:fill="auto"/>
            <w:tcW w:w="3490" w:type="dxa"/>
            <w:vAlign w:val="center"/>
            <w:textDirection w:val="lrTb"/>
            <w:noWrap w:val="false"/>
          </w:tcPr>
          <w:p>
            <w:pPr>
              <w:jc w:val="center"/>
              <w:rPr>
                <w:rFonts w:ascii="宋体" w:hAnsi="宋体" w:cs="宋体"/>
                <w:b/>
                <w:bCs/>
                <w:spacing w:val="-20"/>
                <w:sz w:val="24"/>
                <w:highlight w:val="none"/>
              </w:rPr>
            </w:pPr>
            <w:r>
              <w:rPr>
                <w:rFonts w:hint="eastAsia" w:ascii="宋体" w:hAnsi="宋体" w:cs="宋体"/>
                <w:b/>
                <w:bCs/>
                <w:spacing w:val="-20"/>
                <w:sz w:val="24"/>
                <w:highlight w:val="none"/>
              </w:rPr>
              <w:t xml:space="preserve">二 级</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1</w:t>
            </w:r>
            <w:r/>
          </w:p>
        </w:tc>
        <w:tc>
          <w:tcPr>
            <w:shd w:val="clear" w:color="auto" w:fill="auto"/>
            <w:tcW w:w="1208" w:type="dxa"/>
            <w:vAlign w:val="center"/>
            <w:textDirection w:val="lrTb"/>
            <w:noWrap w:val="false"/>
          </w:tcPr>
          <w:p>
            <w:pPr>
              <w:jc w:val="center"/>
              <w:rPr>
                <w:highlight w:val="none"/>
              </w:rPr>
            </w:pPr>
            <w:r>
              <w:rPr>
                <w:highlight w:val="none"/>
              </w:rPr>
              <w:t xml:space="preserve">乔灌木</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1、树木生长正常，不歪斜（造型树木除外）；</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2、乔木树形完美，主侧枝均匀，数量 适宜，内膛通风透光，无枯死枝、过密枝、下垂枝等；</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3、花灌木开花及时，正常，花后修剪及时。</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4、乔木根部无萌蘖枝；</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5、无缺株、死树，无杂树，无明显杂草；</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6、基本无病虫害危害迹象。</w:t>
            </w:r>
            <w:r/>
          </w:p>
        </w:tc>
        <w:tc>
          <w:tcPr>
            <w:shd w:val="clear" w:color="auto" w:fill="auto"/>
            <w:tcW w:w="3490"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1、树木生长正常，不歪斜（造型树木除外）；</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2、乔木树形基本完整，符合其自然特征，无明显的枯、死枝；</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3、花灌木开花及时，花后修剪及时； </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4、无缺株、死树，无杂树，无藤本缠绕；</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5、无明显病虫害危害迹象；</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2</w:t>
            </w:r>
            <w:r/>
          </w:p>
        </w:tc>
        <w:tc>
          <w:tcPr>
            <w:shd w:val="clear" w:color="auto" w:fill="auto"/>
            <w:tcW w:w="1208" w:type="dxa"/>
            <w:vAlign w:val="center"/>
            <w:textDirection w:val="lrTb"/>
            <w:noWrap w:val="false"/>
          </w:tcPr>
          <w:p>
            <w:pPr>
              <w:jc w:val="center"/>
              <w:spacing w:line="360" w:lineRule="auto"/>
              <w:rPr>
                <w:rFonts w:ascii="宋体" w:hAnsi="宋体" w:cs="宋体"/>
                <w:spacing w:val="-2"/>
                <w:sz w:val="24"/>
                <w:highlight w:val="none"/>
              </w:rPr>
              <w:outlineLvl w:val="0"/>
            </w:pPr>
            <w:r>
              <w:rPr>
                <w:rFonts w:ascii="宋体" w:hAnsi="宋体" w:cs="宋体"/>
                <w:spacing w:val="-2"/>
                <w:sz w:val="24"/>
                <w:highlight w:val="none"/>
              </w:rPr>
              <w:t xml:space="preserve">绿篱色块地被</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1、生长茂盛，枝条茂密，密度适宜；</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2、生长季节修剪、追肥及时，修剪形态符合景观观赏要求；</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3、无人为践踏、断行缺株现象；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4、基本无病虫害危害。</w:t>
            </w:r>
            <w:r/>
          </w:p>
        </w:tc>
        <w:tc>
          <w:tcPr>
            <w:shd w:val="clear" w:color="auto" w:fill="auto"/>
            <w:tcW w:w="3490"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1、生长良好；</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2、生长季节及时修剪、追肥，修剪形态符合生长要求；</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3、无人为践踏、断行缺株现象；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4、无明显病虫害危害。</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3</w:t>
            </w:r>
            <w:r/>
          </w:p>
        </w:tc>
        <w:tc>
          <w:tcPr>
            <w:shd w:val="clear" w:color="auto" w:fill="auto"/>
            <w:tcW w:w="1208" w:type="dxa"/>
            <w:vAlign w:val="center"/>
            <w:textDirection w:val="lrTb"/>
            <w:noWrap w:val="false"/>
          </w:tcPr>
          <w:p>
            <w:pPr>
              <w:jc w:val="center"/>
              <w:spacing w:line="360" w:lineRule="auto"/>
              <w:rPr>
                <w:rFonts w:ascii="宋体" w:hAnsi="宋体" w:cs="宋体"/>
                <w:spacing w:val="-2"/>
                <w:sz w:val="24"/>
                <w:highlight w:val="none"/>
              </w:rPr>
              <w:outlineLvl w:val="0"/>
            </w:pPr>
            <w:r>
              <w:rPr>
                <w:rFonts w:ascii="宋体" w:hAnsi="宋体" w:cs="宋体"/>
                <w:spacing w:val="-2"/>
                <w:sz w:val="24"/>
                <w:highlight w:val="none"/>
              </w:rPr>
              <w:t xml:space="preserve">草坪</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1、草坪生长茂盛，景观效果好；</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2、修剪及时，修剪高度符合要求；</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3、草坪边缘线清晰（树穴、花坛交界处、其他植物间）；</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4、基本无杂草，基本无病虫害危害现象；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5、草坪集中空秃面积不超过 0.2 ㎡；</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6、绿地平整，无坑洼积水。</w:t>
            </w:r>
            <w:r/>
          </w:p>
        </w:tc>
        <w:tc>
          <w:tcPr>
            <w:shd w:val="clear" w:color="auto" w:fill="auto"/>
            <w:tcW w:w="3490"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1、草坪生长正常，无明显空秃，集中空秃面积不超过 0.5 ㎡；</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2、修剪及时，高度符合要求；</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3、无阔叶杂草、大型野草等，杂草控制高度在 5 ㎝以下；</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4、无明显病虫害危害迹象；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5、绿地平整，无大面积的坑洼积水现象。</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4</w:t>
            </w:r>
            <w:r/>
          </w:p>
        </w:tc>
        <w:tc>
          <w:tcPr>
            <w:shd w:val="clear" w:color="auto" w:fill="auto"/>
            <w:tcW w:w="1208" w:type="dxa"/>
            <w:vAlign w:val="center"/>
            <w:textDirection w:val="lrTb"/>
            <w:noWrap w:val="false"/>
          </w:tcPr>
          <w:p>
            <w:pPr>
              <w:jc w:val="center"/>
              <w:spacing w:line="360" w:lineRule="auto"/>
              <w:rPr>
                <w:rFonts w:ascii="宋体" w:hAnsi="宋体" w:cs="宋体"/>
                <w:spacing w:val="-2"/>
                <w:sz w:val="24"/>
                <w:highlight w:val="none"/>
              </w:rPr>
              <w:outlineLvl w:val="0"/>
            </w:pPr>
            <w:r>
              <w:rPr>
                <w:rFonts w:ascii="宋体" w:hAnsi="宋体" w:cs="宋体"/>
                <w:spacing w:val="-2"/>
                <w:sz w:val="24"/>
                <w:highlight w:val="none"/>
              </w:rPr>
              <w:t xml:space="preserve">水体</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1、水面无漂浮物，河内水草清理及时；</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2、水生植物生长健壮，观赏期长，秋冬季按要求收割及时；</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3、无垂钓、游泳现象；</w:t>
            </w:r>
            <w:r/>
          </w:p>
        </w:tc>
        <w:tc>
          <w:tcPr>
            <w:shd w:val="clear" w:color="auto" w:fill="auto"/>
            <w:tcW w:w="3490"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1、水面无漂浮物，河内水草清理及时；</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2、水生植物生长良好，保持正常形态特征，无明显有害生物危害；</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3、无垂钓、游泳现象；</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5</w:t>
            </w:r>
            <w:r/>
          </w:p>
        </w:tc>
        <w:tc>
          <w:tcPr>
            <w:shd w:val="clear" w:color="auto" w:fill="auto"/>
            <w:tcW w:w="1208" w:type="dxa"/>
            <w:vAlign w:val="center"/>
            <w:textDirection w:val="lrTb"/>
            <w:noWrap w:val="false"/>
          </w:tcPr>
          <w:p>
            <w:pPr>
              <w:jc w:val="center"/>
              <w:spacing w:line="360" w:lineRule="auto"/>
              <w:rPr>
                <w:rFonts w:ascii="宋体" w:hAnsi="宋体" w:cs="宋体"/>
                <w:spacing w:val="-2"/>
                <w:sz w:val="24"/>
                <w:highlight w:val="none"/>
              </w:rPr>
              <w:outlineLvl w:val="0"/>
            </w:pPr>
            <w:r>
              <w:rPr>
                <w:rFonts w:ascii="宋体" w:hAnsi="宋体" w:cs="宋体"/>
                <w:spacing w:val="-2"/>
                <w:sz w:val="24"/>
                <w:highlight w:val="none"/>
              </w:rPr>
              <w:t xml:space="preserve">园林设施维护</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1、园林建构筑物、小品及各类便民设 施保持完好，无安全隐患、无破损现象，无乱涂写、乱张贴、乱涂刻现象；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2、设施损坏后修复及时；</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3、供电照明管线等设施常年完整、正常运转；</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4、园路、铺装平整，无破损、无积水现象；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5、树木支撑桩位扎缚规范、有效。</w:t>
            </w:r>
            <w:r/>
          </w:p>
        </w:tc>
        <w:tc>
          <w:tcPr>
            <w:shd w:val="clear" w:color="auto" w:fill="auto"/>
            <w:tcW w:w="3490" w:type="dxa"/>
            <w:vAlign w:val="center"/>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1、园林设施基本完好，有问题及时处理并上报；</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6</w:t>
            </w:r>
            <w:r/>
          </w:p>
        </w:tc>
        <w:tc>
          <w:tcPr>
            <w:shd w:val="clear" w:color="auto" w:fill="auto"/>
            <w:tcW w:w="1208" w:type="dxa"/>
            <w:vAlign w:val="center"/>
            <w:textDirection w:val="lrTb"/>
            <w:noWrap w:val="false"/>
          </w:tcPr>
          <w:p>
            <w:pPr>
              <w:jc w:val="center"/>
              <w:spacing w:line="360" w:lineRule="auto"/>
              <w:rPr>
                <w:rFonts w:ascii="宋体" w:hAnsi="宋体" w:cs="宋体"/>
                <w:spacing w:val="-2"/>
                <w:sz w:val="24"/>
                <w:highlight w:val="none"/>
              </w:rPr>
              <w:outlineLvl w:val="0"/>
            </w:pPr>
            <w:r>
              <w:rPr>
                <w:rFonts w:ascii="宋体" w:hAnsi="宋体" w:cs="宋体"/>
                <w:spacing w:val="-2"/>
                <w:sz w:val="24"/>
                <w:highlight w:val="none"/>
              </w:rPr>
              <w:t xml:space="preserve">卫生保洁</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1、公共厕所的保洁、灭杀到位，无臭味；</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2、绿地各类便民设施整洁，无陈旧积尘；</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3、绿地整洁，无枯枝落叶，无杂物、 无白色垃圾（树挂）、无建筑垃圾，垃圾日产日清。</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4、作业废弃物（如树枝、树叶、草屑等）、水面杂物， 日产日清。</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5、无卫生死角。</w:t>
            </w:r>
            <w:r/>
          </w:p>
        </w:tc>
        <w:tc>
          <w:tcPr>
            <w:shd w:val="clear" w:color="auto" w:fill="auto"/>
            <w:tcW w:w="3490" w:type="dxa"/>
            <w:vAlign w:val="center"/>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1、绿地基本整洁，无枯枝落叶，无明显杂物、无白色垃圾、无建筑垃圾。</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2、作业废弃物（如树枝、树叶、草屑等）、绿地内水面杂物，日产日清。</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3、无卫生死角。</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7</w:t>
            </w:r>
            <w:r/>
          </w:p>
        </w:tc>
        <w:tc>
          <w:tcPr>
            <w:shd w:val="clear" w:color="auto" w:fill="auto"/>
            <w:tcW w:w="1208" w:type="dxa"/>
            <w:vAlign w:val="center"/>
            <w:textDirection w:val="lrTb"/>
            <w:noWrap w:val="false"/>
          </w:tcPr>
          <w:p>
            <w:pPr>
              <w:jc w:val="center"/>
              <w:spacing w:line="360" w:lineRule="auto"/>
              <w:rPr>
                <w:rFonts w:ascii="宋体" w:hAnsi="宋体" w:cs="宋体"/>
                <w:spacing w:val="-2"/>
                <w:sz w:val="24"/>
                <w:highlight w:val="none"/>
              </w:rPr>
              <w:outlineLvl w:val="0"/>
            </w:pPr>
            <w:r>
              <w:rPr>
                <w:rFonts w:ascii="宋体" w:hAnsi="宋体" w:cs="宋体"/>
                <w:spacing w:val="-2"/>
                <w:sz w:val="24"/>
                <w:highlight w:val="none"/>
              </w:rPr>
              <w:t xml:space="preserve">绿地秩序</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1、无侵占毁绿行为和现象；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2、秩序良好，无乱堆乱放、晾晒衣物、无乱设摊和车辆乱停放现象；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3、对被破坏或其他原因引起的绿地损坏及时上报；</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4、及时清运各种垃圾杂物等，严禁现场焚烧。</w:t>
            </w:r>
            <w:r/>
          </w:p>
        </w:tc>
        <w:tc>
          <w:tcPr>
            <w:shd w:val="clear" w:color="auto" w:fill="auto"/>
            <w:tcW w:w="3490"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1、无侵占毁绿行为和现象；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2、秩序良好，无乱堆乱放、晾晒衣物、无乱设摊和车辆乱停放现象；</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3、对被破坏或其他原因引起的绿地损坏及时上报；</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4、及时清运各种垃圾杂物等，严禁现场焚烧。</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8</w:t>
            </w:r>
            <w:r/>
          </w:p>
        </w:tc>
        <w:tc>
          <w:tcPr>
            <w:shd w:val="clear" w:color="auto" w:fill="auto"/>
            <w:tcW w:w="1208" w:type="dxa"/>
            <w:vAlign w:val="center"/>
            <w:textDirection w:val="lrTb"/>
            <w:noWrap w:val="false"/>
          </w:tcPr>
          <w:p>
            <w:pPr>
              <w:jc w:val="center"/>
              <w:spacing w:line="360" w:lineRule="auto"/>
              <w:rPr>
                <w:rFonts w:ascii="宋体" w:hAnsi="宋体" w:cs="宋体"/>
                <w:spacing w:val="-2"/>
                <w:sz w:val="24"/>
                <w:highlight w:val="none"/>
              </w:rPr>
              <w:outlineLvl w:val="0"/>
            </w:pPr>
            <w:r>
              <w:rPr>
                <w:rFonts w:ascii="宋体" w:hAnsi="宋体" w:cs="宋体"/>
                <w:spacing w:val="-2"/>
                <w:sz w:val="24"/>
                <w:highlight w:val="none"/>
              </w:rPr>
              <w:t xml:space="preserve">人员要求</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1、上岗人员符合国家用工规定，常规养护工人数量符合规定；</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2、在岗人员统一着装，穿戴整齐，安全、规范、文明作业。</w:t>
            </w:r>
            <w:r/>
          </w:p>
        </w:tc>
        <w:tc>
          <w:tcPr>
            <w:shd w:val="clear" w:color="auto" w:fill="auto"/>
            <w:tcW w:w="3490"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1、上岗人员符合国家用工规定，常规养护工人数量符合规定；</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2、在岗人员统一着装，穿戴整齐，安全、规范、文明作业。</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9</w:t>
            </w:r>
            <w:r/>
          </w:p>
        </w:tc>
        <w:tc>
          <w:tcPr>
            <w:shd w:val="clear" w:color="auto" w:fill="auto"/>
            <w:tcW w:w="1208" w:type="dxa"/>
            <w:vAlign w:val="center"/>
            <w:textDirection w:val="lrTb"/>
            <w:noWrap w:val="false"/>
          </w:tcPr>
          <w:p>
            <w:pPr>
              <w:jc w:val="center"/>
              <w:spacing w:line="360" w:lineRule="auto"/>
              <w:rPr>
                <w:rFonts w:ascii="宋体" w:hAnsi="宋体" w:cs="宋体"/>
                <w:spacing w:val="-2"/>
                <w:sz w:val="24"/>
                <w:highlight w:val="none"/>
              </w:rPr>
              <w:outlineLvl w:val="0"/>
            </w:pPr>
            <w:r>
              <w:rPr>
                <w:rFonts w:ascii="宋体" w:hAnsi="宋体" w:cs="宋体"/>
                <w:spacing w:val="-2"/>
                <w:sz w:val="24"/>
                <w:highlight w:val="none"/>
              </w:rPr>
              <w:t xml:space="preserve">组织管理</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1、绿化管理台账齐全，有专人负责；</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2、根据绿地情况，制定绿地养护技术措施及年度养护计划、月度工作计划等；</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3、有应急抢险预案措施；</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4、加强对职工培训，提高职工的技术水平；</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5、按照有关安全生产操作规程组织作业。</w:t>
            </w:r>
            <w:r/>
          </w:p>
        </w:tc>
        <w:tc>
          <w:tcPr>
            <w:shd w:val="clear" w:color="auto" w:fill="auto"/>
            <w:tcW w:w="3490"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1、绿化管理台账齐全，有专人负责；</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2、根据绿地情况，制定绿地养护技 术措施及年度养护计划、月度工作计划等；</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3、有应急抢险预案措施；</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4、加强对职工培训，提高职工的技术水平；</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5、按照有关安全生产操作规程组织作业。</w:t>
            </w:r>
            <w:r/>
          </w:p>
        </w:tc>
      </w:tr>
      <w:tr>
        <w:trPr>
          <w:jc w:val="center"/>
        </w:trPr>
        <w:tc>
          <w:tcPr>
            <w:shd w:val="clear" w:color="auto" w:fill="auto"/>
            <w:tcW w:w="848" w:type="dxa"/>
            <w:vAlign w:val="center"/>
            <w:textDirection w:val="lrTb"/>
            <w:noWrap w:val="false"/>
          </w:tcPr>
          <w:p>
            <w:pPr>
              <w:jc w:val="center"/>
              <w:spacing w:line="360" w:lineRule="auto"/>
              <w:rPr>
                <w:rFonts w:ascii="宋体" w:hAnsi="宋体" w:cs="宋体"/>
                <w:spacing w:val="-2"/>
                <w:sz w:val="24"/>
                <w:highlight w:val="none"/>
              </w:rPr>
              <w:outlineLvl w:val="0"/>
            </w:pPr>
            <w:r>
              <w:rPr>
                <w:rFonts w:hint="eastAsia" w:ascii="宋体" w:hAnsi="宋体" w:cs="宋体"/>
                <w:spacing w:val="-2"/>
                <w:sz w:val="24"/>
                <w:highlight w:val="none"/>
              </w:rPr>
              <w:t xml:space="preserve">10</w:t>
            </w:r>
            <w:r/>
          </w:p>
        </w:tc>
        <w:tc>
          <w:tcPr>
            <w:shd w:val="clear" w:color="auto" w:fill="auto"/>
            <w:tcW w:w="1208" w:type="dxa"/>
            <w:vAlign w:val="center"/>
            <w:textDirection w:val="lrTb"/>
            <w:noWrap w:val="false"/>
          </w:tcPr>
          <w:p>
            <w:pPr>
              <w:jc w:val="center"/>
              <w:spacing w:line="360" w:lineRule="auto"/>
              <w:rPr>
                <w:rFonts w:ascii="宋体" w:hAnsi="宋体" w:cs="宋体"/>
                <w:spacing w:val="-2"/>
                <w:sz w:val="24"/>
                <w:highlight w:val="none"/>
              </w:rPr>
              <w:outlineLvl w:val="0"/>
            </w:pPr>
            <w:r>
              <w:rPr>
                <w:rFonts w:ascii="宋体" w:hAnsi="宋体" w:cs="宋体"/>
                <w:spacing w:val="-2"/>
                <w:sz w:val="24"/>
                <w:highlight w:val="none"/>
              </w:rPr>
              <w:t xml:space="preserve">其它</w:t>
            </w:r>
            <w:r/>
          </w:p>
        </w:tc>
        <w:tc>
          <w:tcPr>
            <w:shd w:val="clear" w:color="auto" w:fill="auto"/>
            <w:tcW w:w="3742"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1、工作时间为当日 7：00— 当日 18：00；</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2、绿地养护人员见具体标段。</w:t>
            </w:r>
            <w:r/>
          </w:p>
        </w:tc>
        <w:tc>
          <w:tcPr>
            <w:shd w:val="clear" w:color="auto" w:fill="auto"/>
            <w:tcW w:w="3490" w:type="dxa"/>
            <w:textDirection w:val="lrTb"/>
            <w:noWrap w:val="false"/>
          </w:tcPr>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1、工作时间为当日 7：00—当日 18：00；</w:t>
            </w:r>
            <w:r/>
          </w:p>
          <w:p>
            <w:pPr>
              <w:spacing w:line="360" w:lineRule="auto"/>
              <w:rPr>
                <w:rFonts w:ascii="宋体" w:hAnsi="宋体" w:cs="宋体"/>
                <w:spacing w:val="-2"/>
                <w:sz w:val="24"/>
                <w:highlight w:val="none"/>
              </w:rPr>
              <w:outlineLvl w:val="0"/>
            </w:pPr>
            <w:r>
              <w:rPr>
                <w:rFonts w:ascii="宋体" w:hAnsi="宋体" w:cs="宋体"/>
                <w:spacing w:val="-2"/>
                <w:sz w:val="24"/>
                <w:highlight w:val="none"/>
              </w:rPr>
              <w:t xml:space="preserve">2、绿地养护人员见具体标段。</w:t>
            </w:r>
            <w:r/>
          </w:p>
        </w:tc>
      </w:tr>
    </w:tbl>
    <w:p>
      <w:pPr>
        <w:spacing w:line="360" w:lineRule="auto"/>
        <w:rPr>
          <w:bCs/>
          <w:sz w:val="24"/>
          <w:highlight w:val="none"/>
        </w:rPr>
        <w:outlineLvl w:val="0"/>
      </w:pPr>
      <w:r>
        <w:rPr>
          <w:bCs/>
          <w:sz w:val="24"/>
          <w:highlight w:val="none"/>
        </w:rPr>
      </w:r>
      <w:r/>
    </w:p>
    <w:p>
      <w:pPr>
        <w:spacing w:line="360" w:lineRule="auto"/>
        <w:rPr>
          <w:rFonts w:ascii="宋体" w:hAnsi="宋体" w:cs="宋体"/>
          <w:b/>
          <w:bCs/>
          <w:spacing w:val="-2"/>
          <w:sz w:val="24"/>
          <w:highlight w:val="none"/>
        </w:rPr>
        <w:outlineLvl w:val="0"/>
      </w:pPr>
      <w:r>
        <w:rPr>
          <w:rFonts w:hint="eastAsia" w:ascii="宋体" w:hAnsi="宋体" w:cs="宋体"/>
          <w:b/>
          <w:bCs/>
          <w:spacing w:val="-2"/>
          <w:sz w:val="24"/>
          <w:highlight w:val="none"/>
        </w:rPr>
        <w:t xml:space="preserve">六、</w:t>
      </w:r>
      <w:r>
        <w:rPr>
          <w:rFonts w:ascii="宋体" w:hAnsi="宋体" w:cs="宋体"/>
          <w:b/>
          <w:bCs/>
          <w:spacing w:val="-2"/>
          <w:sz w:val="24"/>
          <w:highlight w:val="none"/>
        </w:rPr>
        <w:t xml:space="preserve">管理及考核要求</w:t>
      </w:r>
      <w:r/>
    </w:p>
    <w:p>
      <w:pPr>
        <w:ind w:firstLine="472"/>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1、绿地养护工作由江苏省溧阳高新技术产业开发区国有资产管理中心组织实施。考核实行百分制，当月考核综合评分分数低于 60 分为不合格。</w:t>
      </w:r>
      <w:r/>
    </w:p>
    <w:p>
      <w:pPr>
        <w:ind w:firstLine="472"/>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2、一个月的试用养护期是检验各单位养护成效的期限，是否签订养护合同，进入正式 养护期由江苏省溧阳高新技术产业开发区国有资产管理中心认定。如一个月的试用养护期 检验不合格，将不签订养护合同。中标单位不得以设备采购、人员招聘、办公经营场所租赁等任何理由向采购人提出经济补偿要求。</w:t>
      </w:r>
      <w:r/>
    </w:p>
    <w:p>
      <w:pPr>
        <w:ind w:firstLine="472"/>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3、乙方在养护期内出现以下问题之一，养护合同将自动终止：</w:t>
      </w:r>
      <w:r/>
    </w:p>
    <w:p>
      <w:pPr>
        <w:ind w:firstLine="236"/>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（1）一养护年度中有连续两次月考核不合格的（考核评分 60 分以下）。</w:t>
      </w:r>
      <w:r/>
    </w:p>
    <w:p>
      <w:pPr>
        <w:ind w:firstLine="236"/>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（2）如在养护期内，发生重大质量、安全方面的责任事故，对绿化景观造成严重破坏或造 成严重社会影响的，采购人将取消其养护资格，扣除养护保证金，并依法继续向承包人追究相应法律和经济责任。</w:t>
      </w:r>
      <w:r/>
    </w:p>
    <w:p>
      <w:pPr>
        <w:ind w:firstLine="236"/>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（3）养护现场负责人随意更换的。</w:t>
      </w:r>
      <w:r/>
    </w:p>
    <w:p>
      <w:pPr>
        <w:ind w:firstLine="236"/>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（4）养护合同进行转包的。被取消养护资格后，由参与竞价养护的第二名投标人获得优先养护资格，依次类推并同样采用以上方法考察单位养护能力。</w:t>
      </w:r>
      <w:r/>
    </w:p>
    <w:p>
      <w:pPr>
        <w:spacing w:line="360" w:lineRule="auto"/>
        <w:rPr>
          <w:rFonts w:ascii="宋体" w:hAnsi="宋体" w:eastAsia="宋体" w:cs="宋体"/>
          <w:b/>
          <w:bCs/>
          <w:spacing w:val="-2"/>
          <w:sz w:val="24"/>
          <w:highlight w:val="none"/>
        </w:rPr>
        <w:outlineLvl w:val="0"/>
      </w:pPr>
      <w:r>
        <w:rPr>
          <w:rFonts w:ascii="宋体" w:hAnsi="宋体" w:eastAsia="宋体" w:cs="宋体"/>
          <w:b/>
          <w:bCs/>
          <w:spacing w:val="-2"/>
          <w:sz w:val="24"/>
          <w:highlight w:val="none"/>
        </w:rPr>
        <w:t xml:space="preserve">4、</w:t>
      </w:r>
      <w:r>
        <w:rPr>
          <w:rFonts w:hint="eastAsia" w:ascii="宋体" w:hAnsi="宋体" w:eastAsia="宋体" w:cs="宋体"/>
          <w:b/>
          <w:bCs/>
          <w:spacing w:val="-2"/>
          <w:sz w:val="24"/>
          <w:highlight w:val="none"/>
        </w:rPr>
        <w:t xml:space="preserve">绿化养护费用根据年度考核情况年底一次性付清（本次报价按照12个月的养护时间，最终结算按照实际养护时间。每月养护费用=投标报价总价/12）</w:t>
      </w:r>
      <w:r>
        <w:rPr>
          <w:rFonts w:ascii="宋体" w:hAnsi="宋体" w:eastAsia="宋体" w:cs="宋体"/>
          <w:b/>
          <w:bCs/>
          <w:spacing w:val="-2"/>
          <w:sz w:val="24"/>
          <w:highlight w:val="none"/>
        </w:rPr>
        <w:t xml:space="preserve">。</w:t>
      </w:r>
      <w:r/>
    </w:p>
    <w:p>
      <w:pPr>
        <w:spacing w:line="360" w:lineRule="auto"/>
        <w:rPr>
          <w:rFonts w:ascii="宋体" w:hAnsi="宋体" w:cs="宋体"/>
          <w:spacing w:val="-2"/>
          <w:sz w:val="24"/>
          <w:highlight w:val="none"/>
        </w:rPr>
        <w:outlineLvl w:val="0"/>
      </w:pPr>
      <w:r>
        <w:rPr>
          <w:rFonts w:ascii="宋体" w:hAnsi="宋体" w:eastAsia="宋体" w:cs="宋体"/>
          <w:spacing w:val="-2"/>
          <w:sz w:val="24"/>
          <w:highlight w:val="none"/>
        </w:rPr>
        <w:t xml:space="preserve">5、绿化养护考核实施细则</w:t>
      </w:r>
      <w:r/>
    </w:p>
    <w:tbl>
      <w:tblPr>
        <w:tblStyle w:val="8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727"/>
        <w:gridCol w:w="3585"/>
        <w:gridCol w:w="3465"/>
        <w:gridCol w:w="745"/>
      </w:tblGrid>
      <w:tr>
        <w:trPr>
          <w:trHeight w:val="449"/>
        </w:trPr>
        <w:tc>
          <w:tcPr>
            <w:shd w:val="clear" w:color="auto" w:fill="auto"/>
            <w:tcW w:w="766" w:type="dxa"/>
            <w:vAlign w:val="center"/>
            <w:textDirection w:val="lrTb"/>
            <w:noWrap w:val="false"/>
          </w:tcPr>
          <w:p>
            <w:pPr>
              <w:jc w:val="center"/>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项目</w:t>
            </w:r>
            <w:r/>
          </w:p>
        </w:tc>
        <w:tc>
          <w:tcPr>
            <w:shd w:val="clear" w:color="auto" w:fill="auto"/>
            <w:tcW w:w="727" w:type="dxa"/>
            <w:vAlign w:val="center"/>
            <w:textDirection w:val="lrTb"/>
            <w:noWrap w:val="false"/>
          </w:tcPr>
          <w:p>
            <w:pPr>
              <w:jc w:val="center"/>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分值</w:t>
            </w:r>
            <w:r/>
          </w:p>
        </w:tc>
        <w:tc>
          <w:tcPr>
            <w:shd w:val="clear" w:color="auto" w:fill="auto"/>
            <w:tcW w:w="3585" w:type="dxa"/>
            <w:vAlign w:val="center"/>
            <w:textDirection w:val="lrTb"/>
            <w:noWrap w:val="false"/>
          </w:tcPr>
          <w:p>
            <w:pPr>
              <w:jc w:val="center"/>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考核标准</w:t>
            </w:r>
            <w:r/>
          </w:p>
        </w:tc>
        <w:tc>
          <w:tcPr>
            <w:shd w:val="clear" w:color="auto" w:fill="auto"/>
            <w:tcW w:w="3465" w:type="dxa"/>
            <w:vAlign w:val="center"/>
            <w:textDirection w:val="lrTb"/>
            <w:noWrap w:val="false"/>
          </w:tcPr>
          <w:p>
            <w:pPr>
              <w:jc w:val="center"/>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扣分细则</w:t>
            </w:r>
            <w:r/>
          </w:p>
        </w:tc>
        <w:tc>
          <w:tcPr>
            <w:shd w:val="clear" w:color="auto" w:fill="auto"/>
            <w:tcW w:w="745" w:type="dxa"/>
            <w:vAlign w:val="center"/>
            <w:textDirection w:val="lrTb"/>
            <w:noWrap w:val="false"/>
          </w:tcPr>
          <w:p>
            <w:pPr>
              <w:jc w:val="center"/>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扣分</w:t>
            </w:r>
            <w:r/>
          </w:p>
        </w:tc>
      </w:tr>
      <w:tr>
        <w:trPr>
          <w:trHeight w:val="1090"/>
        </w:trPr>
        <w:tc>
          <w:tcPr>
            <w:shd w:val="clear" w:color="auto" w:fill="auto"/>
            <w:tcW w:w="766" w:type="dxa"/>
            <w:vAlign w:val="center"/>
            <w:vMerge w:val="restart"/>
            <w:textDirection w:val="tbLrV"/>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卫生保洁</w:t>
            </w:r>
            <w:r/>
          </w:p>
        </w:tc>
        <w:tc>
          <w:tcPr>
            <w:shd w:val="clear" w:color="auto" w:fill="auto"/>
            <w:tcW w:w="727" w:type="dxa"/>
            <w:vAlign w:val="center"/>
            <w:vMerge w:val="restart"/>
            <w:textDirection w:val="lrTb"/>
            <w:noWrap w:val="false"/>
          </w:tcPr>
          <w:p>
            <w:pPr>
              <w:jc w:val="cente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5</w:t>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1、花坛、树池、绿地内无白色垃圾、落叶、建筑垃圾；水面无漂浮物等。</w:t>
            </w:r>
            <w:r/>
          </w:p>
        </w:tc>
        <w:tc>
          <w:tcPr>
            <w:shd w:val="clear" w:color="auto" w:fill="auto"/>
            <w:tcW w:w="3465"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发现有陈旧垃圾、杂物扣 2 分/处； 发现有卫生死角扣 5 分/处；发现 园林设施及水体不整洁扣 1 分/处；垃圾当天不及时清运扣 2 分</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rHeight w:val="824"/>
        </w:trPr>
        <w:tc>
          <w:tcPr>
            <w:shd w:val="clear" w:color="auto" w:fill="auto"/>
            <w:tcW w:w="766" w:type="dxa"/>
            <w:vAlign w:val="center"/>
            <w:vMerge w:val="continue"/>
            <w:textDirection w:val="tbLrV"/>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shd w:val="clear" w:color="auto" w:fill="auto"/>
            <w:tcW w:w="727" w:type="dxa"/>
            <w:vAlign w:val="center"/>
            <w:vMerge w:val="continue"/>
            <w:textDirection w:val="lrTb"/>
            <w:noWrap w:val="false"/>
          </w:tcPr>
          <w:p>
            <w:pPr>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2、生产垃圾日产日清，重点地段随产随清。</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Align w:val="center"/>
            <w:vMerge w:val="restart"/>
            <w:textDirection w:val="tbLrV"/>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草坪养护</w:t>
            </w:r>
            <w:r/>
          </w:p>
        </w:tc>
        <w:tc>
          <w:tcPr>
            <w:shd w:val="clear" w:color="auto" w:fill="auto"/>
            <w:tcW w:w="727" w:type="dxa"/>
            <w:vAlign w:val="center"/>
            <w:vMerge w:val="restart"/>
            <w:textDirection w:val="lrTb"/>
            <w:noWrap w:val="false"/>
          </w:tcPr>
          <w:p>
            <w:pPr>
              <w:jc w:val="cente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20</w:t>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1、生长期长势好，草坪绿期长，抗旱浇水和雨后排水及时，保证绿化带内土壤松透湿润无退化现象。</w:t>
            </w:r>
            <w:r/>
          </w:p>
        </w:tc>
        <w:tc>
          <w:tcPr>
            <w:shd w:val="clear" w:color="auto" w:fill="auto"/>
            <w:tcW w:w="3465"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未及时做好浇水、排水工作致草坪生长不良扣 1 分/处；修剪不合 格每平方扣 1 分；病虫害防治不 力造成危害影响景观的每平方扣 1 分；杂草明显、界线不清扣 1 分/处</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2、修剪平整，冬绿型草坪高度不超过 10 厘米，夏绿型草坪高度不超过 6 厘米，休眠期前作较低修剪。</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3、草坪无病虫害，无空秃，有一定厚度，草根不裸露。</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4、无杂草，与绿篱色块、地被之间界线清晰。</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Merge w:val="restart"/>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乔</w:t>
            </w:r>
            <w:r>
              <w:rPr>
                <w:rFonts w:ascii="宋体" w:hAnsi="宋体" w:eastAsia="宋体" w:cs="宋体"/>
                <w:spacing w:val="-2"/>
                <w:sz w:val="24"/>
                <w:highlight w:val="none"/>
              </w:rPr>
              <w:t xml:space="preserve">灌木养护</w:t>
            </w:r>
            <w:r/>
          </w:p>
        </w:tc>
        <w:tc>
          <w:tcPr>
            <w:shd w:val="clear" w:color="auto" w:fill="auto"/>
            <w:tcW w:w="727"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20</w:t>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1、树木生长正常，无死树、断枝及明 显枯死枝，无倾斜、歪倒现象，绿篱色块基本无空缺。</w:t>
            </w:r>
            <w:r/>
          </w:p>
        </w:tc>
        <w:tc>
          <w:tcPr>
            <w:shd w:val="clear" w:color="auto" w:fill="auto"/>
            <w:tcW w:w="3465"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管护不到位，未及时做好浇水、排水工作致苗木死亡的扣 5 分/处；歪斜树不及时扶正、死树、枯枝、断枝不及时处理扣 1分/株。修剪、清理不及时及修剪手法过重扣 1分/处；绿篱色块成片死亡未及时补缺到位扣 1 分/处。出现病虫害症状，防治不力的扣 1 分/ 次，造成严重危害的扣 2 分/次，造成一定范围植株死亡的扣 5 分/次。</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发现明显杂草、杂树扣 1 分/处。</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rHeight w:val="1134"/>
        </w:trPr>
        <w:tc>
          <w:tcPr>
            <w:shd w:val="clear" w:color="auto" w:fill="auto"/>
            <w:tcW w:w="766" w:type="dxa"/>
            <w:vMerge w:val="continue"/>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2、树木的修剪符合景观观赏要求，乔木根部无萌孽枝，绿篱、色块修剪及时到位，垂直绿化牵引、绑扎到位。</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rHeight w:val="1134"/>
        </w:trPr>
        <w:tc>
          <w:tcPr>
            <w:shd w:val="clear" w:color="auto" w:fill="auto"/>
            <w:tcW w:w="766" w:type="dxa"/>
            <w:vMerge w:val="continue"/>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3、以生态农药采取根埋，注射等科学 方法进行，严禁使用有机农药，冬季涂白规范整齐。</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rHeight w:val="1134"/>
        </w:trPr>
        <w:tc>
          <w:tcPr>
            <w:shd w:val="clear" w:color="auto" w:fill="auto"/>
            <w:tcW w:w="766" w:type="dxa"/>
            <w:vMerge w:val="continue"/>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4、绿地内无大型杂草、无缠绕性、攀 缘性杂草，无乱牵乱挂现象，杂树、树桩清除及时。</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Merge w:val="restart"/>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常规养护</w:t>
            </w:r>
            <w:r/>
          </w:p>
        </w:tc>
        <w:tc>
          <w:tcPr>
            <w:shd w:val="clear" w:color="auto" w:fill="auto"/>
            <w:tcW w:w="727"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15</w:t>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1、年内施肥不少于二次，冬季基肥以 有机肥为主，采取穴施、沟施法；季节施肥掌握在花前花后追肥。</w:t>
            </w:r>
            <w:r/>
          </w:p>
        </w:tc>
        <w:tc>
          <w:tcPr>
            <w:shd w:val="clear" w:color="auto" w:fill="auto"/>
            <w:tcW w:w="3465"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年内施肥不少于二次，冬季基肥 以有机肥为主，采取穴施、沟施 法；季节施肥掌握在花前花后追 肥，少施一次扣 1 分，偷工减料扣 1 分；未对缺树缺苗及时进行 补种补栽，每次扣 1 分；未做到 苗木搭配均匀合理无空缺，色块内树苗均匀整齐无空壳花圃內搭配合理鲜艳漂亮，每次扣 1 分。</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2、根据原有乔灌木色块及花圃规划设计，对缺树缺苗进行补种补栽，做到苗木搭配均匀合理无空缺，色块内树 苗均匀整齐无空壳花圃內搭配合理鲜艳漂亮。</w:t>
            </w:r>
            <w:r/>
          </w:p>
        </w:tc>
        <w:tc>
          <w:tcPr>
            <w:shd w:val="clear" w:color="auto" w:fill="auto"/>
            <w:tcW w:w="3465"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Align w:val="center"/>
            <w:vMerge w:val="restart"/>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绿地秩序</w:t>
            </w:r>
            <w:r/>
          </w:p>
        </w:tc>
        <w:tc>
          <w:tcPr>
            <w:shd w:val="clear" w:color="auto" w:fill="auto"/>
            <w:tcW w:w="727"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15</w:t>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1、绿地上有杂物堆放、乱停车、乱披挂、乱设摊、乱晾晒、乱焚烧生产垃圾的现象。</w:t>
            </w:r>
            <w:r/>
          </w:p>
        </w:tc>
        <w:tc>
          <w:tcPr>
            <w:shd w:val="clear" w:color="auto" w:fill="auto"/>
            <w:tcW w:w="3465"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发现一辆扣 1 分，管养人员自己的车辆扣 2 分/辆,杂物堆放、乱披挂、乱晾晒扣 1 分/处，乱设置 扣 2 分/处，乱焚烧生产垃圾扣 3 分/处，扣完为止。绿地侵占、破坏设施未发现制止或发现未汇报</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的扣 2 分/次。</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rHeight w:val="1134"/>
        </w:trPr>
        <w:tc>
          <w:tcPr>
            <w:shd w:val="clear" w:color="auto" w:fill="auto"/>
            <w:tcW w:w="766" w:type="dxa"/>
            <w:vAlign w:val="center"/>
            <w:vMerge w:val="continue"/>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2、发现绿地侵占、偷盗苗木、破坏设施等现象，要立即制止，同时第一时间与采购人联系并汇报。</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rHeight w:val="1134"/>
        </w:trPr>
        <w:tc>
          <w:tcPr>
            <w:shd w:val="clear" w:color="auto" w:fill="auto"/>
            <w:tcW w:w="766" w:type="dxa"/>
            <w:vAlign w:val="center"/>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案件处置</w:t>
            </w:r>
            <w:r/>
          </w:p>
        </w:tc>
        <w:tc>
          <w:tcPr>
            <w:shd w:val="clear" w:color="auto" w:fill="auto"/>
            <w:tcW w:w="727" w:type="dxa"/>
            <w:vAlign w:val="center"/>
            <w:textDirection w:val="lrTb"/>
            <w:noWrap w:val="false"/>
          </w:tcPr>
          <w:p>
            <w:pP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10</w:t>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1、案件发生后，处置人员把信息发往 该标段负责人，接收后应及时作收到回复。</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2、在规定时间内按相关要求处理好案 件，如因处置不当，造成返工现象，有一个扣 1 分。</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3、按规范回复案件，即案件序号加两张处置后的照片。</w:t>
            </w:r>
            <w:r/>
          </w:p>
        </w:tc>
        <w:tc>
          <w:tcPr>
            <w:shd w:val="clear" w:color="auto" w:fill="auto"/>
            <w:tcW w:w="346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未及时回复的，每有一个扣 1 分</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rHeight w:val="1386"/>
        </w:trPr>
        <w:tc>
          <w:tcPr>
            <w:shd w:val="clear" w:color="auto" w:fill="auto"/>
            <w:tcW w:w="766" w:type="dxa"/>
            <w:vAlign w:val="center"/>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现场考评</w:t>
            </w:r>
            <w:r/>
          </w:p>
        </w:tc>
        <w:tc>
          <w:tcPr>
            <w:shd w:val="clear" w:color="auto" w:fill="auto"/>
            <w:tcW w:w="727" w:type="dxa"/>
            <w:vAlign w:val="center"/>
            <w:textDirection w:val="lrTb"/>
            <w:noWrap w:val="false"/>
          </w:tcPr>
          <w:p>
            <w:pP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5</w:t>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被现场考评组直接扣分的</w:t>
            </w:r>
            <w:r/>
          </w:p>
        </w:tc>
        <w:tc>
          <w:tcPr>
            <w:shd w:val="clear" w:color="auto" w:fill="auto"/>
            <w:tcW w:w="346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被现场考评组直接扣分的，有一件扣 1 分</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Align w:val="center"/>
            <w:vMerge w:val="restart"/>
            <w:textDirection w:val="tbLrV"/>
            <w:noWrap w:val="false"/>
          </w:tcPr>
          <w:p>
            <w:pPr>
              <w:ind w:left="113" w:right="113"/>
              <w:jc w:val="cente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其他</w:t>
            </w:r>
            <w:r/>
          </w:p>
        </w:tc>
        <w:tc>
          <w:tcPr>
            <w:shd w:val="clear" w:color="auto" w:fill="auto"/>
            <w:tcW w:w="727"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10</w:t>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1、常规管理人员符合管养绿地要求， 人员齐全，年龄符合规定。定职定岗，按规定着标志服装。</w:t>
            </w:r>
            <w:r/>
          </w:p>
        </w:tc>
        <w:tc>
          <w:tcPr>
            <w:shd w:val="clear" w:color="auto" w:fill="auto"/>
            <w:tcW w:w="3465" w:type="dxa"/>
            <w:vAlign w:val="center"/>
            <w:vMerge w:val="restart"/>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上岗人员有缺少或不符合要求扣 5 分/人，聚众聊天、串岗离岗发 现 1 人扣 1 分；不着标志服装,每 发现 1 人扣 1 分。未按作业安全操作规程进行登高、机械操作的 发现一次扣 1 分。不服从采购人管理，未能按要求完成任务的一 次扣 2 分。机械不按合同要求配备，少一台扣 2 分。</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2、安全要求，按绿化作业安全操作规程执行</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27"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585" w:type="dxa"/>
            <w:vAlign w:val="center"/>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3、机械未按照合同要求配备</w:t>
            </w:r>
            <w:r/>
          </w:p>
        </w:tc>
        <w:tc>
          <w:tcPr>
            <w:shd w:val="clear" w:color="auto" w:fill="auto"/>
            <w:tcW w:w="3465" w:type="dxa"/>
            <w:vAlign w:val="center"/>
            <w:vMerge w:val="continue"/>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c>
          <w:tcPr>
            <w:shd w:val="clear" w:color="auto" w:fill="auto"/>
            <w:tcW w:w="766" w:type="dxa"/>
            <w:vAlign w:val="center"/>
            <w:textDirection w:val="lrTb"/>
            <w:noWrap w:val="false"/>
          </w:tcPr>
          <w:p>
            <w:pP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合计</w:t>
            </w:r>
            <w:r/>
          </w:p>
        </w:tc>
        <w:tc>
          <w:tcPr>
            <w:shd w:val="clear" w:color="auto" w:fill="auto"/>
            <w:tcW w:w="727" w:type="dxa"/>
            <w:vAlign w:val="center"/>
            <w:textDirection w:val="lrTb"/>
            <w:noWrap w:val="false"/>
          </w:tcPr>
          <w:p>
            <w:pPr>
              <w:jc w:val="center"/>
              <w:rPr>
                <w:rFonts w:ascii="宋体" w:hAnsi="宋体" w:eastAsia="宋体" w:cs="宋体"/>
                <w:sz w:val="24"/>
                <w:highlight w:val="none"/>
              </w:rPr>
            </w:pPr>
            <w:r>
              <w:rPr>
                <w:rFonts w:hint="eastAsia" w:ascii="Times New Roman" w:hAnsi="Times New Roman" w:eastAsia="宋体" w:cs="Times New Roman"/>
                <w:sz w:val="24"/>
                <w:highlight w:val="none"/>
              </w:rPr>
              <w:t xml:space="preserve">100</w:t>
            </w:r>
            <w:r/>
          </w:p>
        </w:tc>
        <w:tc>
          <w:tcPr>
            <w:shd w:val="clear" w:color="auto" w:fill="auto"/>
            <w:tcW w:w="358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c>
          <w:tcPr>
            <w:shd w:val="clear" w:color="auto" w:fill="auto"/>
            <w:tcW w:w="3465" w:type="dxa"/>
            <w:vAlign w:val="center"/>
            <w:textDirection w:val="lrTb"/>
            <w:noWrap w:val="false"/>
          </w:tcPr>
          <w:p>
            <w:pPr>
              <w:rPr>
                <w:rFonts w:ascii="Times New Roman" w:hAnsi="Times New Roman" w:eastAsia="宋体" w:cs="Times New Roman"/>
                <w:highlight w:val="none"/>
              </w:rPr>
            </w:pPr>
            <w:r>
              <w:rPr>
                <w:rFonts w:hint="eastAsia" w:ascii="Times New Roman" w:hAnsi="Times New Roman" w:eastAsia="宋体" w:cs="Times New Roman"/>
                <w:sz w:val="24"/>
                <w:highlight w:val="none"/>
              </w:rPr>
              <w:t xml:space="preserve">得分</w:t>
            </w:r>
            <w:r/>
          </w:p>
        </w:tc>
        <w:tc>
          <w:tcPr>
            <w:shd w:val="clear" w:color="auto" w:fill="auto"/>
            <w:tcW w:w="745"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r>
            <w:r/>
          </w:p>
        </w:tc>
      </w:tr>
      <w:tr>
        <w:trPr>
          <w:trHeight w:val="1134"/>
        </w:trPr>
        <w:tc>
          <w:tcPr>
            <w:shd w:val="clear" w:color="auto" w:fill="auto"/>
            <w:tcW w:w="766" w:type="dxa"/>
            <w:vAlign w:val="center"/>
            <w:textDirection w:val="tbLrV"/>
            <w:noWrap w:val="false"/>
          </w:tcPr>
          <w:p>
            <w:pPr>
              <w:jc w:val="center"/>
              <w:rPr>
                <w:rFonts w:ascii="Times New Roman" w:hAnsi="Times New Roman" w:eastAsia="宋体" w:cs="Times New Roman"/>
                <w:highlight w:val="none"/>
              </w:rPr>
            </w:pPr>
            <w:r>
              <w:rPr>
                <w:rFonts w:ascii="Times New Roman" w:hAnsi="Times New Roman" w:eastAsia="宋体" w:cs="Times New Roman"/>
                <w:sz w:val="24"/>
                <w:highlight w:val="none"/>
              </w:rPr>
              <w:t xml:space="preserve">特别条款</w:t>
            </w:r>
            <w:r/>
          </w:p>
        </w:tc>
        <w:tc>
          <w:tcPr>
            <w:gridSpan w:val="4"/>
            <w:shd w:val="clear" w:color="auto" w:fill="auto"/>
            <w:tcW w:w="8522" w:type="dxa"/>
            <w:textDirection w:val="lrTb"/>
            <w:noWrap w:val="false"/>
          </w:tcPr>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1、被媒体曝光或受到各级领导通报批评的，发生一次扣 5 分；</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2、各部门发现的问题或者群众来信来访未能及时整改处理或回复处理不及时、不真实的，每次扣 5 分；</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3、城市长效管理，数字化城管中因管理出现扣分的，直接按实际扣分。</w:t>
            </w:r>
            <w:r/>
          </w:p>
          <w:p>
            <w:pPr>
              <w:spacing w:line="360" w:lineRule="auto"/>
              <w:rPr>
                <w:rFonts w:ascii="宋体" w:hAnsi="宋体" w:eastAsia="宋体" w:cs="宋体"/>
                <w:spacing w:val="-2"/>
                <w:sz w:val="24"/>
                <w:highlight w:val="none"/>
              </w:rPr>
              <w:outlineLvl w:val="0"/>
            </w:pPr>
            <w:r>
              <w:rPr>
                <w:rFonts w:ascii="宋体" w:hAnsi="宋体" w:eastAsia="宋体" w:cs="宋体"/>
                <w:spacing w:val="-2"/>
                <w:sz w:val="24"/>
                <w:highlight w:val="none"/>
              </w:rPr>
              <w:t xml:space="preserve">4、不服从采购人统一管理,未完成采购人安排的其他任务的，发生一次扣 5 分。</w:t>
            </w:r>
            <w:r/>
          </w:p>
        </w:tc>
      </w:tr>
    </w:tbl>
    <w:p>
      <w:pPr>
        <w:spacing w:line="360" w:lineRule="auto"/>
        <w:rPr>
          <w:rFonts w:ascii="宋体" w:hAnsi="宋体" w:cs="宋体"/>
          <w:spacing w:val="-2"/>
          <w:sz w:val="24"/>
          <w:highlight w:val="none"/>
        </w:rPr>
        <w:outlineLvl w:val="0"/>
      </w:pPr>
      <w:r>
        <w:rPr>
          <w:rFonts w:ascii="宋体" w:hAnsi="宋体" w:cs="宋体"/>
          <w:spacing w:val="-2"/>
          <w:sz w:val="24"/>
          <w:highlight w:val="none"/>
        </w:rPr>
      </w:r>
      <w:r/>
    </w:p>
    <w:p>
      <w:pPr>
        <w:ind w:firstLine="480"/>
        <w:jc w:val="left"/>
        <w:spacing w:line="360" w:lineRule="auto"/>
        <w:rPr>
          <w:rFonts w:ascii="Times New Roman" w:hAnsi="Times New Roman" w:eastAsia="宋体" w:cs="Times New Roman"/>
          <w:sz w:val="24"/>
          <w:highlight w:val="none"/>
        </w:rPr>
        <w:outlineLvl w:val="0"/>
      </w:pPr>
      <w:r>
        <w:rPr>
          <w:rFonts w:hint="eastAsia" w:ascii="Times New Roman" w:hAnsi="Times New Roman" w:eastAsia="宋体" w:cs="Times New Roman"/>
          <w:sz w:val="24"/>
          <w:highlight w:val="none"/>
        </w:rPr>
        <w:t xml:space="preserve">日常考核时，对于人员上岗、着装、日常保洁、病虫害以及一些直接造成损害的问题直接扣分；其他问题按要求整改处理，在规定期限未能处理到位的进行扣分。月考核中，发现问题直接扣分。</w:t>
      </w:r>
      <w:r/>
    </w:p>
    <w:p>
      <w:pPr>
        <w:ind w:firstLine="480"/>
        <w:jc w:val="left"/>
        <w:spacing w:line="360" w:lineRule="auto"/>
        <w:rPr>
          <w:b/>
          <w:bCs/>
          <w:sz w:val="24"/>
          <w:highlight w:val="none"/>
        </w:rPr>
        <w:outlineLvl w:val="0"/>
      </w:pPr>
      <w:r>
        <w:rPr>
          <w:rFonts w:hint="eastAsia" w:ascii="Times New Roman" w:hAnsi="Times New Roman" w:eastAsia="宋体" w:cs="Times New Roman"/>
          <w:sz w:val="24"/>
          <w:highlight w:val="none"/>
        </w:rPr>
        <w:t xml:space="preserve">上述考核办法最终解释权归属江苏省溧阳高新技术产业开发区国有资产管理中心。《办法》内十项扣分和奖罚累加不保底，本着公正、公平、公开原则，每次扣分和奖罚都在中关村市政绿化养护群内公示，考核得分与年度养护经费挂钩。</w:t>
      </w:r>
      <w:r/>
    </w:p>
    <w:p>
      <w:pPr>
        <w:jc w:val="left"/>
        <w:spacing w:line="360" w:lineRule="auto"/>
        <w:rPr>
          <w:rFonts w:ascii="宋体" w:hAnsi="宋体" w:cs="宋体"/>
          <w:b/>
          <w:bCs/>
          <w:spacing w:val="-2"/>
          <w:sz w:val="24"/>
          <w:highlight w:val="none"/>
        </w:rPr>
        <w:outlineLvl w:val="0"/>
      </w:pPr>
      <w:r>
        <w:rPr>
          <w:rFonts w:hint="eastAsia" w:ascii="宋体" w:hAnsi="宋体" w:cs="宋体"/>
          <w:b/>
          <w:bCs/>
          <w:spacing w:val="-2"/>
          <w:sz w:val="24"/>
          <w:highlight w:val="none"/>
        </w:rPr>
        <w:t xml:space="preserve">七、绿化养护管理奖惩办法</w:t>
      </w:r>
      <w:r/>
    </w:p>
    <w:p>
      <w:pPr>
        <w:ind w:firstLine="472"/>
        <w:jc w:val="left"/>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1、绿化养护综合评分在 80 分以上者（含 80 分）按合同价正常结算当月养护经费；综合评分在 60（含）-80 分，按合同价 1/2 结算当月养护经费；综合评分在 60 分以下者，扣除当月养护经费。</w:t>
      </w:r>
      <w:r/>
    </w:p>
    <w:p>
      <w:pPr>
        <w:ind w:firstLine="472"/>
        <w:jc w:val="left"/>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2、有下列情形之一的，合同采购人有权单方终止与乙方的养护合同，当月的养护经费不予结算：</w:t>
      </w:r>
      <w:r/>
    </w:p>
    <w:p>
      <w:pPr>
        <w:ind w:firstLine="236"/>
        <w:jc w:val="left"/>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（1）未按</w:t>
      </w:r>
      <w:r>
        <w:rPr>
          <w:rFonts w:hint="eastAsia" w:ascii="宋体" w:hAnsi="宋体" w:cs="宋体"/>
          <w:spacing w:val="-2"/>
          <w:sz w:val="24"/>
          <w:highlight w:val="none"/>
          <w:lang w:val="en-US" w:eastAsia="zh-CN"/>
        </w:rPr>
        <w:t xml:space="preserve">招标</w:t>
      </w:r>
      <w:r>
        <w:rPr>
          <w:rFonts w:hint="eastAsia" w:ascii="宋体" w:hAnsi="宋体" w:eastAsia="宋体" w:cs="宋体"/>
          <w:spacing w:val="-2"/>
          <w:sz w:val="24"/>
          <w:highlight w:val="none"/>
        </w:rPr>
        <w:t xml:space="preserve">文件的要求组织养护工作的（如养护期间没有固定经营场所、机具非自有等）；</w:t>
      </w:r>
      <w:r/>
    </w:p>
    <w:p>
      <w:pPr>
        <w:ind w:firstLine="236"/>
        <w:jc w:val="left"/>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（2）连续二次考核综合评分在 60 分以下的；</w:t>
      </w:r>
      <w:r/>
    </w:p>
    <w:p>
      <w:pPr>
        <w:ind w:firstLine="236"/>
        <w:jc w:val="left"/>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（3）养护合同进行转包的；</w:t>
      </w:r>
      <w:r/>
    </w:p>
    <w:p>
      <w:pPr>
        <w:ind w:firstLine="236"/>
        <w:jc w:val="left"/>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（4）因工人集体罢工、上访、群众举报和投诉等事件致使采购人名誉受损或其它损失的，除按考核要求扣分外，直接扣款 2000 元/次，情节特别严重的终止养护合同；</w:t>
      </w:r>
      <w:r/>
    </w:p>
    <w:p>
      <w:pPr>
        <w:ind w:firstLine="472"/>
        <w:jc w:val="left"/>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3、绿化养护考核由日常考核巡查和月考核组成，由合同采购人组织实施。</w:t>
      </w:r>
      <w:r/>
    </w:p>
    <w:p>
      <w:pPr>
        <w:ind w:firstLine="472"/>
        <w:jc w:val="left"/>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4、综合评分=100- 日常考核扣分×70%-月度考核扣分×30%－特别条款扣分。</w:t>
      </w:r>
      <w:r/>
    </w:p>
    <w:p>
      <w:pPr>
        <w:ind w:firstLine="472"/>
        <w:jc w:val="left"/>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5、暴露出的同一问题采购人电话通知乙方两次后仍未整改到位，采购人将开出“整改通知书 ”，并在当月综合评分中扣除 5 分。</w:t>
      </w:r>
      <w:r/>
    </w:p>
    <w:p>
      <w:pPr>
        <w:ind w:firstLine="472"/>
        <w:jc w:val="left"/>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6、日常检查过程中，出现下列情况时，除按规定扣分外，还需直接扣除养护经费：</w:t>
      </w:r>
      <w:r/>
    </w:p>
    <w:p>
      <w:pPr>
        <w:ind w:firstLine="236"/>
        <w:jc w:val="left"/>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（1）现场负责人应按时按规定参加江苏省溧阳高新技术产业开发区国有资产管理中心组织的各项培训、会议；无故缺席的一次扣 500 元；每月到场22天，少一天扣2000元。</w:t>
      </w:r>
      <w:r/>
    </w:p>
    <w:p>
      <w:pPr>
        <w:ind w:firstLine="236"/>
        <w:jc w:val="left"/>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（2）按合同规定的最低常规养护人数（10人）到岗到位，不足员时，按每人每天 200 元扣除；</w:t>
      </w:r>
      <w:r/>
    </w:p>
    <w:p>
      <w:pPr>
        <w:ind w:firstLine="236"/>
        <w:jc w:val="left"/>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（3）处于失管状态的地块，采购人有权根据失管的严重程度，在扣分的基础上，直接扣除当月的养护费用；</w:t>
      </w:r>
      <w:r/>
    </w:p>
    <w:p>
      <w:pPr>
        <w:ind w:firstLine="472"/>
        <w:jc w:val="left"/>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7、该措施中所指的扣款是每月考核综合评分扣款，承包人在结算资金时结清。</w:t>
      </w:r>
      <w:r/>
    </w:p>
    <w:p>
      <w:pPr>
        <w:ind w:firstLine="472"/>
        <w:jc w:val="left"/>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8、如不当养护造成绿化损失或严重社会影响，如草坪杂化、乔木修剪过重、地被花境长势衰退或严重不良等由承包人负责更新，费用由承包人自行承担。</w:t>
      </w:r>
      <w:r/>
    </w:p>
    <w:p>
      <w:pPr>
        <w:ind w:firstLine="472"/>
        <w:jc w:val="left"/>
        <w:spacing w:line="360" w:lineRule="auto"/>
        <w:rPr>
          <w:rFonts w:ascii="宋体" w:hAnsi="宋体" w:eastAsia="宋体" w:cs="宋体"/>
          <w:spacing w:val="-2"/>
          <w:sz w:val="24"/>
          <w:highlight w:val="none"/>
        </w:rPr>
        <w:outlineLvl w:val="0"/>
      </w:pPr>
      <w:r>
        <w:rPr>
          <w:rFonts w:hint="eastAsia" w:ascii="宋体" w:hAnsi="宋体" w:eastAsia="宋体" w:cs="宋体"/>
          <w:spacing w:val="-2"/>
          <w:sz w:val="24"/>
          <w:highlight w:val="none"/>
        </w:rPr>
        <w:t xml:space="preserve">9、应急管理：养护中标单位必须制定灾害性天气应急预案，建立一支稳定的应急抢险队伍，并保证有能力调配到高空作业车、大功率电锯等必须的应急设备，确保出现灾害性天气时，能够第一时间投入抢险救灾中，并服从采购人另行安排的其它范围内的应急抢险任务。</w:t>
      </w:r>
      <w:r/>
    </w:p>
    <w:p>
      <w:pPr>
        <w:ind w:firstLine="472"/>
        <w:jc w:val="left"/>
        <w:spacing w:line="360" w:lineRule="auto"/>
        <w:rPr>
          <w:rFonts w:ascii="宋体" w:hAnsi="宋体" w:cs="宋体"/>
          <w:spacing w:val="-2"/>
          <w:sz w:val="24"/>
          <w:highlight w:val="none"/>
        </w:rPr>
        <w:outlineLvl w:val="0"/>
      </w:pPr>
      <w:r>
        <w:rPr>
          <w:rFonts w:hint="eastAsia" w:ascii="宋体" w:hAnsi="宋体" w:eastAsia="宋体" w:cs="宋体"/>
          <w:spacing w:val="-2"/>
          <w:sz w:val="24"/>
          <w:highlight w:val="none"/>
        </w:rPr>
        <w:t xml:space="preserve">10、安全责任事故等风险问题：养护期内，承包人须加强安全生产管理，积极主动采取 防范措施，解除安全隐患，同时为养护工人购买保险等方式来规避风险。如养护标段中发 生安全事故、人员伤亡事件，由养护中标单位负责处理解决，处理过程中发生的费用（包括赔偿费用）由承包人承担</w:t>
      </w:r>
      <w:r>
        <w:rPr>
          <w:rFonts w:hint="eastAsia" w:ascii="宋体" w:hAnsi="宋体" w:cs="宋体"/>
          <w:spacing w:val="-2"/>
          <w:sz w:val="24"/>
          <w:highlight w:val="none"/>
        </w:rPr>
        <w:t xml:space="preserve">。</w:t>
      </w:r>
      <w:r/>
    </w:p>
    <w:p>
      <w:pPr>
        <w:ind w:firstLine="480"/>
        <w:spacing w:line="360" w:lineRule="auto"/>
        <w:rPr>
          <w:bCs/>
          <w:sz w:val="24"/>
          <w:highlight w:val="none"/>
        </w:rPr>
        <w:outlineLvl w:val="0"/>
      </w:pPr>
      <w:r>
        <w:rPr>
          <w:rFonts w:hint="eastAsia"/>
          <w:bCs/>
          <w:sz w:val="24"/>
          <w:highlight w:val="none"/>
        </w:rPr>
        <w:t xml:space="preserve">八、其他条款</w:t>
      </w:r>
      <w:r/>
    </w:p>
    <w:p>
      <w:pPr>
        <w:ind w:firstLine="480"/>
        <w:spacing w:line="360" w:lineRule="auto"/>
        <w:rPr>
          <w:bCs/>
          <w:sz w:val="24"/>
          <w:highlight w:val="none"/>
        </w:rPr>
        <w:outlineLvl w:val="0"/>
      </w:pPr>
      <w:r>
        <w:rPr>
          <w:rFonts w:hint="eastAsia"/>
          <w:bCs/>
          <w:sz w:val="24"/>
          <w:highlight w:val="none"/>
        </w:rPr>
        <w:t xml:space="preserve">1、现有绿地内的苗木由于养护不到位发生缺失或死亡，由承包人按同品种同规格赔偿并包栽包活管理 1 年。由于自然灾害和不可抗力原因造成的苗木缺损，由承包人向溧阳市城市管理局提出书面申请，经溧阳市城市管理局组织有关人员现场核实后再做处理决定。</w:t>
      </w:r>
      <w:r/>
    </w:p>
    <w:p>
      <w:pPr>
        <w:ind w:firstLine="480"/>
        <w:spacing w:line="360" w:lineRule="auto"/>
        <w:rPr>
          <w:bCs/>
          <w:sz w:val="24"/>
          <w:highlight w:val="none"/>
        </w:rPr>
        <w:outlineLvl w:val="0"/>
      </w:pPr>
      <w:r>
        <w:rPr>
          <w:rFonts w:hint="eastAsia"/>
          <w:bCs/>
          <w:sz w:val="24"/>
          <w:highlight w:val="none"/>
        </w:rPr>
        <w:t xml:space="preserve">2、在合同履行过程中，若绿化养护面积出现重大变化时，以原合同综合平均单价和实际增减面积据实调整养护金额。</w:t>
      </w:r>
      <w:r/>
    </w:p>
    <w:p>
      <w:pPr>
        <w:ind w:firstLine="480"/>
        <w:spacing w:line="360" w:lineRule="auto"/>
        <w:rPr>
          <w:bCs/>
          <w:sz w:val="24"/>
          <w:highlight w:val="none"/>
        </w:rPr>
        <w:outlineLvl w:val="0"/>
      </w:pPr>
      <w:r>
        <w:rPr>
          <w:rFonts w:hint="eastAsia"/>
          <w:bCs/>
          <w:sz w:val="24"/>
          <w:highlight w:val="none"/>
        </w:rPr>
        <w:t xml:space="preserve">3、管理期内发生的一切费用包括园林建筑、喷泉、公厕、园路、广场、侧石、坐凳、果壳箱等所有设施的日常维护管理均由承包人承担。</w:t>
      </w:r>
      <w:r/>
    </w:p>
    <w:p>
      <w:pPr>
        <w:ind w:firstLine="480"/>
        <w:spacing w:line="360" w:lineRule="auto"/>
        <w:rPr>
          <w:bCs/>
          <w:sz w:val="24"/>
          <w:highlight w:val="none"/>
        </w:rPr>
        <w:outlineLvl w:val="0"/>
      </w:pPr>
      <w:r>
        <w:rPr>
          <w:rFonts w:hint="eastAsia"/>
          <w:bCs/>
          <w:sz w:val="24"/>
          <w:highlight w:val="none"/>
        </w:rPr>
        <w:t xml:space="preserve">4、税金结算办法：结算时按实际养护单位实际开具的增值税发票所缴纳税率结算。</w:t>
      </w:r>
      <w:r/>
    </w:p>
    <w:p>
      <w:pPr>
        <w:ind w:firstLine="480"/>
        <w:spacing w:line="360" w:lineRule="auto"/>
        <w:rPr>
          <w:bCs/>
          <w:sz w:val="24"/>
          <w:highlight w:val="none"/>
        </w:rPr>
        <w:outlineLvl w:val="0"/>
      </w:pPr>
      <w:r>
        <w:rPr>
          <w:rFonts w:hint="eastAsia"/>
          <w:bCs/>
          <w:sz w:val="24"/>
          <w:highlight w:val="none"/>
        </w:rPr>
        <w:t xml:space="preserve">九、合同生效及其它：</w:t>
      </w:r>
      <w:r/>
    </w:p>
    <w:p>
      <w:pPr>
        <w:ind w:firstLine="480"/>
        <w:spacing w:line="360" w:lineRule="auto"/>
        <w:rPr>
          <w:bCs/>
          <w:sz w:val="24"/>
          <w:highlight w:val="none"/>
        </w:rPr>
        <w:outlineLvl w:val="0"/>
      </w:pPr>
      <w:r>
        <w:rPr>
          <w:rFonts w:hint="eastAsia"/>
          <w:bCs/>
          <w:sz w:val="24"/>
          <w:highlight w:val="none"/>
        </w:rPr>
        <w:t xml:space="preserve">1、生效：本合同自三方签字盖章之日起成立，并依法生效。</w:t>
      </w:r>
      <w:r/>
    </w:p>
    <w:p>
      <w:pPr>
        <w:ind w:firstLine="480"/>
        <w:spacing w:line="360" w:lineRule="auto"/>
        <w:rPr>
          <w:bCs/>
          <w:sz w:val="24"/>
          <w:highlight w:val="none"/>
        </w:rPr>
        <w:outlineLvl w:val="0"/>
      </w:pPr>
      <w:r>
        <w:rPr>
          <w:rFonts w:hint="eastAsia"/>
          <w:bCs/>
          <w:sz w:val="24"/>
          <w:highlight w:val="none"/>
        </w:rPr>
        <w:t xml:space="preserve">2、下列文件均为本合同不可分割的部分：</w:t>
      </w:r>
      <w:r/>
    </w:p>
    <w:p>
      <w:pPr>
        <w:ind w:firstLine="480"/>
        <w:spacing w:line="360" w:lineRule="auto"/>
        <w:rPr>
          <w:bCs/>
          <w:sz w:val="24"/>
          <w:highlight w:val="none"/>
        </w:rPr>
        <w:outlineLvl w:val="0"/>
      </w:pPr>
      <w:r>
        <w:rPr>
          <w:rFonts w:hint="eastAsia"/>
          <w:bCs/>
          <w:sz w:val="24"/>
          <w:highlight w:val="none"/>
        </w:rPr>
        <w:t xml:space="preserve">1)合同书及补充协议，</w:t>
      </w:r>
      <w:r/>
    </w:p>
    <w:p>
      <w:pPr>
        <w:ind w:firstLine="480"/>
        <w:spacing w:line="360" w:lineRule="auto"/>
        <w:rPr>
          <w:bCs/>
          <w:sz w:val="24"/>
          <w:highlight w:val="none"/>
        </w:rPr>
        <w:outlineLvl w:val="0"/>
      </w:pPr>
      <w:r>
        <w:rPr>
          <w:rFonts w:hint="eastAsia"/>
          <w:bCs/>
          <w:sz w:val="24"/>
          <w:highlight w:val="none"/>
        </w:rPr>
        <w:t xml:space="preserve">2)中标通知书，</w:t>
      </w:r>
      <w:r/>
    </w:p>
    <w:p>
      <w:pPr>
        <w:ind w:firstLine="480"/>
        <w:spacing w:line="360" w:lineRule="auto"/>
        <w:rPr>
          <w:bCs/>
          <w:sz w:val="24"/>
          <w:highlight w:val="none"/>
        </w:rPr>
        <w:outlineLvl w:val="0"/>
      </w:pPr>
      <w:r>
        <w:rPr>
          <w:rFonts w:hint="eastAsia"/>
          <w:bCs/>
          <w:sz w:val="24"/>
          <w:highlight w:val="none"/>
        </w:rPr>
        <w:t xml:space="preserve">3)询标纪要(如有)，</w:t>
      </w:r>
      <w:r/>
    </w:p>
    <w:p>
      <w:pPr>
        <w:ind w:firstLine="480"/>
        <w:spacing w:line="360" w:lineRule="auto"/>
        <w:rPr>
          <w:bCs/>
          <w:sz w:val="24"/>
          <w:highlight w:val="none"/>
        </w:rPr>
        <w:outlineLvl w:val="0"/>
      </w:pPr>
      <w:r>
        <w:rPr>
          <w:rFonts w:hint="eastAsia"/>
          <w:bCs/>
          <w:sz w:val="24"/>
          <w:highlight w:val="none"/>
        </w:rPr>
        <w:t xml:space="preserve">4)甲乙双方签署的文件、电传、协商纪要等文件，</w:t>
      </w:r>
      <w:r/>
    </w:p>
    <w:p>
      <w:pPr>
        <w:ind w:firstLine="480"/>
        <w:spacing w:line="360" w:lineRule="auto"/>
        <w:rPr>
          <w:bCs/>
          <w:sz w:val="24"/>
          <w:highlight w:val="none"/>
        </w:rPr>
        <w:outlineLvl w:val="0"/>
      </w:pPr>
      <w:r>
        <w:rPr>
          <w:rFonts w:hint="eastAsia"/>
          <w:bCs/>
          <w:sz w:val="24"/>
          <w:highlight w:val="none"/>
        </w:rPr>
        <w:t xml:space="preserve">5)</w:t>
      </w:r>
      <w:r>
        <w:rPr>
          <w:rFonts w:hint="eastAsia"/>
          <w:bCs/>
          <w:sz w:val="24"/>
          <w:highlight w:val="none"/>
          <w:lang w:val="en-US" w:eastAsia="zh-CN"/>
        </w:rPr>
        <w:t xml:space="preserve">招标</w:t>
      </w:r>
      <w:r>
        <w:rPr>
          <w:rFonts w:hint="eastAsia"/>
          <w:bCs/>
          <w:sz w:val="24"/>
          <w:highlight w:val="none"/>
        </w:rPr>
        <w:t xml:space="preserve">文件及其补充文件，</w:t>
      </w:r>
      <w:r/>
    </w:p>
    <w:p>
      <w:pPr>
        <w:ind w:firstLine="480"/>
        <w:spacing w:line="360" w:lineRule="auto"/>
        <w:rPr>
          <w:bCs/>
          <w:sz w:val="24"/>
          <w:highlight w:val="none"/>
        </w:rPr>
        <w:outlineLvl w:val="0"/>
      </w:pPr>
      <w:r>
        <w:rPr>
          <w:rFonts w:hint="eastAsia"/>
          <w:bCs/>
          <w:sz w:val="24"/>
          <w:highlight w:val="none"/>
        </w:rPr>
        <w:t xml:space="preserve">6)投标文件及其补充文件。</w:t>
      </w:r>
      <w:r/>
    </w:p>
    <w:p>
      <w:pPr>
        <w:ind w:firstLine="480"/>
        <w:spacing w:line="360" w:lineRule="auto"/>
        <w:rPr>
          <w:bCs/>
          <w:sz w:val="24"/>
          <w:highlight w:val="none"/>
        </w:rPr>
        <w:outlineLvl w:val="0"/>
      </w:pPr>
      <w:r>
        <w:rPr>
          <w:rFonts w:hint="eastAsia"/>
          <w:bCs/>
          <w:sz w:val="24"/>
          <w:highlight w:val="none"/>
        </w:rPr>
        <w:t xml:space="preserve">十、合同份数：本合同一式陆份，甲方执贰份、乙方执贰份、代理机构执贰份。</w:t>
      </w:r>
      <w:r/>
    </w:p>
    <w:p>
      <w:pPr>
        <w:ind w:firstLine="480"/>
        <w:spacing w:line="360" w:lineRule="auto"/>
        <w:rPr>
          <w:bCs/>
          <w:sz w:val="24"/>
          <w:highlight w:val="none"/>
        </w:rPr>
        <w:outlineLvl w:val="0"/>
      </w:pPr>
      <w:r>
        <w:rPr>
          <w:rFonts w:hint="eastAsia"/>
          <w:bCs/>
          <w:sz w:val="24"/>
          <w:highlight w:val="none"/>
        </w:rPr>
        <w:t xml:space="preserve">注：最终以甲乙双方签订为准。</w:t>
      </w:r>
      <w:r/>
    </w:p>
    <w:p>
      <w:pPr>
        <w:ind w:firstLine="480"/>
        <w:spacing w:line="360" w:lineRule="auto"/>
        <w:rPr>
          <w:rFonts w:hint="eastAsia"/>
          <w:bCs/>
          <w:sz w:val="24"/>
          <w:highlight w:val="none"/>
        </w:rPr>
        <w:outlineLvl w:val="0"/>
      </w:pPr>
      <w:r>
        <w:rPr>
          <w:rFonts w:hint="eastAsia"/>
          <w:bCs/>
          <w:sz w:val="24"/>
          <w:highlight w:val="none"/>
        </w:rPr>
      </w:r>
      <w:r/>
    </w:p>
    <w:p>
      <w:pPr>
        <w:ind w:firstLine="480"/>
        <w:spacing w:line="360" w:lineRule="auto"/>
        <w:rPr>
          <w:rFonts w:hint="eastAsia"/>
          <w:bCs/>
          <w:sz w:val="24"/>
          <w:highlight w:val="none"/>
        </w:rPr>
        <w:outlineLvl w:val="0"/>
      </w:pPr>
      <w:r>
        <w:rPr>
          <w:rFonts w:hint="eastAsia"/>
          <w:bCs/>
          <w:sz w:val="24"/>
          <w:highlight w:val="none"/>
        </w:rPr>
      </w:r>
      <w:r/>
    </w:p>
    <w:p>
      <w:pPr>
        <w:ind w:firstLine="480"/>
        <w:spacing w:line="360" w:lineRule="auto"/>
        <w:rPr>
          <w:bCs/>
          <w:sz w:val="24"/>
          <w:highlight w:val="none"/>
        </w:rPr>
        <w:outlineLvl w:val="0"/>
      </w:pPr>
      <w:r>
        <w:rPr>
          <w:rFonts w:hint="eastAsia"/>
          <w:bCs/>
          <w:sz w:val="24"/>
          <w:highlight w:val="none"/>
        </w:rPr>
        <w:t xml:space="preserve">甲方：                                   乙方：</w:t>
      </w:r>
      <w:r/>
    </w:p>
    <w:p>
      <w:pPr>
        <w:ind w:firstLine="480"/>
        <w:spacing w:line="360" w:lineRule="auto"/>
        <w:rPr>
          <w:bCs/>
          <w:sz w:val="24"/>
          <w:highlight w:val="none"/>
        </w:rPr>
        <w:outlineLvl w:val="0"/>
      </w:pPr>
      <w:r>
        <w:rPr>
          <w:rFonts w:hint="eastAsia"/>
          <w:bCs/>
          <w:sz w:val="24"/>
          <w:highlight w:val="none"/>
        </w:rPr>
        <w:t xml:space="preserve">单位名称（章）：                         单位名称（章）：</w:t>
      </w:r>
      <w:r/>
    </w:p>
    <w:p>
      <w:pPr>
        <w:ind w:firstLine="480"/>
        <w:spacing w:line="360" w:lineRule="auto"/>
        <w:rPr>
          <w:bCs/>
          <w:sz w:val="24"/>
          <w:highlight w:val="none"/>
        </w:rPr>
        <w:outlineLvl w:val="0"/>
      </w:pPr>
      <w:r>
        <w:rPr>
          <w:rFonts w:hint="eastAsia"/>
          <w:bCs/>
          <w:sz w:val="24"/>
          <w:highlight w:val="none"/>
        </w:rPr>
        <w:t xml:space="preserve">单位地址：                               单位地址：</w:t>
      </w:r>
      <w:r/>
    </w:p>
    <w:p>
      <w:pPr>
        <w:ind w:firstLine="480"/>
        <w:spacing w:line="360" w:lineRule="auto"/>
        <w:rPr>
          <w:bCs/>
          <w:sz w:val="24"/>
          <w:highlight w:val="none"/>
        </w:rPr>
        <w:outlineLvl w:val="0"/>
      </w:pPr>
      <w:r>
        <w:rPr>
          <w:rFonts w:hint="eastAsia"/>
          <w:bCs/>
          <w:sz w:val="24"/>
          <w:highlight w:val="none"/>
        </w:rPr>
        <w:t xml:space="preserve">法定代表人：       委托代理人：           法定代表人：      委托代理人：</w:t>
      </w:r>
      <w:r/>
    </w:p>
    <w:p>
      <w:pPr>
        <w:ind w:firstLine="480"/>
        <w:spacing w:line="360" w:lineRule="auto"/>
        <w:rPr>
          <w:bCs/>
          <w:sz w:val="24"/>
          <w:highlight w:val="none"/>
        </w:rPr>
        <w:outlineLvl w:val="0"/>
      </w:pPr>
      <w:r>
        <w:rPr>
          <w:rFonts w:hint="eastAsia"/>
          <w:bCs/>
          <w:sz w:val="24"/>
          <w:highlight w:val="none"/>
        </w:rPr>
        <w:t xml:space="preserve">电话：                                   电话：            传真：</w:t>
      </w:r>
      <w:r/>
    </w:p>
    <w:p>
      <w:pPr>
        <w:ind w:firstLine="480"/>
        <w:spacing w:line="360" w:lineRule="auto"/>
        <w:rPr>
          <w:bCs/>
          <w:sz w:val="24"/>
          <w:highlight w:val="none"/>
        </w:rPr>
        <w:outlineLvl w:val="0"/>
      </w:pPr>
      <w:r>
        <w:rPr>
          <w:rFonts w:hint="eastAsia"/>
          <w:bCs/>
          <w:sz w:val="24"/>
          <w:highlight w:val="none"/>
        </w:rPr>
        <w:t xml:space="preserve">传真：                                   开户银行：        帐号：</w:t>
      </w:r>
      <w:r/>
    </w:p>
    <w:p>
      <w:pPr>
        <w:spacing w:line="360" w:lineRule="auto"/>
        <w:rPr>
          <w:bCs/>
          <w:sz w:val="24"/>
          <w:highlight w:val="none"/>
        </w:rPr>
        <w:outlineLvl w:val="0"/>
      </w:pPr>
      <w:r>
        <w:rPr>
          <w:bCs/>
          <w:sz w:val="24"/>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rFonts w:hint="eastAsia" w:ascii="宋体" w:hAnsi="宋体" w:eastAsia="宋体" w:cs="宋体"/>
          <w:b/>
          <w:bCs/>
          <w:spacing w:val="60"/>
          <w:sz w:val="48"/>
          <w:szCs w:val="48"/>
          <w:highlight w:val="none"/>
        </w:rPr>
      </w:pPr>
      <w:r>
        <w:rPr>
          <w:rFonts w:hint="eastAsia" w:ascii="宋体" w:hAnsi="宋体" w:eastAsia="宋体" w:cs="宋体"/>
          <w:b/>
          <w:bCs/>
          <w:spacing w:val="60"/>
          <w:sz w:val="48"/>
          <w:szCs w:val="48"/>
          <w:highlight w:val="none"/>
        </w:rPr>
        <w:t xml:space="preserve">政府采购合同</w:t>
      </w:r>
      <w:r/>
    </w:p>
    <w:p>
      <w:pPr>
        <w:jc w:val="center"/>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jc w:val="center"/>
        <w:spacing w:line="360" w:lineRule="auto"/>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jc w:val="center"/>
        <w:spacing w:line="360" w:lineRule="auto"/>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jc w:val="center"/>
        <w:spacing w:line="360" w:lineRule="auto"/>
        <w:rPr>
          <w:rFonts w:hint="default"/>
          <w:b/>
          <w:sz w:val="36"/>
          <w:szCs w:val="36"/>
          <w:highlight w:val="none"/>
          <w:lang w:val="en-US" w:eastAsia="zh-CN"/>
        </w:rPr>
        <w:outlineLvl w:val="0"/>
      </w:pPr>
      <w:r>
        <w:rPr>
          <w:rFonts w:hint="eastAsia"/>
          <w:b/>
          <w:sz w:val="36"/>
          <w:szCs w:val="36"/>
          <w:highlight w:val="none"/>
          <w:lang w:val="en-US" w:eastAsia="zh-CN"/>
        </w:rPr>
        <w:t xml:space="preserve">14标段</w:t>
      </w:r>
      <w:r/>
    </w:p>
    <w:p>
      <w:pPr>
        <w:jc w:val="center"/>
        <w:spacing w:line="360" w:lineRule="auto"/>
        <w:rPr>
          <w:rFonts w:hint="eastAsia"/>
          <w:b/>
          <w:sz w:val="36"/>
          <w:szCs w:val="36"/>
          <w:highlight w:val="none"/>
          <w:lang w:val="en-US" w:eastAsia="zh-CN"/>
        </w:rPr>
        <w:outlineLvl w:val="0"/>
      </w:pPr>
      <w:r>
        <w:rPr>
          <w:rFonts w:hint="eastAsia"/>
          <w:b/>
          <w:sz w:val="36"/>
          <w:szCs w:val="36"/>
          <w:highlight w:val="none"/>
          <w:lang w:val="en-US" w:eastAsia="zh-CN"/>
        </w:rPr>
        <w:t xml:space="preserve">（服务类）</w:t>
      </w:r>
      <w:r/>
    </w:p>
    <w:p>
      <w:pPr>
        <w:jc w:val="center"/>
        <w:spacing w:line="360" w:lineRule="auto"/>
        <w:rPr>
          <w:rFonts w:hint="eastAsia"/>
          <w:b/>
          <w:sz w:val="36"/>
          <w:szCs w:val="36"/>
          <w:highlight w:val="none"/>
          <w:lang w:val="en-US" w:eastAsia="zh-CN"/>
        </w:rPr>
        <w:outlineLvl w:val="0"/>
      </w:pPr>
      <w:r>
        <w:rPr>
          <w:rFonts w:hint="eastAsia"/>
          <w:b/>
          <w:sz w:val="36"/>
          <w:szCs w:val="36"/>
          <w:highlight w:val="none"/>
          <w:lang w:val="en-US" w:eastAsia="zh-CN"/>
        </w:rPr>
      </w:r>
      <w:r/>
    </w:p>
    <w:p>
      <w:pPr>
        <w:jc w:val="center"/>
        <w:spacing w:line="360" w:lineRule="auto"/>
        <w:rPr>
          <w:rFonts w:hint="eastAsia"/>
          <w:b/>
          <w:sz w:val="36"/>
          <w:szCs w:val="36"/>
          <w:highlight w:val="none"/>
          <w:lang w:val="en-US" w:eastAsia="zh-CN"/>
        </w:rPr>
        <w:outlineLvl w:val="0"/>
      </w:pPr>
      <w:r>
        <w:rPr>
          <w:rFonts w:hint="eastAsia"/>
          <w:b/>
          <w:sz w:val="36"/>
          <w:szCs w:val="36"/>
          <w:highlight w:val="none"/>
          <w:lang w:val="en-US" w:eastAsia="zh-CN"/>
        </w:rPr>
      </w:r>
      <w:r/>
    </w:p>
    <w:p>
      <w:pPr>
        <w:jc w:val="center"/>
        <w:spacing w:line="360" w:lineRule="auto"/>
        <w:rPr>
          <w:rFonts w:hint="eastAsia"/>
          <w:b/>
          <w:sz w:val="36"/>
          <w:szCs w:val="36"/>
          <w:highlight w:val="none"/>
          <w:lang w:val="en-US" w:eastAsia="zh-CN"/>
        </w:rPr>
        <w:outlineLvl w:val="0"/>
      </w:pPr>
      <w:r>
        <w:rPr>
          <w:rFonts w:hint="eastAsia"/>
          <w:b/>
          <w:sz w:val="36"/>
          <w:szCs w:val="36"/>
          <w:highlight w:val="none"/>
          <w:lang w:val="en-US" w:eastAsia="zh-CN"/>
        </w:rPr>
        <w:t xml:space="preserve">第一部分 合同书</w:t>
      </w:r>
      <w:r/>
    </w:p>
    <w:p>
      <w:pPr>
        <w:jc w:val="left"/>
        <w:spacing w:line="360" w:lineRule="auto"/>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r>
      <w:r/>
    </w:p>
    <w:p>
      <w:pPr>
        <w:widowControl w:val="off"/>
        <w:rPr>
          <w:rFonts w:hint="eastAsia" w:ascii="宋体" w:hAnsi="宋体" w:eastAsia="宋体" w:cs="宋体"/>
          <w:color w:val="000000"/>
          <w:spacing w:val="8"/>
          <w:sz w:val="21"/>
          <w:szCs w:val="21"/>
          <w:highlight w:val="none"/>
          <w:lang w:val="en-US" w:eastAsia="zh-CN" w:bidi="ar-SA"/>
        </w:rPr>
      </w:pPr>
      <w:r>
        <w:rPr>
          <w:rFonts w:hint="eastAsia" w:ascii="宋体" w:hAnsi="宋体" w:eastAsia="宋体" w:cs="宋体"/>
          <w:color w:val="000000"/>
          <w:spacing w:val="8"/>
          <w:sz w:val="21"/>
          <w:szCs w:val="21"/>
          <w:highlight w:val="none"/>
          <w:lang w:val="en-US" w:eastAsia="zh-CN" w:bidi="ar-SA"/>
        </w:rPr>
      </w:r>
      <w:r/>
    </w:p>
    <w:p>
      <w:pPr>
        <w:widowControl w:val="off"/>
        <w:rPr>
          <w:rFonts w:hint="eastAsia" w:ascii="宋体" w:hAnsi="宋体" w:eastAsia="宋体" w:cs="宋体"/>
          <w:color w:val="000000"/>
          <w:spacing w:val="8"/>
          <w:sz w:val="21"/>
          <w:szCs w:val="21"/>
          <w:highlight w:val="none"/>
          <w:lang w:val="en-US" w:eastAsia="zh-CN" w:bidi="ar-SA"/>
        </w:rPr>
      </w:pPr>
      <w:r>
        <w:rPr>
          <w:rFonts w:hint="eastAsia" w:ascii="宋体" w:hAnsi="宋体" w:eastAsia="宋体" w:cs="宋体"/>
          <w:color w:val="000000"/>
          <w:spacing w:val="8"/>
          <w:sz w:val="21"/>
          <w:szCs w:val="21"/>
          <w:highlight w:val="none"/>
          <w:lang w:val="en-US" w:eastAsia="zh-CN" w:bidi="ar-SA"/>
        </w:rPr>
      </w:r>
      <w:r/>
    </w:p>
    <w:p>
      <w:pPr>
        <w:widowControl w:val="off"/>
        <w:rPr>
          <w:rFonts w:hint="eastAsia" w:ascii="宋体" w:hAnsi="宋体" w:eastAsia="宋体" w:cs="宋体"/>
          <w:color w:val="000000"/>
          <w:spacing w:val="8"/>
          <w:sz w:val="21"/>
          <w:szCs w:val="21"/>
          <w:highlight w:val="none"/>
          <w:lang w:val="en-US" w:eastAsia="zh-CN" w:bidi="ar-SA"/>
        </w:rPr>
      </w:pPr>
      <w:r>
        <w:rPr>
          <w:rFonts w:hint="eastAsia" w:ascii="宋体" w:hAnsi="宋体" w:eastAsia="宋体" w:cs="宋体"/>
          <w:color w:val="000000"/>
          <w:spacing w:val="8"/>
          <w:sz w:val="21"/>
          <w:szCs w:val="21"/>
          <w:highlight w:val="none"/>
          <w:lang w:val="en-US" w:eastAsia="zh-CN" w:bidi="ar-SA"/>
        </w:rPr>
      </w:r>
      <w:r/>
    </w:p>
    <w:p>
      <w:pPr>
        <w:widowControl w:val="off"/>
        <w:rPr>
          <w:rFonts w:hint="eastAsia" w:ascii="宋体" w:hAnsi="宋体" w:eastAsia="宋体" w:cs="宋体"/>
          <w:color w:val="000000"/>
          <w:spacing w:val="8"/>
          <w:sz w:val="21"/>
          <w:szCs w:val="21"/>
          <w:highlight w:val="none"/>
          <w:lang w:val="en-US" w:eastAsia="zh-CN" w:bidi="ar-SA"/>
        </w:rPr>
      </w:pPr>
      <w:r>
        <w:rPr>
          <w:rFonts w:hint="eastAsia" w:ascii="宋体" w:hAnsi="宋体" w:eastAsia="宋体" w:cs="宋体"/>
          <w:color w:val="000000"/>
          <w:spacing w:val="8"/>
          <w:sz w:val="21"/>
          <w:szCs w:val="21"/>
          <w:highlight w:val="none"/>
          <w:lang w:val="en-US" w:eastAsia="zh-CN" w:bidi="ar-SA"/>
        </w:rPr>
      </w:r>
      <w:r/>
    </w:p>
    <w:p>
      <w:pPr>
        <w:widowControl w:val="off"/>
        <w:rPr>
          <w:rFonts w:hint="eastAsia" w:ascii="宋体" w:hAnsi="宋体" w:eastAsia="宋体" w:cs="宋体"/>
          <w:color w:val="000000"/>
          <w:spacing w:val="8"/>
          <w:sz w:val="21"/>
          <w:szCs w:val="21"/>
          <w:highlight w:val="none"/>
          <w:lang w:val="en-US" w:eastAsia="zh-CN" w:bidi="ar-SA"/>
        </w:rPr>
      </w:pPr>
      <w:r>
        <w:rPr>
          <w:rFonts w:hint="eastAsia" w:ascii="宋体" w:hAnsi="宋体" w:eastAsia="宋体" w:cs="宋体"/>
          <w:color w:val="000000"/>
          <w:spacing w:val="8"/>
          <w:sz w:val="21"/>
          <w:szCs w:val="21"/>
          <w:highlight w:val="none"/>
          <w:lang w:val="en-US" w:eastAsia="zh-CN" w:bidi="ar-SA"/>
        </w:rPr>
      </w:r>
      <w:r/>
    </w:p>
    <w:p>
      <w:pPr>
        <w:widowControl w:val="off"/>
        <w:rPr>
          <w:rFonts w:hint="eastAsia" w:ascii="宋体" w:hAnsi="宋体" w:eastAsia="宋体" w:cs="宋体"/>
          <w:color w:val="000000"/>
          <w:spacing w:val="8"/>
          <w:sz w:val="21"/>
          <w:szCs w:val="21"/>
          <w:highlight w:val="none"/>
          <w:lang w:val="en-US" w:eastAsia="zh-CN" w:bidi="ar-SA"/>
        </w:rPr>
      </w:pPr>
      <w:r>
        <w:rPr>
          <w:rFonts w:hint="eastAsia" w:ascii="宋体" w:hAnsi="宋体" w:eastAsia="宋体" w:cs="宋体"/>
          <w:color w:val="000000"/>
          <w:spacing w:val="8"/>
          <w:sz w:val="21"/>
          <w:szCs w:val="21"/>
          <w:highlight w:val="none"/>
          <w:lang w:val="en-US" w:eastAsia="zh-CN" w:bidi="ar-SA"/>
        </w:rPr>
      </w:r>
      <w:r/>
    </w:p>
    <w:p>
      <w:pPr>
        <w:widowControl w:val="off"/>
        <w:rPr>
          <w:rFonts w:hint="eastAsia" w:ascii="宋体" w:hAnsi="宋体" w:eastAsia="宋体" w:cs="宋体"/>
          <w:color w:val="000000"/>
          <w:spacing w:val="8"/>
          <w:sz w:val="21"/>
          <w:szCs w:val="21"/>
          <w:highlight w:val="none"/>
          <w:lang w:val="en-US" w:eastAsia="zh-CN" w:bidi="ar-SA"/>
        </w:rPr>
      </w:pPr>
      <w:r>
        <w:rPr>
          <w:rFonts w:hint="eastAsia" w:ascii="宋体" w:hAnsi="宋体" w:eastAsia="宋体" w:cs="宋体"/>
          <w:color w:val="000000"/>
          <w:spacing w:val="8"/>
          <w:sz w:val="21"/>
          <w:szCs w:val="21"/>
          <w:highlight w:val="none"/>
          <w:lang w:val="en-US" w:eastAsia="zh-CN" w:bidi="ar-SA"/>
        </w:rPr>
      </w:r>
      <w:r/>
    </w:p>
    <w:p>
      <w:pPr>
        <w:widowControl w:val="off"/>
        <w:rPr>
          <w:rFonts w:hint="eastAsia" w:ascii="宋体" w:hAnsi="宋体" w:eastAsia="宋体" w:cs="宋体"/>
          <w:color w:val="000000"/>
          <w:spacing w:val="8"/>
          <w:sz w:val="21"/>
          <w:szCs w:val="21"/>
          <w:highlight w:val="none"/>
          <w:lang w:val="en-US" w:eastAsia="zh-CN" w:bidi="ar-SA"/>
        </w:rPr>
      </w:pPr>
      <w:r>
        <w:rPr>
          <w:rFonts w:hint="eastAsia" w:ascii="宋体" w:hAnsi="宋体" w:eastAsia="宋体" w:cs="宋体"/>
          <w:color w:val="000000"/>
          <w:spacing w:val="8"/>
          <w:sz w:val="21"/>
          <w:szCs w:val="21"/>
          <w:highlight w:val="none"/>
          <w:lang w:val="en-US" w:eastAsia="zh-CN" w:bidi="ar-SA"/>
        </w:rPr>
      </w:r>
      <w:r/>
    </w:p>
    <w:p>
      <w:pPr>
        <w:widowControl w:val="off"/>
        <w:rPr>
          <w:rFonts w:hint="eastAsia" w:ascii="宋体" w:hAnsi="宋体" w:eastAsia="宋体" w:cs="宋体"/>
          <w:color w:val="000000"/>
          <w:spacing w:val="8"/>
          <w:sz w:val="21"/>
          <w:szCs w:val="21"/>
          <w:highlight w:val="none"/>
          <w:lang w:val="en-US" w:eastAsia="zh-CN" w:bidi="ar-SA"/>
        </w:rPr>
      </w:pPr>
      <w:r>
        <w:rPr>
          <w:rFonts w:hint="eastAsia" w:ascii="宋体" w:hAnsi="宋体" w:eastAsia="宋体" w:cs="宋体"/>
          <w:color w:val="000000"/>
          <w:spacing w:val="8"/>
          <w:sz w:val="21"/>
          <w:szCs w:val="21"/>
          <w:highlight w:val="none"/>
          <w:lang w:val="en-US" w:eastAsia="zh-CN" w:bidi="ar-SA"/>
        </w:rPr>
      </w:r>
      <w:r/>
    </w:p>
    <w:p>
      <w:pPr>
        <w:widowControl w:val="off"/>
        <w:rPr>
          <w:rFonts w:hint="eastAsia" w:ascii="宋体" w:hAnsi="宋体" w:eastAsia="宋体" w:cs="宋体"/>
          <w:color w:val="000000"/>
          <w:spacing w:val="8"/>
          <w:sz w:val="21"/>
          <w:szCs w:val="21"/>
          <w:highlight w:val="none"/>
          <w:lang w:val="en-US" w:eastAsia="zh-CN" w:bidi="ar-SA"/>
        </w:rPr>
      </w:pPr>
      <w:r>
        <w:rPr>
          <w:rFonts w:hint="eastAsia" w:ascii="宋体" w:hAnsi="宋体" w:eastAsia="宋体" w:cs="宋体"/>
          <w:color w:val="000000"/>
          <w:spacing w:val="8"/>
          <w:sz w:val="21"/>
          <w:szCs w:val="21"/>
          <w:highlight w:val="none"/>
          <w:lang w:val="en-US" w:eastAsia="zh-CN" w:bidi="ar-SA"/>
        </w:rPr>
      </w:r>
      <w:r/>
    </w:p>
    <w:p>
      <w:pPr>
        <w:widowControl w:val="off"/>
        <w:rPr>
          <w:rFonts w:hint="eastAsia" w:ascii="宋体" w:hAnsi="宋体" w:eastAsia="宋体" w:cs="宋体"/>
          <w:color w:val="000000"/>
          <w:spacing w:val="8"/>
          <w:sz w:val="21"/>
          <w:szCs w:val="21"/>
          <w:highlight w:val="none"/>
          <w:lang w:val="en-US" w:eastAsia="zh-CN" w:bidi="ar-SA"/>
        </w:rPr>
      </w:pPr>
      <w:r>
        <w:rPr>
          <w:rFonts w:hint="eastAsia" w:ascii="宋体" w:hAnsi="宋体" w:eastAsia="宋体" w:cs="宋体"/>
          <w:color w:val="000000"/>
          <w:spacing w:val="8"/>
          <w:sz w:val="21"/>
          <w:szCs w:val="21"/>
          <w:highlight w:val="none"/>
          <w:lang w:val="en-US" w:eastAsia="zh-CN" w:bidi="ar-SA"/>
        </w:rPr>
      </w:r>
      <w:r/>
    </w:p>
    <w:p>
      <w:pPr>
        <w:widowControl w:val="off"/>
        <w:rPr>
          <w:rFonts w:hint="eastAsia" w:ascii="宋体" w:hAnsi="宋体" w:eastAsia="宋体" w:cs="宋体"/>
          <w:color w:val="000000"/>
          <w:spacing w:val="8"/>
          <w:sz w:val="21"/>
          <w:szCs w:val="21"/>
          <w:highlight w:val="none"/>
          <w:lang w:val="en-US" w:eastAsia="zh-CN" w:bidi="ar-SA"/>
        </w:rPr>
      </w:pPr>
      <w:r>
        <w:rPr>
          <w:rFonts w:hint="eastAsia" w:ascii="宋体" w:hAnsi="宋体" w:eastAsia="宋体" w:cs="宋体"/>
          <w:color w:val="000000"/>
          <w:spacing w:val="8"/>
          <w:sz w:val="21"/>
          <w:szCs w:val="21"/>
          <w:highlight w:val="none"/>
          <w:lang w:val="en-US" w:eastAsia="zh-CN" w:bidi="ar-SA"/>
        </w:rPr>
      </w:r>
      <w:r/>
    </w:p>
    <w:p>
      <w:pPr>
        <w:widowControl w:val="off"/>
        <w:rPr>
          <w:rFonts w:hint="eastAsia" w:ascii="宋体" w:hAnsi="宋体" w:eastAsia="宋体" w:cs="宋体"/>
          <w:color w:val="000000"/>
          <w:spacing w:val="8"/>
          <w:sz w:val="21"/>
          <w:szCs w:val="21"/>
          <w:highlight w:val="none"/>
          <w:lang w:val="en-US" w:eastAsia="zh-CN" w:bidi="ar-SA"/>
        </w:rPr>
      </w:pPr>
      <w:r>
        <w:rPr>
          <w:rFonts w:hint="eastAsia" w:ascii="宋体" w:hAnsi="宋体" w:eastAsia="宋体" w:cs="宋体"/>
          <w:color w:val="000000"/>
          <w:spacing w:val="8"/>
          <w:sz w:val="21"/>
          <w:szCs w:val="21"/>
          <w:highlight w:val="none"/>
          <w:lang w:val="en-US" w:eastAsia="zh-CN" w:bidi="ar-SA"/>
        </w:rPr>
      </w:r>
      <w:r/>
    </w:p>
    <w:p>
      <w:pPr>
        <w:widowControl w:val="off"/>
        <w:rPr>
          <w:rFonts w:hint="eastAsia" w:ascii="宋体" w:hAnsi="宋体" w:eastAsia="宋体" w:cs="宋体"/>
          <w:color w:val="000000"/>
          <w:spacing w:val="8"/>
          <w:sz w:val="21"/>
          <w:szCs w:val="21"/>
          <w:highlight w:val="none"/>
          <w:lang w:val="en-US" w:eastAsia="zh-CN" w:bidi="ar-SA"/>
        </w:rPr>
      </w:pPr>
      <w:r>
        <w:rPr>
          <w:rFonts w:hint="eastAsia" w:ascii="宋体" w:hAnsi="宋体" w:eastAsia="宋体" w:cs="宋体"/>
          <w:color w:val="000000"/>
          <w:spacing w:val="8"/>
          <w:sz w:val="21"/>
          <w:szCs w:val="21"/>
          <w:highlight w:val="none"/>
          <w:lang w:val="en-US" w:eastAsia="zh-CN" w:bidi="ar-SA"/>
        </w:rPr>
      </w:r>
      <w:r/>
    </w:p>
    <w:p>
      <w:pPr>
        <w:widowControl w:val="off"/>
        <w:rPr>
          <w:rFonts w:hint="eastAsia" w:ascii="宋体" w:hAnsi="宋体" w:eastAsia="宋体" w:cs="宋体"/>
          <w:color w:val="000000"/>
          <w:spacing w:val="8"/>
          <w:sz w:val="21"/>
          <w:szCs w:val="21"/>
          <w:highlight w:val="none"/>
          <w:lang w:val="en-US" w:eastAsia="zh-CN" w:bidi="ar-SA"/>
        </w:rPr>
      </w:pPr>
      <w:r>
        <w:rPr>
          <w:rFonts w:hint="eastAsia" w:ascii="宋体" w:hAnsi="宋体" w:eastAsia="宋体" w:cs="宋体"/>
          <w:color w:val="000000"/>
          <w:spacing w:val="8"/>
          <w:sz w:val="21"/>
          <w:szCs w:val="21"/>
          <w:highlight w:val="none"/>
          <w:lang w:val="en-US" w:eastAsia="zh-CN" w:bidi="ar-SA"/>
        </w:rPr>
      </w:r>
      <w:r/>
    </w:p>
    <w:p>
      <w:pPr>
        <w:ind w:left="960"/>
        <w:jc w:val="left"/>
        <w:spacing w:before="120" w:line="48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 </w:t>
      </w:r>
      <w:r/>
    </w:p>
    <w:p>
      <w:pPr>
        <w:ind w:left="960"/>
        <w:jc w:val="left"/>
        <w:keepLines w:val="0"/>
        <w:keepNext w:val="0"/>
        <w:pageBreakBefore w:val="0"/>
        <w:spacing w:afterAutospacing="0" w:line="480" w:lineRule="auto"/>
        <w:widowControl/>
        <w:rPr>
          <w:rFonts w:hint="default" w:ascii="宋体" w:hAnsi="宋体" w:eastAsia="宋体" w:cs="宋体"/>
          <w:sz w:val="24"/>
          <w:szCs w:val="24"/>
          <w:highlight w:val="none"/>
          <w:u w:val="single"/>
          <w:lang w:val="en-US" w:eastAsia="zh-CN"/>
        </w:rPr>
      </w:pPr>
      <w:r>
        <w:rPr>
          <w:rFonts w:hint="eastAsia" w:ascii="宋体" w:hAnsi="宋体" w:cs="宋体"/>
          <w:sz w:val="24"/>
          <w:szCs w:val="24"/>
          <w:highlight w:val="none"/>
          <w:lang w:val="en-US" w:eastAsia="zh-CN"/>
        </w:rPr>
        <w:t xml:space="preserve">甲    方</w:t>
      </w:r>
      <w:r>
        <w:rPr>
          <w:rFonts w:hint="eastAsia" w:ascii="宋体" w:hAnsi="宋体" w:eastAsia="宋体" w:cs="宋体"/>
          <w:sz w:val="24"/>
          <w:szCs w:val="24"/>
          <w:highlight w:val="none"/>
        </w:rPr>
        <w:t xml:space="preserve">：</w:t>
      </w:r>
      <w:r>
        <w:rPr>
          <w:rFonts w:hint="eastAsia" w:ascii="宋体" w:hAnsi="宋体" w:cs="宋体"/>
          <w:sz w:val="24"/>
          <w:szCs w:val="24"/>
          <w:highlight w:val="none"/>
          <w:u w:val="single"/>
          <w:lang w:val="en-US" w:eastAsia="zh-CN"/>
        </w:rPr>
        <w:t xml:space="preserve">                             </w:t>
      </w:r>
      <w:r/>
    </w:p>
    <w:p>
      <w:pPr>
        <w:ind w:left="960"/>
        <w:jc w:val="left"/>
        <w:keepLines w:val="0"/>
        <w:keepNext w:val="0"/>
        <w:pageBreakBefore w:val="0"/>
        <w:spacing w:afterAutospacing="0" w:line="480"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乙    方</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lang w:val="en-US" w:eastAsia="zh-CN"/>
        </w:rPr>
        <w:t xml:space="preserve">                                             </w:t>
      </w:r>
      <w:r/>
    </w:p>
    <w:p>
      <w:pPr>
        <w:ind w:firstLine="960"/>
        <w:jc w:val="left"/>
        <w:keepLines w:val="0"/>
        <w:keepNext w:val="0"/>
        <w:pageBreakBefore w:val="0"/>
        <w:spacing w:afterAutospacing="0" w:line="48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订</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地：</w:t>
      </w:r>
      <w:r>
        <w:rPr>
          <w:rFonts w:hint="eastAsia" w:ascii="宋体" w:hAnsi="宋体" w:cs="宋体"/>
          <w:sz w:val="24"/>
          <w:szCs w:val="24"/>
          <w:highlight w:val="none"/>
          <w:u w:val="single"/>
          <w:lang w:val="en-US" w:eastAsia="zh-CN"/>
        </w:rPr>
        <w:t xml:space="preserve">溧阳市     </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ind w:firstLine="96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签订日期：</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2026</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ind w:firstLine="480"/>
        <w:spacing w:line="440" w:lineRule="exact"/>
        <w:rPr>
          <w:rFonts w:hint="eastAsia" w:ascii="宋体" w:hAnsi="宋体" w:cs="宋体"/>
          <w:color w:val="000000"/>
          <w:sz w:val="24"/>
          <w:highlight w:val="none"/>
          <w:u w:val="single"/>
          <w:lang w:val="en-US" w:eastAsia="zh-CN"/>
        </w:rPr>
      </w:pPr>
      <w:r>
        <w:rPr>
          <w:rFonts w:hint="eastAsia" w:ascii="宋体" w:hAnsi="宋体" w:cs="宋体"/>
          <w:color w:val="000000"/>
          <w:sz w:val="24"/>
          <w:highlight w:val="none"/>
          <w:u w:val="single"/>
          <w:lang w:val="en-US" w:eastAsia="zh-CN"/>
        </w:rPr>
      </w:r>
      <w:r/>
    </w:p>
    <w:p>
      <w:pPr>
        <w:ind w:firstLine="480"/>
        <w:pageBreakBefore w:val="0"/>
        <w:spacing w:line="360" w:lineRule="auto"/>
        <w:widowControl w:val="off"/>
        <w:rPr>
          <w:rFonts w:hint="eastAsia" w:ascii="宋体" w:hAnsi="宋体" w:cs="宋体"/>
          <w:color w:val="000000"/>
          <w:sz w:val="24"/>
          <w:highlight w:val="none"/>
          <w:u w:val="single"/>
          <w:lang w:val="en-US" w:eastAsia="zh-CN"/>
        </w:rPr>
      </w:pPr>
      <w:r>
        <w:rPr>
          <w:rFonts w:hint="eastAsia" w:ascii="宋体" w:hAnsi="宋体" w:cs="宋体"/>
          <w:color w:val="000000"/>
          <w:sz w:val="24"/>
          <w:highlight w:val="none"/>
          <w:u w:val="single"/>
          <w:lang w:val="en-US" w:eastAsia="zh-CN"/>
        </w:rPr>
      </w:r>
      <w:r/>
    </w:p>
    <w:p>
      <w:pPr>
        <w:ind w:firstLine="480"/>
        <w:pageBreakBefore w:val="0"/>
        <w:spacing w:line="360" w:lineRule="auto"/>
        <w:widowControl w:val="off"/>
        <w:rPr>
          <w:rFonts w:ascii="宋体" w:hAnsi="宋体" w:cs="宋体"/>
          <w:color w:val="auto"/>
          <w:sz w:val="24"/>
          <w:szCs w:val="24"/>
          <w:highlight w:val="none"/>
        </w:rPr>
      </w:pPr>
      <w:r>
        <w:rPr>
          <w:rFonts w:hint="eastAsia" w:ascii="宋体" w:hAnsi="宋体" w:cs="宋体"/>
          <w:color w:val="000000"/>
          <w:sz w:val="24"/>
          <w:highlight w:val="none"/>
          <w:u w:val="single"/>
          <w:lang w:val="en-US" w:eastAsia="zh-CN"/>
        </w:rPr>
        <w:t xml:space="preserve">2026</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zh-CN"/>
        </w:rPr>
        <w:t xml:space="preserve">月</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zh-CN"/>
        </w:rPr>
        <w:t xml:space="preserve">日</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lang w:val="en-US" w:eastAsia="zh-CN"/>
        </w:rPr>
        <w:t xml:space="preserve"> 江苏省溧阳高新技术产业开发区国有资产管理中心 </w:t>
      </w:r>
      <w:r>
        <w:rPr>
          <w:rFonts w:hint="eastAsia" w:ascii="宋体" w:hAnsi="宋体" w:cs="宋体"/>
          <w:color w:val="000000"/>
          <w:sz w:val="24"/>
          <w:highlight w:val="none"/>
        </w:rPr>
        <w:t xml:space="preserve">以</w:t>
      </w:r>
      <w:r>
        <w:rPr>
          <w:rFonts w:hint="eastAsia" w:ascii="宋体" w:hAnsi="宋体" w:cs="宋体"/>
          <w:color w:val="000000"/>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公开招标 </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none"/>
          <w:lang w:val="en-US" w:eastAsia="zh-CN"/>
        </w:rPr>
        <w:t xml:space="preserve">项目</w:t>
      </w:r>
      <w:r>
        <w:rPr>
          <w:rFonts w:hint="eastAsia" w:ascii="宋体" w:hAnsi="宋体" w:cs="宋体"/>
          <w:color w:val="auto"/>
          <w:sz w:val="24"/>
          <w:highlight w:val="none"/>
        </w:rPr>
        <w:t xml:space="preserve">进行了采购。经评标委员会评审，确定</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成交</w:t>
      </w:r>
      <w:r>
        <w:rPr>
          <w:rFonts w:hint="eastAsia" w:ascii="宋体" w:hAnsi="宋体" w:cs="宋体"/>
          <w:color w:val="auto"/>
          <w:sz w:val="24"/>
          <w:highlight w:val="none"/>
          <w:u w:val="single"/>
        </w:rPr>
        <w:t xml:space="preserve">供应商名称）</w:t>
      </w:r>
      <w:r>
        <w:rPr>
          <w:rFonts w:hint="eastAsia" w:ascii="宋体" w:hAnsi="宋体" w:cs="宋体"/>
          <w:color w:val="auto"/>
          <w:sz w:val="24"/>
          <w:highlight w:val="none"/>
        </w:rPr>
        <w:t xml:space="preserve">为该项目</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供应商。现于</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通知书发出之日起</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内，按照</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文件确定的事项签订本合同。</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cs="宋体"/>
          <w:color w:val="000000"/>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000000"/>
          <w:sz w:val="24"/>
          <w:highlight w:val="none"/>
          <w:u w:val="single"/>
          <w:lang w:val="en-US" w:eastAsia="zh-CN"/>
        </w:rPr>
        <w:t xml:space="preserve"> 江苏省溧阳高新技术产业开发区国有资产管理中心 </w:t>
      </w:r>
      <w:r>
        <w:rPr>
          <w:rFonts w:hint="eastAsia" w:ascii="宋体" w:hAnsi="宋体" w:cs="宋体"/>
          <w:color w:val="000000"/>
          <w:sz w:val="24"/>
          <w:highlight w:val="none"/>
          <w:lang w:val="zh-CN"/>
        </w:rPr>
        <w:t xml:space="preserve">(以下简称：甲方)和</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成交</w:t>
      </w:r>
      <w:r>
        <w:rPr>
          <w:rFonts w:hint="eastAsia" w:ascii="宋体" w:hAnsi="宋体" w:cs="宋体"/>
          <w:color w:val="000000"/>
          <w:sz w:val="24"/>
          <w:highlight w:val="none"/>
          <w:u w:val="single"/>
        </w:rPr>
        <w:t xml:space="preserve">供应商名称）</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zh-CN"/>
        </w:rPr>
        <w:t xml:space="preserve">(以下简称：乙方)协商一致，约定以下合同条</w:t>
      </w:r>
      <w:r>
        <w:rPr>
          <w:rFonts w:hint="eastAsia" w:ascii="宋体" w:hAnsi="宋体" w:eastAsia="宋体" w:cs="宋体"/>
          <w:b w:val="0"/>
          <w:bCs w:val="0"/>
          <w:color w:val="000000"/>
          <w:sz w:val="24"/>
          <w:highlight w:val="none"/>
          <w:lang w:val="zh-CN"/>
        </w:rPr>
        <w:t xml:space="preserve">款，以兹共同遵守、全面履行。</w:t>
      </w:r>
      <w:r/>
    </w:p>
    <w:p>
      <w:pPr>
        <w:ind w:firstLine="482"/>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cs="宋体"/>
          <w:b/>
          <w:bCs/>
          <w:color w:val="000000"/>
          <w:sz w:val="24"/>
          <w:szCs w:val="24"/>
          <w:highlight w:val="none"/>
          <w:lang w:val="en-US" w:eastAsia="zh-CN"/>
        </w:rPr>
        <w:t xml:space="preserve">1.1 合同组成部分</w:t>
      </w:r>
      <w:r>
        <w:rPr>
          <w:rFonts w:hint="eastAsia" w:ascii="宋体" w:hAnsi="宋体" w:eastAsia="宋体" w:cs="宋体"/>
          <w:b w:val="0"/>
          <w:bCs w:val="0"/>
          <w:color w:val="000000"/>
          <w:sz w:val="24"/>
          <w:szCs w:val="24"/>
          <w:highlight w:val="none"/>
        </w:rPr>
        <w:t xml:space="preserve"> </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下列文件为本合同的组成部分，并构成一个整体，需综合解释、相互补充。如果下列文件内容出现不一致的情形，那么在保证按照</w:t>
      </w:r>
      <w:r>
        <w:rPr>
          <w:rFonts w:hint="eastAsia" w:ascii="宋体" w:hAnsi="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文件确定的事项的前提下，组成本合同的多个文件的优先适用顺序如下：</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1.1.1 本合同及其补充合同、变更协议；</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1.1.2 中标通知书；</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1.1.3 投标文件（含澄清或者说明文件）；</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1.1.4 招标文件（含澄清或者修改文件）；</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1.1.5 其他相关</w:t>
      </w:r>
      <w:r>
        <w:rPr>
          <w:rFonts w:hint="eastAsia" w:ascii="宋体" w:hAnsi="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文件。</w:t>
      </w:r>
      <w:r/>
    </w:p>
    <w:p>
      <w:pPr>
        <w:ind w:firstLine="482"/>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cs="宋体"/>
          <w:b/>
          <w:bCs/>
          <w:color w:val="000000"/>
          <w:sz w:val="24"/>
          <w:szCs w:val="24"/>
          <w:highlight w:val="none"/>
          <w:lang w:val="en-US" w:eastAsia="zh-CN"/>
        </w:rPr>
        <w:t xml:space="preserve">1.2 标的</w:t>
      </w:r>
      <w:r>
        <w:rPr>
          <w:rFonts w:hint="eastAsia" w:ascii="宋体" w:hAnsi="宋体" w:eastAsia="宋体" w:cs="宋体"/>
          <w:b w:val="0"/>
          <w:bCs w:val="0"/>
          <w:color w:val="000000"/>
          <w:sz w:val="24"/>
          <w:szCs w:val="24"/>
          <w:highlight w:val="none"/>
        </w:rPr>
        <w:t xml:space="preserve"> </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1.2.1 标的名称：</w:t>
      </w:r>
      <w:r>
        <w:rPr>
          <w:rFonts w:hint="eastAsia" w:ascii="宋体" w:hAnsi="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1.2.2 标的数量：</w:t>
      </w:r>
      <w:r>
        <w:rPr>
          <w:rFonts w:hint="eastAsia" w:ascii="宋体" w:hAnsi="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1.2.3 标的质量：</w:t>
      </w:r>
      <w:r>
        <w:rPr>
          <w:rFonts w:hint="eastAsia" w:ascii="宋体" w:hAnsi="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w:t>
      </w:r>
      <w:r/>
    </w:p>
    <w:p>
      <w:pPr>
        <w:ind w:firstLine="482"/>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cs="宋体"/>
          <w:b/>
          <w:bCs/>
          <w:color w:val="000000"/>
          <w:sz w:val="24"/>
          <w:szCs w:val="24"/>
          <w:highlight w:val="none"/>
          <w:lang w:val="en-US" w:eastAsia="zh-CN"/>
        </w:rPr>
        <w:t xml:space="preserve">1.3 价款</w:t>
      </w:r>
      <w:r>
        <w:rPr>
          <w:rFonts w:hint="eastAsia" w:ascii="宋体" w:hAnsi="宋体" w:eastAsia="宋体" w:cs="宋体"/>
          <w:b w:val="0"/>
          <w:bCs w:val="0"/>
          <w:color w:val="000000"/>
          <w:sz w:val="24"/>
          <w:szCs w:val="24"/>
          <w:highlight w:val="none"/>
        </w:rPr>
        <w:t xml:space="preserve">  </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本合同总价为：￥           元（大写：                 元人民币）。</w:t>
      </w:r>
      <w:r/>
    </w:p>
    <w:p>
      <w:pPr>
        <w:ind w:firstLine="480"/>
        <w:jc w:val="left"/>
        <w:pageBreakBefore w:val="0"/>
        <w:spacing w:line="360" w:lineRule="auto"/>
        <w:widowControl w:val="off"/>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分项价格：</w:t>
      </w:r>
      <w:r>
        <w:rPr>
          <w:rFonts w:hint="eastAsia" w:ascii="宋体" w:hAnsi="宋体" w:cs="宋体"/>
          <w:b w:val="0"/>
          <w:bCs w:val="0"/>
          <w:color w:val="000000"/>
          <w:sz w:val="24"/>
          <w:szCs w:val="24"/>
          <w:highlight w:val="none"/>
          <w:lang w:val="en-US" w:eastAsia="zh-CN"/>
        </w:rPr>
        <w:t xml:space="preserve">详见分项报价表</w:t>
      </w:r>
      <w:r/>
    </w:p>
    <w:p>
      <w:pPr>
        <w:ind w:firstLine="482"/>
        <w:jc w:val="left"/>
        <w:pageBreakBefore w:val="0"/>
        <w:spacing w:line="360" w:lineRule="auto"/>
        <w:widowControl w:val="off"/>
        <w:rPr>
          <w:rFonts w:hint="default"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1.4 付款方式和发票开具方式</w:t>
      </w:r>
      <w:r/>
    </w:p>
    <w:p>
      <w:pPr>
        <w:ind w:firstLine="480"/>
        <w:jc w:val="left"/>
        <w:pageBreakBefore w:val="0"/>
        <w:spacing w:line="36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1.4.1</w:t>
      </w:r>
      <w:r>
        <w:rPr>
          <w:rFonts w:hint="eastAsia" w:ascii="宋体" w:hAnsi="宋体" w:eastAsia="宋体" w:cs="宋体"/>
          <w:b w:val="0"/>
          <w:bCs w:val="0"/>
          <w:color w:val="000000"/>
          <w:sz w:val="24"/>
          <w:szCs w:val="24"/>
          <w:highlight w:val="none"/>
        </w:rPr>
        <w:t xml:space="preserve">合同签订之日起至合同期满后一次性付清。</w:t>
      </w:r>
      <w:r>
        <w:rPr>
          <w:rFonts w:hint="eastAsia" w:ascii="宋体" w:hAnsi="宋体" w:cs="宋体"/>
          <w:b w:val="0"/>
          <w:bCs w:val="0"/>
          <w:color w:val="000000"/>
          <w:sz w:val="24"/>
          <w:szCs w:val="24"/>
          <w:highlight w:val="none"/>
          <w:lang w:val="en-US" w:eastAsia="zh-CN"/>
        </w:rPr>
        <w:t xml:space="preserve">   </w:t>
      </w:r>
      <w:r/>
    </w:p>
    <w:p>
      <w:pPr>
        <w:ind w:firstLine="480"/>
        <w:jc w:val="left"/>
        <w:keepLines/>
        <w:keepNext/>
        <w:pageBreakBefore w:val="0"/>
        <w:spacing w:before="0" w:after="0" w:line="360" w:lineRule="auto"/>
        <w:widowControl w:val="off"/>
        <w:rPr>
          <w:rFonts w:hint="default" w:ascii="宋体" w:hAnsi="Times New Roman" w:eastAsia="宋体" w:cs="Times New Roman"/>
          <w:b/>
          <w:sz w:val="24"/>
          <w:szCs w:val="20"/>
          <w:highlight w:val="none"/>
          <w:u w:val="single"/>
          <w:lang w:val="en-US" w:eastAsia="zh-CN" w:bidi="ar-SA"/>
        </w:rPr>
        <w:outlineLvl w:val="2"/>
      </w:pPr>
      <w:r>
        <w:rPr>
          <w:rFonts w:hint="eastAsia" w:ascii="宋体" w:hAnsi="宋体" w:eastAsia="宋体" w:cs="宋体"/>
          <w:b w:val="0"/>
          <w:bCs w:val="0"/>
          <w:color w:val="000000"/>
          <w:sz w:val="24"/>
          <w:szCs w:val="24"/>
          <w:highlight w:val="none"/>
          <w:u w:val="none"/>
          <w:lang w:val="en-US" w:eastAsia="zh-CN" w:bidi="ar-SA"/>
        </w:rPr>
        <w:t xml:space="preserve">1.4.2发票开具方式：中标人需向采购人开具正规的增值税专用发票。</w:t>
      </w:r>
      <w:r/>
    </w:p>
    <w:p>
      <w:pPr>
        <w:ind w:firstLine="482"/>
        <w:jc w:val="left"/>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1.5</w:t>
      </w:r>
      <w:r>
        <w:rPr>
          <w:rFonts w:hint="eastAsia" w:ascii="宋体" w:hAnsi="宋体" w:eastAsia="宋体" w:cs="宋体"/>
          <w:b/>
          <w:bCs/>
          <w:color w:val="000000"/>
          <w:sz w:val="24"/>
          <w:szCs w:val="24"/>
          <w:highlight w:val="none"/>
        </w:rPr>
        <w:t xml:space="preserve"> 履行期限、地点和方式</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1.5.2 履行地点：</w:t>
      </w:r>
      <w:r>
        <w:rPr>
          <w:rFonts w:hint="eastAsia" w:ascii="宋体" w:hAnsi="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1.5.3 履行方式：</w:t>
      </w:r>
      <w:r>
        <w:rPr>
          <w:rFonts w:hint="eastAsia" w:ascii="宋体" w:hAnsi="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w:t>
      </w:r>
      <w:r/>
    </w:p>
    <w:p>
      <w:pPr>
        <w:ind w:firstLine="482"/>
        <w:jc w:val="left"/>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1.6</w:t>
      </w:r>
      <w:r>
        <w:rPr>
          <w:rFonts w:hint="eastAsia" w:ascii="宋体" w:hAnsi="宋体" w:eastAsia="宋体" w:cs="宋体"/>
          <w:b/>
          <w:bCs/>
          <w:color w:val="000000"/>
          <w:sz w:val="24"/>
          <w:szCs w:val="24"/>
          <w:highlight w:val="none"/>
        </w:rPr>
        <w:t xml:space="preserve"> </w:t>
      </w:r>
      <w:r>
        <w:rPr>
          <w:rFonts w:hint="eastAsia" w:ascii="宋体" w:hAnsi="宋体" w:cs="宋体"/>
          <w:b/>
          <w:bCs/>
          <w:color w:val="000000"/>
          <w:sz w:val="24"/>
          <w:szCs w:val="24"/>
          <w:highlight w:val="none"/>
          <w:lang w:val="en-US" w:eastAsia="zh-CN"/>
        </w:rPr>
        <w:t xml:space="preserve">违约责任</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eastAsia="宋体" w:cs="宋体"/>
          <w:b w:val="0"/>
          <w:bCs w:val="0"/>
          <w:color w:val="000000"/>
          <w:sz w:val="24"/>
          <w:szCs w:val="24"/>
          <w:highlight w:val="none"/>
          <w:u w:val="single"/>
        </w:rPr>
        <w:t xml:space="preserve">  0.1  </w:t>
      </w:r>
      <w:r>
        <w:rPr>
          <w:rFonts w:hint="eastAsia" w:ascii="宋体" w:hAnsi="宋体" w:eastAsia="宋体" w:cs="宋体"/>
          <w:b w:val="0"/>
          <w:bCs w:val="0"/>
          <w:color w:val="000000"/>
          <w:sz w:val="24"/>
          <w:szCs w:val="24"/>
          <w:highlight w:val="none"/>
        </w:rPr>
        <w:t xml:space="preserve">%计算，最高限额为本合同总价的</w:t>
      </w:r>
      <w:r>
        <w:rPr>
          <w:rFonts w:hint="eastAsia" w:ascii="宋体" w:hAnsi="宋体" w:eastAsia="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5  </w:t>
      </w:r>
      <w:r>
        <w:rPr>
          <w:rFonts w:hint="eastAsia" w:ascii="宋体" w:hAnsi="宋体" w:eastAsia="宋体" w:cs="宋体"/>
          <w:b w:val="0"/>
          <w:bCs w:val="0"/>
          <w:color w:val="000000"/>
          <w:sz w:val="24"/>
          <w:szCs w:val="24"/>
          <w:highlight w:val="none"/>
        </w:rPr>
        <w:t xml:space="preserve">%；迟延履行的违约金计算数额达到前述最高限额之日起，甲方有权在要求乙方支付违约金的同时，书面通知乙方解除本合同；</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1.6.2 除不可抗力外，如果甲方没有按照本合同约定的付款方式付款，那么乙方可要求甲方支付违约金，违约金按每迟延付款一日的应付而未付款的  0.1  %计算，最高限额为本合同总价的</w:t>
      </w:r>
      <w:r>
        <w:rPr>
          <w:rFonts w:hint="eastAsia" w:ascii="宋体" w:hAnsi="宋体" w:eastAsia="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 5   </w:t>
      </w:r>
      <w:r>
        <w:rPr>
          <w:rFonts w:hint="eastAsia" w:ascii="宋体" w:hAnsi="宋体" w:eastAsia="宋体" w:cs="宋体"/>
          <w:b w:val="0"/>
          <w:bCs w:val="0"/>
          <w:color w:val="000000"/>
          <w:sz w:val="24"/>
          <w:szCs w:val="24"/>
          <w:highlight w:val="none"/>
        </w:rPr>
        <w:t xml:space="preserve">%；迟延付款的违约金计算数额达到前述最高限额之日起，乙方有权在要求甲方支付违约金的同时，书面通知甲方解除本合同；</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firstLine="482"/>
        <w:jc w:val="left"/>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1.7</w:t>
      </w:r>
      <w:r>
        <w:rPr>
          <w:rFonts w:hint="eastAsia" w:ascii="宋体" w:hAnsi="宋体" w:eastAsia="宋体" w:cs="宋体"/>
          <w:b/>
          <w:bCs/>
          <w:color w:val="000000"/>
          <w:sz w:val="24"/>
          <w:szCs w:val="24"/>
          <w:highlight w:val="none"/>
        </w:rPr>
        <w:t xml:space="preserve"> 合同争议的解决</w:t>
      </w:r>
      <w:r/>
    </w:p>
    <w:p>
      <w:pPr>
        <w:contextualSpacing/>
        <w:ind w:firstLine="48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eastAsia="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u w:val="single"/>
          <w:lang w:val="en-US" w:eastAsia="zh-CN"/>
        </w:rPr>
        <w:t xml:space="preserve">2</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种方式解决：</w:t>
      </w:r>
      <w:r/>
    </w:p>
    <w:p>
      <w:pPr>
        <w:contextualSpacing/>
        <w:ind w:firstLine="48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1.7.1 将争议提交</w:t>
      </w:r>
      <w:r>
        <w:rPr>
          <w:rFonts w:hint="eastAsia" w:ascii="宋体" w:hAnsi="宋体" w:cs="宋体"/>
          <w:b w:val="0"/>
          <w:bCs w:val="0"/>
          <w:color w:val="000000"/>
          <w:sz w:val="24"/>
          <w:szCs w:val="24"/>
          <w:highlight w:val="none"/>
          <w:u w:val="single"/>
          <w:lang w:val="en-US" w:eastAsia="zh-CN"/>
        </w:rPr>
        <w:t xml:space="preserve"> 溧阳市 </w:t>
      </w:r>
      <w:r>
        <w:rPr>
          <w:rFonts w:hint="eastAsia" w:ascii="宋体" w:hAnsi="宋体" w:eastAsia="宋体" w:cs="宋体"/>
          <w:b w:val="0"/>
          <w:bCs w:val="0"/>
          <w:color w:val="000000"/>
          <w:sz w:val="24"/>
          <w:szCs w:val="24"/>
          <w:highlight w:val="none"/>
        </w:rPr>
        <w:t xml:space="preserve">仲裁委员会依申请仲裁时其现行有效的仲裁规则裁决；</w:t>
      </w:r>
      <w:r/>
    </w:p>
    <w:p>
      <w:pPr>
        <w:contextualSpacing/>
        <w:ind w:firstLine="48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 w:val="0"/>
          <w:bCs w:val="0"/>
          <w:color w:val="000000"/>
          <w:sz w:val="24"/>
          <w:szCs w:val="24"/>
          <w:highlight w:val="none"/>
        </w:rPr>
        <w:t xml:space="preserve">1.7.2 向</w:t>
      </w:r>
      <w:r>
        <w:rPr>
          <w:rFonts w:hint="eastAsia" w:ascii="宋体" w:hAnsi="宋体" w:cs="宋体"/>
          <w:b w:val="0"/>
          <w:bCs w:val="0"/>
          <w:color w:val="000000"/>
          <w:sz w:val="24"/>
          <w:szCs w:val="24"/>
          <w:highlight w:val="none"/>
          <w:u w:val="single"/>
          <w:lang w:val="en-US" w:eastAsia="zh-CN"/>
        </w:rPr>
        <w:t xml:space="preserve"> 溧阳市 </w:t>
      </w:r>
      <w:r>
        <w:rPr>
          <w:rFonts w:hint="eastAsia" w:ascii="宋体" w:hAnsi="宋体" w:eastAsia="宋体" w:cs="宋体"/>
          <w:b w:val="0"/>
          <w:bCs w:val="0"/>
          <w:color w:val="000000"/>
          <w:sz w:val="24"/>
          <w:szCs w:val="24"/>
          <w:highlight w:val="none"/>
        </w:rPr>
        <w:t xml:space="preserve">人民法院起诉。</w:t>
      </w:r>
      <w:r/>
    </w:p>
    <w:p>
      <w:pPr>
        <w:ind w:firstLine="482"/>
        <w:jc w:val="left"/>
        <w:pageBreakBefore w:val="0"/>
        <w:spacing w:line="360" w:lineRule="auto"/>
        <w:widowControl w:val="off"/>
        <w:rPr>
          <w:rFonts w:hint="default"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1.8 合同生效</w:t>
      </w:r>
      <w:r/>
    </w:p>
    <w:p>
      <w:pPr>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本合同自双方当事人盖章或者签字时生效。</w:t>
      </w:r>
      <w:r/>
    </w:p>
    <w:p>
      <w:pPr>
        <w:ind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甲方（盖章）：                     乙方（盖章）:</w:t>
      </w:r>
      <w:r/>
    </w:p>
    <w:p>
      <w:pPr>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                      法定代表人：</w:t>
      </w:r>
      <w:r/>
    </w:p>
    <w:p>
      <w:pPr>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签订合同代表：                    签订合同代表：</w:t>
      </w:r>
      <w:r/>
    </w:p>
    <w:p>
      <w:pPr>
        <w:ind w:left="5759" w:hanging="52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                        单位地址： </w:t>
      </w:r>
      <w:r/>
    </w:p>
    <w:p>
      <w:pPr>
        <w:ind w:left="5039" w:hanging="456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电话号码：</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电话号码：</w:t>
      </w:r>
      <w:r/>
    </w:p>
    <w:p>
      <w:pPr>
        <w:rPr>
          <w:highlight w:val="none"/>
        </w:rPr>
      </w:pPr>
      <w:r>
        <w:rPr>
          <w:highlight w:val="none"/>
        </w:rPr>
      </w:r>
      <w:r/>
    </w:p>
    <w:p>
      <w:pPr>
        <w:jc w:val="left"/>
        <w:keepLines/>
        <w:keepNext/>
        <w:spacing w:before="360" w:after="120"/>
        <w:widowControl w:val="off"/>
        <w:rPr>
          <w:rFonts w:ascii="宋体" w:hAnsi="Times New Roman" w:eastAsia="宋体" w:cs="Times New Roman"/>
          <w:b/>
          <w:sz w:val="24"/>
          <w:szCs w:val="20"/>
          <w:highlight w:val="none"/>
          <w:u w:val="single"/>
          <w:lang w:val="en-US" w:eastAsia="zh-CN" w:bidi="ar-SA"/>
        </w:rPr>
        <w:outlineLvl w:val="2"/>
      </w:pPr>
      <w:r>
        <w:rPr>
          <w:rFonts w:ascii="宋体" w:hAnsi="Times New Roman" w:eastAsia="宋体" w:cs="Times New Roman"/>
          <w:b/>
          <w:sz w:val="24"/>
          <w:szCs w:val="20"/>
          <w:highlight w:val="none"/>
          <w:u w:val="single"/>
          <w:lang w:val="en-US" w:eastAsia="zh-CN" w:bidi="ar-SA"/>
        </w:rPr>
      </w:r>
      <w:r/>
    </w:p>
    <w:p>
      <w:pPr>
        <w:rPr>
          <w:highlight w:val="none"/>
        </w:rPr>
      </w:pPr>
      <w:r>
        <w:rPr>
          <w:highlight w:val="none"/>
        </w:rPr>
      </w:r>
      <w:r/>
    </w:p>
    <w:p>
      <w:pPr>
        <w:jc w:val="left"/>
        <w:keepLines/>
        <w:keepNext/>
        <w:spacing w:before="360" w:after="120"/>
        <w:widowControl w:val="off"/>
        <w:rPr>
          <w:rFonts w:ascii="宋体" w:hAnsi="Times New Roman" w:eastAsia="宋体" w:cs="Times New Roman"/>
          <w:b/>
          <w:sz w:val="24"/>
          <w:szCs w:val="20"/>
          <w:highlight w:val="none"/>
          <w:u w:val="single"/>
          <w:lang w:val="en-US" w:eastAsia="zh-CN" w:bidi="ar-SA"/>
        </w:rPr>
        <w:outlineLvl w:val="2"/>
      </w:pPr>
      <w:r>
        <w:rPr>
          <w:rFonts w:ascii="宋体" w:hAnsi="Times New Roman" w:eastAsia="宋体" w:cs="Times New Roman"/>
          <w:b/>
          <w:sz w:val="24"/>
          <w:szCs w:val="20"/>
          <w:highlight w:val="none"/>
          <w:u w:val="single"/>
          <w:lang w:val="en-US" w:eastAsia="zh-CN" w:bidi="ar-SA"/>
        </w:rPr>
      </w:r>
      <w:r/>
    </w:p>
    <w:p>
      <w:pPr>
        <w:rPr>
          <w:highlight w:val="none"/>
        </w:rPr>
      </w:pPr>
      <w:r>
        <w:rPr>
          <w:highlight w:val="none"/>
        </w:rPr>
      </w:r>
      <w:r/>
    </w:p>
    <w:p>
      <w:pPr>
        <w:jc w:val="left"/>
        <w:keepLines/>
        <w:keepNext/>
        <w:spacing w:before="360" w:after="120"/>
        <w:widowControl w:val="off"/>
        <w:rPr>
          <w:rFonts w:ascii="宋体" w:hAnsi="Times New Roman" w:eastAsia="宋体" w:cs="Times New Roman"/>
          <w:b/>
          <w:sz w:val="24"/>
          <w:szCs w:val="20"/>
          <w:highlight w:val="none"/>
          <w:u w:val="single"/>
          <w:lang w:val="en-US" w:eastAsia="zh-CN" w:bidi="ar-SA"/>
        </w:rPr>
        <w:outlineLvl w:val="2"/>
      </w:pPr>
      <w:r>
        <w:rPr>
          <w:rFonts w:ascii="宋体" w:hAnsi="Times New Roman" w:eastAsia="宋体" w:cs="Times New Roman"/>
          <w:b/>
          <w:sz w:val="24"/>
          <w:szCs w:val="20"/>
          <w:highlight w:val="none"/>
          <w:u w:val="single"/>
          <w:lang w:val="en-US" w:eastAsia="zh-CN" w:bidi="ar-SA"/>
        </w:rPr>
      </w:r>
      <w:r/>
    </w:p>
    <w:p>
      <w:pPr>
        <w:rPr>
          <w:highlight w:val="none"/>
        </w:rPr>
      </w:pPr>
      <w:r>
        <w:rPr>
          <w:highlight w:val="none"/>
        </w:rPr>
      </w:r>
      <w:r/>
    </w:p>
    <w:p>
      <w:pPr>
        <w:jc w:val="left"/>
        <w:keepLines/>
        <w:keepNext/>
        <w:spacing w:before="360" w:after="120"/>
        <w:widowControl w:val="off"/>
        <w:rPr>
          <w:rFonts w:ascii="宋体" w:hAnsi="Times New Roman" w:eastAsia="宋体" w:cs="Times New Roman"/>
          <w:b/>
          <w:sz w:val="24"/>
          <w:szCs w:val="20"/>
          <w:highlight w:val="none"/>
          <w:u w:val="single"/>
          <w:lang w:val="en-US" w:eastAsia="zh-CN" w:bidi="ar-SA"/>
        </w:rPr>
        <w:outlineLvl w:val="2"/>
      </w:pPr>
      <w:r>
        <w:rPr>
          <w:rFonts w:ascii="宋体" w:hAnsi="Times New Roman" w:eastAsia="宋体" w:cs="Times New Roman"/>
          <w:b/>
          <w:sz w:val="24"/>
          <w:szCs w:val="20"/>
          <w:highlight w:val="none"/>
          <w:u w:val="single"/>
          <w:lang w:val="en-US" w:eastAsia="zh-CN" w:bidi="ar-SA"/>
        </w:rPr>
      </w:r>
      <w:r/>
    </w:p>
    <w:p>
      <w:pPr>
        <w:rPr>
          <w:highlight w:val="none"/>
        </w:rPr>
      </w:pPr>
      <w:r>
        <w:rPr>
          <w:highlight w:val="none"/>
        </w:rPr>
      </w:r>
      <w:r/>
    </w:p>
    <w:p>
      <w:pPr>
        <w:jc w:val="left"/>
        <w:keepLines/>
        <w:keepNext/>
        <w:spacing w:before="360" w:after="120"/>
        <w:widowControl w:val="off"/>
        <w:rPr>
          <w:rFonts w:ascii="宋体" w:hAnsi="Times New Roman" w:eastAsia="宋体" w:cs="Times New Roman"/>
          <w:b/>
          <w:sz w:val="24"/>
          <w:szCs w:val="20"/>
          <w:highlight w:val="none"/>
          <w:u w:val="single"/>
          <w:lang w:val="en-US" w:eastAsia="zh-CN" w:bidi="ar-SA"/>
        </w:rPr>
        <w:outlineLvl w:val="2"/>
      </w:pPr>
      <w:r>
        <w:rPr>
          <w:rFonts w:ascii="宋体" w:hAnsi="Times New Roman" w:eastAsia="宋体" w:cs="Times New Roman"/>
          <w:b/>
          <w:sz w:val="24"/>
          <w:szCs w:val="20"/>
          <w:highlight w:val="none"/>
          <w:u w:val="single"/>
          <w:lang w:val="en-US" w:eastAsia="zh-CN" w:bidi="ar-SA"/>
        </w:rPr>
      </w:r>
      <w:r/>
    </w:p>
    <w:p>
      <w:pPr>
        <w:rPr>
          <w:highlight w:val="none"/>
        </w:rPr>
      </w:pPr>
      <w:r>
        <w:rPr>
          <w:highlight w:val="none"/>
        </w:rPr>
      </w:r>
      <w:r/>
    </w:p>
    <w:p>
      <w:pPr>
        <w:jc w:val="left"/>
        <w:keepLines/>
        <w:keepNext/>
        <w:spacing w:before="360" w:after="120"/>
        <w:widowControl w:val="off"/>
        <w:rPr>
          <w:rFonts w:ascii="宋体" w:hAnsi="Times New Roman" w:eastAsia="宋体" w:cs="Times New Roman"/>
          <w:b/>
          <w:sz w:val="24"/>
          <w:szCs w:val="20"/>
          <w:highlight w:val="none"/>
          <w:u w:val="single"/>
          <w:lang w:val="en-US" w:eastAsia="zh-CN" w:bidi="ar-SA"/>
        </w:rPr>
        <w:outlineLvl w:val="2"/>
      </w:pPr>
      <w:r>
        <w:rPr>
          <w:rFonts w:ascii="宋体" w:hAnsi="Times New Roman" w:eastAsia="宋体" w:cs="Times New Roman"/>
          <w:b/>
          <w:sz w:val="24"/>
          <w:szCs w:val="20"/>
          <w:highlight w:val="none"/>
          <w:u w:val="single"/>
          <w:lang w:val="en-US" w:eastAsia="zh-CN" w:bidi="ar-SA"/>
        </w:rPr>
      </w:r>
      <w:r/>
    </w:p>
    <w:p>
      <w:pPr>
        <w:rPr>
          <w:highlight w:val="none"/>
        </w:rPr>
      </w:pPr>
      <w:r>
        <w:rPr>
          <w:highlight w:val="none"/>
        </w:rPr>
      </w:r>
      <w:r/>
    </w:p>
    <w:p>
      <w:pPr>
        <w:jc w:val="center"/>
        <w:keepLines/>
        <w:keepNext/>
        <w:pageBreakBefore w:val="0"/>
        <w:spacing w:before="0" w:after="0" w:line="360" w:lineRule="auto"/>
        <w:widowControl w:val="off"/>
        <w:rPr>
          <w:rFonts w:hint="eastAsia" w:ascii="宋体" w:hAnsi="宋体" w:eastAsia="宋体" w:cs="宋体"/>
          <w:b/>
          <w:bCs w:val="0"/>
          <w:sz w:val="24"/>
          <w:szCs w:val="24"/>
          <w:highlight w:val="none"/>
          <w:u w:val="none"/>
          <w:lang w:val="en-US" w:eastAsia="zh-CN" w:bidi="ar-SA"/>
        </w:rPr>
        <w:outlineLvl w:val="2"/>
      </w:pPr>
      <w:r>
        <w:rPr>
          <w:rFonts w:hint="eastAsia" w:ascii="宋体" w:hAnsi="宋体" w:eastAsia="宋体" w:cs="宋体"/>
          <w:b/>
          <w:bCs w:val="0"/>
          <w:sz w:val="24"/>
          <w:szCs w:val="24"/>
          <w:highlight w:val="none"/>
          <w:u w:val="none"/>
          <w:lang w:val="en-US" w:eastAsia="zh-CN" w:bidi="ar-SA"/>
        </w:rPr>
        <w:t xml:space="preserve">第二部分 合同一般条款</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 定义</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本合同中的下列词语应按以下内容进行解释：</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2.1.1 “合同”系指采购人和中标供应商签订的载明双方当事人所达成的协议，并包括所有的附件、附录和构成合同的其他文件。</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2.1.2 “合同价”系指根据合同约定，中标供应商在完全履行合同义务后，采购人应支付给中标供应商的价格。</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2.1.3 “服务”系指中标供应商根据合同约定应向采购人履行的除货物和工程以外的其他政府采购对象，包括采购人自身需要的服务和向社会公众提供的公共服务。</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2.1.4 “甲方”系指与中标供应商签署合同的采购人；采购人委托采购代理机构代表其与乙方签订合同的，采购人的授权委托书作为合同附件。</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2.1.5 “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2.1.6 “现场”系指合同约定提供服务的地点。</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2.2 技术规范</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服务所应遵守的技术规范应与</w:t>
      </w:r>
      <w:r>
        <w:rPr>
          <w:rFonts w:hint="eastAsia" w:ascii="宋体" w:hAnsi="宋体" w:cs="宋体"/>
          <w:b w:val="0"/>
          <w:bCs/>
          <w:sz w:val="24"/>
          <w:szCs w:val="24"/>
          <w:highlight w:val="none"/>
          <w:u w:val="none"/>
          <w:lang w:val="en-US" w:eastAsia="zh-CN" w:bidi="ar-SA"/>
        </w:rPr>
        <w:t xml:space="preserve">招标</w:t>
      </w:r>
      <w:r>
        <w:rPr>
          <w:rFonts w:hint="eastAsia" w:ascii="宋体" w:hAnsi="宋体" w:eastAsia="宋体" w:cs="宋体"/>
          <w:b w:val="0"/>
          <w:bCs/>
          <w:sz w:val="24"/>
          <w:szCs w:val="24"/>
          <w:highlight w:val="none"/>
          <w:u w:val="none"/>
          <w:lang w:val="en-US" w:eastAsia="zh-CN" w:bidi="ar-SA"/>
        </w:rPr>
        <w:t xml:space="preserve">文件规定的技术规范和技术规范附件(如果有的话)及其技术规范偏差表(如果被甲方接受的话)相一致；如果</w:t>
      </w:r>
      <w:r>
        <w:rPr>
          <w:rFonts w:hint="eastAsia" w:ascii="宋体" w:hAnsi="宋体" w:cs="宋体"/>
          <w:b w:val="0"/>
          <w:bCs/>
          <w:sz w:val="24"/>
          <w:szCs w:val="24"/>
          <w:highlight w:val="none"/>
          <w:u w:val="none"/>
          <w:lang w:val="en-US" w:eastAsia="zh-CN" w:bidi="ar-SA"/>
        </w:rPr>
        <w:t xml:space="preserve">招标</w:t>
      </w:r>
      <w:r>
        <w:rPr>
          <w:rFonts w:hint="eastAsia" w:ascii="宋体" w:hAnsi="宋体" w:eastAsia="宋体" w:cs="宋体"/>
          <w:b w:val="0"/>
          <w:bCs/>
          <w:sz w:val="24"/>
          <w:szCs w:val="24"/>
          <w:highlight w:val="none"/>
          <w:u w:val="none"/>
          <w:lang w:val="en-US" w:eastAsia="zh-CN" w:bidi="ar-SA"/>
        </w:rPr>
        <w:t xml:space="preserve">文件中没有技术规范的相应说明，那么应以国家有关部门最新颁布的相应标准和规范为准。</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2.3 知识产权</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2.3.2 合同涉及技术成果的归属和收益的分成办法的，详见合同专用条款。</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2.4 履约检查和问题反馈</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2.4.1甲方有权在其认为必要时，对乙方是否能够按照合同约定提供服务进行履约检查，以确保乙方所提供的服务能够依约满足甲方之项目需求，但不得因履约检查妨碍乙方的正常工作，乙方应予积极配合；</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2.4.2 合同履行期间，甲方有权将履行过程中出现的问题反馈给乙方，双方当事人应以书面形式约定需要完善和改进的内容。</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2.5 结算方式和付款条件</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详见合同专用条款。</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2.6 技术资料和保密义务</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2.6.1 乙方有权依据合同约定和项目需要，向甲方了解有关情况，调阅有关资料等，甲方应予积极配合；</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2.6.2 乙方有义务妥善保管和保护由甲方提供的前款信息和资料等；</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2.7 质量保证</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2.7.1 乙方应建立和完善履行合同的内部质量保证体系，并提供相关内部规章制度给甲方，以便甲方进行监督检查；</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2.7.2 乙方应保证履行合同的人员数量和素质、软件和硬件设备的配置、场地、环境和设施等满足全面履行合同的要求，并应接受甲方的监督检查。</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2.8 延迟履行</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2.9 不可抗力</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2.9.1如果任何一方遭遇法律规定的不可抗力，致使合同履行受阻时，履行合同的期限应予延长，延长的期限应相当于不可抗力所影响的时间；</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2.9.2 因不可抗力致使不能实现合同目的的，当事人可以解除合同；</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2.9.3 因不可抗力致使合同有变更必要的，双方当事人应在合同专用条款约定时间内以书面形式变更合同；</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2.9.4受不可抗力影响的一方在不可抗力发生后，应在合同专用条款约定时间内以书面形式通知对方当事人，并在合同专用条款约定时间内，将有关部门出具的证明文件送达对方当事人。</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2.10 税费</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与合同有关的一切税费，均按照中华人民共和国法律的相关规定缴纳。</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2.11 乙方破产</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2.12 合同中止、终止</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2.12.1 双方当事人不得擅自中止或者终止合同；</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2.12.2合同继续履行将损害国家利益和社会公共利益的，双方当事人应当中止或者终止合同。有过错的一方应当承担赔偿责任，双方当事人都有过错的，各自承担相应的责任。</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2.13 检验和验收</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2.13.1 乙方按照合同专用条款的约定，定期提交服务报告，甲方按照合同专用条款的约定进行定期验收；</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2.13.2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2.13.3 检验和验收标准、程序等具体内容以及前述验收书的效力详见合同专用条款。</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2.14 通知和送达</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2.14.1 任何一方因履行合同而以合同第一部分尾部所列明的</w:t>
      </w:r>
      <w:r>
        <w:rPr>
          <w:rFonts w:hint="eastAsia" w:ascii="宋体" w:hAnsi="宋体" w:eastAsia="宋体" w:cs="宋体"/>
          <w:b w:val="0"/>
          <w:bCs/>
          <w:sz w:val="24"/>
          <w:szCs w:val="24"/>
          <w:highlight w:val="none"/>
          <w:u w:val="single"/>
          <w:lang w:val="en-US" w:eastAsia="zh-CN" w:bidi="ar-SA"/>
        </w:rPr>
        <w:t xml:space="preserve">          </w:t>
      </w:r>
      <w:r>
        <w:rPr>
          <w:rFonts w:hint="eastAsia" w:ascii="宋体" w:hAnsi="宋体" w:eastAsia="宋体" w:cs="宋体"/>
          <w:b w:val="0"/>
          <w:bCs/>
          <w:sz w:val="24"/>
          <w:szCs w:val="24"/>
          <w:highlight w:val="none"/>
          <w:u w:val="none"/>
          <w:lang w:val="en-US" w:eastAsia="zh-CN" w:bidi="ar-SA"/>
        </w:rPr>
        <w:t xml:space="preserve">发出的所有通知、文件、材料，均视为已向对方当事人送达；任何一方变更上述送达方式或者地址的，应于   个工作日内书面通知对方当事人，在对方当事人收到有关变更通知之前，变更前的约定送达方式或者地址仍视为有效。</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2.14.2以当面交付方式送达的，交付之时视为送达；以电子邮件方式送达的，发出电子邮件之时视为送达；以传真方式送达的，发出传真之时视为送达；以邮寄方式送达的，邮件挂号寄出或者交邮之日之次日视为送达。</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2.15 合同使用的文字和适用的法律</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2.15.1 合同使用汉语书就、变更和解释；</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2.15.2 合同适用中华人民共和国法律。</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2.16 合同份数</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合同份数按合同专用条款规定，每份均具有同等法律效力。</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r>
      <w:r/>
    </w:p>
    <w:p>
      <w:pPr>
        <w:jc w:val="center"/>
        <w:keepLines/>
        <w:keepNext/>
        <w:pageBreakBefore w:val="0"/>
        <w:spacing w:before="0" w:after="0" w:line="360" w:lineRule="auto"/>
        <w:widowControl w:val="off"/>
        <w:rPr>
          <w:rFonts w:hint="eastAsia" w:ascii="宋体" w:hAnsi="宋体" w:eastAsia="宋体" w:cs="宋体"/>
          <w:b/>
          <w:bCs w:val="0"/>
          <w:sz w:val="24"/>
          <w:szCs w:val="24"/>
          <w:highlight w:val="none"/>
          <w:u w:val="none"/>
          <w:lang w:val="en-US" w:eastAsia="zh-CN" w:bidi="ar-SA"/>
        </w:rPr>
        <w:outlineLvl w:val="2"/>
      </w:pPr>
      <w:r>
        <w:rPr>
          <w:rFonts w:hint="eastAsia" w:ascii="宋体" w:hAnsi="宋体" w:eastAsia="宋体" w:cs="宋体"/>
          <w:b/>
          <w:bCs w:val="0"/>
          <w:sz w:val="24"/>
          <w:szCs w:val="24"/>
          <w:highlight w:val="none"/>
          <w:u w:val="none"/>
          <w:lang w:val="en-US" w:eastAsia="zh-CN" w:bidi="ar-SA"/>
        </w:rPr>
        <w:t xml:space="preserve">第三部分  合同专用条款</w:t>
      </w:r>
      <w:r/>
    </w:p>
    <w:p>
      <w:pPr>
        <w:jc w:val="left"/>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outlineLvl w:val="2"/>
      </w:pPr>
      <w:r>
        <w:rPr>
          <w:rFonts w:hint="eastAsia" w:ascii="宋体" w:hAnsi="宋体" w:eastAsia="宋体" w:cs="宋体"/>
          <w:b w:val="0"/>
          <w:bCs/>
          <w:sz w:val="24"/>
          <w:szCs w:val="24"/>
          <w:highlight w:val="none"/>
          <w:u w:val="none"/>
          <w:lang w:val="en-US" w:eastAsia="zh-CN" w:bidi="ar-SA"/>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p>
      <w:pPr>
        <w:rPr>
          <w:rFonts w:hint="eastAsia" w:ascii="宋体" w:hAnsi="宋体" w:eastAsia="宋体" w:cs="宋体"/>
          <w:b w:val="0"/>
          <w:bCs/>
          <w:sz w:val="24"/>
          <w:szCs w:val="24"/>
          <w:highlight w:val="none"/>
          <w:u w:val="none"/>
        </w:rPr>
      </w:pPr>
      <w:r>
        <w:rPr>
          <w:rFonts w:hint="eastAsia" w:ascii="宋体" w:hAnsi="宋体" w:eastAsia="宋体" w:cs="宋体"/>
          <w:b w:val="0"/>
          <w:bCs/>
          <w:sz w:val="24"/>
          <w:szCs w:val="24"/>
          <w:highlight w:val="none"/>
          <w:u w:val="none"/>
        </w:rPr>
      </w:r>
      <w:r/>
    </w:p>
    <w:tbl>
      <w:tblPr>
        <w:tblStyle w:val="819"/>
        <w:tblW w:w="8430" w:type="dxa"/>
        <w:tblInd w:w="8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01"/>
        <w:gridCol w:w="7629"/>
      </w:tblGrid>
      <w:tr>
        <w:trPr>
          <w:trHeight w:val="680"/>
        </w:trPr>
        <w:tc>
          <w:tcPr>
            <w:shd w:val="clear" w:color="auto" w:fill="auto"/>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jc w:val="center"/>
              <w:spacing w:before="100" w:beforeAutospacing="1" w:after="100" w:afterAutospacing="1" w:line="560" w:lineRule="exact"/>
              <w:widowControl/>
              <w:rPr>
                <w:rFonts w:hint="eastAsia" w:ascii="宋体" w:hAnsi="宋体" w:eastAsia="宋体" w:cs="宋体"/>
                <w:sz w:val="24"/>
                <w:highlight w:val="none"/>
              </w:rPr>
            </w:pPr>
            <w:r>
              <w:rPr>
                <w:rFonts w:hint="eastAsia" w:ascii="宋体" w:hAnsi="宋体" w:eastAsia="宋体" w:cs="宋体"/>
                <w:b/>
                <w:bCs/>
                <w:sz w:val="24"/>
                <w:highlight w:val="none"/>
              </w:rPr>
              <w:t xml:space="preserve">条款号</w:t>
            </w:r>
            <w:r/>
          </w:p>
        </w:tc>
        <w:tc>
          <w:tcPr>
            <w:shd w:val="clear" w:color="auto" w:fill="auto"/>
            <w:tcBorders>
              <w:top w:val="single" w:color="auto" w:sz="6" w:space="0"/>
              <w:left w:val="none" w:color="000000" w:sz="4" w:space="0"/>
              <w:bottom w:val="single" w:color="auto" w:sz="6" w:space="0"/>
              <w:right w:val="single" w:color="auto" w:sz="6" w:space="0"/>
            </w:tcBorders>
            <w:tcW w:w="7629" w:type="dxa"/>
            <w:vAlign w:val="center"/>
            <w:textDirection w:val="lrTb"/>
            <w:noWrap w:val="false"/>
          </w:tcPr>
          <w:p>
            <w:pPr>
              <w:jc w:val="center"/>
              <w:spacing w:before="100" w:beforeAutospacing="1" w:after="100" w:afterAutospacing="1" w:line="560" w:lineRule="exact"/>
              <w:widowControl/>
              <w:rPr>
                <w:rFonts w:hint="eastAsia" w:ascii="宋体" w:hAnsi="宋体" w:eastAsia="宋体" w:cs="宋体"/>
                <w:sz w:val="24"/>
                <w:highlight w:val="none"/>
              </w:rPr>
            </w:pPr>
            <w:r>
              <w:rPr>
                <w:rFonts w:hint="eastAsia" w:ascii="宋体" w:hAnsi="宋体" w:eastAsia="宋体" w:cs="宋体"/>
                <w:b/>
                <w:bCs/>
                <w:sz w:val="24"/>
                <w:highlight w:val="none"/>
              </w:rPr>
              <w:t xml:space="preserve">约定内容</w:t>
            </w:r>
            <w:r/>
          </w:p>
        </w:tc>
      </w:tr>
      <w:tr>
        <w:trPr>
          <w:trHeight w:val="680"/>
        </w:trPr>
        <w:tc>
          <w:tcPr>
            <w:shd w:val="clear" w:color="auto" w:fill="auto"/>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jc w:val="left"/>
              <w:spacing w:before="100" w:beforeAutospacing="1" w:after="100" w:afterAutospacing="1" w:line="88" w:lineRule="atLeast"/>
              <w:widowControl/>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3.1</w:t>
            </w:r>
            <w:r/>
          </w:p>
        </w:tc>
        <w:tc>
          <w:tcPr>
            <w:shd w:val="clear" w:color="auto" w:fill="auto"/>
            <w:tcBorders>
              <w:top w:val="single" w:color="auto" w:sz="6" w:space="0"/>
              <w:left w:val="none" w:color="000000" w:sz="4" w:space="0"/>
              <w:bottom w:val="single" w:color="auto" w:sz="6" w:space="0"/>
              <w:right w:val="single" w:color="auto" w:sz="6" w:space="0"/>
            </w:tcBorders>
            <w:tcW w:w="7629" w:type="dxa"/>
            <w:vAlign w:val="center"/>
            <w:textDirection w:val="lrTb"/>
            <w:noWrap w:val="false"/>
          </w:tcPr>
          <w:p>
            <w:pPr>
              <w:jc w:val="left"/>
              <w:spacing w:before="100" w:beforeAutospacing="1" w:after="100" w:afterAutospacing="1" w:line="88" w:lineRule="atLeast"/>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本项目服务期限为自合同签订之日起一年，采购人指定地点</w:t>
            </w:r>
            <w:r/>
          </w:p>
        </w:tc>
      </w:tr>
      <w:tr>
        <w:trPr>
          <w:trHeight w:val="680"/>
        </w:trPr>
        <w:tc>
          <w:tcPr>
            <w:shd w:val="clear" w:color="auto" w:fill="auto"/>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jc w:val="left"/>
              <w:spacing w:before="100" w:beforeAutospacing="1" w:after="100" w:afterAutospacing="1" w:line="560" w:lineRule="exact"/>
              <w:widowControl/>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3.2</w:t>
            </w:r>
            <w:r/>
          </w:p>
        </w:tc>
        <w:tc>
          <w:tcPr>
            <w:shd w:val="clear" w:color="auto" w:fill="auto"/>
            <w:tcBorders>
              <w:top w:val="single" w:color="auto" w:sz="6" w:space="0"/>
              <w:left w:val="none" w:color="000000" w:sz="4" w:space="0"/>
              <w:bottom w:val="single" w:color="auto" w:sz="6" w:space="0"/>
              <w:right w:val="single" w:color="auto" w:sz="6" w:space="0"/>
            </w:tcBorders>
            <w:tcW w:w="7629" w:type="dxa"/>
            <w:vAlign w:val="center"/>
            <w:textDirection w:val="lrTb"/>
            <w:noWrap w:val="false"/>
          </w:tcPr>
          <w:p>
            <w:pPr>
              <w:jc w:val="left"/>
              <w:spacing w:before="100" w:beforeAutospacing="1" w:after="100" w:afterAutospacing="1" w:line="560" w:lineRule="exact"/>
              <w:widowControl/>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本项目为固定总价合同，超出服务清单工作量按合同总价结算，未完成服务清单工作量按实结算</w:t>
            </w:r>
            <w:r/>
          </w:p>
        </w:tc>
      </w:tr>
      <w:tr>
        <w:trPr>
          <w:trHeight w:val="680"/>
        </w:trPr>
        <w:tc>
          <w:tcPr>
            <w:shd w:val="clear" w:color="auto" w:fill="auto"/>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jc w:val="left"/>
              <w:spacing w:before="100" w:beforeAutospacing="1" w:after="100" w:afterAutospacing="1" w:line="560" w:lineRule="exact"/>
              <w:widowControl/>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3.3</w:t>
            </w:r>
            <w:r/>
          </w:p>
        </w:tc>
        <w:tc>
          <w:tcPr>
            <w:shd w:val="clear" w:color="auto" w:fill="auto"/>
            <w:tcBorders>
              <w:top w:val="single" w:color="auto" w:sz="6" w:space="0"/>
              <w:left w:val="none" w:color="000000" w:sz="4" w:space="0"/>
              <w:bottom w:val="single" w:color="auto" w:sz="6" w:space="0"/>
              <w:right w:val="single" w:color="auto" w:sz="6" w:space="0"/>
            </w:tcBorders>
            <w:tcW w:w="7629" w:type="dxa"/>
            <w:vAlign w:val="center"/>
            <w:textDirection w:val="lrTb"/>
            <w:noWrap w:val="false"/>
          </w:tcPr>
          <w:p>
            <w:pPr>
              <w:jc w:val="left"/>
              <w:spacing w:before="100" w:beforeAutospacing="1" w:after="100" w:afterAutospacing="1" w:line="5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本合同一式</w:t>
            </w:r>
            <w:r>
              <w:rPr>
                <w:rFonts w:hint="eastAsia" w:ascii="宋体" w:hAnsi="宋体" w:eastAsia="宋体" w:cs="宋体"/>
                <w:sz w:val="24"/>
                <w:highlight w:val="none"/>
                <w:lang w:val="en-US" w:eastAsia="zh-CN"/>
              </w:rPr>
              <w:t xml:space="preserve">肆</w:t>
            </w:r>
            <w:r>
              <w:rPr>
                <w:rFonts w:hint="eastAsia" w:ascii="宋体" w:hAnsi="宋体" w:eastAsia="宋体" w:cs="宋体"/>
                <w:sz w:val="24"/>
                <w:highlight w:val="none"/>
              </w:rPr>
              <w:t xml:space="preserve">份，甲方执</w:t>
            </w:r>
            <w:r>
              <w:rPr>
                <w:rFonts w:hint="eastAsia" w:ascii="宋体" w:hAnsi="宋体" w:eastAsia="宋体" w:cs="宋体"/>
                <w:sz w:val="24"/>
                <w:highlight w:val="none"/>
                <w:lang w:val="en-US" w:eastAsia="zh-CN"/>
              </w:rPr>
              <w:t xml:space="preserve">贰</w:t>
            </w:r>
            <w:r>
              <w:rPr>
                <w:rFonts w:hint="eastAsia" w:ascii="宋体" w:hAnsi="宋体" w:eastAsia="宋体" w:cs="宋体"/>
                <w:sz w:val="24"/>
                <w:highlight w:val="none"/>
              </w:rPr>
              <w:t xml:space="preserve">份，乙方执</w:t>
            </w:r>
            <w:r>
              <w:rPr>
                <w:rFonts w:hint="eastAsia" w:ascii="宋体" w:hAnsi="宋体" w:eastAsia="宋体" w:cs="宋体"/>
                <w:sz w:val="24"/>
                <w:highlight w:val="none"/>
                <w:lang w:val="en-US" w:eastAsia="zh-CN"/>
              </w:rPr>
              <w:t xml:space="preserve">贰</w:t>
            </w:r>
            <w:r>
              <w:rPr>
                <w:rFonts w:hint="eastAsia" w:ascii="宋体" w:hAnsi="宋体" w:eastAsia="宋体" w:cs="宋体"/>
                <w:sz w:val="24"/>
                <w:highlight w:val="none"/>
              </w:rPr>
              <w:t xml:space="preserve">份，具有同等法律效力。</w:t>
            </w:r>
            <w:r/>
          </w:p>
        </w:tc>
      </w:tr>
      <w:tr>
        <w:trPr>
          <w:trHeight w:val="680"/>
        </w:trPr>
        <w:tc>
          <w:tcPr>
            <w:shd w:val="clear" w:color="auto" w:fill="auto"/>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jc w:val="left"/>
              <w:spacing w:before="100" w:beforeAutospacing="1" w:after="100" w:afterAutospacing="1" w:line="5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shd w:val="clear" w:color="auto" w:fill="auto"/>
            <w:tcBorders>
              <w:top w:val="single" w:color="auto" w:sz="6" w:space="0"/>
              <w:left w:val="none" w:color="000000" w:sz="4" w:space="0"/>
              <w:bottom w:val="single" w:color="auto" w:sz="6" w:space="0"/>
              <w:right w:val="single" w:color="auto" w:sz="6" w:space="0"/>
            </w:tcBorders>
            <w:tcW w:w="7629" w:type="dxa"/>
            <w:vAlign w:val="center"/>
            <w:textDirection w:val="lrTb"/>
            <w:noWrap w:val="false"/>
          </w:tcPr>
          <w:p>
            <w:pPr>
              <w:jc w:val="left"/>
              <w:spacing w:before="100" w:beforeAutospacing="1" w:after="100" w:afterAutospacing="1" w:line="5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p>
        </w:tc>
      </w:tr>
      <w:tr>
        <w:trPr>
          <w:trHeight w:val="680"/>
        </w:trPr>
        <w:tc>
          <w:tcPr>
            <w:shd w:val="clear" w:color="auto" w:fill="auto"/>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jc w:val="left"/>
              <w:spacing w:before="100" w:beforeAutospacing="1" w:after="100" w:afterAutospacing="1" w:line="65"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shd w:val="clear" w:color="auto" w:fill="auto"/>
            <w:tcBorders>
              <w:top w:val="single" w:color="auto" w:sz="6" w:space="0"/>
              <w:left w:val="none" w:color="000000" w:sz="4" w:space="0"/>
              <w:bottom w:val="single" w:color="auto" w:sz="6" w:space="0"/>
              <w:right w:val="single" w:color="auto" w:sz="6" w:space="0"/>
            </w:tcBorders>
            <w:tcW w:w="7629" w:type="dxa"/>
            <w:vAlign w:val="center"/>
            <w:textDirection w:val="lrTb"/>
            <w:noWrap w:val="false"/>
          </w:tcPr>
          <w:p>
            <w:pPr>
              <w:jc w:val="left"/>
              <w:spacing w:before="100" w:beforeAutospacing="1" w:after="100" w:afterAutospacing="1" w:line="65"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p>
        </w:tc>
      </w:tr>
    </w:tbl>
    <w:p>
      <w:pPr>
        <w:rPr>
          <w:rFonts w:hint="eastAsia"/>
          <w:highlight w:val="none"/>
        </w:rPr>
      </w:pPr>
      <w:r>
        <w:rPr>
          <w:rFonts w:hint="eastAsia"/>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spacing w:line="360" w:lineRule="auto"/>
        <w:rPr>
          <w:rFonts w:hint="eastAsia"/>
          <w:b/>
          <w:sz w:val="36"/>
          <w:szCs w:val="36"/>
          <w:highlight w:val="none"/>
        </w:rPr>
        <w:outlineLvl w:val="0"/>
      </w:pPr>
      <w:r>
        <w:rPr>
          <w:rFonts w:hint="eastAsia"/>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t xml:space="preserve">第七章   投标文件格式</w:t>
      </w:r>
      <w:bookmarkEnd w:id="686"/>
      <w:r/>
      <w:r/>
    </w:p>
    <w:p>
      <w:pPr>
        <w:ind w:left="142"/>
        <w:spacing w:line="360" w:lineRule="auto"/>
        <w:tabs>
          <w:tab w:val="left" w:pos="900" w:leader="none"/>
          <w:tab w:val="left" w:pos="1980" w:leader="none"/>
        </w:tabs>
        <w:rPr>
          <w:b/>
          <w:sz w:val="24"/>
          <w:highlight w:val="none"/>
        </w:rPr>
      </w:pPr>
      <w:r>
        <w:rPr>
          <w:b/>
          <w:sz w:val="24"/>
          <w:highlight w:val="none"/>
        </w:rPr>
      </w:r>
      <w:r/>
    </w:p>
    <w:p>
      <w:pPr>
        <w:ind w:left="142"/>
        <w:spacing w:line="360" w:lineRule="auto"/>
        <w:tabs>
          <w:tab w:val="left" w:pos="900" w:leader="none"/>
          <w:tab w:val="left" w:pos="1980" w:leader="none"/>
        </w:tabs>
        <w:rPr>
          <w:b/>
          <w:sz w:val="24"/>
          <w:highlight w:val="none"/>
        </w:rPr>
      </w:pPr>
      <w:r>
        <w:rPr>
          <w:b/>
          <w:sz w:val="24"/>
          <w:highlight w:val="none"/>
        </w:rPr>
      </w:r>
      <w:r/>
    </w:p>
    <w:p>
      <w:pPr>
        <w:ind w:left="142"/>
        <w:spacing w:line="360" w:lineRule="auto"/>
        <w:tabs>
          <w:tab w:val="left" w:pos="900" w:leader="none"/>
          <w:tab w:val="left" w:pos="1980" w:leader="none"/>
        </w:tabs>
        <w:rPr>
          <w:rFonts w:ascii="Times New Roman" w:hAnsi="Times New Roman" w:eastAsia="宋体" w:cs="Times New Roman"/>
          <w:sz w:val="24"/>
          <w:highlight w:val="none"/>
        </w:rPr>
      </w:pPr>
      <w:r>
        <w:rPr>
          <w:rFonts w:ascii="Times New Roman" w:hAnsi="Times New Roman" w:eastAsia="宋体" w:cs="Times New Roman"/>
          <w:b/>
          <w:sz w:val="24"/>
          <w:highlight w:val="none"/>
        </w:rPr>
        <w:t xml:space="preserve">投标人编制文件须知</w:t>
      </w:r>
      <w:r/>
    </w:p>
    <w:p>
      <w:pPr>
        <w:ind w:left="142"/>
        <w:spacing w:line="360" w:lineRule="auto"/>
        <w:tabs>
          <w:tab w:val="left" w:pos="900" w:leader="none"/>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Times New Roman" w:hAnsi="Times New Roman" w:eastAsia="宋体" w:cs="Times New Roman"/>
          <w:b/>
          <w:sz w:val="24"/>
          <w:highlight w:val="none"/>
        </w:rPr>
        <w:t xml:space="preserve">投标无效</w:t>
      </w:r>
      <w:r>
        <w:rPr>
          <w:rFonts w:ascii="Times New Roman" w:hAnsi="Times New Roman" w:eastAsia="宋体" w:cs="Times New Roman"/>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ascii="Times New Roman" w:hAnsi="Times New Roman" w:eastAsia="宋体" w:cs="Times New Roman"/>
          <w:sz w:val="24"/>
          <w:highlight w:val="none"/>
        </w:rPr>
      </w:pPr>
      <w:r>
        <w:rPr>
          <w:rFonts w:ascii="Times New Roman" w:hAnsi="Times New Roman" w:eastAsia="宋体" w:cs="Times New Roman"/>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sz w:val="24"/>
          <w:highlight w:val="none"/>
        </w:rPr>
      </w:pPr>
      <w:r>
        <w:rPr>
          <w:rFonts w:hint="eastAsia" w:ascii="Times New Roman" w:hAnsi="Times New Roman" w:eastAsia="宋体" w:cs="Times New Roman"/>
          <w:sz w:val="24"/>
          <w:highlight w:val="none"/>
        </w:rPr>
        <w:t xml:space="preserve">4、实行电子化不见面交易方式的，加盖公章、签名等均通过</w:t>
      </w:r>
      <w:r>
        <w:rPr>
          <w:rFonts w:ascii="Times New Roman" w:hAnsi="Times New Roman" w:eastAsia="宋体" w:cs="Times New Roman"/>
          <w:sz w:val="24"/>
          <w:highlight w:val="none"/>
        </w:rPr>
        <w:t xml:space="preserve">投标文件编制工具</w:t>
      </w:r>
      <w:r>
        <w:rPr>
          <w:rFonts w:hint="eastAsia" w:ascii="Times New Roman" w:hAnsi="Times New Roman" w:eastAsia="宋体" w:cs="Times New Roman"/>
          <w:sz w:val="24"/>
          <w:highlight w:val="none"/>
        </w:rPr>
        <w:t xml:space="preserve">加盖电子公章、</w:t>
      </w:r>
      <w:r>
        <w:rPr>
          <w:rFonts w:ascii="宋体" w:hAnsi="宋体" w:eastAsia="宋体" w:cs="Times New Roman"/>
          <w:color w:val="000000"/>
          <w:sz w:val="24"/>
          <w:szCs w:val="20"/>
          <w:highlight w:val="none"/>
        </w:rPr>
        <w:t xml:space="preserve">签字</w:t>
      </w:r>
      <w:r>
        <w:rPr>
          <w:rFonts w:hint="eastAsia" w:ascii="宋体" w:hAnsi="宋体" w:eastAsia="宋体" w:cs="Times New Roman"/>
          <w:color w:val="000000"/>
          <w:sz w:val="24"/>
          <w:szCs w:val="20"/>
          <w:highlight w:val="none"/>
        </w:rPr>
        <w:t xml:space="preserve">、签章</w:t>
      </w:r>
      <w:r>
        <w:rPr>
          <w:rFonts w:ascii="宋体" w:hAnsi="宋体" w:eastAsia="宋体" w:cs="Times New Roman"/>
          <w:color w:val="000000"/>
          <w:sz w:val="24"/>
          <w:szCs w:val="20"/>
          <w:highlight w:val="none"/>
        </w:rPr>
        <w:t xml:space="preserve">或</w:t>
      </w:r>
      <w:r>
        <w:rPr>
          <w:rFonts w:hint="eastAsia" w:ascii="宋体" w:hAnsi="宋体" w:eastAsia="宋体" w:cs="Times New Roman"/>
          <w:color w:val="000000"/>
          <w:sz w:val="24"/>
          <w:szCs w:val="20"/>
          <w:highlight w:val="none"/>
        </w:rPr>
        <w:t xml:space="preserve">印鉴</w:t>
      </w:r>
      <w:r>
        <w:rPr>
          <w:rFonts w:hint="eastAsia" w:ascii="Times New Roman" w:hAnsi="Times New Roman" w:eastAsia="宋体" w:cs="Times New Roman"/>
          <w:sz w:val="24"/>
          <w:highlight w:val="none"/>
        </w:rPr>
        <w:t xml:space="preserve">。</w:t>
      </w:r>
      <w:r/>
    </w:p>
    <w:p>
      <w:pPr>
        <w:jc w:val="left"/>
        <w:widowControl/>
        <w:rPr>
          <w:sz w:val="24"/>
          <w:highlight w:val="none"/>
        </w:rPr>
      </w:pPr>
      <w:r>
        <w:rPr>
          <w:sz w:val="24"/>
          <w:highlight w:val="none"/>
        </w:rPr>
        <w:br w:type="page" w:clear="all"/>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
    </w:p>
    <w:p>
      <w:pPr>
        <w:jc w:val="left"/>
        <w:keepLines/>
        <w:keepNext/>
        <w:spacing w:before="120" w:line="300" w:lineRule="auto"/>
        <w:rPr>
          <w:b/>
          <w:sz w:val="30"/>
          <w:szCs w:val="20"/>
          <w:highlight w:val="none"/>
        </w:rPr>
        <w:outlineLvl w:val="1"/>
      </w:pPr>
      <w:r>
        <w:rPr>
          <w:b/>
          <w:spacing w:val="20"/>
          <w:sz w:val="24"/>
          <w:highlight w:val="none"/>
        </w:rPr>
        <w:t xml:space="preserve">一、资格证明文件格式</w:t>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投标文件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b/>
          <w:spacing w:val="60"/>
          <w:sz w:val="52"/>
          <w:szCs w:val="52"/>
          <w:highlight w:val="none"/>
        </w:rPr>
      </w:pPr>
      <w:r>
        <w:rPr>
          <w:b/>
          <w:spacing w:val="60"/>
          <w:sz w:val="52"/>
          <w:szCs w:val="52"/>
          <w:highlight w:val="none"/>
        </w:rPr>
      </w:r>
      <w:r/>
    </w:p>
    <w:p>
      <w:pPr>
        <w:ind w:firstLine="963"/>
        <w:rPr>
          <w:b/>
          <w:spacing w:val="60"/>
          <w:sz w:val="52"/>
          <w:szCs w:val="52"/>
          <w:highlight w:val="none"/>
        </w:rPr>
      </w:pPr>
      <w:r>
        <w:rPr>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投标</w:t>
      </w:r>
      <w:r>
        <w:rPr>
          <w:rFonts w:hint="eastAsia" w:ascii="宋体" w:hAnsi="宋体"/>
          <w:b/>
          <w:sz w:val="36"/>
          <w:highlight w:val="none"/>
          <w:lang w:val="en-US" w:eastAsia="zh-CN"/>
        </w:rPr>
        <w:t xml:space="preserve">人</w:t>
      </w:r>
      <w:r>
        <w:rPr>
          <w:rFonts w:hint="eastAsia" w:ascii="宋体" w:hAnsi="宋体"/>
          <w:b/>
          <w:sz w:val="36"/>
          <w:highlight w:val="none"/>
        </w:rPr>
        <w:t xml:space="preserve">名称 ：</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p>
    <w:p>
      <w:pPr>
        <w:rPr>
          <w:b/>
          <w:highlight w:val="none"/>
        </w:rPr>
      </w:pPr>
      <w:r>
        <w:rPr>
          <w:b/>
          <w:highlight w:val="none"/>
        </w:rPr>
      </w:r>
      <w:r/>
    </w:p>
    <w:p>
      <w:pPr>
        <w:spacing w:line="360" w:lineRule="auto"/>
        <w:rPr>
          <w:sz w:val="24"/>
          <w:szCs w:val="20"/>
          <w:highlight w:val="none"/>
        </w:rPr>
        <w:outlineLvl w:val="2"/>
      </w:pPr>
      <w:r>
        <w:rPr>
          <w:sz w:val="24"/>
          <w:szCs w:val="20"/>
          <w:highlight w:val="none"/>
        </w:rPr>
        <w:t xml:space="preserve">1 </w:t>
      </w:r>
      <w:r>
        <w:rPr>
          <w:sz w:val="24"/>
          <w:highlight w:val="none"/>
        </w:rPr>
        <w:t xml:space="preserve">满足《中华人民共和国政府采购法》第二十二条规定及法律法规的其他规定</w:t>
      </w:r>
      <w:r/>
    </w:p>
    <w:p>
      <w:pPr>
        <w:pStyle w:val="1029"/>
        <w:rPr>
          <w:rFonts w:ascii="Times New Roman"/>
          <w:b w:val="0"/>
          <w:bCs/>
          <w:highlight w:val="none"/>
          <w:u w:val="none"/>
        </w:rPr>
      </w:pPr>
      <w:r>
        <w:rPr>
          <w:rFonts w:ascii="Times New Roman"/>
          <w:b w:val="0"/>
          <w:highlight w:val="none"/>
          <w:u w:val="none"/>
        </w:rPr>
        <w:t xml:space="preserve">1-</w:t>
      </w:r>
      <w:r>
        <w:rPr>
          <w:rFonts w:hint="eastAsia" w:ascii="Times New Roman"/>
          <w:b w:val="0"/>
          <w:highlight w:val="none"/>
          <w:u w:val="none"/>
        </w:rPr>
        <w:t xml:space="preserve">1</w:t>
      </w:r>
      <w:r>
        <w:rPr>
          <w:rFonts w:ascii="Times New Roman"/>
          <w:b w:val="0"/>
          <w:highlight w:val="none"/>
          <w:u w:val="none"/>
        </w:rPr>
        <w:t xml:space="preserve"> </w:t>
      </w:r>
      <w:r>
        <w:rPr>
          <w:rFonts w:hint="eastAsia" w:ascii="Times New Roman"/>
          <w:b w:val="0"/>
          <w:highlight w:val="none"/>
          <w:u w:val="none"/>
        </w:rPr>
        <w:t xml:space="preserve">投标</w:t>
      </w:r>
      <w:r>
        <w:rPr>
          <w:rFonts w:hint="eastAsia" w:ascii="Times New Roman"/>
          <w:b w:val="0"/>
          <w:highlight w:val="none"/>
          <w:u w:val="none"/>
          <w:lang w:val="en-US" w:eastAsia="zh-CN"/>
        </w:rPr>
        <w:t xml:space="preserve">人</w:t>
      </w:r>
      <w:r>
        <w:rPr>
          <w:rFonts w:ascii="Times New Roman"/>
          <w:b w:val="0"/>
          <w:highlight w:val="none"/>
          <w:u w:val="none"/>
        </w:rPr>
        <w:t xml:space="preserve">资格声明</w:t>
      </w:r>
      <w:r>
        <w:rPr>
          <w:rFonts w:hint="eastAsia" w:ascii="Times New Roman"/>
          <w:b w:val="0"/>
          <w:highlight w:val="none"/>
          <w:u w:val="none"/>
        </w:rPr>
        <w:t xml:space="preserve">函</w:t>
      </w:r>
      <w:r>
        <w:rPr>
          <w:rFonts w:ascii="Times New Roman"/>
          <w:b w:val="0"/>
          <w:highlight w:val="none"/>
          <w:u w:val="none"/>
        </w:rPr>
        <w:t xml:space="preserve">（实质性格式）</w:t>
      </w:r>
      <w:r/>
    </w:p>
    <w:p>
      <w:pPr>
        <w:jc w:val="center"/>
        <w:spacing w:before="120" w:line="360" w:lineRule="auto"/>
        <w:widowControl/>
        <w:rPr>
          <w:rFonts w:ascii="宋体" w:hAnsi="宋体" w:cs="宋体"/>
          <w:b/>
          <w:sz w:val="28"/>
          <w:szCs w:val="28"/>
          <w:highlight w:val="none"/>
        </w:rPr>
      </w:pPr>
      <w:r>
        <w:rPr>
          <w:rFonts w:ascii="宋体" w:hAnsi="宋体" w:cs="宋体"/>
          <w:b/>
          <w:sz w:val="28"/>
          <w:szCs w:val="28"/>
          <w:highlight w:val="none"/>
        </w:rPr>
      </w:r>
      <w:r/>
    </w:p>
    <w:p>
      <w:pPr>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w:t>
      </w:r>
      <w:r>
        <w:rPr>
          <w:rFonts w:hint="eastAsia" w:ascii="宋体" w:hAnsi="宋体" w:cs="宋体"/>
          <w:b/>
          <w:sz w:val="28"/>
          <w:szCs w:val="28"/>
          <w:highlight w:val="none"/>
          <w:lang w:val="en-US" w:eastAsia="zh-CN"/>
        </w:rPr>
        <w:t xml:space="preserve">人</w:t>
      </w:r>
      <w:r>
        <w:rPr>
          <w:rFonts w:hint="eastAsia" w:ascii="宋体" w:hAnsi="宋体" w:cs="宋体"/>
          <w:b/>
          <w:sz w:val="28"/>
          <w:szCs w:val="28"/>
          <w:highlight w:val="none"/>
        </w:rPr>
        <w:t xml:space="preserve">资格声明函</w:t>
      </w:r>
      <w:r/>
    </w:p>
    <w:p>
      <w:pPr>
        <w:pStyle w:val="1028"/>
        <w:ind w:firstLine="480"/>
        <w:spacing w:line="460" w:lineRule="exact"/>
        <w:rPr>
          <w:highlight w:val="none"/>
        </w:rPr>
      </w:pPr>
      <w:r>
        <w:rPr>
          <w:highlight w:val="none"/>
        </w:rPr>
      </w:r>
      <w:r/>
    </w:p>
    <w:p>
      <w:pPr>
        <w:pStyle w:val="1028"/>
        <w:ind w:firstLine="480"/>
        <w:spacing w:line="460" w:lineRule="exact"/>
        <w:rPr>
          <w:highlight w:val="none"/>
          <w:u w:val="single"/>
        </w:rPr>
      </w:pPr>
      <w:r>
        <w:rPr>
          <w:rFonts w:hint="eastAsia"/>
          <w:highlight w:val="none"/>
        </w:rPr>
        <w:t xml:space="preserve">致：</w:t>
      </w:r>
      <w:r>
        <w:rPr>
          <w:rFonts w:hint="eastAsia"/>
          <w:highlight w:val="none"/>
          <w:u w:val="single"/>
        </w:rPr>
        <w:t xml:space="preserve">（采购人名称）</w:t>
      </w:r>
      <w:r/>
    </w:p>
    <w:p>
      <w:pPr>
        <w:pStyle w:val="1028"/>
        <w:ind w:firstLine="480"/>
        <w:spacing w:line="460" w:lineRule="exact"/>
        <w:rPr>
          <w:highlight w:val="none"/>
        </w:rPr>
      </w:pPr>
      <w:r>
        <w:rPr>
          <w:highlight w:val="none"/>
        </w:rPr>
      </w:r>
      <w:r/>
    </w:p>
    <w:p>
      <w:pPr>
        <w:pStyle w:val="1028"/>
        <w:ind w:firstLine="480"/>
        <w:spacing w:line="460" w:lineRule="exact"/>
        <w:rPr>
          <w:highlight w:val="none"/>
        </w:rPr>
      </w:pPr>
      <w:r>
        <w:rPr>
          <w:rFonts w:hint="eastAsia"/>
          <w:highlight w:val="none"/>
        </w:rPr>
        <w:t xml:space="preserve">按照《中华人民共和国政府采购法》第二十二条和</w:t>
      </w:r>
      <w:r>
        <w:rPr>
          <w:rFonts w:hint="eastAsia"/>
          <w:highlight w:val="none"/>
          <w:lang w:val="en-US" w:eastAsia="zh-CN"/>
        </w:rPr>
        <w:t xml:space="preserve">招标</w:t>
      </w:r>
      <w:r>
        <w:rPr>
          <w:rFonts w:hint="eastAsia"/>
          <w:highlight w:val="none"/>
        </w:rPr>
        <w:t xml:space="preserve">文件的规定，我单位郑重声明如下：</w:t>
      </w:r>
      <w:r/>
    </w:p>
    <w:p>
      <w:pPr>
        <w:pStyle w:val="1028"/>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p>
    <w:p>
      <w:pPr>
        <w:pStyle w:val="1028"/>
        <w:ind w:firstLine="480"/>
        <w:spacing w:line="460" w:lineRule="exact"/>
        <w:rPr>
          <w:highlight w:val="none"/>
        </w:rPr>
      </w:pPr>
      <w:r>
        <w:rPr>
          <w:rFonts w:hint="eastAsia"/>
          <w:highlight w:val="none"/>
        </w:rPr>
        <w:t xml:space="preserve">二、我单位具有良好的商业信誉（指投标</w:t>
      </w:r>
      <w:r>
        <w:rPr>
          <w:rFonts w:hint="eastAsia"/>
          <w:highlight w:val="none"/>
          <w:lang w:val="en-US" w:eastAsia="zh-CN"/>
        </w:rPr>
        <w:t xml:space="preserve">人</w:t>
      </w:r>
      <w:r>
        <w:rPr>
          <w:rFonts w:hint="eastAsia"/>
          <w:highlight w:val="none"/>
        </w:rPr>
        <w:t xml:space="preserve">经营状况良好，无本资格声明第十条情形）和健全的财务会计制度。</w:t>
      </w:r>
      <w:r/>
    </w:p>
    <w:p>
      <w:pPr>
        <w:pStyle w:val="1028"/>
        <w:ind w:firstLine="480"/>
        <w:spacing w:line="460" w:lineRule="exact"/>
        <w:rPr>
          <w:highlight w:val="none"/>
        </w:rPr>
      </w:pPr>
      <w:r>
        <w:rPr>
          <w:rFonts w:hint="eastAsia"/>
          <w:highlight w:val="none"/>
        </w:rPr>
        <w:t xml:space="preserve">三、我单位依法进行纳税和社会保险申报并实际履行了义务。</w:t>
      </w:r>
      <w:r/>
    </w:p>
    <w:p>
      <w:pPr>
        <w:pStyle w:val="1028"/>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1028"/>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1028"/>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1028"/>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28"/>
        <w:ind w:firstLine="480"/>
        <w:spacing w:line="460" w:lineRule="exact"/>
        <w:rPr>
          <w:highlight w:val="none"/>
        </w:rPr>
      </w:pPr>
      <w:r>
        <w:rPr>
          <w:rFonts w:hint="eastAsia"/>
          <w:highlight w:val="none"/>
        </w:rPr>
        <w:t xml:space="preserve">六、我单位具备法律、行政法规规定的其他条件。</w:t>
      </w:r>
      <w:r/>
    </w:p>
    <w:p>
      <w:pPr>
        <w:pStyle w:val="1028"/>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p>
    <w:p>
      <w:pPr>
        <w:pStyle w:val="1028"/>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1028"/>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1028"/>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1028"/>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w:t>
      </w:r>
      <w:r>
        <w:rPr>
          <w:rFonts w:hint="eastAsia"/>
          <w:highlight w:val="none"/>
        </w:rPr>
        <w:t xml:space="preserve">投标</w:t>
      </w:r>
      <w:r>
        <w:rPr>
          <w:rFonts w:hint="eastAsia"/>
          <w:highlight w:val="none"/>
          <w:lang w:val="en-US" w:eastAsia="zh-CN"/>
        </w:rPr>
        <w:t xml:space="preserve">人</w:t>
      </w:r>
      <w:r>
        <w:rPr>
          <w:highlight w:val="none"/>
        </w:rPr>
        <w:t xml:space="preserve">。</w:t>
      </w:r>
      <w:r/>
    </w:p>
    <w:p>
      <w:pPr>
        <w:pStyle w:val="1028"/>
        <w:ind w:firstLine="480"/>
        <w:spacing w:line="460" w:lineRule="exact"/>
        <w:rPr>
          <w:highlight w:val="none"/>
        </w:rPr>
      </w:pPr>
      <w:r>
        <w:rPr>
          <w:rFonts w:hint="eastAsia"/>
          <w:highlight w:val="none"/>
        </w:rPr>
        <w:t xml:space="preserve">九、</w:t>
      </w:r>
      <w:r>
        <w:rPr>
          <w:highlight w:val="none"/>
        </w:rPr>
        <w:t xml:space="preserve">我单位无以下不良信用记录情形：</w:t>
      </w:r>
      <w:r/>
    </w:p>
    <w:p>
      <w:pPr>
        <w:pStyle w:val="1028"/>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1028"/>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1028"/>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1028"/>
        <w:ind w:firstLine="480"/>
        <w:spacing w:line="460" w:lineRule="exact"/>
        <w:rPr>
          <w:highlight w:val="none"/>
        </w:rPr>
      </w:pPr>
      <w:r>
        <w:rPr>
          <w:highlight w:val="none"/>
        </w:rPr>
      </w:r>
      <w:r/>
    </w:p>
    <w:p>
      <w:pPr>
        <w:pStyle w:val="1028"/>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1028"/>
        <w:ind w:firstLine="480"/>
        <w:spacing w:line="460" w:lineRule="exact"/>
        <w:rPr>
          <w:highlight w:val="none"/>
        </w:rPr>
      </w:pPr>
      <w:r>
        <w:rPr>
          <w:highlight w:val="none"/>
        </w:rPr>
      </w:r>
      <w:r/>
    </w:p>
    <w:p>
      <w:pPr>
        <w:pStyle w:val="1028"/>
        <w:ind w:firstLine="480"/>
        <w:spacing w:line="460" w:lineRule="exact"/>
        <w:rPr>
          <w:highlight w:val="none"/>
        </w:rPr>
      </w:pPr>
      <w:r>
        <w:rPr>
          <w:highlight w:val="none"/>
        </w:rPr>
      </w:r>
      <w:r/>
    </w:p>
    <w:p>
      <w:pPr>
        <w:pStyle w:val="1028"/>
        <w:ind w:firstLine="480"/>
        <w:spacing w:line="460" w:lineRule="exact"/>
        <w:rPr>
          <w:highlight w:val="none"/>
        </w:rPr>
      </w:pPr>
      <w:r>
        <w:rPr>
          <w:rFonts w:hint="eastAsia"/>
          <w:highlight w:val="none"/>
        </w:rPr>
        <w:t xml:space="preserve">                                 投标</w:t>
      </w:r>
      <w:r>
        <w:rPr>
          <w:rFonts w:hint="eastAsia"/>
          <w:highlight w:val="none"/>
          <w:lang w:val="en-US" w:eastAsia="zh-CN"/>
        </w:rPr>
        <w:t xml:space="preserve">人</w:t>
      </w:r>
      <w:r>
        <w:rPr>
          <w:rFonts w:hint="eastAsia"/>
          <w:highlight w:val="none"/>
        </w:rPr>
        <w:t xml:space="preserve">：（加盖公章）</w:t>
      </w:r>
      <w:r/>
    </w:p>
    <w:p>
      <w:pPr>
        <w:pStyle w:val="1028"/>
        <w:ind w:firstLine="480"/>
        <w:spacing w:line="460" w:lineRule="exact"/>
        <w:rPr>
          <w:highlight w:val="none"/>
        </w:rPr>
      </w:pPr>
      <w:r>
        <w:rPr>
          <w:rFonts w:hint="eastAsia"/>
          <w:highlight w:val="none"/>
        </w:rPr>
        <w:t xml:space="preserve">                                 法定代表人（或单位负责人）签字或盖章：</w:t>
      </w:r>
      <w:r/>
    </w:p>
    <w:p>
      <w:pPr>
        <w:pStyle w:val="1028"/>
        <w:ind w:firstLine="4920"/>
        <w:spacing w:line="460" w:lineRule="exact"/>
        <w:rPr>
          <w:highlight w:val="none"/>
        </w:rPr>
      </w:pPr>
      <w:r>
        <w:rPr>
          <w:rFonts w:hint="eastAsia"/>
          <w:highlight w:val="none"/>
        </w:rPr>
        <w:t xml:space="preserve">日期：    年    月    日</w:t>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p>
    <w:p>
      <w:pPr>
        <w:spacing w:line="360" w:lineRule="auto"/>
        <w:tabs>
          <w:tab w:val="left" w:pos="5580" w:leader="none"/>
        </w:tabs>
        <w:rPr>
          <w:sz w:val="24"/>
          <w:highlight w:val="none"/>
        </w:rPr>
        <w:sectPr>
          <w:footnotePr/>
          <w:endnotePr/>
          <w:type w:val="nextPage"/>
          <w:pgSz w:w="11907" w:h="16840" w:orient="portrait"/>
          <w:pgMar w:top="1418" w:right="1134" w:bottom="1418" w:left="1134" w:header="851" w:footer="851" w:gutter="0"/>
          <w:cols w:num="1" w:sep="0" w:space="720" w:equalWidth="1"/>
          <w:docGrid w:linePitch="360"/>
        </w:sectPr>
      </w:pPr>
      <w:r>
        <w:rPr>
          <w:sz w:val="24"/>
          <w:highlight w:val="none"/>
        </w:rPr>
      </w:r>
      <w:r/>
    </w:p>
    <w:p>
      <w:pPr>
        <w:spacing w:line="360" w:lineRule="auto"/>
        <w:rPr>
          <w:sz w:val="24"/>
          <w:szCs w:val="20"/>
          <w:highlight w:val="none"/>
        </w:rPr>
        <w:outlineLvl w:val="2"/>
      </w:pPr>
      <w:r>
        <w:rPr>
          <w:sz w:val="24"/>
          <w:szCs w:val="20"/>
          <w:highlight w:val="none"/>
        </w:rPr>
        <w:t xml:space="preserve">2 落实政府采购政策需满足的资格要求</w:t>
      </w:r>
      <w:r/>
    </w:p>
    <w:p>
      <w:pPr>
        <w:spacing w:line="360" w:lineRule="auto"/>
        <w:rPr>
          <w:sz w:val="24"/>
          <w:szCs w:val="20"/>
          <w:highlight w:val="none"/>
        </w:rPr>
        <w:outlineLvl w:val="2"/>
      </w:pPr>
      <w:r>
        <w:rPr>
          <w:sz w:val="24"/>
          <w:szCs w:val="20"/>
          <w:highlight w:val="none"/>
        </w:rPr>
        <w:t xml:space="preserve">2-1中小企业声明函</w:t>
      </w:r>
      <w:r>
        <w:rPr>
          <w:b/>
          <w:bCs/>
          <w:highlight w:val="none"/>
        </w:rPr>
        <w:t xml:space="preserve">（实质性格式）</w:t>
      </w:r>
      <w:r/>
    </w:p>
    <w:p>
      <w:pPr>
        <w:spacing w:line="360" w:lineRule="auto"/>
        <w:tabs>
          <w:tab w:val="left" w:pos="5580" w:leader="none"/>
        </w:tabs>
        <w:rPr>
          <w:sz w:val="24"/>
          <w:highlight w:val="none"/>
        </w:rPr>
      </w:pPr>
      <w:r>
        <w:rPr>
          <w:sz w:val="24"/>
          <w:highlight w:val="none"/>
        </w:rPr>
      </w:r>
      <w:r/>
    </w:p>
    <w:p>
      <w:pPr>
        <w:spacing w:line="360" w:lineRule="auto"/>
        <w:tabs>
          <w:tab w:val="left" w:pos="5580" w:leader="none"/>
        </w:tabs>
        <w:rPr>
          <w:sz w:val="24"/>
          <w:highlight w:val="none"/>
        </w:rPr>
      </w:pPr>
      <w:r>
        <w:rPr>
          <w:sz w:val="24"/>
          <w:highlight w:val="none"/>
        </w:rPr>
        <w:t xml:space="preserve">说明：</w:t>
      </w:r>
      <w:r/>
    </w:p>
    <w:p>
      <w:pPr>
        <w:spacing w:line="360" w:lineRule="auto"/>
        <w:tabs>
          <w:tab w:val="left" w:pos="5580" w:leader="none"/>
        </w:tabs>
        <w:rPr>
          <w:sz w:val="24"/>
          <w:highlight w:val="none"/>
        </w:rPr>
      </w:pPr>
      <w:r>
        <w:rPr>
          <w:sz w:val="24"/>
          <w:highlight w:val="none"/>
        </w:rPr>
        <w:t xml:space="preserve">（1）本项目专门面向中小企业采购，须提供《中小企业声明函》</w:t>
      </w:r>
      <w:r>
        <w:rPr>
          <w:sz w:val="24"/>
          <w:szCs w:val="20"/>
          <w:highlight w:val="none"/>
        </w:rPr>
        <w:t xml:space="preserve">（实质性格式）</w:t>
      </w:r>
      <w:r>
        <w:rPr>
          <w:sz w:val="24"/>
          <w:highlight w:val="none"/>
        </w:rPr>
        <w:t xml:space="preserve">。</w:t>
      </w:r>
      <w:r/>
    </w:p>
    <w:p>
      <w:pPr>
        <w:spacing w:line="360" w:lineRule="auto"/>
        <w:tabs>
          <w:tab w:val="left" w:pos="5580" w:leader="none"/>
        </w:tabs>
        <w:rPr>
          <w:sz w:val="24"/>
          <w:highlight w:val="none"/>
        </w:rPr>
      </w:pPr>
      <w:r>
        <w:rPr>
          <w:rFonts w:hint="eastAsia"/>
          <w:sz w:val="24"/>
          <w:highlight w:val="none"/>
        </w:rPr>
        <w:t xml:space="preserve">（2）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sz w:val="24"/>
          <w:highlight w:val="none"/>
        </w:rPr>
      </w:pPr>
      <w:r>
        <w:rPr>
          <w:sz w:val="24"/>
          <w:highlight w:val="none"/>
        </w:rPr>
      </w:r>
      <w:r/>
    </w:p>
    <w:p>
      <w:pPr>
        <w:spacing w:line="360" w:lineRule="auto"/>
        <w:rPr>
          <w:sz w:val="24"/>
          <w:highlight w:val="none"/>
        </w:rPr>
      </w:pPr>
      <w:r>
        <w:rPr>
          <w:sz w:val="24"/>
          <w:highlight w:val="none"/>
        </w:rPr>
      </w:r>
      <w:r/>
    </w:p>
    <w:p>
      <w:pPr>
        <w:jc w:val="center"/>
        <w:spacing w:before="240" w:after="240" w:line="360" w:lineRule="auto"/>
        <w:rPr>
          <w:b/>
          <w:bCs/>
          <w:sz w:val="36"/>
          <w:szCs w:val="36"/>
          <w:highlight w:val="none"/>
        </w:rPr>
      </w:pPr>
      <w:r>
        <w:rPr>
          <w:sz w:val="24"/>
          <w:highlight w:val="none"/>
        </w:rPr>
        <w:br w:type="page" w:clear="all"/>
      </w:r>
      <w:r>
        <w:rPr>
          <w:rFonts w:hint="eastAsia"/>
          <w:b/>
          <w:bCs/>
          <w:sz w:val="36"/>
          <w:szCs w:val="36"/>
          <w:highlight w:val="none"/>
        </w:rPr>
        <w:t xml:space="preserve">中小企业声明函（服务）格式</w:t>
      </w:r>
      <w:r/>
    </w:p>
    <w:p>
      <w:pPr>
        <w:ind w:firstLine="480"/>
        <w:spacing w:line="440" w:lineRule="exact"/>
        <w:rPr>
          <w:rFonts w:hint="default" w:ascii="宋体" w:hAnsi="宋体" w:eastAsia="宋体" w:cs="楷体"/>
          <w:sz w:val="24"/>
          <w:szCs w:val="24"/>
          <w:highlight w:val="none"/>
        </w:rPr>
      </w:pPr>
      <w:r>
        <w:rPr>
          <w:rFonts w:hint="eastAsia" w:ascii="宋体" w:hAnsi="宋体" w:eastAsia="宋体" w:cs="楷体"/>
          <w:sz w:val="24"/>
          <w:szCs w:val="24"/>
          <w:highlight w:val="none"/>
        </w:rPr>
        <w:t xml:space="preserve">本公司（联合体）郑重申明,根据《政府采购促进中小企业发展管理办法》（财库【2020】46号）的规定，本公司（联合体）参加</w:t>
      </w:r>
      <w:r>
        <w:rPr>
          <w:rFonts w:hint="eastAsia" w:ascii="宋体" w:hAnsi="宋体" w:eastAsia="宋体" w:cs="楷体"/>
          <w:sz w:val="24"/>
          <w:szCs w:val="24"/>
          <w:highlight w:val="none"/>
          <w:u w:val="single"/>
        </w:rPr>
        <w:t xml:space="preserve"> </w:t>
      </w:r>
      <w:r>
        <w:rPr>
          <w:rFonts w:hint="default"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（采购单位名称）的</w:t>
      </w:r>
      <w:r>
        <w:rPr>
          <w:rFonts w:hint="eastAsia" w:ascii="宋体" w:hAnsi="宋体" w:eastAsia="宋体" w:cs="楷体"/>
          <w:sz w:val="24"/>
          <w:szCs w:val="24"/>
          <w:highlight w:val="none"/>
          <w:u w:val="single"/>
        </w:rPr>
        <w:t xml:space="preserve"> </w:t>
      </w:r>
      <w:r>
        <w:rPr>
          <w:rFonts w:hint="default" w:ascii="宋体" w:hAnsi="宋体" w:eastAsia="宋体" w:cs="楷体"/>
          <w:sz w:val="24"/>
          <w:szCs w:val="24"/>
          <w:highlight w:val="none"/>
          <w:u w:val="single"/>
        </w:rPr>
        <w:t xml:space="preserve">    </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440" w:lineRule="exact"/>
        <w:widowControl/>
        <w:rPr>
          <w:rFonts w:hint="default" w:ascii="宋体" w:hAnsi="宋体" w:eastAsia="宋体" w:cs="楷体"/>
          <w:sz w:val="24"/>
          <w:szCs w:val="24"/>
          <w:highlight w:val="none"/>
        </w:rPr>
      </w:pPr>
      <w:r>
        <w:rPr>
          <w:rFonts w:hint="eastAsia" w:ascii="宋体" w:hAnsi="宋体" w:eastAsia="宋体" w:cs="楷体"/>
          <w:sz w:val="24"/>
          <w:szCs w:val="24"/>
          <w:highlight w:val="none"/>
        </w:rPr>
        <w:t xml:space="preserve">1、</w:t>
      </w:r>
      <w:r>
        <w:rPr>
          <w:rFonts w:hint="eastAsia" w:ascii="宋体" w:hAnsi="宋体" w:eastAsia="宋体" w:cs="楷体"/>
          <w:sz w:val="24"/>
          <w:szCs w:val="24"/>
          <w:highlight w:val="none"/>
          <w:u w:val="single"/>
        </w:rPr>
        <w:t xml:space="preserve"> </w:t>
      </w:r>
      <w:r>
        <w:rPr>
          <w:rFonts w:hint="default"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hint="default"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（采购文件中明确的所属行业），承接企业为 </w:t>
      </w:r>
      <w:r>
        <w:rPr>
          <w:rFonts w:hint="default" w:ascii="宋体" w:hAnsi="宋体" w:eastAsia="宋体" w:cs="楷体"/>
          <w:sz w:val="24"/>
          <w:szCs w:val="24"/>
          <w:highlight w:val="none"/>
          <w:u w:val="single"/>
        </w:rPr>
        <w:t xml:space="preserve">     </w:t>
      </w:r>
      <w:r>
        <w:rPr>
          <w:rFonts w:hint="default" w:ascii="宋体" w:hAnsi="宋体" w:eastAsia="宋体" w:cs="楷体"/>
          <w:sz w:val="24"/>
          <w:szCs w:val="24"/>
          <w:highlight w:val="none"/>
        </w:rPr>
        <w:t xml:space="preserve"> </w:t>
      </w:r>
      <w:r>
        <w:rPr>
          <w:rFonts w:hint="eastAsia" w:ascii="宋体" w:hAnsi="宋体" w:eastAsia="宋体" w:cs="楷体"/>
          <w:sz w:val="24"/>
          <w:szCs w:val="24"/>
          <w:highlight w:val="none"/>
        </w:rPr>
        <w:t xml:space="preserve">（企业名称），从业人员</w:t>
      </w:r>
      <w:r>
        <w:rPr>
          <w:rFonts w:hint="default"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hint="default"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hint="default"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hint="default"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p>
    <w:p>
      <w:pPr>
        <w:contextualSpacing/>
        <w:ind w:firstLine="480"/>
        <w:jc w:val="left"/>
        <w:spacing w:line="440" w:lineRule="exact"/>
        <w:widowControl/>
        <w:rPr>
          <w:rFonts w:hint="default" w:ascii="宋体" w:hAnsi="宋体" w:eastAsia="宋体" w:cs="楷体"/>
          <w:sz w:val="24"/>
          <w:szCs w:val="24"/>
          <w:highlight w:val="none"/>
        </w:rPr>
      </w:pPr>
      <w:r>
        <w:rPr>
          <w:rFonts w:hint="eastAsia" w:ascii="宋体" w:hAnsi="宋体" w:eastAsia="宋体" w:cs="楷体"/>
          <w:sz w:val="24"/>
          <w:szCs w:val="24"/>
          <w:highlight w:val="none"/>
        </w:rPr>
        <w:t xml:space="preserve">2、</w:t>
      </w:r>
      <w:r>
        <w:rPr>
          <w:rFonts w:hint="eastAsia" w:ascii="宋体" w:hAnsi="宋体" w:eastAsia="宋体" w:cs="楷体"/>
          <w:sz w:val="24"/>
          <w:szCs w:val="24"/>
          <w:highlight w:val="none"/>
          <w:u w:val="single"/>
        </w:rPr>
        <w:t xml:space="preserve"> </w:t>
      </w:r>
      <w:r>
        <w:rPr>
          <w:rFonts w:hint="default"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hint="default"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（采购文件中明确的所属行业），承接企业为 </w:t>
      </w:r>
      <w:r>
        <w:rPr>
          <w:rFonts w:hint="default" w:ascii="宋体" w:hAnsi="宋体" w:eastAsia="宋体" w:cs="楷体"/>
          <w:sz w:val="24"/>
          <w:szCs w:val="24"/>
          <w:highlight w:val="none"/>
          <w:u w:val="single"/>
        </w:rPr>
        <w:t xml:space="preserve">     </w:t>
      </w:r>
      <w:r>
        <w:rPr>
          <w:rFonts w:hint="default" w:ascii="宋体" w:hAnsi="宋体" w:eastAsia="宋体" w:cs="楷体"/>
          <w:sz w:val="24"/>
          <w:szCs w:val="24"/>
          <w:highlight w:val="none"/>
        </w:rPr>
        <w:t xml:space="preserve"> </w:t>
      </w:r>
      <w:r>
        <w:rPr>
          <w:rFonts w:hint="eastAsia" w:ascii="宋体" w:hAnsi="宋体" w:eastAsia="宋体" w:cs="楷体"/>
          <w:sz w:val="24"/>
          <w:szCs w:val="24"/>
          <w:highlight w:val="none"/>
        </w:rPr>
        <w:t xml:space="preserve">（企业名称），从业人员</w:t>
      </w:r>
      <w:r>
        <w:rPr>
          <w:rFonts w:hint="default"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hint="default"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hint="default"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hint="default"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p>
    <w:p>
      <w:pPr>
        <w:contextualSpacing/>
        <w:ind w:firstLine="480"/>
        <w:jc w:val="left"/>
        <w:spacing w:line="440" w:lineRule="exact"/>
        <w:widowControl/>
        <w:rPr>
          <w:rFonts w:hint="default" w:ascii="宋体" w:hAnsi="宋体" w:eastAsia="宋体" w:cs="楷体"/>
          <w:sz w:val="24"/>
          <w:szCs w:val="24"/>
          <w:highlight w:val="none"/>
        </w:rPr>
      </w:pPr>
      <w:r>
        <w:rPr>
          <w:rFonts w:hint="eastAsia" w:ascii="宋体" w:hAnsi="宋体" w:eastAsia="宋体" w:cs="楷体"/>
          <w:sz w:val="24"/>
          <w:szCs w:val="24"/>
          <w:highlight w:val="none"/>
        </w:rPr>
        <w:t xml:space="preserve">……</w:t>
      </w:r>
      <w:r/>
    </w:p>
    <w:p>
      <w:pPr>
        <w:contextualSpacing/>
        <w:ind w:firstLine="480"/>
        <w:jc w:val="left"/>
        <w:spacing w:line="440" w:lineRule="exact"/>
        <w:widowControl/>
        <w:rPr>
          <w:rFonts w:hint="default" w:ascii="宋体" w:hAnsi="宋体" w:eastAsia="宋体" w:cs="楷体"/>
          <w:sz w:val="24"/>
          <w:szCs w:val="24"/>
          <w:highlight w:val="none"/>
        </w:rPr>
      </w:pPr>
      <w:r>
        <w:rPr>
          <w:rFonts w:hint="eastAsia" w:ascii="宋体" w:hAnsi="宋体" w:eastAsia="宋体" w:cs="楷体"/>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hint="default" w:ascii="宋体" w:hAnsi="宋体" w:eastAsia="宋体" w:cs="楷体"/>
          <w:sz w:val="24"/>
          <w:szCs w:val="24"/>
          <w:highlight w:val="none"/>
        </w:rPr>
      </w:pPr>
      <w:r>
        <w:rPr>
          <w:rFonts w:hint="eastAsia" w:ascii="宋体" w:hAnsi="宋体" w:eastAsia="宋体" w:cs="楷体"/>
          <w:sz w:val="24"/>
          <w:szCs w:val="24"/>
          <w:highlight w:val="none"/>
        </w:rPr>
        <w:t xml:space="preserve">本企业对上述声明内容的真实性负责。如有虚假，将依法承担相应责任。</w:t>
      </w:r>
      <w:r/>
    </w:p>
    <w:p>
      <w:pPr>
        <w:ind w:firstLine="4800"/>
        <w:spacing w:line="440" w:lineRule="exact"/>
        <w:rPr>
          <w:rFonts w:hint="default" w:ascii="宋体" w:hAnsi="宋体" w:eastAsia="宋体" w:cs="楷体"/>
          <w:sz w:val="24"/>
          <w:szCs w:val="24"/>
          <w:highlight w:val="none"/>
        </w:rPr>
      </w:pPr>
      <w:r>
        <w:rPr>
          <w:rFonts w:hint="default" w:ascii="宋体" w:hAnsi="宋体" w:eastAsia="宋体" w:cs="楷体"/>
          <w:sz w:val="24"/>
          <w:szCs w:val="24"/>
          <w:highlight w:val="none"/>
        </w:rPr>
      </w:r>
      <w:r/>
    </w:p>
    <w:p>
      <w:pPr>
        <w:ind w:firstLine="4800"/>
        <w:spacing w:line="440" w:lineRule="exact"/>
        <w:rPr>
          <w:rFonts w:hint="default" w:ascii="宋体" w:hAnsi="宋体" w:eastAsia="宋体" w:cs="楷体"/>
          <w:sz w:val="24"/>
          <w:szCs w:val="24"/>
          <w:highlight w:val="none"/>
        </w:rPr>
      </w:pPr>
      <w:r>
        <w:rPr>
          <w:rFonts w:hint="eastAsia" w:ascii="宋体" w:hAnsi="宋体" w:eastAsia="宋体" w:cs="楷体"/>
          <w:sz w:val="24"/>
          <w:szCs w:val="24"/>
          <w:highlight w:val="none"/>
        </w:rPr>
        <w:t xml:space="preserve">供应商(盖章)：</w:t>
      </w:r>
      <w:r/>
    </w:p>
    <w:p>
      <w:pPr>
        <w:ind w:firstLine="4800"/>
        <w:spacing w:line="440" w:lineRule="exact"/>
        <w:rPr>
          <w:rFonts w:hint="default" w:ascii="宋体" w:hAnsi="宋体" w:eastAsia="宋体" w:cs="楷体"/>
          <w:sz w:val="24"/>
          <w:szCs w:val="24"/>
          <w:highlight w:val="none"/>
        </w:rPr>
      </w:pPr>
      <w:r>
        <w:rPr>
          <w:rFonts w:hint="eastAsia" w:ascii="宋体" w:hAnsi="宋体" w:eastAsia="宋体" w:cs="楷体"/>
          <w:sz w:val="24"/>
          <w:szCs w:val="24"/>
          <w:highlight w:val="none"/>
        </w:rPr>
        <w:t xml:space="preserve">日期：年 月 日</w:t>
      </w:r>
      <w:r/>
    </w:p>
    <w:p>
      <w:pPr>
        <w:spacing w:before="120" w:line="440" w:lineRule="exact"/>
        <w:tabs>
          <w:tab w:val="left" w:pos="567" w:leader="none"/>
        </w:tabs>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spacing w:before="120" w:line="440" w:lineRule="exact"/>
        <w:tabs>
          <w:tab w:val="left" w:pos="567" w:leader="none"/>
        </w:tabs>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spacing w:before="120" w:line="440" w:lineRule="exact"/>
        <w:tabs>
          <w:tab w:val="left" w:pos="567" w:leader="none"/>
        </w:tabs>
        <w:rPr>
          <w:rFonts w:hint="default" w:ascii="宋体" w:hAnsi="宋体" w:eastAsia="宋体" w:cs="楷体"/>
          <w:sz w:val="24"/>
          <w:szCs w:val="24"/>
          <w:highlight w:val="none"/>
        </w:rPr>
      </w:pPr>
      <w:r>
        <w:rPr>
          <w:rFonts w:hint="eastAsia" w:ascii="宋体" w:hAnsi="宋体" w:eastAsia="宋体" w:cs="楷体"/>
          <w:sz w:val="24"/>
          <w:szCs w:val="24"/>
          <w:highlight w:val="none"/>
        </w:rPr>
        <w:t xml:space="preserve">注：1、从业人员、营业收入和资产总额填报上一年度数据，无上一年度数据的新成立企业可不填报。</w:t>
      </w:r>
      <w:r/>
    </w:p>
    <w:p>
      <w:pPr>
        <w:jc w:val="left"/>
        <w:rPr>
          <w:sz w:val="24"/>
          <w:szCs w:val="21"/>
          <w:highlight w:val="none"/>
        </w:rPr>
      </w:pPr>
      <w:r>
        <w:rPr>
          <w:rFonts w:hint="eastAsia" w:ascii="宋体" w:hAnsi="宋体" w:eastAsia="宋体" w:cs="楷体"/>
          <w:sz w:val="24"/>
          <w:szCs w:val="24"/>
          <w:highlight w:val="none"/>
        </w:rPr>
        <w:t xml:space="preserve">2、中小企业划型标准规定参考《工信部联企业[2011]300号》</w:t>
      </w:r>
      <w:r/>
    </w:p>
    <w:p>
      <w:pPr>
        <w:jc w:val="left"/>
        <w:rPr>
          <w:sz w:val="24"/>
          <w:szCs w:val="21"/>
          <w:highlight w:val="none"/>
        </w:rPr>
      </w:pPr>
      <w:r>
        <w:rPr>
          <w:sz w:val="24"/>
          <w:szCs w:val="21"/>
          <w:highlight w:val="none"/>
        </w:rPr>
      </w:r>
      <w:r/>
    </w:p>
    <w:p>
      <w:pPr>
        <w:jc w:val="left"/>
        <w:rPr>
          <w:szCs w:val="21"/>
          <w:highlight w:val="none"/>
          <w:vertAlign w:val="superscript"/>
        </w:rPr>
      </w:pPr>
      <w:r>
        <w:rPr>
          <w:szCs w:val="21"/>
          <w:highlight w:val="none"/>
          <w:vertAlign w:val="superscript"/>
        </w:rPr>
      </w:r>
      <w:r/>
    </w:p>
    <w:p>
      <w:pPr>
        <w:ind w:right="360" w:firstLine="480"/>
        <w:jc w:val="right"/>
        <w:spacing w:line="360" w:lineRule="auto"/>
        <w:rPr>
          <w:sz w:val="24"/>
          <w:highlight w:val="none"/>
        </w:rPr>
      </w:pPr>
      <w:r>
        <w:rPr>
          <w:sz w:val="24"/>
          <w:highlight w:val="none"/>
        </w:rPr>
      </w:r>
      <w:r/>
    </w:p>
    <w:p>
      <w:pPr>
        <w:ind w:right="360" w:firstLine="480"/>
        <w:jc w:val="right"/>
        <w:spacing w:line="360" w:lineRule="auto"/>
        <w:rPr>
          <w:sz w:val="24"/>
          <w:highlight w:val="none"/>
        </w:rPr>
      </w:pPr>
      <w:r>
        <w:rPr>
          <w:sz w:val="24"/>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rFonts w:hint="eastAsia"/>
          <w:sz w:val="24"/>
          <w:szCs w:val="20"/>
          <w:highlight w:val="none"/>
        </w:rPr>
        <w:outlineLvl w:val="2"/>
      </w:pPr>
      <w:r>
        <w:rPr>
          <w:rFonts w:hint="eastAsia"/>
          <w:sz w:val="24"/>
          <w:szCs w:val="20"/>
          <w:highlight w:val="none"/>
        </w:rPr>
      </w:r>
      <w:r/>
    </w:p>
    <w:p>
      <w:pPr>
        <w:jc w:val="center"/>
        <w:spacing w:before="240" w:after="240" w:line="360" w:lineRule="auto"/>
        <w:rPr>
          <w:b/>
          <w:sz w:val="36"/>
          <w:szCs w:val="36"/>
          <w:highlight w:val="none"/>
        </w:rPr>
      </w:pPr>
      <w:r>
        <w:rPr>
          <w:rFonts w:hint="eastAsia"/>
          <w:b/>
          <w:bCs/>
          <w:sz w:val="36"/>
          <w:szCs w:val="36"/>
          <w:highlight w:val="none"/>
        </w:rPr>
        <w:t xml:space="preserve">残疾人福利性单位声明函格式</w:t>
      </w:r>
      <w:r>
        <w:rPr>
          <w:b/>
          <w:sz w:val="36"/>
          <w:szCs w:val="36"/>
          <w:highlight w:val="none"/>
        </w:rPr>
        <w:t xml:space="preserve">       </w:t>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且本单位参加______单位的______项目采购活动由本单位提供服务。</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p>
    <w:p>
      <w:pPr>
        <w:ind w:right="1560" w:firstLine="504"/>
        <w:jc w:val="center"/>
        <w:spacing w:line="588" w:lineRule="exact"/>
        <w:tabs>
          <w:tab w:val="left" w:pos="4860" w:leader="none"/>
        </w:tabs>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r>
      <w:r/>
    </w:p>
    <w:p>
      <w:pPr>
        <w:spacing w:line="360" w:lineRule="auto"/>
        <w:tabs>
          <w:tab w:val="left" w:pos="8280" w:leader="none"/>
        </w:tabs>
        <w:rPr>
          <w:sz w:val="24"/>
          <w:highlight w:val="none"/>
        </w:rPr>
        <w:sectPr>
          <w:headerReference w:type="even" r:id="rId10"/>
          <w:headerReference w:type="first" r:id="rId11"/>
          <w:footerReference w:type="even" r:id="rId16"/>
          <w:footerReference w:type="first" r:id="rId17"/>
          <w:footnotePr/>
          <w:endnotePr/>
          <w:type w:val="nextPage"/>
          <w:pgSz w:w="11907" w:h="16840" w:orient="portrait"/>
          <w:pgMar w:top="1418" w:right="1134" w:bottom="1418" w:left="1134" w:header="851" w:footer="851" w:gutter="0"/>
          <w:cols w:num="1" w:sep="0" w:space="720" w:equalWidth="1"/>
          <w:docGrid w:linePitch="360"/>
        </w:sectPr>
      </w:pPr>
      <w:r>
        <w:rPr>
          <w:sz w:val="24"/>
          <w:highlight w:val="none"/>
        </w:rPr>
      </w:r>
      <w:r/>
    </w:p>
    <w:p>
      <w:pPr>
        <w:jc w:val="left"/>
        <w:widowControl/>
        <w:rPr>
          <w:sz w:val="24"/>
          <w:highlight w:val="none"/>
        </w:rPr>
      </w:pPr>
      <w:r>
        <w:rPr>
          <w:sz w:val="24"/>
          <w:szCs w:val="20"/>
          <w:highlight w:val="none"/>
        </w:rPr>
        <w:t xml:space="preserve">3 </w:t>
      </w:r>
      <w:r>
        <w:rPr>
          <w:sz w:val="24"/>
          <w:highlight w:val="none"/>
        </w:rPr>
        <w:t xml:space="preserve">本项目的特定资格要求</w:t>
      </w:r>
      <w:r/>
    </w:p>
    <w:p>
      <w:pPr>
        <w:ind w:left="719" w:hanging="240"/>
        <w:spacing w:line="360" w:lineRule="auto"/>
        <w:rPr>
          <w:sz w:val="24"/>
          <w:szCs w:val="20"/>
          <w:highlight w:val="none"/>
        </w:rPr>
      </w:pPr>
      <w:r>
        <w:rPr>
          <w:sz w:val="24"/>
          <w:szCs w:val="20"/>
          <w:highlight w:val="none"/>
        </w:rPr>
        <w:t xml:space="preserve">3-</w:t>
      </w:r>
      <w:r>
        <w:rPr>
          <w:rFonts w:hint="eastAsia"/>
          <w:sz w:val="24"/>
          <w:szCs w:val="20"/>
          <w:highlight w:val="none"/>
        </w:rPr>
        <w:t xml:space="preserve">3</w:t>
      </w:r>
      <w:r>
        <w:rPr>
          <w:sz w:val="24"/>
          <w:szCs w:val="20"/>
          <w:highlight w:val="none"/>
        </w:rPr>
        <w:t xml:space="preserve">其他特定资格要求</w:t>
      </w:r>
      <w:r>
        <w:rPr>
          <w:rFonts w:hint="eastAsia"/>
          <w:sz w:val="24"/>
          <w:szCs w:val="20"/>
          <w:highlight w:val="none"/>
        </w:rPr>
        <w:t xml:space="preserve">（</w:t>
      </w:r>
      <w:r>
        <w:rPr>
          <w:rFonts w:hint="eastAsia"/>
          <w:sz w:val="24"/>
          <w:szCs w:val="20"/>
          <w:highlight w:val="none"/>
          <w:lang w:val="en-US" w:eastAsia="zh-CN"/>
        </w:rPr>
        <w:t xml:space="preserve">如有</w:t>
      </w:r>
      <w:r>
        <w:rPr>
          <w:rFonts w:hint="eastAsia"/>
          <w:sz w:val="24"/>
          <w:szCs w:val="20"/>
          <w:highlight w:val="none"/>
        </w:rPr>
        <w:t xml:space="preserve">）</w:t>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jc w:val="center"/>
        <w:widowControl/>
        <w:rPr>
          <w:rFonts w:ascii="宋体" w:hAnsi="宋体"/>
          <w:b/>
          <w:sz w:val="32"/>
          <w:szCs w:val="32"/>
          <w:highlight w:val="none"/>
        </w:rPr>
      </w:pPr>
      <w:r>
        <w:rPr>
          <w:rFonts w:ascii="宋体" w:hAnsi="宋体"/>
          <w:b/>
          <w:sz w:val="32"/>
          <w:szCs w:val="32"/>
          <w:highlight w:val="none"/>
        </w:rPr>
        <w:t xml:space="preserve">二、商务技术文件格式</w:t>
      </w:r>
      <w:bookmarkStart w:id="687" w:name="_Toc127151556"/>
      <w:r/>
      <w:bookmarkStart w:id="688" w:name="_Toc520356217"/>
      <w:r/>
      <w:bookmarkStart w:id="689" w:name="_Toc150774761"/>
      <w:r/>
      <w:bookmarkStart w:id="690" w:name="_Toc150480794"/>
      <w:r/>
      <w:bookmarkStart w:id="691" w:name="_Toc195842921"/>
      <w:r/>
      <w:bookmarkStart w:id="692" w:name="_Toc226965829"/>
      <w:r/>
      <w:bookmarkStart w:id="693" w:name="_Ref467988698"/>
      <w:r/>
      <w:bookmarkStart w:id="694" w:name="_Toc226337252"/>
      <w:r/>
      <w:bookmarkStart w:id="695" w:name="_Toc142311058"/>
      <w:r/>
      <w:bookmarkStart w:id="696" w:name="_Toc226965746"/>
      <w:r/>
      <w:bookmarkStart w:id="697" w:name="_Toc480942349"/>
      <w:r/>
      <w:bookmarkStart w:id="698" w:name="_Toc226309800"/>
      <w:r/>
      <w:r/>
    </w:p>
    <w:p>
      <w:pPr>
        <w:jc w:val="center"/>
        <w:widowControl/>
        <w:rPr>
          <w:rFonts w:ascii="宋体" w:hAnsi="宋体"/>
          <w:b/>
          <w:sz w:val="32"/>
          <w:szCs w:val="32"/>
          <w:highlight w:val="none"/>
        </w:rPr>
      </w:pPr>
      <w:r>
        <w:rPr>
          <w:rFonts w:ascii="宋体" w:hAnsi="宋体"/>
          <w:b/>
          <w:sz w:val="32"/>
          <w:szCs w:val="32"/>
          <w:highlight w:val="none"/>
        </w:rPr>
      </w:r>
      <w:r/>
    </w:p>
    <w:p>
      <w:pPr>
        <w:spacing w:line="360" w:lineRule="auto"/>
        <w:rPr>
          <w:sz w:val="24"/>
          <w:szCs w:val="20"/>
          <w:highlight w:val="none"/>
        </w:rPr>
        <w:outlineLvl w:val="2"/>
      </w:pPr>
      <w:r>
        <w:rPr>
          <w:rFonts w:hint="eastAsia"/>
          <w:sz w:val="24"/>
          <w:highlight w:val="none"/>
        </w:rPr>
        <w:t xml:space="preserve">1</w:t>
      </w:r>
      <w:r>
        <w:rPr>
          <w:sz w:val="24"/>
          <w:szCs w:val="20"/>
          <w:highlight w:val="none"/>
        </w:rPr>
        <w:t xml:space="preserve">  </w:t>
      </w:r>
      <w:r>
        <w:rPr>
          <w:sz w:val="24"/>
          <w:highlight w:val="none"/>
        </w:rPr>
        <w:t xml:space="preserve">投标</w:t>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rPr>
          <w:rFonts w:hint="eastAsia"/>
          <w:sz w:val="24"/>
          <w:highlight w:val="none"/>
        </w:rPr>
        <w:t xml:space="preserve">函</w:t>
      </w:r>
      <w:r>
        <w:rPr>
          <w:sz w:val="24"/>
          <w:szCs w:val="20"/>
          <w:highlight w:val="none"/>
        </w:rPr>
        <w:t xml:space="preserve">（实质性格式）</w:t>
      </w:r>
      <w:r/>
    </w:p>
    <w:p>
      <w:pPr>
        <w:spacing w:line="360" w:lineRule="auto"/>
        <w:tabs>
          <w:tab w:val="left" w:pos="5580" w:leader="none"/>
        </w:tabs>
        <w:rPr>
          <w:sz w:val="24"/>
          <w:highlight w:val="none"/>
        </w:rPr>
      </w:pPr>
      <w:r>
        <w:rPr>
          <w:sz w:val="24"/>
          <w:highlight w:val="none"/>
        </w:rPr>
      </w:r>
      <w:r/>
    </w:p>
    <w:p>
      <w:pPr>
        <w:jc w:val="center"/>
        <w:spacing w:line="360" w:lineRule="auto"/>
        <w:rPr>
          <w:b/>
          <w:sz w:val="36"/>
          <w:szCs w:val="36"/>
          <w:highlight w:val="none"/>
        </w:rPr>
      </w:pPr>
      <w:r>
        <w:rPr>
          <w:rFonts w:hint="eastAsia"/>
          <w:b/>
          <w:sz w:val="36"/>
          <w:szCs w:val="36"/>
          <w:highlight w:val="none"/>
        </w:rPr>
        <w:t xml:space="preserve">投标函</w:t>
      </w:r>
      <w:r/>
    </w:p>
    <w:p>
      <w:pPr>
        <w:spacing w:line="360" w:lineRule="auto"/>
        <w:tabs>
          <w:tab w:val="left" w:pos="5580" w:leader="none"/>
        </w:tabs>
        <w:rPr>
          <w:sz w:val="24"/>
          <w:highlight w:val="none"/>
        </w:rPr>
      </w:pPr>
      <w:r>
        <w:rPr>
          <w:sz w:val="24"/>
          <w:highlight w:val="none"/>
        </w:rPr>
        <w:t xml:space="preserve">致：</w:t>
      </w:r>
      <w:r>
        <w:rPr>
          <w:sz w:val="24"/>
          <w:highlight w:val="none"/>
          <w:u w:val="single"/>
        </w:rPr>
        <w:t xml:space="preserve">（采购人）</w:t>
      </w:r>
      <w:r/>
    </w:p>
    <w:p>
      <w:pPr>
        <w:spacing w:line="360" w:lineRule="auto"/>
        <w:tabs>
          <w:tab w:val="left" w:pos="5580" w:leader="none"/>
        </w:tabs>
        <w:rPr>
          <w:sz w:val="24"/>
          <w:szCs w:val="20"/>
          <w:highlight w:val="none"/>
        </w:rPr>
      </w:pPr>
      <w:r>
        <w:rPr>
          <w:sz w:val="24"/>
          <w:szCs w:val="20"/>
          <w:highlight w:val="none"/>
        </w:rPr>
      </w:r>
      <w:r/>
    </w:p>
    <w:p>
      <w:pPr>
        <w:ind w:firstLine="408"/>
        <w:spacing w:line="360" w:lineRule="auto"/>
        <w:tabs>
          <w:tab w:val="left" w:pos="5580" w:leader="none"/>
        </w:tabs>
        <w:rPr>
          <w:sz w:val="24"/>
          <w:szCs w:val="20"/>
          <w:highlight w:val="none"/>
        </w:rPr>
      </w:pPr>
      <w:r>
        <w:rPr>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sz w:val="24"/>
          <w:szCs w:val="20"/>
          <w:highlight w:val="none"/>
        </w:rPr>
      </w:pPr>
      <w:r>
        <w:rPr>
          <w:sz w:val="24"/>
          <w:szCs w:val="20"/>
          <w:highlight w:val="none"/>
        </w:rPr>
        <w:t xml:space="preserve">1. 我方</w:t>
      </w:r>
      <w:r>
        <w:rPr>
          <w:sz w:val="24"/>
          <w:highlight w:val="none"/>
        </w:rPr>
        <w:t xml:space="preserve">已详细审查全部</w:t>
      </w:r>
      <w:r>
        <w:rPr>
          <w:rFonts w:hint="eastAsia"/>
          <w:sz w:val="24"/>
          <w:highlight w:val="none"/>
          <w:lang w:val="en-US" w:eastAsia="zh-CN"/>
        </w:rPr>
        <w:t xml:space="preserve">招标</w:t>
      </w:r>
      <w:r>
        <w:rPr>
          <w:rFonts w:hint="eastAsia"/>
          <w:sz w:val="24"/>
          <w:highlight w:val="none"/>
        </w:rPr>
        <w:t xml:space="preserve">文件</w:t>
      </w:r>
      <w:r>
        <w:rPr>
          <w:sz w:val="24"/>
          <w:szCs w:val="20"/>
          <w:highlight w:val="none"/>
        </w:rPr>
        <w:t xml:space="preserve">，自愿参与投标并承诺如下：</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（1）本投标有效期为自提交投标文件的截止之日起</w:t>
      </w:r>
      <w:r>
        <w:rPr>
          <w:rFonts w:hint="eastAsia"/>
          <w:sz w:val="24"/>
          <w:highlight w:val="none"/>
        </w:rPr>
        <w:t xml:space="preserve">60</w:t>
      </w:r>
      <w:r>
        <w:rPr>
          <w:sz w:val="24"/>
          <w:szCs w:val="20"/>
          <w:highlight w:val="none"/>
        </w:rPr>
        <w:t xml:space="preserve">个日历日。</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（2）除合同条款及采购需求偏离表列出的偏离外，我方响应</w:t>
      </w:r>
      <w:r>
        <w:rPr>
          <w:rFonts w:hint="eastAsia"/>
          <w:sz w:val="24"/>
          <w:szCs w:val="20"/>
          <w:highlight w:val="none"/>
          <w:lang w:val="en-US" w:eastAsia="zh-CN"/>
        </w:rPr>
        <w:t xml:space="preserve">招标</w:t>
      </w:r>
      <w:r>
        <w:rPr>
          <w:rFonts w:hint="eastAsia"/>
          <w:sz w:val="24"/>
          <w:szCs w:val="20"/>
          <w:highlight w:val="none"/>
        </w:rPr>
        <w:t xml:space="preserve">文件</w:t>
      </w:r>
      <w:r>
        <w:rPr>
          <w:sz w:val="24"/>
          <w:szCs w:val="20"/>
          <w:highlight w:val="none"/>
        </w:rPr>
        <w:t xml:space="preserve">的全部要求。</w:t>
      </w:r>
      <w:r/>
    </w:p>
    <w:p>
      <w:pPr>
        <w:ind w:firstLine="420"/>
        <w:spacing w:line="360" w:lineRule="auto"/>
        <w:tabs>
          <w:tab w:val="left" w:pos="5580" w:leader="none"/>
        </w:tabs>
        <w:rPr>
          <w:sz w:val="24"/>
          <w:szCs w:val="20"/>
          <w:highlight w:val="none"/>
        </w:rPr>
      </w:pPr>
      <w:r>
        <w:rPr>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sz w:val="24"/>
          <w:highlight w:val="none"/>
        </w:rPr>
      </w:pPr>
      <w:r>
        <w:rPr>
          <w:sz w:val="24"/>
          <w:szCs w:val="20"/>
          <w:highlight w:val="none"/>
        </w:rPr>
        <w:t xml:space="preserve">（4）如我方中标，我方将在法律规定的期限内与你方签订合同，按照</w:t>
      </w:r>
      <w:r>
        <w:rPr>
          <w:rFonts w:hint="eastAsia"/>
          <w:sz w:val="24"/>
          <w:szCs w:val="20"/>
          <w:highlight w:val="none"/>
          <w:lang w:val="en-US" w:eastAsia="zh-CN"/>
        </w:rPr>
        <w:t xml:space="preserve">招标</w:t>
      </w:r>
      <w:r>
        <w:rPr>
          <w:rFonts w:hint="eastAsia"/>
          <w:sz w:val="24"/>
          <w:szCs w:val="20"/>
          <w:highlight w:val="none"/>
        </w:rPr>
        <w:t xml:space="preserve">文件</w:t>
      </w:r>
      <w:r>
        <w:rPr>
          <w:sz w:val="24"/>
          <w:szCs w:val="20"/>
          <w:highlight w:val="none"/>
        </w:rPr>
        <w:t xml:space="preserve">要求提交履约保证金，并在合同约定的期限内完成合同规定的全部义务。</w:t>
      </w:r>
      <w:r/>
    </w:p>
    <w:p>
      <w:pPr>
        <w:ind w:left="420"/>
        <w:spacing w:line="360" w:lineRule="auto"/>
        <w:rPr>
          <w:sz w:val="24"/>
          <w:highlight w:val="none"/>
        </w:rPr>
      </w:pPr>
      <w:r>
        <w:rPr>
          <w:sz w:val="24"/>
          <w:highlight w:val="none"/>
        </w:rPr>
        <w:t xml:space="preserve">2. 其他补充条款（如有）：</w:t>
      </w:r>
      <w:r>
        <w:rPr>
          <w:sz w:val="24"/>
          <w:szCs w:val="20"/>
          <w:highlight w:val="none"/>
        </w:rPr>
        <w:t xml:space="preserve">___________</w:t>
      </w:r>
      <w:r>
        <w:rPr>
          <w:sz w:val="24"/>
          <w:highlight w:val="none"/>
        </w:rPr>
        <w:t xml:space="preserve">。</w:t>
      </w:r>
      <w:r/>
    </w:p>
    <w:p>
      <w:pPr>
        <w:ind w:firstLine="480"/>
        <w:spacing w:line="360" w:lineRule="auto"/>
        <w:rPr>
          <w:sz w:val="24"/>
          <w:highlight w:val="none"/>
        </w:rPr>
      </w:pPr>
      <w:r>
        <w:rPr>
          <w:sz w:val="24"/>
          <w:highlight w:val="none"/>
        </w:rPr>
        <w:t xml:space="preserve">与本投标有关的一切正式往来信函请寄：</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地址_________________________     传真____________________________</w:t>
      </w:r>
      <w:r/>
    </w:p>
    <w:p>
      <w:pPr>
        <w:ind w:left="420"/>
        <w:spacing w:line="360" w:lineRule="auto"/>
        <w:tabs>
          <w:tab w:val="left" w:pos="5580" w:leader="none"/>
        </w:tabs>
        <w:rPr>
          <w:sz w:val="24"/>
          <w:szCs w:val="20"/>
          <w:highlight w:val="none"/>
        </w:rPr>
      </w:pPr>
      <w:r>
        <w:rPr>
          <w:sz w:val="24"/>
          <w:szCs w:val="20"/>
          <w:highlight w:val="none"/>
        </w:rPr>
        <w:t xml:space="preserve">电话_________________________     电子函件________________________</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rFonts w:hint="eastAsia"/>
          <w:sz w:val="24"/>
          <w:szCs w:val="20"/>
          <w:highlight w:val="none"/>
        </w:rPr>
        <w:t xml:space="preserve">投标</w:t>
      </w:r>
      <w:r>
        <w:rPr>
          <w:rFonts w:hint="eastAsia"/>
          <w:sz w:val="24"/>
          <w:szCs w:val="20"/>
          <w:highlight w:val="none"/>
          <w:lang w:val="en-US" w:eastAsia="zh-CN"/>
        </w:rPr>
        <w:t xml:space="preserve">人</w:t>
      </w:r>
      <w:r>
        <w:rPr>
          <w:sz w:val="24"/>
          <w:szCs w:val="20"/>
          <w:highlight w:val="none"/>
        </w:rPr>
        <w:t xml:space="preserve">名称（加盖公章） ___________</w:t>
      </w:r>
      <w:r/>
    </w:p>
    <w:p>
      <w:pPr>
        <w:ind w:left="420"/>
        <w:spacing w:line="360" w:lineRule="auto"/>
        <w:tabs>
          <w:tab w:val="left" w:pos="5580" w:leader="none"/>
        </w:tabs>
        <w:rPr>
          <w:sz w:val="24"/>
          <w:szCs w:val="20"/>
          <w:highlight w:val="none"/>
        </w:rPr>
      </w:pPr>
      <w:r>
        <w:rPr>
          <w:sz w:val="24"/>
          <w:szCs w:val="20"/>
          <w:highlight w:val="none"/>
        </w:rPr>
        <w:t xml:space="preserve">日期：_____年______月______日    </w:t>
      </w:r>
      <w:r/>
    </w:p>
    <w:p>
      <w:pPr>
        <w:ind w:left="420"/>
        <w:spacing w:line="360" w:lineRule="auto"/>
        <w:tabs>
          <w:tab w:val="left" w:pos="5580" w:leader="none"/>
        </w:tabs>
        <w:rPr>
          <w:sz w:val="24"/>
          <w:szCs w:val="20"/>
          <w:highlight w:val="none"/>
          <w:u w:val="single"/>
        </w:rPr>
      </w:pPr>
      <w:r>
        <w:rPr>
          <w:sz w:val="24"/>
          <w:szCs w:val="20"/>
          <w:highlight w:val="none"/>
          <w:u w:val="single"/>
        </w:rPr>
      </w:r>
      <w:r/>
    </w:p>
    <w:p>
      <w:pPr>
        <w:jc w:val="left"/>
        <w:widowControl/>
        <w:rPr>
          <w:sz w:val="24"/>
          <w:highlight w:val="none"/>
        </w:rPr>
      </w:pPr>
      <w:r/>
      <w:bookmarkStart w:id="699" w:name="_Hlt520356243"/>
      <w:r/>
      <w:bookmarkEnd w:id="699"/>
      <w:r/>
      <w:bookmarkStart w:id="700" w:name="_Hlt520355938"/>
      <w:r/>
      <w:bookmarkEnd w:id="700"/>
      <w:r>
        <w:rPr>
          <w:sz w:val="24"/>
          <w:highlight w:val="none"/>
        </w:rPr>
        <w:br w:type="page" w:clear="all"/>
      </w:r>
      <w:r/>
    </w:p>
    <w:p>
      <w:pPr>
        <w:jc w:val="left"/>
        <w:widowControl/>
        <w:rPr>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法定代表人资格证明书</w:t>
      </w:r>
      <w:r>
        <w:rPr>
          <w:sz w:val="24"/>
          <w:szCs w:val="20"/>
          <w:highlight w:val="none"/>
        </w:rPr>
        <w:t xml:space="preserve">（实质性格式）</w:t>
      </w:r>
      <w:r/>
    </w:p>
    <w:p>
      <w:pPr>
        <w:jc w:val="center"/>
        <w:spacing w:line="360" w:lineRule="auto"/>
        <w:rPr>
          <w:rFonts w:ascii="宋体" w:hAnsi="宋体"/>
          <w:b/>
          <w:sz w:val="32"/>
          <w:szCs w:val="32"/>
          <w:highlight w:val="none"/>
        </w:rPr>
      </w:pPr>
      <w:r>
        <w:rPr>
          <w:rFonts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ascii="宋体" w:hAnsi="宋体"/>
          <w:sz w:val="24"/>
          <w:highlight w:val="none"/>
        </w:rPr>
      </w:pPr>
      <w:r>
        <w:rPr>
          <w:rFonts w:hint="eastAsia" w:ascii="宋体" w:hAnsi="宋体"/>
          <w:sz w:val="24"/>
          <w:highlight w:val="none"/>
        </w:rPr>
        <w:t xml:space="preserve">单位名称:</w:t>
      </w:r>
      <w:r/>
    </w:p>
    <w:p>
      <w:pPr>
        <w:spacing w:line="560" w:lineRule="exact"/>
        <w:rPr>
          <w:rFonts w:ascii="宋体" w:hAnsi="宋体"/>
          <w:sz w:val="24"/>
          <w:highlight w:val="none"/>
        </w:rPr>
      </w:pPr>
      <w:r>
        <w:rPr>
          <w:rFonts w:hint="eastAsia" w:ascii="宋体" w:hAnsi="宋体"/>
          <w:sz w:val="24"/>
          <w:highlight w:val="none"/>
        </w:rPr>
        <w:t xml:space="preserve">地址:</w:t>
      </w:r>
      <w:r/>
    </w:p>
    <w:p>
      <w:pPr>
        <w:spacing w:line="560" w:lineRule="exact"/>
        <w:rPr>
          <w:rFonts w:ascii="宋体" w:hAnsi="宋体"/>
          <w:sz w:val="24"/>
          <w:highlight w:val="none"/>
        </w:rPr>
      </w:pPr>
      <w:r>
        <w:rPr>
          <w:rFonts w:hint="eastAsia" w:ascii="宋体" w:hAnsi="宋体"/>
          <w:sz w:val="24"/>
          <w:highlight w:val="none"/>
        </w:rPr>
        <w:t xml:space="preserve">姓名:     性别:       年龄:      职务:</w:t>
      </w:r>
      <w:r/>
    </w:p>
    <w:p>
      <w:pPr>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1056"/>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81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投标</w:t>
      </w:r>
      <w:r>
        <w:rPr>
          <w:rFonts w:hint="eastAsia" w:ascii="宋体" w:hAnsi="宋体"/>
          <w:sz w:val="24"/>
          <w:highlight w:val="none"/>
          <w:lang w:val="en-US" w:eastAsia="zh-CN"/>
        </w:rPr>
        <w:t xml:space="preserve">人</w:t>
      </w:r>
      <w:r>
        <w:rPr>
          <w:rFonts w:hint="eastAsia" w:ascii="宋体" w:hAnsi="宋体"/>
          <w:sz w:val="24"/>
          <w:highlight w:val="none"/>
        </w:rPr>
        <w:t xml:space="preserve">：（加盖公章）</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p>
    <w:p>
      <w:pPr>
        <w:ind w:firstLine="4320"/>
        <w:spacing w:line="560" w:lineRule="exact"/>
        <w:rPr>
          <w:rFonts w:ascii="宋体" w:hAnsi="宋体"/>
          <w:sz w:val="24"/>
          <w:highlight w:val="none"/>
        </w:rPr>
      </w:pPr>
      <w:r>
        <w:rPr>
          <w:rFonts w:hint="eastAsia" w:ascii="宋体" w:hAnsi="宋体"/>
          <w:sz w:val="24"/>
          <w:highlight w:val="none"/>
        </w:rPr>
        <w:t xml:space="preserve">日期：    年    月    日</w:t>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lang w:val="en-US" w:eastAsia="zh-CN"/>
        </w:rPr>
        <w:t xml:space="preserve">招标</w:t>
      </w:r>
      <w:r>
        <w:rPr>
          <w:rFonts w:hint="eastAsia" w:ascii="宋体" w:hAnsi="宋体"/>
          <w:sz w:val="24"/>
          <w:szCs w:val="20"/>
          <w:highlight w:val="none"/>
        </w:rPr>
        <w:t xml:space="preserve">文件</w:t>
      </w:r>
      <w:r>
        <w:rPr>
          <w:rFonts w:ascii="宋体" w:hAnsi="宋体"/>
          <w:sz w:val="24"/>
          <w:szCs w:val="20"/>
          <w:highlight w:val="none"/>
        </w:rPr>
        <w:t xml:space="preserve">注明允许分支机构</w:t>
      </w:r>
      <w:r>
        <w:rPr>
          <w:rFonts w:hint="eastAsia" w:ascii="宋体" w:hAnsi="宋体"/>
          <w:sz w:val="24"/>
          <w:szCs w:val="20"/>
          <w:highlight w:val="none"/>
        </w:rPr>
        <w:t xml:space="preserve">投标</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jc w:val="left"/>
        <w:spacing w:line="360" w:lineRule="auto"/>
        <w:tabs>
          <w:tab w:val="left" w:pos="5580" w:leader="none"/>
        </w:tabs>
        <w:rPr>
          <w:rFonts w:ascii="宋体" w:hAnsi="宋体"/>
          <w:i/>
          <w:sz w:val="24"/>
          <w:szCs w:val="20"/>
          <w:highlight w:val="none"/>
          <w:u w:val="single"/>
        </w:rPr>
      </w:pPr>
      <w:r>
        <w:rPr>
          <w:rFonts w:ascii="宋体" w:hAnsi="宋体"/>
          <w:sz w:val="24"/>
          <w:szCs w:val="20"/>
          <w:highlight w:val="none"/>
        </w:rPr>
        <w:t xml:space="preserve">3.</w:t>
      </w:r>
      <w:r>
        <w:rPr>
          <w:rFonts w:hint="eastAsia" w:ascii="宋体" w:hAnsi="宋体"/>
          <w:sz w:val="24"/>
          <w:szCs w:val="20"/>
          <w:highlight w:val="none"/>
        </w:rPr>
        <w:t xml:space="preserve">供应商为自然人的情形，可不提供本</w:t>
      </w:r>
      <w:r>
        <w:rPr>
          <w:rFonts w:ascii="宋体" w:hAnsi="宋体"/>
          <w:sz w:val="24"/>
          <w:szCs w:val="20"/>
          <w:highlight w:val="none"/>
        </w:rPr>
        <w:t xml:space="preserve">《</w:t>
      </w:r>
      <w:r>
        <w:rPr>
          <w:rFonts w:hint="eastAsia" w:ascii="宋体" w:hAnsi="宋体"/>
          <w:sz w:val="24"/>
          <w:szCs w:val="20"/>
          <w:highlight w:val="none"/>
        </w:rPr>
        <w:t xml:space="preserve">授权委托书</w:t>
      </w:r>
      <w:r>
        <w:rPr>
          <w:rFonts w:ascii="宋体" w:hAnsi="宋体"/>
          <w:sz w:val="24"/>
          <w:szCs w:val="20"/>
          <w:highlight w:val="none"/>
        </w:rPr>
        <w:t xml:space="preserve">》</w:t>
      </w:r>
      <w:r>
        <w:rPr>
          <w:rFonts w:hint="eastAsia" w:ascii="宋体" w:hAnsi="宋体"/>
          <w:sz w:val="24"/>
          <w:szCs w:val="20"/>
          <w:highlight w:val="none"/>
        </w:rPr>
        <w:t xml:space="preserve">。</w:t>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rFonts w:hint="eastAsia"/>
          <w:sz w:val="24"/>
          <w:highlight w:val="none"/>
        </w:rPr>
        <w:t xml:space="preserve">3  政府采购供应商信用承诺书</w:t>
      </w:r>
      <w:r>
        <w:rPr>
          <w:sz w:val="24"/>
          <w:szCs w:val="20"/>
          <w:highlight w:val="none"/>
        </w:rPr>
        <w:t xml:space="preserve">（实质性格式）</w:t>
      </w:r>
      <w:r/>
    </w:p>
    <w:p>
      <w:pPr>
        <w:ind w:firstLine="321"/>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p>
    <w:p>
      <w:pPr>
        <w:ind w:firstLine="640"/>
        <w:rPr>
          <w:highlight w:val="none"/>
        </w:rPr>
      </w:pPr>
      <w:r>
        <w:rPr>
          <w:highlight w:val="none"/>
        </w:rPr>
      </w:r>
      <w:r/>
    </w:p>
    <w:p>
      <w:pPr>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272"/>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rPr>
          <w:sz w:val="24"/>
          <w:highlight w:val="none"/>
          <w:lang w:val="zh-CN"/>
        </w:rPr>
      </w:pP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jc w:val="left"/>
        <w:widowControl/>
        <w:rPr>
          <w:sz w:val="24"/>
          <w:szCs w:val="20"/>
          <w:highlight w:val="none"/>
        </w:rPr>
      </w:pPr>
      <w:r/>
      <w:bookmarkStart w:id="701" w:name="_Hlt520343000"/>
      <w:r/>
      <w:bookmarkEnd w:id="701"/>
      <w:r/>
      <w:bookmarkStart w:id="702" w:name="_Hlt520343392"/>
      <w:r/>
      <w:bookmarkEnd w:id="702"/>
      <w:r/>
      <w:bookmarkStart w:id="703" w:name="_Hlt520274407"/>
      <w:r/>
      <w:bookmarkEnd w:id="703"/>
      <w:r/>
      <w:bookmarkStart w:id="704" w:name="_Hlt520274065"/>
      <w:r/>
      <w:bookmarkEnd w:id="704"/>
      <w:r/>
      <w:bookmarkStart w:id="705" w:name="_Hlt520274393"/>
      <w:r/>
      <w:bookmarkEnd w:id="705"/>
      <w:r/>
      <w:bookmarkStart w:id="706" w:name="_Hlt520355504"/>
      <w:r/>
      <w:bookmarkEnd w:id="706"/>
      <w:r/>
      <w:bookmarkStart w:id="707" w:name="_Hlt520271212"/>
      <w:r/>
      <w:bookmarkEnd w:id="707"/>
      <w:r/>
      <w:bookmarkStart w:id="708" w:name="_Hlt520274121"/>
      <w:r/>
      <w:bookmarkEnd w:id="708"/>
      <w:r/>
      <w:bookmarkStart w:id="709" w:name="_Hlt520273711"/>
      <w:r/>
      <w:bookmarkEnd w:id="709"/>
      <w:r/>
      <w:bookmarkStart w:id="710" w:name="_Hlt520350918"/>
      <w:r/>
      <w:bookmarkEnd w:id="710"/>
      <w:r/>
      <w:bookmarkStart w:id="711" w:name="_Toc305158899"/>
      <w:r/>
      <w:bookmarkStart w:id="712" w:name="_Toc520356218"/>
      <w:r/>
      <w:bookmarkStart w:id="713" w:name="_Toc226965830"/>
      <w:r/>
      <w:bookmarkStart w:id="714" w:name="_Toc195842922"/>
      <w:r/>
      <w:bookmarkStart w:id="715" w:name="_Toc226965747"/>
      <w:r/>
      <w:bookmarkStart w:id="716" w:name="_Ref467988705"/>
      <w:r/>
      <w:bookmarkStart w:id="717" w:name="_Toc150774762"/>
      <w:r/>
      <w:bookmarkStart w:id="718" w:name="_Toc226337253"/>
      <w:r/>
      <w:bookmarkStart w:id="719" w:name="_Toc150480795"/>
      <w:r/>
      <w:bookmarkStart w:id="720" w:name="_Toc127151557"/>
      <w:r/>
      <w:bookmarkStart w:id="721" w:name="_Toc264969247"/>
      <w:r/>
      <w:bookmarkStart w:id="722" w:name="_Toc305158825"/>
      <w:r/>
      <w:bookmarkStart w:id="723" w:name="_Toc226309801"/>
      <w:r/>
      <w:bookmarkStart w:id="724" w:name="_Toc142311059"/>
      <w:r/>
      <w:bookmarkStart w:id="725" w:name="_Toc265228395"/>
      <w:r/>
      <w:bookmarkStart w:id="726" w:name="_Toc480942350"/>
      <w:r>
        <w:rPr>
          <w:sz w:val="24"/>
          <w:szCs w:val="20"/>
          <w:highlight w:val="none"/>
        </w:rPr>
        <w:br w:type="page" w:clear="all"/>
      </w:r>
      <w:r/>
    </w:p>
    <w:p>
      <w:pPr>
        <w:spacing w:line="360" w:lineRule="auto"/>
        <w:rPr>
          <w:sz w:val="24"/>
          <w:szCs w:val="20"/>
          <w:highlight w:val="none"/>
        </w:rPr>
        <w:outlineLvl w:val="2"/>
      </w:pPr>
      <w:r>
        <w:rPr>
          <w:rFonts w:hint="eastAsia"/>
          <w:sz w:val="24"/>
          <w:szCs w:val="20"/>
          <w:highlight w:val="none"/>
        </w:rPr>
        <w:t xml:space="preserve">4</w:t>
      </w:r>
      <w:r>
        <w:rPr>
          <w:sz w:val="24"/>
          <w:szCs w:val="20"/>
          <w:highlight w:val="none"/>
        </w:rPr>
        <w:t xml:space="preserve">  开标一览表</w:t>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sz w:val="24"/>
          <w:szCs w:val="20"/>
          <w:highlight w:val="none"/>
        </w:rPr>
        <w:t xml:space="preserve">（实质性格式）</w:t>
      </w:r>
      <w:r/>
    </w:p>
    <w:p>
      <w:pPr>
        <w:jc w:val="center"/>
        <w:spacing w:line="360" w:lineRule="exact"/>
        <w:rPr>
          <w:b/>
          <w:sz w:val="36"/>
          <w:szCs w:val="36"/>
          <w:highlight w:val="none"/>
        </w:rPr>
      </w:pPr>
      <w:r/>
      <w:bookmarkStart w:id="727" w:name="_Toc226337254"/>
      <w:r/>
      <w:bookmarkStart w:id="728" w:name="_Toc226965748"/>
      <w:r/>
      <w:bookmarkStart w:id="729" w:name="_Toc226309802"/>
      <w:r/>
      <w:bookmarkStart w:id="730" w:name="_Toc164608827"/>
      <w:r/>
      <w:bookmarkStart w:id="731" w:name="_Toc265228396"/>
      <w:r/>
      <w:bookmarkStart w:id="732" w:name="_Toc264969248"/>
      <w:r/>
      <w:bookmarkStart w:id="733" w:name="_Toc195842923"/>
      <w:r/>
      <w:bookmarkStart w:id="734" w:name="_Toc164608672"/>
      <w:r/>
      <w:bookmarkStart w:id="735" w:name="_Toc305158826"/>
      <w:r/>
      <w:bookmarkStart w:id="736" w:name="_Toc226965831"/>
      <w:r/>
      <w:bookmarkStart w:id="737" w:name="_Toc305158900"/>
      <w:r>
        <w:rPr>
          <w:rFonts w:hint="eastAsia"/>
          <w:b/>
          <w:sz w:val="36"/>
          <w:szCs w:val="36"/>
          <w:highlight w:val="none"/>
        </w:rPr>
        <w:t xml:space="preserve">开标一览表</w:t>
      </w:r>
      <w:bookmarkEnd w:id="727"/>
      <w:r/>
      <w:bookmarkEnd w:id="728"/>
      <w:r/>
      <w:bookmarkEnd w:id="729"/>
      <w:r/>
      <w:bookmarkEnd w:id="730"/>
      <w:r/>
      <w:bookmarkEnd w:id="731"/>
      <w:r/>
      <w:bookmarkEnd w:id="732"/>
      <w:r/>
      <w:bookmarkEnd w:id="733"/>
      <w:r/>
      <w:bookmarkEnd w:id="734"/>
      <w:r/>
      <w:bookmarkEnd w:id="735"/>
      <w:r/>
      <w:bookmarkEnd w:id="736"/>
      <w:r/>
      <w:bookmarkEnd w:id="737"/>
      <w:r/>
      <w:r/>
    </w:p>
    <w:p>
      <w:pPr>
        <w:jc w:val="left"/>
        <w:spacing w:line="360" w:lineRule="auto"/>
        <w:tabs>
          <w:tab w:val="left" w:pos="1800" w:leader="none"/>
          <w:tab w:val="left" w:pos="5580" w:leader="none"/>
        </w:tabs>
        <w:rPr>
          <w:i/>
          <w:sz w:val="24"/>
          <w:highlight w:val="none"/>
        </w:rPr>
      </w:pPr>
      <w:r>
        <w:rPr>
          <w:i/>
          <w:sz w:val="24"/>
          <w:highlight w:val="none"/>
        </w:rPr>
      </w:r>
      <w:r/>
    </w:p>
    <w:p>
      <w:pPr>
        <w:ind w:firstLine="240"/>
        <w:jc w:val="left"/>
        <w:spacing w:line="360" w:lineRule="auto"/>
        <w:tabs>
          <w:tab w:val="left" w:pos="1800" w:leader="none"/>
          <w:tab w:val="left" w:pos="5580" w:leader="none"/>
        </w:tabs>
        <w:rPr>
          <w:sz w:val="24"/>
          <w:highlight w:val="none"/>
          <w:u w:val="single"/>
        </w:rPr>
      </w:pPr>
      <w:r>
        <w:rPr>
          <w:sz w:val="24"/>
          <w:highlight w:val="none"/>
        </w:rPr>
        <w:t xml:space="preserve">项目编号：_____________________     项目名称：____________</w:t>
      </w:r>
      <w:r/>
    </w:p>
    <w:tbl>
      <w:tblPr>
        <w:tblStyle w:val="819"/>
        <w:tblW w:w="461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92"/>
        <w:gridCol w:w="3586"/>
        <w:gridCol w:w="2115"/>
        <w:gridCol w:w="2111"/>
      </w:tblGrid>
      <w:tr>
        <w:trPr>
          <w:cantSplit/>
          <w:jc w:val="center"/>
          <w:trHeight w:val="567" w:hRule="exact"/>
        </w:trPr>
        <w:tc>
          <w:tcPr>
            <w:tcW w:w="613" w:type="pct"/>
            <w:vAlign w:val="center"/>
            <w:vMerge w:val="restart"/>
            <w:textDirection w:val="lrTb"/>
            <w:noWrap w:val="false"/>
          </w:tcPr>
          <w:p>
            <w:pPr>
              <w:jc w:val="center"/>
              <w:tabs>
                <w:tab w:val="left" w:pos="5580" w:leader="none"/>
              </w:tabs>
              <w:rPr>
                <w:b/>
                <w:sz w:val="24"/>
                <w:highlight w:val="none"/>
              </w:rPr>
            </w:pPr>
            <w:r>
              <w:rPr>
                <w:rFonts w:hint="eastAsia"/>
                <w:b/>
                <w:sz w:val="24"/>
                <w:highlight w:val="none"/>
              </w:rPr>
              <w:t xml:space="preserve">标段号</w:t>
            </w:r>
            <w:r/>
          </w:p>
        </w:tc>
        <w:tc>
          <w:tcPr>
            <w:tcW w:w="2013" w:type="pct"/>
            <w:vAlign w:val="center"/>
            <w:vMerge w:val="restart"/>
            <w:textDirection w:val="lrTb"/>
            <w:noWrap w:val="false"/>
          </w:tcPr>
          <w:p>
            <w:pPr>
              <w:jc w:val="center"/>
              <w:tabs>
                <w:tab w:val="left" w:pos="5580" w:leader="none"/>
              </w:tabs>
              <w:rPr>
                <w:b/>
                <w:sz w:val="24"/>
                <w:highlight w:val="none"/>
              </w:rPr>
            </w:pPr>
            <w:r>
              <w:rPr>
                <w:rFonts w:hint="eastAsia"/>
                <w:b/>
                <w:sz w:val="24"/>
                <w:highlight w:val="none"/>
              </w:rPr>
              <w:t xml:space="preserve">投标</w:t>
            </w:r>
            <w:r>
              <w:rPr>
                <w:rFonts w:hint="eastAsia"/>
                <w:b/>
                <w:sz w:val="24"/>
                <w:highlight w:val="none"/>
                <w:lang w:val="en-US" w:eastAsia="zh-CN"/>
              </w:rPr>
              <w:t xml:space="preserve">人</w:t>
            </w:r>
            <w:r>
              <w:rPr>
                <w:b/>
                <w:sz w:val="24"/>
                <w:highlight w:val="none"/>
              </w:rPr>
              <w:t xml:space="preserve">名称</w:t>
            </w:r>
            <w:r/>
          </w:p>
        </w:tc>
        <w:tc>
          <w:tcPr>
            <w:gridSpan w:val="2"/>
            <w:tcW w:w="2372" w:type="pct"/>
            <w:vAlign w:val="center"/>
            <w:textDirection w:val="lrTb"/>
            <w:noWrap w:val="false"/>
          </w:tcPr>
          <w:p>
            <w:pPr>
              <w:jc w:val="center"/>
              <w:tabs>
                <w:tab w:val="left" w:pos="5580" w:leader="none"/>
              </w:tabs>
              <w:rPr>
                <w:b/>
                <w:sz w:val="24"/>
                <w:highlight w:val="none"/>
              </w:rPr>
            </w:pPr>
            <w:r>
              <w:rPr>
                <w:b/>
                <w:sz w:val="24"/>
                <w:highlight w:val="none"/>
              </w:rPr>
              <w:t xml:space="preserve">投标报价</w:t>
            </w:r>
            <w:r>
              <w:rPr>
                <w:rFonts w:hint="eastAsia"/>
                <w:b/>
                <w:sz w:val="24"/>
                <w:highlight w:val="none"/>
              </w:rPr>
              <w:t xml:space="preserve">（元）</w:t>
            </w:r>
            <w:r/>
          </w:p>
        </w:tc>
      </w:tr>
      <w:tr>
        <w:trPr>
          <w:cantSplit/>
          <w:jc w:val="center"/>
          <w:trHeight w:val="567" w:hRule="exact"/>
        </w:trPr>
        <w:tc>
          <w:tcPr>
            <w:tcW w:w="613" w:type="pct"/>
            <w:vAlign w:val="center"/>
            <w:vMerge w:val="continue"/>
            <w:textDirection w:val="lrTb"/>
            <w:noWrap w:val="false"/>
          </w:tcPr>
          <w:p>
            <w:pPr>
              <w:jc w:val="center"/>
              <w:tabs>
                <w:tab w:val="left" w:pos="5580" w:leader="none"/>
              </w:tabs>
              <w:rPr>
                <w:sz w:val="24"/>
                <w:highlight w:val="none"/>
              </w:rPr>
            </w:pPr>
            <w:r>
              <w:rPr>
                <w:sz w:val="24"/>
                <w:highlight w:val="none"/>
              </w:rPr>
            </w:r>
            <w:r/>
          </w:p>
        </w:tc>
        <w:tc>
          <w:tcPr>
            <w:tcW w:w="2013" w:type="pct"/>
            <w:vAlign w:val="center"/>
            <w:vMerge w:val="continue"/>
            <w:textDirection w:val="lrTb"/>
            <w:noWrap w:val="false"/>
          </w:tcPr>
          <w:p>
            <w:pPr>
              <w:jc w:val="center"/>
              <w:tabs>
                <w:tab w:val="left" w:pos="5580" w:leader="none"/>
              </w:tabs>
              <w:rPr>
                <w:sz w:val="24"/>
                <w:highlight w:val="none"/>
              </w:rPr>
            </w:pPr>
            <w:r>
              <w:rPr>
                <w:sz w:val="24"/>
                <w:highlight w:val="none"/>
              </w:rPr>
            </w:r>
            <w:r/>
          </w:p>
        </w:tc>
        <w:tc>
          <w:tcPr>
            <w:tcW w:w="1187" w:type="pct"/>
            <w:vAlign w:val="center"/>
            <w:textDirection w:val="lrTb"/>
            <w:noWrap w:val="false"/>
          </w:tcPr>
          <w:p>
            <w:pPr>
              <w:jc w:val="center"/>
              <w:tabs>
                <w:tab w:val="left" w:pos="5580" w:leader="none"/>
              </w:tabs>
              <w:rPr>
                <w:b/>
                <w:sz w:val="24"/>
                <w:highlight w:val="none"/>
              </w:rPr>
            </w:pPr>
            <w:r>
              <w:rPr>
                <w:b/>
                <w:sz w:val="24"/>
                <w:highlight w:val="none"/>
              </w:rPr>
              <w:t xml:space="preserve">大写</w:t>
            </w:r>
            <w:r/>
          </w:p>
        </w:tc>
        <w:tc>
          <w:tcPr>
            <w:tcW w:w="1184" w:type="pct"/>
            <w:vAlign w:val="center"/>
            <w:textDirection w:val="lrTb"/>
            <w:noWrap w:val="false"/>
          </w:tcPr>
          <w:p>
            <w:pPr>
              <w:jc w:val="center"/>
              <w:tabs>
                <w:tab w:val="left" w:pos="5580" w:leader="none"/>
              </w:tabs>
              <w:rPr>
                <w:b/>
                <w:sz w:val="24"/>
                <w:highlight w:val="none"/>
              </w:rPr>
            </w:pPr>
            <w:r>
              <w:rPr>
                <w:b/>
                <w:sz w:val="24"/>
                <w:highlight w:val="none"/>
              </w:rPr>
              <w:t xml:space="preserve">小写</w:t>
            </w:r>
            <w:r/>
          </w:p>
        </w:tc>
      </w:tr>
      <w:tr>
        <w:trPr>
          <w:jc w:val="center"/>
          <w:trHeight w:val="567" w:hRule="exact"/>
        </w:trPr>
        <w:tc>
          <w:tcPr>
            <w:tcW w:w="613" w:type="pct"/>
            <w:vAlign w:val="center"/>
            <w:textDirection w:val="lrTb"/>
            <w:noWrap w:val="false"/>
          </w:tcPr>
          <w:p>
            <w:pPr>
              <w:jc w:val="center"/>
              <w:tabs>
                <w:tab w:val="left" w:pos="5580" w:leader="none"/>
              </w:tabs>
              <w:rPr>
                <w:sz w:val="24"/>
                <w:highlight w:val="none"/>
              </w:rPr>
            </w:pPr>
            <w:r>
              <w:rPr>
                <w:rFonts w:hint="eastAsia"/>
                <w:sz w:val="24"/>
                <w:highlight w:val="none"/>
              </w:rPr>
              <w:t xml:space="preserve">1</w:t>
            </w:r>
            <w:r/>
          </w:p>
        </w:tc>
        <w:tc>
          <w:tcPr>
            <w:tcW w:w="2013" w:type="pct"/>
            <w:vAlign w:val="center"/>
            <w:textDirection w:val="lrTb"/>
            <w:noWrap w:val="false"/>
          </w:tcPr>
          <w:p>
            <w:pPr>
              <w:jc w:val="center"/>
              <w:tabs>
                <w:tab w:val="left" w:pos="5580" w:leader="none"/>
              </w:tabs>
              <w:rPr>
                <w:sz w:val="24"/>
                <w:highlight w:val="none"/>
              </w:rPr>
            </w:pPr>
            <w:r>
              <w:rPr>
                <w:sz w:val="24"/>
                <w:highlight w:val="none"/>
              </w:rPr>
            </w:r>
            <w:r/>
          </w:p>
        </w:tc>
        <w:tc>
          <w:tcPr>
            <w:tcW w:w="1187" w:type="pct"/>
            <w:vAlign w:val="center"/>
            <w:textDirection w:val="lrTb"/>
            <w:noWrap w:val="false"/>
          </w:tcPr>
          <w:p>
            <w:pPr>
              <w:jc w:val="center"/>
              <w:tabs>
                <w:tab w:val="left" w:pos="5580" w:leader="none"/>
              </w:tabs>
              <w:rPr>
                <w:sz w:val="24"/>
                <w:highlight w:val="none"/>
              </w:rPr>
            </w:pPr>
            <w:r>
              <w:rPr>
                <w:sz w:val="24"/>
                <w:highlight w:val="none"/>
              </w:rPr>
            </w:r>
            <w:r/>
          </w:p>
        </w:tc>
        <w:tc>
          <w:tcPr>
            <w:tcW w:w="1184" w:type="pct"/>
            <w:vAlign w:val="center"/>
            <w:textDirection w:val="lrTb"/>
            <w:noWrap w:val="false"/>
          </w:tcPr>
          <w:p>
            <w:pPr>
              <w:jc w:val="center"/>
              <w:tabs>
                <w:tab w:val="left" w:pos="5580" w:leader="none"/>
              </w:tabs>
              <w:rPr>
                <w:sz w:val="24"/>
                <w:highlight w:val="none"/>
              </w:rPr>
            </w:pPr>
            <w:r>
              <w:rPr>
                <w:sz w:val="24"/>
                <w:highlight w:val="none"/>
              </w:rPr>
            </w:r>
            <w:r/>
          </w:p>
        </w:tc>
      </w:tr>
      <w:tr>
        <w:trPr>
          <w:jc w:val="center"/>
          <w:trHeight w:val="567" w:hRule="exact"/>
        </w:trPr>
        <w:tc>
          <w:tcPr>
            <w:tcW w:w="613" w:type="pct"/>
            <w:vAlign w:val="center"/>
            <w:textDirection w:val="lrTb"/>
            <w:noWrap w:val="false"/>
          </w:tcPr>
          <w:p>
            <w:pPr>
              <w:jc w:val="center"/>
              <w:tabs>
                <w:tab w:val="left" w:pos="5580" w:leader="none"/>
              </w:tabs>
              <w:rPr>
                <w:sz w:val="24"/>
                <w:highlight w:val="none"/>
              </w:rPr>
            </w:pPr>
            <w:r>
              <w:rPr>
                <w:rFonts w:hint="eastAsia"/>
                <w:sz w:val="24"/>
                <w:highlight w:val="none"/>
              </w:rPr>
              <w:t xml:space="preserve">2</w:t>
            </w:r>
            <w:r/>
          </w:p>
        </w:tc>
        <w:tc>
          <w:tcPr>
            <w:tcW w:w="2013" w:type="pct"/>
            <w:vAlign w:val="center"/>
            <w:textDirection w:val="lrTb"/>
            <w:noWrap w:val="false"/>
          </w:tcPr>
          <w:p>
            <w:pPr>
              <w:jc w:val="center"/>
              <w:tabs>
                <w:tab w:val="left" w:pos="5580" w:leader="none"/>
              </w:tabs>
              <w:rPr>
                <w:sz w:val="24"/>
                <w:highlight w:val="none"/>
              </w:rPr>
            </w:pPr>
            <w:r>
              <w:rPr>
                <w:sz w:val="24"/>
                <w:highlight w:val="none"/>
              </w:rPr>
            </w:r>
            <w:r/>
          </w:p>
        </w:tc>
        <w:tc>
          <w:tcPr>
            <w:tcW w:w="1187" w:type="pct"/>
            <w:vAlign w:val="center"/>
            <w:textDirection w:val="lrTb"/>
            <w:noWrap w:val="false"/>
          </w:tcPr>
          <w:p>
            <w:pPr>
              <w:jc w:val="center"/>
              <w:tabs>
                <w:tab w:val="left" w:pos="5580" w:leader="none"/>
              </w:tabs>
              <w:rPr>
                <w:sz w:val="24"/>
                <w:highlight w:val="none"/>
              </w:rPr>
            </w:pPr>
            <w:r>
              <w:rPr>
                <w:sz w:val="24"/>
                <w:highlight w:val="none"/>
              </w:rPr>
            </w:r>
            <w:r/>
          </w:p>
        </w:tc>
        <w:tc>
          <w:tcPr>
            <w:tcW w:w="1184" w:type="pct"/>
            <w:vAlign w:val="center"/>
            <w:textDirection w:val="lrTb"/>
            <w:noWrap w:val="false"/>
          </w:tcPr>
          <w:p>
            <w:pPr>
              <w:jc w:val="center"/>
              <w:tabs>
                <w:tab w:val="left" w:pos="5580" w:leader="none"/>
              </w:tabs>
              <w:rPr>
                <w:sz w:val="24"/>
                <w:highlight w:val="none"/>
              </w:rPr>
            </w:pPr>
            <w:r>
              <w:rPr>
                <w:sz w:val="24"/>
                <w:highlight w:val="none"/>
              </w:rPr>
            </w:r>
            <w:r/>
          </w:p>
        </w:tc>
      </w:tr>
      <w:tr>
        <w:trPr>
          <w:jc w:val="center"/>
          <w:trHeight w:val="567" w:hRule="exact"/>
        </w:trPr>
        <w:tc>
          <w:tcPr>
            <w:tcW w:w="613" w:type="pct"/>
            <w:vAlign w:val="center"/>
            <w:textDirection w:val="lrTb"/>
            <w:noWrap w:val="false"/>
          </w:tcPr>
          <w:p>
            <w:pPr>
              <w:jc w:val="center"/>
              <w:tabs>
                <w:tab w:val="left" w:pos="5580" w:leader="none"/>
              </w:tabs>
              <w:rPr>
                <w:sz w:val="24"/>
                <w:highlight w:val="none"/>
              </w:rPr>
            </w:pPr>
            <w:r>
              <w:rPr>
                <w:rFonts w:hint="eastAsia"/>
                <w:sz w:val="24"/>
                <w:highlight w:val="none"/>
              </w:rPr>
              <w:t xml:space="preserve">3</w:t>
            </w:r>
            <w:r/>
          </w:p>
        </w:tc>
        <w:tc>
          <w:tcPr>
            <w:tcW w:w="2013" w:type="pct"/>
            <w:vAlign w:val="center"/>
            <w:textDirection w:val="lrTb"/>
            <w:noWrap w:val="false"/>
          </w:tcPr>
          <w:p>
            <w:pPr>
              <w:jc w:val="center"/>
              <w:tabs>
                <w:tab w:val="left" w:pos="5580" w:leader="none"/>
              </w:tabs>
              <w:rPr>
                <w:sz w:val="24"/>
                <w:highlight w:val="none"/>
              </w:rPr>
            </w:pPr>
            <w:r>
              <w:rPr>
                <w:sz w:val="24"/>
                <w:highlight w:val="none"/>
              </w:rPr>
            </w:r>
            <w:r/>
          </w:p>
        </w:tc>
        <w:tc>
          <w:tcPr>
            <w:tcW w:w="1187" w:type="pct"/>
            <w:vAlign w:val="center"/>
            <w:textDirection w:val="lrTb"/>
            <w:noWrap w:val="false"/>
          </w:tcPr>
          <w:p>
            <w:pPr>
              <w:jc w:val="center"/>
              <w:tabs>
                <w:tab w:val="left" w:pos="5580" w:leader="none"/>
              </w:tabs>
              <w:rPr>
                <w:sz w:val="24"/>
                <w:highlight w:val="none"/>
              </w:rPr>
            </w:pPr>
            <w:r>
              <w:rPr>
                <w:sz w:val="24"/>
                <w:highlight w:val="none"/>
              </w:rPr>
            </w:r>
            <w:r/>
          </w:p>
        </w:tc>
        <w:tc>
          <w:tcPr>
            <w:tcW w:w="1184" w:type="pct"/>
            <w:vAlign w:val="center"/>
            <w:textDirection w:val="lrTb"/>
            <w:noWrap w:val="false"/>
          </w:tcPr>
          <w:p>
            <w:pPr>
              <w:jc w:val="center"/>
              <w:tabs>
                <w:tab w:val="left" w:pos="5580" w:leader="none"/>
              </w:tabs>
              <w:rPr>
                <w:sz w:val="24"/>
                <w:highlight w:val="none"/>
              </w:rPr>
            </w:pPr>
            <w:r>
              <w:rPr>
                <w:sz w:val="24"/>
                <w:highlight w:val="none"/>
              </w:rPr>
            </w:r>
            <w:r/>
          </w:p>
        </w:tc>
      </w:tr>
      <w:tr>
        <w:trPr>
          <w:jc w:val="center"/>
          <w:trHeight w:val="567" w:hRule="exact"/>
        </w:trPr>
        <w:tc>
          <w:tcPr>
            <w:tcW w:w="613" w:type="pct"/>
            <w:vAlign w:val="center"/>
            <w:textDirection w:val="lrTb"/>
            <w:noWrap w:val="false"/>
          </w:tcPr>
          <w:p>
            <w:pPr>
              <w:jc w:val="center"/>
              <w:tabs>
                <w:tab w:val="left" w:pos="5580" w:leader="none"/>
              </w:tabs>
              <w:rPr>
                <w:sz w:val="24"/>
                <w:highlight w:val="none"/>
              </w:rPr>
            </w:pPr>
            <w:r>
              <w:rPr>
                <w:rFonts w:hint="eastAsia"/>
                <w:sz w:val="24"/>
                <w:highlight w:val="none"/>
              </w:rPr>
              <w:t xml:space="preserve">4</w:t>
            </w:r>
            <w:r/>
          </w:p>
        </w:tc>
        <w:tc>
          <w:tcPr>
            <w:tcW w:w="2013" w:type="pct"/>
            <w:vAlign w:val="center"/>
            <w:textDirection w:val="lrTb"/>
            <w:noWrap w:val="false"/>
          </w:tcPr>
          <w:p>
            <w:pPr>
              <w:jc w:val="center"/>
              <w:tabs>
                <w:tab w:val="left" w:pos="5580" w:leader="none"/>
              </w:tabs>
              <w:rPr>
                <w:sz w:val="24"/>
                <w:highlight w:val="none"/>
              </w:rPr>
            </w:pPr>
            <w:r>
              <w:rPr>
                <w:sz w:val="24"/>
                <w:highlight w:val="none"/>
              </w:rPr>
            </w:r>
            <w:r/>
          </w:p>
        </w:tc>
        <w:tc>
          <w:tcPr>
            <w:tcW w:w="1187" w:type="pct"/>
            <w:vAlign w:val="center"/>
            <w:textDirection w:val="lrTb"/>
            <w:noWrap w:val="false"/>
          </w:tcPr>
          <w:p>
            <w:pPr>
              <w:jc w:val="center"/>
              <w:tabs>
                <w:tab w:val="left" w:pos="5580" w:leader="none"/>
              </w:tabs>
              <w:rPr>
                <w:sz w:val="24"/>
                <w:highlight w:val="none"/>
              </w:rPr>
            </w:pPr>
            <w:r>
              <w:rPr>
                <w:sz w:val="24"/>
                <w:highlight w:val="none"/>
              </w:rPr>
            </w:r>
            <w:r/>
          </w:p>
        </w:tc>
        <w:tc>
          <w:tcPr>
            <w:tcW w:w="1184" w:type="pct"/>
            <w:vAlign w:val="center"/>
            <w:textDirection w:val="lrTb"/>
            <w:noWrap w:val="false"/>
          </w:tcPr>
          <w:p>
            <w:pPr>
              <w:jc w:val="center"/>
              <w:tabs>
                <w:tab w:val="left" w:pos="5580" w:leader="none"/>
              </w:tabs>
              <w:rPr>
                <w:sz w:val="24"/>
                <w:highlight w:val="none"/>
              </w:rPr>
            </w:pPr>
            <w:r>
              <w:rPr>
                <w:sz w:val="24"/>
                <w:highlight w:val="none"/>
              </w:rPr>
            </w:r>
            <w:r/>
          </w:p>
        </w:tc>
      </w:tr>
      <w:tr>
        <w:trPr>
          <w:jc w:val="center"/>
          <w:trHeight w:val="567" w:hRule="exact"/>
        </w:trPr>
        <w:tc>
          <w:tcPr>
            <w:tcW w:w="613" w:type="pct"/>
            <w:vAlign w:val="center"/>
            <w:textDirection w:val="lrTb"/>
            <w:noWrap w:val="false"/>
          </w:tcPr>
          <w:p>
            <w:pPr>
              <w:jc w:val="center"/>
              <w:tabs>
                <w:tab w:val="left" w:pos="5580" w:leader="none"/>
              </w:tabs>
              <w:rPr>
                <w:sz w:val="24"/>
                <w:highlight w:val="none"/>
              </w:rPr>
            </w:pPr>
            <w:r>
              <w:rPr>
                <w:rFonts w:hint="eastAsia"/>
                <w:sz w:val="24"/>
                <w:highlight w:val="none"/>
              </w:rPr>
              <w:t xml:space="preserve">5</w:t>
            </w:r>
            <w:r/>
          </w:p>
        </w:tc>
        <w:tc>
          <w:tcPr>
            <w:tcW w:w="2013" w:type="pct"/>
            <w:vAlign w:val="center"/>
            <w:textDirection w:val="lrTb"/>
            <w:noWrap w:val="false"/>
          </w:tcPr>
          <w:p>
            <w:pPr>
              <w:jc w:val="center"/>
              <w:tabs>
                <w:tab w:val="left" w:pos="5580" w:leader="none"/>
              </w:tabs>
              <w:rPr>
                <w:sz w:val="24"/>
                <w:highlight w:val="none"/>
              </w:rPr>
            </w:pPr>
            <w:r>
              <w:rPr>
                <w:sz w:val="24"/>
                <w:highlight w:val="none"/>
              </w:rPr>
            </w:r>
            <w:r/>
          </w:p>
        </w:tc>
        <w:tc>
          <w:tcPr>
            <w:tcW w:w="1187" w:type="pct"/>
            <w:vAlign w:val="center"/>
            <w:textDirection w:val="lrTb"/>
            <w:noWrap w:val="false"/>
          </w:tcPr>
          <w:p>
            <w:pPr>
              <w:jc w:val="center"/>
              <w:tabs>
                <w:tab w:val="left" w:pos="5580" w:leader="none"/>
              </w:tabs>
              <w:rPr>
                <w:sz w:val="24"/>
                <w:highlight w:val="none"/>
              </w:rPr>
            </w:pPr>
            <w:r>
              <w:rPr>
                <w:sz w:val="24"/>
                <w:highlight w:val="none"/>
              </w:rPr>
            </w:r>
            <w:r/>
          </w:p>
        </w:tc>
        <w:tc>
          <w:tcPr>
            <w:tcW w:w="1184" w:type="pct"/>
            <w:vAlign w:val="center"/>
            <w:textDirection w:val="lrTb"/>
            <w:noWrap w:val="false"/>
          </w:tcPr>
          <w:p>
            <w:pPr>
              <w:jc w:val="center"/>
              <w:tabs>
                <w:tab w:val="left" w:pos="5580" w:leader="none"/>
              </w:tabs>
              <w:rPr>
                <w:sz w:val="24"/>
                <w:highlight w:val="none"/>
              </w:rPr>
            </w:pPr>
            <w:r>
              <w:rPr>
                <w:sz w:val="24"/>
                <w:highlight w:val="none"/>
              </w:rPr>
            </w:r>
            <w:r/>
          </w:p>
        </w:tc>
      </w:tr>
      <w:tr>
        <w:trPr>
          <w:jc w:val="center"/>
          <w:trHeight w:val="567" w:hRule="exact"/>
        </w:trPr>
        <w:tc>
          <w:tcPr>
            <w:tcW w:w="613" w:type="pct"/>
            <w:vAlign w:val="center"/>
            <w:textDirection w:val="lrTb"/>
            <w:noWrap w:val="false"/>
          </w:tcPr>
          <w:p>
            <w:pPr>
              <w:jc w:val="center"/>
              <w:tabs>
                <w:tab w:val="left" w:pos="5580" w:leader="none"/>
              </w:tabs>
              <w:rPr>
                <w:sz w:val="24"/>
                <w:highlight w:val="none"/>
              </w:rPr>
            </w:pPr>
            <w:r>
              <w:rPr>
                <w:rFonts w:hint="eastAsia"/>
                <w:sz w:val="24"/>
                <w:highlight w:val="none"/>
              </w:rPr>
              <w:t xml:space="preserve">6</w:t>
            </w:r>
            <w:r/>
          </w:p>
        </w:tc>
        <w:tc>
          <w:tcPr>
            <w:tcW w:w="2013" w:type="pct"/>
            <w:vAlign w:val="center"/>
            <w:textDirection w:val="lrTb"/>
            <w:noWrap w:val="false"/>
          </w:tcPr>
          <w:p>
            <w:pPr>
              <w:jc w:val="center"/>
              <w:tabs>
                <w:tab w:val="left" w:pos="5580" w:leader="none"/>
              </w:tabs>
              <w:rPr>
                <w:sz w:val="24"/>
                <w:highlight w:val="none"/>
              </w:rPr>
            </w:pPr>
            <w:r>
              <w:rPr>
                <w:sz w:val="24"/>
                <w:highlight w:val="none"/>
              </w:rPr>
            </w:r>
            <w:r/>
          </w:p>
        </w:tc>
        <w:tc>
          <w:tcPr>
            <w:tcW w:w="1187" w:type="pct"/>
            <w:vAlign w:val="center"/>
            <w:textDirection w:val="lrTb"/>
            <w:noWrap w:val="false"/>
          </w:tcPr>
          <w:p>
            <w:pPr>
              <w:jc w:val="center"/>
              <w:tabs>
                <w:tab w:val="left" w:pos="5580" w:leader="none"/>
              </w:tabs>
              <w:rPr>
                <w:sz w:val="24"/>
                <w:highlight w:val="none"/>
              </w:rPr>
            </w:pPr>
            <w:r>
              <w:rPr>
                <w:sz w:val="24"/>
                <w:highlight w:val="none"/>
              </w:rPr>
            </w:r>
            <w:r/>
          </w:p>
        </w:tc>
        <w:tc>
          <w:tcPr>
            <w:tcW w:w="1184" w:type="pct"/>
            <w:vAlign w:val="center"/>
            <w:textDirection w:val="lrTb"/>
            <w:noWrap w:val="false"/>
          </w:tcPr>
          <w:p>
            <w:pPr>
              <w:jc w:val="center"/>
              <w:tabs>
                <w:tab w:val="left" w:pos="5580" w:leader="none"/>
              </w:tabs>
              <w:rPr>
                <w:sz w:val="24"/>
                <w:highlight w:val="none"/>
              </w:rPr>
            </w:pPr>
            <w:r>
              <w:rPr>
                <w:sz w:val="24"/>
                <w:highlight w:val="none"/>
              </w:rPr>
            </w:r>
            <w:r/>
          </w:p>
        </w:tc>
      </w:tr>
      <w:tr>
        <w:trPr>
          <w:jc w:val="center"/>
          <w:trHeight w:val="567" w:hRule="exact"/>
        </w:trPr>
        <w:tc>
          <w:tcPr>
            <w:tcW w:w="613" w:type="pct"/>
            <w:vAlign w:val="center"/>
            <w:textDirection w:val="lrTb"/>
            <w:noWrap w:val="false"/>
          </w:tcPr>
          <w:p>
            <w:pPr>
              <w:jc w:val="center"/>
              <w:tabs>
                <w:tab w:val="left" w:pos="5580" w:leader="none"/>
              </w:tabs>
              <w:rPr>
                <w:sz w:val="24"/>
                <w:highlight w:val="none"/>
              </w:rPr>
            </w:pPr>
            <w:r>
              <w:rPr>
                <w:rFonts w:hint="eastAsia"/>
                <w:sz w:val="24"/>
                <w:highlight w:val="none"/>
              </w:rPr>
              <w:t xml:space="preserve">7</w:t>
            </w:r>
            <w:r/>
          </w:p>
        </w:tc>
        <w:tc>
          <w:tcPr>
            <w:tcW w:w="2013" w:type="pct"/>
            <w:vAlign w:val="center"/>
            <w:textDirection w:val="lrTb"/>
            <w:noWrap w:val="false"/>
          </w:tcPr>
          <w:p>
            <w:pPr>
              <w:jc w:val="center"/>
              <w:tabs>
                <w:tab w:val="left" w:pos="5580" w:leader="none"/>
              </w:tabs>
              <w:rPr>
                <w:sz w:val="24"/>
                <w:highlight w:val="none"/>
              </w:rPr>
            </w:pPr>
            <w:r>
              <w:rPr>
                <w:sz w:val="24"/>
                <w:highlight w:val="none"/>
              </w:rPr>
            </w:r>
            <w:r/>
          </w:p>
        </w:tc>
        <w:tc>
          <w:tcPr>
            <w:tcW w:w="1187" w:type="pct"/>
            <w:vAlign w:val="center"/>
            <w:textDirection w:val="lrTb"/>
            <w:noWrap w:val="false"/>
          </w:tcPr>
          <w:p>
            <w:pPr>
              <w:jc w:val="center"/>
              <w:tabs>
                <w:tab w:val="left" w:pos="5580" w:leader="none"/>
              </w:tabs>
              <w:rPr>
                <w:sz w:val="24"/>
                <w:highlight w:val="none"/>
              </w:rPr>
            </w:pPr>
            <w:r>
              <w:rPr>
                <w:sz w:val="24"/>
                <w:highlight w:val="none"/>
              </w:rPr>
            </w:r>
            <w:r/>
          </w:p>
        </w:tc>
        <w:tc>
          <w:tcPr>
            <w:tcW w:w="1184" w:type="pct"/>
            <w:vAlign w:val="center"/>
            <w:textDirection w:val="lrTb"/>
            <w:noWrap w:val="false"/>
          </w:tcPr>
          <w:p>
            <w:pPr>
              <w:jc w:val="center"/>
              <w:tabs>
                <w:tab w:val="left" w:pos="5580" w:leader="none"/>
              </w:tabs>
              <w:rPr>
                <w:sz w:val="24"/>
                <w:highlight w:val="none"/>
              </w:rPr>
            </w:pPr>
            <w:r>
              <w:rPr>
                <w:sz w:val="24"/>
                <w:highlight w:val="none"/>
              </w:rPr>
            </w:r>
            <w:r/>
          </w:p>
        </w:tc>
      </w:tr>
      <w:tr>
        <w:trPr>
          <w:jc w:val="center"/>
          <w:trHeight w:val="567" w:hRule="exact"/>
        </w:trPr>
        <w:tc>
          <w:tcPr>
            <w:tcW w:w="613" w:type="pct"/>
            <w:vAlign w:val="center"/>
            <w:textDirection w:val="lrTb"/>
            <w:noWrap w:val="false"/>
          </w:tcPr>
          <w:p>
            <w:pPr>
              <w:jc w:val="center"/>
              <w:tabs>
                <w:tab w:val="left" w:pos="5580" w:leader="none"/>
              </w:tabs>
              <w:rPr>
                <w:sz w:val="24"/>
                <w:highlight w:val="none"/>
              </w:rPr>
            </w:pPr>
            <w:r>
              <w:rPr>
                <w:rFonts w:hint="eastAsia"/>
                <w:sz w:val="24"/>
                <w:highlight w:val="none"/>
              </w:rPr>
              <w:t xml:space="preserve">8</w:t>
            </w:r>
            <w:r/>
          </w:p>
        </w:tc>
        <w:tc>
          <w:tcPr>
            <w:tcW w:w="2013" w:type="pct"/>
            <w:vAlign w:val="center"/>
            <w:textDirection w:val="lrTb"/>
            <w:noWrap w:val="false"/>
          </w:tcPr>
          <w:p>
            <w:pPr>
              <w:jc w:val="center"/>
              <w:tabs>
                <w:tab w:val="left" w:pos="5580" w:leader="none"/>
              </w:tabs>
              <w:rPr>
                <w:sz w:val="24"/>
                <w:highlight w:val="none"/>
              </w:rPr>
            </w:pPr>
            <w:r>
              <w:rPr>
                <w:sz w:val="24"/>
                <w:highlight w:val="none"/>
              </w:rPr>
            </w:r>
            <w:r/>
          </w:p>
        </w:tc>
        <w:tc>
          <w:tcPr>
            <w:tcW w:w="1187" w:type="pct"/>
            <w:vAlign w:val="center"/>
            <w:textDirection w:val="lrTb"/>
            <w:noWrap w:val="false"/>
          </w:tcPr>
          <w:p>
            <w:pPr>
              <w:jc w:val="center"/>
              <w:tabs>
                <w:tab w:val="left" w:pos="5580" w:leader="none"/>
              </w:tabs>
              <w:rPr>
                <w:sz w:val="24"/>
                <w:highlight w:val="none"/>
              </w:rPr>
            </w:pPr>
            <w:r>
              <w:rPr>
                <w:sz w:val="24"/>
                <w:highlight w:val="none"/>
              </w:rPr>
            </w:r>
            <w:r/>
          </w:p>
        </w:tc>
        <w:tc>
          <w:tcPr>
            <w:tcW w:w="1184" w:type="pct"/>
            <w:vAlign w:val="center"/>
            <w:textDirection w:val="lrTb"/>
            <w:noWrap w:val="false"/>
          </w:tcPr>
          <w:p>
            <w:pPr>
              <w:jc w:val="center"/>
              <w:tabs>
                <w:tab w:val="left" w:pos="5580" w:leader="none"/>
              </w:tabs>
              <w:rPr>
                <w:sz w:val="24"/>
                <w:highlight w:val="none"/>
              </w:rPr>
            </w:pPr>
            <w:r>
              <w:rPr>
                <w:sz w:val="24"/>
                <w:highlight w:val="none"/>
              </w:rPr>
            </w:r>
            <w:r/>
          </w:p>
        </w:tc>
      </w:tr>
      <w:tr>
        <w:trPr>
          <w:jc w:val="center"/>
          <w:trHeight w:val="567" w:hRule="exact"/>
        </w:trPr>
        <w:tc>
          <w:tcPr>
            <w:tcW w:w="613" w:type="pct"/>
            <w:vAlign w:val="center"/>
            <w:textDirection w:val="lrTb"/>
            <w:noWrap w:val="false"/>
          </w:tcPr>
          <w:p>
            <w:pPr>
              <w:jc w:val="center"/>
              <w:tabs>
                <w:tab w:val="left" w:pos="5580" w:leader="none"/>
              </w:tabs>
              <w:rPr>
                <w:sz w:val="24"/>
                <w:highlight w:val="none"/>
              </w:rPr>
            </w:pPr>
            <w:r>
              <w:rPr>
                <w:rFonts w:hint="eastAsia"/>
                <w:sz w:val="24"/>
                <w:highlight w:val="none"/>
              </w:rPr>
              <w:t xml:space="preserve">9</w:t>
            </w:r>
            <w:r/>
          </w:p>
        </w:tc>
        <w:tc>
          <w:tcPr>
            <w:tcW w:w="2013" w:type="pct"/>
            <w:vAlign w:val="center"/>
            <w:textDirection w:val="lrTb"/>
            <w:noWrap w:val="false"/>
          </w:tcPr>
          <w:p>
            <w:pPr>
              <w:jc w:val="center"/>
              <w:tabs>
                <w:tab w:val="left" w:pos="5580" w:leader="none"/>
              </w:tabs>
              <w:rPr>
                <w:sz w:val="24"/>
                <w:highlight w:val="none"/>
              </w:rPr>
            </w:pPr>
            <w:r>
              <w:rPr>
                <w:sz w:val="24"/>
                <w:highlight w:val="none"/>
              </w:rPr>
            </w:r>
            <w:r/>
          </w:p>
        </w:tc>
        <w:tc>
          <w:tcPr>
            <w:tcW w:w="1187" w:type="pct"/>
            <w:vAlign w:val="center"/>
            <w:textDirection w:val="lrTb"/>
            <w:noWrap w:val="false"/>
          </w:tcPr>
          <w:p>
            <w:pPr>
              <w:jc w:val="center"/>
              <w:tabs>
                <w:tab w:val="left" w:pos="5580" w:leader="none"/>
              </w:tabs>
              <w:rPr>
                <w:sz w:val="24"/>
                <w:highlight w:val="none"/>
              </w:rPr>
            </w:pPr>
            <w:r>
              <w:rPr>
                <w:sz w:val="24"/>
                <w:highlight w:val="none"/>
              </w:rPr>
            </w:r>
            <w:r/>
          </w:p>
        </w:tc>
        <w:tc>
          <w:tcPr>
            <w:tcW w:w="1184" w:type="pct"/>
            <w:vAlign w:val="center"/>
            <w:textDirection w:val="lrTb"/>
            <w:noWrap w:val="false"/>
          </w:tcPr>
          <w:p>
            <w:pPr>
              <w:jc w:val="center"/>
              <w:tabs>
                <w:tab w:val="left" w:pos="5580" w:leader="none"/>
              </w:tabs>
              <w:rPr>
                <w:sz w:val="24"/>
                <w:highlight w:val="none"/>
              </w:rPr>
            </w:pPr>
            <w:r>
              <w:rPr>
                <w:sz w:val="24"/>
                <w:highlight w:val="none"/>
              </w:rPr>
            </w:r>
            <w:r/>
          </w:p>
        </w:tc>
      </w:tr>
      <w:tr>
        <w:trPr>
          <w:jc w:val="center"/>
          <w:trHeight w:val="567" w:hRule="exact"/>
        </w:trPr>
        <w:tc>
          <w:tcPr>
            <w:tcW w:w="613" w:type="pct"/>
            <w:vAlign w:val="center"/>
            <w:textDirection w:val="lrTb"/>
            <w:noWrap w:val="false"/>
          </w:tcPr>
          <w:p>
            <w:pPr>
              <w:jc w:val="left"/>
              <w:tabs>
                <w:tab w:val="left" w:pos="5580" w:leader="none"/>
              </w:tabs>
              <w:rPr>
                <w:rFonts w:hint="eastAsia"/>
                <w:sz w:val="24"/>
                <w:highlight w:val="none"/>
              </w:rPr>
            </w:pPr>
            <w:r>
              <w:rPr>
                <w:rFonts w:hint="eastAsia"/>
                <w:sz w:val="24"/>
                <w:highlight w:val="none"/>
              </w:rPr>
            </w:r>
            <w:r/>
          </w:p>
        </w:tc>
        <w:tc>
          <w:tcPr>
            <w:tcW w:w="2013" w:type="pct"/>
            <w:vAlign w:val="center"/>
            <w:textDirection w:val="lrTb"/>
            <w:noWrap w:val="false"/>
          </w:tcPr>
          <w:p>
            <w:pPr>
              <w:jc w:val="center"/>
              <w:tabs>
                <w:tab w:val="left" w:pos="5580" w:leader="none"/>
              </w:tabs>
              <w:rPr>
                <w:sz w:val="24"/>
                <w:highlight w:val="none"/>
              </w:rPr>
            </w:pPr>
            <w:r>
              <w:rPr>
                <w:sz w:val="24"/>
                <w:highlight w:val="none"/>
              </w:rPr>
            </w:r>
            <w:r/>
          </w:p>
        </w:tc>
        <w:tc>
          <w:tcPr>
            <w:tcW w:w="1187" w:type="pct"/>
            <w:vAlign w:val="center"/>
            <w:textDirection w:val="lrTb"/>
            <w:noWrap w:val="false"/>
          </w:tcPr>
          <w:p>
            <w:pPr>
              <w:jc w:val="center"/>
              <w:tabs>
                <w:tab w:val="left" w:pos="5580" w:leader="none"/>
              </w:tabs>
              <w:rPr>
                <w:sz w:val="24"/>
                <w:highlight w:val="none"/>
              </w:rPr>
            </w:pPr>
            <w:r>
              <w:rPr>
                <w:sz w:val="24"/>
                <w:highlight w:val="none"/>
              </w:rPr>
            </w:r>
            <w:r/>
          </w:p>
        </w:tc>
        <w:tc>
          <w:tcPr>
            <w:tcW w:w="1184" w:type="pct"/>
            <w:vAlign w:val="center"/>
            <w:textDirection w:val="lrTb"/>
            <w:noWrap w:val="false"/>
          </w:tcPr>
          <w:p>
            <w:pPr>
              <w:jc w:val="center"/>
              <w:tabs>
                <w:tab w:val="left" w:pos="5580" w:leader="none"/>
              </w:tabs>
              <w:rPr>
                <w:sz w:val="24"/>
                <w:highlight w:val="none"/>
              </w:rPr>
            </w:pPr>
            <w:r>
              <w:rPr>
                <w:sz w:val="24"/>
                <w:highlight w:val="none"/>
              </w:rPr>
            </w:r>
            <w:r/>
          </w:p>
        </w:tc>
      </w:tr>
      <w:tr>
        <w:trPr>
          <w:jc w:val="center"/>
          <w:trHeight w:val="567" w:hRule="exact"/>
        </w:trPr>
        <w:tc>
          <w:tcPr>
            <w:tcW w:w="613" w:type="pct"/>
            <w:vAlign w:val="center"/>
            <w:textDirection w:val="lrTb"/>
            <w:noWrap w:val="false"/>
          </w:tcPr>
          <w:p>
            <w:pPr>
              <w:jc w:val="center"/>
              <w:tabs>
                <w:tab w:val="left" w:pos="5580" w:leader="none"/>
              </w:tabs>
              <w:rPr>
                <w:rFonts w:hint="eastAsia"/>
                <w:sz w:val="24"/>
                <w:highlight w:val="none"/>
              </w:rPr>
            </w:pPr>
            <w:r>
              <w:rPr>
                <w:rFonts w:hint="eastAsia"/>
                <w:sz w:val="24"/>
                <w:highlight w:val="none"/>
              </w:rPr>
            </w:r>
            <w:r/>
          </w:p>
        </w:tc>
        <w:tc>
          <w:tcPr>
            <w:tcW w:w="2013" w:type="pct"/>
            <w:vAlign w:val="center"/>
            <w:textDirection w:val="lrTb"/>
            <w:noWrap w:val="false"/>
          </w:tcPr>
          <w:p>
            <w:pPr>
              <w:jc w:val="center"/>
              <w:tabs>
                <w:tab w:val="left" w:pos="5580" w:leader="none"/>
              </w:tabs>
              <w:rPr>
                <w:sz w:val="24"/>
                <w:highlight w:val="none"/>
              </w:rPr>
            </w:pPr>
            <w:r>
              <w:rPr>
                <w:sz w:val="24"/>
                <w:highlight w:val="none"/>
              </w:rPr>
            </w:r>
            <w:r/>
          </w:p>
        </w:tc>
        <w:tc>
          <w:tcPr>
            <w:tcW w:w="1187" w:type="pct"/>
            <w:vAlign w:val="center"/>
            <w:textDirection w:val="lrTb"/>
            <w:noWrap w:val="false"/>
          </w:tcPr>
          <w:p>
            <w:pPr>
              <w:jc w:val="center"/>
              <w:tabs>
                <w:tab w:val="left" w:pos="5580" w:leader="none"/>
              </w:tabs>
              <w:rPr>
                <w:sz w:val="24"/>
                <w:highlight w:val="none"/>
              </w:rPr>
            </w:pPr>
            <w:r>
              <w:rPr>
                <w:sz w:val="24"/>
                <w:highlight w:val="none"/>
              </w:rPr>
            </w:r>
            <w:r/>
          </w:p>
        </w:tc>
        <w:tc>
          <w:tcPr>
            <w:tcW w:w="1184" w:type="pct"/>
            <w:vAlign w:val="center"/>
            <w:textDirection w:val="lrTb"/>
            <w:noWrap w:val="false"/>
          </w:tcPr>
          <w:p>
            <w:pPr>
              <w:jc w:val="center"/>
              <w:tabs>
                <w:tab w:val="left" w:pos="5580" w:leader="none"/>
              </w:tabs>
              <w:rPr>
                <w:sz w:val="24"/>
                <w:highlight w:val="none"/>
              </w:rPr>
            </w:pPr>
            <w:r>
              <w:rPr>
                <w:sz w:val="24"/>
                <w:highlight w:val="none"/>
              </w:rPr>
            </w:r>
            <w:r/>
          </w:p>
        </w:tc>
      </w:tr>
      <w:tr>
        <w:trPr>
          <w:jc w:val="center"/>
          <w:trHeight w:val="567" w:hRule="exact"/>
        </w:trPr>
        <w:tc>
          <w:tcPr>
            <w:tcW w:w="613" w:type="pct"/>
            <w:vAlign w:val="center"/>
            <w:textDirection w:val="lrTb"/>
            <w:noWrap w:val="false"/>
          </w:tcPr>
          <w:p>
            <w:pPr>
              <w:jc w:val="center"/>
              <w:tabs>
                <w:tab w:val="left" w:pos="5580" w:leader="none"/>
              </w:tabs>
              <w:rPr>
                <w:rFonts w:hint="eastAsia"/>
                <w:sz w:val="24"/>
                <w:highlight w:val="none"/>
              </w:rPr>
            </w:pPr>
            <w:r>
              <w:rPr>
                <w:rFonts w:hint="eastAsia"/>
                <w:sz w:val="24"/>
                <w:highlight w:val="none"/>
              </w:rPr>
            </w:r>
            <w:r/>
          </w:p>
        </w:tc>
        <w:tc>
          <w:tcPr>
            <w:tcW w:w="2013" w:type="pct"/>
            <w:vAlign w:val="center"/>
            <w:textDirection w:val="lrTb"/>
            <w:noWrap w:val="false"/>
          </w:tcPr>
          <w:p>
            <w:pPr>
              <w:jc w:val="center"/>
              <w:tabs>
                <w:tab w:val="left" w:pos="5580" w:leader="none"/>
              </w:tabs>
              <w:rPr>
                <w:sz w:val="24"/>
                <w:highlight w:val="none"/>
              </w:rPr>
            </w:pPr>
            <w:r>
              <w:rPr>
                <w:sz w:val="24"/>
                <w:highlight w:val="none"/>
              </w:rPr>
            </w:r>
            <w:r/>
          </w:p>
        </w:tc>
        <w:tc>
          <w:tcPr>
            <w:tcW w:w="1187" w:type="pct"/>
            <w:vAlign w:val="center"/>
            <w:textDirection w:val="lrTb"/>
            <w:noWrap w:val="false"/>
          </w:tcPr>
          <w:p>
            <w:pPr>
              <w:jc w:val="center"/>
              <w:tabs>
                <w:tab w:val="left" w:pos="5580" w:leader="none"/>
              </w:tabs>
              <w:rPr>
                <w:sz w:val="24"/>
                <w:highlight w:val="none"/>
              </w:rPr>
            </w:pPr>
            <w:r>
              <w:rPr>
                <w:sz w:val="24"/>
                <w:highlight w:val="none"/>
              </w:rPr>
            </w:r>
            <w:r/>
          </w:p>
        </w:tc>
        <w:tc>
          <w:tcPr>
            <w:tcW w:w="1184" w:type="pct"/>
            <w:vAlign w:val="center"/>
            <w:textDirection w:val="lrTb"/>
            <w:noWrap w:val="false"/>
          </w:tcPr>
          <w:p>
            <w:pPr>
              <w:jc w:val="center"/>
              <w:tabs>
                <w:tab w:val="left" w:pos="5580" w:leader="none"/>
              </w:tabs>
              <w:rPr>
                <w:sz w:val="24"/>
                <w:highlight w:val="none"/>
              </w:rPr>
            </w:pPr>
            <w:r>
              <w:rPr>
                <w:sz w:val="24"/>
                <w:highlight w:val="none"/>
              </w:rPr>
            </w:r>
            <w:r/>
          </w:p>
        </w:tc>
      </w:tr>
      <w:tr>
        <w:trPr>
          <w:jc w:val="center"/>
          <w:trHeight w:val="567" w:hRule="exact"/>
        </w:trPr>
        <w:tc>
          <w:tcPr>
            <w:tcW w:w="613" w:type="pct"/>
            <w:vAlign w:val="center"/>
            <w:textDirection w:val="lrTb"/>
            <w:noWrap w:val="false"/>
          </w:tcPr>
          <w:p>
            <w:pPr>
              <w:jc w:val="center"/>
              <w:tabs>
                <w:tab w:val="left" w:pos="5580" w:leader="none"/>
              </w:tabs>
              <w:rPr>
                <w:rFonts w:hint="eastAsia"/>
                <w:sz w:val="24"/>
                <w:highlight w:val="none"/>
              </w:rPr>
            </w:pPr>
            <w:r>
              <w:rPr>
                <w:rFonts w:hint="eastAsia"/>
                <w:sz w:val="24"/>
                <w:highlight w:val="none"/>
              </w:rPr>
            </w:r>
            <w:r/>
          </w:p>
        </w:tc>
        <w:tc>
          <w:tcPr>
            <w:tcW w:w="2013" w:type="pct"/>
            <w:vAlign w:val="center"/>
            <w:textDirection w:val="lrTb"/>
            <w:noWrap w:val="false"/>
          </w:tcPr>
          <w:p>
            <w:pPr>
              <w:jc w:val="center"/>
              <w:tabs>
                <w:tab w:val="left" w:pos="5580" w:leader="none"/>
              </w:tabs>
              <w:rPr>
                <w:sz w:val="24"/>
                <w:highlight w:val="none"/>
              </w:rPr>
            </w:pPr>
            <w:r>
              <w:rPr>
                <w:sz w:val="24"/>
                <w:highlight w:val="none"/>
              </w:rPr>
            </w:r>
            <w:r/>
          </w:p>
        </w:tc>
        <w:tc>
          <w:tcPr>
            <w:tcW w:w="1187" w:type="pct"/>
            <w:vAlign w:val="center"/>
            <w:textDirection w:val="lrTb"/>
            <w:noWrap w:val="false"/>
          </w:tcPr>
          <w:p>
            <w:pPr>
              <w:jc w:val="center"/>
              <w:tabs>
                <w:tab w:val="left" w:pos="5580" w:leader="none"/>
              </w:tabs>
              <w:rPr>
                <w:sz w:val="24"/>
                <w:highlight w:val="none"/>
              </w:rPr>
            </w:pPr>
            <w:r>
              <w:rPr>
                <w:sz w:val="24"/>
                <w:highlight w:val="none"/>
              </w:rPr>
            </w:r>
            <w:r/>
          </w:p>
        </w:tc>
        <w:tc>
          <w:tcPr>
            <w:tcW w:w="1184" w:type="pct"/>
            <w:vAlign w:val="center"/>
            <w:textDirection w:val="lrTb"/>
            <w:noWrap w:val="false"/>
          </w:tcPr>
          <w:p>
            <w:pPr>
              <w:jc w:val="center"/>
              <w:tabs>
                <w:tab w:val="left" w:pos="5580" w:leader="none"/>
              </w:tabs>
              <w:rPr>
                <w:sz w:val="24"/>
                <w:highlight w:val="none"/>
              </w:rPr>
            </w:pPr>
            <w:r>
              <w:rPr>
                <w:sz w:val="24"/>
                <w:highlight w:val="none"/>
              </w:rPr>
            </w:r>
            <w:r/>
          </w:p>
        </w:tc>
      </w:tr>
      <w:tr>
        <w:trPr>
          <w:jc w:val="center"/>
          <w:trHeight w:val="567" w:hRule="exact"/>
        </w:trPr>
        <w:tc>
          <w:tcPr>
            <w:tcW w:w="613" w:type="pct"/>
            <w:vAlign w:val="center"/>
            <w:textDirection w:val="lrTb"/>
            <w:noWrap w:val="false"/>
          </w:tcPr>
          <w:p>
            <w:pPr>
              <w:jc w:val="center"/>
              <w:tabs>
                <w:tab w:val="left" w:pos="5580" w:leader="none"/>
              </w:tabs>
              <w:rPr>
                <w:rFonts w:hint="eastAsia"/>
                <w:sz w:val="24"/>
                <w:highlight w:val="none"/>
              </w:rPr>
            </w:pPr>
            <w:r>
              <w:rPr>
                <w:rFonts w:hint="eastAsia"/>
                <w:sz w:val="24"/>
                <w:highlight w:val="none"/>
              </w:rPr>
            </w:r>
            <w:r/>
          </w:p>
        </w:tc>
        <w:tc>
          <w:tcPr>
            <w:tcW w:w="2013" w:type="pct"/>
            <w:vAlign w:val="center"/>
            <w:textDirection w:val="lrTb"/>
            <w:noWrap w:val="false"/>
          </w:tcPr>
          <w:p>
            <w:pPr>
              <w:jc w:val="center"/>
              <w:tabs>
                <w:tab w:val="left" w:pos="5580" w:leader="none"/>
              </w:tabs>
              <w:rPr>
                <w:sz w:val="24"/>
                <w:highlight w:val="none"/>
              </w:rPr>
            </w:pPr>
            <w:r>
              <w:rPr>
                <w:sz w:val="24"/>
                <w:highlight w:val="none"/>
              </w:rPr>
            </w:r>
            <w:r/>
          </w:p>
        </w:tc>
        <w:tc>
          <w:tcPr>
            <w:tcW w:w="1187" w:type="pct"/>
            <w:vAlign w:val="center"/>
            <w:textDirection w:val="lrTb"/>
            <w:noWrap w:val="false"/>
          </w:tcPr>
          <w:p>
            <w:pPr>
              <w:jc w:val="center"/>
              <w:tabs>
                <w:tab w:val="left" w:pos="5580" w:leader="none"/>
              </w:tabs>
              <w:rPr>
                <w:sz w:val="24"/>
                <w:highlight w:val="none"/>
              </w:rPr>
            </w:pPr>
            <w:r>
              <w:rPr>
                <w:sz w:val="24"/>
                <w:highlight w:val="none"/>
              </w:rPr>
            </w:r>
            <w:r/>
          </w:p>
        </w:tc>
        <w:tc>
          <w:tcPr>
            <w:tcW w:w="1184" w:type="pct"/>
            <w:vAlign w:val="center"/>
            <w:textDirection w:val="lrTb"/>
            <w:noWrap w:val="false"/>
          </w:tcPr>
          <w:p>
            <w:pPr>
              <w:jc w:val="center"/>
              <w:tabs>
                <w:tab w:val="left" w:pos="5580" w:leader="none"/>
              </w:tabs>
              <w:rPr>
                <w:sz w:val="24"/>
                <w:highlight w:val="none"/>
              </w:rPr>
            </w:pPr>
            <w:r>
              <w:rPr>
                <w:sz w:val="24"/>
                <w:highlight w:val="none"/>
              </w:rPr>
            </w:r>
            <w:r/>
          </w:p>
        </w:tc>
      </w:tr>
    </w:tbl>
    <w:p>
      <w:pPr>
        <w:jc w:val="left"/>
        <w:rPr>
          <w:sz w:val="24"/>
          <w:highlight w:val="none"/>
        </w:rPr>
      </w:pPr>
      <w:r>
        <w:rPr>
          <w:sz w:val="24"/>
          <w:highlight w:val="none"/>
        </w:rPr>
      </w:r>
      <w:r/>
    </w:p>
    <w:p>
      <w:pPr>
        <w:jc w:val="left"/>
        <w:rPr>
          <w:sz w:val="24"/>
          <w:szCs w:val="20"/>
          <w:highlight w:val="none"/>
        </w:rPr>
      </w:pPr>
      <w:r>
        <w:rPr>
          <w:sz w:val="24"/>
          <w:highlight w:val="none"/>
        </w:rPr>
        <w:t xml:space="preserve">注：1</w:t>
      </w:r>
      <w:r>
        <w:rPr>
          <w:sz w:val="24"/>
          <w:szCs w:val="20"/>
          <w:highlight w:val="none"/>
        </w:rPr>
        <w:t xml:space="preserve">.此表中，每包的投标报价应和《投标分项报价表》中的总价相一致。</w:t>
      </w:r>
      <w:r/>
    </w:p>
    <w:p>
      <w:pPr>
        <w:ind w:firstLine="480"/>
        <w:tabs>
          <w:tab w:val="left" w:pos="5580" w:leader="none"/>
        </w:tabs>
        <w:rPr>
          <w:sz w:val="24"/>
          <w:szCs w:val="20"/>
          <w:highlight w:val="none"/>
        </w:rPr>
      </w:pPr>
      <w:r>
        <w:rPr>
          <w:sz w:val="24"/>
          <w:szCs w:val="20"/>
          <w:highlight w:val="none"/>
        </w:rPr>
        <w:t xml:space="preserve">2.本表必须按包分别填写。</w:t>
      </w:r>
      <w:r/>
    </w:p>
    <w:p>
      <w:pPr>
        <w:spacing w:before="25" w:after="25" w:line="360" w:lineRule="auto"/>
        <w:rPr>
          <w:sz w:val="24"/>
          <w:highlight w:val="none"/>
          <w:lang w:val="zh-CN"/>
        </w:rPr>
      </w:pPr>
      <w:r>
        <w:rPr>
          <w:sz w:val="24"/>
          <w:highlight w:val="none"/>
          <w:lang w:val="zh-CN"/>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jc w:val="left"/>
        <w:widowControl/>
        <w:rPr>
          <w:sz w:val="24"/>
          <w:szCs w:val="20"/>
          <w:highlight w:val="none"/>
        </w:rPr>
      </w:pPr>
      <w:r/>
      <w:bookmarkStart w:id="738" w:name="_Toc305158901"/>
      <w:r/>
      <w:bookmarkStart w:id="739" w:name="_Toc226965832"/>
      <w:r/>
      <w:bookmarkStart w:id="740" w:name="_Toc150774763"/>
      <w:r/>
      <w:bookmarkStart w:id="741" w:name="_Toc142311060"/>
      <w:r/>
      <w:bookmarkStart w:id="742" w:name="_Toc305158827"/>
      <w:r/>
      <w:bookmarkStart w:id="743" w:name="_Toc195842924"/>
      <w:r/>
      <w:bookmarkStart w:id="744" w:name="_Toc226337255"/>
      <w:r/>
      <w:bookmarkStart w:id="745" w:name="_Toc226309803"/>
      <w:r/>
      <w:bookmarkStart w:id="746" w:name="_Toc226965749"/>
      <w:r/>
      <w:bookmarkStart w:id="747" w:name="_Toc150480796"/>
      <w:r/>
      <w:bookmarkStart w:id="748" w:name="_Toc265228397"/>
      <w:r/>
      <w:bookmarkStart w:id="749" w:name="_Toc127151558"/>
      <w:r/>
      <w:bookmarkStart w:id="750" w:name="_Toc264969249"/>
      <w:r>
        <w:rPr>
          <w:sz w:val="24"/>
          <w:szCs w:val="20"/>
          <w:highlight w:val="none"/>
        </w:rPr>
        <w:br w:type="page" w:clear="all"/>
      </w:r>
      <w:r>
        <w:rPr>
          <w:rFonts w:hint="eastAsia"/>
          <w:sz w:val="24"/>
          <w:szCs w:val="20"/>
          <w:highlight w:val="none"/>
        </w:rPr>
        <w:t xml:space="preserve">5  分项报价表</w:t>
      </w:r>
      <w:r>
        <w:rPr>
          <w:sz w:val="24"/>
          <w:szCs w:val="20"/>
          <w:highlight w:val="none"/>
        </w:rPr>
        <w:t xml:space="preserve">（实质性格式）</w:t>
      </w:r>
      <w:r/>
    </w:p>
    <w:p>
      <w:pPr>
        <w:jc w:val="left"/>
        <w:widowControl/>
        <w:rPr>
          <w:sz w:val="24"/>
          <w:szCs w:val="20"/>
          <w:highlight w:val="none"/>
        </w:rPr>
      </w:pPr>
      <w:r>
        <w:rPr>
          <w:sz w:val="24"/>
          <w:szCs w:val="20"/>
          <w:highlight w:val="none"/>
        </w:rPr>
      </w:r>
      <w:r/>
    </w:p>
    <w:p>
      <w:pPr>
        <w:jc w:val="center"/>
        <w:spacing w:line="360" w:lineRule="auto"/>
        <w:tabs>
          <w:tab w:val="left" w:pos="2775" w:leader="none"/>
          <w:tab w:val="center" w:pos="4153" w:leader="none"/>
        </w:tabs>
        <w:rPr>
          <w:b/>
          <w:sz w:val="36"/>
          <w:szCs w:val="36"/>
          <w:highlight w:val="none"/>
        </w:rPr>
      </w:pPr>
      <w:r>
        <w:rPr>
          <w:rFonts w:hint="eastAsia"/>
          <w:b/>
          <w:sz w:val="32"/>
          <w:szCs w:val="32"/>
          <w:highlight w:val="none"/>
        </w:rPr>
        <w:t xml:space="preserve">投标分项报价表</w:t>
      </w:r>
      <w:r/>
    </w:p>
    <w:p>
      <w:pPr>
        <w:jc w:val="left"/>
        <w:widowControl/>
        <w:rPr>
          <w:rFonts w:hint="default" w:eastAsia="宋体"/>
          <w:b/>
          <w:bCs/>
          <w:sz w:val="24"/>
          <w:szCs w:val="20"/>
          <w:highlight w:val="none"/>
          <w:lang w:val="en-US" w:eastAsia="zh-CN"/>
        </w:rPr>
      </w:pPr>
      <w:r>
        <w:rPr>
          <w:rFonts w:hint="eastAsia"/>
          <w:b/>
          <w:bCs/>
          <w:sz w:val="24"/>
          <w:szCs w:val="20"/>
          <w:highlight w:val="none"/>
          <w:lang w:val="en-US" w:eastAsia="zh-CN"/>
        </w:rPr>
        <w:t xml:space="preserve">01-13标段：</w:t>
      </w:r>
      <w:r/>
    </w:p>
    <w:p>
      <w:pPr>
        <w:jc w:val="left"/>
        <w:widowControl/>
        <w:rPr>
          <w:sz w:val="24"/>
          <w:szCs w:val="20"/>
          <w:highlight w:val="none"/>
        </w:rPr>
      </w:pPr>
      <w:r>
        <w:rPr>
          <w:rFonts w:hint="eastAsia"/>
          <w:sz w:val="24"/>
          <w:szCs w:val="20"/>
          <w:highlight w:val="none"/>
        </w:rPr>
        <w:t xml:space="preserve">项目名称：</w:t>
      </w:r>
      <w:r>
        <w:rPr>
          <w:rFonts w:hint="eastAsia"/>
          <w:sz w:val="24"/>
          <w:szCs w:val="20"/>
          <w:highlight w:val="none"/>
          <w:lang w:eastAsia="zh-CN"/>
        </w:rPr>
        <w:t xml:space="preserve">2026年园区绿化养护项目</w:t>
      </w:r>
      <w:r>
        <w:rPr>
          <w:rFonts w:hint="eastAsia"/>
          <w:sz w:val="24"/>
          <w:szCs w:val="20"/>
          <w:highlight w:val="none"/>
        </w:rPr>
        <w:t xml:space="preserve">（ </w:t>
      </w:r>
      <w:r>
        <w:rPr>
          <w:spacing w:val="-3"/>
          <w:highlight w:val="none"/>
          <w:u w:val="single"/>
          <w:lang w:eastAsia="zh-CN"/>
        </w:rPr>
        <w:t xml:space="preserve">    </w:t>
      </w:r>
      <w:r>
        <w:rPr>
          <w:rFonts w:hint="eastAsia"/>
          <w:sz w:val="24"/>
          <w:szCs w:val="20"/>
          <w:highlight w:val="none"/>
        </w:rPr>
        <w:t xml:space="preserve">标段）</w:t>
      </w:r>
      <w:r/>
    </w:p>
    <w:p>
      <w:pPr>
        <w:jc w:val="left"/>
        <w:widowControl/>
        <w:rPr>
          <w:sz w:val="24"/>
          <w:szCs w:val="20"/>
          <w:highlight w:val="none"/>
        </w:rPr>
      </w:pPr>
      <w:r>
        <w:rPr>
          <w:rFonts w:hint="eastAsia"/>
          <w:sz w:val="24"/>
          <w:szCs w:val="20"/>
          <w:highlight w:val="none"/>
        </w:rPr>
        <w:t xml:space="preserve">项目编号/包号：                    报价单位：人民币元</w:t>
      </w:r>
      <w:r/>
    </w:p>
    <w:tbl>
      <w:tblPr>
        <w:tblStyle w:val="8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05"/>
        <w:gridCol w:w="2165"/>
        <w:gridCol w:w="2214"/>
        <w:gridCol w:w="2048"/>
        <w:gridCol w:w="1512"/>
        <w:gridCol w:w="1011"/>
      </w:tblGrid>
      <w:tr>
        <w:trPr>
          <w:trHeight w:val="348"/>
        </w:trPr>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9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区域范围</w:t>
            </w:r>
            <w:r/>
          </w:p>
        </w:tc>
        <w:tc>
          <w:tcPr>
            <w:shd w:val="clear" w:color="auto" w:fill="auto"/>
            <w:tcBorders>
              <w:top w:val="single" w:color="000000" w:sz="4" w:space="0"/>
              <w:left w:val="single" w:color="000000" w:sz="4" w:space="0"/>
              <w:bottom w:val="single" w:color="000000" w:sz="4" w:space="0"/>
              <w:right w:val="single" w:color="000000" w:sz="4" w:space="0"/>
            </w:tcBorders>
            <w:tcW w:w="112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绿化面积（㎡）</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p>
        </w:tc>
      </w:tr>
      <w:tr>
        <w:trPr>
          <w:trHeight w:val="348"/>
        </w:trPr>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jc w:val="left"/>
        <w:widowControl/>
        <w:rPr>
          <w:sz w:val="24"/>
          <w:szCs w:val="20"/>
          <w:highlight w:val="none"/>
        </w:rPr>
      </w:pPr>
      <w:r>
        <w:rPr>
          <w:sz w:val="24"/>
          <w:szCs w:val="20"/>
          <w:highlight w:val="none"/>
        </w:rPr>
      </w:r>
      <w:r/>
    </w:p>
    <w:p>
      <w:pPr>
        <w:jc w:val="left"/>
        <w:widowControl/>
        <w:rPr>
          <w:sz w:val="24"/>
          <w:szCs w:val="20"/>
          <w:highlight w:val="none"/>
        </w:rPr>
      </w:pPr>
      <w:r>
        <w:rPr>
          <w:rFonts w:hint="eastAsia"/>
          <w:sz w:val="24"/>
          <w:szCs w:val="20"/>
          <w:highlight w:val="none"/>
        </w:rPr>
        <w:t xml:space="preserve">注：1.本表应按包分别填写。</w:t>
      </w:r>
      <w:r/>
    </w:p>
    <w:p>
      <w:pPr>
        <w:jc w:val="left"/>
        <w:widowControl/>
        <w:rPr>
          <w:rFonts w:hint="eastAsia"/>
          <w:sz w:val="24"/>
          <w:szCs w:val="20"/>
          <w:highlight w:val="none"/>
        </w:rPr>
      </w:pPr>
      <w:r>
        <w:rPr>
          <w:rFonts w:hint="eastAsia"/>
          <w:sz w:val="24"/>
          <w:szCs w:val="20"/>
          <w:highlight w:val="none"/>
        </w:rPr>
        <w:t xml:space="preserve">2.如果不提供分项报价将视为没有实质性响应招标文件。</w:t>
      </w:r>
      <w:r/>
    </w:p>
    <w:p>
      <w:pPr>
        <w:jc w:val="left"/>
        <w:widowControl/>
        <w:rPr>
          <w:rFonts w:hint="eastAsia"/>
          <w:sz w:val="24"/>
          <w:szCs w:val="20"/>
          <w:highlight w:val="none"/>
        </w:rPr>
      </w:pPr>
      <w:r>
        <w:rPr>
          <w:rFonts w:hint="eastAsia"/>
          <w:sz w:val="24"/>
          <w:szCs w:val="20"/>
          <w:highlight w:val="none"/>
        </w:rPr>
        <w:t xml:space="preserve">3.本表行数可以按照项目分项情况增加。</w:t>
      </w:r>
      <w:r/>
    </w:p>
    <w:p>
      <w:pPr>
        <w:jc w:val="left"/>
        <w:widowControl/>
        <w:rPr>
          <w:rFonts w:hint="eastAsia"/>
          <w:sz w:val="24"/>
          <w:szCs w:val="20"/>
          <w:highlight w:val="none"/>
        </w:rPr>
      </w:pPr>
      <w:r>
        <w:rPr>
          <w:rFonts w:hint="eastAsia"/>
          <w:sz w:val="24"/>
          <w:szCs w:val="20"/>
          <w:highlight w:val="none"/>
        </w:rPr>
        <w:t xml:space="preserve">4.上述各项的详细规格、技术参数如表格中填写不下的，可以逐项另页描述。</w:t>
      </w:r>
      <w:r/>
    </w:p>
    <w:p>
      <w:pPr>
        <w:jc w:val="left"/>
        <w:widowControl/>
        <w:rPr>
          <w:sz w:val="24"/>
          <w:szCs w:val="20"/>
          <w:highlight w:val="none"/>
        </w:rPr>
      </w:pPr>
      <w:r>
        <w:rPr>
          <w:sz w:val="24"/>
          <w:szCs w:val="20"/>
          <w:highlight w:val="none"/>
        </w:rPr>
      </w:r>
      <w:r/>
    </w:p>
    <w:p>
      <w:pPr>
        <w:spacing w:before="79" w:line="219" w:lineRule="auto"/>
        <w:rPr>
          <w:rFonts w:ascii="宋体" w:hAnsi="宋体" w:cs="宋体"/>
          <w:sz w:val="24"/>
          <w:highlight w:val="none"/>
        </w:rPr>
      </w:pPr>
      <w:r>
        <w:rPr>
          <w:rFonts w:ascii="宋体" w:hAnsi="宋体" w:cs="宋体"/>
          <w:spacing w:val="-2"/>
          <w:sz w:val="24"/>
          <w:highlight w:val="none"/>
        </w:rPr>
        <w:t xml:space="preserve">投标人名称（加盖公章</w:t>
      </w:r>
      <w:r>
        <w:rPr>
          <w:rFonts w:ascii="宋体" w:hAnsi="宋体" w:cs="宋体"/>
          <w:spacing w:val="3"/>
          <w:sz w:val="24"/>
          <w:highlight w:val="none"/>
        </w:rPr>
        <w:t xml:space="preserve">）：</w:t>
      </w:r>
      <w:r/>
    </w:p>
    <w:p>
      <w:pPr>
        <w:spacing w:before="155" w:line="439" w:lineRule="exact"/>
        <w:rPr>
          <w:rFonts w:ascii="宋体" w:hAnsi="宋体" w:cs="宋体"/>
          <w:sz w:val="24"/>
          <w:highlight w:val="none"/>
        </w:rPr>
      </w:pPr>
      <w:r>
        <w:rPr>
          <w:rFonts w:ascii="宋体" w:hAnsi="宋体" w:cs="宋体"/>
          <w:spacing w:val="-1"/>
          <w:position w:val="15"/>
          <w:sz w:val="24"/>
          <w:highlight w:val="none"/>
        </w:rPr>
        <w:t xml:space="preserve">法定代表人或授权委托人（签字或盖章</w:t>
      </w:r>
      <w:r>
        <w:rPr>
          <w:rFonts w:ascii="宋体" w:hAnsi="宋体" w:cs="宋体"/>
          <w:spacing w:val="2"/>
          <w:position w:val="15"/>
          <w:sz w:val="24"/>
          <w:highlight w:val="none"/>
        </w:rPr>
        <w:t xml:space="preserve">）：</w:t>
      </w:r>
      <w:r/>
    </w:p>
    <w:p>
      <w:pPr>
        <w:jc w:val="left"/>
        <w:widowControl/>
        <w:rPr>
          <w:sz w:val="24"/>
          <w:szCs w:val="20"/>
          <w:highlight w:val="none"/>
        </w:rPr>
      </w:pPr>
      <w:r>
        <w:rPr>
          <w:rFonts w:ascii="宋体" w:hAnsi="宋体" w:cs="宋体"/>
          <w:spacing w:val="-13"/>
          <w:sz w:val="24"/>
          <w:highlight w:val="none"/>
        </w:rPr>
        <w:t xml:space="preserve">日期：</w:t>
      </w:r>
      <w:r>
        <w:rPr>
          <w:rFonts w:ascii="宋体" w:hAnsi="宋体" w:cs="宋体"/>
          <w:spacing w:val="1"/>
          <w:sz w:val="24"/>
          <w:highlight w:val="none"/>
        </w:rPr>
        <w:t xml:space="preserve">       </w:t>
      </w:r>
      <w:r>
        <w:rPr>
          <w:rFonts w:ascii="宋体" w:hAnsi="宋体" w:cs="宋体"/>
          <w:spacing w:val="-13"/>
          <w:sz w:val="24"/>
          <w:highlight w:val="none"/>
        </w:rPr>
        <w:t xml:space="preserve">年</w:t>
      </w:r>
      <w:r>
        <w:rPr>
          <w:rFonts w:ascii="宋体" w:hAnsi="宋体" w:cs="宋体"/>
          <w:spacing w:val="2"/>
          <w:sz w:val="24"/>
          <w:highlight w:val="none"/>
        </w:rPr>
        <w:t xml:space="preserve">       </w:t>
      </w:r>
      <w:r>
        <w:rPr>
          <w:rFonts w:ascii="宋体" w:hAnsi="宋体" w:cs="宋体"/>
          <w:spacing w:val="-13"/>
          <w:sz w:val="24"/>
          <w:highlight w:val="none"/>
        </w:rPr>
        <w:t xml:space="preserve">月</w:t>
      </w:r>
      <w:r>
        <w:rPr>
          <w:rFonts w:ascii="宋体" w:hAnsi="宋体" w:cs="宋体"/>
          <w:spacing w:val="7"/>
          <w:sz w:val="24"/>
          <w:highlight w:val="none"/>
        </w:rPr>
        <w:t xml:space="preserve">       </w:t>
      </w:r>
      <w:r>
        <w:rPr>
          <w:rFonts w:ascii="宋体" w:hAnsi="宋体" w:cs="宋体"/>
          <w:spacing w:val="-13"/>
          <w:sz w:val="24"/>
          <w:highlight w:val="none"/>
        </w:rPr>
        <w:t xml:space="preserve">日</w:t>
      </w:r>
      <w:r/>
    </w:p>
    <w:p>
      <w:pPr>
        <w:jc w:val="left"/>
        <w:spacing w:line="360" w:lineRule="auto"/>
        <w:tabs>
          <w:tab w:val="left" w:pos="2775" w:leader="none"/>
          <w:tab w:val="center" w:pos="4153" w:leader="none"/>
        </w:tabs>
        <w:rPr>
          <w:b/>
          <w:sz w:val="36"/>
          <w:szCs w:val="36"/>
          <w:highlight w:val="none"/>
        </w:rPr>
      </w:pPr>
      <w:r>
        <w:rPr>
          <w:b/>
          <w:sz w:val="36"/>
          <w:szCs w:val="36"/>
          <w:highlight w:val="none"/>
        </w:rPr>
      </w:r>
      <w:r/>
    </w:p>
    <w:p>
      <w:pPr>
        <w:jc w:val="left"/>
        <w:spacing w:line="360" w:lineRule="auto"/>
        <w:tabs>
          <w:tab w:val="left" w:pos="2775" w:leader="none"/>
          <w:tab w:val="center" w:pos="4153" w:leader="none"/>
        </w:tabs>
        <w:rPr>
          <w:b/>
          <w:sz w:val="36"/>
          <w:szCs w:val="36"/>
          <w:highlight w:val="none"/>
        </w:rPr>
      </w:pPr>
      <w:r>
        <w:rPr>
          <w:b/>
          <w:sz w:val="36"/>
          <w:szCs w:val="36"/>
          <w:highlight w:val="none"/>
        </w:rPr>
      </w:r>
      <w:r/>
    </w:p>
    <w:p>
      <w:pPr>
        <w:jc w:val="left"/>
        <w:spacing w:line="360" w:lineRule="auto"/>
        <w:tabs>
          <w:tab w:val="left" w:pos="2775" w:leader="none"/>
          <w:tab w:val="center" w:pos="4153" w:leader="none"/>
        </w:tabs>
        <w:rPr>
          <w:b/>
          <w:sz w:val="36"/>
          <w:szCs w:val="36"/>
          <w:highlight w:val="none"/>
        </w:rPr>
      </w:pPr>
      <w:r>
        <w:rPr>
          <w:b/>
          <w:sz w:val="36"/>
          <w:szCs w:val="36"/>
          <w:highlight w:val="none"/>
        </w:rPr>
      </w:r>
      <w:r/>
    </w:p>
    <w:p>
      <w:pPr>
        <w:rPr>
          <w:rFonts w:hint="eastAsia"/>
          <w:b/>
          <w:bCs/>
          <w:sz w:val="24"/>
          <w:szCs w:val="20"/>
          <w:highlight w:val="none"/>
          <w:lang w:val="en-US" w:eastAsia="zh-CN"/>
        </w:rPr>
      </w:pPr>
      <w:r>
        <w:rPr>
          <w:rFonts w:hint="eastAsia"/>
          <w:b/>
          <w:bCs/>
          <w:sz w:val="24"/>
          <w:szCs w:val="20"/>
          <w:highlight w:val="none"/>
          <w:lang w:val="en-US" w:eastAsia="zh-CN"/>
        </w:rPr>
        <w:br w:type="page" w:clear="all"/>
      </w:r>
      <w:r/>
    </w:p>
    <w:p>
      <w:pPr>
        <w:jc w:val="left"/>
        <w:widowControl/>
        <w:rPr>
          <w:rFonts w:hint="eastAsia"/>
          <w:b/>
          <w:bCs/>
          <w:sz w:val="24"/>
          <w:szCs w:val="20"/>
          <w:highlight w:val="none"/>
          <w:lang w:val="en-US" w:eastAsia="zh-CN"/>
        </w:rPr>
      </w:pPr>
      <w:r>
        <w:rPr>
          <w:rFonts w:hint="eastAsia"/>
          <w:b/>
          <w:bCs/>
          <w:sz w:val="24"/>
          <w:szCs w:val="20"/>
          <w:highlight w:val="none"/>
          <w:lang w:val="en-US" w:eastAsia="zh-CN"/>
        </w:rPr>
        <w:t xml:space="preserve">14标段：</w:t>
      </w:r>
      <w:r/>
    </w:p>
    <w:p>
      <w:pPr>
        <w:jc w:val="left"/>
        <w:widowControl/>
        <w:rPr>
          <w:sz w:val="24"/>
          <w:szCs w:val="20"/>
          <w:highlight w:val="none"/>
        </w:rPr>
      </w:pPr>
      <w:r>
        <w:rPr>
          <w:rFonts w:hint="eastAsia"/>
          <w:sz w:val="24"/>
          <w:szCs w:val="20"/>
          <w:highlight w:val="none"/>
        </w:rPr>
        <w:t xml:space="preserve">项目名称：</w:t>
      </w:r>
      <w:r>
        <w:rPr>
          <w:rFonts w:hint="eastAsia"/>
          <w:sz w:val="24"/>
          <w:szCs w:val="20"/>
          <w:highlight w:val="none"/>
          <w:lang w:eastAsia="zh-CN"/>
        </w:rPr>
        <w:t xml:space="preserve">2026年园区绿化养护项目</w:t>
      </w:r>
      <w:r>
        <w:rPr>
          <w:rFonts w:hint="eastAsia"/>
          <w:sz w:val="24"/>
          <w:szCs w:val="20"/>
          <w:highlight w:val="none"/>
        </w:rPr>
        <w:t xml:space="preserve">（</w:t>
      </w:r>
      <w:r>
        <w:rPr>
          <w:rFonts w:hint="eastAsia"/>
          <w:sz w:val="24"/>
          <w:szCs w:val="20"/>
          <w:highlight w:val="none"/>
          <w:lang w:val="en-US" w:eastAsia="zh-CN"/>
        </w:rPr>
        <w:t xml:space="preserve">14</w:t>
      </w:r>
      <w:r>
        <w:rPr>
          <w:rFonts w:hint="eastAsia"/>
          <w:sz w:val="24"/>
          <w:szCs w:val="20"/>
          <w:highlight w:val="none"/>
        </w:rPr>
        <w:t xml:space="preserve">标段）</w:t>
      </w:r>
      <w:r/>
    </w:p>
    <w:p>
      <w:pPr>
        <w:jc w:val="left"/>
        <w:widowControl/>
        <w:rPr>
          <w:rFonts w:hint="default"/>
          <w:b/>
          <w:sz w:val="36"/>
          <w:szCs w:val="36"/>
          <w:highlight w:val="none"/>
          <w:lang w:val="en-US" w:eastAsia="zh-CN"/>
        </w:rPr>
      </w:pPr>
      <w:r>
        <w:rPr>
          <w:rFonts w:hint="eastAsia"/>
          <w:sz w:val="24"/>
          <w:szCs w:val="20"/>
          <w:highlight w:val="none"/>
        </w:rPr>
        <w:t xml:space="preserve">项目编号/包号：                    报价单位：人民币元</w:t>
      </w:r>
      <w:r/>
    </w:p>
    <w:tbl>
      <w:tblPr>
        <w:tblStyle w:val="83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836"/>
        <w:gridCol w:w="3483"/>
        <w:gridCol w:w="1279"/>
        <w:gridCol w:w="1263"/>
        <w:gridCol w:w="1249"/>
      </w:tblGrid>
      <w:tr>
        <w:trPr>
          <w:trHeight w:val="454"/>
        </w:trPr>
        <w:tc>
          <w:tcPr>
            <w:tcW w:w="375" w:type="pct"/>
            <w:vAlign w:val="center"/>
            <w:textDirection w:val="lrTb"/>
            <w:noWrap w:val="false"/>
          </w:tcPr>
          <w:p>
            <w:pPr>
              <w:jc w:val="center"/>
              <w:rPr>
                <w:rFonts w:hint="eastAsia" w:ascii="宋体" w:hAnsi="宋体" w:eastAsia="宋体" w:cs="宋体"/>
                <w:b/>
                <w:bCs/>
                <w:spacing w:val="-6"/>
                <w:sz w:val="24"/>
                <w:szCs w:val="24"/>
                <w:highlight w:val="none"/>
                <w:lang w:val="en-US" w:eastAsia="zh-CN" w:bidi="ar-SA"/>
              </w:rPr>
            </w:pPr>
            <w:r>
              <w:rPr>
                <w:rFonts w:hint="eastAsia" w:ascii="宋体" w:hAnsi="宋体" w:eastAsia="宋体" w:cs="宋体"/>
                <w:b/>
                <w:bCs/>
                <w:spacing w:val="-6"/>
                <w:sz w:val="24"/>
                <w:szCs w:val="24"/>
                <w:highlight w:val="none"/>
                <w:lang w:val="en-US" w:eastAsia="zh-CN" w:bidi="ar-SA"/>
              </w:rPr>
              <w:t xml:space="preserve">序号</w:t>
            </w:r>
            <w:r/>
          </w:p>
        </w:tc>
        <w:tc>
          <w:tcPr>
            <w:tcW w:w="932" w:type="pct"/>
            <w:vAlign w:val="center"/>
            <w:textDirection w:val="lrTb"/>
            <w:noWrap w:val="false"/>
          </w:tcPr>
          <w:p>
            <w:pPr>
              <w:jc w:val="center"/>
              <w:rPr>
                <w:rFonts w:hint="eastAsia" w:ascii="宋体" w:hAnsi="宋体" w:eastAsia="宋体" w:cs="宋体"/>
                <w:b/>
                <w:bCs/>
                <w:spacing w:val="-6"/>
                <w:sz w:val="24"/>
                <w:szCs w:val="24"/>
                <w:highlight w:val="none"/>
                <w:lang w:val="en-US" w:eastAsia="zh-CN" w:bidi="ar-SA"/>
              </w:rPr>
            </w:pPr>
            <w:r>
              <w:rPr>
                <w:rFonts w:hint="eastAsia" w:ascii="宋体" w:hAnsi="宋体" w:eastAsia="宋体" w:cs="宋体"/>
                <w:b/>
                <w:bCs/>
                <w:spacing w:val="-6"/>
                <w:sz w:val="24"/>
                <w:szCs w:val="24"/>
                <w:highlight w:val="none"/>
                <w:lang w:val="en-US" w:eastAsia="zh-CN" w:bidi="ar-SA"/>
              </w:rPr>
              <w:t xml:space="preserve">分项名称</w:t>
            </w:r>
            <w:r/>
          </w:p>
        </w:tc>
        <w:tc>
          <w:tcPr>
            <w:tcW w:w="1768" w:type="pct"/>
            <w:vAlign w:val="center"/>
            <w:textDirection w:val="lrTb"/>
            <w:noWrap w:val="false"/>
          </w:tcPr>
          <w:p>
            <w:pPr>
              <w:jc w:val="center"/>
              <w:rPr>
                <w:rFonts w:hint="eastAsia" w:ascii="宋体" w:hAnsi="宋体" w:eastAsia="宋体" w:cs="宋体"/>
                <w:b/>
                <w:bCs/>
                <w:spacing w:val="-6"/>
                <w:sz w:val="24"/>
                <w:szCs w:val="24"/>
                <w:highlight w:val="none"/>
                <w:lang w:val="en-US" w:eastAsia="zh-CN" w:bidi="ar-SA"/>
              </w:rPr>
            </w:pPr>
            <w:r>
              <w:rPr>
                <w:rFonts w:hint="eastAsia" w:ascii="宋体" w:hAnsi="宋体" w:eastAsia="宋体" w:cs="宋体"/>
                <w:b/>
                <w:bCs/>
                <w:spacing w:val="-6"/>
                <w:sz w:val="24"/>
                <w:szCs w:val="24"/>
                <w:highlight w:val="none"/>
                <w:lang w:val="en-US" w:eastAsia="zh-CN" w:bidi="ar-SA"/>
              </w:rPr>
              <w:t xml:space="preserve">服务内容</w:t>
            </w:r>
            <w:r/>
          </w:p>
        </w:tc>
        <w:tc>
          <w:tcPr>
            <w:tcW w:w="649" w:type="pct"/>
            <w:vAlign w:val="center"/>
            <w:textDirection w:val="lrTb"/>
            <w:noWrap w:val="false"/>
          </w:tcPr>
          <w:p>
            <w:pPr>
              <w:jc w:val="center"/>
              <w:rPr>
                <w:rFonts w:hint="eastAsia" w:ascii="宋体" w:hAnsi="宋体" w:eastAsia="宋体" w:cs="宋体"/>
                <w:b/>
                <w:bCs/>
                <w:spacing w:val="-6"/>
                <w:sz w:val="24"/>
                <w:szCs w:val="24"/>
                <w:highlight w:val="none"/>
                <w:lang w:val="en-US" w:eastAsia="zh-CN" w:bidi="ar-SA"/>
              </w:rPr>
            </w:pPr>
            <w:r>
              <w:rPr>
                <w:rFonts w:hint="eastAsia" w:ascii="宋体" w:hAnsi="宋体" w:eastAsia="宋体" w:cs="宋体"/>
                <w:b/>
                <w:bCs/>
                <w:spacing w:val="-6"/>
                <w:sz w:val="24"/>
                <w:szCs w:val="24"/>
                <w:highlight w:val="none"/>
                <w:lang w:val="en-US" w:eastAsia="zh-CN" w:bidi="ar-SA"/>
              </w:rPr>
              <w:t xml:space="preserve">数量（㎡）</w:t>
            </w:r>
            <w:r/>
          </w:p>
        </w:tc>
        <w:tc>
          <w:tcPr>
            <w:tcW w:w="639" w:type="pct"/>
            <w:vAlign w:val="center"/>
            <w:textDirection w:val="lrTb"/>
            <w:noWrap w:val="false"/>
          </w:tcPr>
          <w:p>
            <w:pPr>
              <w:jc w:val="center"/>
              <w:rPr>
                <w:rFonts w:hint="eastAsia" w:ascii="宋体" w:hAnsi="宋体" w:eastAsia="宋体" w:cs="宋体"/>
                <w:b/>
                <w:bCs/>
                <w:spacing w:val="-6"/>
                <w:sz w:val="24"/>
                <w:szCs w:val="24"/>
                <w:highlight w:val="none"/>
                <w:lang w:val="en-US" w:eastAsia="zh-CN" w:bidi="ar-SA"/>
              </w:rPr>
            </w:pPr>
            <w:r>
              <w:rPr>
                <w:rFonts w:hint="eastAsia" w:ascii="宋体" w:hAnsi="宋体" w:eastAsia="宋体" w:cs="宋体"/>
                <w:b/>
                <w:bCs/>
                <w:spacing w:val="-6"/>
                <w:sz w:val="24"/>
                <w:szCs w:val="24"/>
                <w:highlight w:val="none"/>
                <w:lang w:val="en-US" w:eastAsia="zh-CN" w:bidi="ar-SA"/>
              </w:rPr>
              <w:t xml:space="preserve">单价（元）</w:t>
            </w:r>
            <w:r/>
          </w:p>
        </w:tc>
        <w:tc>
          <w:tcPr>
            <w:tcW w:w="634" w:type="pct"/>
            <w:vAlign w:val="center"/>
            <w:textDirection w:val="lrTb"/>
            <w:noWrap w:val="false"/>
          </w:tcPr>
          <w:p>
            <w:pPr>
              <w:jc w:val="center"/>
              <w:rPr>
                <w:rFonts w:hint="eastAsia" w:ascii="宋体" w:hAnsi="宋体" w:eastAsia="宋体" w:cs="宋体"/>
                <w:b/>
                <w:bCs/>
                <w:spacing w:val="-6"/>
                <w:sz w:val="24"/>
                <w:szCs w:val="24"/>
                <w:highlight w:val="none"/>
                <w:lang w:val="en-US" w:eastAsia="zh-CN" w:bidi="ar-SA"/>
              </w:rPr>
            </w:pPr>
            <w:r>
              <w:rPr>
                <w:rFonts w:hint="eastAsia" w:ascii="宋体" w:hAnsi="宋体" w:eastAsia="宋体" w:cs="宋体"/>
                <w:b/>
                <w:bCs/>
                <w:spacing w:val="-6"/>
                <w:sz w:val="24"/>
                <w:szCs w:val="24"/>
                <w:highlight w:val="none"/>
                <w:lang w:val="en-US" w:eastAsia="zh-CN" w:bidi="ar-SA"/>
              </w:rPr>
              <w:t xml:space="preserve">合价（元）</w:t>
            </w:r>
            <w:r/>
          </w:p>
        </w:tc>
      </w:tr>
      <w:tr>
        <w:trPr>
          <w:trHeight w:val="454"/>
        </w:trPr>
        <w:tc>
          <w:tcPr>
            <w:tcW w:w="375" w:type="pct"/>
            <w:vAlign w:val="center"/>
            <w:textDirection w:val="lrTb"/>
            <w:noWrap w:val="false"/>
          </w:tcPr>
          <w:p>
            <w:pPr>
              <w:jc w:val="center"/>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1</w:t>
            </w:r>
            <w:r/>
          </w:p>
        </w:tc>
        <w:tc>
          <w:tcPr>
            <w:tcW w:w="932" w:type="pct"/>
            <w:vAlign w:val="center"/>
            <w:textDirection w:val="lrTb"/>
            <w:noWrap w:val="false"/>
          </w:tcPr>
          <w:p>
            <w:pPr>
              <w:jc w:val="center"/>
              <w:rPr>
                <w:rFonts w:hint="default"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绿雕换草施工</w:t>
            </w:r>
            <w:r/>
          </w:p>
        </w:tc>
        <w:tc>
          <w:tcPr>
            <w:tcW w:w="1768" w:type="pct"/>
            <w:vAlign w:val="center"/>
            <w:textDirection w:val="lrTb"/>
            <w:noWrap w:val="false"/>
          </w:tcPr>
          <w:p>
            <w:pPr>
              <w:jc w:val="center"/>
              <w:rPr>
                <w:rFonts w:hint="default"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中关村互通处施工2次</w:t>
            </w:r>
            <w:r/>
          </w:p>
        </w:tc>
        <w:tc>
          <w:tcPr>
            <w:tcW w:w="649" w:type="pct"/>
            <w:vAlign w:val="center"/>
            <w:textDirection w:val="lrTb"/>
            <w:noWrap w:val="false"/>
          </w:tcPr>
          <w:p>
            <w:pPr>
              <w:jc w:val="center"/>
              <w:rPr>
                <w:rFonts w:hint="default"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323</w:t>
            </w:r>
            <w:r/>
          </w:p>
        </w:tc>
        <w:tc>
          <w:tcPr>
            <w:tcW w:w="639" w:type="pct"/>
            <w:vAlign w:val="center"/>
            <w:textDirection w:val="lrTb"/>
            <w:noWrap w:val="false"/>
          </w:tcPr>
          <w:p>
            <w:pPr>
              <w:jc w:val="center"/>
              <w:rPr>
                <w:rFonts w:ascii="宋体" w:hAnsi="宋体" w:eastAsia="宋体" w:cs="宋体"/>
                <w:spacing w:val="-6"/>
                <w:sz w:val="24"/>
                <w:szCs w:val="24"/>
                <w:highlight w:val="none"/>
                <w:lang w:val="en-US" w:eastAsia="en-US" w:bidi="ar-SA"/>
              </w:rPr>
            </w:pPr>
            <w:r>
              <w:rPr>
                <w:rFonts w:ascii="宋体" w:hAnsi="宋体" w:eastAsia="宋体" w:cs="宋体"/>
                <w:spacing w:val="-6"/>
                <w:sz w:val="24"/>
                <w:szCs w:val="24"/>
                <w:highlight w:val="none"/>
                <w:lang w:val="en-US" w:eastAsia="en-US" w:bidi="ar-SA"/>
              </w:rPr>
            </w:r>
            <w:r/>
          </w:p>
        </w:tc>
        <w:tc>
          <w:tcPr>
            <w:tcW w:w="634" w:type="pct"/>
            <w:vAlign w:val="center"/>
            <w:textDirection w:val="lrTb"/>
            <w:noWrap w:val="false"/>
          </w:tcPr>
          <w:p>
            <w:pPr>
              <w:jc w:val="center"/>
              <w:rPr>
                <w:rFonts w:ascii="Calibri" w:hAnsi="Calibri" w:eastAsia="宋体" w:cs="Times New Roman"/>
                <w:highlight w:val="none"/>
                <w:vertAlign w:val="baseline"/>
              </w:rPr>
            </w:pPr>
            <w:r>
              <w:rPr>
                <w:rFonts w:ascii="Calibri" w:hAnsi="Calibri" w:eastAsia="宋体" w:cs="Times New Roman"/>
                <w:highlight w:val="none"/>
                <w:vertAlign w:val="baseline"/>
              </w:rPr>
            </w:r>
            <w:r/>
          </w:p>
        </w:tc>
      </w:tr>
      <w:tr>
        <w:trPr>
          <w:trHeight w:val="454"/>
        </w:trPr>
        <w:tc>
          <w:tcPr>
            <w:tcW w:w="375" w:type="pct"/>
            <w:vAlign w:val="center"/>
            <w:textDirection w:val="lrTb"/>
            <w:noWrap w:val="false"/>
          </w:tcPr>
          <w:p>
            <w:pPr>
              <w:jc w:val="center"/>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2</w:t>
            </w:r>
            <w:r/>
          </w:p>
        </w:tc>
        <w:tc>
          <w:tcPr>
            <w:tcW w:w="932" w:type="pct"/>
            <w:vAlign w:val="center"/>
            <w:textDirection w:val="lrTb"/>
            <w:noWrap w:val="false"/>
          </w:tcPr>
          <w:p>
            <w:pPr>
              <w:jc w:val="center"/>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绿雕换草施工</w:t>
            </w:r>
            <w:r/>
          </w:p>
        </w:tc>
        <w:tc>
          <w:tcPr>
            <w:tcW w:w="1768" w:type="pct"/>
            <w:vAlign w:val="center"/>
            <w:textDirection w:val="lrTb"/>
            <w:noWrap w:val="false"/>
          </w:tcPr>
          <w:p>
            <w:pPr>
              <w:jc w:val="center"/>
              <w:rPr>
                <w:rFonts w:hint="default"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锂享广场罗马柱绿雕施工2次</w:t>
            </w:r>
            <w:r/>
          </w:p>
        </w:tc>
        <w:tc>
          <w:tcPr>
            <w:tcW w:w="649" w:type="pct"/>
            <w:vAlign w:val="center"/>
            <w:textDirection w:val="lrTb"/>
            <w:noWrap w:val="false"/>
          </w:tcPr>
          <w:p>
            <w:pPr>
              <w:jc w:val="center"/>
              <w:rPr>
                <w:rFonts w:hint="default"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160</w:t>
            </w:r>
            <w:r/>
          </w:p>
        </w:tc>
        <w:tc>
          <w:tcPr>
            <w:tcW w:w="639" w:type="pct"/>
            <w:vAlign w:val="center"/>
            <w:textDirection w:val="lrTb"/>
            <w:noWrap w:val="false"/>
          </w:tcPr>
          <w:p>
            <w:pPr>
              <w:jc w:val="center"/>
              <w:rPr>
                <w:rFonts w:ascii="宋体" w:hAnsi="宋体" w:eastAsia="宋体" w:cs="宋体"/>
                <w:spacing w:val="-6"/>
                <w:sz w:val="24"/>
                <w:szCs w:val="24"/>
                <w:highlight w:val="none"/>
                <w:lang w:val="en-US" w:eastAsia="en-US" w:bidi="ar-SA"/>
              </w:rPr>
            </w:pPr>
            <w:r>
              <w:rPr>
                <w:rFonts w:ascii="宋体" w:hAnsi="宋体" w:eastAsia="宋体" w:cs="宋体"/>
                <w:spacing w:val="-6"/>
                <w:sz w:val="24"/>
                <w:szCs w:val="24"/>
                <w:highlight w:val="none"/>
                <w:lang w:val="en-US" w:eastAsia="en-US" w:bidi="ar-SA"/>
              </w:rPr>
            </w:r>
            <w:r/>
          </w:p>
        </w:tc>
        <w:tc>
          <w:tcPr>
            <w:tcW w:w="634" w:type="pct"/>
            <w:vAlign w:val="center"/>
            <w:textDirection w:val="lrTb"/>
            <w:noWrap w:val="false"/>
          </w:tcPr>
          <w:p>
            <w:pPr>
              <w:jc w:val="center"/>
              <w:rPr>
                <w:rFonts w:ascii="Calibri" w:hAnsi="Calibri" w:eastAsia="宋体" w:cs="Times New Roman"/>
                <w:highlight w:val="none"/>
                <w:vertAlign w:val="baseline"/>
              </w:rPr>
            </w:pPr>
            <w:r>
              <w:rPr>
                <w:rFonts w:ascii="Calibri" w:hAnsi="Calibri" w:eastAsia="宋体" w:cs="Times New Roman"/>
                <w:highlight w:val="none"/>
                <w:vertAlign w:val="baseline"/>
              </w:rPr>
            </w:r>
            <w:r/>
          </w:p>
        </w:tc>
      </w:tr>
      <w:tr>
        <w:trPr>
          <w:trHeight w:val="454"/>
        </w:trPr>
        <w:tc>
          <w:tcPr>
            <w:tcW w:w="375" w:type="pct"/>
            <w:vAlign w:val="center"/>
            <w:textDirection w:val="lrTb"/>
            <w:noWrap w:val="false"/>
          </w:tcPr>
          <w:p>
            <w:pPr>
              <w:jc w:val="center"/>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3</w:t>
            </w:r>
            <w:r/>
          </w:p>
        </w:tc>
        <w:tc>
          <w:tcPr>
            <w:tcW w:w="932" w:type="pct"/>
            <w:vAlign w:val="center"/>
            <w:textDirection w:val="lrTb"/>
            <w:noWrap w:val="false"/>
          </w:tcPr>
          <w:p>
            <w:pPr>
              <w:jc w:val="center"/>
              <w:rPr>
                <w:rFonts w:ascii="宋体" w:hAnsi="宋体" w:eastAsia="宋体" w:cs="宋体"/>
                <w:spacing w:val="-6"/>
                <w:sz w:val="24"/>
                <w:szCs w:val="24"/>
                <w:highlight w:val="none"/>
                <w:lang w:val="en-US" w:eastAsia="en-US" w:bidi="ar-SA"/>
              </w:rPr>
            </w:pPr>
            <w:r>
              <w:rPr>
                <w:rFonts w:hint="eastAsia" w:ascii="宋体" w:hAnsi="宋体" w:eastAsia="宋体" w:cs="宋体"/>
                <w:spacing w:val="-6"/>
                <w:sz w:val="24"/>
                <w:szCs w:val="24"/>
                <w:highlight w:val="none"/>
                <w:lang w:val="en-US" w:eastAsia="zh-CN" w:bidi="ar-SA"/>
              </w:rPr>
              <w:t xml:space="preserve">绿雕换草施工</w:t>
            </w:r>
            <w:r/>
          </w:p>
        </w:tc>
        <w:tc>
          <w:tcPr>
            <w:tcW w:w="1768" w:type="pct"/>
            <w:vAlign w:val="center"/>
            <w:textDirection w:val="lrTb"/>
            <w:noWrap w:val="false"/>
          </w:tcPr>
          <w:p>
            <w:pPr>
              <w:jc w:val="center"/>
              <w:rPr>
                <w:rFonts w:hint="default"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锂享广场扬帆起航施工2次</w:t>
            </w:r>
            <w:r/>
          </w:p>
        </w:tc>
        <w:tc>
          <w:tcPr>
            <w:tcW w:w="649" w:type="pct"/>
            <w:vAlign w:val="center"/>
            <w:textDirection w:val="lrTb"/>
            <w:noWrap w:val="false"/>
          </w:tcPr>
          <w:p>
            <w:pPr>
              <w:jc w:val="center"/>
              <w:rPr>
                <w:rFonts w:hint="default"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177</w:t>
            </w:r>
            <w:r/>
          </w:p>
        </w:tc>
        <w:tc>
          <w:tcPr>
            <w:tcW w:w="639" w:type="pct"/>
            <w:vAlign w:val="center"/>
            <w:textDirection w:val="lrTb"/>
            <w:noWrap w:val="false"/>
          </w:tcPr>
          <w:p>
            <w:pPr>
              <w:jc w:val="center"/>
              <w:rPr>
                <w:rFonts w:ascii="宋体" w:hAnsi="宋体" w:eastAsia="宋体" w:cs="宋体"/>
                <w:spacing w:val="-6"/>
                <w:sz w:val="24"/>
                <w:szCs w:val="24"/>
                <w:highlight w:val="none"/>
                <w:lang w:val="en-US" w:eastAsia="en-US" w:bidi="ar-SA"/>
              </w:rPr>
            </w:pPr>
            <w:r>
              <w:rPr>
                <w:rFonts w:ascii="宋体" w:hAnsi="宋体" w:eastAsia="宋体" w:cs="宋体"/>
                <w:spacing w:val="-6"/>
                <w:sz w:val="24"/>
                <w:szCs w:val="24"/>
                <w:highlight w:val="none"/>
                <w:lang w:val="en-US" w:eastAsia="en-US" w:bidi="ar-SA"/>
              </w:rPr>
            </w:r>
            <w:r/>
          </w:p>
        </w:tc>
        <w:tc>
          <w:tcPr>
            <w:tcW w:w="634" w:type="pct"/>
            <w:vAlign w:val="center"/>
            <w:textDirection w:val="lrTb"/>
            <w:noWrap w:val="false"/>
          </w:tcPr>
          <w:p>
            <w:pPr>
              <w:jc w:val="center"/>
              <w:rPr>
                <w:rFonts w:ascii="Calibri" w:hAnsi="Calibri" w:eastAsia="宋体" w:cs="Times New Roman"/>
                <w:highlight w:val="none"/>
                <w:vertAlign w:val="baseline"/>
              </w:rPr>
            </w:pPr>
            <w:r>
              <w:rPr>
                <w:rFonts w:ascii="Calibri" w:hAnsi="Calibri" w:eastAsia="宋体" w:cs="Times New Roman"/>
                <w:highlight w:val="none"/>
                <w:vertAlign w:val="baseline"/>
              </w:rPr>
            </w:r>
            <w:r/>
          </w:p>
        </w:tc>
      </w:tr>
      <w:tr>
        <w:trPr>
          <w:trHeight w:val="454"/>
        </w:trPr>
        <w:tc>
          <w:tcPr>
            <w:tcW w:w="375" w:type="pct"/>
            <w:vAlign w:val="center"/>
            <w:textDirection w:val="lrTb"/>
            <w:noWrap w:val="false"/>
          </w:tcPr>
          <w:p>
            <w:pPr>
              <w:jc w:val="center"/>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4</w:t>
            </w:r>
            <w:r/>
          </w:p>
        </w:tc>
        <w:tc>
          <w:tcPr>
            <w:tcW w:w="932" w:type="pct"/>
            <w:vAlign w:val="center"/>
            <w:textDirection w:val="lrTb"/>
            <w:noWrap w:val="false"/>
          </w:tcPr>
          <w:p>
            <w:pPr>
              <w:jc w:val="center"/>
              <w:rPr>
                <w:rFonts w:hint="default" w:ascii="宋体" w:hAnsi="宋体" w:eastAsia="宋体" w:cs="宋体"/>
                <w:spacing w:val="-6"/>
                <w:sz w:val="24"/>
                <w:szCs w:val="24"/>
                <w:highlight w:val="none"/>
                <w:lang w:val="en-US" w:eastAsia="en-US" w:bidi="ar-SA"/>
              </w:rPr>
            </w:pPr>
            <w:r>
              <w:rPr>
                <w:rFonts w:hint="eastAsia" w:ascii="宋体" w:hAnsi="宋体" w:eastAsia="宋体" w:cs="宋体"/>
                <w:spacing w:val="-6"/>
                <w:sz w:val="24"/>
                <w:szCs w:val="24"/>
                <w:highlight w:val="none"/>
                <w:lang w:val="en-US" w:eastAsia="zh-CN" w:bidi="ar-SA"/>
              </w:rPr>
              <w:t xml:space="preserve">绿雕全年养护</w:t>
            </w:r>
            <w:r/>
          </w:p>
        </w:tc>
        <w:tc>
          <w:tcPr>
            <w:tcW w:w="1768" w:type="pct"/>
            <w:vAlign w:val="center"/>
            <w:textDirection w:val="lrTb"/>
            <w:noWrap w:val="false"/>
          </w:tcPr>
          <w:p>
            <w:pPr>
              <w:jc w:val="center"/>
              <w:rPr>
                <w:rFonts w:hint="default"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中关村互通处养护1年</w:t>
            </w:r>
            <w:r/>
          </w:p>
        </w:tc>
        <w:tc>
          <w:tcPr>
            <w:tcW w:w="649" w:type="pct"/>
            <w:vAlign w:val="center"/>
            <w:textDirection w:val="lrTb"/>
            <w:noWrap w:val="false"/>
          </w:tcPr>
          <w:p>
            <w:pPr>
              <w:jc w:val="center"/>
              <w:rPr>
                <w:rFonts w:hint="default"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323</w:t>
            </w:r>
            <w:r/>
          </w:p>
        </w:tc>
        <w:tc>
          <w:tcPr>
            <w:tcW w:w="639" w:type="pct"/>
            <w:vAlign w:val="center"/>
            <w:textDirection w:val="lrTb"/>
            <w:noWrap w:val="false"/>
          </w:tcPr>
          <w:p>
            <w:pPr>
              <w:jc w:val="center"/>
              <w:rPr>
                <w:rFonts w:ascii="宋体" w:hAnsi="宋体" w:eastAsia="宋体" w:cs="宋体"/>
                <w:spacing w:val="-6"/>
                <w:sz w:val="24"/>
                <w:szCs w:val="24"/>
                <w:highlight w:val="none"/>
                <w:lang w:val="en-US" w:eastAsia="en-US" w:bidi="ar-SA"/>
              </w:rPr>
            </w:pPr>
            <w:r>
              <w:rPr>
                <w:rFonts w:ascii="宋体" w:hAnsi="宋体" w:eastAsia="宋体" w:cs="宋体"/>
                <w:spacing w:val="-6"/>
                <w:sz w:val="24"/>
                <w:szCs w:val="24"/>
                <w:highlight w:val="none"/>
                <w:lang w:val="en-US" w:eastAsia="en-US" w:bidi="ar-SA"/>
              </w:rPr>
            </w:r>
            <w:r/>
          </w:p>
        </w:tc>
        <w:tc>
          <w:tcPr>
            <w:tcW w:w="634" w:type="pct"/>
            <w:vAlign w:val="center"/>
            <w:textDirection w:val="lrTb"/>
            <w:noWrap w:val="false"/>
          </w:tcPr>
          <w:p>
            <w:pPr>
              <w:jc w:val="center"/>
              <w:rPr>
                <w:rFonts w:ascii="Calibri" w:hAnsi="Calibri" w:eastAsia="宋体" w:cs="Times New Roman"/>
                <w:highlight w:val="none"/>
                <w:vertAlign w:val="baseline"/>
              </w:rPr>
            </w:pPr>
            <w:r>
              <w:rPr>
                <w:rFonts w:ascii="Calibri" w:hAnsi="Calibri" w:eastAsia="宋体" w:cs="Times New Roman"/>
                <w:highlight w:val="none"/>
                <w:vertAlign w:val="baseline"/>
              </w:rPr>
            </w:r>
            <w:r/>
          </w:p>
        </w:tc>
      </w:tr>
      <w:tr>
        <w:trPr>
          <w:trHeight w:val="454"/>
        </w:trPr>
        <w:tc>
          <w:tcPr>
            <w:tcW w:w="375" w:type="pct"/>
            <w:vAlign w:val="center"/>
            <w:textDirection w:val="lrTb"/>
            <w:noWrap w:val="false"/>
          </w:tcPr>
          <w:p>
            <w:pPr>
              <w:jc w:val="center"/>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5</w:t>
            </w:r>
            <w:r/>
          </w:p>
        </w:tc>
        <w:tc>
          <w:tcPr>
            <w:tcW w:w="932" w:type="pct"/>
            <w:vAlign w:val="center"/>
            <w:textDirection w:val="lrTb"/>
            <w:noWrap w:val="false"/>
          </w:tcPr>
          <w:p>
            <w:pPr>
              <w:jc w:val="center"/>
              <w:rPr>
                <w:rFonts w:ascii="宋体" w:hAnsi="宋体" w:eastAsia="宋体" w:cs="宋体"/>
                <w:spacing w:val="-6"/>
                <w:sz w:val="24"/>
                <w:szCs w:val="24"/>
                <w:highlight w:val="none"/>
                <w:lang w:val="en-US" w:eastAsia="en-US" w:bidi="ar-SA"/>
              </w:rPr>
            </w:pPr>
            <w:r>
              <w:rPr>
                <w:rFonts w:hint="eastAsia" w:ascii="宋体" w:hAnsi="宋体" w:eastAsia="宋体" w:cs="宋体"/>
                <w:spacing w:val="-6"/>
                <w:sz w:val="24"/>
                <w:szCs w:val="24"/>
                <w:highlight w:val="none"/>
                <w:lang w:val="en-US" w:eastAsia="zh-CN" w:bidi="ar-SA"/>
              </w:rPr>
              <w:t xml:space="preserve">绿雕全年养护</w:t>
            </w:r>
            <w:r/>
          </w:p>
        </w:tc>
        <w:tc>
          <w:tcPr>
            <w:tcW w:w="1768" w:type="pct"/>
            <w:vAlign w:val="center"/>
            <w:textDirection w:val="lrTb"/>
            <w:noWrap w:val="false"/>
          </w:tcPr>
          <w:p>
            <w:pPr>
              <w:jc w:val="center"/>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锂享广场罗马柱绿雕养护1年</w:t>
            </w:r>
            <w:r/>
          </w:p>
        </w:tc>
        <w:tc>
          <w:tcPr>
            <w:tcW w:w="649" w:type="pct"/>
            <w:vAlign w:val="center"/>
            <w:textDirection w:val="lrTb"/>
            <w:noWrap w:val="false"/>
          </w:tcPr>
          <w:p>
            <w:pPr>
              <w:jc w:val="center"/>
              <w:rPr>
                <w:rFonts w:hint="default"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160</w:t>
            </w:r>
            <w:r/>
          </w:p>
        </w:tc>
        <w:tc>
          <w:tcPr>
            <w:tcW w:w="639" w:type="pct"/>
            <w:vAlign w:val="center"/>
            <w:textDirection w:val="lrTb"/>
            <w:noWrap w:val="false"/>
          </w:tcPr>
          <w:p>
            <w:pPr>
              <w:jc w:val="center"/>
              <w:rPr>
                <w:rFonts w:ascii="宋体" w:hAnsi="宋体" w:eastAsia="宋体" w:cs="宋体"/>
                <w:spacing w:val="-6"/>
                <w:sz w:val="24"/>
                <w:szCs w:val="24"/>
                <w:highlight w:val="none"/>
                <w:lang w:val="en-US" w:eastAsia="en-US" w:bidi="ar-SA"/>
              </w:rPr>
            </w:pPr>
            <w:r>
              <w:rPr>
                <w:rFonts w:ascii="宋体" w:hAnsi="宋体" w:eastAsia="宋体" w:cs="宋体"/>
                <w:spacing w:val="-6"/>
                <w:sz w:val="24"/>
                <w:szCs w:val="24"/>
                <w:highlight w:val="none"/>
                <w:lang w:val="en-US" w:eastAsia="en-US" w:bidi="ar-SA"/>
              </w:rPr>
            </w:r>
            <w:r/>
          </w:p>
        </w:tc>
        <w:tc>
          <w:tcPr>
            <w:tcW w:w="634" w:type="pct"/>
            <w:vAlign w:val="center"/>
            <w:textDirection w:val="lrTb"/>
            <w:noWrap w:val="false"/>
          </w:tcPr>
          <w:p>
            <w:pPr>
              <w:jc w:val="center"/>
              <w:rPr>
                <w:rFonts w:ascii="Calibri" w:hAnsi="Calibri" w:eastAsia="宋体" w:cs="Times New Roman"/>
                <w:highlight w:val="none"/>
                <w:vertAlign w:val="baseline"/>
              </w:rPr>
            </w:pPr>
            <w:r>
              <w:rPr>
                <w:rFonts w:ascii="Calibri" w:hAnsi="Calibri" w:eastAsia="宋体" w:cs="Times New Roman"/>
                <w:highlight w:val="none"/>
                <w:vertAlign w:val="baseline"/>
              </w:rPr>
            </w:r>
            <w:r/>
          </w:p>
        </w:tc>
      </w:tr>
      <w:tr>
        <w:trPr>
          <w:trHeight w:val="454"/>
        </w:trPr>
        <w:tc>
          <w:tcPr>
            <w:tcW w:w="375" w:type="pct"/>
            <w:vAlign w:val="center"/>
            <w:textDirection w:val="lrTb"/>
            <w:noWrap w:val="false"/>
          </w:tcPr>
          <w:p>
            <w:pPr>
              <w:jc w:val="center"/>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6</w:t>
            </w:r>
            <w:r/>
          </w:p>
        </w:tc>
        <w:tc>
          <w:tcPr>
            <w:tcW w:w="932" w:type="pct"/>
            <w:vAlign w:val="center"/>
            <w:textDirection w:val="lrTb"/>
            <w:noWrap w:val="false"/>
          </w:tcPr>
          <w:p>
            <w:pPr>
              <w:jc w:val="center"/>
              <w:rPr>
                <w:rFonts w:ascii="宋体" w:hAnsi="宋体" w:eastAsia="宋体" w:cs="宋体"/>
                <w:spacing w:val="-6"/>
                <w:sz w:val="24"/>
                <w:szCs w:val="24"/>
                <w:highlight w:val="none"/>
                <w:lang w:val="en-US" w:eastAsia="en-US" w:bidi="ar-SA"/>
              </w:rPr>
            </w:pPr>
            <w:r>
              <w:rPr>
                <w:rFonts w:hint="eastAsia" w:ascii="宋体" w:hAnsi="宋体" w:eastAsia="宋体" w:cs="宋体"/>
                <w:spacing w:val="-6"/>
                <w:sz w:val="24"/>
                <w:szCs w:val="24"/>
                <w:highlight w:val="none"/>
                <w:lang w:val="en-US" w:eastAsia="zh-CN" w:bidi="ar-SA"/>
              </w:rPr>
              <w:t xml:space="preserve">绿雕全年养护</w:t>
            </w:r>
            <w:r/>
          </w:p>
        </w:tc>
        <w:tc>
          <w:tcPr>
            <w:tcW w:w="1768" w:type="pct"/>
            <w:vAlign w:val="center"/>
            <w:textDirection w:val="lrTb"/>
            <w:noWrap w:val="false"/>
          </w:tcPr>
          <w:p>
            <w:pPr>
              <w:jc w:val="center"/>
              <w:rPr>
                <w:rFonts w:ascii="宋体" w:hAnsi="宋体" w:eastAsia="宋体" w:cs="宋体"/>
                <w:spacing w:val="-6"/>
                <w:sz w:val="24"/>
                <w:szCs w:val="24"/>
                <w:highlight w:val="none"/>
                <w:lang w:val="en-US" w:eastAsia="en-US" w:bidi="ar-SA"/>
              </w:rPr>
            </w:pPr>
            <w:r>
              <w:rPr>
                <w:rFonts w:hint="eastAsia" w:ascii="宋体" w:hAnsi="宋体" w:eastAsia="宋体" w:cs="宋体"/>
                <w:spacing w:val="-6"/>
                <w:sz w:val="24"/>
                <w:szCs w:val="24"/>
                <w:highlight w:val="none"/>
                <w:lang w:val="en-US" w:eastAsia="zh-CN" w:bidi="ar-SA"/>
              </w:rPr>
              <w:t xml:space="preserve">锂享广场扬帆起航养护1年</w:t>
            </w:r>
            <w:r/>
          </w:p>
        </w:tc>
        <w:tc>
          <w:tcPr>
            <w:tcW w:w="649" w:type="pct"/>
            <w:vAlign w:val="center"/>
            <w:textDirection w:val="lrTb"/>
            <w:noWrap w:val="false"/>
          </w:tcPr>
          <w:p>
            <w:pPr>
              <w:jc w:val="center"/>
              <w:rPr>
                <w:rFonts w:hint="default"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177</w:t>
            </w:r>
            <w:r/>
          </w:p>
        </w:tc>
        <w:tc>
          <w:tcPr>
            <w:tcW w:w="639" w:type="pct"/>
            <w:vAlign w:val="center"/>
            <w:textDirection w:val="lrTb"/>
            <w:noWrap w:val="false"/>
          </w:tcPr>
          <w:p>
            <w:pPr>
              <w:jc w:val="center"/>
              <w:rPr>
                <w:rFonts w:ascii="宋体" w:hAnsi="宋体" w:eastAsia="宋体" w:cs="宋体"/>
                <w:spacing w:val="-6"/>
                <w:sz w:val="24"/>
                <w:szCs w:val="24"/>
                <w:highlight w:val="none"/>
                <w:lang w:val="en-US" w:eastAsia="en-US" w:bidi="ar-SA"/>
              </w:rPr>
            </w:pPr>
            <w:r>
              <w:rPr>
                <w:rFonts w:ascii="宋体" w:hAnsi="宋体" w:eastAsia="宋体" w:cs="宋体"/>
                <w:spacing w:val="-6"/>
                <w:sz w:val="24"/>
                <w:szCs w:val="24"/>
                <w:highlight w:val="none"/>
                <w:lang w:val="en-US" w:eastAsia="en-US" w:bidi="ar-SA"/>
              </w:rPr>
            </w:r>
            <w:r/>
          </w:p>
        </w:tc>
        <w:tc>
          <w:tcPr>
            <w:tcW w:w="634" w:type="pct"/>
            <w:vAlign w:val="center"/>
            <w:textDirection w:val="lrTb"/>
            <w:noWrap w:val="false"/>
          </w:tcPr>
          <w:p>
            <w:pPr>
              <w:jc w:val="center"/>
              <w:rPr>
                <w:rFonts w:ascii="Calibri" w:hAnsi="Calibri" w:eastAsia="宋体" w:cs="Times New Roman"/>
                <w:highlight w:val="none"/>
                <w:vertAlign w:val="baseline"/>
              </w:rPr>
            </w:pPr>
            <w:r>
              <w:rPr>
                <w:rFonts w:ascii="Calibri" w:hAnsi="Calibri" w:eastAsia="宋体" w:cs="Times New Roman"/>
                <w:highlight w:val="none"/>
                <w:vertAlign w:val="baseline"/>
              </w:rPr>
            </w:r>
            <w:r/>
          </w:p>
        </w:tc>
      </w:tr>
      <w:tr>
        <w:trPr>
          <w:trHeight w:val="454"/>
        </w:trPr>
        <w:tc>
          <w:tcPr>
            <w:gridSpan w:val="5"/>
            <w:tcW w:w="4365" w:type="pct"/>
            <w:vAlign w:val="center"/>
            <w:textDirection w:val="lrTb"/>
            <w:noWrap w:val="false"/>
          </w:tcPr>
          <w:p>
            <w:pPr>
              <w:jc w:val="center"/>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总价</w:t>
            </w:r>
            <w:r/>
          </w:p>
        </w:tc>
        <w:tc>
          <w:tcPr>
            <w:tcW w:w="634" w:type="pct"/>
            <w:vAlign w:val="center"/>
            <w:textDirection w:val="lrTb"/>
            <w:noWrap w:val="false"/>
          </w:tcPr>
          <w:p>
            <w:pPr>
              <w:jc w:val="center"/>
              <w:rPr>
                <w:rFonts w:ascii="Calibri" w:hAnsi="Calibri" w:eastAsia="宋体" w:cs="Times New Roman"/>
                <w:highlight w:val="none"/>
                <w:vertAlign w:val="baseline"/>
              </w:rPr>
            </w:pPr>
            <w:r>
              <w:rPr>
                <w:rFonts w:ascii="Calibri" w:hAnsi="Calibri" w:eastAsia="宋体" w:cs="Times New Roman"/>
                <w:highlight w:val="none"/>
                <w:vertAlign w:val="baseline"/>
              </w:rPr>
            </w:r>
            <w:r/>
          </w:p>
        </w:tc>
      </w:tr>
    </w:tbl>
    <w:p>
      <w:pPr>
        <w:jc w:val="left"/>
        <w:widowControl/>
        <w:rPr>
          <w:sz w:val="24"/>
          <w:szCs w:val="20"/>
          <w:highlight w:val="none"/>
        </w:rPr>
      </w:pPr>
      <w:r>
        <w:rPr>
          <w:rFonts w:hint="eastAsia"/>
          <w:sz w:val="24"/>
          <w:szCs w:val="20"/>
          <w:highlight w:val="none"/>
        </w:rPr>
        <w:t xml:space="preserve">注：1.本表应按包分别填写。</w:t>
      </w:r>
      <w:r/>
    </w:p>
    <w:p>
      <w:pPr>
        <w:jc w:val="left"/>
        <w:widowControl/>
        <w:rPr>
          <w:rFonts w:hint="eastAsia"/>
          <w:sz w:val="24"/>
          <w:szCs w:val="20"/>
          <w:highlight w:val="none"/>
        </w:rPr>
      </w:pPr>
      <w:r>
        <w:rPr>
          <w:rFonts w:hint="eastAsia"/>
          <w:sz w:val="24"/>
          <w:szCs w:val="20"/>
          <w:highlight w:val="none"/>
        </w:rPr>
        <w:t xml:space="preserve">2.如果不提供分项报价将视为没有实质性响应招标文件。</w:t>
      </w:r>
      <w:r/>
    </w:p>
    <w:p>
      <w:pPr>
        <w:jc w:val="left"/>
        <w:widowControl/>
        <w:rPr>
          <w:rFonts w:hint="eastAsia"/>
          <w:sz w:val="24"/>
          <w:szCs w:val="20"/>
          <w:highlight w:val="none"/>
        </w:rPr>
      </w:pPr>
      <w:r>
        <w:rPr>
          <w:rFonts w:hint="eastAsia"/>
          <w:sz w:val="24"/>
          <w:szCs w:val="20"/>
          <w:highlight w:val="none"/>
        </w:rPr>
        <w:t xml:space="preserve">3.本表行数可以按照项目分项情况增加。</w:t>
      </w:r>
      <w:r/>
    </w:p>
    <w:p>
      <w:pPr>
        <w:jc w:val="left"/>
        <w:widowControl/>
        <w:rPr>
          <w:rFonts w:hint="eastAsia"/>
          <w:sz w:val="24"/>
          <w:szCs w:val="20"/>
          <w:highlight w:val="none"/>
        </w:rPr>
      </w:pPr>
      <w:r>
        <w:rPr>
          <w:rFonts w:hint="eastAsia"/>
          <w:sz w:val="24"/>
          <w:szCs w:val="20"/>
          <w:highlight w:val="none"/>
        </w:rPr>
        <w:t xml:space="preserve">4.上述各项的详细规格、技术参数如表格中填写不下的，可以逐项另页描述。</w:t>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r/>
    </w:p>
    <w:p>
      <w:pPr>
        <w:jc w:val="left"/>
        <w:spacing w:line="360" w:lineRule="auto"/>
        <w:tabs>
          <w:tab w:val="left" w:pos="2775" w:leader="none"/>
          <w:tab w:val="center" w:pos="4153" w:leader="none"/>
        </w:tabs>
        <w:rPr>
          <w:b/>
          <w:sz w:val="36"/>
          <w:szCs w:val="36"/>
          <w:highlight w:val="none"/>
        </w:rPr>
      </w:pPr>
      <w:r>
        <w:rPr>
          <w:b/>
          <w:sz w:val="36"/>
          <w:szCs w:val="36"/>
          <w:highlight w:val="none"/>
        </w:rPr>
      </w:r>
      <w:r/>
    </w:p>
    <w:p>
      <w:pPr>
        <w:spacing w:before="79" w:line="219" w:lineRule="auto"/>
        <w:rPr>
          <w:rFonts w:ascii="宋体" w:hAnsi="宋体" w:cs="宋体"/>
          <w:sz w:val="24"/>
          <w:highlight w:val="none"/>
        </w:rPr>
      </w:pPr>
      <w:r/>
      <w:bookmarkStart w:id="751" w:name="_Toc150480798"/>
      <w:r/>
      <w:bookmarkStart w:id="752" w:name="_Toc305158904"/>
      <w:r/>
      <w:bookmarkStart w:id="753" w:name="_Toc305158830"/>
      <w:r/>
      <w:bookmarkStart w:id="754" w:name="_Toc226337258"/>
      <w:r/>
      <w:bookmarkStart w:id="755" w:name="_Toc226309806"/>
      <w:r/>
      <w:bookmarkStart w:id="756" w:name="_Toc195842927"/>
      <w:r/>
      <w:bookmarkStart w:id="757" w:name="_Toc127151562"/>
      <w:r/>
      <w:bookmarkStart w:id="758" w:name="_Toc142311062"/>
      <w:r/>
      <w:bookmarkStart w:id="759" w:name="_Toc265228400"/>
      <w:r/>
      <w:bookmarkStart w:id="760" w:name="_Toc264969252"/>
      <w:r/>
      <w:bookmarkStart w:id="761" w:name="_Toc150774765"/>
      <w:r/>
      <w:bookmarkStart w:id="762" w:name="_Toc226965752"/>
      <w:r/>
      <w:bookmarkStart w:id="763" w:name="_Toc226965835"/>
      <w:r/>
      <w:bookmarkStart w:id="764" w:name="_Toc226965834"/>
      <w:r/>
      <w:bookmarkStart w:id="765" w:name="_Toc226965751"/>
      <w:r/>
      <w:bookmarkStart w:id="766" w:name="_Toc305158903"/>
      <w:r/>
      <w:bookmarkStart w:id="767" w:name="_Toc226337257"/>
      <w:r/>
      <w:bookmarkStart w:id="768" w:name="_Toc265228399"/>
      <w:r/>
      <w:bookmarkStart w:id="769" w:name="_Toc142311061"/>
      <w:r/>
      <w:bookmarkStart w:id="770" w:name="_Toc264969251"/>
      <w:r/>
      <w:bookmarkStart w:id="771" w:name="_Toc195842926"/>
      <w:r/>
      <w:bookmarkStart w:id="772" w:name="_Toc150774764"/>
      <w:r/>
      <w:bookmarkStart w:id="773" w:name="_Toc305158829"/>
      <w:r/>
      <w:bookmarkStart w:id="774" w:name="_Toc226309805"/>
      <w:r/>
      <w:bookmarkStart w:id="775" w:name="_Toc127151561"/>
      <w:r/>
      <w:bookmarkStart w:id="776" w:name="_Toc150480797"/>
      <w:r>
        <w:rPr>
          <w:rFonts w:ascii="宋体" w:hAnsi="宋体" w:cs="宋体"/>
          <w:spacing w:val="-2"/>
          <w:sz w:val="24"/>
          <w:highlight w:val="none"/>
        </w:rPr>
        <w:t xml:space="preserve">投标人名称（加盖公章</w:t>
      </w:r>
      <w:r>
        <w:rPr>
          <w:rFonts w:ascii="宋体" w:hAnsi="宋体" w:cs="宋体"/>
          <w:spacing w:val="3"/>
          <w:sz w:val="24"/>
          <w:highlight w:val="none"/>
        </w:rPr>
        <w:t xml:space="preserve">）：</w:t>
      </w:r>
      <w:r/>
    </w:p>
    <w:p>
      <w:pPr>
        <w:spacing w:before="155" w:line="439" w:lineRule="exact"/>
        <w:rPr>
          <w:rFonts w:ascii="宋体" w:hAnsi="宋体" w:cs="宋体"/>
          <w:sz w:val="24"/>
          <w:highlight w:val="none"/>
        </w:rPr>
      </w:pPr>
      <w:r>
        <w:rPr>
          <w:rFonts w:ascii="宋体" w:hAnsi="宋体" w:cs="宋体"/>
          <w:spacing w:val="-1"/>
          <w:position w:val="15"/>
          <w:sz w:val="24"/>
          <w:highlight w:val="none"/>
        </w:rPr>
        <w:t xml:space="preserve">法定代表人或授权委托人（签字或盖章</w:t>
      </w:r>
      <w:r>
        <w:rPr>
          <w:rFonts w:ascii="宋体" w:hAnsi="宋体" w:cs="宋体"/>
          <w:spacing w:val="2"/>
          <w:position w:val="15"/>
          <w:sz w:val="24"/>
          <w:highlight w:val="none"/>
        </w:rPr>
        <w:t xml:space="preserve">）：</w:t>
      </w:r>
      <w:r/>
    </w:p>
    <w:p>
      <w:pPr>
        <w:jc w:val="left"/>
        <w:widowControl/>
        <w:rPr>
          <w:sz w:val="24"/>
          <w:szCs w:val="20"/>
          <w:highlight w:val="none"/>
        </w:rPr>
      </w:pPr>
      <w:r>
        <w:rPr>
          <w:rFonts w:ascii="宋体" w:hAnsi="宋体" w:cs="宋体"/>
          <w:spacing w:val="-13"/>
          <w:sz w:val="24"/>
          <w:highlight w:val="none"/>
        </w:rPr>
        <w:t xml:space="preserve">日期：</w:t>
      </w:r>
      <w:r>
        <w:rPr>
          <w:rFonts w:ascii="宋体" w:hAnsi="宋体" w:cs="宋体"/>
          <w:spacing w:val="1"/>
          <w:sz w:val="24"/>
          <w:highlight w:val="none"/>
        </w:rPr>
        <w:t xml:space="preserve">       </w:t>
      </w:r>
      <w:r>
        <w:rPr>
          <w:rFonts w:ascii="宋体" w:hAnsi="宋体" w:cs="宋体"/>
          <w:spacing w:val="-13"/>
          <w:sz w:val="24"/>
          <w:highlight w:val="none"/>
        </w:rPr>
        <w:t xml:space="preserve">年</w:t>
      </w:r>
      <w:r>
        <w:rPr>
          <w:rFonts w:ascii="宋体" w:hAnsi="宋体" w:cs="宋体"/>
          <w:spacing w:val="2"/>
          <w:sz w:val="24"/>
          <w:highlight w:val="none"/>
        </w:rPr>
        <w:t xml:space="preserve">       </w:t>
      </w:r>
      <w:r>
        <w:rPr>
          <w:rFonts w:ascii="宋体" w:hAnsi="宋体" w:cs="宋体"/>
          <w:spacing w:val="-13"/>
          <w:sz w:val="24"/>
          <w:highlight w:val="none"/>
        </w:rPr>
        <w:t xml:space="preserve">月</w:t>
      </w:r>
      <w:r>
        <w:rPr>
          <w:rFonts w:ascii="宋体" w:hAnsi="宋体" w:cs="宋体"/>
          <w:spacing w:val="7"/>
          <w:sz w:val="24"/>
          <w:highlight w:val="none"/>
        </w:rPr>
        <w:t xml:space="preserve">       </w:t>
      </w:r>
      <w:r>
        <w:rPr>
          <w:rFonts w:ascii="宋体" w:hAnsi="宋体" w:cs="宋体"/>
          <w:spacing w:val="-13"/>
          <w:sz w:val="24"/>
          <w:highlight w:val="none"/>
        </w:rPr>
        <w:t xml:space="preserve">日</w:t>
      </w:r>
      <w:r/>
    </w:p>
    <w:p>
      <w:pPr>
        <w:spacing w:line="360" w:lineRule="auto"/>
        <w:rPr>
          <w:rFonts w:hint="eastAsia"/>
          <w:sz w:val="24"/>
          <w:szCs w:val="20"/>
          <w:highlight w:val="none"/>
        </w:rPr>
        <w:outlineLvl w:val="2"/>
      </w:pPr>
      <w:r>
        <w:rPr>
          <w:rFonts w:hint="eastAsia"/>
          <w:sz w:val="24"/>
          <w:szCs w:val="20"/>
          <w:highlight w:val="none"/>
        </w:rPr>
      </w:r>
      <w:r/>
    </w:p>
    <w:p>
      <w:pPr>
        <w:spacing w:line="360" w:lineRule="auto"/>
        <w:rPr>
          <w:rFonts w:hint="eastAsia"/>
          <w:sz w:val="24"/>
          <w:szCs w:val="20"/>
          <w:highlight w:val="none"/>
        </w:rPr>
        <w:outlineLvl w:val="2"/>
      </w:pPr>
      <w:r>
        <w:rPr>
          <w:rFonts w:hint="eastAsia"/>
          <w:sz w:val="24"/>
          <w:szCs w:val="20"/>
          <w:highlight w:val="none"/>
        </w:rPr>
      </w:r>
      <w:r/>
    </w:p>
    <w:p>
      <w:pPr>
        <w:spacing w:line="360" w:lineRule="auto"/>
        <w:rPr>
          <w:rFonts w:hint="eastAsia"/>
          <w:sz w:val="24"/>
          <w:szCs w:val="20"/>
          <w:highlight w:val="none"/>
        </w:rPr>
        <w:outlineLvl w:val="2"/>
      </w:pPr>
      <w:r>
        <w:rPr>
          <w:rFonts w:hint="eastAsia"/>
          <w:sz w:val="24"/>
          <w:szCs w:val="20"/>
          <w:highlight w:val="none"/>
        </w:rPr>
      </w:r>
      <w:r/>
    </w:p>
    <w:p>
      <w:pPr>
        <w:spacing w:line="360" w:lineRule="auto"/>
        <w:rPr>
          <w:rFonts w:hint="eastAsia"/>
          <w:sz w:val="24"/>
          <w:szCs w:val="20"/>
          <w:highlight w:val="none"/>
        </w:rPr>
        <w:outlineLvl w:val="2"/>
      </w:pPr>
      <w:r>
        <w:rPr>
          <w:rFonts w:hint="eastAsia"/>
          <w:sz w:val="24"/>
          <w:szCs w:val="20"/>
          <w:highlight w:val="none"/>
        </w:rPr>
      </w:r>
      <w:r/>
    </w:p>
    <w:p>
      <w:pPr>
        <w:spacing w:line="360" w:lineRule="auto"/>
        <w:rPr>
          <w:rFonts w:hint="eastAsia"/>
          <w:sz w:val="24"/>
          <w:szCs w:val="20"/>
          <w:highlight w:val="none"/>
        </w:rPr>
        <w:outlineLvl w:val="2"/>
      </w:pPr>
      <w:r>
        <w:rPr>
          <w:rFonts w:hint="eastAsia"/>
          <w:sz w:val="24"/>
          <w:szCs w:val="20"/>
          <w:highlight w:val="none"/>
        </w:rPr>
      </w:r>
      <w:r/>
    </w:p>
    <w:p>
      <w:pPr>
        <w:spacing w:line="360" w:lineRule="auto"/>
        <w:rPr>
          <w:rFonts w:hint="eastAsia"/>
          <w:sz w:val="24"/>
          <w:szCs w:val="20"/>
          <w:highlight w:val="none"/>
        </w:rPr>
        <w:outlineLvl w:val="2"/>
      </w:pPr>
      <w:r>
        <w:rPr>
          <w:rFonts w:hint="eastAsia"/>
          <w:sz w:val="24"/>
          <w:szCs w:val="20"/>
          <w:highlight w:val="none"/>
        </w:rPr>
      </w:r>
      <w:r/>
    </w:p>
    <w:p>
      <w:pPr>
        <w:spacing w:line="360" w:lineRule="auto"/>
        <w:rPr>
          <w:rFonts w:hint="eastAsia"/>
          <w:sz w:val="24"/>
          <w:szCs w:val="20"/>
          <w:highlight w:val="none"/>
        </w:rPr>
        <w:outlineLvl w:val="2"/>
      </w:pPr>
      <w:r>
        <w:rPr>
          <w:rFonts w:hint="eastAsia"/>
          <w:sz w:val="24"/>
          <w:szCs w:val="20"/>
          <w:highlight w:val="none"/>
        </w:rPr>
      </w:r>
      <w:r/>
    </w:p>
    <w:p>
      <w:pPr>
        <w:spacing w:line="360" w:lineRule="auto"/>
        <w:rPr>
          <w:rFonts w:hint="eastAsia"/>
          <w:sz w:val="24"/>
          <w:szCs w:val="20"/>
          <w:highlight w:val="none"/>
        </w:rPr>
        <w:outlineLvl w:val="2"/>
      </w:pPr>
      <w:r>
        <w:rPr>
          <w:rFonts w:hint="eastAsia"/>
          <w:sz w:val="24"/>
          <w:szCs w:val="20"/>
          <w:highlight w:val="none"/>
        </w:rPr>
      </w:r>
      <w:r/>
    </w:p>
    <w:p>
      <w:pPr>
        <w:spacing w:line="360" w:lineRule="auto"/>
        <w:rPr>
          <w:rFonts w:hint="eastAsia"/>
          <w:sz w:val="24"/>
          <w:szCs w:val="20"/>
          <w:highlight w:val="none"/>
        </w:rPr>
        <w:outlineLvl w:val="2"/>
      </w:pPr>
      <w:r>
        <w:rPr>
          <w:rFonts w:hint="eastAsia"/>
          <w:sz w:val="24"/>
          <w:szCs w:val="20"/>
          <w:highlight w:val="none"/>
        </w:rPr>
      </w:r>
      <w:r/>
    </w:p>
    <w:p>
      <w:pPr>
        <w:spacing w:line="360" w:lineRule="auto"/>
        <w:rPr>
          <w:rFonts w:hint="eastAsia"/>
          <w:sz w:val="24"/>
          <w:szCs w:val="20"/>
          <w:highlight w:val="none"/>
        </w:rPr>
        <w:outlineLvl w:val="2"/>
      </w:pPr>
      <w:r>
        <w:rPr>
          <w:rFonts w:hint="eastAsia"/>
          <w:sz w:val="24"/>
          <w:szCs w:val="20"/>
          <w:highlight w:val="none"/>
        </w:rPr>
      </w:r>
      <w:r/>
    </w:p>
    <w:p>
      <w:pPr>
        <w:spacing w:line="360" w:lineRule="auto"/>
        <w:rPr>
          <w:rFonts w:hint="eastAsia"/>
          <w:sz w:val="24"/>
          <w:szCs w:val="20"/>
          <w:highlight w:val="none"/>
        </w:rPr>
        <w:outlineLvl w:val="2"/>
      </w:pPr>
      <w:r>
        <w:rPr>
          <w:rFonts w:hint="eastAsia"/>
          <w:sz w:val="24"/>
          <w:szCs w:val="20"/>
          <w:highlight w:val="none"/>
        </w:rPr>
      </w:r>
      <w:r/>
    </w:p>
    <w:p>
      <w:pPr>
        <w:spacing w:line="360" w:lineRule="auto"/>
        <w:rPr>
          <w:rFonts w:hint="eastAsia"/>
          <w:sz w:val="24"/>
          <w:szCs w:val="20"/>
          <w:highlight w:val="none"/>
        </w:rPr>
        <w:outlineLvl w:val="2"/>
      </w:pPr>
      <w:r>
        <w:rPr>
          <w:rFonts w:hint="eastAsia"/>
          <w:sz w:val="24"/>
          <w:szCs w:val="20"/>
          <w:highlight w:val="none"/>
        </w:rPr>
      </w:r>
      <w:r/>
    </w:p>
    <w:p>
      <w:pPr>
        <w:spacing w:line="360" w:lineRule="auto"/>
        <w:rPr>
          <w:rFonts w:hint="eastAsia"/>
          <w:sz w:val="24"/>
          <w:szCs w:val="20"/>
          <w:highlight w:val="none"/>
        </w:rPr>
        <w:outlineLvl w:val="2"/>
      </w:pPr>
      <w:r>
        <w:rPr>
          <w:rFonts w:hint="eastAsia"/>
          <w:sz w:val="24"/>
          <w:szCs w:val="20"/>
          <w:highlight w:val="none"/>
        </w:rPr>
      </w:r>
      <w:r/>
    </w:p>
    <w:p>
      <w:pPr>
        <w:spacing w:line="360" w:lineRule="auto"/>
        <w:rPr>
          <w:rFonts w:hint="eastAsia"/>
          <w:sz w:val="24"/>
          <w:szCs w:val="20"/>
          <w:highlight w:val="none"/>
        </w:rPr>
        <w:outlineLvl w:val="2"/>
      </w:pPr>
      <w:r>
        <w:rPr>
          <w:rFonts w:hint="eastAsia"/>
          <w:sz w:val="24"/>
          <w:szCs w:val="20"/>
          <w:highlight w:val="none"/>
        </w:rPr>
      </w:r>
      <w:r/>
    </w:p>
    <w:p>
      <w:pPr>
        <w:spacing w:line="360" w:lineRule="auto"/>
        <w:rPr>
          <w:sz w:val="24"/>
          <w:szCs w:val="20"/>
          <w:highlight w:val="none"/>
        </w:rPr>
        <w:outlineLvl w:val="2"/>
      </w:pPr>
      <w:r>
        <w:rPr>
          <w:rFonts w:hint="eastAsia"/>
          <w:sz w:val="24"/>
          <w:szCs w:val="20"/>
          <w:highlight w:val="none"/>
        </w:rPr>
        <w:t xml:space="preserve">6</w:t>
      </w:r>
      <w:r>
        <w:rPr>
          <w:sz w:val="24"/>
          <w:szCs w:val="20"/>
          <w:highlight w:val="none"/>
        </w:rPr>
        <w:t xml:space="preserve">  合同条款偏离表</w:t>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rPr>
          <w:sz w:val="24"/>
          <w:szCs w:val="20"/>
          <w:highlight w:val="none"/>
        </w:rPr>
        <w:t xml:space="preserve">（实质性格式）</w:t>
      </w:r>
      <w:r/>
    </w:p>
    <w:p>
      <w:pPr>
        <w:spacing w:line="360" w:lineRule="auto"/>
        <w:rPr>
          <w:sz w:val="24"/>
          <w:szCs w:val="20"/>
          <w:highlight w:val="none"/>
        </w:rPr>
      </w:pPr>
      <w:r>
        <w:rPr>
          <w:sz w:val="24"/>
          <w:szCs w:val="20"/>
          <w:highlight w:val="none"/>
        </w:rPr>
      </w:r>
      <w:r/>
    </w:p>
    <w:p>
      <w:pPr>
        <w:jc w:val="center"/>
        <w:spacing w:line="360" w:lineRule="auto"/>
        <w:tabs>
          <w:tab w:val="left" w:pos="2775" w:leader="none"/>
          <w:tab w:val="center" w:pos="4153" w:leader="none"/>
        </w:tabs>
        <w:rPr>
          <w:b/>
          <w:sz w:val="36"/>
          <w:szCs w:val="36"/>
          <w:highlight w:val="none"/>
        </w:rPr>
      </w:pPr>
      <w:r>
        <w:rPr>
          <w:rFonts w:hint="eastAsia"/>
          <w:b/>
          <w:sz w:val="36"/>
          <w:szCs w:val="36"/>
          <w:highlight w:val="none"/>
        </w:rPr>
        <w:t xml:space="preserve">合同条款偏离表</w:t>
      </w:r>
      <w:r/>
    </w:p>
    <w:p>
      <w:pPr>
        <w:spacing w:line="360" w:lineRule="auto"/>
        <w:rPr>
          <w:sz w:val="24"/>
          <w:szCs w:val="20"/>
          <w:highlight w:val="none"/>
        </w:rPr>
      </w:pPr>
      <w:r>
        <w:rPr>
          <w:sz w:val="24"/>
          <w:szCs w:val="20"/>
          <w:highlight w:val="none"/>
        </w:rPr>
      </w:r>
      <w:r/>
    </w:p>
    <w:p>
      <w:pPr>
        <w:ind w:firstLine="360"/>
        <w:jc w:val="left"/>
        <w:spacing w:line="360" w:lineRule="auto"/>
        <w:tabs>
          <w:tab w:val="left" w:pos="1800" w:leader="none"/>
          <w:tab w:val="left" w:pos="5580" w:leader="none"/>
        </w:tabs>
        <w:rPr>
          <w:sz w:val="24"/>
          <w:highlight w:val="none"/>
        </w:rPr>
      </w:pPr>
      <w:r>
        <w:rPr>
          <w:sz w:val="24"/>
          <w:highlight w:val="none"/>
        </w:rPr>
        <w:t xml:space="preserve">项目编号：_____________________     项目名称：_____________</w:t>
      </w:r>
      <w:r/>
    </w:p>
    <w:tbl>
      <w:tblPr>
        <w:tblStyle w:val="8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0" w:type="auto"/>
            <w:vAlign w:val="center"/>
            <w:textDirection w:val="lrTb"/>
            <w:noWrap w:val="false"/>
          </w:tcPr>
          <w:p>
            <w:pPr>
              <w:jc w:val="left"/>
              <w:rPr>
                <w:b/>
                <w:sz w:val="24"/>
                <w:highlight w:val="none"/>
              </w:rPr>
            </w:pPr>
            <w:r>
              <w:rPr>
                <w:b/>
                <w:sz w:val="24"/>
                <w:highlight w:val="none"/>
              </w:rPr>
              <w:t xml:space="preserve">对本</w:t>
            </w:r>
            <w:r>
              <w:rPr>
                <w:rFonts w:hint="eastAsia"/>
                <w:b/>
                <w:sz w:val="24"/>
                <w:highlight w:val="none"/>
              </w:rPr>
              <w:t xml:space="preserve">项目</w:t>
            </w:r>
            <w:r>
              <w:rPr>
                <w:b/>
                <w:sz w:val="24"/>
                <w:highlight w:val="none"/>
              </w:rPr>
              <w:t xml:space="preserve">合同条款的偏离情况（请进行勾选）：</w:t>
            </w:r>
            <w:r/>
          </w:p>
          <w:p>
            <w:pPr>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p>
          <w:p>
            <w:pPr>
              <w:jc w:val="left"/>
              <w:rPr>
                <w:sz w:val="24"/>
                <w:highlight w:val="none"/>
              </w:rPr>
            </w:pPr>
            <w:r>
              <w:rPr>
                <w:b/>
                <w:sz w:val="24"/>
                <w:highlight w:val="none"/>
              </w:rPr>
              <w:t xml:space="preserve">□有偏离</w:t>
            </w:r>
            <w:r>
              <w:rPr>
                <w:sz w:val="24"/>
                <w:highlight w:val="none"/>
              </w:rPr>
              <w:t xml:space="preserve">（</w:t>
            </w:r>
            <w:r>
              <w:rPr>
                <w:sz w:val="24"/>
                <w:szCs w:val="21"/>
                <w:highlight w:val="none"/>
              </w:rPr>
              <w:t xml:space="preserve">如有偏离，</w:t>
            </w:r>
            <w:r>
              <w:rPr>
                <w:sz w:val="24"/>
                <w:highlight w:val="none"/>
              </w:rPr>
              <w:t xml:space="preserve">则</w:t>
            </w:r>
            <w:r>
              <w:rPr>
                <w:rFonts w:hint="eastAsia"/>
                <w:sz w:val="24"/>
                <w:highlight w:val="none"/>
              </w:rPr>
              <w:t xml:space="preserve">应</w:t>
            </w:r>
            <w:r>
              <w:rPr>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t xml:space="preserve">序号</w:t>
            </w:r>
            <w:r/>
          </w:p>
        </w:tc>
        <w:tc>
          <w:tcPr>
            <w:tcW w:w="1301" w:type="dxa"/>
            <w:vAlign w:val="center"/>
            <w:textDirection w:val="lrTb"/>
            <w:noWrap w:val="false"/>
          </w:tcPr>
          <w:p>
            <w:pPr>
              <w:jc w:val="center"/>
              <w:rPr>
                <w:sz w:val="24"/>
                <w:highlight w:val="none"/>
              </w:rPr>
            </w:pPr>
            <w:r>
              <w:rPr>
                <w:rFonts w:hint="eastAsia"/>
                <w:sz w:val="24"/>
                <w:szCs w:val="21"/>
                <w:highlight w:val="none"/>
                <w:lang w:val="en-US" w:eastAsia="zh-CN"/>
              </w:rPr>
              <w:t xml:space="preserve">招标</w:t>
            </w:r>
            <w:r>
              <w:rPr>
                <w:rFonts w:hint="eastAsia"/>
                <w:sz w:val="24"/>
                <w:szCs w:val="21"/>
                <w:highlight w:val="none"/>
              </w:rPr>
              <w:t xml:space="preserve">文件</w:t>
            </w:r>
            <w:r>
              <w:rPr>
                <w:sz w:val="24"/>
                <w:highlight w:val="none"/>
              </w:rPr>
              <w:t xml:space="preserve">条目号（页码）</w:t>
            </w:r>
            <w:r/>
          </w:p>
        </w:tc>
        <w:tc>
          <w:tcPr>
            <w:tcW w:w="2007" w:type="dxa"/>
            <w:vAlign w:val="center"/>
            <w:textDirection w:val="lrTb"/>
            <w:noWrap w:val="false"/>
          </w:tcPr>
          <w:p>
            <w:pPr>
              <w:jc w:val="center"/>
              <w:rPr>
                <w:sz w:val="24"/>
                <w:highlight w:val="none"/>
              </w:rPr>
            </w:pPr>
            <w:r>
              <w:rPr>
                <w:rFonts w:hint="eastAsia"/>
                <w:sz w:val="24"/>
                <w:szCs w:val="21"/>
                <w:highlight w:val="none"/>
                <w:lang w:val="en-US" w:eastAsia="zh-CN"/>
              </w:rPr>
              <w:t xml:space="preserve">招标</w:t>
            </w:r>
            <w:r>
              <w:rPr>
                <w:rFonts w:hint="eastAsia"/>
                <w:sz w:val="24"/>
                <w:szCs w:val="21"/>
                <w:highlight w:val="none"/>
              </w:rPr>
              <w:t xml:space="preserve">文件</w:t>
            </w:r>
            <w:r>
              <w:rPr>
                <w:sz w:val="24"/>
                <w:highlight w:val="none"/>
              </w:rPr>
              <w:t xml:space="preserve">要求</w:t>
            </w:r>
            <w:r/>
          </w:p>
        </w:tc>
        <w:tc>
          <w:tcPr>
            <w:tcW w:w="2008" w:type="dxa"/>
            <w:vAlign w:val="center"/>
            <w:textDirection w:val="lrTb"/>
            <w:noWrap w:val="false"/>
          </w:tcPr>
          <w:p>
            <w:pPr>
              <w:jc w:val="center"/>
              <w:rPr>
                <w:sz w:val="24"/>
                <w:highlight w:val="none"/>
              </w:rPr>
            </w:pPr>
            <w:r>
              <w:rPr>
                <w:sz w:val="24"/>
                <w:highlight w:val="none"/>
              </w:rPr>
              <w:t xml:space="preserve">投标文件内容</w:t>
            </w:r>
            <w:r/>
          </w:p>
        </w:tc>
        <w:tc>
          <w:tcPr>
            <w:tcW w:w="2458" w:type="dxa"/>
            <w:vAlign w:val="center"/>
            <w:textDirection w:val="lrTb"/>
            <w:noWrap w:val="false"/>
          </w:tcPr>
          <w:p>
            <w:pPr>
              <w:jc w:val="center"/>
              <w:rPr>
                <w:sz w:val="24"/>
                <w:highlight w:val="none"/>
              </w:rPr>
            </w:pPr>
            <w:r>
              <w:rPr>
                <w:sz w:val="24"/>
                <w:highlight w:val="none"/>
              </w:rPr>
              <w:t xml:space="preserve">偏离情况</w:t>
            </w:r>
            <w:r/>
          </w:p>
        </w:tc>
        <w:tc>
          <w:tcPr>
            <w:tcW w:w="788"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t xml:space="preserve">……</w:t>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bl>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填写“正偏离”或“负偏离”。</w:t>
      </w:r>
      <w:r/>
    </w:p>
    <w:p>
      <w:pPr>
        <w:spacing w:line="360" w:lineRule="auto"/>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名称（加盖公章）</w:t>
      </w:r>
      <w:r>
        <w:rPr>
          <w:sz w:val="24"/>
          <w:highlight w:val="none"/>
          <w:lang w:val="zh-CN"/>
        </w:rPr>
        <w:t xml:space="preserve">：    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rPr>
          <w:sz w:val="24"/>
          <w:szCs w:val="20"/>
          <w:highlight w:val="none"/>
        </w:rPr>
        <w:outlineLvl w:val="2"/>
      </w:pPr>
      <w:r>
        <w:rPr>
          <w:sz w:val="24"/>
          <w:szCs w:val="20"/>
          <w:highlight w:val="none"/>
        </w:rPr>
        <w:br w:type="page" w:clear="all"/>
      </w:r>
      <w:r>
        <w:rPr>
          <w:rFonts w:hint="eastAsia"/>
          <w:sz w:val="24"/>
          <w:szCs w:val="20"/>
          <w:highlight w:val="none"/>
        </w:rPr>
        <w:t xml:space="preserve">7</w:t>
      </w:r>
      <w:r>
        <w:rPr>
          <w:sz w:val="24"/>
          <w:szCs w:val="20"/>
          <w:highlight w:val="none"/>
        </w:rPr>
        <w:t xml:space="preserve">  </w:t>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rPr>
          <w:sz w:val="24"/>
          <w:szCs w:val="20"/>
          <w:highlight w:val="none"/>
        </w:rPr>
        <w:t xml:space="preserve">采购需求偏离表（实质性格式）</w:t>
      </w:r>
      <w:r/>
    </w:p>
    <w:p>
      <w:pPr>
        <w:jc w:val="center"/>
        <w:spacing w:line="360" w:lineRule="auto"/>
        <w:rPr>
          <w:b/>
          <w:sz w:val="36"/>
          <w:szCs w:val="36"/>
          <w:highlight w:val="none"/>
        </w:rPr>
      </w:pPr>
      <w:r>
        <w:rPr>
          <w:b/>
          <w:sz w:val="36"/>
          <w:szCs w:val="36"/>
          <w:highlight w:val="none"/>
        </w:rPr>
      </w:r>
      <w:r/>
    </w:p>
    <w:p>
      <w:pPr>
        <w:jc w:val="center"/>
        <w:spacing w:line="360" w:lineRule="auto"/>
        <w:rPr>
          <w:b/>
          <w:sz w:val="36"/>
          <w:szCs w:val="36"/>
          <w:highlight w:val="none"/>
        </w:rPr>
      </w:pPr>
      <w:r>
        <w:rPr>
          <w:rFonts w:hint="eastAsia"/>
          <w:b/>
          <w:sz w:val="36"/>
          <w:szCs w:val="36"/>
          <w:highlight w:val="none"/>
        </w:rPr>
        <w:t xml:space="preserve">采购需求偏离表</w:t>
      </w:r>
      <w:r/>
    </w:p>
    <w:p>
      <w:pPr>
        <w:ind w:firstLine="360"/>
        <w:jc w:val="left"/>
        <w:spacing w:line="360" w:lineRule="auto"/>
        <w:tabs>
          <w:tab w:val="left" w:pos="1800" w:leader="none"/>
          <w:tab w:val="left" w:pos="5580" w:leader="none"/>
        </w:tabs>
        <w:rPr>
          <w:sz w:val="24"/>
          <w:highlight w:val="none"/>
          <w:u w:val="single"/>
        </w:rPr>
      </w:pPr>
      <w:r>
        <w:rPr>
          <w:sz w:val="24"/>
          <w:highlight w:val="none"/>
        </w:rPr>
        <w:t xml:space="preserve">项目编号：_____________________     项目名称：____________</w:t>
      </w:r>
      <w:r/>
    </w:p>
    <w:tbl>
      <w:tblPr>
        <w:tblStyle w:val="819"/>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sz w:val="24"/>
                <w:highlight w:val="none"/>
              </w:rPr>
            </w:pPr>
            <w:r>
              <w:rPr>
                <w:b/>
                <w:sz w:val="24"/>
                <w:highlight w:val="none"/>
              </w:rPr>
              <w:t xml:space="preserve">对本</w:t>
            </w:r>
            <w:r>
              <w:rPr>
                <w:rFonts w:hint="eastAsia"/>
                <w:b/>
                <w:sz w:val="24"/>
                <w:highlight w:val="none"/>
              </w:rPr>
              <w:t xml:space="preserve">项目采购需求</w:t>
            </w:r>
            <w:r>
              <w:rPr>
                <w:b/>
                <w:sz w:val="24"/>
                <w:highlight w:val="none"/>
              </w:rPr>
              <w:t xml:space="preserve">的偏离情况（请进行勾选）：</w:t>
            </w:r>
            <w:r/>
          </w:p>
          <w:p>
            <w:pPr>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p>
          <w:p>
            <w:pPr>
              <w:rPr>
                <w:sz w:val="24"/>
                <w:highlight w:val="none"/>
              </w:rPr>
            </w:pPr>
            <w:r>
              <w:rPr>
                <w:b/>
                <w:sz w:val="24"/>
                <w:highlight w:val="none"/>
              </w:rPr>
              <w:t xml:space="preserve">□有偏离</w:t>
            </w:r>
            <w:r>
              <w:rPr>
                <w:sz w:val="24"/>
                <w:highlight w:val="none"/>
              </w:rPr>
              <w:t xml:space="preserve">（</w:t>
            </w:r>
            <w:r>
              <w:rPr>
                <w:sz w:val="24"/>
                <w:szCs w:val="21"/>
                <w:highlight w:val="none"/>
              </w:rPr>
              <w:t xml:space="preserve">如有偏离，</w:t>
            </w:r>
            <w:r>
              <w:rPr>
                <w:sz w:val="24"/>
                <w:highlight w:val="none"/>
              </w:rPr>
              <w:t xml:space="preserve">则</w:t>
            </w:r>
            <w:r>
              <w:rPr>
                <w:rFonts w:hint="eastAsia"/>
                <w:sz w:val="24"/>
                <w:highlight w:val="none"/>
              </w:rPr>
              <w:t xml:space="preserve">应</w:t>
            </w:r>
            <w:r>
              <w:rPr>
                <w:sz w:val="24"/>
                <w:highlight w:val="none"/>
              </w:rPr>
              <w:t xml:space="preserve">在本表中对偏离项逐一列明）</w:t>
            </w:r>
            <w:r/>
          </w:p>
        </w:tc>
      </w:tr>
      <w:tr>
        <w:trPr>
          <w:jc w:val="center"/>
          <w:trHeight w:val="1053"/>
        </w:trPr>
        <w:tc>
          <w:tcPr>
            <w:tcW w:w="775" w:type="dxa"/>
            <w:vAlign w:val="center"/>
            <w:textDirection w:val="lrTb"/>
            <w:noWrap w:val="false"/>
          </w:tcPr>
          <w:p>
            <w:pPr>
              <w:jc w:val="center"/>
              <w:rPr>
                <w:sz w:val="24"/>
                <w:highlight w:val="none"/>
              </w:rPr>
            </w:pPr>
            <w:r>
              <w:rPr>
                <w:sz w:val="24"/>
                <w:highlight w:val="none"/>
              </w:rPr>
              <w:t xml:space="preserve">序号</w:t>
            </w:r>
            <w:r/>
          </w:p>
        </w:tc>
        <w:tc>
          <w:tcPr>
            <w:tcW w:w="1482" w:type="dxa"/>
            <w:vAlign w:val="center"/>
            <w:textDirection w:val="lrTb"/>
            <w:noWrap w:val="false"/>
          </w:tcPr>
          <w:p>
            <w:pPr>
              <w:jc w:val="center"/>
              <w:rPr>
                <w:sz w:val="24"/>
                <w:highlight w:val="none"/>
              </w:rPr>
            </w:pPr>
            <w:r>
              <w:rPr>
                <w:rFonts w:hint="eastAsia"/>
                <w:sz w:val="24"/>
                <w:highlight w:val="none"/>
                <w:lang w:val="en-US" w:eastAsia="zh-CN"/>
              </w:rPr>
              <w:t xml:space="preserve">招标</w:t>
            </w:r>
            <w:r>
              <w:rPr>
                <w:rFonts w:hint="eastAsia"/>
                <w:sz w:val="24"/>
                <w:highlight w:val="none"/>
              </w:rPr>
              <w:t xml:space="preserve">文件</w:t>
            </w:r>
            <w:r>
              <w:rPr>
                <w:sz w:val="24"/>
                <w:highlight w:val="none"/>
              </w:rPr>
              <w:t xml:space="preserve">条目号(页码)</w:t>
            </w:r>
            <w:r/>
          </w:p>
        </w:tc>
        <w:tc>
          <w:tcPr>
            <w:tcW w:w="2384" w:type="dxa"/>
            <w:vAlign w:val="center"/>
            <w:textDirection w:val="lrTb"/>
            <w:noWrap w:val="false"/>
          </w:tcPr>
          <w:p>
            <w:pPr>
              <w:jc w:val="center"/>
              <w:rPr>
                <w:sz w:val="24"/>
                <w:highlight w:val="none"/>
              </w:rPr>
            </w:pPr>
            <w:r>
              <w:rPr>
                <w:rFonts w:hint="eastAsia"/>
                <w:sz w:val="24"/>
                <w:highlight w:val="none"/>
                <w:lang w:val="en-US" w:eastAsia="zh-CN"/>
              </w:rPr>
              <w:t xml:space="preserve">招标</w:t>
            </w:r>
            <w:r>
              <w:rPr>
                <w:rFonts w:hint="eastAsia"/>
                <w:sz w:val="24"/>
                <w:highlight w:val="none"/>
              </w:rPr>
              <w:t xml:space="preserve">文件</w:t>
            </w:r>
            <w:r>
              <w:rPr>
                <w:sz w:val="24"/>
                <w:highlight w:val="none"/>
              </w:rPr>
              <w:t xml:space="preserve">要求</w:t>
            </w:r>
            <w:r/>
          </w:p>
        </w:tc>
        <w:tc>
          <w:tcPr>
            <w:tcW w:w="2126" w:type="dxa"/>
            <w:vAlign w:val="center"/>
            <w:textDirection w:val="lrTb"/>
            <w:noWrap w:val="false"/>
          </w:tcPr>
          <w:p>
            <w:pPr>
              <w:jc w:val="center"/>
              <w:rPr>
                <w:sz w:val="24"/>
                <w:highlight w:val="none"/>
              </w:rPr>
            </w:pPr>
            <w:r>
              <w:rPr>
                <w:sz w:val="24"/>
                <w:highlight w:val="none"/>
              </w:rPr>
              <w:t xml:space="preserve">投标响应内容</w:t>
            </w:r>
            <w:r/>
          </w:p>
        </w:tc>
        <w:tc>
          <w:tcPr>
            <w:tcW w:w="1875" w:type="dxa"/>
            <w:vAlign w:val="center"/>
            <w:textDirection w:val="lrTb"/>
            <w:noWrap w:val="false"/>
          </w:tcPr>
          <w:p>
            <w:pPr>
              <w:jc w:val="center"/>
              <w:rPr>
                <w:sz w:val="24"/>
                <w:highlight w:val="none"/>
              </w:rPr>
            </w:pPr>
            <w:r>
              <w:rPr>
                <w:sz w:val="24"/>
                <w:highlight w:val="none"/>
              </w:rPr>
              <w:t xml:space="preserve">偏离情况</w:t>
            </w:r>
            <w:r/>
          </w:p>
        </w:tc>
        <w:tc>
          <w:tcPr>
            <w:tcW w:w="1009"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t xml:space="preserve">……</w:t>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bl>
    <w:p>
      <w:pPr>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jc w:val="left"/>
        <w:tabs>
          <w:tab w:val="left" w:pos="1800" w:leader="none"/>
          <w:tab w:val="left" w:pos="5580" w:leader="none"/>
        </w:tabs>
        <w:rPr>
          <w:sz w:val="24"/>
          <w:highlight w:val="none"/>
        </w:rPr>
      </w:pPr>
      <w:r>
        <w:rPr>
          <w:sz w:val="24"/>
          <w:highlight w:val="none"/>
        </w:rPr>
        <w:t xml:space="preserve">注：</w:t>
      </w:r>
      <w:r/>
    </w:p>
    <w:p>
      <w:pPr>
        <w:numPr>
          <w:ilvl w:val="0"/>
          <w:numId w:val="13"/>
        </w:numPr>
        <w:jc w:val="left"/>
        <w:tabs>
          <w:tab w:val="left" w:pos="1800" w:leader="none"/>
          <w:tab w:val="left" w:pos="5580" w:leader="none"/>
        </w:tabs>
        <w:rPr>
          <w:sz w:val="24"/>
          <w:highlight w:val="none"/>
        </w:rPr>
      </w:pPr>
      <w:r>
        <w:rPr>
          <w:sz w:val="24"/>
          <w:highlight w:val="none"/>
        </w:rPr>
        <w:t xml:space="preserve">对</w:t>
      </w:r>
      <w:r>
        <w:rPr>
          <w:rFonts w:hint="eastAsia"/>
          <w:sz w:val="24"/>
          <w:highlight w:val="none"/>
          <w:lang w:val="en-US" w:eastAsia="zh-CN"/>
        </w:rPr>
        <w:t xml:space="preserve">招标</w:t>
      </w:r>
      <w:r>
        <w:rPr>
          <w:rFonts w:hint="eastAsia"/>
          <w:sz w:val="24"/>
          <w:highlight w:val="none"/>
        </w:rPr>
        <w:t xml:space="preserve">文件</w:t>
      </w:r>
      <w:r>
        <w:rPr>
          <w:sz w:val="24"/>
          <w:highlight w:val="none"/>
        </w:rPr>
        <w:t xml:space="preserve">中的所有商务、技术要求，除本表所列明的所有偏离外，均视作供应商已对之理解和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sz w:val="24"/>
          <w:highlight w:val="none"/>
        </w:rPr>
      </w:pPr>
      <w:r>
        <w:rPr>
          <w:sz w:val="24"/>
          <w:highlight w:val="none"/>
        </w:rPr>
        <w:t xml:space="preserve">2.</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填写“正偏离”或“负偏离”。</w:t>
      </w:r>
      <w:r/>
    </w:p>
    <w:p>
      <w:pPr>
        <w:jc w:val="left"/>
        <w:tabs>
          <w:tab w:val="left" w:pos="1800" w:leader="none"/>
          <w:tab w:val="left" w:pos="5580" w:leader="none"/>
        </w:tabs>
        <w:rPr>
          <w:sz w:val="24"/>
          <w:highlight w:val="none"/>
        </w:rPr>
      </w:pPr>
      <w:r>
        <w:rPr>
          <w:sz w:val="24"/>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名称（加盖公章）</w:t>
      </w:r>
      <w:r>
        <w:rPr>
          <w:sz w:val="24"/>
          <w:highlight w:val="none"/>
          <w:lang w:val="zh-CN"/>
        </w:rPr>
        <w:t xml:space="preserve">：    ____________</w:t>
      </w:r>
      <w:r/>
    </w:p>
    <w:p>
      <w:pPr>
        <w:spacing w:before="25" w:after="25" w:line="360" w:lineRule="auto"/>
        <w:rPr>
          <w:sz w:val="24"/>
          <w:highlight w:val="none"/>
          <w:lang w:val="zh-CN"/>
        </w:rPr>
      </w:pPr>
      <w:r>
        <w:rPr>
          <w:sz w:val="24"/>
          <w:szCs w:val="20"/>
          <w:highlight w:val="none"/>
        </w:rPr>
        <w:t xml:space="preserve">日期：_____年______月______日   </w:t>
      </w:r>
      <w:r/>
    </w:p>
    <w:p>
      <w:pPr>
        <w:rPr>
          <w:sz w:val="24"/>
          <w:szCs w:val="20"/>
          <w:highlight w:val="none"/>
        </w:rPr>
      </w:pPr>
      <w:r>
        <w:rPr>
          <w:sz w:val="24"/>
          <w:szCs w:val="20"/>
          <w:highlight w:val="none"/>
        </w:rPr>
        <w:br w:type="page" w:clear="all"/>
      </w:r>
      <w:r/>
    </w:p>
    <w:p>
      <w:pPr>
        <w:rPr>
          <w:sz w:val="24"/>
          <w:szCs w:val="20"/>
          <w:highlight w:val="none"/>
        </w:rPr>
      </w:pPr>
      <w:r>
        <w:rPr>
          <w:rFonts w:hint="eastAsia" w:ascii="Times New Roman" w:hAnsi="Times New Roman" w:eastAsia="宋体" w:cs="Times New Roman"/>
          <w:color w:val="000000"/>
          <w:sz w:val="24"/>
          <w:szCs w:val="20"/>
          <w:highlight w:val="none"/>
          <w:lang w:val="en-US" w:eastAsia="zh-CN"/>
        </w:rPr>
        <w:t xml:space="preserve">8  </w:t>
      </w:r>
      <w:r>
        <w:rPr>
          <w:rFonts w:hint="eastAsia" w:ascii="Times New Roman" w:hAnsi="Times New Roman" w:eastAsia="宋体" w:cs="Times New Roman"/>
          <w:color w:val="000000"/>
          <w:sz w:val="24"/>
          <w:szCs w:val="20"/>
          <w:highlight w:val="none"/>
        </w:rPr>
        <w:t xml:space="preserve">项目实施方案</w:t>
      </w:r>
      <w:r/>
    </w:p>
    <w:p>
      <w:pPr>
        <w:rPr>
          <w:sz w:val="24"/>
          <w:szCs w:val="20"/>
          <w:highlight w:val="none"/>
        </w:rPr>
      </w:pPr>
      <w:r>
        <w:rPr>
          <w:sz w:val="24"/>
          <w:szCs w:val="20"/>
          <w:highlight w:val="none"/>
        </w:rPr>
      </w:r>
      <w:r/>
    </w:p>
    <w:p>
      <w:pPr>
        <w:rPr>
          <w:sz w:val="24"/>
          <w:szCs w:val="20"/>
          <w:highlight w:val="none"/>
        </w:rPr>
      </w:pPr>
      <w:r>
        <w:rPr>
          <w:sz w:val="24"/>
          <w:szCs w:val="20"/>
          <w:highlight w:val="none"/>
        </w:rPr>
      </w:r>
      <w:r/>
    </w:p>
    <w:p>
      <w:pPr>
        <w:rPr>
          <w:sz w:val="24"/>
          <w:szCs w:val="20"/>
          <w:highlight w:val="none"/>
        </w:rPr>
      </w:pPr>
      <w:r>
        <w:rPr>
          <w:rFonts w:hint="eastAsia"/>
          <w:sz w:val="24"/>
          <w:szCs w:val="20"/>
          <w:highlight w:val="none"/>
        </w:rPr>
        <w:t xml:space="preserve">9  参加本项目人员一览表</w:t>
      </w:r>
      <w:r/>
    </w:p>
    <w:p>
      <w:pPr>
        <w:jc w:val="center"/>
        <w:spacing w:line="360" w:lineRule="auto"/>
        <w:rPr>
          <w:rFonts w:ascii="宋体" w:hAnsi="宋体"/>
          <w:b/>
          <w:sz w:val="32"/>
          <w:szCs w:val="32"/>
          <w:highlight w:val="none"/>
        </w:rPr>
      </w:pPr>
      <w:r>
        <w:rPr>
          <w:rFonts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p>
    <w:p>
      <w:pPr>
        <w:spacing w:line="360" w:lineRule="auto"/>
        <w:rPr>
          <w:rFonts w:ascii="宋体" w:hAnsi="宋体"/>
          <w:sz w:val="22"/>
          <w:highlight w:val="none"/>
        </w:rPr>
      </w:pPr>
      <w:r>
        <w:rPr>
          <w:rFonts w:ascii="宋体" w:hAnsi="宋体"/>
          <w:sz w:val="22"/>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819"/>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注：参加本项目人员须是投标</w:t>
      </w:r>
      <w:r>
        <w:rPr>
          <w:rFonts w:hint="eastAsia" w:ascii="宋体" w:hAnsi="宋体" w:cs="宋体"/>
          <w:b/>
          <w:sz w:val="24"/>
          <w:highlight w:val="none"/>
          <w:lang w:val="en-US" w:eastAsia="zh-CN"/>
        </w:rPr>
        <w:t xml:space="preserve">人</w:t>
      </w:r>
      <w:r>
        <w:rPr>
          <w:rFonts w:hint="eastAsia" w:ascii="宋体" w:hAnsi="宋体" w:cs="宋体"/>
          <w:b/>
          <w:sz w:val="24"/>
          <w:highlight w:val="none"/>
          <w:lang w:val="zh-CN"/>
        </w:rPr>
        <w:t xml:space="preserve">正式职工。</w:t>
      </w:r>
      <w:r/>
    </w:p>
    <w:p>
      <w:pPr>
        <w:spacing w:line="360" w:lineRule="auto"/>
        <w:rPr>
          <w:rFonts w:ascii="宋体" w:hAnsi="宋体"/>
          <w:sz w:val="24"/>
          <w:highlight w:val="none"/>
        </w:rPr>
      </w:pPr>
      <w:r>
        <w:rPr>
          <w:rFonts w:ascii="宋体" w:hAnsi="宋体"/>
          <w:sz w:val="24"/>
          <w:highlight w:val="none"/>
        </w:rPr>
      </w:r>
      <w:r/>
    </w:p>
    <w:p>
      <w:pPr>
        <w:spacing w:before="25" w:after="25" w:line="360" w:lineRule="auto"/>
        <w:rPr>
          <w:sz w:val="24"/>
          <w:highlight w:val="none"/>
          <w:lang w:val="zh-CN"/>
        </w:rPr>
      </w:pP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名称（加盖公章）</w:t>
      </w:r>
      <w:r>
        <w:rPr>
          <w:sz w:val="24"/>
          <w:highlight w:val="none"/>
          <w:lang w:val="zh-CN"/>
        </w:rPr>
        <w:t xml:space="preserve">：    ____________</w:t>
      </w:r>
      <w:r/>
    </w:p>
    <w:p>
      <w:pPr>
        <w:spacing w:before="25" w:after="25" w:line="360" w:lineRule="auto"/>
        <w:rPr>
          <w:sz w:val="24"/>
          <w:highlight w:val="none"/>
          <w:lang w:val="zh-CN"/>
        </w:rPr>
      </w:pPr>
      <w:r>
        <w:rPr>
          <w:sz w:val="24"/>
          <w:szCs w:val="20"/>
          <w:highlight w:val="none"/>
        </w:rPr>
        <w:t xml:space="preserve">日期：_____年______月______日   </w:t>
      </w:r>
      <w:r/>
    </w:p>
    <w:p>
      <w:pPr>
        <w:rPr>
          <w:sz w:val="22"/>
          <w:highlight w:val="none"/>
        </w:rPr>
      </w:pPr>
      <w:r/>
      <w:bookmarkStart w:id="777" w:name="_Toc288738839"/>
      <w:r/>
      <w:bookmarkStart w:id="778" w:name="_Toc288738397"/>
      <w:r/>
      <w:r/>
    </w:p>
    <w:p>
      <w:pPr>
        <w:rPr>
          <w:sz w:val="22"/>
          <w:highlight w:val="none"/>
        </w:rPr>
      </w:pPr>
      <w:r>
        <w:rPr>
          <w:sz w:val="22"/>
          <w:highlight w:val="none"/>
        </w:rPr>
      </w:r>
      <w:r/>
    </w:p>
    <w:p>
      <w:pPr>
        <w:rPr>
          <w:sz w:val="22"/>
          <w:highlight w:val="none"/>
        </w:rPr>
      </w:pPr>
      <w:r>
        <w:rPr>
          <w:sz w:val="22"/>
          <w:highlight w:val="none"/>
        </w:rPr>
      </w:r>
      <w:r/>
    </w:p>
    <w:p>
      <w:pPr>
        <w:rPr>
          <w:sz w:val="22"/>
          <w:highlight w:val="none"/>
        </w:rPr>
      </w:pPr>
      <w:r>
        <w:rPr>
          <w:sz w:val="22"/>
          <w:highlight w:val="none"/>
        </w:rPr>
      </w:r>
      <w:r/>
    </w:p>
    <w:p>
      <w:pPr>
        <w:rPr>
          <w:sz w:val="22"/>
          <w:highlight w:val="none"/>
        </w:rPr>
      </w:pPr>
      <w:r>
        <w:rPr>
          <w:sz w:val="22"/>
          <w:highlight w:val="none"/>
        </w:rPr>
      </w:r>
      <w:r/>
    </w:p>
    <w:p>
      <w:pPr>
        <w:rPr>
          <w:sz w:val="22"/>
          <w:highlight w:val="none"/>
        </w:rPr>
      </w:pPr>
      <w:r>
        <w:rPr>
          <w:sz w:val="22"/>
          <w:highlight w:val="none"/>
        </w:rPr>
      </w:r>
      <w:r/>
    </w:p>
    <w:p>
      <w:pPr>
        <w:rPr>
          <w:sz w:val="22"/>
          <w:highlight w:val="none"/>
        </w:rPr>
      </w:pPr>
      <w:r>
        <w:rPr>
          <w:sz w:val="22"/>
          <w:highlight w:val="none"/>
        </w:rPr>
      </w:r>
      <w:r/>
    </w:p>
    <w:p>
      <w:pPr>
        <w:rPr>
          <w:sz w:val="22"/>
          <w:highlight w:val="none"/>
        </w:rPr>
      </w:pPr>
      <w:r>
        <w:rPr>
          <w:sz w:val="22"/>
          <w:highlight w:val="none"/>
        </w:rPr>
      </w:r>
      <w:r/>
    </w:p>
    <w:p>
      <w:pPr>
        <w:rPr>
          <w:sz w:val="22"/>
          <w:highlight w:val="none"/>
        </w:rPr>
      </w:pPr>
      <w:r>
        <w:rPr>
          <w:sz w:val="22"/>
          <w:highlight w:val="none"/>
        </w:rPr>
      </w:r>
      <w:r/>
    </w:p>
    <w:p>
      <w:pPr>
        <w:rPr>
          <w:sz w:val="22"/>
          <w:highlight w:val="none"/>
        </w:rPr>
      </w:pPr>
      <w:r>
        <w:rPr>
          <w:sz w:val="22"/>
          <w:highlight w:val="none"/>
        </w:rPr>
      </w:r>
      <w:r/>
    </w:p>
    <w:p>
      <w:pPr>
        <w:rPr>
          <w:sz w:val="22"/>
          <w:highlight w:val="none"/>
        </w:rPr>
      </w:pPr>
      <w:r>
        <w:rPr>
          <w:sz w:val="22"/>
          <w:highlight w:val="none"/>
        </w:rPr>
      </w:r>
      <w:r/>
    </w:p>
    <w:p>
      <w:pPr>
        <w:rPr>
          <w:sz w:val="22"/>
          <w:highlight w:val="none"/>
        </w:rPr>
      </w:pPr>
      <w:r>
        <w:rPr>
          <w:sz w:val="22"/>
          <w:highlight w:val="none"/>
        </w:rPr>
      </w:r>
      <w:r/>
    </w:p>
    <w:p>
      <w:pPr>
        <w:rPr>
          <w:sz w:val="22"/>
          <w:highlight w:val="none"/>
        </w:rPr>
      </w:pPr>
      <w:r>
        <w:rPr>
          <w:sz w:val="22"/>
          <w:highlight w:val="none"/>
        </w:rPr>
      </w:r>
      <w:r/>
    </w:p>
    <w:p>
      <w:pPr>
        <w:rPr>
          <w:rFonts w:hint="eastAsia"/>
          <w:sz w:val="22"/>
          <w:highlight w:val="none"/>
        </w:rPr>
      </w:pPr>
      <w:r>
        <w:rPr>
          <w:rFonts w:hint="eastAsia"/>
          <w:sz w:val="22"/>
          <w:highlight w:val="none"/>
        </w:rPr>
      </w:r>
      <w:r/>
    </w:p>
    <w:p>
      <w:pPr>
        <w:rPr>
          <w:sz w:val="24"/>
          <w:szCs w:val="20"/>
          <w:highlight w:val="none"/>
        </w:rPr>
      </w:pPr>
      <w:r>
        <w:rPr>
          <w:rFonts w:hint="eastAsia"/>
          <w:sz w:val="24"/>
          <w:szCs w:val="20"/>
          <w:highlight w:val="none"/>
        </w:rPr>
        <w:t xml:space="preserve">10  相关业绩案例一览表</w:t>
      </w:r>
      <w:r/>
    </w:p>
    <w:p>
      <w:pPr>
        <w:rPr>
          <w:sz w:val="24"/>
          <w:szCs w:val="20"/>
          <w:highlight w:val="none"/>
        </w:rPr>
      </w:pPr>
      <w:r>
        <w:rPr>
          <w:sz w:val="24"/>
          <w:szCs w:val="20"/>
          <w:highlight w:val="none"/>
        </w:rPr>
      </w:r>
      <w:r/>
    </w:p>
    <w:p>
      <w:pPr>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777"/>
      <w:r/>
      <w:bookmarkEnd w:id="778"/>
      <w:r/>
      <w:r/>
    </w:p>
    <w:p>
      <w:pPr>
        <w:jc w:val="center"/>
        <w:spacing w:line="360" w:lineRule="auto"/>
        <w:rPr>
          <w:rFonts w:ascii="宋体" w:hAnsi="宋体"/>
          <w:b/>
          <w:sz w:val="28"/>
          <w:szCs w:val="30"/>
          <w:highlight w:val="none"/>
        </w:rPr>
      </w:pPr>
      <w:r>
        <w:rPr>
          <w:rFonts w:ascii="宋体" w:hAnsi="宋体"/>
          <w:b/>
          <w:sz w:val="28"/>
          <w:szCs w:val="30"/>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81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sz w:val="24"/>
          <w:highlight w:val="none"/>
          <w:lang w:val="zh-CN"/>
        </w:rPr>
      </w:pPr>
      <w:r>
        <w:rPr>
          <w:rFonts w:hint="eastAsia"/>
          <w:sz w:val="24"/>
          <w:highlight w:val="none"/>
        </w:rPr>
        <w:t xml:space="preserve">投标</w:t>
      </w:r>
      <w:r>
        <w:rPr>
          <w:rFonts w:hint="eastAsia"/>
          <w:sz w:val="24"/>
          <w:highlight w:val="none"/>
          <w:lang w:val="en-US" w:eastAsia="zh-CN"/>
        </w:rPr>
        <w:t xml:space="preserve">人</w:t>
      </w:r>
      <w:r>
        <w:rPr>
          <w:sz w:val="24"/>
          <w:highlight w:val="none"/>
        </w:rPr>
        <w:t xml:space="preserve">名称（加盖公章）</w:t>
      </w:r>
      <w:r>
        <w:rPr>
          <w:sz w:val="24"/>
          <w:highlight w:val="none"/>
          <w:lang w:val="zh-CN"/>
        </w:rPr>
        <w:t xml:space="preserve">：    ____________</w:t>
      </w:r>
      <w:r/>
    </w:p>
    <w:p>
      <w:pPr>
        <w:spacing w:before="25" w:after="25" w:line="360" w:lineRule="auto"/>
        <w:rPr>
          <w:sz w:val="24"/>
          <w:highlight w:val="none"/>
          <w:lang w:val="zh-CN"/>
        </w:rPr>
      </w:pPr>
      <w:r>
        <w:rPr>
          <w:sz w:val="24"/>
          <w:szCs w:val="20"/>
          <w:highlight w:val="none"/>
        </w:rPr>
        <w:t xml:space="preserve">日期：_____年______月______日   </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b/>
          <w:sz w:val="24"/>
          <w:highlight w:val="none"/>
        </w:rPr>
      </w:pPr>
      <w:r>
        <w:rPr>
          <w:b/>
          <w:sz w:val="24"/>
          <w:highlight w:val="none"/>
        </w:rPr>
      </w:r>
      <w:r/>
    </w:p>
    <w:p>
      <w:pPr>
        <w:spacing w:line="360" w:lineRule="auto"/>
        <w:rPr>
          <w:rFonts w:ascii="宋体" w:hAnsi="宋体"/>
          <w:sz w:val="24"/>
          <w:highlight w:val="none"/>
        </w:rPr>
      </w:pPr>
      <w:r>
        <w:rPr>
          <w:rFonts w:hint="eastAsia"/>
          <w:sz w:val="24"/>
          <w:szCs w:val="20"/>
          <w:highlight w:val="none"/>
        </w:rPr>
        <w:t xml:space="preserve">11  </w:t>
      </w:r>
      <w:r>
        <w:rPr>
          <w:rFonts w:hint="eastAsia" w:ascii="宋体" w:hAnsi="宋体"/>
          <w:sz w:val="24"/>
          <w:highlight w:val="none"/>
        </w:rPr>
        <w:t xml:space="preserve">投标承诺书</w:t>
      </w:r>
      <w:r>
        <w:rPr>
          <w:rFonts w:ascii="宋体" w:hAnsi="宋体"/>
          <w:sz w:val="24"/>
          <w:highlight w:val="none"/>
        </w:rPr>
        <w:t xml:space="preserve">（实质性格式）</w:t>
      </w:r>
      <w:r/>
    </w:p>
    <w:p>
      <w:pPr>
        <w:jc w:val="center"/>
        <w:spacing w:line="360" w:lineRule="auto"/>
        <w:rPr>
          <w:rFonts w:ascii="宋体" w:hAnsi="宋体"/>
          <w:sz w:val="24"/>
          <w:highlight w:val="none"/>
        </w:rPr>
      </w:pPr>
      <w:r>
        <w:rPr>
          <w:rFonts w:hint="eastAsia" w:ascii="宋体" w:hAnsi="宋体"/>
          <w:sz w:val="24"/>
          <w:highlight w:val="none"/>
        </w:rPr>
        <w:t xml:space="preserve">投 标 承 诺 书</w:t>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u w:val="single"/>
        </w:rPr>
      </w:pPr>
      <w:r>
        <w:rPr>
          <w:rFonts w:hint="eastAsia" w:ascii="宋体" w:hAnsi="宋体"/>
          <w:sz w:val="24"/>
          <w:highlight w:val="none"/>
          <w:u w:val="single"/>
        </w:rPr>
        <w:t xml:space="preserve">（采购人）：</w:t>
      </w:r>
      <w:r/>
    </w:p>
    <w:p>
      <w:pPr>
        <w:ind w:firstLine="480"/>
        <w:spacing w:line="360" w:lineRule="auto"/>
        <w:rPr>
          <w:rFonts w:ascii="宋体" w:hAnsi="宋体"/>
          <w:sz w:val="24"/>
          <w:highlight w:val="none"/>
        </w:rPr>
      </w:pPr>
      <w:r>
        <w:rPr>
          <w:rFonts w:hint="eastAsia" w:ascii="宋体" w:hAnsi="宋体"/>
          <w:sz w:val="24"/>
          <w:highlight w:val="none"/>
        </w:rPr>
        <w:t xml:space="preserve">我们参加贵单位组织的</w:t>
      </w:r>
      <w:r>
        <w:rPr>
          <w:rFonts w:hint="eastAsia" w:ascii="宋体" w:hAnsi="宋体"/>
          <w:sz w:val="24"/>
          <w:highlight w:val="none"/>
          <w:u w:val="single"/>
        </w:rPr>
        <w:t xml:space="preserve">                 （项目名称、标段号）</w:t>
      </w:r>
      <w:r>
        <w:rPr>
          <w:rFonts w:hint="eastAsia" w:ascii="宋体" w:hAnsi="宋体"/>
          <w:sz w:val="24"/>
          <w:highlight w:val="none"/>
        </w:rPr>
        <w:t xml:space="preserve"> 投标，我单位承诺：一旦我单位中标，</w:t>
      </w:r>
      <w:r/>
    </w:p>
    <w:p>
      <w:pPr>
        <w:ind w:firstLine="480"/>
        <w:spacing w:line="360" w:lineRule="auto"/>
        <w:rPr>
          <w:rFonts w:ascii="宋体" w:hAnsi="宋体"/>
          <w:sz w:val="24"/>
          <w:highlight w:val="none"/>
        </w:rPr>
      </w:pPr>
      <w:r>
        <w:rPr>
          <w:rFonts w:hint="eastAsia" w:ascii="宋体" w:hAnsi="宋体"/>
          <w:sz w:val="24"/>
          <w:highlight w:val="none"/>
        </w:rPr>
        <w:t xml:space="preserve">1、保证作业人员配备不低于</w:t>
      </w:r>
      <w:r>
        <w:rPr>
          <w:rFonts w:hint="eastAsia" w:ascii="宋体" w:hAnsi="宋体"/>
          <w:sz w:val="24"/>
          <w:highlight w:val="none"/>
          <w:lang w:val="en-US" w:eastAsia="zh-CN"/>
        </w:rPr>
        <w:t xml:space="preserve">中招标</w:t>
      </w:r>
      <w:r>
        <w:rPr>
          <w:rFonts w:hint="eastAsia" w:ascii="宋体" w:hAnsi="宋体"/>
          <w:sz w:val="24"/>
          <w:highlight w:val="none"/>
        </w:rPr>
        <w:t xml:space="preserve">文件要求（</w:t>
      </w:r>
      <w:r>
        <w:rPr>
          <w:rFonts w:hint="eastAsia" w:ascii="宋体" w:hAnsi="宋体"/>
          <w:sz w:val="24"/>
          <w:highlight w:val="none"/>
          <w:lang w:val="en-US" w:eastAsia="zh-CN"/>
        </w:rPr>
        <w:t xml:space="preserve">01-13标段</w:t>
      </w:r>
      <w:r>
        <w:rPr>
          <w:rFonts w:hint="eastAsia" w:ascii="宋体" w:hAnsi="宋体"/>
          <w:sz w:val="24"/>
          <w:highlight w:val="none"/>
        </w:rPr>
        <w:t xml:space="preserve">每标段最低配备10名养护人员）；</w:t>
      </w:r>
      <w:r/>
    </w:p>
    <w:p>
      <w:pPr>
        <w:ind w:firstLine="480"/>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、保证作业人员工资不低于溧阳市最低工资标准；</w:t>
      </w:r>
      <w:r/>
    </w:p>
    <w:p>
      <w:pPr>
        <w:ind w:firstLine="480"/>
        <w:spacing w:line="360" w:lineRule="auto"/>
        <w:rPr>
          <w:rFonts w:ascii="宋体" w:hAnsi="宋体"/>
          <w:sz w:val="24"/>
          <w:highlight w:val="none"/>
        </w:rPr>
      </w:pPr>
      <w:r>
        <w:rPr>
          <w:rFonts w:hint="eastAsia" w:ascii="宋体" w:hAnsi="宋体"/>
          <w:sz w:val="24"/>
          <w:highlight w:val="none"/>
        </w:rPr>
        <w:t xml:space="preserve">3、保证按时足额缴纳各项税费，支付“五金”、商业险、高温费、加班费、劳保费、过节费、补贴等及合同要求的其他人员费用，并建立职工有关档案。</w:t>
      </w:r>
      <w:r/>
    </w:p>
    <w:p>
      <w:pPr>
        <w:ind w:firstLine="480"/>
        <w:spacing w:line="360" w:lineRule="auto"/>
        <w:rPr>
          <w:rFonts w:ascii="宋体" w:hAnsi="宋体"/>
          <w:sz w:val="24"/>
          <w:highlight w:val="none"/>
        </w:rPr>
      </w:pPr>
      <w:r>
        <w:rPr>
          <w:rFonts w:hint="eastAsia" w:ascii="宋体" w:hAnsi="宋体"/>
          <w:sz w:val="24"/>
          <w:highlight w:val="none"/>
        </w:rPr>
        <w:t xml:space="preserve">4、保证按要求足额配置作业机具。</w:t>
      </w:r>
      <w:r/>
    </w:p>
    <w:p>
      <w:pPr>
        <w:ind w:firstLine="480"/>
        <w:spacing w:line="360" w:lineRule="auto"/>
        <w:rPr>
          <w:rFonts w:ascii="宋体" w:hAnsi="宋体"/>
          <w:sz w:val="24"/>
          <w:highlight w:val="none"/>
        </w:rPr>
      </w:pPr>
      <w:r>
        <w:rPr>
          <w:rFonts w:hint="eastAsia" w:ascii="宋体" w:hAnsi="宋体"/>
          <w:sz w:val="24"/>
          <w:highlight w:val="none"/>
        </w:rPr>
        <w:t xml:space="preserve">5、保证在中标通知书发出后1周内在溧阳市内具有能满足办公、仓储等要求的办公经营场所。</w:t>
      </w:r>
      <w:r/>
    </w:p>
    <w:p>
      <w:pPr>
        <w:ind w:firstLine="480"/>
        <w:spacing w:line="360" w:lineRule="auto"/>
        <w:rPr>
          <w:rFonts w:ascii="宋体" w:hAnsi="宋体"/>
          <w:sz w:val="24"/>
          <w:highlight w:val="none"/>
        </w:rPr>
      </w:pPr>
      <w:r>
        <w:rPr>
          <w:rFonts w:hint="eastAsia" w:ascii="宋体" w:hAnsi="宋体"/>
          <w:sz w:val="24"/>
          <w:highlight w:val="none"/>
        </w:rPr>
        <w:t xml:space="preserve">如违反上述承诺，我单位自愿承担违约责任，采购人有权拒绝支付费用，并有权进行经济处罚，直至解除合同。</w:t>
      </w:r>
      <w:r/>
    </w:p>
    <w:p>
      <w:pPr>
        <w:spacing w:line="360" w:lineRule="auto"/>
        <w:rPr>
          <w:rFonts w:ascii="宋体" w:hAnsi="宋体"/>
          <w:sz w:val="24"/>
          <w:highlight w:val="none"/>
        </w:rPr>
      </w:pPr>
      <w:r>
        <w:rPr>
          <w:rFonts w:ascii="宋体" w:hAnsi="宋体"/>
          <w:sz w:val="24"/>
          <w:highlight w:val="none"/>
        </w:rPr>
      </w:r>
      <w:r/>
    </w:p>
    <w:p>
      <w:pPr>
        <w:ind w:firstLine="480"/>
        <w:spacing w:line="360" w:lineRule="auto"/>
        <w:tabs>
          <w:tab w:val="left" w:pos="5025" w:leader="none"/>
        </w:tabs>
        <w:rPr>
          <w:sz w:val="24"/>
          <w:highlight w:val="none"/>
        </w:rPr>
      </w:pPr>
      <w:r>
        <w:rPr>
          <w:rFonts w:hint="eastAsia" w:ascii="宋体" w:hAnsi="宋体"/>
          <w:sz w:val="24"/>
          <w:highlight w:val="none"/>
        </w:rPr>
        <w:t xml:space="preserve">        </w:t>
      </w:r>
      <w:r/>
    </w:p>
    <w:p>
      <w:pPr>
        <w:spacing w:line="360" w:lineRule="auto"/>
        <w:rPr>
          <w:rFonts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投标</w:t>
      </w:r>
      <w:r>
        <w:rPr>
          <w:rFonts w:hint="eastAsia" w:ascii="宋体" w:hAnsi="宋体"/>
          <w:sz w:val="24"/>
          <w:highlight w:val="none"/>
          <w:lang w:val="en-US" w:eastAsia="zh-CN"/>
        </w:rPr>
        <w:t xml:space="preserve">人</w:t>
      </w:r>
      <w:r>
        <w:rPr>
          <w:rFonts w:ascii="宋体" w:hAnsi="宋体"/>
          <w:sz w:val="24"/>
          <w:highlight w:val="none"/>
        </w:rPr>
        <w:t xml:space="preserve">名称（加盖公章）：____________</w:t>
      </w:r>
      <w:r/>
    </w:p>
    <w:p>
      <w:pPr>
        <w:spacing w:line="360" w:lineRule="auto"/>
        <w:rPr>
          <w:rFonts w:ascii="宋体" w:hAnsi="宋体"/>
          <w:sz w:val="24"/>
          <w:highlight w:val="none"/>
        </w:rPr>
      </w:pPr>
      <w:r>
        <w:rPr>
          <w:rFonts w:hint="eastAsia" w:ascii="宋体" w:hAnsi="宋体"/>
          <w:sz w:val="24"/>
          <w:highlight w:val="none"/>
        </w:rPr>
        <w:t xml:space="preserve">                          法定代表人（签字或签章）：</w:t>
      </w:r>
      <w:r>
        <w:rPr>
          <w:rFonts w:ascii="宋体" w:hAnsi="宋体"/>
          <w:sz w:val="24"/>
          <w:highlight w:val="none"/>
        </w:rPr>
        <w:t xml:space="preserve">____________</w:t>
      </w:r>
      <w:r/>
    </w:p>
    <w:p>
      <w:pPr>
        <w:ind w:firstLine="3120"/>
        <w:spacing w:line="360" w:lineRule="auto"/>
        <w:rPr>
          <w:rFonts w:ascii="宋体" w:hAnsi="宋体"/>
          <w:sz w:val="24"/>
          <w:highlight w:val="none"/>
        </w:rPr>
      </w:pPr>
      <w:r>
        <w:rPr>
          <w:rFonts w:ascii="宋体" w:hAnsi="宋体"/>
          <w:sz w:val="24"/>
          <w:highlight w:val="none"/>
        </w:rPr>
        <w:t xml:space="preserve">日期：_____年______月______日   </w:t>
      </w:r>
      <w:r/>
    </w:p>
    <w:p>
      <w:pPr>
        <w:spacing w:line="360" w:lineRule="auto"/>
        <w:rPr>
          <w:rFonts w:ascii="宋体" w:hAnsi="宋体"/>
          <w:sz w:val="24"/>
          <w:highlight w:val="none"/>
        </w:rPr>
      </w:pPr>
      <w:r>
        <w:rPr>
          <w:rFonts w:ascii="宋体" w:hAnsi="宋体"/>
          <w:sz w:val="24"/>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rFonts w:hint="eastAsia"/>
          <w:sz w:val="24"/>
          <w:szCs w:val="20"/>
          <w:highlight w:val="none"/>
        </w:rPr>
        <w:t xml:space="preserve">12   </w:t>
      </w:r>
      <w:r>
        <w:rPr>
          <w:rFonts w:hint="default" w:ascii="Times New Roman" w:hAnsi="Times New Roman" w:eastAsia="宋体" w:cs="Times New Roman"/>
          <w:color w:val="000000"/>
          <w:sz w:val="24"/>
          <w:szCs w:val="20"/>
          <w:highlight w:val="none"/>
        </w:rPr>
        <w:t xml:space="preserve">招标文件要求提供或投标人认为应附的其他材料</w:t>
      </w:r>
      <w:r/>
    </w:p>
    <w:p>
      <w:pPr>
        <w:jc w:val="left"/>
        <w:widowControl/>
        <w:rPr>
          <w:b/>
          <w:sz w:val="36"/>
          <w:szCs w:val="36"/>
          <w:highlight w:val="none"/>
        </w:rPr>
      </w:pPr>
      <w:r>
        <w:rPr>
          <w:b/>
          <w:sz w:val="36"/>
          <w:szCs w:val="36"/>
          <w:highlight w:val="none"/>
        </w:rPr>
      </w:r>
      <w:r/>
    </w:p>
    <w:sectPr>
      <w:headerReference w:type="even" r:id="rId12"/>
      <w:headerReference w:type="first" r:id="rId13"/>
      <w:footerReference w:type="even" r:id="rId18"/>
      <w:footerReference w:type="first" r:id="rId19"/>
      <w:footnotePr/>
      <w:endnotePr/>
      <w:type w:val="nextPage"/>
      <w:pgSz w:w="11907" w:h="16840" w:orient="portrait"/>
      <w:pgMar w:top="1418" w:right="1134" w:bottom="1418" w:left="1134"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rPr>
        <w:rStyle w:val="1098"/>
      </w:rPr>
      <w:framePr w:wrap="around" w:vAnchor="text" w:hAnchor="margin" w:xAlign="right" w:y="1"/>
    </w:pPr>
    <w:r>
      <w:rPr>
        <w:rStyle w:val="1098"/>
      </w:rPr>
      <w:fldChar w:fldCharType="begin"/>
    </w:r>
    <w:r>
      <w:rPr>
        <w:rStyle w:val="1098"/>
      </w:rPr>
      <w:instrText xml:space="preserve">PAGE  </w:instrText>
    </w:r>
    <w:r>
      <w:rPr>
        <w:rStyle w:val="1098"/>
      </w:rPr>
      <w:fldChar w:fldCharType="end"/>
    </w:r>
    <w:r/>
  </w:p>
  <w:p>
    <w:pPr>
      <w:pStyle w:val="107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rPr>
        <w:rStyle w:val="1098"/>
      </w:rPr>
      <w:framePr w:wrap="around" w:vAnchor="text" w:hAnchor="margin" w:xAlign="right" w:y="1"/>
    </w:pPr>
    <w:r>
      <w:rPr>
        <w:rStyle w:val="1098"/>
      </w:rPr>
      <w:fldChar w:fldCharType="begin"/>
    </w:r>
    <w:r>
      <w:rPr>
        <w:rStyle w:val="1098"/>
      </w:rPr>
      <w:instrText xml:space="preserve">PAGE  </w:instrText>
    </w:r>
    <w:r>
      <w:rPr>
        <w:rStyle w:val="1098"/>
      </w:rPr>
      <w:fldChar w:fldCharType="end"/>
    </w:r>
    <w:r/>
  </w:p>
  <w:p>
    <w:pPr>
      <w:pStyle w:val="1073"/>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rPr>
        <w:rStyle w:val="1098"/>
      </w:rPr>
      <w:framePr w:wrap="around" w:vAnchor="text" w:hAnchor="margin" w:xAlign="right" w:y="1"/>
    </w:pPr>
    <w:r>
      <w:rPr>
        <w:rStyle w:val="1098"/>
      </w:rPr>
      <w:fldChar w:fldCharType="begin"/>
    </w:r>
    <w:r>
      <w:rPr>
        <w:rStyle w:val="1098"/>
      </w:rPr>
      <w:instrText xml:space="preserve">PAGE  </w:instrText>
    </w:r>
    <w:r>
      <w:rPr>
        <w:rStyle w:val="1098"/>
      </w:rPr>
      <w:fldChar w:fldCharType="end"/>
    </w:r>
    <w:r/>
  </w:p>
  <w:p>
    <w:pPr>
      <w:pStyle w:val="1073"/>
      <w:ind w:right="360"/>
    </w:pPr>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rPr>
        <w:rFonts w:hint="default" w:eastAsia="宋体"/>
        <w:lang w:val="en-US" w:eastAsia="zh-CN"/>
      </w:rPr>
    </w:pPr>
    <w:r>
      <w:rPr>
        <w:rFonts w:hint="eastAsia"/>
        <w:lang w:val="en-US" w:eastAsia="zh-CN"/>
      </w:rPr>
      <w:t xml:space="preserve">溧阳普弘信工程项目管理有限公司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178"/>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65"/>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132"/>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127"/>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26"/>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63"/>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62"/>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71"/>
      <w:isLgl w:val="false"/>
      <w:suff w:val="nothing"/>
      <w:lvlText w:val="%1.%2.%3.%4.%5.%6　"/>
      <w:lvlJc w:val="left"/>
      <w:pPr>
        <w:ind w:left="-25" w:firstLine="0"/>
      </w:pPr>
      <w:rPr>
        <w:rFonts w:ascii="Times New Roman" w:hAnsi="Times New Roman" w:eastAsia="宋体"/>
        <w:b/>
        <w:i w:val="0"/>
        <w:sz w:val="28"/>
      </w:rPr>
    </w:lvl>
    <w:lvl w:ilvl="6">
      <w:start w:val="1"/>
      <w:numFmt w:val="lowerLetter"/>
      <w:pStyle w:val="1184"/>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47"/>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1"/>
      <w:numFmt w:val="lowerLetter"/>
      <w:pStyle w:val="1208"/>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233"/>
      <w:isLgl w:val="false"/>
      <w:suff w:val="tab"/>
      <w:lvlText w:val="%1"/>
      <w:lvlJc w:val="left"/>
      <w:pPr>
        <w:ind w:left="680" w:hanging="680"/>
      </w:pPr>
      <w:rPr>
        <w:rFonts w:hint="eastAsia" w:ascii="宋体" w:hAnsi="宋体" w:eastAsia="宋体"/>
      </w:rPr>
    </w:lvl>
    <w:lvl w:ilvl="1">
      <w:start w:val="1"/>
      <w:numFmt w:val="decimal"/>
      <w:pStyle w:val="1234"/>
      <w:isLgl w:val="false"/>
      <w:suff w:val="tab"/>
      <w:lvlText w:val="%1.%2"/>
      <w:lvlJc w:val="left"/>
      <w:pPr>
        <w:ind w:left="851" w:hanging="851"/>
      </w:pPr>
      <w:rPr>
        <w:rFonts w:hint="eastAsia" w:ascii="宋体" w:hAnsi="宋体" w:eastAsia="宋体"/>
        <w:color w:val="000000"/>
      </w:rPr>
    </w:lvl>
    <w:lvl w:ilvl="2">
      <w:start w:val="1"/>
      <w:numFmt w:val="decimal"/>
      <w:pStyle w:val="123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3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7"/>
  </w:num>
  <w:num w:numId="8">
    <w:abstractNumId w:val="12"/>
  </w:num>
  <w:num w:numId="9">
    <w:abstractNumId w:val="5"/>
  </w:num>
  <w:num w:numId="10">
    <w:abstractNumId w:val="9"/>
  </w:num>
  <w:num w:numId="11">
    <w:abstractNumId w:val="0"/>
  </w:num>
  <w:num w:numId="12">
    <w:abstractNumId w:val="8"/>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9">
    <w:name w:val="Heading 1"/>
    <w:basedOn w:val="808"/>
    <w:next w:val="808"/>
    <w:link w:val="878"/>
    <w:uiPriority w:val="9"/>
    <w:qFormat/>
    <w:pPr>
      <w:keepLines/>
      <w:keepNext/>
      <w:spacing w:before="480" w:after="200"/>
      <w:outlineLvl w:val="0"/>
    </w:pPr>
    <w:rPr>
      <w:rFonts w:ascii="Arial" w:hAnsi="Arial" w:eastAsia="Arial" w:cs="Arial"/>
      <w:sz w:val="40"/>
      <w:szCs w:val="40"/>
    </w:rPr>
  </w:style>
  <w:style w:type="paragraph" w:styleId="810">
    <w:name w:val="Heading 2"/>
    <w:basedOn w:val="808"/>
    <w:next w:val="808"/>
    <w:link w:val="879"/>
    <w:uiPriority w:val="9"/>
    <w:unhideWhenUsed/>
    <w:qFormat/>
    <w:pPr>
      <w:keepLines/>
      <w:keepNext/>
      <w:spacing w:before="360" w:after="200"/>
      <w:outlineLvl w:val="1"/>
    </w:pPr>
    <w:rPr>
      <w:rFonts w:ascii="Arial" w:hAnsi="Arial" w:eastAsia="Arial" w:cs="Arial"/>
      <w:sz w:val="34"/>
    </w:rPr>
  </w:style>
  <w:style w:type="paragraph" w:styleId="811">
    <w:name w:val="Heading 3"/>
    <w:basedOn w:val="808"/>
    <w:next w:val="808"/>
    <w:link w:val="880"/>
    <w:uiPriority w:val="9"/>
    <w:unhideWhenUsed/>
    <w:qFormat/>
    <w:pPr>
      <w:keepLines/>
      <w:keepNext/>
      <w:spacing w:before="320" w:after="200"/>
      <w:outlineLvl w:val="2"/>
    </w:pPr>
    <w:rPr>
      <w:rFonts w:ascii="Arial" w:hAnsi="Arial" w:eastAsia="Arial" w:cs="Arial"/>
      <w:sz w:val="30"/>
      <w:szCs w:val="30"/>
    </w:rPr>
  </w:style>
  <w:style w:type="paragraph" w:styleId="812">
    <w:name w:val="Heading 4"/>
    <w:basedOn w:val="808"/>
    <w:next w:val="808"/>
    <w:link w:val="881"/>
    <w:uiPriority w:val="9"/>
    <w:unhideWhenUsed/>
    <w:qFormat/>
    <w:pPr>
      <w:keepLines/>
      <w:keepNext/>
      <w:spacing w:before="320" w:after="200"/>
      <w:outlineLvl w:val="3"/>
    </w:pPr>
    <w:rPr>
      <w:rFonts w:ascii="Arial" w:hAnsi="Arial" w:eastAsia="Arial" w:cs="Arial"/>
      <w:b/>
      <w:bCs/>
      <w:sz w:val="26"/>
      <w:szCs w:val="26"/>
    </w:rPr>
  </w:style>
  <w:style w:type="paragraph" w:styleId="813">
    <w:name w:val="Heading 5"/>
    <w:basedOn w:val="808"/>
    <w:next w:val="808"/>
    <w:link w:val="882"/>
    <w:uiPriority w:val="9"/>
    <w:unhideWhenUsed/>
    <w:qFormat/>
    <w:pPr>
      <w:keepLines/>
      <w:keepNext/>
      <w:spacing w:before="320" w:after="200"/>
      <w:outlineLvl w:val="4"/>
    </w:pPr>
    <w:rPr>
      <w:rFonts w:ascii="Arial" w:hAnsi="Arial" w:eastAsia="Arial" w:cs="Arial"/>
      <w:b/>
      <w:bCs/>
      <w:sz w:val="24"/>
    </w:rPr>
  </w:style>
  <w:style w:type="paragraph" w:styleId="814">
    <w:name w:val="Heading 6"/>
    <w:basedOn w:val="808"/>
    <w:next w:val="808"/>
    <w:link w:val="883"/>
    <w:uiPriority w:val="9"/>
    <w:unhideWhenUsed/>
    <w:qFormat/>
    <w:pPr>
      <w:keepLines/>
      <w:keepNext/>
      <w:spacing w:before="320" w:after="200"/>
      <w:outlineLvl w:val="5"/>
    </w:pPr>
    <w:rPr>
      <w:rFonts w:ascii="Arial" w:hAnsi="Arial" w:eastAsia="Arial" w:cs="Arial"/>
      <w:b/>
      <w:bCs/>
      <w:sz w:val="22"/>
      <w:szCs w:val="22"/>
    </w:rPr>
  </w:style>
  <w:style w:type="paragraph" w:styleId="815">
    <w:name w:val="Heading 7"/>
    <w:basedOn w:val="808"/>
    <w:next w:val="808"/>
    <w:link w:val="884"/>
    <w:uiPriority w:val="9"/>
    <w:unhideWhenUsed/>
    <w:qFormat/>
    <w:pPr>
      <w:keepLines/>
      <w:keepNext/>
      <w:spacing w:before="320" w:after="200"/>
      <w:outlineLvl w:val="6"/>
    </w:pPr>
    <w:rPr>
      <w:rFonts w:ascii="Arial" w:hAnsi="Arial" w:eastAsia="Arial" w:cs="Arial"/>
      <w:b/>
      <w:bCs/>
      <w:i/>
      <w:iCs/>
      <w:sz w:val="22"/>
      <w:szCs w:val="22"/>
    </w:rPr>
  </w:style>
  <w:style w:type="paragraph" w:styleId="816">
    <w:name w:val="Heading 8"/>
    <w:basedOn w:val="808"/>
    <w:next w:val="808"/>
    <w:link w:val="885"/>
    <w:uiPriority w:val="9"/>
    <w:unhideWhenUsed/>
    <w:qFormat/>
    <w:pPr>
      <w:keepLines/>
      <w:keepNext/>
      <w:spacing w:before="320" w:after="200"/>
      <w:outlineLvl w:val="7"/>
    </w:pPr>
    <w:rPr>
      <w:rFonts w:ascii="Arial" w:hAnsi="Arial" w:eastAsia="Arial" w:cs="Arial"/>
      <w:i/>
      <w:iCs/>
      <w:sz w:val="22"/>
      <w:szCs w:val="22"/>
    </w:rPr>
  </w:style>
  <w:style w:type="paragraph" w:styleId="817">
    <w:name w:val="Heading 9"/>
    <w:basedOn w:val="808"/>
    <w:next w:val="808"/>
    <w:link w:val="886"/>
    <w:uiPriority w:val="9"/>
    <w:unhideWhenUsed/>
    <w:qFormat/>
    <w:pPr>
      <w:keepLines/>
      <w:keepNext/>
      <w:spacing w:before="320" w:after="200"/>
      <w:outlineLvl w:val="8"/>
    </w:pPr>
    <w:rPr>
      <w:rFonts w:ascii="Arial" w:hAnsi="Arial" w:eastAsia="Arial" w:cs="Arial"/>
      <w:i/>
      <w:iCs/>
      <w:szCs w:val="21"/>
    </w:rPr>
  </w:style>
  <w:style w:type="character" w:styleId="818" w:default="1">
    <w:name w:val="Default Paragraph Font"/>
    <w:uiPriority w:val="1"/>
    <w:semiHidden/>
    <w:unhideWhenUsed/>
    <w:qFormat/>
  </w:style>
  <w:style w:type="table" w:styleId="819" w:default="1">
    <w:name w:val="Normal Table"/>
    <w:uiPriority w:val="99"/>
    <w:semiHidden/>
    <w:unhideWhenUsed/>
    <w:qFormat/>
    <w:tblPr>
      <w:tblCellMar>
        <w:left w:w="108" w:type="dxa"/>
        <w:top w:w="0" w:type="dxa"/>
        <w:right w:w="108" w:type="dxa"/>
        <w:bottom w:w="0" w:type="dxa"/>
      </w:tblCellMar>
    </w:tblPr>
  </w:style>
  <w:style w:type="paragraph" w:styleId="820">
    <w:name w:val="toc 7"/>
    <w:basedOn w:val="808"/>
    <w:next w:val="808"/>
    <w:uiPriority w:val="39"/>
    <w:unhideWhenUsed/>
    <w:qFormat/>
    <w:pPr>
      <w:ind w:left="1701"/>
      <w:spacing w:after="57"/>
    </w:pPr>
  </w:style>
  <w:style w:type="paragraph" w:styleId="821">
    <w:name w:val="Caption"/>
    <w:basedOn w:val="808"/>
    <w:next w:val="808"/>
    <w:uiPriority w:val="35"/>
    <w:semiHidden/>
    <w:unhideWhenUsed/>
    <w:qFormat/>
    <w:pPr>
      <w:spacing w:line="276" w:lineRule="auto"/>
    </w:pPr>
    <w:rPr>
      <w:b/>
      <w:bCs/>
      <w:color w:val="4f81bd"/>
      <w:sz w:val="18"/>
      <w:szCs w:val="18"/>
    </w:rPr>
  </w:style>
  <w:style w:type="paragraph" w:styleId="822">
    <w:name w:val="toc 5"/>
    <w:basedOn w:val="808"/>
    <w:next w:val="808"/>
    <w:uiPriority w:val="39"/>
    <w:unhideWhenUsed/>
    <w:qFormat/>
    <w:pPr>
      <w:ind w:left="1134"/>
      <w:spacing w:after="57"/>
    </w:pPr>
  </w:style>
  <w:style w:type="paragraph" w:styleId="823">
    <w:name w:val="toc 3"/>
    <w:basedOn w:val="808"/>
    <w:next w:val="808"/>
    <w:uiPriority w:val="39"/>
    <w:unhideWhenUsed/>
    <w:qFormat/>
    <w:pPr>
      <w:ind w:left="567"/>
      <w:spacing w:after="57"/>
    </w:pPr>
  </w:style>
  <w:style w:type="paragraph" w:styleId="824">
    <w:name w:val="toc 8"/>
    <w:basedOn w:val="808"/>
    <w:next w:val="808"/>
    <w:uiPriority w:val="39"/>
    <w:unhideWhenUsed/>
    <w:qFormat/>
    <w:pPr>
      <w:ind w:left="1984"/>
      <w:spacing w:after="57"/>
    </w:pPr>
  </w:style>
  <w:style w:type="paragraph" w:styleId="825">
    <w:name w:val="endnote text"/>
    <w:basedOn w:val="808"/>
    <w:link w:val="1024"/>
    <w:uiPriority w:val="99"/>
    <w:semiHidden/>
    <w:unhideWhenUsed/>
    <w:qFormat/>
    <w:rPr>
      <w:sz w:val="20"/>
    </w:rPr>
  </w:style>
  <w:style w:type="paragraph" w:styleId="826">
    <w:name w:val="Footer"/>
    <w:basedOn w:val="808"/>
    <w:link w:val="897"/>
    <w:uiPriority w:val="99"/>
    <w:unhideWhenUsed/>
    <w:qFormat/>
    <w:pPr>
      <w:tabs>
        <w:tab w:val="center" w:pos="7143" w:leader="none"/>
        <w:tab w:val="right" w:pos="14287" w:leader="none"/>
      </w:tabs>
    </w:pPr>
  </w:style>
  <w:style w:type="paragraph" w:styleId="827">
    <w:name w:val="Header"/>
    <w:basedOn w:val="808"/>
    <w:link w:val="895"/>
    <w:uiPriority w:val="99"/>
    <w:unhideWhenUsed/>
    <w:qFormat/>
    <w:pPr>
      <w:tabs>
        <w:tab w:val="center" w:pos="7143" w:leader="none"/>
        <w:tab w:val="right" w:pos="14287" w:leader="none"/>
      </w:tabs>
    </w:pPr>
  </w:style>
  <w:style w:type="paragraph" w:styleId="828">
    <w:name w:val="toc 1"/>
    <w:basedOn w:val="808"/>
    <w:next w:val="808"/>
    <w:uiPriority w:val="39"/>
    <w:unhideWhenUsed/>
    <w:qFormat/>
    <w:pPr>
      <w:spacing w:after="57"/>
    </w:pPr>
  </w:style>
  <w:style w:type="paragraph" w:styleId="829">
    <w:name w:val="toc 4"/>
    <w:basedOn w:val="808"/>
    <w:next w:val="808"/>
    <w:uiPriority w:val="39"/>
    <w:unhideWhenUsed/>
    <w:qFormat/>
    <w:pPr>
      <w:ind w:left="850"/>
      <w:spacing w:after="57"/>
    </w:pPr>
  </w:style>
  <w:style w:type="paragraph" w:styleId="830">
    <w:name w:val="Subtitle"/>
    <w:basedOn w:val="808"/>
    <w:next w:val="808"/>
    <w:link w:val="890"/>
    <w:uiPriority w:val="11"/>
    <w:qFormat/>
    <w:pPr>
      <w:spacing w:before="200" w:after="200"/>
    </w:pPr>
    <w:rPr>
      <w:sz w:val="24"/>
    </w:rPr>
  </w:style>
  <w:style w:type="paragraph" w:styleId="831">
    <w:name w:val="footnote text"/>
    <w:basedOn w:val="808"/>
    <w:link w:val="1023"/>
    <w:uiPriority w:val="99"/>
    <w:semiHidden/>
    <w:unhideWhenUsed/>
    <w:qFormat/>
    <w:pPr>
      <w:spacing w:after="40"/>
    </w:pPr>
    <w:rPr>
      <w:sz w:val="18"/>
    </w:rPr>
  </w:style>
  <w:style w:type="paragraph" w:styleId="832">
    <w:name w:val="toc 6"/>
    <w:basedOn w:val="808"/>
    <w:next w:val="808"/>
    <w:uiPriority w:val="39"/>
    <w:unhideWhenUsed/>
    <w:qFormat/>
    <w:pPr>
      <w:ind w:left="1417"/>
      <w:spacing w:after="57"/>
    </w:pPr>
  </w:style>
  <w:style w:type="paragraph" w:styleId="833">
    <w:name w:val="table of figures"/>
    <w:basedOn w:val="808"/>
    <w:next w:val="808"/>
    <w:uiPriority w:val="99"/>
    <w:unhideWhenUsed/>
    <w:qFormat/>
  </w:style>
  <w:style w:type="paragraph" w:styleId="834">
    <w:name w:val="toc 2"/>
    <w:basedOn w:val="808"/>
    <w:next w:val="808"/>
    <w:uiPriority w:val="39"/>
    <w:unhideWhenUsed/>
    <w:qFormat/>
    <w:pPr>
      <w:ind w:left="283"/>
      <w:spacing w:after="57"/>
    </w:pPr>
  </w:style>
  <w:style w:type="paragraph" w:styleId="835">
    <w:name w:val="toc 9"/>
    <w:basedOn w:val="808"/>
    <w:next w:val="808"/>
    <w:uiPriority w:val="39"/>
    <w:unhideWhenUsed/>
    <w:qFormat/>
    <w:pPr>
      <w:ind w:left="2268"/>
      <w:spacing w:after="57"/>
    </w:pPr>
  </w:style>
  <w:style w:type="paragraph" w:styleId="836">
    <w:name w:val="Title"/>
    <w:basedOn w:val="808"/>
    <w:next w:val="808"/>
    <w:link w:val="889"/>
    <w:uiPriority w:val="10"/>
    <w:qFormat/>
    <w:pPr>
      <w:contextualSpacing/>
      <w:spacing w:before="300" w:after="200"/>
    </w:pPr>
    <w:rPr>
      <w:sz w:val="48"/>
      <w:szCs w:val="48"/>
    </w:rPr>
  </w:style>
  <w:style w:type="table" w:styleId="83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8">
    <w:name w:val="endnote reference"/>
    <w:uiPriority w:val="99"/>
    <w:semiHidden/>
    <w:unhideWhenUsed/>
    <w:qFormat/>
    <w:rPr>
      <w:vertAlign w:val="superscript"/>
    </w:rPr>
  </w:style>
  <w:style w:type="character" w:styleId="839">
    <w:name w:val="Hyperlink"/>
    <w:uiPriority w:val="99"/>
    <w:unhideWhenUsed/>
    <w:qFormat/>
    <w:rPr>
      <w:color w:val="0000ff"/>
      <w:u w:val="single"/>
    </w:rPr>
  </w:style>
  <w:style w:type="character" w:styleId="840">
    <w:name w:val="footnote reference"/>
    <w:uiPriority w:val="99"/>
    <w:unhideWhenUsed/>
    <w:qFormat/>
    <w:rPr>
      <w:vertAlign w:val="superscript"/>
    </w:rPr>
  </w:style>
  <w:style w:type="character" w:styleId="841" w:customStyle="1">
    <w:name w:val="Heading 1 Char"/>
    <w:basedOn w:val="818"/>
    <w:uiPriority w:val="9"/>
    <w:qFormat/>
    <w:rPr>
      <w:rFonts w:ascii="Arial" w:hAnsi="Arial" w:eastAsia="Arial" w:cs="Arial"/>
      <w:sz w:val="40"/>
      <w:szCs w:val="40"/>
    </w:rPr>
  </w:style>
  <w:style w:type="character" w:styleId="842" w:customStyle="1">
    <w:name w:val="Heading 2 Char"/>
    <w:basedOn w:val="818"/>
    <w:uiPriority w:val="9"/>
    <w:qFormat/>
    <w:rPr>
      <w:rFonts w:ascii="Arial" w:hAnsi="Arial" w:eastAsia="Arial" w:cs="Arial"/>
      <w:sz w:val="34"/>
    </w:rPr>
  </w:style>
  <w:style w:type="character" w:styleId="843" w:customStyle="1">
    <w:name w:val="Heading 3 Char"/>
    <w:basedOn w:val="818"/>
    <w:uiPriority w:val="9"/>
    <w:qFormat/>
    <w:rPr>
      <w:rFonts w:ascii="Arial" w:hAnsi="Arial" w:eastAsia="Arial" w:cs="Arial"/>
      <w:sz w:val="30"/>
      <w:szCs w:val="30"/>
    </w:rPr>
  </w:style>
  <w:style w:type="character" w:styleId="844" w:customStyle="1">
    <w:name w:val="Heading 4 Char"/>
    <w:basedOn w:val="818"/>
    <w:uiPriority w:val="9"/>
    <w:qFormat/>
    <w:rPr>
      <w:rFonts w:ascii="Arial" w:hAnsi="Arial" w:eastAsia="Arial" w:cs="Arial"/>
      <w:b/>
      <w:bCs/>
      <w:sz w:val="26"/>
      <w:szCs w:val="26"/>
    </w:rPr>
  </w:style>
  <w:style w:type="character" w:styleId="845" w:customStyle="1">
    <w:name w:val="Heading 5 Char"/>
    <w:basedOn w:val="818"/>
    <w:uiPriority w:val="9"/>
    <w:qFormat/>
    <w:rPr>
      <w:rFonts w:ascii="Arial" w:hAnsi="Arial" w:eastAsia="Arial" w:cs="Arial"/>
      <w:b/>
      <w:bCs/>
      <w:sz w:val="24"/>
      <w:szCs w:val="24"/>
    </w:rPr>
  </w:style>
  <w:style w:type="character" w:styleId="846" w:customStyle="1">
    <w:name w:val="Heading 6 Char"/>
    <w:basedOn w:val="818"/>
    <w:uiPriority w:val="9"/>
    <w:qFormat/>
    <w:rPr>
      <w:rFonts w:ascii="Arial" w:hAnsi="Arial" w:eastAsia="Arial" w:cs="Arial"/>
      <w:b/>
      <w:bCs/>
      <w:sz w:val="22"/>
      <w:szCs w:val="22"/>
    </w:rPr>
  </w:style>
  <w:style w:type="character" w:styleId="847" w:customStyle="1">
    <w:name w:val="Heading 7 Char"/>
    <w:basedOn w:val="818"/>
    <w:uiPriority w:val="9"/>
    <w:qFormat/>
    <w:rPr>
      <w:rFonts w:ascii="Arial" w:hAnsi="Arial" w:eastAsia="Arial" w:cs="Arial"/>
      <w:b/>
      <w:bCs/>
      <w:i/>
      <w:iCs/>
      <w:sz w:val="22"/>
      <w:szCs w:val="22"/>
    </w:rPr>
  </w:style>
  <w:style w:type="character" w:styleId="848" w:customStyle="1">
    <w:name w:val="Heading 8 Char"/>
    <w:basedOn w:val="818"/>
    <w:uiPriority w:val="9"/>
    <w:qFormat/>
    <w:rPr>
      <w:rFonts w:ascii="Arial" w:hAnsi="Arial" w:eastAsia="Arial" w:cs="Arial"/>
      <w:i/>
      <w:iCs/>
      <w:sz w:val="22"/>
      <w:szCs w:val="22"/>
    </w:rPr>
  </w:style>
  <w:style w:type="character" w:styleId="849" w:customStyle="1">
    <w:name w:val="Heading 9 Char"/>
    <w:basedOn w:val="818"/>
    <w:uiPriority w:val="9"/>
    <w:qFormat/>
    <w:rPr>
      <w:rFonts w:ascii="Arial" w:hAnsi="Arial" w:eastAsia="Arial" w:cs="Arial"/>
      <w:i/>
      <w:iCs/>
      <w:sz w:val="21"/>
      <w:szCs w:val="21"/>
    </w:rPr>
  </w:style>
  <w:style w:type="character" w:styleId="850" w:customStyle="1">
    <w:name w:val="Title Char"/>
    <w:basedOn w:val="818"/>
    <w:uiPriority w:val="10"/>
    <w:qFormat/>
    <w:rPr>
      <w:sz w:val="48"/>
      <w:szCs w:val="48"/>
    </w:rPr>
  </w:style>
  <w:style w:type="character" w:styleId="851" w:customStyle="1">
    <w:name w:val="Subtitle Char"/>
    <w:basedOn w:val="818"/>
    <w:uiPriority w:val="11"/>
    <w:qFormat/>
    <w:rPr>
      <w:sz w:val="24"/>
      <w:szCs w:val="24"/>
    </w:rPr>
  </w:style>
  <w:style w:type="character" w:styleId="852" w:customStyle="1">
    <w:name w:val="Quote Char"/>
    <w:uiPriority w:val="29"/>
    <w:qFormat/>
    <w:rPr>
      <w:i/>
    </w:rPr>
  </w:style>
  <w:style w:type="character" w:styleId="853" w:customStyle="1">
    <w:name w:val="Intense Quote Char"/>
    <w:uiPriority w:val="30"/>
    <w:qFormat/>
    <w:rPr>
      <w:i/>
    </w:rPr>
  </w:style>
  <w:style w:type="character" w:styleId="854" w:customStyle="1">
    <w:name w:val="Header Char"/>
    <w:basedOn w:val="818"/>
    <w:uiPriority w:val="99"/>
    <w:qFormat/>
  </w:style>
  <w:style w:type="character" w:styleId="855" w:customStyle="1">
    <w:name w:val="Caption Char"/>
    <w:uiPriority w:val="99"/>
    <w:qFormat/>
  </w:style>
  <w:style w:type="table" w:styleId="856" w:customStyle="1">
    <w:name w:val="Plain Table 1"/>
    <w:basedOn w:val="8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2"/>
    <w:basedOn w:val="81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3"/>
    <w:basedOn w:val="8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Plain Table 4"/>
    <w:basedOn w:val="8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Plain Table 5"/>
    <w:basedOn w:val="8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Grid Table 1 Light"/>
    <w:basedOn w:val="81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2"/>
    <w:basedOn w:val="8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Grid Table 3"/>
    <w:basedOn w:val="8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w:basedOn w:val="81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5 Dark"/>
    <w:basedOn w:val="8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6 Colorful"/>
    <w:basedOn w:val="81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67" w:customStyle="1">
    <w:name w:val="Grid Table 7 Colorful"/>
    <w:basedOn w:val="81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1 Light"/>
    <w:basedOn w:val="81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2"/>
    <w:basedOn w:val="81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3"/>
    <w:basedOn w:val="8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w:basedOn w:val="8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5 Dark"/>
    <w:basedOn w:val="81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3" w:customStyle="1">
    <w:name w:val="List Table 6 Colorful"/>
    <w:basedOn w:val="81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4" w:customStyle="1">
    <w:name w:val="List Table 7 Colorful"/>
    <w:basedOn w:val="819"/>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5" w:customStyle="1">
    <w:name w:val="Footnote Text Char"/>
    <w:uiPriority w:val="99"/>
    <w:qFormat/>
    <w:rPr>
      <w:sz w:val="18"/>
    </w:rPr>
  </w:style>
  <w:style w:type="character" w:styleId="876" w:customStyle="1">
    <w:name w:val="Endnote Text Char"/>
    <w:uiPriority w:val="99"/>
    <w:qFormat/>
    <w:rPr>
      <w:sz w:val="20"/>
    </w:rPr>
  </w:style>
  <w:style w:type="paragraph" w:styleId="877" w:customStyle="1">
    <w:name w:val="TOC Heading"/>
    <w:uiPriority w:val="39"/>
    <w:unhideWhenUsed/>
    <w:qFormat/>
    <w:rPr>
      <w:rFonts w:hint="default" w:ascii="Times New Roman" w:hAnsi="Times New Roman" w:eastAsia="宋体" w:cs="Times New Roman"/>
    </w:rPr>
  </w:style>
  <w:style w:type="character" w:styleId="878" w:customStyle="1">
    <w:name w:val="标题 1 字符"/>
    <w:link w:val="809"/>
    <w:uiPriority w:val="9"/>
    <w:qFormat/>
    <w:rPr>
      <w:rFonts w:ascii="Arial" w:hAnsi="Arial" w:eastAsia="Arial" w:cs="Arial"/>
      <w:sz w:val="40"/>
      <w:szCs w:val="40"/>
    </w:rPr>
  </w:style>
  <w:style w:type="character" w:styleId="879" w:customStyle="1">
    <w:name w:val="标题 2 字符"/>
    <w:link w:val="810"/>
    <w:uiPriority w:val="9"/>
    <w:qFormat/>
    <w:rPr>
      <w:rFonts w:ascii="Arial" w:hAnsi="Arial" w:eastAsia="Arial" w:cs="Arial"/>
      <w:sz w:val="34"/>
    </w:rPr>
  </w:style>
  <w:style w:type="character" w:styleId="880" w:customStyle="1">
    <w:name w:val="标题 3 字符"/>
    <w:link w:val="811"/>
    <w:uiPriority w:val="9"/>
    <w:qFormat/>
    <w:rPr>
      <w:rFonts w:ascii="Arial" w:hAnsi="Arial" w:eastAsia="Arial" w:cs="Arial"/>
      <w:sz w:val="30"/>
      <w:szCs w:val="30"/>
    </w:rPr>
  </w:style>
  <w:style w:type="character" w:styleId="881" w:customStyle="1">
    <w:name w:val="标题 4 字符"/>
    <w:link w:val="812"/>
    <w:uiPriority w:val="9"/>
    <w:qFormat/>
    <w:rPr>
      <w:rFonts w:ascii="Arial" w:hAnsi="Arial" w:eastAsia="Arial" w:cs="Arial"/>
      <w:b/>
      <w:bCs/>
      <w:sz w:val="26"/>
      <w:szCs w:val="26"/>
    </w:rPr>
  </w:style>
  <w:style w:type="character" w:styleId="882" w:customStyle="1">
    <w:name w:val="标题 5 字符"/>
    <w:link w:val="813"/>
    <w:uiPriority w:val="9"/>
    <w:qFormat/>
    <w:rPr>
      <w:rFonts w:ascii="Arial" w:hAnsi="Arial" w:eastAsia="Arial" w:cs="Arial"/>
      <w:b/>
      <w:bCs/>
      <w:sz w:val="24"/>
      <w:szCs w:val="24"/>
    </w:rPr>
  </w:style>
  <w:style w:type="character" w:styleId="883" w:customStyle="1">
    <w:name w:val="标题 6 字符"/>
    <w:link w:val="814"/>
    <w:uiPriority w:val="9"/>
    <w:qFormat/>
    <w:rPr>
      <w:rFonts w:ascii="Arial" w:hAnsi="Arial" w:eastAsia="Arial" w:cs="Arial"/>
      <w:b/>
      <w:bCs/>
      <w:sz w:val="22"/>
      <w:szCs w:val="22"/>
    </w:rPr>
  </w:style>
  <w:style w:type="character" w:styleId="884" w:customStyle="1">
    <w:name w:val="标题 7 字符"/>
    <w:link w:val="815"/>
    <w:uiPriority w:val="9"/>
    <w:qFormat/>
    <w:rPr>
      <w:rFonts w:ascii="Arial" w:hAnsi="Arial" w:eastAsia="Arial" w:cs="Arial"/>
      <w:b/>
      <w:bCs/>
      <w:i/>
      <w:iCs/>
      <w:sz w:val="22"/>
      <w:szCs w:val="22"/>
    </w:rPr>
  </w:style>
  <w:style w:type="character" w:styleId="885" w:customStyle="1">
    <w:name w:val="标题 8 字符"/>
    <w:link w:val="816"/>
    <w:uiPriority w:val="9"/>
    <w:qFormat/>
    <w:rPr>
      <w:rFonts w:ascii="Arial" w:hAnsi="Arial" w:eastAsia="Arial" w:cs="Arial"/>
      <w:i/>
      <w:iCs/>
      <w:sz w:val="22"/>
      <w:szCs w:val="22"/>
    </w:rPr>
  </w:style>
  <w:style w:type="character" w:styleId="886" w:customStyle="1">
    <w:name w:val="标题 9 字符"/>
    <w:link w:val="817"/>
    <w:uiPriority w:val="9"/>
    <w:qFormat/>
    <w:rPr>
      <w:rFonts w:ascii="Arial" w:hAnsi="Arial" w:eastAsia="Arial" w:cs="Arial"/>
      <w:i/>
      <w:iCs/>
      <w:sz w:val="21"/>
      <w:szCs w:val="21"/>
    </w:rPr>
  </w:style>
  <w:style w:type="paragraph" w:styleId="887">
    <w:name w:val="List Paragraph"/>
    <w:basedOn w:val="808"/>
    <w:uiPriority w:val="34"/>
    <w:qFormat/>
    <w:pPr>
      <w:contextualSpacing/>
      <w:ind w:left="720"/>
    </w:pPr>
  </w:style>
  <w:style w:type="paragraph" w:styleId="888">
    <w:name w:val="No Spacing"/>
    <w:uiPriority w:val="1"/>
    <w:qFormat/>
    <w:rPr>
      <w:rFonts w:hint="default" w:ascii="Times New Roman" w:hAnsi="Times New Roman" w:eastAsia="宋体" w:cs="Times New Roman"/>
      <w:lang w:val="en-US" w:eastAsia="zh-CN" w:bidi="ar-SA"/>
    </w:rPr>
  </w:style>
  <w:style w:type="character" w:styleId="889" w:customStyle="1">
    <w:name w:val="标题 字符"/>
    <w:link w:val="836"/>
    <w:uiPriority w:val="10"/>
    <w:qFormat/>
    <w:rPr>
      <w:sz w:val="48"/>
      <w:szCs w:val="48"/>
    </w:rPr>
  </w:style>
  <w:style w:type="character" w:styleId="890" w:customStyle="1">
    <w:name w:val="副标题 字符"/>
    <w:link w:val="830"/>
    <w:uiPriority w:val="11"/>
    <w:qFormat/>
    <w:rPr>
      <w:sz w:val="24"/>
      <w:szCs w:val="24"/>
    </w:rPr>
  </w:style>
  <w:style w:type="paragraph" w:styleId="891">
    <w:name w:val="Quote"/>
    <w:basedOn w:val="808"/>
    <w:next w:val="808"/>
    <w:link w:val="892"/>
    <w:uiPriority w:val="29"/>
    <w:qFormat/>
    <w:pPr>
      <w:ind w:left="720" w:right="720"/>
    </w:pPr>
    <w:rPr>
      <w:i/>
    </w:rPr>
  </w:style>
  <w:style w:type="character" w:styleId="892" w:customStyle="1">
    <w:name w:val="引用 字符"/>
    <w:link w:val="891"/>
    <w:uiPriority w:val="29"/>
    <w:qFormat/>
    <w:rPr>
      <w:i/>
    </w:rPr>
  </w:style>
  <w:style w:type="paragraph" w:styleId="893">
    <w:name w:val="Intense Quote"/>
    <w:basedOn w:val="808"/>
    <w:next w:val="808"/>
    <w:link w:val="8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4" w:customStyle="1">
    <w:name w:val="明显引用 字符"/>
    <w:link w:val="893"/>
    <w:uiPriority w:val="30"/>
    <w:qFormat/>
    <w:rPr>
      <w:i/>
    </w:rPr>
  </w:style>
  <w:style w:type="character" w:styleId="895" w:customStyle="1">
    <w:name w:val="页眉 字符"/>
    <w:link w:val="827"/>
    <w:uiPriority w:val="99"/>
    <w:qFormat/>
  </w:style>
  <w:style w:type="character" w:styleId="896" w:customStyle="1">
    <w:name w:val="Footer Char"/>
    <w:uiPriority w:val="99"/>
    <w:qFormat/>
  </w:style>
  <w:style w:type="character" w:styleId="897" w:customStyle="1">
    <w:name w:val="页脚 字符"/>
    <w:link w:val="826"/>
    <w:uiPriority w:val="99"/>
    <w:qFormat/>
  </w:style>
  <w:style w:type="table" w:styleId="89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9"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0"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01" w:customStyle="1">
    <w:name w:val="无格式表格 31"/>
    <w:uiPriority w:val="99"/>
    <w:qFormat/>
    <w:tblPr>
      <w:tblCellMar>
        <w:left w:w="0" w:type="dxa"/>
        <w:top w:w="0" w:type="dxa"/>
        <w:right w:w="0" w:type="dxa"/>
        <w:bottom w:w="0" w:type="dxa"/>
      </w:tblCellMar>
    </w:tblPr>
  </w:style>
  <w:style w:type="table" w:styleId="902" w:customStyle="1">
    <w:name w:val="无格式表格 41"/>
    <w:uiPriority w:val="99"/>
    <w:qFormat/>
    <w:tblPr>
      <w:tblCellMar>
        <w:left w:w="0" w:type="dxa"/>
        <w:top w:w="0" w:type="dxa"/>
        <w:right w:w="0" w:type="dxa"/>
        <w:bottom w:w="0" w:type="dxa"/>
      </w:tblCellMar>
    </w:tblPr>
  </w:style>
  <w:style w:type="table" w:styleId="903" w:customStyle="1">
    <w:name w:val="无格式表格 51"/>
    <w:uiPriority w:val="99"/>
    <w:qFormat/>
    <w:tblPr>
      <w:tblCellMar>
        <w:left w:w="0" w:type="dxa"/>
        <w:top w:w="0" w:type="dxa"/>
        <w:right w:w="0" w:type="dxa"/>
        <w:bottom w:w="0" w:type="dxa"/>
      </w:tblCellMar>
    </w:tblPr>
  </w:style>
  <w:style w:type="table" w:styleId="904"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0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11"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8"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5"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2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3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2"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9"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6"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3" w:customStyle="1">
    <w:name w:val="清单表 1 浅色1"/>
    <w:uiPriority w:val="99"/>
    <w:qFormat/>
    <w:tblPr>
      <w:tblCellMar>
        <w:left w:w="0" w:type="dxa"/>
        <w:top w:w="0" w:type="dxa"/>
        <w:right w:w="0" w:type="dxa"/>
        <w:bottom w:w="0" w:type="dxa"/>
      </w:tblCellMar>
    </w:tblPr>
  </w:style>
  <w:style w:type="table" w:styleId="954" w:customStyle="1">
    <w:name w:val="List Table 1 Light - Accent 1"/>
    <w:uiPriority w:val="99"/>
    <w:qFormat/>
    <w:tblPr>
      <w:tblCellMar>
        <w:left w:w="0" w:type="dxa"/>
        <w:top w:w="0" w:type="dxa"/>
        <w:right w:w="0" w:type="dxa"/>
        <w:bottom w:w="0" w:type="dxa"/>
      </w:tblCellMar>
    </w:tblPr>
  </w:style>
  <w:style w:type="table" w:styleId="955" w:customStyle="1">
    <w:name w:val="List Table 1 Light - Accent 2"/>
    <w:uiPriority w:val="99"/>
    <w:qFormat/>
    <w:tblPr>
      <w:tblCellMar>
        <w:left w:w="0" w:type="dxa"/>
        <w:top w:w="0" w:type="dxa"/>
        <w:right w:w="0" w:type="dxa"/>
        <w:bottom w:w="0" w:type="dxa"/>
      </w:tblCellMar>
    </w:tblPr>
  </w:style>
  <w:style w:type="table" w:styleId="956" w:customStyle="1">
    <w:name w:val="List Table 1 Light - Accent 3"/>
    <w:uiPriority w:val="99"/>
    <w:qFormat/>
    <w:tblPr>
      <w:tblCellMar>
        <w:left w:w="0" w:type="dxa"/>
        <w:top w:w="0" w:type="dxa"/>
        <w:right w:w="0" w:type="dxa"/>
        <w:bottom w:w="0" w:type="dxa"/>
      </w:tblCellMar>
    </w:tblPr>
  </w:style>
  <w:style w:type="table" w:styleId="957" w:customStyle="1">
    <w:name w:val="List Table 1 Light - Accent 4"/>
    <w:uiPriority w:val="99"/>
    <w:qFormat/>
    <w:tblPr>
      <w:tblCellMar>
        <w:left w:w="0" w:type="dxa"/>
        <w:top w:w="0" w:type="dxa"/>
        <w:right w:w="0" w:type="dxa"/>
        <w:bottom w:w="0" w:type="dxa"/>
      </w:tblCellMar>
    </w:tblPr>
  </w:style>
  <w:style w:type="table" w:styleId="958" w:customStyle="1">
    <w:name w:val="List Table 1 Light - Accent 5"/>
    <w:uiPriority w:val="99"/>
    <w:qFormat/>
    <w:tblPr>
      <w:tblCellMar>
        <w:left w:w="0" w:type="dxa"/>
        <w:top w:w="0" w:type="dxa"/>
        <w:right w:w="0" w:type="dxa"/>
        <w:bottom w:w="0" w:type="dxa"/>
      </w:tblCellMar>
    </w:tblPr>
  </w:style>
  <w:style w:type="table" w:styleId="959" w:customStyle="1">
    <w:name w:val="List Table 1 Light - Accent 6"/>
    <w:uiPriority w:val="99"/>
    <w:qFormat/>
    <w:tblPr>
      <w:tblCellMar>
        <w:left w:w="0" w:type="dxa"/>
        <w:top w:w="0" w:type="dxa"/>
        <w:right w:w="0" w:type="dxa"/>
        <w:bottom w:w="0" w:type="dxa"/>
      </w:tblCellMar>
    </w:tblPr>
  </w:style>
  <w:style w:type="table" w:styleId="960"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6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6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6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6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6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7"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6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7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7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7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7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74"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7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7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7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8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81"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8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8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8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8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8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8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8"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8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9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9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9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9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9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95"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9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9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0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0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02" w:customStyle="1">
    <w:name w:val="Lined - Accent"/>
    <w:uiPriority w:val="99"/>
    <w:qFormat/>
    <w:rPr>
      <w:color w:val="404040"/>
    </w:rPr>
    <w:tblPr>
      <w:tblCellMar>
        <w:left w:w="0" w:type="dxa"/>
        <w:top w:w="0" w:type="dxa"/>
        <w:right w:w="0" w:type="dxa"/>
        <w:bottom w:w="0" w:type="dxa"/>
      </w:tblCellMar>
    </w:tblPr>
  </w:style>
  <w:style w:type="table" w:styleId="1003" w:customStyle="1">
    <w:name w:val="Lined - Accent 1"/>
    <w:uiPriority w:val="99"/>
    <w:qFormat/>
    <w:rPr>
      <w:color w:val="404040"/>
    </w:rPr>
    <w:tblPr>
      <w:tblCellMar>
        <w:left w:w="0" w:type="dxa"/>
        <w:top w:w="0" w:type="dxa"/>
        <w:right w:w="0" w:type="dxa"/>
        <w:bottom w:w="0" w:type="dxa"/>
      </w:tblCellMar>
    </w:tblPr>
  </w:style>
  <w:style w:type="table" w:styleId="1004" w:customStyle="1">
    <w:name w:val="Lined - Accent 2"/>
    <w:uiPriority w:val="99"/>
    <w:qFormat/>
    <w:rPr>
      <w:color w:val="404040"/>
    </w:rPr>
    <w:tblPr>
      <w:tblCellMar>
        <w:left w:w="0" w:type="dxa"/>
        <w:top w:w="0" w:type="dxa"/>
        <w:right w:w="0" w:type="dxa"/>
        <w:bottom w:w="0" w:type="dxa"/>
      </w:tblCellMar>
    </w:tblPr>
  </w:style>
  <w:style w:type="table" w:styleId="1005" w:customStyle="1">
    <w:name w:val="Lined - Accent 3"/>
    <w:uiPriority w:val="99"/>
    <w:qFormat/>
    <w:rPr>
      <w:color w:val="404040"/>
    </w:rPr>
    <w:tblPr>
      <w:tblCellMar>
        <w:left w:w="0" w:type="dxa"/>
        <w:top w:w="0" w:type="dxa"/>
        <w:right w:w="0" w:type="dxa"/>
        <w:bottom w:w="0" w:type="dxa"/>
      </w:tblCellMar>
    </w:tblPr>
  </w:style>
  <w:style w:type="table" w:styleId="1006" w:customStyle="1">
    <w:name w:val="Lined - Accent 4"/>
    <w:uiPriority w:val="99"/>
    <w:qFormat/>
    <w:rPr>
      <w:color w:val="404040"/>
    </w:rPr>
    <w:tblPr>
      <w:tblCellMar>
        <w:left w:w="0" w:type="dxa"/>
        <w:top w:w="0" w:type="dxa"/>
        <w:right w:w="0" w:type="dxa"/>
        <w:bottom w:w="0" w:type="dxa"/>
      </w:tblCellMar>
    </w:tblPr>
  </w:style>
  <w:style w:type="table" w:styleId="1007" w:customStyle="1">
    <w:name w:val="Lined - Accent 5"/>
    <w:uiPriority w:val="99"/>
    <w:qFormat/>
    <w:rPr>
      <w:color w:val="404040"/>
    </w:rPr>
    <w:tblPr>
      <w:tblCellMar>
        <w:left w:w="0" w:type="dxa"/>
        <w:top w:w="0" w:type="dxa"/>
        <w:right w:w="0" w:type="dxa"/>
        <w:bottom w:w="0" w:type="dxa"/>
      </w:tblCellMar>
    </w:tblPr>
  </w:style>
  <w:style w:type="table" w:styleId="1008" w:customStyle="1">
    <w:name w:val="Lined - Accent 6"/>
    <w:uiPriority w:val="99"/>
    <w:qFormat/>
    <w:rPr>
      <w:color w:val="404040"/>
    </w:rPr>
    <w:tblPr>
      <w:tblCellMar>
        <w:left w:w="0" w:type="dxa"/>
        <w:top w:w="0" w:type="dxa"/>
        <w:right w:w="0" w:type="dxa"/>
        <w:bottom w:w="0" w:type="dxa"/>
      </w:tblCellMar>
    </w:tblPr>
  </w:style>
  <w:style w:type="table" w:styleId="100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1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1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1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1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1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1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1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1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2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2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2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23" w:customStyle="1">
    <w:name w:val="脚注文本 字符"/>
    <w:link w:val="831"/>
    <w:uiPriority w:val="99"/>
    <w:qFormat/>
    <w:rPr>
      <w:sz w:val="18"/>
    </w:rPr>
  </w:style>
  <w:style w:type="character" w:styleId="1024" w:customStyle="1">
    <w:name w:val="尾注文本 字符"/>
    <w:link w:val="825"/>
    <w:uiPriority w:val="99"/>
    <w:qFormat/>
    <w:rPr>
      <w:sz w:val="20"/>
    </w:rPr>
  </w:style>
  <w:style w:type="paragraph" w:styleId="1025" w:customStyle="1">
    <w:name w:val="TOC 标题1"/>
    <w:uiPriority w:val="39"/>
    <w:unhideWhenUsed/>
    <w:qFormat/>
    <w:rPr>
      <w:rFonts w:hint="default" w:ascii="Times New Roman" w:hAnsi="Times New Roman" w:eastAsia="宋体" w:cs="Times New Roman"/>
      <w:lang w:val="en-US" w:eastAsia="zh-CN" w:bidi="ar-SA"/>
    </w:rPr>
  </w:style>
  <w:style w:type="paragraph" w:styleId="1026" w:customStyle="1">
    <w:name w:val="标题 11"/>
    <w:basedOn w:val="808"/>
    <w:next w:val="808"/>
    <w:link w:val="1038"/>
    <w:uiPriority w:val="0"/>
    <w:qFormat/>
    <w:pPr>
      <w:jc w:val="center"/>
      <w:keepLines/>
      <w:keepNext/>
      <w:spacing w:before="240" w:after="120" w:line="300" w:lineRule="auto"/>
      <w:outlineLvl w:val="0"/>
    </w:pPr>
    <w:rPr>
      <w:rFonts w:ascii="宋体"/>
      <w:b/>
      <w:sz w:val="32"/>
      <w:szCs w:val="20"/>
    </w:rPr>
  </w:style>
  <w:style w:type="paragraph" w:styleId="1027" w:customStyle="1">
    <w:name w:val="标题 21"/>
    <w:basedOn w:val="808"/>
    <w:next w:val="1028"/>
    <w:link w:val="1039"/>
    <w:uiPriority w:val="0"/>
    <w:qFormat/>
    <w:pPr>
      <w:jc w:val="center"/>
      <w:keepLines/>
      <w:keepNext/>
      <w:spacing w:before="120" w:line="300" w:lineRule="auto"/>
      <w:outlineLvl w:val="1"/>
    </w:pPr>
    <w:rPr>
      <w:rFonts w:ascii="Arial" w:hAnsi="Arial" w:eastAsia="黑体"/>
      <w:b/>
      <w:sz w:val="30"/>
      <w:szCs w:val="20"/>
    </w:rPr>
  </w:style>
  <w:style w:type="paragraph" w:styleId="1028" w:customStyle="1">
    <w:name w:val="正文缩进11"/>
    <w:basedOn w:val="808"/>
    <w:link w:val="1040"/>
    <w:uiPriority w:val="0"/>
    <w:qFormat/>
    <w:pPr>
      <w:ind w:firstLine="420"/>
      <w:jc w:val="left"/>
    </w:pPr>
    <w:rPr>
      <w:rFonts w:ascii="宋体"/>
      <w:sz w:val="24"/>
    </w:rPr>
  </w:style>
  <w:style w:type="paragraph" w:styleId="1029" w:customStyle="1">
    <w:name w:val="标题 31"/>
    <w:basedOn w:val="808"/>
    <w:next w:val="1028"/>
    <w:link w:val="1041"/>
    <w:uiPriority w:val="0"/>
    <w:qFormat/>
    <w:pPr>
      <w:jc w:val="left"/>
      <w:keepLines/>
      <w:keepNext/>
      <w:spacing w:before="360" w:after="120"/>
      <w:outlineLvl w:val="2"/>
    </w:pPr>
    <w:rPr>
      <w:rFonts w:ascii="宋体"/>
      <w:b/>
      <w:sz w:val="24"/>
      <w:szCs w:val="20"/>
      <w:u w:val="single"/>
    </w:rPr>
  </w:style>
  <w:style w:type="paragraph" w:styleId="1030" w:customStyle="1">
    <w:name w:val="标题 41"/>
    <w:basedOn w:val="808"/>
    <w:next w:val="808"/>
    <w:link w:val="1042"/>
    <w:uiPriority w:val="0"/>
    <w:qFormat/>
    <w:pPr>
      <w:keepLines/>
      <w:keepNext/>
      <w:spacing w:before="280" w:after="290" w:line="376" w:lineRule="atLeast"/>
      <w:outlineLvl w:val="3"/>
    </w:pPr>
    <w:rPr>
      <w:rFonts w:ascii="Arial" w:hAnsi="Arial" w:eastAsia="黑体"/>
      <w:b/>
      <w:sz w:val="28"/>
      <w:szCs w:val="20"/>
    </w:rPr>
  </w:style>
  <w:style w:type="paragraph" w:styleId="1031" w:customStyle="1">
    <w:name w:val="标题 51"/>
    <w:basedOn w:val="808"/>
    <w:next w:val="808"/>
    <w:link w:val="1043"/>
    <w:uiPriority w:val="0"/>
    <w:qFormat/>
    <w:pPr>
      <w:keepLines/>
      <w:keepNext/>
      <w:spacing w:before="280" w:after="290" w:line="376" w:lineRule="atLeast"/>
      <w:outlineLvl w:val="4"/>
    </w:pPr>
    <w:rPr>
      <w:b/>
      <w:sz w:val="28"/>
      <w:szCs w:val="20"/>
    </w:rPr>
  </w:style>
  <w:style w:type="paragraph" w:styleId="1032" w:customStyle="1">
    <w:name w:val="标题 61"/>
    <w:basedOn w:val="808"/>
    <w:next w:val="808"/>
    <w:link w:val="1044"/>
    <w:uiPriority w:val="0"/>
    <w:qFormat/>
    <w:pPr>
      <w:keepLines/>
      <w:keepNext/>
      <w:spacing w:before="240" w:after="64" w:line="320" w:lineRule="atLeast"/>
      <w:outlineLvl w:val="5"/>
    </w:pPr>
    <w:rPr>
      <w:rFonts w:ascii="Arial" w:hAnsi="Arial" w:eastAsia="黑体"/>
      <w:b/>
      <w:sz w:val="24"/>
      <w:szCs w:val="20"/>
    </w:rPr>
  </w:style>
  <w:style w:type="paragraph" w:styleId="1033" w:customStyle="1">
    <w:name w:val="标题 71"/>
    <w:basedOn w:val="808"/>
    <w:next w:val="808"/>
    <w:link w:val="1045"/>
    <w:uiPriority w:val="0"/>
    <w:qFormat/>
    <w:pPr>
      <w:keepLines/>
      <w:keepNext/>
      <w:spacing w:before="240" w:after="64" w:line="320" w:lineRule="atLeast"/>
      <w:outlineLvl w:val="6"/>
    </w:pPr>
    <w:rPr>
      <w:b/>
      <w:sz w:val="24"/>
      <w:szCs w:val="20"/>
    </w:rPr>
  </w:style>
  <w:style w:type="paragraph" w:styleId="1034" w:customStyle="1">
    <w:name w:val="标题 81"/>
    <w:basedOn w:val="808"/>
    <w:next w:val="808"/>
    <w:link w:val="1046"/>
    <w:uiPriority w:val="0"/>
    <w:qFormat/>
    <w:pPr>
      <w:keepLines/>
      <w:keepNext/>
      <w:spacing w:before="240" w:after="64" w:line="320" w:lineRule="atLeast"/>
      <w:outlineLvl w:val="7"/>
    </w:pPr>
    <w:rPr>
      <w:rFonts w:ascii="Arial" w:hAnsi="Arial" w:eastAsia="黑体"/>
      <w:sz w:val="24"/>
      <w:szCs w:val="20"/>
    </w:rPr>
  </w:style>
  <w:style w:type="paragraph" w:styleId="1035" w:customStyle="1">
    <w:name w:val="标题 91"/>
    <w:basedOn w:val="808"/>
    <w:next w:val="808"/>
    <w:link w:val="1047"/>
    <w:uiPriority w:val="0"/>
    <w:qFormat/>
    <w:pPr>
      <w:keepLines/>
      <w:keepNext/>
      <w:spacing w:before="240" w:after="64" w:line="320" w:lineRule="atLeast"/>
      <w:outlineLvl w:val="8"/>
    </w:pPr>
    <w:rPr>
      <w:rFonts w:ascii="Arial" w:hAnsi="Arial" w:eastAsia="黑体"/>
      <w:szCs w:val="20"/>
    </w:rPr>
  </w:style>
  <w:style w:type="character" w:styleId="1036" w:customStyle="1">
    <w:name w:val="默认段落字体1"/>
    <w:uiPriority w:val="1"/>
    <w:unhideWhenUsed/>
    <w:qFormat/>
  </w:style>
  <w:style w:type="table" w:styleId="1037" w:customStyle="1">
    <w:name w:val="普通表格1"/>
    <w:uiPriority w:val="99"/>
    <w:unhideWhenUsed/>
    <w:qFormat/>
    <w:tblPr>
      <w:tblCellMar>
        <w:left w:w="0" w:type="dxa"/>
        <w:top w:w="0" w:type="dxa"/>
        <w:right w:w="0" w:type="dxa"/>
        <w:bottom w:w="0" w:type="dxa"/>
      </w:tblCellMar>
    </w:tblPr>
  </w:style>
  <w:style w:type="character" w:styleId="1038" w:customStyle="1">
    <w:name w:val="标题 1 Char"/>
    <w:link w:val="1026"/>
    <w:uiPriority w:val="0"/>
    <w:qFormat/>
    <w:rPr>
      <w:rFonts w:ascii="宋体"/>
      <w:b/>
      <w:sz w:val="32"/>
    </w:rPr>
  </w:style>
  <w:style w:type="character" w:styleId="1039" w:customStyle="1">
    <w:name w:val="标题 2 Char1"/>
    <w:link w:val="1027"/>
    <w:uiPriority w:val="0"/>
    <w:qFormat/>
    <w:rPr>
      <w:rFonts w:ascii="Arial" w:hAnsi="Arial" w:eastAsia="黑体"/>
      <w:b/>
      <w:sz w:val="30"/>
      <w:lang w:val="en-US" w:eastAsia="zh-CN" w:bidi="ar-SA"/>
    </w:rPr>
  </w:style>
  <w:style w:type="character" w:styleId="1040" w:customStyle="1">
    <w:name w:val="正文缩进 Char1"/>
    <w:link w:val="1028"/>
    <w:uiPriority w:val="0"/>
    <w:qFormat/>
    <w:rPr>
      <w:rFonts w:ascii="宋体" w:eastAsia="宋体"/>
      <w:sz w:val="24"/>
      <w:szCs w:val="24"/>
      <w:lang w:val="en-US" w:eastAsia="zh-CN" w:bidi="ar-SA"/>
    </w:rPr>
  </w:style>
  <w:style w:type="character" w:styleId="1041" w:customStyle="1">
    <w:name w:val="标题 3 Char1"/>
    <w:link w:val="1029"/>
    <w:uiPriority w:val="0"/>
    <w:qFormat/>
    <w:rPr>
      <w:rFonts w:ascii="宋体" w:eastAsia="宋体"/>
      <w:b/>
      <w:sz w:val="24"/>
      <w:u w:val="single"/>
      <w:lang w:val="en-US" w:eastAsia="zh-CN" w:bidi="ar-SA"/>
    </w:rPr>
  </w:style>
  <w:style w:type="character" w:styleId="1042" w:customStyle="1">
    <w:name w:val="标题 4 Char"/>
    <w:link w:val="1030"/>
    <w:uiPriority w:val="0"/>
    <w:qFormat/>
    <w:rPr>
      <w:rFonts w:ascii="Arial" w:hAnsi="Arial" w:eastAsia="黑体"/>
      <w:b/>
      <w:sz w:val="28"/>
    </w:rPr>
  </w:style>
  <w:style w:type="character" w:styleId="1043" w:customStyle="1">
    <w:name w:val="标题 5 Char"/>
    <w:link w:val="1031"/>
    <w:uiPriority w:val="0"/>
    <w:qFormat/>
    <w:rPr>
      <w:b/>
      <w:sz w:val="28"/>
    </w:rPr>
  </w:style>
  <w:style w:type="character" w:styleId="1044" w:customStyle="1">
    <w:name w:val="标题 6 Char"/>
    <w:link w:val="1032"/>
    <w:uiPriority w:val="0"/>
    <w:qFormat/>
    <w:rPr>
      <w:rFonts w:ascii="Arial" w:hAnsi="Arial" w:eastAsia="黑体"/>
      <w:b/>
      <w:sz w:val="24"/>
    </w:rPr>
  </w:style>
  <w:style w:type="character" w:styleId="1045" w:customStyle="1">
    <w:name w:val="标题 7 Char"/>
    <w:link w:val="1033"/>
    <w:uiPriority w:val="0"/>
    <w:qFormat/>
    <w:rPr>
      <w:b/>
      <w:sz w:val="24"/>
    </w:rPr>
  </w:style>
  <w:style w:type="character" w:styleId="1046" w:customStyle="1">
    <w:name w:val="标题 8 Char"/>
    <w:link w:val="1034"/>
    <w:uiPriority w:val="0"/>
    <w:qFormat/>
    <w:rPr>
      <w:rFonts w:ascii="Arial" w:hAnsi="Arial" w:eastAsia="黑体"/>
      <w:sz w:val="24"/>
    </w:rPr>
  </w:style>
  <w:style w:type="character" w:styleId="1047" w:customStyle="1">
    <w:name w:val="标题 9 Char"/>
    <w:link w:val="1035"/>
    <w:uiPriority w:val="0"/>
    <w:qFormat/>
    <w:rPr>
      <w:rFonts w:ascii="Arial" w:hAnsi="Arial" w:eastAsia="黑体"/>
      <w:sz w:val="21"/>
    </w:rPr>
  </w:style>
  <w:style w:type="paragraph" w:styleId="1048" w:customStyle="1">
    <w:name w:val="目录 71"/>
    <w:basedOn w:val="808"/>
    <w:next w:val="808"/>
    <w:uiPriority w:val="0"/>
    <w:qFormat/>
    <w:pPr>
      <w:ind w:left="2520"/>
    </w:pPr>
  </w:style>
  <w:style w:type="paragraph" w:styleId="1049" w:customStyle="1">
    <w:name w:val="题注1"/>
    <w:basedOn w:val="808"/>
    <w:next w:val="808"/>
    <w:uiPriority w:val="0"/>
    <w:qFormat/>
    <w:pPr>
      <w:spacing w:line="480" w:lineRule="auto"/>
    </w:pPr>
    <w:rPr>
      <w:rFonts w:ascii="华文中宋" w:hAnsi="华文中宋" w:eastAsia="华文中宋"/>
      <w:sz w:val="36"/>
      <w:szCs w:val="20"/>
    </w:rPr>
  </w:style>
  <w:style w:type="paragraph" w:styleId="1050" w:customStyle="1">
    <w:name w:val="文档结构图1"/>
    <w:basedOn w:val="808"/>
    <w:link w:val="1051"/>
    <w:uiPriority w:val="0"/>
    <w:qFormat/>
    <w:pPr>
      <w:shd w:val="clear" w:color="auto" w:fill="000080"/>
    </w:pPr>
  </w:style>
  <w:style w:type="character" w:styleId="1051" w:customStyle="1">
    <w:name w:val="文档结构图 Char"/>
    <w:link w:val="1050"/>
    <w:uiPriority w:val="0"/>
    <w:qFormat/>
    <w:rPr>
      <w:sz w:val="21"/>
      <w:szCs w:val="24"/>
      <w:shd w:val="clear" w:color="auto" w:fill="000080"/>
    </w:rPr>
  </w:style>
  <w:style w:type="paragraph" w:styleId="1052" w:customStyle="1">
    <w:name w:val="批注文字1"/>
    <w:basedOn w:val="808"/>
    <w:link w:val="1053"/>
    <w:uiPriority w:val="99"/>
    <w:qFormat/>
    <w:pPr>
      <w:jc w:val="left"/>
    </w:pPr>
  </w:style>
  <w:style w:type="character" w:styleId="1053" w:customStyle="1">
    <w:name w:val="批注文字 Char1"/>
    <w:link w:val="1052"/>
    <w:uiPriority w:val="99"/>
    <w:qFormat/>
    <w:rPr>
      <w:sz w:val="21"/>
      <w:szCs w:val="24"/>
    </w:rPr>
  </w:style>
  <w:style w:type="paragraph" w:styleId="1054" w:customStyle="1">
    <w:name w:val="正文文本 31"/>
    <w:basedOn w:val="808"/>
    <w:link w:val="1055"/>
    <w:uiPriority w:val="0"/>
    <w:qFormat/>
    <w:pPr>
      <w:spacing w:after="120"/>
    </w:pPr>
    <w:rPr>
      <w:sz w:val="16"/>
      <w:szCs w:val="16"/>
    </w:rPr>
  </w:style>
  <w:style w:type="character" w:styleId="1055" w:customStyle="1">
    <w:name w:val="正文文本 3 Char"/>
    <w:link w:val="1054"/>
    <w:uiPriority w:val="0"/>
    <w:qFormat/>
    <w:rPr>
      <w:sz w:val="16"/>
      <w:szCs w:val="16"/>
    </w:rPr>
  </w:style>
  <w:style w:type="paragraph" w:styleId="1056" w:customStyle="1">
    <w:name w:val="正文文本1"/>
    <w:basedOn w:val="808"/>
    <w:next w:val="808"/>
    <w:link w:val="1057"/>
    <w:uiPriority w:val="0"/>
    <w:qFormat/>
    <w:pPr>
      <w:spacing w:before="120" w:line="22" w:lineRule="atLeast"/>
      <w:tabs>
        <w:tab w:val="left" w:pos="567" w:leader="none"/>
      </w:tabs>
    </w:pPr>
    <w:rPr>
      <w:rFonts w:ascii="宋体" w:hAnsi="宋体"/>
      <w:sz w:val="24"/>
    </w:rPr>
  </w:style>
  <w:style w:type="character" w:styleId="1057" w:customStyle="1">
    <w:name w:val="正文文本 Char"/>
    <w:link w:val="1056"/>
    <w:uiPriority w:val="0"/>
    <w:qFormat/>
    <w:rPr>
      <w:rFonts w:ascii="宋体" w:hAnsi="宋体"/>
      <w:sz w:val="24"/>
      <w:szCs w:val="24"/>
    </w:rPr>
  </w:style>
  <w:style w:type="paragraph" w:styleId="1058" w:customStyle="1">
    <w:name w:val="正文文本缩进11"/>
    <w:basedOn w:val="808"/>
    <w:link w:val="1059"/>
    <w:uiPriority w:val="0"/>
    <w:qFormat/>
    <w:pPr>
      <w:ind w:firstLine="570"/>
      <w:spacing w:line="360" w:lineRule="auto"/>
    </w:pPr>
    <w:rPr>
      <w:sz w:val="24"/>
    </w:rPr>
  </w:style>
  <w:style w:type="character" w:styleId="1059" w:customStyle="1">
    <w:name w:val="正文文本缩进 Char2"/>
    <w:link w:val="1058"/>
    <w:uiPriority w:val="0"/>
    <w:qFormat/>
    <w:rPr>
      <w:rFonts w:eastAsia="宋体"/>
      <w:sz w:val="24"/>
      <w:szCs w:val="24"/>
      <w:lang w:val="en-US" w:eastAsia="zh-CN" w:bidi="ar-SA"/>
    </w:rPr>
  </w:style>
  <w:style w:type="paragraph" w:styleId="1060" w:customStyle="1">
    <w:name w:val="列表 21"/>
    <w:basedOn w:val="808"/>
    <w:uiPriority w:val="0"/>
    <w:qFormat/>
    <w:pPr>
      <w:ind w:left="100" w:hanging="200"/>
    </w:pPr>
  </w:style>
  <w:style w:type="paragraph" w:styleId="1061" w:customStyle="1">
    <w:name w:val="文本块1"/>
    <w:basedOn w:val="808"/>
    <w:uiPriority w:val="0"/>
    <w:qFormat/>
    <w:pPr>
      <w:ind w:left="480" w:right="-341" w:firstLine="513"/>
      <w:widowControl/>
    </w:pPr>
    <w:rPr>
      <w:sz w:val="24"/>
      <w:szCs w:val="20"/>
    </w:rPr>
  </w:style>
  <w:style w:type="paragraph" w:styleId="1062" w:customStyle="1">
    <w:name w:val="目录 51"/>
    <w:basedOn w:val="808"/>
    <w:next w:val="808"/>
    <w:uiPriority w:val="0"/>
    <w:qFormat/>
    <w:pPr>
      <w:ind w:left="1680"/>
    </w:pPr>
  </w:style>
  <w:style w:type="paragraph" w:styleId="1063" w:customStyle="1">
    <w:name w:val="目录 31"/>
    <w:basedOn w:val="808"/>
    <w:next w:val="808"/>
    <w:uiPriority w:val="39"/>
    <w:qFormat/>
    <w:pPr>
      <w:ind w:left="840"/>
    </w:pPr>
  </w:style>
  <w:style w:type="paragraph" w:styleId="1064" w:customStyle="1">
    <w:name w:val="纯文本1"/>
    <w:basedOn w:val="808"/>
    <w:next w:val="1028"/>
    <w:link w:val="1065"/>
    <w:uiPriority w:val="0"/>
    <w:qFormat/>
    <w:rPr>
      <w:rFonts w:hint="eastAsia" w:ascii="宋体" w:hAnsi="Courier New"/>
      <w:szCs w:val="20"/>
    </w:rPr>
  </w:style>
  <w:style w:type="character" w:styleId="1065" w:customStyle="1">
    <w:name w:val="纯文本 Char"/>
    <w:link w:val="1064"/>
    <w:uiPriority w:val="0"/>
    <w:qFormat/>
    <w:rPr>
      <w:rFonts w:hint="eastAsia" w:ascii="宋体" w:hAnsi="Courier New" w:eastAsia="宋体" w:cs="宋体"/>
      <w:sz w:val="21"/>
    </w:rPr>
  </w:style>
  <w:style w:type="paragraph" w:styleId="1066" w:customStyle="1">
    <w:name w:val="目录 81"/>
    <w:basedOn w:val="808"/>
    <w:next w:val="808"/>
    <w:uiPriority w:val="0"/>
    <w:qFormat/>
    <w:pPr>
      <w:ind w:left="2940"/>
    </w:pPr>
  </w:style>
  <w:style w:type="paragraph" w:styleId="1067" w:customStyle="1">
    <w:name w:val="日期1"/>
    <w:basedOn w:val="808"/>
    <w:next w:val="808"/>
    <w:link w:val="1068"/>
    <w:uiPriority w:val="0"/>
    <w:qFormat/>
    <w:pPr>
      <w:ind w:left="100"/>
    </w:pPr>
    <w:rPr>
      <w:rFonts w:ascii="仿宋_GB2312" w:hAnsi="宋体" w:eastAsia="仿宋_GB2312"/>
      <w:color w:val="000000"/>
      <w:sz w:val="24"/>
    </w:rPr>
  </w:style>
  <w:style w:type="character" w:styleId="1068" w:customStyle="1">
    <w:name w:val="日期 Char"/>
    <w:link w:val="1067"/>
    <w:uiPriority w:val="0"/>
    <w:qFormat/>
    <w:rPr>
      <w:rFonts w:ascii="仿宋_GB2312" w:hAnsi="宋体" w:eastAsia="仿宋_GB2312"/>
      <w:color w:val="000000"/>
      <w:sz w:val="24"/>
      <w:szCs w:val="24"/>
    </w:rPr>
  </w:style>
  <w:style w:type="paragraph" w:styleId="1069" w:customStyle="1">
    <w:name w:val="正文文本缩进 21"/>
    <w:basedOn w:val="808"/>
    <w:link w:val="1070"/>
    <w:uiPriority w:val="0"/>
    <w:qFormat/>
    <w:pPr>
      <w:ind w:firstLine="480"/>
    </w:pPr>
    <w:rPr>
      <w:rFonts w:ascii="仿宋_GB2312" w:eastAsia="仿宋_GB2312"/>
      <w:sz w:val="24"/>
    </w:rPr>
  </w:style>
  <w:style w:type="character" w:styleId="1070" w:customStyle="1">
    <w:name w:val="正文文本缩进 2 Char"/>
    <w:link w:val="1069"/>
    <w:uiPriority w:val="0"/>
    <w:qFormat/>
    <w:rPr>
      <w:rFonts w:ascii="仿宋_GB2312" w:eastAsia="仿宋_GB2312"/>
      <w:sz w:val="24"/>
      <w:szCs w:val="24"/>
    </w:rPr>
  </w:style>
  <w:style w:type="paragraph" w:styleId="1071" w:customStyle="1">
    <w:name w:val="批注框文本1"/>
    <w:basedOn w:val="808"/>
    <w:link w:val="1072"/>
    <w:uiPriority w:val="0"/>
    <w:qFormat/>
    <w:rPr>
      <w:sz w:val="18"/>
      <w:szCs w:val="18"/>
    </w:rPr>
  </w:style>
  <w:style w:type="character" w:styleId="1072" w:customStyle="1">
    <w:name w:val="批注框文本 Char"/>
    <w:link w:val="1071"/>
    <w:uiPriority w:val="0"/>
    <w:qFormat/>
    <w:rPr>
      <w:sz w:val="18"/>
      <w:szCs w:val="18"/>
    </w:rPr>
  </w:style>
  <w:style w:type="paragraph" w:styleId="1073" w:customStyle="1">
    <w:name w:val="页脚1"/>
    <w:basedOn w:val="808"/>
    <w:link w:val="1074"/>
    <w:uiPriority w:val="99"/>
    <w:qFormat/>
    <w:pPr>
      <w:jc w:val="left"/>
      <w:tabs>
        <w:tab w:val="center" w:pos="4153" w:leader="none"/>
        <w:tab w:val="right" w:pos="8306" w:leader="none"/>
      </w:tabs>
    </w:pPr>
    <w:rPr>
      <w:rFonts w:ascii="宋体"/>
      <w:sz w:val="18"/>
      <w:szCs w:val="20"/>
    </w:rPr>
  </w:style>
  <w:style w:type="character" w:styleId="1074" w:customStyle="1">
    <w:name w:val="页脚 Char1"/>
    <w:link w:val="1073"/>
    <w:uiPriority w:val="99"/>
    <w:qFormat/>
    <w:rPr>
      <w:rFonts w:ascii="宋体" w:eastAsia="宋体"/>
      <w:sz w:val="18"/>
      <w:lang w:val="en-US" w:eastAsia="zh-CN" w:bidi="ar-SA"/>
    </w:rPr>
  </w:style>
  <w:style w:type="paragraph" w:styleId="1075" w:customStyle="1">
    <w:name w:val="页眉1"/>
    <w:basedOn w:val="808"/>
    <w:link w:val="1076"/>
    <w:uiPriority w:val="0"/>
    <w:qFormat/>
    <w:pPr>
      <w:jc w:val="center"/>
      <w:tabs>
        <w:tab w:val="center" w:pos="4153" w:leader="none"/>
        <w:tab w:val="right" w:pos="8306" w:leader="none"/>
      </w:tabs>
      <w:pBdr>
        <w:bottom w:val="single" w:color="000000" w:sz="6" w:space="1"/>
      </w:pBdr>
    </w:pPr>
    <w:rPr>
      <w:sz w:val="18"/>
      <w:szCs w:val="18"/>
    </w:rPr>
  </w:style>
  <w:style w:type="character" w:styleId="1076" w:customStyle="1">
    <w:name w:val="页眉 Char1"/>
    <w:link w:val="1075"/>
    <w:uiPriority w:val="0"/>
    <w:qFormat/>
    <w:rPr>
      <w:rFonts w:eastAsia="宋体"/>
      <w:sz w:val="18"/>
      <w:szCs w:val="18"/>
      <w:lang w:val="en-US" w:eastAsia="zh-CN" w:bidi="ar-SA"/>
    </w:rPr>
  </w:style>
  <w:style w:type="paragraph" w:styleId="1077" w:customStyle="1">
    <w:name w:val="目录 11"/>
    <w:basedOn w:val="808"/>
    <w:next w:val="808"/>
    <w:uiPriority w:val="39"/>
    <w:qFormat/>
    <w:pPr>
      <w:spacing w:line="300" w:lineRule="auto"/>
      <w:tabs>
        <w:tab w:val="left" w:pos="1050" w:leader="none"/>
        <w:tab w:val="right" w:pos="8937" w:leader="dot"/>
      </w:tabs>
    </w:pPr>
    <w:rPr>
      <w:rFonts w:ascii="宋体" w:hAnsi="宋体"/>
      <w:b/>
      <w:sz w:val="24"/>
    </w:rPr>
  </w:style>
  <w:style w:type="paragraph" w:styleId="1078" w:customStyle="1">
    <w:name w:val="目录 41"/>
    <w:basedOn w:val="808"/>
    <w:next w:val="808"/>
    <w:uiPriority w:val="0"/>
    <w:qFormat/>
    <w:pPr>
      <w:ind w:left="1260"/>
    </w:pPr>
  </w:style>
  <w:style w:type="paragraph" w:styleId="1079" w:customStyle="1">
    <w:name w:val="目录 61"/>
    <w:basedOn w:val="808"/>
    <w:next w:val="808"/>
    <w:uiPriority w:val="0"/>
    <w:qFormat/>
    <w:pPr>
      <w:ind w:left="2100"/>
    </w:pPr>
  </w:style>
  <w:style w:type="paragraph" w:styleId="1080" w:customStyle="1">
    <w:name w:val="正文文本缩进 31"/>
    <w:basedOn w:val="808"/>
    <w:link w:val="1081"/>
    <w:uiPriority w:val="0"/>
    <w:qFormat/>
    <w:pPr>
      <w:ind w:left="720" w:firstLine="480"/>
      <w:jc w:val="left"/>
      <w:spacing w:before="120" w:line="22" w:lineRule="atLeast"/>
    </w:pPr>
    <w:rPr>
      <w:rFonts w:ascii="宋体"/>
      <w:sz w:val="24"/>
      <w:szCs w:val="20"/>
    </w:rPr>
  </w:style>
  <w:style w:type="character" w:styleId="1081" w:customStyle="1">
    <w:name w:val="正文文本缩进 3 Char"/>
    <w:link w:val="1080"/>
    <w:uiPriority w:val="0"/>
    <w:qFormat/>
    <w:rPr>
      <w:rFonts w:ascii="宋体"/>
      <w:sz w:val="24"/>
    </w:rPr>
  </w:style>
  <w:style w:type="paragraph" w:styleId="1082" w:customStyle="1">
    <w:name w:val="目录 21"/>
    <w:basedOn w:val="808"/>
    <w:next w:val="808"/>
    <w:uiPriority w:val="39"/>
    <w:qFormat/>
    <w:pPr>
      <w:ind w:left="420"/>
      <w:spacing w:line="312" w:lineRule="auto"/>
      <w:tabs>
        <w:tab w:val="right" w:pos="8937" w:leader="dot"/>
      </w:tabs>
    </w:pPr>
  </w:style>
  <w:style w:type="paragraph" w:styleId="1083" w:customStyle="1">
    <w:name w:val="目录 91"/>
    <w:basedOn w:val="808"/>
    <w:next w:val="808"/>
    <w:uiPriority w:val="0"/>
    <w:qFormat/>
    <w:pPr>
      <w:ind w:left="3360"/>
    </w:pPr>
  </w:style>
  <w:style w:type="paragraph" w:styleId="1084" w:customStyle="1">
    <w:name w:val="HTML 预设格式1"/>
    <w:basedOn w:val="808"/>
    <w:link w:val="108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85" w:customStyle="1">
    <w:name w:val="HTML 预设格式 Char"/>
    <w:link w:val="1084"/>
    <w:uiPriority w:val="0"/>
    <w:qFormat/>
    <w:rPr>
      <w:rFonts w:ascii="宋体" w:hAnsi="宋体" w:cs="宋体"/>
      <w:sz w:val="24"/>
      <w:szCs w:val="24"/>
    </w:rPr>
  </w:style>
  <w:style w:type="paragraph" w:styleId="1086" w:customStyle="1">
    <w:name w:val="普通(网站)1"/>
    <w:basedOn w:val="808"/>
    <w:uiPriority w:val="99"/>
    <w:unhideWhenUsed/>
    <w:qFormat/>
    <w:pPr>
      <w:jc w:val="left"/>
      <w:spacing w:before="100" w:beforeAutospacing="1" w:after="100" w:afterAutospacing="1"/>
      <w:widowControl/>
    </w:pPr>
    <w:rPr>
      <w:rFonts w:ascii="宋体" w:hAnsi="宋体" w:cs="宋体"/>
      <w:sz w:val="24"/>
    </w:rPr>
  </w:style>
  <w:style w:type="paragraph" w:styleId="1087" w:customStyle="1">
    <w:name w:val="索引 11"/>
    <w:basedOn w:val="808"/>
    <w:next w:val="808"/>
    <w:uiPriority w:val="0"/>
    <w:qFormat/>
    <w:rPr>
      <w:szCs w:val="20"/>
    </w:rPr>
  </w:style>
  <w:style w:type="paragraph" w:styleId="1088" w:customStyle="1">
    <w:name w:val="标题1"/>
    <w:basedOn w:val="808"/>
    <w:link w:val="1089"/>
    <w:uiPriority w:val="0"/>
    <w:qFormat/>
    <w:pPr>
      <w:jc w:val="center"/>
      <w:outlineLvl w:val="0"/>
    </w:pPr>
    <w:rPr>
      <w:b/>
      <w:sz w:val="32"/>
      <w:szCs w:val="20"/>
    </w:rPr>
  </w:style>
  <w:style w:type="character" w:styleId="1089" w:customStyle="1">
    <w:name w:val="标题 Char1"/>
    <w:link w:val="1088"/>
    <w:uiPriority w:val="0"/>
    <w:qFormat/>
    <w:rPr>
      <w:b/>
      <w:sz w:val="32"/>
    </w:rPr>
  </w:style>
  <w:style w:type="paragraph" w:styleId="1090" w:customStyle="1">
    <w:name w:val="批注主题1"/>
    <w:basedOn w:val="1052"/>
    <w:next w:val="1052"/>
    <w:link w:val="1091"/>
    <w:uiPriority w:val="0"/>
    <w:qFormat/>
    <w:rPr>
      <w:b/>
      <w:bCs/>
    </w:rPr>
  </w:style>
  <w:style w:type="character" w:styleId="1091" w:customStyle="1">
    <w:name w:val="批注主题 Char"/>
    <w:link w:val="1090"/>
    <w:uiPriority w:val="0"/>
    <w:qFormat/>
    <w:rPr>
      <w:rFonts w:ascii="Times New Roman" w:hAnsi="Times New Roman" w:eastAsia="宋体" w:cs="Times New Roman"/>
      <w:b/>
      <w:bCs/>
      <w:sz w:val="21"/>
      <w:szCs w:val="24"/>
      <w:lang w:val="en-US" w:eastAsia="zh-CN" w:bidi="ar-SA"/>
    </w:rPr>
  </w:style>
  <w:style w:type="character" w:styleId="1092" w:customStyle="1">
    <w:name w:val="批注文字 字符"/>
    <w:uiPriority w:val="99"/>
    <w:qFormat/>
    <w:rPr>
      <w:rFonts w:ascii="Times New Roman" w:hAnsi="Times New Roman" w:eastAsia="宋体" w:cs="Times New Roman"/>
      <w:sz w:val="24"/>
      <w:lang w:val="en-US" w:eastAsia="zh-CN" w:bidi="ar-SA"/>
    </w:rPr>
  </w:style>
  <w:style w:type="paragraph" w:styleId="1093" w:customStyle="1">
    <w:name w:val="正文首行缩进 21"/>
    <w:basedOn w:val="1058"/>
    <w:link w:val="1094"/>
    <w:uiPriority w:val="0"/>
    <w:qFormat/>
    <w:pPr>
      <w:ind w:left="420" w:firstLine="420"/>
      <w:spacing w:after="120" w:line="480" w:lineRule="exact"/>
    </w:pPr>
    <w:rPr>
      <w:szCs w:val="20"/>
    </w:rPr>
  </w:style>
  <w:style w:type="character" w:styleId="1094" w:customStyle="1">
    <w:name w:val="正文首行缩进 2 Char"/>
    <w:link w:val="1093"/>
    <w:uiPriority w:val="0"/>
    <w:qFormat/>
    <w:rPr>
      <w:rFonts w:eastAsia="宋体"/>
      <w:sz w:val="24"/>
      <w:szCs w:val="24"/>
      <w:lang w:val="en-US" w:eastAsia="zh-CN" w:bidi="ar-SA"/>
    </w:rPr>
  </w:style>
  <w:style w:type="table" w:styleId="1095" w:customStyle="1">
    <w:name w:val="网格型1"/>
    <w:basedOn w:val="1037"/>
    <w:uiPriority w:val="39"/>
    <w:qFormat/>
    <w:tblPr/>
  </w:style>
  <w:style w:type="table" w:styleId="1096" w:customStyle="1">
    <w:name w:val="中等深浅网格 1 - 强调文字颜色 21"/>
    <w:basedOn w:val="1037"/>
    <w:uiPriority w:val="0"/>
    <w:qFormat/>
    <w:rPr>
      <w:sz w:val="21"/>
      <w:szCs w:val="24"/>
    </w:rPr>
    <w:tblPr/>
  </w:style>
  <w:style w:type="character" w:styleId="1097" w:customStyle="1">
    <w:name w:val="要点1"/>
    <w:uiPriority w:val="0"/>
    <w:qFormat/>
    <w:rPr>
      <w:b/>
      <w:bCs/>
    </w:rPr>
  </w:style>
  <w:style w:type="character" w:styleId="1098" w:customStyle="1">
    <w:name w:val="页码1"/>
    <w:uiPriority w:val="0"/>
    <w:qFormat/>
  </w:style>
  <w:style w:type="character" w:styleId="1099" w:customStyle="1">
    <w:name w:val="访问过的超链接1"/>
    <w:uiPriority w:val="0"/>
    <w:qFormat/>
    <w:rPr>
      <w:color w:val="800080"/>
      <w:u w:val="single"/>
    </w:rPr>
  </w:style>
  <w:style w:type="character" w:styleId="1100" w:customStyle="1">
    <w:name w:val="强调1"/>
    <w:uiPriority w:val="0"/>
    <w:qFormat/>
    <w:rPr>
      <w:color w:val="cc0033"/>
    </w:rPr>
  </w:style>
  <w:style w:type="character" w:styleId="1101" w:customStyle="1">
    <w:name w:val="超链接1"/>
    <w:uiPriority w:val="99"/>
    <w:qFormat/>
    <w:rPr>
      <w:color w:val="0000ff"/>
      <w:u w:val="single"/>
    </w:rPr>
  </w:style>
  <w:style w:type="character" w:styleId="1102" w:customStyle="1">
    <w:name w:val="批注引用1"/>
    <w:uiPriority w:val="99"/>
    <w:qFormat/>
    <w:rPr>
      <w:sz w:val="21"/>
      <w:szCs w:val="21"/>
    </w:rPr>
  </w:style>
  <w:style w:type="character" w:styleId="1103" w:customStyle="1">
    <w:name w:val="HTML 引文1"/>
    <w:uiPriority w:val="0"/>
    <w:qFormat/>
    <w:rPr>
      <w:i/>
      <w:iCs/>
    </w:rPr>
  </w:style>
  <w:style w:type="character" w:styleId="1104" w:customStyle="1">
    <w:name w:val="c21"/>
    <w:uiPriority w:val="0"/>
    <w:qFormat/>
    <w:rPr>
      <w:rFonts w:ascii="ˎ̥" w:hAnsi="ˎ̥"/>
      <w:color w:val="000000"/>
      <w:sz w:val="20"/>
      <w:szCs w:val="20"/>
      <w:u w:val="none"/>
    </w:rPr>
  </w:style>
  <w:style w:type="character" w:styleId="1105" w:customStyle="1">
    <w:name w:val="title4"/>
    <w:uiPriority w:val="0"/>
    <w:qFormat/>
    <w:rPr>
      <w:b/>
      <w:bCs/>
      <w:color w:val="1d87b3"/>
      <w:sz w:val="15"/>
      <w:szCs w:val="15"/>
    </w:rPr>
  </w:style>
  <w:style w:type="character" w:styleId="1106" w:customStyle="1">
    <w:name w:val="标题 2 Char Char"/>
    <w:uiPriority w:val="0"/>
    <w:qFormat/>
    <w:rPr>
      <w:rFonts w:ascii="Arial" w:hAnsi="Arial" w:eastAsia="黑体"/>
      <w:b/>
      <w:bCs/>
      <w:sz w:val="32"/>
      <w:szCs w:val="32"/>
      <w:lang w:val="en-US" w:eastAsia="zh-CN" w:bidi="ar-SA"/>
    </w:rPr>
  </w:style>
  <w:style w:type="character" w:styleId="1107" w:customStyle="1">
    <w:name w:val="black1"/>
    <w:uiPriority w:val="0"/>
    <w:qFormat/>
    <w:rPr>
      <w:color w:val="000000"/>
    </w:rPr>
  </w:style>
  <w:style w:type="character" w:styleId="1108" w:customStyle="1">
    <w:name w:val="street-address"/>
    <w:uiPriority w:val="0"/>
    <w:qFormat/>
  </w:style>
  <w:style w:type="character" w:styleId="1109" w:customStyle="1">
    <w:name w:val="locality"/>
    <w:uiPriority w:val="0"/>
    <w:qFormat/>
  </w:style>
  <w:style w:type="character" w:styleId="1110" w:customStyle="1">
    <w:name w:val="正文文本缩进 Char1"/>
    <w:link w:val="1111"/>
    <w:uiPriority w:val="0"/>
    <w:qFormat/>
    <w:rPr>
      <w:rFonts w:ascii="宋体" w:hAnsi="宋体" w:eastAsia="宋体"/>
      <w:sz w:val="24"/>
      <w:szCs w:val="24"/>
      <w:lang w:bidi="ar-SA"/>
    </w:rPr>
  </w:style>
  <w:style w:type="paragraph" w:styleId="1111" w:customStyle="1">
    <w:name w:val="正文文本缩进1"/>
    <w:basedOn w:val="808"/>
    <w:link w:val="1110"/>
    <w:uiPriority w:val="0"/>
    <w:qFormat/>
    <w:pPr>
      <w:ind w:firstLine="480"/>
      <w:spacing w:line="480" w:lineRule="exact"/>
    </w:pPr>
    <w:rPr>
      <w:rFonts w:ascii="宋体" w:hAnsi="宋体"/>
      <w:sz w:val="24"/>
    </w:rPr>
  </w:style>
  <w:style w:type="character" w:styleId="1112" w:customStyle="1">
    <w:name w:val="Char Char11"/>
    <w:uiPriority w:val="0"/>
    <w:qFormat/>
    <w:rPr>
      <w:rFonts w:ascii="宋体" w:eastAsia="宋体"/>
      <w:b/>
      <w:sz w:val="24"/>
      <w:u w:val="single"/>
      <w:lang w:val="en-US" w:eastAsia="zh-CN" w:bidi="ar-SA"/>
    </w:rPr>
  </w:style>
  <w:style w:type="character" w:styleId="1113" w:customStyle="1">
    <w:name w:val="txt"/>
    <w:uiPriority w:val="0"/>
    <w:qFormat/>
  </w:style>
  <w:style w:type="character" w:styleId="1114" w:customStyle="1">
    <w:name w:val="正文缩进 Char Char"/>
    <w:link w:val="1115"/>
    <w:uiPriority w:val="0"/>
    <w:qFormat/>
    <w:rPr>
      <w:rFonts w:ascii="宋体" w:eastAsia="宋体"/>
      <w:color w:val="000000"/>
      <w:sz w:val="28"/>
      <w:lang w:bidi="ar-SA"/>
    </w:rPr>
  </w:style>
  <w:style w:type="paragraph" w:styleId="1115" w:customStyle="1">
    <w:name w:val="正文缩进1"/>
    <w:basedOn w:val="808"/>
    <w:link w:val="1114"/>
    <w:uiPriority w:val="0"/>
    <w:qFormat/>
    <w:pPr>
      <w:ind w:firstLine="567"/>
      <w:spacing w:line="480" w:lineRule="exact"/>
      <w:widowControl/>
    </w:pPr>
    <w:rPr>
      <w:rFonts w:ascii="宋体"/>
      <w:color w:val="000000"/>
      <w:sz w:val="28"/>
      <w:szCs w:val="20"/>
    </w:rPr>
  </w:style>
  <w:style w:type="character" w:styleId="1116" w:customStyle="1">
    <w:name w:val="普通文字1 Char1"/>
    <w:uiPriority w:val="0"/>
    <w:qFormat/>
    <w:rPr>
      <w:rFonts w:ascii="宋体" w:hAnsi="Courier New" w:eastAsia="宋体"/>
      <w:sz w:val="21"/>
      <w:lang w:val="en-US" w:eastAsia="zh-CN" w:bidi="ar-SA"/>
    </w:rPr>
  </w:style>
  <w:style w:type="character" w:styleId="1117" w:customStyle="1">
    <w:name w:val="chanpin1"/>
    <w:uiPriority w:val="0"/>
    <w:qFormat/>
    <w:rPr>
      <w:rFonts w:ascii="ˎ̥" w:hAnsi="ˎ̥"/>
      <w:color w:val="000000"/>
      <w:sz w:val="20"/>
      <w:szCs w:val="20"/>
      <w:u w:val="none"/>
    </w:rPr>
  </w:style>
  <w:style w:type="character" w:styleId="1118" w:customStyle="1">
    <w:name w:val="列出段落 Char1"/>
    <w:link w:val="1119"/>
    <w:uiPriority w:val="34"/>
    <w:qFormat/>
    <w:rPr>
      <w:rFonts w:ascii="Calibri" w:hAnsi="Calibri" w:eastAsia="宋体"/>
      <w:sz w:val="21"/>
      <w:szCs w:val="22"/>
      <w:lang w:val="en-US" w:eastAsia="zh-CN" w:bidi="ar-SA"/>
    </w:rPr>
  </w:style>
  <w:style w:type="paragraph" w:styleId="1119" w:customStyle="1">
    <w:name w:val="列出段落"/>
    <w:basedOn w:val="808"/>
    <w:link w:val="1118"/>
    <w:uiPriority w:val="34"/>
    <w:qFormat/>
    <w:pPr>
      <w:ind w:firstLine="420"/>
    </w:pPr>
    <w:rPr>
      <w:rFonts w:ascii="Calibri" w:hAnsi="Calibri"/>
      <w:szCs w:val="22"/>
    </w:rPr>
  </w:style>
  <w:style w:type="character" w:styleId="1120" w:customStyle="1">
    <w:name w:val="标题 3 Char Char"/>
    <w:uiPriority w:val="0"/>
    <w:qFormat/>
    <w:rPr>
      <w:rFonts w:eastAsia="宋体"/>
      <w:b/>
      <w:bCs/>
      <w:sz w:val="32"/>
      <w:szCs w:val="32"/>
      <w:lang w:val="en-US" w:eastAsia="zh-CN" w:bidi="ar-SA"/>
    </w:rPr>
  </w:style>
  <w:style w:type="character" w:styleId="1121" w:customStyle="1">
    <w:name w:val="段1 Char"/>
    <w:uiPriority w:val="0"/>
    <w:qFormat/>
    <w:rPr>
      <w:rFonts w:ascii="宋体" w:eastAsia="宋体"/>
      <w:sz w:val="24"/>
      <w:lang w:val="en-US" w:eastAsia="zh-CN" w:bidi="ar-SA"/>
    </w:rPr>
  </w:style>
  <w:style w:type="character" w:styleId="1122" w:customStyle="1">
    <w:name w:val="chanpin拷贝"/>
    <w:uiPriority w:val="0"/>
    <w:qFormat/>
  </w:style>
  <w:style w:type="character" w:styleId="1123" w:customStyle="1">
    <w:name w:val="纯文本 Char1"/>
    <w:uiPriority w:val="0"/>
    <w:qFormat/>
    <w:rPr>
      <w:rFonts w:ascii="宋体" w:hAnsi="Courier New" w:eastAsia="宋体"/>
      <w:sz w:val="21"/>
      <w:lang w:val="en-US" w:eastAsia="zh-CN" w:bidi="ar-SA"/>
    </w:rPr>
  </w:style>
  <w:style w:type="character" w:styleId="1124" w:customStyle="1">
    <w:name w:val="apple-style-span"/>
    <w:uiPriority w:val="0"/>
    <w:qFormat/>
    <w:rPr>
      <w:rFonts w:cs="Times New Roman"/>
    </w:rPr>
  </w:style>
  <w:style w:type="paragraph" w:styleId="1125" w:customStyle="1">
    <w:name w:val="二级条标题"/>
    <w:basedOn w:val="1126"/>
    <w:next w:val="80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26" w:customStyle="1">
    <w:name w:val="一级条标题"/>
    <w:basedOn w:val="1127"/>
    <w:next w:val="808"/>
    <w:uiPriority w:val="0"/>
    <w:qFormat/>
    <w:pPr>
      <w:numPr>
        <w:ilvl w:val="1"/>
      </w:numPr>
      <w:ind w:left="0" w:hanging="840"/>
      <w:tabs>
        <w:tab w:val="left" w:pos="360" w:leader="none"/>
        <w:tab w:val="left" w:pos="840" w:leader="none"/>
      </w:tabs>
      <w:outlineLvl w:val="1"/>
    </w:pPr>
  </w:style>
  <w:style w:type="paragraph" w:styleId="1127" w:customStyle="1">
    <w:name w:val="章标题"/>
    <w:next w:val="808"/>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28" w:customStyle="1">
    <w:name w:val="font7"/>
    <w:basedOn w:val="808"/>
    <w:uiPriority w:val="0"/>
    <w:qFormat/>
    <w:pPr>
      <w:jc w:val="left"/>
      <w:spacing w:before="100" w:beforeAutospacing="1" w:after="100" w:afterAutospacing="1"/>
      <w:widowControl/>
    </w:pPr>
    <w:rPr>
      <w:rFonts w:eastAsia="Arial Unicode MS"/>
      <w:b/>
      <w:bCs/>
      <w:color w:val="000000"/>
      <w:sz w:val="20"/>
      <w:szCs w:val="20"/>
    </w:rPr>
  </w:style>
  <w:style w:type="paragraph" w:styleId="1129" w:customStyle="1">
    <w:name w:val="字元 字元"/>
    <w:basedOn w:val="808"/>
    <w:uiPriority w:val="0"/>
    <w:qFormat/>
    <w:rPr>
      <w:rFonts w:ascii="Tahoma" w:hAnsi="Tahoma"/>
      <w:sz w:val="24"/>
      <w:szCs w:val="20"/>
    </w:rPr>
  </w:style>
  <w:style w:type="paragraph" w:styleId="1130" w:customStyle="1">
    <w:name w:val="Char3 Char Char Char"/>
    <w:basedOn w:val="808"/>
    <w:uiPriority w:val="0"/>
    <w:qFormat/>
    <w:rPr>
      <w:rFonts w:ascii="Tahoma" w:hAnsi="Tahoma"/>
      <w:sz w:val="24"/>
      <w:szCs w:val="20"/>
    </w:rPr>
  </w:style>
  <w:style w:type="paragraph" w:styleId="1131" w:customStyle="1">
    <w:name w:val="font6"/>
    <w:basedOn w:val="808"/>
    <w:uiPriority w:val="0"/>
    <w:qFormat/>
    <w:pPr>
      <w:jc w:val="left"/>
      <w:spacing w:before="100" w:beforeAutospacing="1" w:after="100" w:afterAutospacing="1"/>
      <w:widowControl/>
    </w:pPr>
    <w:rPr>
      <w:rFonts w:ascii="宋体" w:hAnsi="宋体" w:cs="宋体"/>
      <w:sz w:val="20"/>
      <w:szCs w:val="20"/>
    </w:rPr>
  </w:style>
  <w:style w:type="paragraph" w:styleId="1132" w:customStyle="1">
    <w:name w:val="项目编号2"/>
    <w:basedOn w:val="1133"/>
    <w:uiPriority w:val="0"/>
    <w:qFormat/>
    <w:pPr>
      <w:numPr>
        <w:numId w:val="2"/>
      </w:numPr>
    </w:pPr>
  </w:style>
  <w:style w:type="paragraph" w:styleId="1133" w:customStyle="1">
    <w:name w:val="项目编号1"/>
    <w:basedOn w:val="808"/>
    <w:uiPriority w:val="0"/>
    <w:qFormat/>
    <w:pPr>
      <w:numPr>
        <w:ilvl w:val="0"/>
        <w:numId w:val="3"/>
      </w:numPr>
      <w:spacing w:before="100" w:beforeAutospacing="1" w:after="100" w:afterAutospacing="1" w:line="360" w:lineRule="auto"/>
    </w:pPr>
    <w:rPr>
      <w:sz w:val="24"/>
    </w:rPr>
  </w:style>
  <w:style w:type="paragraph" w:styleId="1134" w:customStyle="1">
    <w:name w:val="图中文字"/>
    <w:basedOn w:val="808"/>
    <w:uiPriority w:val="0"/>
    <w:qFormat/>
    <w:pPr>
      <w:jc w:val="center"/>
      <w:spacing w:line="0" w:lineRule="atLeast"/>
    </w:pPr>
    <w:rPr>
      <w:sz w:val="24"/>
      <w:szCs w:val="20"/>
    </w:rPr>
  </w:style>
  <w:style w:type="paragraph" w:styleId="1135" w:customStyle="1">
    <w:name w:val="xl46"/>
    <w:basedOn w:val="80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6" w:customStyle="1">
    <w:name w:val="xl25"/>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7" w:customStyle="1">
    <w:name w:val="Char2"/>
    <w:basedOn w:val="808"/>
    <w:uiPriority w:val="0"/>
    <w:qFormat/>
    <w:rPr>
      <w:rFonts w:ascii="Tahoma" w:hAnsi="Tahoma"/>
      <w:sz w:val="24"/>
      <w:szCs w:val="20"/>
    </w:rPr>
  </w:style>
  <w:style w:type="paragraph" w:styleId="1138" w:customStyle="1">
    <w:name w:val="xl35"/>
    <w:basedOn w:val="80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9" w:customStyle="1">
    <w:name w:val="xl40"/>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0" w:customStyle="1">
    <w:name w:val="xl52"/>
    <w:basedOn w:val="80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1" w:customStyle="1">
    <w:name w:val="xl43"/>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2" w:customStyle="1">
    <w:name w:val="background1"/>
    <w:basedOn w:val="808"/>
    <w:uiPriority w:val="0"/>
    <w:qFormat/>
    <w:pPr>
      <w:jc w:val="left"/>
      <w:spacing w:before="100" w:beforeAutospacing="1" w:after="100" w:afterAutospacing="1"/>
      <w:widowControl/>
    </w:pPr>
    <w:rPr>
      <w:rFonts w:ascii="宋体" w:hAnsi="宋体" w:cs="宋体"/>
      <w:sz w:val="24"/>
    </w:rPr>
  </w:style>
  <w:style w:type="paragraph" w:styleId="1143" w:customStyle="1">
    <w:name w:val="Char Char Char Char Char Char Char"/>
    <w:basedOn w:val="808"/>
    <w:uiPriority w:val="0"/>
    <w:qFormat/>
    <w:pPr>
      <w:ind w:firstLine="200"/>
      <w:spacing w:line="360" w:lineRule="auto"/>
    </w:pPr>
    <w:rPr>
      <w:rFonts w:eastAsia="仿宋_GB2312"/>
      <w:sz w:val="24"/>
    </w:rPr>
  </w:style>
  <w:style w:type="paragraph" w:styleId="1144" w:customStyle="1">
    <w:name w:val="xl38"/>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45" w:customStyle="1">
    <w:name w:val="xl36"/>
    <w:basedOn w:val="80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6" w:customStyle="1">
    <w:name w:val="正文 + 宋体"/>
    <w:basedOn w:val="808"/>
    <w:uiPriority w:val="0"/>
    <w:qFormat/>
    <w:pPr>
      <w:ind w:left="360" w:hanging="360"/>
      <w:jc w:val="left"/>
      <w:widowControl/>
    </w:pPr>
    <w:rPr>
      <w:rFonts w:ascii="宋体" w:hAnsi="宋体" w:cs="宋体"/>
      <w:b/>
      <w:bCs/>
      <w:color w:val="000000"/>
      <w:sz w:val="18"/>
      <w:szCs w:val="18"/>
    </w:rPr>
  </w:style>
  <w:style w:type="paragraph" w:styleId="1147" w:customStyle="1">
    <w:name w:val="正文列项_数字"/>
    <w:basedOn w:val="808"/>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48" w:customStyle="1">
    <w:name w:val="xl39"/>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9" w:customStyle="1">
    <w:name w:val="xl37"/>
    <w:basedOn w:val="80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0" w:customStyle="1">
    <w:name w:val="xl32"/>
    <w:basedOn w:val="80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1" w:customStyle="1">
    <w:name w:val="font8"/>
    <w:basedOn w:val="808"/>
    <w:uiPriority w:val="0"/>
    <w:qFormat/>
    <w:pPr>
      <w:jc w:val="left"/>
      <w:spacing w:before="100" w:beforeAutospacing="1" w:after="100" w:afterAutospacing="1"/>
      <w:widowControl/>
    </w:pPr>
    <w:rPr>
      <w:sz w:val="36"/>
      <w:szCs w:val="36"/>
    </w:rPr>
  </w:style>
  <w:style w:type="paragraph" w:styleId="1152" w:customStyle="1">
    <w:name w:val="Char"/>
    <w:basedOn w:val="808"/>
    <w:uiPriority w:val="0"/>
    <w:qFormat/>
    <w:pPr>
      <w:tabs>
        <w:tab w:val="left" w:pos="360" w:leader="none"/>
      </w:tabs>
    </w:pPr>
    <w:rPr>
      <w:sz w:val="24"/>
    </w:rPr>
  </w:style>
  <w:style w:type="paragraph" w:styleId="1153" w:customStyle="1">
    <w:name w:val="Char Char Char Char Char Char Char Char Char Char Char Char Char Char Char Char"/>
    <w:basedOn w:val="808"/>
    <w:uiPriority w:val="0"/>
    <w:qFormat/>
    <w:pPr>
      <w:jc w:val="center"/>
      <w:spacing w:after="160" w:line="240" w:lineRule="exact"/>
      <w:widowControl/>
    </w:pPr>
    <w:rPr>
      <w:rFonts w:ascii="宋体" w:hAnsi="宋体"/>
      <w:b/>
      <w:sz w:val="30"/>
      <w:szCs w:val="30"/>
      <w:lang w:eastAsia="en-US"/>
    </w:rPr>
  </w:style>
  <w:style w:type="paragraph" w:styleId="1154" w:customStyle="1">
    <w:name w:val="xl45"/>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5" w:customStyle="1">
    <w:name w:val="Char Char1 Char Char Char Char Char Char"/>
    <w:basedOn w:val="808"/>
    <w:uiPriority w:val="0"/>
    <w:qFormat/>
    <w:pPr>
      <w:jc w:val="left"/>
      <w:spacing w:after="160" w:line="240" w:lineRule="exact"/>
      <w:widowControl/>
    </w:pPr>
    <w:rPr>
      <w:rFonts w:ascii="Verdana" w:hAnsi="Verdana" w:eastAsia="仿宋_GB2312"/>
      <w:sz w:val="24"/>
      <w:szCs w:val="20"/>
      <w:lang w:eastAsia="en-US"/>
    </w:rPr>
  </w:style>
  <w:style w:type="paragraph" w:styleId="1156" w:customStyle="1">
    <w:name w:val="Char Char1"/>
    <w:basedOn w:val="1050"/>
    <w:uiPriority w:val="0"/>
    <w:qFormat/>
    <w:rPr>
      <w:rFonts w:ascii="Tahoma" w:hAnsi="Tahoma"/>
      <w:sz w:val="24"/>
    </w:rPr>
  </w:style>
  <w:style w:type="paragraph" w:styleId="1157" w:customStyle="1">
    <w:name w:val="xl26"/>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58" w:customStyle="1">
    <w:name w:val="xl30"/>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9" w:customStyle="1">
    <w:name w:val="xl41"/>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0" w:customStyle="1">
    <w:name w:val="样式 宋体 五号 行距: 单倍行距"/>
    <w:basedOn w:val="808"/>
    <w:uiPriority w:val="0"/>
    <w:qFormat/>
    <w:pPr>
      <w:jc w:val="left"/>
    </w:pPr>
    <w:rPr>
      <w:rFonts w:ascii="宋体" w:hAnsi="宋体"/>
      <w:szCs w:val="20"/>
    </w:rPr>
  </w:style>
  <w:style w:type="paragraph" w:styleId="1161" w:customStyle="1">
    <w:name w:val="Char1 Char Char Char1"/>
    <w:basedOn w:val="808"/>
    <w:uiPriority w:val="0"/>
    <w:qFormat/>
    <w:rPr>
      <w:rFonts w:ascii="Tahoma" w:hAnsi="Tahoma" w:cs="仿宋_GB2312"/>
      <w:sz w:val="24"/>
      <w:szCs w:val="28"/>
    </w:rPr>
  </w:style>
  <w:style w:type="paragraph" w:styleId="1162" w:customStyle="1">
    <w:name w:val="四级条标题"/>
    <w:basedOn w:val="1163"/>
    <w:next w:val="808"/>
    <w:uiPriority w:val="0"/>
    <w:qFormat/>
    <w:pPr>
      <w:numPr>
        <w:ilvl w:val="4"/>
      </w:numPr>
      <w:ind w:left="0" w:hanging="840"/>
      <w:tabs>
        <w:tab w:val="left" w:pos="360" w:leader="none"/>
        <w:tab w:val="left" w:pos="840" w:leader="none"/>
      </w:tabs>
      <w:outlineLvl w:val="4"/>
    </w:pPr>
  </w:style>
  <w:style w:type="paragraph" w:styleId="1163" w:customStyle="1">
    <w:name w:val="三级条标题"/>
    <w:basedOn w:val="1125"/>
    <w:next w:val="808"/>
    <w:uiPriority w:val="0"/>
    <w:qFormat/>
    <w:pPr>
      <w:numPr>
        <w:ilvl w:val="3"/>
        <w:numId w:val="1"/>
      </w:numPr>
      <w:ind w:left="0" w:hanging="840"/>
      <w:outlineLvl w:val="3"/>
    </w:pPr>
  </w:style>
  <w:style w:type="paragraph" w:styleId="1164"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65" w:customStyle="1">
    <w:name w:val="样式 标题 2 + 宋体 五号 行距: 单倍行距"/>
    <w:basedOn w:val="1027"/>
    <w:uiPriority w:val="0"/>
    <w:qFormat/>
    <w:pPr>
      <w:numPr>
        <w:ilvl w:val="1"/>
        <w:numId w:val="4"/>
      </w:numPr>
      <w:jc w:val="left"/>
      <w:spacing w:before="260" w:after="260" w:line="240" w:lineRule="auto"/>
    </w:pPr>
    <w:rPr>
      <w:rFonts w:ascii="宋体" w:hAnsi="宋体" w:eastAsia="宋体"/>
      <w:bCs/>
      <w:sz w:val="21"/>
    </w:rPr>
  </w:style>
  <w:style w:type="paragraph" w:styleId="1166" w:customStyle="1">
    <w:name w:val="List Paragraph1"/>
    <w:basedOn w:val="808"/>
    <w:uiPriority w:val="0"/>
    <w:qFormat/>
    <w:pPr>
      <w:ind w:firstLine="420"/>
    </w:pPr>
    <w:rPr>
      <w:rFonts w:ascii="Calibri" w:hAnsi="Calibri"/>
      <w:szCs w:val="22"/>
    </w:rPr>
  </w:style>
  <w:style w:type="paragraph" w:styleId="1167" w:customStyle="1">
    <w:name w:val="项目符号1"/>
    <w:basedOn w:val="1168"/>
    <w:uiPriority w:val="0"/>
    <w:qFormat/>
    <w:pPr>
      <w:ind w:left="-25" w:firstLine="0"/>
    </w:pPr>
  </w:style>
  <w:style w:type="paragraph" w:styleId="1168" w:customStyle="1">
    <w:name w:val="正文文本样式"/>
    <w:basedOn w:val="808"/>
    <w:uiPriority w:val="0"/>
    <w:qFormat/>
    <w:pPr>
      <w:ind w:firstLine="482"/>
      <w:spacing w:line="360" w:lineRule="auto"/>
    </w:pPr>
    <w:rPr>
      <w:rFonts w:cs="宋体"/>
      <w:sz w:val="24"/>
      <w:szCs w:val="20"/>
    </w:rPr>
  </w:style>
  <w:style w:type="paragraph" w:styleId="1169" w:customStyle="1">
    <w:name w:val="xl27"/>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0" w:customStyle="1">
    <w:name w:val="font5"/>
    <w:basedOn w:val="808"/>
    <w:uiPriority w:val="0"/>
    <w:qFormat/>
    <w:pPr>
      <w:jc w:val="left"/>
      <w:spacing w:before="100" w:beforeAutospacing="1" w:after="100" w:afterAutospacing="1"/>
      <w:widowControl/>
    </w:pPr>
    <w:rPr>
      <w:rFonts w:ascii="宋体" w:hAnsi="宋体" w:cs="宋体"/>
      <w:sz w:val="18"/>
      <w:szCs w:val="18"/>
    </w:rPr>
  </w:style>
  <w:style w:type="paragraph" w:styleId="1171" w:customStyle="1">
    <w:name w:val="五级条标题"/>
    <w:basedOn w:val="1162"/>
    <w:next w:val="808"/>
    <w:uiPriority w:val="0"/>
    <w:qFormat/>
    <w:pPr>
      <w:numPr>
        <w:ilvl w:val="5"/>
      </w:numPr>
      <w:ind w:left="0" w:hanging="840"/>
      <w:outlineLvl w:val="5"/>
    </w:pPr>
  </w:style>
  <w:style w:type="paragraph" w:styleId="1172" w:customStyle="1">
    <w:name w:val="xl49"/>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73" w:customStyle="1">
    <w:name w:val="文档正文"/>
    <w:basedOn w:val="808"/>
    <w:uiPriority w:val="0"/>
    <w:qFormat/>
    <w:pPr>
      <w:spacing w:before="120" w:after="120" w:line="180" w:lineRule="auto"/>
    </w:pPr>
    <w:rPr>
      <w:rFonts w:ascii="Arial" w:hAnsi="Arial"/>
      <w:szCs w:val="20"/>
    </w:rPr>
  </w:style>
  <w:style w:type="paragraph" w:styleId="1174" w:customStyle="1">
    <w:name w:val="xl33"/>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5" w:customStyle="1">
    <w:name w:val="xl42"/>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76" w:customStyle="1">
    <w:name w:val="Char Char Char1 Char"/>
    <w:basedOn w:val="808"/>
    <w:uiPriority w:val="0"/>
    <w:qFormat/>
    <w:rPr>
      <w:rFonts w:ascii="Tahoma" w:hAnsi="Tahoma"/>
      <w:sz w:val="24"/>
      <w:szCs w:val="20"/>
    </w:rPr>
  </w:style>
  <w:style w:type="paragraph" w:styleId="1177" w:customStyle="1">
    <w:name w:val="xl44"/>
    <w:basedOn w:val="80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78" w:customStyle="1">
    <w:name w:val="1名"/>
    <w:basedOn w:val="808"/>
    <w:uiPriority w:val="0"/>
    <w:qFormat/>
    <w:pPr>
      <w:numPr>
        <w:ilvl w:val="0"/>
        <w:numId w:val="5"/>
      </w:numPr>
      <w:spacing w:before="120"/>
    </w:pPr>
    <w:rPr>
      <w:rFonts w:ascii="宋体"/>
      <w:sz w:val="28"/>
      <w:szCs w:val="20"/>
    </w:rPr>
  </w:style>
  <w:style w:type="paragraph" w:styleId="1179" w:customStyle="1">
    <w:name w:val="font9"/>
    <w:basedOn w:val="80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80" w:customStyle="1">
    <w:name w:val="Char Char Char1 Char1"/>
    <w:basedOn w:val="808"/>
    <w:uiPriority w:val="0"/>
    <w:qFormat/>
    <w:rPr>
      <w:rFonts w:ascii="Tahoma" w:hAnsi="Tahoma"/>
      <w:sz w:val="24"/>
      <w:szCs w:val="20"/>
    </w:rPr>
  </w:style>
  <w:style w:type="paragraph" w:styleId="1181" w:customStyle="1">
    <w:name w:val="Char Char Char Char Char Char Char Char Char Char"/>
    <w:basedOn w:val="808"/>
    <w:uiPriority w:val="0"/>
    <w:qFormat/>
  </w:style>
  <w:style w:type="paragraph" w:styleId="1182" w:customStyle="1">
    <w:name w:val="Char Char1 Char Char Char Char Char Char Char Char"/>
    <w:basedOn w:val="808"/>
    <w:uiPriority w:val="0"/>
    <w:qFormat/>
    <w:pPr>
      <w:jc w:val="left"/>
      <w:spacing w:after="160" w:line="240" w:lineRule="exact"/>
      <w:widowControl/>
    </w:pPr>
    <w:rPr>
      <w:rFonts w:ascii="Verdana" w:hAnsi="Verdana"/>
      <w:sz w:val="20"/>
      <w:szCs w:val="20"/>
      <w:lang w:eastAsia="en-US"/>
    </w:rPr>
  </w:style>
  <w:style w:type="paragraph" w:styleId="1183" w:customStyle="1">
    <w:name w:val="Char1"/>
    <w:basedOn w:val="808"/>
    <w:uiPriority w:val="0"/>
    <w:qFormat/>
    <w:pPr>
      <w:tabs>
        <w:tab w:val="left" w:pos="360" w:leader="none"/>
      </w:tabs>
    </w:pPr>
    <w:rPr>
      <w:sz w:val="24"/>
    </w:rPr>
  </w:style>
  <w:style w:type="paragraph" w:styleId="1184" w:customStyle="1">
    <w:name w:val="正文列项_字母"/>
    <w:basedOn w:val="808"/>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85" w:customStyle="1">
    <w:name w:val="xl28"/>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6" w:customStyle="1">
    <w:name w:val="xl47"/>
    <w:basedOn w:val="80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7" w:customStyle="1">
    <w:name w:val="默认段落字体 Para Char Char Char Char"/>
    <w:basedOn w:val="808"/>
    <w:uiPriority w:val="0"/>
    <w:qFormat/>
    <w:rPr>
      <w:rFonts w:ascii="Arial" w:hAnsi="Arial" w:cs="Arial"/>
      <w:szCs w:val="21"/>
    </w:rPr>
  </w:style>
  <w:style w:type="paragraph" w:styleId="1188" w:customStyle="1">
    <w:name w:val="xl48"/>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89" w:customStyle="1">
    <w:name w:val="xl31"/>
    <w:basedOn w:val="80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0" w:customStyle="1">
    <w:name w:val="xl53"/>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1" w:customStyle="1">
    <w:name w:val="Char Char Char"/>
    <w:basedOn w:val="808"/>
    <w:uiPriority w:val="0"/>
    <w:qFormat/>
    <w:rPr>
      <w:rFonts w:ascii="Tahoma" w:hAnsi="Tahoma"/>
      <w:sz w:val="24"/>
      <w:szCs w:val="20"/>
    </w:rPr>
  </w:style>
  <w:style w:type="paragraph" w:styleId="1192" w:customStyle="1">
    <w:name w:val="xl50"/>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93" w:customStyle="1">
    <w:name w:val="缺省文本"/>
    <w:basedOn w:val="808"/>
    <w:uiPriority w:val="0"/>
    <w:qFormat/>
    <w:pPr>
      <w:jc w:val="left"/>
    </w:pPr>
    <w:rPr>
      <w:sz w:val="24"/>
    </w:rPr>
  </w:style>
  <w:style w:type="paragraph" w:styleId="1194" w:customStyle="1">
    <w:name w:val="Char Char Char1"/>
    <w:basedOn w:val="808"/>
    <w:uiPriority w:val="0"/>
    <w:qFormat/>
    <w:rPr>
      <w:rFonts w:ascii="Tahoma" w:hAnsi="Tahoma"/>
      <w:sz w:val="24"/>
      <w:szCs w:val="20"/>
    </w:rPr>
  </w:style>
  <w:style w:type="paragraph" w:styleId="1195" w:customStyle="1">
    <w:name w:val="Char Char Char Char Char Char Char1"/>
    <w:basedOn w:val="808"/>
    <w:uiPriority w:val="0"/>
    <w:qFormat/>
    <w:pPr>
      <w:ind w:firstLine="200"/>
      <w:spacing w:line="360" w:lineRule="auto"/>
    </w:pPr>
    <w:rPr>
      <w:rFonts w:eastAsia="仿宋_GB2312"/>
      <w:sz w:val="24"/>
    </w:rPr>
  </w:style>
  <w:style w:type="paragraph" w:styleId="1196" w:customStyle="1">
    <w:name w:val="xl51"/>
    <w:basedOn w:val="80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7" w:customStyle="1">
    <w:name w:val="样式21"/>
    <w:basedOn w:val="1087"/>
    <w:uiPriority w:val="0"/>
    <w:qFormat/>
    <w:pPr>
      <w:jc w:val="center"/>
      <w:spacing w:line="360" w:lineRule="auto"/>
    </w:pPr>
    <w:rPr>
      <w:sz w:val="24"/>
    </w:rPr>
  </w:style>
  <w:style w:type="paragraph" w:styleId="1198" w:customStyle="1">
    <w:name w:val="xl24"/>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9" w:customStyle="1">
    <w:name w:val="xl29"/>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0" w:customStyle="1">
    <w:name w:val="正文 + 楷体_GB2312"/>
    <w:basedOn w:val="808"/>
    <w:uiPriority w:val="0"/>
    <w:qFormat/>
    <w:pPr>
      <w:jc w:val="left"/>
      <w:widowControl/>
    </w:pPr>
    <w:rPr>
      <w:rFonts w:ascii="楷体_GB2312" w:eastAsia="楷体_GB2312" w:cs="Arial"/>
      <w:sz w:val="24"/>
    </w:rPr>
  </w:style>
  <w:style w:type="paragraph" w:styleId="1201" w:customStyle="1">
    <w:name w:val="xl34"/>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02" w:customStyle="1">
    <w:name w:val="1 Char Char Char Char"/>
    <w:basedOn w:val="808"/>
    <w:uiPriority w:val="0"/>
    <w:qFormat/>
    <w:rPr>
      <w:rFonts w:ascii="Tahoma" w:hAnsi="Tahoma"/>
      <w:sz w:val="24"/>
      <w:szCs w:val="20"/>
    </w:rPr>
  </w:style>
  <w:style w:type="paragraph" w:styleId="1203"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204" w:customStyle="1">
    <w:name w:val="列出段落1"/>
    <w:basedOn w:val="808"/>
    <w:uiPriority w:val="0"/>
    <w:qFormat/>
    <w:pPr>
      <w:ind w:firstLine="420"/>
    </w:pPr>
    <w:rPr>
      <w:rFonts w:ascii="Calibri" w:hAnsi="Calibri"/>
      <w:szCs w:val="22"/>
    </w:rPr>
  </w:style>
  <w:style w:type="paragraph" w:styleId="1205" w:customStyle="1">
    <w:name w:val="default"/>
    <w:basedOn w:val="808"/>
    <w:uiPriority w:val="0"/>
    <w:qFormat/>
    <w:pPr>
      <w:jc w:val="left"/>
      <w:spacing w:before="100" w:beforeAutospacing="1" w:after="100" w:afterAutospacing="1"/>
      <w:widowControl/>
    </w:pPr>
    <w:rPr>
      <w:rFonts w:ascii="宋体" w:hAnsi="宋体" w:cs="宋体"/>
      <w:sz w:val="24"/>
    </w:rPr>
  </w:style>
  <w:style w:type="paragraph" w:styleId="1206" w:customStyle="1">
    <w:name w:val="字元 字元1"/>
    <w:basedOn w:val="808"/>
    <w:uiPriority w:val="0"/>
    <w:qFormat/>
    <w:rPr>
      <w:rFonts w:ascii="Tahoma" w:hAnsi="Tahoma"/>
      <w:sz w:val="24"/>
      <w:szCs w:val="20"/>
    </w:rPr>
  </w:style>
  <w:style w:type="paragraph" w:styleId="1207" w:customStyle="1">
    <w:name w:val="_Style 160"/>
    <w:uiPriority w:val="0"/>
    <w:qFormat/>
    <w:rPr>
      <w:rFonts w:hint="default" w:ascii="Times New Roman" w:hAnsi="Times New Roman" w:eastAsia="宋体" w:cs="Times New Roman"/>
      <w:sz w:val="21"/>
      <w:szCs w:val="24"/>
      <w:lang w:val="en-US" w:eastAsia="zh-CN" w:bidi="ar-SA"/>
    </w:rPr>
  </w:style>
  <w:style w:type="paragraph" w:styleId="1208" w:customStyle="1">
    <w:name w:val="项目编号3"/>
    <w:basedOn w:val="1168"/>
    <w:uiPriority w:val="0"/>
    <w:qFormat/>
    <w:pPr>
      <w:numPr>
        <w:ilvl w:val="0"/>
        <w:numId w:val="6"/>
      </w:numPr>
    </w:pPr>
  </w:style>
  <w:style w:type="paragraph" w:styleId="1209" w:customStyle="1">
    <w:name w:val="Char21"/>
    <w:basedOn w:val="808"/>
    <w:uiPriority w:val="0"/>
    <w:qFormat/>
    <w:rPr>
      <w:rFonts w:ascii="Tahoma" w:hAnsi="Tahoma"/>
      <w:sz w:val="24"/>
      <w:szCs w:val="20"/>
    </w:rPr>
  </w:style>
  <w:style w:type="paragraph" w:styleId="1210" w:customStyle="1">
    <w:name w:val="表格文字"/>
    <w:basedOn w:val="1058"/>
    <w:uiPriority w:val="0"/>
    <w:qFormat/>
    <w:pPr>
      <w:ind w:firstLine="0"/>
      <w:spacing w:before="20" w:after="20" w:line="240" w:lineRule="auto"/>
    </w:pPr>
    <w:rPr>
      <w:rFonts w:ascii="Century Gothic" w:hAnsi="Century Gothic"/>
      <w:sz w:val="20"/>
      <w:szCs w:val="20"/>
    </w:rPr>
  </w:style>
  <w:style w:type="paragraph" w:styleId="1211" w:customStyle="1">
    <w:name w:val="Char Char Char Char Char Char Char Char Char Char1"/>
    <w:basedOn w:val="808"/>
    <w:uiPriority w:val="0"/>
    <w:qFormat/>
    <w:rPr>
      <w:rFonts w:ascii="宋体" w:hAnsi="宋体" w:cs="Courier New"/>
      <w:sz w:val="32"/>
      <w:szCs w:val="32"/>
    </w:rPr>
  </w:style>
  <w:style w:type="paragraph" w:styleId="1212" w:customStyle="1">
    <w:name w:val="正文文本样式 加粗"/>
    <w:basedOn w:val="1168"/>
    <w:uiPriority w:val="0"/>
    <w:qFormat/>
    <w:rPr>
      <w:b/>
    </w:rPr>
  </w:style>
  <w:style w:type="paragraph" w:styleId="1213" w:customStyle="1">
    <w:name w:val="Char2 Char Char Char Char Char Char"/>
    <w:basedOn w:val="808"/>
    <w:uiPriority w:val="0"/>
    <w:qFormat/>
    <w:pPr>
      <w:jc w:val="center"/>
      <w:spacing w:line="400" w:lineRule="exact"/>
      <w:widowControl/>
    </w:pPr>
  </w:style>
  <w:style w:type="paragraph" w:styleId="1214" w:customStyle="1">
    <w:name w:val="Char Char4"/>
    <w:basedOn w:val="808"/>
    <w:uiPriority w:val="0"/>
    <w:qFormat/>
    <w:pPr>
      <w:jc w:val="center"/>
      <w:spacing w:line="400" w:lineRule="exact"/>
      <w:widowControl/>
    </w:pPr>
  </w:style>
  <w:style w:type="paragraph" w:styleId="1215" w:customStyle="1">
    <w:name w:val="Char3 Char Char Char1"/>
    <w:basedOn w:val="808"/>
    <w:uiPriority w:val="0"/>
    <w:qFormat/>
    <w:rPr>
      <w:rFonts w:ascii="Tahoma" w:hAnsi="Tahoma"/>
      <w:sz w:val="24"/>
      <w:szCs w:val="20"/>
    </w:rPr>
  </w:style>
  <w:style w:type="paragraph" w:styleId="1216"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7" w:customStyle="1">
    <w:name w:val="22222222222222"/>
    <w:basedOn w:val="808"/>
    <w:uiPriority w:val="0"/>
    <w:qFormat/>
    <w:pPr>
      <w:ind w:firstLine="480"/>
      <w:jc w:val="left"/>
      <w:spacing w:line="360" w:lineRule="auto"/>
      <w:widowControl/>
    </w:pPr>
    <w:rPr>
      <w:color w:val="ff0000"/>
      <w:sz w:val="24"/>
      <w:szCs w:val="20"/>
    </w:rPr>
  </w:style>
  <w:style w:type="character" w:styleId="1218" w:customStyle="1">
    <w:name w:val="中等深浅网格 1 - 强调文字颜色 2 Char"/>
    <w:link w:val="1219"/>
    <w:uiPriority w:val="0"/>
    <w:qFormat/>
    <w:rPr>
      <w:sz w:val="21"/>
      <w:szCs w:val="24"/>
      <w:lang w:val="zh-CN" w:eastAsia="zh-CN" w:bidi="ar-SA"/>
    </w:rPr>
  </w:style>
  <w:style w:type="paragraph" w:styleId="1219" w:customStyle="1">
    <w:name w:val="1"/>
    <w:link w:val="1218"/>
    <w:uiPriority w:val="0"/>
    <w:qFormat/>
    <w:rPr>
      <w:rFonts w:hint="default" w:ascii="Times New Roman" w:hAnsi="Times New Roman" w:eastAsia="宋体" w:cs="Times New Roman"/>
      <w:sz w:val="21"/>
      <w:szCs w:val="24"/>
      <w:lang w:val="zh-CN" w:eastAsia="zh-CN" w:bidi="ar-SA"/>
    </w:rPr>
  </w:style>
  <w:style w:type="paragraph" w:styleId="1220" w:customStyle="1">
    <w:name w:val="图文"/>
    <w:basedOn w:val="808"/>
    <w:uiPriority w:val="0"/>
    <w:qFormat/>
    <w:pPr>
      <w:spacing w:after="50" w:line="360" w:lineRule="auto"/>
    </w:pPr>
    <w:rPr>
      <w:sz w:val="24"/>
    </w:rPr>
  </w:style>
  <w:style w:type="paragraph" w:styleId="1221" w:customStyle="1">
    <w:name w:val="xl23"/>
    <w:basedOn w:val="808"/>
    <w:uiPriority w:val="0"/>
    <w:qFormat/>
    <w:pPr>
      <w:spacing w:before="100" w:beforeAutospacing="1" w:after="100" w:afterAutospacing="1" w:line="360" w:lineRule="auto"/>
      <w:widowControl/>
    </w:pPr>
    <w:rPr>
      <w:sz w:val="24"/>
      <w:szCs w:val="20"/>
    </w:rPr>
  </w:style>
  <w:style w:type="paragraph" w:styleId="1222" w:customStyle="1">
    <w:name w:val="正文表格"/>
    <w:basedOn w:val="808"/>
    <w:link w:val="1223"/>
    <w:uiPriority w:val="0"/>
    <w:qFormat/>
    <w:pPr>
      <w:jc w:val="left"/>
    </w:pPr>
    <w:rPr>
      <w:rFonts w:ascii="宋体" w:hAnsi="宋体"/>
      <w:color w:val="000000"/>
      <w:szCs w:val="21"/>
    </w:rPr>
  </w:style>
  <w:style w:type="character" w:styleId="1223" w:customStyle="1">
    <w:name w:val="正文表格 Char"/>
    <w:link w:val="1222"/>
    <w:uiPriority w:val="0"/>
    <w:qFormat/>
    <w:rPr>
      <w:rFonts w:ascii="宋体" w:hAnsi="宋体"/>
      <w:color w:val="000000"/>
      <w:sz w:val="21"/>
      <w:szCs w:val="21"/>
    </w:rPr>
  </w:style>
  <w:style w:type="paragraph" w:styleId="1224" w:customStyle="1">
    <w:name w:val="正文重点"/>
    <w:basedOn w:val="808"/>
    <w:link w:val="1225"/>
    <w:uiPriority w:val="0"/>
    <w:qFormat/>
    <w:pPr>
      <w:ind w:firstLine="482"/>
      <w:jc w:val="left"/>
      <w:spacing w:line="360" w:lineRule="auto"/>
    </w:pPr>
    <w:rPr>
      <w:b/>
      <w:sz w:val="24"/>
      <w:szCs w:val="20"/>
    </w:rPr>
  </w:style>
  <w:style w:type="character" w:styleId="1225" w:customStyle="1">
    <w:name w:val="正文重点 Char"/>
    <w:link w:val="1224"/>
    <w:uiPriority w:val="0"/>
    <w:qFormat/>
    <w:rPr>
      <w:b/>
      <w:sz w:val="24"/>
    </w:rPr>
  </w:style>
  <w:style w:type="paragraph" w:styleId="1226" w:customStyle="1">
    <w:name w:val="标题1-附件"/>
    <w:basedOn w:val="1026"/>
    <w:uiPriority w:val="0"/>
    <w:qFormat/>
    <w:pPr>
      <w:jc w:val="left"/>
    </w:pPr>
    <w:rPr>
      <w:sz w:val="24"/>
      <w:szCs w:val="24"/>
    </w:rPr>
  </w:style>
  <w:style w:type="paragraph" w:styleId="1227" w:customStyle="1">
    <w:name w:val="正文小标题"/>
    <w:basedOn w:val="808"/>
    <w:next w:val="1028"/>
    <w:link w:val="1228"/>
    <w:uiPriority w:val="0"/>
    <w:qFormat/>
    <w:pPr>
      <w:ind w:firstLine="482"/>
      <w:jc w:val="left"/>
      <w:spacing w:before="312" w:after="312"/>
    </w:pPr>
    <w:rPr>
      <w:rFonts w:ascii="宋体" w:hAnsi="宋体"/>
      <w:b/>
      <w:i/>
      <w:color w:val="ff0000"/>
      <w:sz w:val="24"/>
      <w:szCs w:val="20"/>
    </w:rPr>
  </w:style>
  <w:style w:type="character" w:styleId="1228" w:customStyle="1">
    <w:name w:val="正文小标题 Char"/>
    <w:link w:val="1227"/>
    <w:uiPriority w:val="0"/>
    <w:qFormat/>
    <w:rPr>
      <w:rFonts w:ascii="宋体" w:hAnsi="宋体"/>
      <w:b/>
      <w:i/>
      <w:color w:val="ff0000"/>
      <w:sz w:val="24"/>
    </w:rPr>
  </w:style>
  <w:style w:type="paragraph" w:styleId="1229" w:customStyle="1">
    <w:name w:val="正文大标题"/>
    <w:basedOn w:val="1227"/>
    <w:next w:val="1028"/>
    <w:link w:val="1230"/>
    <w:uiPriority w:val="0"/>
    <w:qFormat/>
    <w:pPr>
      <w:jc w:val="center"/>
    </w:pPr>
    <w:rPr>
      <w:i w:val="0"/>
      <w:color w:val="000000"/>
      <w:sz w:val="28"/>
      <w:szCs w:val="21"/>
    </w:rPr>
  </w:style>
  <w:style w:type="character" w:styleId="1230" w:customStyle="1">
    <w:name w:val="正文大标题 Char"/>
    <w:link w:val="1229"/>
    <w:uiPriority w:val="0"/>
    <w:qFormat/>
    <w:rPr>
      <w:rFonts w:ascii="宋体" w:hAnsi="宋体"/>
      <w:b/>
      <w:color w:val="000000"/>
      <w:sz w:val="28"/>
      <w:szCs w:val="21"/>
    </w:rPr>
  </w:style>
  <w:style w:type="paragraph" w:styleId="1231" w:customStyle="1">
    <w:name w:val="注释"/>
    <w:basedOn w:val="808"/>
    <w:link w:val="1232"/>
    <w:uiPriority w:val="0"/>
    <w:qFormat/>
    <w:pPr>
      <w:ind w:left="420" w:hanging="420"/>
      <w:jc w:val="left"/>
    </w:pPr>
    <w:rPr>
      <w:rFonts w:ascii="宋体" w:hAnsi="宋体"/>
      <w:szCs w:val="21"/>
    </w:rPr>
  </w:style>
  <w:style w:type="character" w:styleId="1232" w:customStyle="1">
    <w:name w:val="注释 Char"/>
    <w:link w:val="1231"/>
    <w:uiPriority w:val="0"/>
    <w:qFormat/>
    <w:rPr>
      <w:rFonts w:ascii="宋体" w:hAnsi="宋体"/>
      <w:sz w:val="21"/>
      <w:szCs w:val="21"/>
    </w:rPr>
  </w:style>
  <w:style w:type="paragraph" w:styleId="1233" w:customStyle="1">
    <w:name w:val="正文须知-1级"/>
    <w:basedOn w:val="808"/>
    <w:next w:val="808"/>
    <w:uiPriority w:val="0"/>
    <w:qFormat/>
    <w:pPr>
      <w:numPr>
        <w:ilvl w:val="0"/>
        <w:numId w:val="7"/>
      </w:numPr>
      <w:spacing w:line="300" w:lineRule="auto"/>
    </w:pPr>
    <w:rPr>
      <w:rFonts w:ascii="宋体" w:hAnsi="Calibri"/>
      <w:sz w:val="24"/>
      <w:szCs w:val="21"/>
    </w:rPr>
  </w:style>
  <w:style w:type="paragraph" w:styleId="1234" w:customStyle="1">
    <w:name w:val="正文须知-2级"/>
    <w:basedOn w:val="808"/>
    <w:uiPriority w:val="0"/>
    <w:qFormat/>
    <w:pPr>
      <w:numPr>
        <w:ilvl w:val="1"/>
        <w:numId w:val="7"/>
      </w:numPr>
      <w:spacing w:line="300" w:lineRule="auto"/>
    </w:pPr>
    <w:rPr>
      <w:rFonts w:ascii="宋体" w:hAnsi="Calibri"/>
      <w:sz w:val="24"/>
      <w:szCs w:val="21"/>
    </w:rPr>
  </w:style>
  <w:style w:type="paragraph" w:styleId="1235" w:customStyle="1">
    <w:name w:val="正文须知-3级"/>
    <w:basedOn w:val="808"/>
    <w:uiPriority w:val="0"/>
    <w:qFormat/>
    <w:pPr>
      <w:numPr>
        <w:ilvl w:val="2"/>
        <w:numId w:val="7"/>
      </w:numPr>
      <w:ind w:hanging="355"/>
      <w:spacing w:line="300" w:lineRule="auto"/>
    </w:pPr>
    <w:rPr>
      <w:rFonts w:ascii="宋体" w:hAnsi="Calibri"/>
      <w:sz w:val="24"/>
      <w:szCs w:val="21"/>
    </w:rPr>
  </w:style>
  <w:style w:type="character" w:styleId="1236" w:customStyle="1">
    <w:name w:val="纯文本 字符"/>
    <w:uiPriority w:val="99"/>
    <w:qFormat/>
    <w:rPr>
      <w:rFonts w:ascii="宋体" w:hAnsi="Courier New" w:eastAsia="宋体" w:cs="Times New Roman"/>
      <w:sz w:val="21"/>
      <w:szCs w:val="21"/>
      <w:lang w:val="en-US" w:eastAsia="zh-CN" w:bidi="ar-SA"/>
    </w:rPr>
  </w:style>
  <w:style w:type="paragraph" w:styleId="1237" w:customStyle="1">
    <w:name w:val="表格1"/>
    <w:basedOn w:val="808"/>
    <w:uiPriority w:val="0"/>
    <w:qFormat/>
    <w:pPr>
      <w:ind w:firstLine="480"/>
      <w:jc w:val="center"/>
    </w:pPr>
    <w:rPr>
      <w:sz w:val="24"/>
      <w:szCs w:val="20"/>
    </w:rPr>
  </w:style>
  <w:style w:type="character" w:styleId="1238" w:customStyle="1">
    <w:name w:val="纯文本 字符1"/>
    <w:uiPriority w:val="0"/>
    <w:qFormat/>
    <w:rPr>
      <w:rFonts w:ascii="宋体" w:hAnsi="Courier New"/>
    </w:rPr>
  </w:style>
  <w:style w:type="character" w:styleId="1239" w:customStyle="1">
    <w:name w:val="bjh-p"/>
    <w:uiPriority w:val="0"/>
    <w:qFormat/>
  </w:style>
  <w:style w:type="paragraph" w:styleId="1240" w:customStyle="1">
    <w:name w:val="无标题条"/>
    <w:next w:val="808"/>
    <w:uiPriority w:val="0"/>
    <w:qFormat/>
    <w:pPr>
      <w:jc w:val="both"/>
    </w:pPr>
    <w:rPr>
      <w:rFonts w:hint="default" w:ascii="Times New Roman" w:hAnsi="Times New Roman" w:eastAsia="宋体" w:cs="Times New Roman"/>
      <w:sz w:val="21"/>
      <w:lang w:val="en-US" w:eastAsia="zh-CN" w:bidi="ar-SA"/>
    </w:rPr>
  </w:style>
  <w:style w:type="character" w:styleId="1241" w:customStyle="1">
    <w:name w:val="正文格式 Char"/>
    <w:link w:val="1242"/>
    <w:uiPriority w:val="0"/>
    <w:qFormat/>
    <w:rPr>
      <w:rFonts w:ascii="宋体" w:hAnsi="宋体"/>
      <w:sz w:val="24"/>
      <w:szCs w:val="24"/>
      <w:lang w:val="en-GB"/>
    </w:rPr>
  </w:style>
  <w:style w:type="paragraph" w:styleId="1242" w:customStyle="1">
    <w:name w:val="正文格式"/>
    <w:basedOn w:val="808"/>
    <w:link w:val="1241"/>
    <w:uiPriority w:val="0"/>
    <w:qFormat/>
    <w:pPr>
      <w:ind w:firstLine="480"/>
      <w:spacing w:line="360" w:lineRule="auto"/>
    </w:pPr>
    <w:rPr>
      <w:rFonts w:ascii="宋体" w:hAnsi="宋体"/>
      <w:sz w:val="24"/>
      <w:lang w:val="en-GB"/>
    </w:rPr>
  </w:style>
  <w:style w:type="character" w:styleId="1243" w:customStyle="1">
    <w:name w:val="标题 3 Char"/>
    <w:uiPriority w:val="0"/>
    <w:qFormat/>
    <w:rPr>
      <w:rFonts w:ascii="宋体" w:eastAsia="宋体"/>
      <w:b/>
      <w:sz w:val="24"/>
      <w:u w:val="single"/>
      <w:lang w:val="en-US" w:eastAsia="zh-CN" w:bidi="ar-SA"/>
    </w:rPr>
  </w:style>
  <w:style w:type="character" w:styleId="1244" w:customStyle="1">
    <w:name w:val="正文缩进 Char"/>
    <w:uiPriority w:val="0"/>
    <w:qFormat/>
    <w:rPr>
      <w:rFonts w:ascii="宋体" w:eastAsia="宋体"/>
      <w:sz w:val="24"/>
      <w:szCs w:val="24"/>
      <w:lang w:val="en-US" w:eastAsia="zh-CN" w:bidi="ar-SA"/>
    </w:rPr>
  </w:style>
  <w:style w:type="character" w:styleId="1245" w:customStyle="1">
    <w:name w:val="Char Char111"/>
    <w:uiPriority w:val="0"/>
    <w:qFormat/>
    <w:rPr>
      <w:rFonts w:ascii="宋体" w:eastAsia="宋体"/>
      <w:b/>
      <w:sz w:val="24"/>
      <w:u w:val="single"/>
      <w:lang w:val="en-US" w:eastAsia="zh-CN" w:bidi="ar-SA"/>
    </w:rPr>
  </w:style>
  <w:style w:type="character" w:styleId="1246" w:customStyle="1">
    <w:name w:val="正文文本缩进 Char"/>
    <w:uiPriority w:val="0"/>
    <w:qFormat/>
    <w:rPr>
      <w:rFonts w:eastAsia="宋体"/>
      <w:sz w:val="24"/>
      <w:szCs w:val="24"/>
      <w:lang w:val="en-US" w:eastAsia="zh-CN" w:bidi="ar-SA"/>
    </w:rPr>
  </w:style>
  <w:style w:type="character" w:styleId="1247" w:customStyle="1">
    <w:name w:val="列出段落 Char"/>
    <w:uiPriority w:val="0"/>
    <w:qFormat/>
    <w:rPr>
      <w:rFonts w:ascii="Calibri" w:hAnsi="Calibri" w:eastAsia="宋体"/>
      <w:sz w:val="21"/>
      <w:szCs w:val="22"/>
      <w:lang w:val="en-US" w:eastAsia="zh-CN" w:bidi="ar-SA"/>
    </w:rPr>
  </w:style>
  <w:style w:type="character" w:styleId="1248" w:customStyle="1">
    <w:name w:val="页眉 Char"/>
    <w:uiPriority w:val="0"/>
    <w:qFormat/>
    <w:rPr>
      <w:rFonts w:eastAsia="宋体"/>
      <w:sz w:val="18"/>
      <w:szCs w:val="18"/>
      <w:lang w:val="en-US" w:eastAsia="zh-CN" w:bidi="ar-SA"/>
    </w:rPr>
  </w:style>
  <w:style w:type="character" w:styleId="1249" w:customStyle="1">
    <w:name w:val="标题 2 Char"/>
    <w:uiPriority w:val="0"/>
    <w:qFormat/>
    <w:rPr>
      <w:rFonts w:ascii="Arial" w:hAnsi="Arial" w:eastAsia="黑体"/>
      <w:b/>
      <w:sz w:val="30"/>
      <w:lang w:val="en-US" w:eastAsia="zh-CN" w:bidi="ar-SA"/>
    </w:rPr>
  </w:style>
  <w:style w:type="paragraph" w:styleId="1250" w:customStyle="1">
    <w:name w:val="字元 字元2"/>
    <w:basedOn w:val="808"/>
    <w:uiPriority w:val="0"/>
    <w:qFormat/>
    <w:rPr>
      <w:rFonts w:ascii="Tahoma" w:hAnsi="Tahoma"/>
      <w:sz w:val="24"/>
      <w:szCs w:val="20"/>
    </w:rPr>
  </w:style>
  <w:style w:type="paragraph" w:styleId="1251" w:customStyle="1">
    <w:name w:val="Char3 Char Char Char2"/>
    <w:basedOn w:val="808"/>
    <w:uiPriority w:val="0"/>
    <w:qFormat/>
    <w:rPr>
      <w:rFonts w:ascii="Tahoma" w:hAnsi="Tahoma"/>
      <w:sz w:val="24"/>
      <w:szCs w:val="20"/>
    </w:rPr>
  </w:style>
  <w:style w:type="paragraph" w:styleId="1252" w:customStyle="1">
    <w:name w:val="正文文本缩进2"/>
    <w:basedOn w:val="808"/>
    <w:uiPriority w:val="0"/>
    <w:qFormat/>
    <w:pPr>
      <w:ind w:firstLine="480"/>
      <w:spacing w:line="480" w:lineRule="exact"/>
    </w:pPr>
    <w:rPr>
      <w:rFonts w:ascii="宋体" w:hAnsi="宋体"/>
      <w:sz w:val="24"/>
      <w:lang w:val="zh-CN"/>
    </w:rPr>
  </w:style>
  <w:style w:type="paragraph" w:styleId="1253" w:customStyle="1">
    <w:name w:val="Char3"/>
    <w:basedOn w:val="808"/>
    <w:uiPriority w:val="0"/>
    <w:qFormat/>
    <w:pPr>
      <w:tabs>
        <w:tab w:val="left" w:pos="360" w:leader="none"/>
      </w:tabs>
    </w:pPr>
    <w:rPr>
      <w:sz w:val="24"/>
    </w:rPr>
  </w:style>
  <w:style w:type="paragraph" w:styleId="1254" w:customStyle="1">
    <w:name w:val="Char Char Char Char Char Char Char Char Char Char Char Char Char Char Char Char1"/>
    <w:basedOn w:val="808"/>
    <w:uiPriority w:val="0"/>
    <w:qFormat/>
    <w:pPr>
      <w:jc w:val="center"/>
      <w:spacing w:after="160" w:line="240" w:lineRule="exact"/>
      <w:widowControl/>
    </w:pPr>
    <w:rPr>
      <w:rFonts w:ascii="宋体" w:hAnsi="宋体"/>
      <w:b/>
      <w:sz w:val="30"/>
      <w:szCs w:val="30"/>
      <w:lang w:eastAsia="en-US"/>
    </w:rPr>
  </w:style>
  <w:style w:type="paragraph" w:styleId="1255" w:customStyle="1">
    <w:name w:val="Char Char1 Char Char Char Char Char Char1"/>
    <w:basedOn w:val="808"/>
    <w:uiPriority w:val="0"/>
    <w:qFormat/>
    <w:pPr>
      <w:jc w:val="left"/>
      <w:spacing w:after="160" w:line="240" w:lineRule="exact"/>
      <w:widowControl/>
    </w:pPr>
    <w:rPr>
      <w:rFonts w:ascii="Verdana" w:hAnsi="Verdana" w:eastAsia="仿宋_GB2312"/>
      <w:sz w:val="24"/>
      <w:szCs w:val="20"/>
      <w:lang w:eastAsia="en-US"/>
    </w:rPr>
  </w:style>
  <w:style w:type="paragraph" w:styleId="1256" w:customStyle="1">
    <w:name w:val="列出段落2"/>
    <w:basedOn w:val="808"/>
    <w:uiPriority w:val="0"/>
    <w:qFormat/>
    <w:pPr>
      <w:ind w:firstLine="420"/>
    </w:pPr>
    <w:rPr>
      <w:rFonts w:ascii="Calibri" w:hAnsi="Calibri"/>
      <w:szCs w:val="22"/>
    </w:rPr>
  </w:style>
  <w:style w:type="paragraph" w:styleId="1257" w:customStyle="1">
    <w:name w:val="Char Char Char1 Char2"/>
    <w:basedOn w:val="808"/>
    <w:uiPriority w:val="0"/>
    <w:qFormat/>
    <w:rPr>
      <w:rFonts w:ascii="Tahoma" w:hAnsi="Tahoma"/>
      <w:sz w:val="24"/>
      <w:szCs w:val="20"/>
    </w:rPr>
  </w:style>
  <w:style w:type="paragraph" w:styleId="1258" w:customStyle="1">
    <w:name w:val="Char Char Char2"/>
    <w:basedOn w:val="808"/>
    <w:uiPriority w:val="0"/>
    <w:qFormat/>
    <w:rPr>
      <w:rFonts w:ascii="Tahoma" w:hAnsi="Tahoma"/>
      <w:sz w:val="24"/>
      <w:szCs w:val="20"/>
    </w:rPr>
  </w:style>
  <w:style w:type="paragraph" w:styleId="1259" w:customStyle="1">
    <w:name w:val="Char Char Char Char Char Char Char2"/>
    <w:basedOn w:val="808"/>
    <w:uiPriority w:val="0"/>
    <w:qFormat/>
    <w:pPr>
      <w:ind w:firstLine="200"/>
      <w:spacing w:line="360" w:lineRule="auto"/>
    </w:pPr>
    <w:rPr>
      <w:rFonts w:eastAsia="仿宋_GB2312"/>
      <w:sz w:val="24"/>
    </w:rPr>
  </w:style>
  <w:style w:type="paragraph" w:styleId="1260" w:customStyle="1">
    <w:name w:val="正文缩进2"/>
    <w:basedOn w:val="808"/>
    <w:uiPriority w:val="0"/>
    <w:qFormat/>
    <w:pPr>
      <w:ind w:firstLine="567"/>
      <w:spacing w:line="480" w:lineRule="exact"/>
      <w:widowControl/>
    </w:pPr>
    <w:rPr>
      <w:rFonts w:ascii="宋体"/>
      <w:color w:val="000000"/>
      <w:sz w:val="28"/>
      <w:szCs w:val="20"/>
      <w:lang w:val="zh-CN"/>
    </w:rPr>
  </w:style>
  <w:style w:type="paragraph" w:styleId="1261" w:customStyle="1">
    <w:name w:val="修订1"/>
    <w:uiPriority w:val="0"/>
    <w:qFormat/>
    <w:rPr>
      <w:rFonts w:hint="default" w:ascii="Times New Roman" w:hAnsi="Times New Roman" w:eastAsia="宋体" w:cs="Times New Roman"/>
      <w:sz w:val="21"/>
      <w:szCs w:val="24"/>
      <w:lang w:val="en-US" w:eastAsia="zh-CN" w:bidi="ar-SA"/>
    </w:rPr>
  </w:style>
  <w:style w:type="paragraph" w:styleId="1262" w:customStyle="1">
    <w:name w:val="Char22"/>
    <w:basedOn w:val="808"/>
    <w:uiPriority w:val="0"/>
    <w:qFormat/>
    <w:rPr>
      <w:rFonts w:ascii="Tahoma" w:hAnsi="Tahoma"/>
      <w:sz w:val="24"/>
      <w:szCs w:val="20"/>
    </w:rPr>
  </w:style>
  <w:style w:type="paragraph" w:styleId="1263" w:customStyle="1">
    <w:name w:val="Char Char Char Char Char Char Char Char Char Char2"/>
    <w:basedOn w:val="808"/>
    <w:uiPriority w:val="0"/>
    <w:qFormat/>
    <w:rPr>
      <w:rFonts w:ascii="宋体" w:hAnsi="宋体" w:cs="Courier New"/>
      <w:sz w:val="32"/>
      <w:szCs w:val="32"/>
    </w:rPr>
  </w:style>
  <w:style w:type="paragraph" w:styleId="1264" w:customStyle="1">
    <w:name w:val="Char2 Char Char Char Char Char Char1"/>
    <w:basedOn w:val="808"/>
    <w:uiPriority w:val="0"/>
    <w:qFormat/>
    <w:pPr>
      <w:jc w:val="center"/>
      <w:spacing w:line="400" w:lineRule="exact"/>
      <w:widowControl/>
    </w:pPr>
  </w:style>
  <w:style w:type="character" w:styleId="1265" w:customStyle="1">
    <w:name w:val="页脚 Char"/>
    <w:uiPriority w:val="0"/>
    <w:qFormat/>
    <w:rPr>
      <w:rFonts w:ascii="宋体" w:eastAsia="宋体"/>
      <w:sz w:val="18"/>
      <w:lang w:val="en-US" w:eastAsia="zh-CN" w:bidi="ar-SA"/>
    </w:rPr>
  </w:style>
  <w:style w:type="paragraph" w:styleId="1266" w:customStyle="1">
    <w:name w:val="Char Char41"/>
    <w:basedOn w:val="808"/>
    <w:uiPriority w:val="0"/>
    <w:qFormat/>
    <w:pPr>
      <w:jc w:val="center"/>
      <w:spacing w:line="400" w:lineRule="exact"/>
      <w:widowControl/>
    </w:pPr>
  </w:style>
  <w:style w:type="character" w:styleId="1267" w:customStyle="1">
    <w:name w:val="批注文字 Char"/>
    <w:uiPriority w:val="99"/>
    <w:qFormat/>
    <w:rPr>
      <w:sz w:val="21"/>
      <w:szCs w:val="24"/>
    </w:rPr>
  </w:style>
  <w:style w:type="character" w:styleId="1268" w:customStyle="1">
    <w:name w:val="标题 Char"/>
    <w:uiPriority w:val="0"/>
    <w:qFormat/>
    <w:rPr>
      <w:b/>
      <w:sz w:val="32"/>
    </w:rPr>
  </w:style>
  <w:style w:type="paragraph" w:styleId="1269" w:customStyle="1">
    <w:name w:val="图例"/>
    <w:basedOn w:val="808"/>
    <w:uiPriority w:val="0"/>
    <w:qFormat/>
    <w:pPr>
      <w:jc w:val="center"/>
      <w:spacing w:before="120" w:after="120" w:line="360" w:lineRule="auto"/>
    </w:pPr>
    <w:rPr>
      <w:rFonts w:eastAsia="仿宋_GB2312"/>
      <w:b/>
      <w:sz w:val="24"/>
      <w:szCs w:val="20"/>
    </w:rPr>
  </w:style>
  <w:style w:type="table" w:styleId="1270"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71" w:customStyle="1">
    <w:name w:val="Table Paragraph"/>
    <w:basedOn w:val="808"/>
    <w:uiPriority w:val="1"/>
    <w:qFormat/>
    <w:pPr>
      <w:jc w:val="left"/>
    </w:pPr>
    <w:rPr>
      <w:rFonts w:ascii="宋体" w:hAnsi="宋体" w:cs="宋体"/>
      <w:sz w:val="22"/>
      <w:szCs w:val="22"/>
      <w:lang w:eastAsia="en-US"/>
    </w:rPr>
  </w:style>
  <w:style w:type="paragraph" w:styleId="1272" w:customStyle="1">
    <w:name w:val="成文日期"/>
    <w:basedOn w:val="808"/>
    <w:link w:val="1273"/>
    <w:uiPriority w:val="0"/>
    <w:qFormat/>
    <w:pPr>
      <w:ind w:right="400" w:firstLine="200"/>
      <w:jc w:val="right"/>
      <w:spacing w:line="570" w:lineRule="exact"/>
    </w:pPr>
    <w:rPr>
      <w:rFonts w:ascii="仿宋_GB2312" w:eastAsia="仿宋_GB2312"/>
      <w:sz w:val="32"/>
      <w:szCs w:val="20"/>
    </w:rPr>
  </w:style>
  <w:style w:type="character" w:styleId="1273" w:customStyle="1">
    <w:name w:val="成文日期 Char"/>
    <w:link w:val="1272"/>
    <w:uiPriority w:val="0"/>
    <w:qFormat/>
    <w:rPr>
      <w:rFonts w:ascii="仿宋_GB2312" w:eastAsia="仿宋_GB2312"/>
      <w:sz w:val="32"/>
    </w:rPr>
  </w:style>
  <w:style w:type="paragraph" w:styleId="1274" w:customStyle="1">
    <w:name w:val="修订2"/>
    <w:uiPriority w:val="99"/>
    <w:unhideWhenUsed/>
    <w:qFormat/>
    <w:rPr>
      <w:rFonts w:hint="default" w:ascii="Times New Roman" w:hAnsi="Times New Roman" w:eastAsia="宋体" w:cs="Times New Roman"/>
      <w:sz w:val="21"/>
      <w:szCs w:val="24"/>
      <w:lang w:val="en-US" w:eastAsia="zh-CN" w:bidi="ar-SA"/>
    </w:rPr>
  </w:style>
  <w:style w:type="character" w:styleId="1275" w:customStyle="1">
    <w:name w:val="NormalCharacter1"/>
    <w:uiPriority w:val="0"/>
    <w:semiHidden/>
    <w:qFormat/>
  </w:style>
  <w:style w:type="paragraph" w:styleId="1276" w:customStyle="1">
    <w:name w:val="Table Text"/>
    <w:basedOn w:val="808"/>
    <w:uiPriority w:val="0"/>
    <w:semiHidden/>
    <w:qFormat/>
    <w:rPr>
      <w:rFonts w:ascii="宋体" w:hAnsi="宋体" w:cs="宋体"/>
      <w:sz w:val="24"/>
      <w:lang w:eastAsia="en-US"/>
    </w:rPr>
  </w:style>
  <w:style w:type="paragraph" w:styleId="1277" w:customStyle="1">
    <w:name w:val="标题 211"/>
    <w:next w:val="808"/>
    <w:uiPriority w:val="0"/>
    <w:qFormat/>
    <w:pPr>
      <w:jc w:val="center"/>
      <w:keepLines/>
      <w:keepNext/>
      <w:spacing w:before="120" w:line="300" w:lineRule="auto"/>
      <w:widowControl w:val="off"/>
      <w:outlineLvl w:val="1"/>
    </w:pPr>
    <w:rPr>
      <w:rFonts w:hint="default" w:ascii="Arial" w:hAnsi="Arial" w:eastAsia="黑体" w:cs="Times New Roman"/>
      <w:b/>
      <w:sz w:val="30"/>
      <w:szCs w:val="20"/>
      <w:lang w:val="en-US" w:eastAsia="zh-CN" w:bidi="ar-SA"/>
    </w:rPr>
  </w:style>
  <w:style w:type="numbering" w:styleId="12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潘可婧</cp:lastModifiedBy>
  <cp:revision>19</cp:revision>
  <dcterms:created xsi:type="dcterms:W3CDTF">2022-05-30T08:08:00Z</dcterms:created>
  <dcterms:modified xsi:type="dcterms:W3CDTF">2026-02-28T00:57:36Z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E04641BF61984144B2B82DBBE9CF8551_12</vt:lpwstr>
  </property>
  <property fmtid="{D5CDD505-2E9C-101B-9397-08002B2CF9AE}" pid="4" name="KSOTemplateDocerSaveRecord">
    <vt:lpwstr>eyJoZGlkIjoiZDU1NDE1OWRmM2RjZTlkNDQwYjJmYjc4ODNhMmRlNTMiLCJ1c2VySWQiOiIxMDM1MzM0NTI4In0=</vt:lpwstr>
  </property>
</Properties>
</file>