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2026年淮安市空气自动站运维服务项目</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52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JSZC-320800-JZCG-G2026-0007</w:t>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keepLines w:val="0"/>
        <w:keepNext w:val="0"/>
        <w:pageBreakBefore w:val="0"/>
        <w:spacing w:line="520" w:lineRule="exact"/>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spacing w:line="520" w:lineRule="exact"/>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spacing w:line="520" w:lineRule="exact"/>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spacing w:line="520" w:lineRule="exact"/>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52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p>
    <w:p>
      <w:pPr>
        <w:jc w:val="center"/>
        <w:keepLines w:val="0"/>
        <w:keepNext w:val="0"/>
        <w:pageBreakBefore w:val="0"/>
        <w:spacing w:line="52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二〇二六年二</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w:t>
      </w:r>
      <w:r>
        <w:rPr>
          <w:rFonts w:hint="eastAsia" w:ascii="黑体" w:hAnsi="黑体" w:eastAsia="黑体"/>
          <w:b/>
          <w:sz w:val="36"/>
          <w:szCs w:val="36"/>
          <w:highlight w:val="none"/>
        </w:rPr>
        <w:t xml:space="preserve">日</w:t>
      </w:r>
      <w:r/>
    </w:p>
    <w:p>
      <w:pPr>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受淮安市生态环境局的委托，淮安市政府采购中心就2026年淮安市空气自动站运维服务项目政府采购项目进行公开招标采购，现邀请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819907"/>
                <wp:effectExtent l="4762" t="4762" r="4762" b="4762"/>
                <wp:wrapNone/>
                <wp:docPr id="1" name="矩形 1"/>
                <wp:cNvGraphicFramePr/>
                <a:graphic xmlns:a="http://schemas.openxmlformats.org/drawingml/2006/main">
                  <a:graphicData uri="http://schemas.microsoft.com/office/word/2010/wordprocessingShape">
                    <wps:wsp>
                      <wps:cNvPr id="0" name=""/>
                      <wps:cNvSpPr/>
                      <wps:spPr bwMode="auto">
                        <a:xfrm flipH="0" flipV="0">
                          <a:off x="0" y="0"/>
                          <a:ext cx="5761354" cy="181990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2026年淮安市空气自动站运维服务项目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53.6pt;height:143.3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2026年淮安市空气自动站运维服务项目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r>
      <w:r>
        <w:rPr>
          <w:rFonts w:hint="eastAsia" w:ascii="仿宋" w:hAnsi="仿宋" w:eastAsia="仿宋"/>
          <w:sz w:val="28"/>
          <w:szCs w:val="28"/>
          <w:highlight w:val="none"/>
        </w:rP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（一）项目编号:JSZC-320800-JZCG-G2026-0007</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2026年淮安市空气自动站运维服务项目</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418</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417</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，其中各县区常规站最高限制单价为0.708万元</w:t>
      </w:r>
      <w:r>
        <w:rPr>
          <w:rFonts w:hint="eastAsia" w:ascii="仿宋" w:hAnsi="仿宋" w:eastAsia="仿宋"/>
          <w:sz w:val="28"/>
          <w:szCs w:val="28"/>
          <w:highlight w:val="none"/>
          <w:lang w:val="en-US" w:eastAsia="zh-CN"/>
        </w:rPr>
        <w:t xml:space="preserve">/站/月。</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（五）采购需求:淮安市空气自动站运维项目，具体详见招标文件第五章项目采购需求</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（六）合同履行期限:自合同签订之日起至2026年12月31日（不足1年的，则按各县区实际运维时间按月签订服务合同）</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其他未列明行业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名称:淮安市生态环境局</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地址:淮安市清江浦区健康西路77号</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联系方式:潘先生</w:t>
      </w:r>
      <w:r>
        <w:rPr>
          <w:rFonts w:hint="eastAsia" w:ascii="仿宋" w:hAnsi="仿宋" w:eastAsia="仿宋"/>
          <w:sz w:val="28"/>
          <w:szCs w:val="28"/>
          <w:highlight w:val="none"/>
          <w:lang w:val="en-US" w:eastAsia="zh-CN"/>
        </w:rPr>
        <w:t xml:space="preserve">  15152313408</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462564073"/>
      <w:r/>
      <w:bookmarkStart w:id="1" w:name="_Toc16938530"/>
      <w:r/>
      <w:bookmarkStart w:id="2" w:name="_Toc20823286"/>
      <w:r/>
      <w:bookmarkStart w:id="3" w:name="_Toc513029214"/>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outlineLvl w:val="9"/>
      </w:pPr>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1"/>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20823303"/>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20823304"/>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w:t>
      </w:r>
      <w:bookmarkStart w:id="40" w:name="_GoBack"/>
      <w:r/>
      <w:bookmarkEnd w:id="40"/>
      <w:r>
        <w:rPr>
          <w:rFonts w:hint="eastAsia" w:ascii="仿宋" w:hAnsi="仿宋" w:eastAsia="仿宋"/>
          <w:sz w:val="28"/>
          <w:szCs w:val="28"/>
          <w:lang w:val="en-US" w:eastAsia="zh-CN"/>
        </w:rPr>
        <w:t xml:space="preserve">将其作为无效投标（响应）处理。</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16938551"/>
      <w:r/>
      <w:bookmarkStart w:id="22" w:name="_Toc513029235"/>
      <w:r/>
      <w:bookmarkStart w:id="23" w:name="_Toc2082330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sz w:val="28"/>
          <w:szCs w:val="28"/>
          <w:highlight w:val="none"/>
          <w:lang w:val="en-US" w:eastAsia="zh-CN"/>
        </w:rPr>
        <w:t xml:space="preserve">26.1.14投标人未按照采购文件第五章项目采购需求“</w:t>
      </w:r>
      <w:r>
        <w:rPr>
          <w:rFonts w:hint="eastAsia" w:ascii="仿宋" w:hAnsi="仿宋" w:eastAsia="仿宋"/>
          <w:bCs/>
          <w:sz w:val="28"/>
          <w:szCs w:val="28"/>
          <w:highlight w:val="none"/>
        </w:rPr>
        <w:t xml:space="preserve">三、</w:t>
      </w:r>
      <w:r>
        <w:rPr>
          <w:rFonts w:hint="eastAsia" w:ascii="仿宋" w:hAnsi="仿宋" w:eastAsia="仿宋" w:cs="仿宋"/>
          <w:sz w:val="28"/>
          <w:szCs w:val="28"/>
          <w:highlight w:val="none"/>
        </w:rPr>
        <w:t xml:space="preserve">机构、人员、车辆、备用设备配备要求</w:t>
      </w:r>
      <w:r>
        <w:rPr>
          <w:rFonts w:hint="eastAsia" w:ascii="仿宋" w:hAnsi="仿宋" w:eastAsia="仿宋"/>
          <w:sz w:val="28"/>
          <w:szCs w:val="28"/>
          <w:highlight w:val="none"/>
          <w:lang w:val="en-US" w:eastAsia="zh-CN"/>
        </w:rPr>
        <w:t xml:space="preserve">”、“五、</w:t>
      </w:r>
      <w:r>
        <w:rPr>
          <w:rFonts w:hint="eastAsia" w:ascii="仿宋" w:hAnsi="仿宋" w:eastAsia="仿宋"/>
          <w:bCs/>
          <w:sz w:val="28"/>
          <w:szCs w:val="28"/>
          <w:highlight w:val="none"/>
          <w:lang w:eastAsia="zh-CN"/>
        </w:rPr>
        <w:t xml:space="preserve">监督考核及履约验收要求</w:t>
      </w:r>
      <w:r/>
    </w:p>
    <w:p>
      <w:pPr>
        <w:pStyle w:val="879"/>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”中标注</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要求提供相关承诺或证明材料的。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r/>
      <w:bookmarkEnd w:id="22"/>
      <w:r/>
      <w:bookmarkEnd w:id="23"/>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highlight w:val="none"/>
        </w:rPr>
        <w:outlineLvl w:val="9"/>
      </w:pPr>
      <w:r/>
      <w:bookmarkStart w:id="33" w:name="_Toc16938553"/>
      <w:r/>
      <w:bookmarkStart w:id="34" w:name="_Toc513029237"/>
      <w:r/>
      <w:bookmarkStart w:id="35" w:name="_Toc20823309"/>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9"/>
        <w:ind w:left="0" w:firstLine="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p>
    <w:p>
      <w:pPr>
        <w:pStyle w:val="879"/>
        <w:ind w:firstLine="560"/>
        <w:keepLines w:val="0"/>
        <w:keepNext w:val="0"/>
        <w:pageBreakBefore w:val="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w:t>
      </w:r>
      <w:r>
        <w:rPr>
          <w:rFonts w:hint="eastAsia" w:ascii="仿宋" w:hAnsi="仿宋" w:eastAsia="仿宋" w:cs="Times New Roman"/>
          <w:b/>
          <w:bCs/>
          <w:sz w:val="28"/>
          <w:szCs w:val="28"/>
          <w:highlight w:val="none"/>
          <w:u w:val="single"/>
          <w:lang w:val="en-US" w:eastAsia="zh-CN" w:bidi="ar-SA"/>
        </w:rPr>
        <w:t xml:space="preserve">30万元</w:t>
      </w:r>
      <w:r>
        <w:rPr>
          <w:rFonts w:hint="eastAsia" w:ascii="仿宋" w:hAnsi="仿宋" w:eastAsia="仿宋" w:cs="Times New Roman"/>
          <w:sz w:val="28"/>
          <w:szCs w:val="28"/>
          <w:highlight w:val="none"/>
          <w:lang w:val="en-US" w:eastAsia="zh-CN" w:bidi="ar-SA"/>
        </w:rPr>
        <w:t xml:space="preserve">作为本合同的履约保证金。</w:t>
      </w:r>
      <w:r/>
    </w:p>
    <w:p>
      <w:pPr>
        <w:numPr>
          <w:ilvl w:val="0"/>
          <w:numId w:val="0"/>
        </w:numPr>
        <w:ind w:firstLine="560"/>
        <w:keepLines w:val="0"/>
        <w:keepNext w:val="0"/>
        <w:pageBreakBefore w:val="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keepLines w:val="0"/>
        <w:keepNext w:val="0"/>
        <w:pageBreakBefore w:val="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keepLines w:val="0"/>
        <w:keepNext w:val="0"/>
        <w:pageBreakBefore w:val="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p>
    <w:p>
      <w:pPr>
        <w:ind w:firstLine="560"/>
        <w:keepLines w:val="0"/>
        <w:keepNext w:val="0"/>
        <w:pageBreakBefore w:val="0"/>
        <w:spacing w:line="520" w:lineRule="exact"/>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br/>
      </w: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bookmarkEnd w:id="33"/>
      <w:r/>
      <w:bookmarkEnd w:id="34"/>
      <w:r/>
      <w:bookmarkEnd w:id="35"/>
      <w:r/>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83"/>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rPr>
        <w:t xml:space="preserve">,在供货、安装过程中能</w:t>
      </w:r>
      <w:r>
        <w:rPr>
          <w:rFonts w:hint="eastAsia" w:ascii="仿宋" w:hAnsi="仿宋" w:eastAsia="仿宋"/>
          <w:color w:val="auto"/>
          <w:sz w:val="28"/>
          <w:szCs w:val="28"/>
          <w:highlight w:val="none"/>
          <w:lang w:eastAsia="zh-CN"/>
        </w:rPr>
        <w:t xml:space="preserve">够</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83"/>
        <w:ind w:left="0" w:firstLine="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37.</w:t>
      </w:r>
      <w:r>
        <w:rPr>
          <w:rFonts w:hint="eastAsia" w:ascii="仿宋" w:hAnsi="仿宋" w:eastAsia="仿宋"/>
          <w:color w:val="auto"/>
          <w:sz w:val="28"/>
          <w:szCs w:val="28"/>
          <w:highlight w:val="none"/>
        </w:rPr>
        <w:t xml:space="preserve">采购本国产品的支持政策</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7.5 评标过程中，如发现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提供的相关产品视为不符合本国产品标准。</w:t>
      </w:r>
      <w:r/>
    </w:p>
    <w:p>
      <w:pPr>
        <w:pStyle w:val="883"/>
        <w:ind w:left="0"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w:t>
      </w:r>
      <w:r/>
    </w:p>
    <w:p>
      <w:pPr>
        <w:pStyle w:val="882"/>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882"/>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20</w:t>
      </w:r>
      <w:r>
        <w:rPr>
          <w:rFonts w:hint="eastAsia" w:ascii="仿宋" w:hAnsi="仿宋" w:eastAsia="仿宋"/>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按照下列要求提供方案，评委会根据</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提供的方案进行评分，不提供分项方案或经三分之二评委认定分项方案存在重大偏离的，该分项不得分。</w:t>
      </w:r>
      <w:r/>
    </w:p>
    <w:p>
      <w:p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）组织实施方案：</w:t>
      </w:r>
      <w:r>
        <w:rPr>
          <w:rFonts w:hint="eastAsia" w:ascii="仿宋" w:hAnsi="仿宋" w:eastAsia="仿宋"/>
          <w:sz w:val="28"/>
          <w:szCs w:val="28"/>
          <w:highlight w:val="none"/>
          <w:lang w:val="en-US" w:eastAsia="zh-CN"/>
        </w:rPr>
        <w:t xml:space="preserve">10分</w:t>
      </w:r>
      <w:r/>
    </w:p>
    <w:p>
      <w:p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投标人根据项目需求提供运行维护工作组织实施方案，包括但不限于组织架构、管理制度、工作流程、保障措施、数据审核等，要求对项目的需求认识精准，内容详实表述清晰，可操作性、针对性强。</w:t>
      </w:r>
      <w:r/>
    </w:p>
    <w:p>
      <w:p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优于需求的得10分；完全满足的得8分；基本满足项目要求的得6分；方案内容缺项无法满足项目要求的得4分。</w:t>
      </w:r>
      <w:r/>
    </w:p>
    <w:p>
      <w:pPr>
        <w:numPr>
          <w:ilvl w:val="0"/>
          <w:numId w:val="2"/>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运维交接实施方案：10分</w:t>
      </w:r>
      <w:r/>
    </w:p>
    <w:p>
      <w:pPr>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投标人根据项目需求提供气站运维交接实施方案，包括但不限于责任分工、时间安排、人员安排、交接内容、交接流程（包括项目结束后与下一次中标方的交接）等，方案内容须表述清晰、内容详实，契合采购需求。</w:t>
      </w:r>
      <w:r/>
    </w:p>
    <w:p>
      <w:pPr>
        <w:ind w:firstLine="560"/>
        <w:keepLines w:val="0"/>
        <w:keepNext w:val="0"/>
        <w:pageBreakBefore w:val="0"/>
        <w:spacing w:line="520" w:lineRule="exact"/>
        <w:widowControl w:val="off"/>
        <w:rPr>
          <w:rFonts w:hint="default"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方案内容完整详实，优于需求的得10分；完全满足需求的得8分；提供常规、通用的实施方案，基本满足采购需求的得6分；方案内容缺项、笼统，无法满足项目要求的得4分。</w:t>
      </w:r>
      <w:r/>
    </w:p>
    <w:p>
      <w:pPr>
        <w:numPr>
          <w:ilvl w:val="0"/>
          <w:numId w:val="2"/>
        </w:numPr>
        <w:ind w:firstLine="560"/>
        <w:keepLines w:val="0"/>
        <w:keepNext w:val="0"/>
        <w:pageBreakBefore w:val="0"/>
        <w:spacing w:line="520" w:lineRule="exact"/>
        <w:widowControl w:val="off"/>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质量控制实施方案：10分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须</w:t>
      </w:r>
      <w:r>
        <w:rPr>
          <w:rFonts w:hint="eastAsia" w:ascii="仿宋" w:hAnsi="仿宋" w:eastAsia="仿宋"/>
          <w:sz w:val="28"/>
          <w:szCs w:val="28"/>
          <w:highlight w:val="none"/>
        </w:rPr>
        <w:t xml:space="preserve">结合地域、人员、仪器设备等</w:t>
      </w:r>
      <w:r>
        <w:rPr>
          <w:rFonts w:hint="eastAsia" w:ascii="仿宋" w:hAnsi="仿宋" w:eastAsia="仿宋"/>
          <w:sz w:val="28"/>
          <w:szCs w:val="28"/>
          <w:highlight w:val="none"/>
          <w:lang w:eastAsia="zh-CN"/>
        </w:rPr>
        <w:t xml:space="preserve">实际</w:t>
      </w:r>
      <w:r>
        <w:rPr>
          <w:rFonts w:hint="eastAsia" w:ascii="仿宋" w:hAnsi="仿宋" w:eastAsia="仿宋"/>
          <w:sz w:val="28"/>
          <w:szCs w:val="28"/>
          <w:highlight w:val="none"/>
        </w:rPr>
        <w:t xml:space="preserve">情况提供</w:t>
      </w:r>
      <w:r>
        <w:rPr>
          <w:rFonts w:hint="eastAsia" w:ascii="仿宋" w:hAnsi="仿宋" w:eastAsia="仿宋"/>
          <w:sz w:val="28"/>
          <w:szCs w:val="28"/>
          <w:highlight w:val="none"/>
          <w:lang w:eastAsia="zh-CN"/>
        </w:rPr>
        <w:t xml:space="preserve">技术层面</w:t>
      </w:r>
      <w:r>
        <w:rPr>
          <w:rFonts w:hint="eastAsia" w:ascii="仿宋" w:hAnsi="仿宋" w:eastAsia="仿宋"/>
          <w:sz w:val="28"/>
          <w:szCs w:val="28"/>
          <w:highlight w:val="none"/>
        </w:rPr>
        <w:t xml:space="preserve">自动监测系统质控方案。方案中须</w:t>
      </w:r>
      <w:r>
        <w:rPr>
          <w:rFonts w:hint="eastAsia" w:ascii="仿宋" w:hAnsi="仿宋" w:eastAsia="仿宋"/>
          <w:sz w:val="28"/>
          <w:szCs w:val="28"/>
          <w:highlight w:val="none"/>
          <w:lang w:eastAsia="zh-CN"/>
        </w:rPr>
        <w:t xml:space="preserve">至少包含</w:t>
      </w:r>
      <w:r>
        <w:rPr>
          <w:rFonts w:hint="eastAsia" w:ascii="仿宋" w:hAnsi="仿宋" w:eastAsia="仿宋"/>
          <w:sz w:val="28"/>
          <w:szCs w:val="28"/>
          <w:highlight w:val="none"/>
        </w:rPr>
        <w:t xml:space="preserve">满足质控目标的质控措施</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质控工作安排</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数据审核方法</w:t>
      </w:r>
      <w:r>
        <w:rPr>
          <w:rFonts w:hint="eastAsia" w:ascii="仿宋" w:hAnsi="仿宋" w:eastAsia="仿宋"/>
          <w:sz w:val="28"/>
          <w:szCs w:val="28"/>
          <w:highlight w:val="none"/>
          <w:lang w:eastAsia="zh-CN"/>
        </w:rPr>
        <w:t xml:space="preserve">等</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方案内容完整，针对性强，优于需求的得10分；完全满足需求的得8分；方案内容简单，但基本满足采购需求的得6分；方案内容缺项或有明显缺陷，无法满足项目要求的得4分。</w:t>
      </w:r>
      <w:r/>
    </w:p>
    <w:p>
      <w:pPr>
        <w:numPr>
          <w:ilvl w:val="0"/>
          <w:numId w:val="2"/>
        </w:numPr>
        <w:ind w:left="0"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应急响应实施方案：</w:t>
      </w:r>
      <w:r>
        <w:rPr>
          <w:rFonts w:hint="eastAsia" w:ascii="仿宋" w:hAnsi="仿宋" w:eastAsia="仿宋"/>
          <w:sz w:val="28"/>
          <w:szCs w:val="28"/>
          <w:highlight w:val="none"/>
          <w:lang w:val="en-US" w:eastAsia="zh-CN"/>
        </w:rPr>
        <w:t xml:space="preserve">10分</w:t>
      </w:r>
      <w:r/>
    </w:p>
    <w:p>
      <w:pPr>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投标人提供</w:t>
      </w:r>
      <w:r>
        <w:rPr>
          <w:rFonts w:hint="eastAsia" w:ascii="仿宋" w:hAnsi="仿宋" w:eastAsia="仿宋"/>
          <w:sz w:val="28"/>
          <w:szCs w:val="28"/>
          <w:highlight w:val="none"/>
        </w:rPr>
        <w:t xml:space="preserve">应急响应实施方案，</w:t>
      </w:r>
      <w:r>
        <w:rPr>
          <w:rFonts w:hint="eastAsia" w:ascii="仿宋" w:hAnsi="仿宋" w:eastAsia="仿宋"/>
          <w:sz w:val="28"/>
          <w:szCs w:val="28"/>
          <w:highlight w:val="none"/>
          <w:lang w:eastAsia="zh-CN"/>
        </w:rPr>
        <w:t xml:space="preserve">包括但不限于</w:t>
      </w:r>
      <w:r>
        <w:rPr>
          <w:rFonts w:hint="eastAsia" w:ascii="仿宋" w:hAnsi="仿宋" w:eastAsia="仿宋"/>
          <w:sz w:val="28"/>
          <w:szCs w:val="28"/>
          <w:highlight w:val="none"/>
        </w:rPr>
        <w:t xml:space="preserve">职责分工、异常数据识别办法、异常数据响应办法、应急监测流程及质量保障措施、污染事故应急监测方案、补充监测方案和不可抗力（</w:t>
      </w:r>
      <w:r>
        <w:rPr>
          <w:rFonts w:hint="eastAsia" w:ascii="仿宋" w:hAnsi="仿宋" w:eastAsia="仿宋"/>
          <w:sz w:val="28"/>
          <w:szCs w:val="28"/>
          <w:highlight w:val="none"/>
          <w:lang w:eastAsia="zh-CN"/>
        </w:rPr>
        <w:t xml:space="preserve">如</w:t>
      </w:r>
      <w:r>
        <w:rPr>
          <w:rFonts w:hint="eastAsia" w:ascii="仿宋" w:hAnsi="仿宋" w:eastAsia="仿宋"/>
          <w:sz w:val="28"/>
          <w:szCs w:val="28"/>
          <w:highlight w:val="none"/>
        </w:rPr>
        <w:t xml:space="preserve">台风、暴风雪、冰封等恶劣天气</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地震、洪水、塌方等地质灾害以及重大社会活动等）导致不具备运维条件时的应急预案等内容。</w:t>
      </w:r>
      <w:r>
        <w:rPr>
          <w:rFonts w:hint="eastAsia" w:ascii="仿宋" w:hAnsi="仿宋" w:eastAsia="仿宋"/>
          <w:sz w:val="28"/>
          <w:szCs w:val="28"/>
          <w:highlight w:val="none"/>
          <w:lang w:eastAsia="zh-CN"/>
        </w:rPr>
        <w:t xml:space="preserve">方案内容应对应急工作进行合理规划并制定可行计划，同时列出各种应急情景、发现应急情况的方法、应急措施及解决方案。</w:t>
      </w:r>
      <w:r/>
    </w:p>
    <w:p>
      <w:pPr>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方案内容完整，针对性强，优于需求的得10分；完全满足需求的得8分；基本满足采购需求，能较好应对部分突发情形的得6分；方案内容缺项无法满足项目要求的得4分。</w:t>
      </w:r>
      <w:r/>
    </w:p>
    <w:p>
      <w:pPr>
        <w:ind w:firstLine="562"/>
        <w:keepLines w:val="0"/>
        <w:keepNext w:val="0"/>
        <w:pageBreakBefore w:val="0"/>
        <w:spacing w:line="520" w:lineRule="exact"/>
        <w:rPr>
          <w:rFonts w:ascii="仿宋" w:hAnsi="仿宋" w:eastAsia="仿宋"/>
          <w:b/>
          <w:bCs/>
          <w:sz w:val="28"/>
          <w:szCs w:val="28"/>
          <w:highlight w:val="none"/>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）投标人承诺在满足文件要求</w:t>
      </w:r>
      <w:r>
        <w:rPr>
          <w:rFonts w:hint="eastAsia" w:ascii="仿宋" w:hAnsi="仿宋" w:eastAsia="仿宋"/>
          <w:sz w:val="28"/>
          <w:szCs w:val="28"/>
          <w:highlight w:val="none"/>
          <w:lang w:val="en-US" w:eastAsia="zh-CN"/>
        </w:rPr>
        <w:t xml:space="preserve">4套备机（包含SO2、NO2、CO、PM10、PM2.5、O3  6项常规指标自动监测仪器）的基础上，每多提供一套备机（需通过计量校准）得2分，本项最多得4分。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（2）投标人承诺在满足文件要求的基础上，每多提供一套质控设备（需通过计量校准）得2分，本项最多得4分。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注：上述（1）、（2）须提供承诺函（格式自拟）及提供仪器设备名称和型号，加盖投标人电子签章。缺项或不提供均不得分。</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lang w:val="en-US" w:eastAsia="zh-CN"/>
        </w:rPr>
        <w:t xml:space="preserve">投标人具有有效期内质量管理体系认证证书、环境管理体系认证证书、信息安全管理体系认证证书、环境空气连续自动监测系统运营服务资质证书的，每提供1个得3分；本项最多得12分</w:t>
      </w:r>
      <w:r>
        <w:rPr>
          <w:rFonts w:hint="eastAsia" w:ascii="仿宋" w:hAnsi="仿宋" w:eastAsia="仿宋"/>
          <w:sz w:val="28"/>
          <w:szCs w:val="28"/>
          <w:highlight w:val="none"/>
          <w:lang w:val="en-US" w:eastAsia="zh-CN"/>
        </w:rPr>
        <w:t xml:space="preserve">。</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投标人自2021年以来（以合同签订时间为准）实施过类似业绩的（运维内容需包含标准空气站或挥发性有机物监测站）每提供1个得3分，本项最高得9分。（提供合同扫描件加盖投标人电子签章，合同须清晰反映项目实施内容，否则不得分）</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lang w:val="en-US" w:eastAsia="zh-CN"/>
        </w:rPr>
        <w:t xml:space="preserve">投标人拟派的运维人员具备环保类专业技术中级职称的（环保类专业技术职称发证机构为人力资源和社会保障部</w:t>
      </w:r>
      <w:r>
        <w:rPr>
          <w:rFonts w:hint="eastAsia" w:ascii="仿宋" w:hAnsi="仿宋" w:eastAsia="仿宋"/>
          <w:sz w:val="28"/>
          <w:szCs w:val="28"/>
          <w:highlight w:val="none"/>
          <w:lang w:val="en-US" w:eastAsia="zh-CN"/>
        </w:rPr>
        <w:t xml:space="preserve">门或生</w:t>
      </w:r>
      <w:r>
        <w:rPr>
          <w:rFonts w:hint="eastAsia" w:ascii="仿宋" w:hAnsi="仿宋" w:eastAsia="仿宋"/>
          <w:sz w:val="28"/>
          <w:szCs w:val="28"/>
          <w:lang w:val="en-US" w:eastAsia="zh-CN"/>
        </w:rPr>
        <w:t xml:space="preserve">态环境主管部门，下同），每提供1人得1分，最高得2分；具备环保类专业技术高级职称的，每提供1人得2分，最高得4分</w:t>
      </w:r>
      <w:r>
        <w:rPr>
          <w:rFonts w:hint="eastAsia" w:ascii="仿宋" w:hAnsi="仿宋" w:eastAsia="仿宋"/>
          <w:sz w:val="28"/>
          <w:szCs w:val="28"/>
          <w:highlight w:val="none"/>
          <w:lang w:val="en-US" w:eastAsia="zh-CN"/>
        </w:rPr>
        <w:t xml:space="preserve">。（一人多证以最高等级证书计分；提供相关证书扫描件及投标人为其缴纳的2025年8月以来任一月社保证明，加盖投标人电子签章）</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lang w:val="en-US" w:eastAsia="zh-CN"/>
        </w:rPr>
        <w:t xml:space="preserve">投标人拟派的项目负责人具有环保类专业技术高级职称的得3分，环保类专业技术中级职称的得1分；数据分析人员具有环保类专业技术中级职称的得1分，环保类专业技术高级职称的得2分；本项最多得5分</w:t>
      </w:r>
      <w:r>
        <w:rPr>
          <w:rFonts w:hint="eastAsia" w:ascii="仿宋" w:hAnsi="仿宋" w:eastAsia="仿宋"/>
          <w:sz w:val="28"/>
          <w:szCs w:val="28"/>
          <w:highlight w:val="none"/>
          <w:lang w:val="en-US" w:eastAsia="zh-CN"/>
        </w:rPr>
        <w:t xml:space="preserve">。（提供相关证书扫描件及投标人为其缴纳的2025年8月以来任一月社保证明，加盖投标人电子签章）</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9"/>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87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879"/>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879"/>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87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879"/>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879"/>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879"/>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87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879"/>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87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87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五、验收</w:t>
      </w:r>
      <w:r/>
    </w:p>
    <w:p>
      <w:pPr>
        <w:pStyle w:val="87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p>
    <w:p>
      <w:pPr>
        <w:pStyle w:val="87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87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w:t>
      </w:r>
      <w:r>
        <w:rPr>
          <w:rFonts w:hint="eastAsia" w:ascii="仿宋" w:hAnsi="仿宋" w:eastAsia="仿宋"/>
          <w:b/>
          <w:bCs/>
          <w:sz w:val="28"/>
          <w:szCs w:val="28"/>
          <w:highlight w:val="none"/>
          <w:u w:val="single"/>
          <w:lang w:val="en-US" w:eastAsia="zh-CN"/>
        </w:rPr>
        <w:t xml:space="preserve">30万</w:t>
      </w:r>
      <w:r>
        <w:rPr>
          <w:rFonts w:ascii="仿宋" w:hAnsi="仿宋" w:eastAsia="仿宋"/>
          <w:b/>
          <w:bCs/>
          <w:sz w:val="28"/>
          <w:szCs w:val="28"/>
          <w:highlight w:val="none"/>
          <w:u w:val="single"/>
        </w:rPr>
        <w:t xml:space="preserve">元</w:t>
      </w:r>
      <w:r>
        <w:rPr>
          <w:rFonts w:hint="eastAsia" w:ascii="仿宋" w:hAnsi="仿宋" w:eastAsia="仿宋"/>
          <w:b/>
          <w:bCs/>
          <w:sz w:val="28"/>
          <w:szCs w:val="28"/>
          <w:highlight w:val="none"/>
          <w:u w:val="single"/>
          <w:lang w:val="en-US" w:eastAsia="zh-CN"/>
        </w:rPr>
        <w:t xml:space="preserve"> </w:t>
      </w:r>
      <w:r>
        <w:rPr>
          <w:rFonts w:ascii="仿宋" w:hAnsi="仿宋" w:eastAsia="仿宋"/>
          <w:sz w:val="28"/>
          <w:szCs w:val="28"/>
          <w:highlight w:val="none"/>
        </w:rPr>
        <w:t xml:space="preserve">作为本合同的履约保证金。</w:t>
      </w:r>
      <w:r/>
    </w:p>
    <w:p>
      <w:pPr>
        <w:numPr>
          <w:ilvl w:val="0"/>
          <w:numId w:val="4"/>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4"/>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4"/>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eastAsia="zh-CN"/>
        </w:rPr>
        <w:t xml:space="preserve">基准利率</w:t>
      </w:r>
      <w:r>
        <w:rPr>
          <w:rFonts w:hint="eastAsia" w:ascii="仿宋" w:hAnsi="仿宋" w:eastAsia="仿宋"/>
          <w:sz w:val="28"/>
          <w:szCs w:val="28"/>
          <w:highlight w:val="none"/>
        </w:rPr>
        <w:t xml:space="preserve">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br/>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87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）若乙方在合同履行过程中发生服务内容缩减、服务不及时等违约现象，甲方有权视乙方的违约情节予以</w:t>
      </w:r>
      <w:r>
        <w:rPr>
          <w:rFonts w:hint="eastAsia" w:ascii="仿宋" w:hAnsi="仿宋" w:eastAsia="仿宋" w:cs="仿宋"/>
          <w:color w:val="auto"/>
          <w:sz w:val="28"/>
          <w:szCs w:val="28"/>
          <w:highlight w:val="none"/>
          <w:lang w:val="en-US" w:eastAsia="zh-CN"/>
        </w:rPr>
        <w:t xml:space="preserve">500</w:t>
      </w:r>
      <w:r>
        <w:rPr>
          <w:rFonts w:hint="eastAsia" w:ascii="仿宋" w:hAnsi="仿宋" w:eastAsia="仿宋" w:cs="仿宋"/>
          <w:color w:val="auto"/>
          <w:sz w:val="28"/>
          <w:szCs w:val="28"/>
          <w:highlight w:val="none"/>
          <w:lang w:eastAsia="zh-CN"/>
        </w:rPr>
        <w:t xml:space="preserve">元/次的经济处罚，并在付款时予以扣除。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lang w:val="en-US" w:eastAsia="zh-CN"/>
        </w:rPr>
        <w:outlineLvl w:val="9"/>
      </w:pPr>
      <w:r>
        <w:rPr>
          <w:rFonts w:hint="eastAsia" w:ascii="仿宋" w:hAnsi="仿宋" w:eastAsia="仿宋"/>
          <w:sz w:val="28"/>
          <w:highlight w:val="none"/>
        </w:rPr>
        <w:t xml:space="preserve">11.拖延</w:t>
      </w:r>
      <w:r>
        <w:rPr>
          <w:rFonts w:hint="eastAsia" w:ascii="仿宋" w:hAnsi="仿宋" w:eastAsia="仿宋"/>
          <w:sz w:val="28"/>
          <w:highlight w:val="none"/>
          <w:lang w:eastAsia="zh-CN"/>
        </w:rPr>
        <w:t xml:space="preserve">服务</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12.1除合同条款第13条规定外，如果乙方没有按照合同规定的时间提供服务，甲方将从</w:t>
      </w:r>
      <w:r>
        <w:rPr>
          <w:rFonts w:hint="eastAsia" w:ascii="仿宋" w:hAnsi="仿宋" w:eastAsia="仿宋"/>
          <w:sz w:val="28"/>
          <w:highlight w:val="none"/>
          <w:lang w:val="en-US" w:eastAsia="zh-CN"/>
        </w:rPr>
        <w:t xml:space="preserve">合同款</w:t>
      </w:r>
      <w:r>
        <w:rPr>
          <w:rFonts w:hint="eastAsia" w:ascii="仿宋" w:hAnsi="仿宋" w:eastAsia="仿宋"/>
          <w:sz w:val="28"/>
          <w:highlight w:val="none"/>
        </w:rPr>
        <w:t xml:space="preserve">中扣除误期赔偿费而不影响合同项目的其他补救方法，赔偿费按每天未提供服务费用的0.5%计收，直至提供服务为止。但误期赔偿费的最高限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为误期服务合同价的5%。一旦达到误期赔偿的最高限额，甲方可考虑终止合同。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886"/>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886"/>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（1）如果乙方未能在合同规定的期限或甲方同意延期的限期内提供全部服务</w:t>
      </w:r>
      <w:r>
        <w:rPr>
          <w:rFonts w:hint="eastAsia" w:hAnsi="仿宋"/>
          <w:sz w:val="28"/>
          <w:szCs w:val="28"/>
          <w:highlight w:val="none"/>
          <w:lang w:val="en-US" w:eastAsia="zh-CN"/>
        </w:rPr>
        <w:t xml:space="preserve">或</w:t>
      </w:r>
      <w:r>
        <w:rPr>
          <w:rFonts w:hint="eastAsia" w:hAnsi="仿宋"/>
          <w:sz w:val="28"/>
          <w:szCs w:val="28"/>
          <w:highlight w:val="none"/>
          <w:lang w:eastAsia="zh-CN"/>
        </w:rPr>
        <w:t xml:space="preserve">未通过终期验收，且未在甲方要求的合理期限内整改到位并通过验收的</w:t>
      </w:r>
      <w:r>
        <w:rPr>
          <w:rFonts w:hint="eastAsia" w:hAnsi="仿宋"/>
          <w:sz w:val="28"/>
          <w:szCs w:val="28"/>
          <w:highlight w:val="none"/>
        </w:rPr>
        <w:t xml:space="preserve">；</w:t>
      </w:r>
      <w:r>
        <w:rPr>
          <w:rFonts w:hAnsi="仿宋"/>
          <w:sz w:val="28"/>
          <w:szCs w:val="28"/>
          <w:highlight w:val="none"/>
        </w:rPr>
        <w:t xml:space="preserve"> </w:t>
      </w:r>
      <w:r/>
    </w:p>
    <w:p>
      <w:pPr>
        <w:pStyle w:val="886"/>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）如果乙方未能履行合同规定的其它义务，如监督考核及履约验收要求等。</w:t>
      </w:r>
      <w:r/>
    </w:p>
    <w:p>
      <w:pPr>
        <w:pStyle w:val="886"/>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lang w:eastAsia="zh-CN"/>
        </w:rPr>
        <w:t xml:space="preserve">（</w:t>
      </w:r>
      <w:r>
        <w:rPr>
          <w:rFonts w:hint="eastAsia" w:hAnsi="仿宋"/>
          <w:sz w:val="28"/>
          <w:szCs w:val="28"/>
          <w:highlight w:val="none"/>
          <w:lang w:val="en-US" w:eastAsia="zh-CN"/>
        </w:rPr>
        <w:t xml:space="preserve">3</w:t>
      </w:r>
      <w:r>
        <w:rPr>
          <w:rFonts w:hint="eastAsia" w:hAnsi="仿宋"/>
          <w:sz w:val="28"/>
          <w:szCs w:val="28"/>
          <w:highlight w:val="none"/>
          <w:lang w:eastAsia="zh-CN"/>
        </w:rPr>
        <w:t xml:space="preserve">）</w:t>
      </w:r>
      <w:r>
        <w:rPr>
          <w:rFonts w:hint="eastAsia" w:hAnsi="仿宋"/>
          <w:sz w:val="28"/>
          <w:szCs w:val="28"/>
          <w:highlight w:val="none"/>
        </w:rPr>
        <w:t xml:space="preserve">因乙方原因导致本合同被终止，乙方应向甲方支付剩余未付款项的5％作为违约金。</w:t>
      </w:r>
      <w:r/>
    </w:p>
    <w:p>
      <w:pPr>
        <w:pStyle w:val="886"/>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w:t>
      </w:r>
      <w:r>
        <w:rPr>
          <w:rFonts w:hint="eastAsia" w:hAnsi="仿宋"/>
          <w:sz w:val="28"/>
          <w:szCs w:val="28"/>
          <w:highlight w:val="none"/>
          <w:lang w:val="en-US" w:eastAsia="zh-CN"/>
        </w:rPr>
        <w:t xml:space="preserve">16.1、</w:t>
      </w:r>
      <w:r>
        <w:rPr>
          <w:rFonts w:hint="eastAsia" w:hAnsi="仿宋"/>
          <w:sz w:val="28"/>
          <w:szCs w:val="28"/>
          <w:highlight w:val="none"/>
        </w:rPr>
        <w:t xml:space="preserve">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87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87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87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879"/>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879"/>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项目概况</w:t>
      </w:r>
      <w:r/>
    </w:p>
    <w:p>
      <w:pPr>
        <w:pStyle w:val="879"/>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由于我市乡镇空气自动站部分运维即将到期，为统一管理，为淮安市环境空气质量提优治理提供科学依据，我局对淮安市境内乡镇空气自动站运维服务展开公开招投标。本次服务采购包括市本级11个站点（VOC站3个、交通站2个、双考核站点6个，含淮安生态环境微信公众号空气质量展示模块建设）、涟水县15个常规站及淮阴区11个常规站、清江浦区9个常规站、经济开发区4个常规站、金湖县7个常规站及洪泽区8个常规站运维服务。</w:t>
      </w:r>
      <w:r/>
    </w:p>
    <w:p>
      <w:pPr>
        <w:ind w:firstLine="560"/>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淮安市空气自动站运维项目统计表</w:t>
      </w:r>
      <w:r/>
    </w:p>
    <w:tbl>
      <w:tblPr>
        <w:tblStyle w:val="875"/>
        <w:tblW w:w="9742" w:type="dxa"/>
        <w:jc w:val="center"/>
        <w:tblLayout w:type="autofit"/>
        <w:tblCellMar>
          <w:left w:w="108" w:type="dxa"/>
          <w:top w:w="0" w:type="dxa"/>
          <w:right w:w="108" w:type="dxa"/>
          <w:bottom w:w="0" w:type="dxa"/>
        </w:tblCellMar>
        <w:tblLook w:val="04A0" w:firstRow="1" w:lastRow="0" w:firstColumn="1" w:lastColumn="0" w:noHBand="0" w:noVBand="1"/>
      </w:tblPr>
      <w:tblGrid>
        <w:gridCol w:w="1249"/>
        <w:gridCol w:w="1005"/>
        <w:gridCol w:w="3090"/>
        <w:gridCol w:w="2935"/>
        <w:gridCol w:w="146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pageBreakBefore w:val="0"/>
              <w:spacing w:line="520" w:lineRule="exact"/>
              <w:widowControl/>
              <w:rPr>
                <w:rFonts w:eastAsia="方正仿宋_GBK"/>
                <w:b w:val="0"/>
                <w:bCs w:val="0"/>
                <w:sz w:val="24"/>
                <w:szCs w:val="24"/>
                <w:highlight w:val="none"/>
              </w:rPr>
            </w:pPr>
            <w:r>
              <w:rPr>
                <w:rFonts w:eastAsia="方正仿宋_GBK"/>
                <w:b w:val="0"/>
                <w:bCs w:val="0"/>
                <w:sz w:val="24"/>
                <w:szCs w:val="24"/>
                <w:highlight w:val="none"/>
                <w:lang w:bidi="ar"/>
              </w:rPr>
              <w:t xml:space="preserve">县区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line="520" w:lineRule="exact"/>
              <w:widowControl/>
              <w:rPr>
                <w:rFonts w:eastAsia="方正仿宋_GBK"/>
                <w:b w:val="0"/>
                <w:bCs w:val="0"/>
                <w:sz w:val="24"/>
                <w:szCs w:val="24"/>
                <w:highlight w:val="none"/>
              </w:rPr>
            </w:pPr>
            <w:r>
              <w:rPr>
                <w:rFonts w:eastAsia="方正仿宋_GBK"/>
                <w:b w:val="0"/>
                <w:bCs w:val="0"/>
                <w:sz w:val="24"/>
                <w:szCs w:val="24"/>
                <w:highlight w:val="none"/>
                <w:lang w:bidi="ar"/>
              </w:rPr>
              <w:t xml:space="preserve">站点数</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center"/>
              <w:keepLines w:val="0"/>
              <w:keepNext w:val="0"/>
              <w:pageBreakBefore w:val="0"/>
              <w:spacing w:line="520" w:lineRule="exact"/>
              <w:widowControl/>
              <w:rPr>
                <w:rFonts w:hint="eastAsia" w:eastAsia="方正仿宋_GBK"/>
                <w:b w:val="0"/>
                <w:bCs w:val="0"/>
                <w:sz w:val="24"/>
                <w:szCs w:val="24"/>
                <w:highlight w:val="none"/>
                <w:lang w:eastAsia="zh-CN"/>
              </w:rPr>
            </w:pPr>
            <w:r>
              <w:rPr>
                <w:rFonts w:hint="eastAsia" w:eastAsia="方正仿宋_GBK"/>
                <w:b w:val="0"/>
                <w:bCs w:val="0"/>
                <w:sz w:val="24"/>
                <w:szCs w:val="24"/>
                <w:highlight w:val="none"/>
                <w:lang w:eastAsia="zh-CN" w:bidi="ar"/>
              </w:rPr>
              <w:t xml:space="preserve">服务时间</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center"/>
              <w:keepLines w:val="0"/>
              <w:keepNext w:val="0"/>
              <w:pageBreakBefore w:val="0"/>
              <w:spacing w:line="520" w:lineRule="exact"/>
              <w:widowControl/>
              <w:rPr>
                <w:rFonts w:hint="default" w:eastAsia="方正仿宋_GBK"/>
                <w:b w:val="0"/>
                <w:bCs w:val="0"/>
                <w:sz w:val="24"/>
                <w:szCs w:val="24"/>
                <w:highlight w:val="none"/>
                <w:lang w:val="en-US" w:eastAsia="zh-CN"/>
              </w:rPr>
            </w:pPr>
            <w:r>
              <w:rPr>
                <w:rFonts w:hint="eastAsia" w:eastAsia="方正仿宋_GBK"/>
                <w:b w:val="0"/>
                <w:bCs w:val="0"/>
                <w:sz w:val="24"/>
                <w:szCs w:val="24"/>
                <w:highlight w:val="none"/>
                <w:lang w:val="en-US" w:eastAsia="zh-CN"/>
              </w:rPr>
              <w:t xml:space="preserve">品牌</w:t>
            </w:r>
            <w:r/>
          </w:p>
        </w:tc>
        <w:tc>
          <w:tcPr>
            <w:tcBorders>
              <w:top w:val="single" w:color="000000" w:sz="4" w:space="0"/>
              <w:left w:val="single" w:color="auto" w:sz="4" w:space="0"/>
              <w:bottom w:val="single" w:color="000000" w:sz="4" w:space="0"/>
              <w:right w:val="single" w:color="000000" w:sz="4" w:space="0"/>
            </w:tcBorders>
            <w:tcW w:w="1463" w:type="dxa"/>
            <w:vAlign w:val="center"/>
            <w:textDirection w:val="lrTb"/>
            <w:noWrap w:val="false"/>
          </w:tcPr>
          <w:p>
            <w:pPr>
              <w:ind w:left="0" w:right="0" w:firstLine="0"/>
              <w:jc w:val="center"/>
              <w:keepLines w:val="0"/>
              <w:keepNext w:val="0"/>
              <w:pageBreakBefore w:val="0"/>
              <w:spacing w:line="520" w:lineRule="exact"/>
              <w:widowControl/>
              <w:rPr>
                <w:rFonts w:ascii="Times New Roman" w:hAnsi="Times New Roman" w:eastAsia="方正仿宋_GBK" w:cs="Times New Roman"/>
                <w:b w:val="0"/>
                <w:bCs w:val="0"/>
                <w:sz w:val="24"/>
                <w:szCs w:val="24"/>
                <w:highlight w:val="none"/>
                <w:lang w:val="en-US" w:eastAsia="zh-CN" w:bidi="ar-SA"/>
              </w:rPr>
            </w:pPr>
            <w:r>
              <w:rPr>
                <w:rFonts w:eastAsia="方正仿宋_GBK"/>
                <w:b w:val="0"/>
                <w:bCs w:val="0"/>
                <w:sz w:val="24"/>
                <w:szCs w:val="24"/>
                <w:highlight w:val="none"/>
                <w:lang w:bidi="ar"/>
              </w:rPr>
              <w:t xml:space="preserve">统筹后预算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vMerge w:val="restart"/>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市本级</w:t>
            </w:r>
            <w:r/>
          </w:p>
        </w:tc>
        <w:tc>
          <w:tcPr>
            <w:shd w:val="clear" w:color="auto" w:fill="auto"/>
            <w:tcBorders>
              <w:top w:val="single" w:color="000000" w:sz="4" w:space="0"/>
              <w:left w:val="single" w:color="000000" w:sz="4" w:space="0"/>
              <w:right w:val="single" w:color="000000" w:sz="4" w:space="0"/>
            </w:tcBorders>
            <w:tcW w:w="1005" w:type="dxa"/>
            <w:vAlign w:val="center"/>
            <w:vMerge w:val="restart"/>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11个站点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6个常规站：</w:t>
            </w:r>
            <w:r>
              <w:rPr>
                <w:rFonts w:hint="eastAsia" w:eastAsia="方正仿宋_GBK"/>
                <w:sz w:val="24"/>
                <w:szCs w:val="24"/>
                <w:highlight w:val="none"/>
                <w:lang w:eastAsia="zh-CN" w:bidi="ar"/>
              </w:rPr>
              <w:t xml:space="preserve">合同签订之日起</w:t>
            </w:r>
            <w:r>
              <w:rPr>
                <w:rFonts w:eastAsia="方正仿宋_GBK"/>
                <w:sz w:val="24"/>
                <w:szCs w:val="24"/>
                <w:highlight w:val="none"/>
                <w:lang w:bidi="ar"/>
              </w:rPr>
              <w:t xml:space="preserve">-2026.12</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hint="eastAsia" w:eastAsia="方正仿宋_GBK"/>
                <w:sz w:val="24"/>
                <w:szCs w:val="24"/>
                <w:highlight w:val="none"/>
                <w:lang w:eastAsia="zh-CN"/>
              </w:rPr>
            </w:pPr>
            <w:r>
              <w:rPr>
                <w:rFonts w:hint="eastAsia" w:eastAsia="方正仿宋_GBK"/>
                <w:sz w:val="24"/>
                <w:szCs w:val="24"/>
                <w:highlight w:val="none"/>
                <w:lang w:val="en-US" w:eastAsia="zh-CN"/>
              </w:rPr>
              <w:t xml:space="preserve">1.</w:t>
            </w:r>
            <w:r>
              <w:rPr>
                <w:rFonts w:hint="eastAsia" w:eastAsia="方正仿宋_GBK"/>
                <w:sz w:val="24"/>
                <w:szCs w:val="24"/>
                <w:highlight w:val="none"/>
              </w:rPr>
              <w:t xml:space="preserve">API</w:t>
            </w:r>
            <w:r>
              <w:rPr>
                <w:rFonts w:hint="eastAsia" w:eastAsia="方正仿宋_GBK"/>
                <w:sz w:val="24"/>
                <w:szCs w:val="24"/>
                <w:highlight w:val="none"/>
                <w:lang w:eastAsia="zh-CN"/>
              </w:rPr>
              <w:t xml:space="preserve">（经济开发区</w:t>
            </w:r>
            <w:r>
              <w:rPr>
                <w:rFonts w:hint="eastAsia" w:eastAsia="方正仿宋_GBK"/>
                <w:sz w:val="24"/>
                <w:szCs w:val="24"/>
                <w:highlight w:val="none"/>
                <w:lang w:val="en-US" w:eastAsia="zh-CN"/>
              </w:rPr>
              <w:t xml:space="preserve">站点</w:t>
            </w:r>
            <w:r>
              <w:rPr>
                <w:rFonts w:hint="eastAsia" w:eastAsia="方正仿宋_GBK"/>
                <w:sz w:val="24"/>
                <w:szCs w:val="24"/>
                <w:highlight w:val="none"/>
                <w:lang w:eastAsia="zh-CN"/>
              </w:rPr>
              <w:t xml:space="preserve">）；</w:t>
            </w:r>
            <w:r/>
          </w:p>
          <w:p>
            <w:pPr>
              <w:ind w:left="0" w:right="0" w:firstLine="0"/>
              <w:jc w:val="left"/>
              <w:keepLines w:val="0"/>
              <w:keepNext w:val="0"/>
              <w:pageBreakBefore w:val="0"/>
              <w:spacing w:line="520" w:lineRule="exact"/>
              <w:widowControl/>
              <w:rPr>
                <w:rFonts w:hint="eastAsia" w:eastAsia="方正仿宋_GBK"/>
                <w:sz w:val="24"/>
                <w:szCs w:val="24"/>
                <w:highlight w:val="none"/>
                <w:lang w:eastAsia="zh-CN"/>
              </w:rPr>
            </w:pPr>
            <w:r>
              <w:rPr>
                <w:rFonts w:hint="eastAsia" w:eastAsia="方正仿宋_GBK"/>
                <w:sz w:val="24"/>
                <w:szCs w:val="24"/>
                <w:highlight w:val="none"/>
                <w:lang w:val="en-US" w:eastAsia="zh-CN"/>
              </w:rPr>
              <w:t xml:space="preserve">2.</w:t>
            </w:r>
            <w:r>
              <w:rPr>
                <w:rFonts w:hint="eastAsia" w:eastAsia="方正仿宋_GBK"/>
                <w:sz w:val="24"/>
                <w:szCs w:val="24"/>
                <w:highlight w:val="none"/>
              </w:rPr>
              <w:t xml:space="preserve">赛默飞</w:t>
            </w:r>
            <w:r>
              <w:rPr>
                <w:rFonts w:hint="eastAsia" w:eastAsia="方正仿宋_GBK"/>
                <w:sz w:val="24"/>
                <w:szCs w:val="24"/>
                <w:highlight w:val="none"/>
                <w:lang w:eastAsia="zh-CN"/>
              </w:rPr>
              <w:t xml:space="preserve">（富城路办事处、河下街道办、工业园区管委会、张码派出所</w:t>
            </w:r>
            <w:r>
              <w:rPr>
                <w:rFonts w:hint="eastAsia" w:eastAsia="方正仿宋_GBK"/>
                <w:sz w:val="24"/>
                <w:szCs w:val="24"/>
                <w:highlight w:val="none"/>
                <w:lang w:val="en-US" w:eastAsia="zh-CN"/>
              </w:rPr>
              <w:t xml:space="preserve">站点</w:t>
            </w:r>
            <w:r>
              <w:rPr>
                <w:rFonts w:hint="eastAsia" w:eastAsia="方正仿宋_GBK"/>
                <w:sz w:val="24"/>
                <w:szCs w:val="24"/>
                <w:highlight w:val="none"/>
                <w:lang w:eastAsia="zh-CN"/>
              </w:rPr>
              <w:t xml:space="preserve">）；</w:t>
            </w:r>
            <w:r/>
          </w:p>
          <w:p>
            <w:pPr>
              <w:ind w:left="0" w:right="0" w:firstLine="0"/>
              <w:jc w:val="left"/>
              <w:keepLines w:val="0"/>
              <w:keepNext w:val="0"/>
              <w:pageBreakBefore w:val="0"/>
              <w:spacing w:line="520" w:lineRule="exact"/>
              <w:widowControl/>
              <w:rPr>
                <w:rFonts w:hint="eastAsia" w:eastAsia="方正仿宋_GBK"/>
                <w:sz w:val="24"/>
                <w:szCs w:val="24"/>
                <w:highlight w:val="none"/>
                <w:lang w:eastAsia="zh-CN"/>
              </w:rPr>
            </w:pPr>
            <w:r>
              <w:rPr>
                <w:rFonts w:hint="eastAsia" w:eastAsia="方正仿宋_GBK"/>
                <w:sz w:val="24"/>
                <w:szCs w:val="24"/>
                <w:highlight w:val="none"/>
                <w:lang w:val="en-US" w:eastAsia="zh-CN"/>
              </w:rPr>
              <w:t xml:space="preserve">3.</w:t>
            </w:r>
            <w:r>
              <w:rPr>
                <w:rFonts w:hint="eastAsia" w:eastAsia="方正仿宋_GBK"/>
                <w:sz w:val="24"/>
                <w:szCs w:val="24"/>
                <w:highlight w:val="none"/>
              </w:rPr>
              <w:t xml:space="preserve">Envea</w:t>
            </w:r>
            <w:r>
              <w:rPr>
                <w:rFonts w:hint="eastAsia" w:eastAsia="方正仿宋_GBK"/>
                <w:sz w:val="24"/>
                <w:szCs w:val="24"/>
                <w:highlight w:val="none"/>
                <w:lang w:eastAsia="zh-CN"/>
              </w:rPr>
              <w:t xml:space="preserve">（王家营街道</w:t>
            </w:r>
            <w:r>
              <w:rPr>
                <w:rFonts w:hint="eastAsia" w:eastAsia="方正仿宋_GBK"/>
                <w:sz w:val="24"/>
                <w:szCs w:val="24"/>
                <w:highlight w:val="none"/>
                <w:lang w:val="en-US" w:eastAsia="zh-CN"/>
              </w:rPr>
              <w:t xml:space="preserve">站点</w:t>
            </w:r>
            <w:r>
              <w:rPr>
                <w:rFonts w:hint="eastAsia" w:eastAsia="方正仿宋_GBK"/>
                <w:sz w:val="24"/>
                <w:szCs w:val="24"/>
                <w:highlight w:val="none"/>
                <w:lang w:eastAsia="zh-CN"/>
              </w:rPr>
              <w:t xml:space="preserve">）</w:t>
            </w:r>
            <w:r/>
          </w:p>
        </w:tc>
        <w:tc>
          <w:tcPr>
            <w:tcBorders>
              <w:top w:val="single" w:color="000000" w:sz="4" w:space="0"/>
              <w:left w:val="single" w:color="auto" w:sz="4" w:space="0"/>
              <w:right w:val="single" w:color="000000" w:sz="4" w:space="0"/>
            </w:tcBorders>
            <w:tcW w:w="1463" w:type="dxa"/>
            <w:vAlign w:val="center"/>
            <w:vMerge w:val="restart"/>
            <w:textDirection w:val="lrTb"/>
            <w:noWrap w:val="false"/>
          </w:tcPr>
          <w:p>
            <w:pPr>
              <w:ind w:left="0" w:right="0" w:firstLine="0"/>
              <w:jc w:val="left"/>
              <w:keepLines w:val="0"/>
              <w:keepNext w:val="0"/>
              <w:pageBreakBefore w:val="0"/>
              <w:spacing w:line="520" w:lineRule="exact"/>
              <w:widowControl/>
              <w:rPr>
                <w:rFonts w:hint="default" w:ascii="Times New Roman" w:hAnsi="Times New Roman" w:eastAsia="方正仿宋_GBK" w:cs="Times New Roman"/>
                <w:sz w:val="24"/>
                <w:szCs w:val="24"/>
                <w:highlight w:val="none"/>
                <w:lang w:val="en-US" w:eastAsia="zh-CN" w:bidi="ar-SA"/>
              </w:rPr>
            </w:pPr>
            <w:r>
              <w:rPr>
                <w:rFonts w:hint="eastAsia" w:eastAsia="方正仿宋_GBK"/>
                <w:sz w:val="24"/>
                <w:szCs w:val="24"/>
                <w:highlight w:val="none"/>
                <w:lang w:val="en-US" w:eastAsia="zh-CN"/>
              </w:rPr>
              <w:t xml:space="preserve">56万元</w:t>
            </w:r>
            <w:r/>
          </w:p>
        </w:tc>
      </w:tr>
      <w:tr>
        <w:trPr>
          <w:jc w:val="center"/>
          <w:trHeight w:val="0"/>
        </w:trPr>
        <w:tc>
          <w:tcPr>
            <w:shd w:val="clear" w:color="auto" w:fill="auto"/>
            <w:tcBorders>
              <w:left w:val="single" w:color="000000" w:sz="4" w:space="0"/>
              <w:right w:val="single" w:color="000000" w:sz="4" w:space="0"/>
            </w:tcBorders>
            <w:tcW w:w="1249" w:type="dxa"/>
            <w:vAlign w:val="center"/>
            <w:vMerge w:val="continue"/>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r>
            <w:r/>
          </w:p>
        </w:tc>
        <w:tc>
          <w:tcPr>
            <w:shd w:val="clear" w:color="auto" w:fill="auto"/>
            <w:tcBorders>
              <w:left w:val="single" w:color="000000" w:sz="4" w:space="0"/>
              <w:right w:val="single" w:color="000000" w:sz="4" w:space="0"/>
            </w:tcBorders>
            <w:tcW w:w="1005" w:type="dxa"/>
            <w:vAlign w:val="center"/>
            <w:vMerge w:val="continue"/>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t xml:space="preserve">5个站点</w:t>
            </w:r>
            <w:r>
              <w:rPr>
                <w:rFonts w:hint="eastAsia" w:eastAsia="方正仿宋_GBK"/>
                <w:sz w:val="24"/>
                <w:szCs w:val="24"/>
                <w:highlight w:val="none"/>
                <w:lang w:eastAsia="zh-CN" w:bidi="ar"/>
              </w:rPr>
              <w:t xml:space="preserve">（</w:t>
            </w:r>
            <w:r>
              <w:rPr>
                <w:rFonts w:eastAsia="方正仿宋_GBK"/>
                <w:sz w:val="24"/>
                <w:szCs w:val="24"/>
                <w:highlight w:val="none"/>
                <w:lang w:bidi="ar"/>
              </w:rPr>
              <w:t xml:space="preserve">3个VOC站</w:t>
            </w:r>
            <w:r>
              <w:rPr>
                <w:rFonts w:hint="eastAsia" w:eastAsia="方正仿宋_GBK"/>
                <w:sz w:val="24"/>
                <w:szCs w:val="24"/>
                <w:highlight w:val="none"/>
                <w:lang w:eastAsia="zh-CN" w:bidi="ar"/>
              </w:rPr>
              <w:t xml:space="preserve">、</w:t>
            </w:r>
            <w:r>
              <w:rPr>
                <w:rFonts w:eastAsia="方正仿宋_GBK"/>
                <w:sz w:val="24"/>
                <w:szCs w:val="24"/>
                <w:highlight w:val="none"/>
                <w:lang w:bidi="ar"/>
              </w:rPr>
              <w:t xml:space="preserve">1个公路站</w:t>
            </w:r>
            <w:r>
              <w:rPr>
                <w:rFonts w:hint="eastAsia" w:eastAsia="方正仿宋_GBK"/>
                <w:sz w:val="24"/>
                <w:szCs w:val="24"/>
                <w:highlight w:val="none"/>
                <w:lang w:eastAsia="zh-CN" w:bidi="ar"/>
              </w:rPr>
              <w:t xml:space="preserve">、</w:t>
            </w:r>
            <w:r>
              <w:rPr>
                <w:rFonts w:eastAsia="方正仿宋_GBK"/>
                <w:sz w:val="24"/>
                <w:szCs w:val="24"/>
                <w:highlight w:val="none"/>
                <w:lang w:bidi="ar"/>
              </w:rPr>
              <w:t xml:space="preserve">1个机场站</w:t>
            </w:r>
            <w:r>
              <w:rPr>
                <w:rFonts w:hint="eastAsia" w:eastAsia="方正仿宋_GBK"/>
                <w:sz w:val="24"/>
                <w:szCs w:val="24"/>
                <w:highlight w:val="none"/>
                <w:lang w:eastAsia="zh-CN" w:bidi="ar"/>
              </w:rPr>
              <w:t xml:space="preserve">）：</w:t>
            </w:r>
            <w:r>
              <w:rPr>
                <w:rFonts w:eastAsia="方正仿宋_GBK"/>
                <w:sz w:val="24"/>
                <w:szCs w:val="24"/>
                <w:highlight w:val="none"/>
                <w:lang w:bidi="ar"/>
              </w:rPr>
              <w:t xml:space="preserve">2026.12</w:t>
            </w:r>
            <w:r/>
          </w:p>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1个月</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hint="eastAsia" w:eastAsia="方正仿宋_GBK"/>
                <w:sz w:val="24"/>
                <w:szCs w:val="24"/>
                <w:highlight w:val="none"/>
                <w:lang w:eastAsia="zh-CN"/>
              </w:rPr>
            </w:pPr>
            <w:r>
              <w:rPr>
                <w:rFonts w:hint="eastAsia" w:eastAsia="方正仿宋_GBK"/>
                <w:sz w:val="24"/>
                <w:szCs w:val="24"/>
                <w:highlight w:val="none"/>
                <w:lang w:val="en-US" w:eastAsia="zh-CN"/>
              </w:rPr>
              <w:t xml:space="preserve">1.</w:t>
            </w:r>
            <w:r>
              <w:rPr>
                <w:rFonts w:hint="eastAsia" w:eastAsia="方正仿宋_GBK"/>
                <w:sz w:val="24"/>
                <w:szCs w:val="24"/>
                <w:highlight w:val="none"/>
              </w:rPr>
              <w:t xml:space="preserve">博赛德</w:t>
            </w:r>
            <w:r>
              <w:rPr>
                <w:rFonts w:hint="eastAsia" w:eastAsia="方正仿宋_GBK"/>
                <w:sz w:val="24"/>
                <w:szCs w:val="24"/>
                <w:highlight w:val="none"/>
                <w:lang w:eastAsia="zh-CN"/>
              </w:rPr>
              <w:t xml:space="preserve">（</w:t>
            </w:r>
            <w:r>
              <w:rPr>
                <w:rFonts w:eastAsia="方正仿宋_GBK"/>
                <w:sz w:val="24"/>
                <w:szCs w:val="24"/>
                <w:highlight w:val="none"/>
                <w:lang w:bidi="ar"/>
              </w:rPr>
              <w:t xml:space="preserve">VOC站</w:t>
            </w:r>
            <w:r>
              <w:rPr>
                <w:rFonts w:hint="eastAsia" w:eastAsia="方正仿宋_GBK"/>
                <w:sz w:val="24"/>
                <w:szCs w:val="24"/>
                <w:highlight w:val="none"/>
                <w:lang w:eastAsia="zh-CN"/>
              </w:rPr>
              <w:t xml:space="preserve">）；</w:t>
            </w:r>
            <w:r/>
          </w:p>
          <w:p>
            <w:pPr>
              <w:ind w:left="0" w:right="0" w:firstLine="0"/>
              <w:jc w:val="left"/>
              <w:keepLines w:val="0"/>
              <w:keepNext w:val="0"/>
              <w:pageBreakBefore w:val="0"/>
              <w:spacing w:line="520" w:lineRule="exact"/>
              <w:widowControl/>
              <w:rPr>
                <w:rFonts w:hint="eastAsia" w:eastAsia="方正仿宋_GBK"/>
                <w:sz w:val="24"/>
                <w:szCs w:val="24"/>
                <w:highlight w:val="none"/>
                <w:lang w:eastAsia="zh-CN"/>
              </w:rPr>
            </w:pPr>
            <w:r>
              <w:rPr>
                <w:rFonts w:hint="eastAsia" w:eastAsia="方正仿宋_GBK"/>
                <w:sz w:val="24"/>
                <w:szCs w:val="24"/>
                <w:highlight w:val="none"/>
                <w:lang w:val="en-US" w:eastAsia="zh-CN"/>
              </w:rPr>
              <w:t xml:space="preserve">2.</w:t>
            </w:r>
            <w:r>
              <w:rPr>
                <w:rFonts w:hint="eastAsia" w:eastAsia="方正仿宋_GBK"/>
                <w:sz w:val="24"/>
                <w:szCs w:val="24"/>
                <w:highlight w:val="none"/>
              </w:rPr>
              <w:t xml:space="preserve">赛默飞</w:t>
            </w:r>
            <w:r>
              <w:rPr>
                <w:rFonts w:hint="eastAsia" w:eastAsia="方正仿宋_GBK"/>
                <w:sz w:val="24"/>
                <w:szCs w:val="24"/>
                <w:highlight w:val="none"/>
                <w:lang w:eastAsia="zh-CN"/>
              </w:rPr>
              <w:t xml:space="preserve">（</w:t>
            </w:r>
            <w:r>
              <w:rPr>
                <w:rFonts w:eastAsia="方正仿宋_GBK"/>
                <w:sz w:val="24"/>
                <w:szCs w:val="24"/>
                <w:highlight w:val="none"/>
                <w:lang w:bidi="ar"/>
              </w:rPr>
              <w:t xml:space="preserve">机场站</w:t>
            </w:r>
            <w:r>
              <w:rPr>
                <w:rFonts w:hint="eastAsia" w:eastAsia="方正仿宋_GBK"/>
                <w:sz w:val="24"/>
                <w:szCs w:val="24"/>
                <w:highlight w:val="none"/>
                <w:lang w:eastAsia="zh-CN"/>
              </w:rPr>
              <w:t xml:space="preserve">）；</w:t>
            </w:r>
            <w:r/>
          </w:p>
          <w:p>
            <w:pPr>
              <w:ind w:left="0" w:right="0" w:firstLine="0"/>
              <w:jc w:val="left"/>
              <w:keepLines w:val="0"/>
              <w:keepNext w:val="0"/>
              <w:pageBreakBefore w:val="0"/>
              <w:spacing w:line="520" w:lineRule="exact"/>
              <w:widowControl/>
              <w:rPr>
                <w:rFonts w:hint="eastAsia" w:eastAsia="方正仿宋_GBK"/>
                <w:sz w:val="24"/>
                <w:szCs w:val="24"/>
                <w:highlight w:val="none"/>
                <w:lang w:val="en-US" w:eastAsia="zh-CN"/>
              </w:rPr>
            </w:pPr>
            <w:r>
              <w:rPr>
                <w:rFonts w:hint="eastAsia" w:eastAsia="方正仿宋_GBK"/>
                <w:sz w:val="24"/>
                <w:szCs w:val="24"/>
                <w:highlight w:val="none"/>
                <w:lang w:val="en-US" w:eastAsia="zh-CN"/>
              </w:rPr>
              <w:t xml:space="preserve">3.蓝盾（</w:t>
            </w:r>
            <w:r>
              <w:rPr>
                <w:rFonts w:eastAsia="方正仿宋_GBK"/>
                <w:sz w:val="24"/>
                <w:szCs w:val="24"/>
                <w:highlight w:val="none"/>
                <w:lang w:bidi="ar"/>
              </w:rPr>
              <w:t xml:space="preserve">公路站</w:t>
            </w:r>
            <w:r>
              <w:rPr>
                <w:rFonts w:hint="eastAsia" w:eastAsia="方正仿宋_GBK"/>
                <w:sz w:val="24"/>
                <w:szCs w:val="24"/>
                <w:highlight w:val="none"/>
                <w:lang w:val="en-US" w:eastAsia="zh-CN"/>
              </w:rPr>
              <w:t xml:space="preserve">）</w:t>
            </w:r>
            <w:r/>
          </w:p>
        </w:tc>
        <w:tc>
          <w:tcPr>
            <w:tcBorders>
              <w:left w:val="single" w:color="auto" w:sz="4" w:space="0"/>
              <w:bottom w:val="single" w:color="000000" w:sz="4" w:space="0"/>
              <w:right w:val="single" w:color="000000" w:sz="4" w:space="0"/>
            </w:tcBorders>
            <w:tcW w:w="1463" w:type="dxa"/>
            <w:vAlign w:val="center"/>
            <w:vMerge w:val="continue"/>
            <w:textDirection w:val="lrTb"/>
            <w:noWrap w:val="false"/>
          </w:tcPr>
          <w:p>
            <w:pPr>
              <w:ind w:left="0" w:right="0" w:firstLine="0"/>
              <w:jc w:val="left"/>
              <w:keepLines w:val="0"/>
              <w:keepNext w:val="0"/>
              <w:pageBreakBefore w:val="0"/>
              <w:spacing w:line="520" w:lineRule="exact"/>
              <w:widowControl/>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ind w:left="0" w:right="0" w:firstLine="0"/>
              <w:jc w:val="left"/>
              <w:keepLines w:val="0"/>
              <w:keepNext w:val="0"/>
              <w:pageBreakBefore w:val="0"/>
              <w:spacing w:line="520" w:lineRule="exact"/>
              <w:rPr>
                <w:rFonts w:eastAsia="方正仿宋_GBK"/>
                <w:sz w:val="24"/>
                <w:szCs w:val="24"/>
                <w:highlight w:val="none"/>
              </w:rPr>
            </w:pPr>
            <w:r>
              <w:rPr>
                <w:rFonts w:eastAsia="方正仿宋_GBK"/>
                <w:sz w:val="24"/>
                <w:szCs w:val="24"/>
                <w:highlight w:val="none"/>
              </w:rPr>
            </w:r>
            <w:r/>
          </w:p>
        </w:tc>
        <w:tc>
          <w:tcPr>
            <w:gridSpan w:val="3"/>
            <w:tcBorders>
              <w:top w:val="single" w:color="000000" w:sz="4" w:space="0"/>
              <w:left w:val="single" w:color="000000" w:sz="4" w:space="0"/>
              <w:bottom w:val="single" w:color="000000" w:sz="4" w:space="0"/>
              <w:right w:val="single" w:color="auto" w:sz="4" w:space="0"/>
            </w:tcBorders>
            <w:tcW w:w="7030" w:type="dxa"/>
            <w:vAlign w:val="center"/>
            <w:textDirection w:val="lrTb"/>
            <w:noWrap w:val="false"/>
          </w:tcPr>
          <w:p>
            <w:pPr>
              <w:ind w:left="0" w:right="0" w:firstLine="0"/>
              <w:jc w:val="center"/>
              <w:keepLines w:val="0"/>
              <w:keepNext w:val="0"/>
              <w:pageBreakBefore w:val="0"/>
              <w:spacing w:line="520" w:lineRule="exact"/>
              <w:widowControl/>
              <w:rPr>
                <w:rFonts w:hint="eastAsia" w:eastAsia="方正仿宋_GBK"/>
                <w:sz w:val="24"/>
                <w:szCs w:val="24"/>
                <w:highlight w:val="none"/>
                <w:lang w:val="en-US" w:eastAsia="zh-CN"/>
              </w:rPr>
            </w:pPr>
            <w:r>
              <w:rPr>
                <w:rFonts w:eastAsia="方正仿宋_GBK"/>
                <w:sz w:val="24"/>
                <w:szCs w:val="24"/>
                <w:highlight w:val="none"/>
              </w:rPr>
              <w:t xml:space="preserve">淮安生态环境微信公众号空气质量展示模块建设</w:t>
            </w:r>
            <w:r/>
          </w:p>
        </w:tc>
        <w:tc>
          <w:tcPr>
            <w:tcBorders>
              <w:top w:val="single" w:color="000000" w:sz="4" w:space="0"/>
              <w:left w:val="single" w:color="auto" w:sz="4" w:space="0"/>
              <w:bottom w:val="single" w:color="000000" w:sz="4" w:space="0"/>
              <w:right w:val="single" w:color="000000" w:sz="4" w:space="0"/>
            </w:tcBorders>
            <w:tcW w:w="1463" w:type="dxa"/>
            <w:vAlign w:val="center"/>
            <w:textDirection w:val="lrTb"/>
            <w:noWrap w:val="false"/>
          </w:tcPr>
          <w:p>
            <w:pPr>
              <w:ind w:left="0" w:right="0" w:firstLine="0"/>
              <w:jc w:val="left"/>
              <w:keepLines w:val="0"/>
              <w:keepNext w:val="0"/>
              <w:pageBreakBefore w:val="0"/>
              <w:spacing w:line="520" w:lineRule="exact"/>
              <w:widowControl/>
              <w:rPr>
                <w:rFonts w:hint="eastAsia" w:eastAsia="方正仿宋_GBK"/>
                <w:sz w:val="24"/>
                <w:szCs w:val="24"/>
                <w:highlight w:val="none"/>
                <w:lang w:val="en-US" w:eastAsia="zh-CN"/>
              </w:rPr>
            </w:pPr>
            <w:r>
              <w:rPr>
                <w:rFonts w:eastAsia="方正仿宋_GBK"/>
                <w:sz w:val="24"/>
                <w:szCs w:val="24"/>
                <w:highlight w:val="none"/>
              </w:rPr>
              <w:t xml:space="preserve">3</w:t>
            </w:r>
            <w:r>
              <w:rPr>
                <w:rFonts w:hint="eastAsia" w:eastAsia="方正仿宋_GBK"/>
                <w:sz w:val="24"/>
                <w:szCs w:val="24"/>
                <w:highlight w:val="none"/>
                <w:lang w:val="en-US" w:eastAsia="zh-CN"/>
              </w:rPr>
              <w:t xml:space="preserve">万元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15个常规站</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t xml:space="preserve">2026.4-2026.12</w:t>
            </w:r>
            <w:r/>
          </w:p>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9个月</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rPr>
              <w:t xml:space="preserve">赛默飞</w:t>
            </w:r>
            <w:r/>
          </w:p>
        </w:tc>
        <w:tc>
          <w:tcPr>
            <w:tcBorders>
              <w:top w:val="single" w:color="000000" w:sz="4" w:space="0"/>
              <w:left w:val="single" w:color="auto" w:sz="4" w:space="0"/>
              <w:right w:val="single" w:color="000000" w:sz="4" w:space="0"/>
            </w:tcBorders>
            <w:tcW w:w="1463" w:type="dxa"/>
            <w:vAlign w:val="center"/>
            <w:vMerge w:val="restart"/>
            <w:textDirection w:val="lrTb"/>
            <w:noWrap w:val="false"/>
          </w:tcPr>
          <w:p>
            <w:pPr>
              <w:ind w:left="0" w:right="0" w:firstLine="0"/>
              <w:jc w:val="left"/>
              <w:keepLines w:val="0"/>
              <w:keepNext w:val="0"/>
              <w:pageBreakBefore w:val="0"/>
              <w:spacing w:line="520" w:lineRule="exact"/>
              <w:widowControl/>
              <w:rPr>
                <w:rFonts w:hint="default" w:ascii="Times New Roman" w:hAnsi="Times New Roman" w:eastAsia="方正仿宋_GBK" w:cs="Times New Roman"/>
                <w:sz w:val="24"/>
                <w:szCs w:val="24"/>
                <w:highlight w:val="none"/>
                <w:lang w:val="en-US" w:eastAsia="zh-CN" w:bidi="ar-SA"/>
              </w:rPr>
            </w:pPr>
            <w:r>
              <w:rPr>
                <w:rFonts w:hint="eastAsia" w:eastAsia="方正仿宋_GBK" w:cs="Times New Roman"/>
                <w:sz w:val="24"/>
                <w:szCs w:val="24"/>
                <w:highlight w:val="none"/>
                <w:lang w:val="en-US" w:eastAsia="zh-CN" w:bidi="ar-SA"/>
              </w:rPr>
              <w:t xml:space="preserve">每个站点每个月费用0.708万元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11个常规站</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t xml:space="preserve">2026.5-2026.12</w:t>
            </w:r>
            <w:r/>
          </w:p>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8个月</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rPr>
              <w:t xml:space="preserve">Envea</w:t>
            </w:r>
            <w:r/>
          </w:p>
        </w:tc>
        <w:tc>
          <w:tcPr>
            <w:tcBorders>
              <w:left w:val="single" w:color="auto" w:sz="4" w:space="0"/>
              <w:right w:val="single" w:color="000000" w:sz="4" w:space="0"/>
            </w:tcBorders>
            <w:tcW w:w="1463" w:type="dxa"/>
            <w:vAlign w:val="center"/>
            <w:vMerge w:val="continue"/>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9个常规站</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lang w:eastAsia="zh-CN" w:bidi="ar"/>
              </w:rPr>
              <w:t xml:space="preserve">合同签订之日起</w:t>
            </w:r>
            <w:r>
              <w:rPr>
                <w:rFonts w:eastAsia="方正仿宋_GBK"/>
                <w:sz w:val="24"/>
                <w:szCs w:val="24"/>
                <w:highlight w:val="none"/>
                <w:lang w:bidi="ar"/>
              </w:rPr>
              <w:t xml:space="preserve">-2026.12</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rPr>
              <w:t xml:space="preserve">赛默飞</w:t>
            </w:r>
            <w:r/>
          </w:p>
        </w:tc>
        <w:tc>
          <w:tcPr>
            <w:tcBorders>
              <w:left w:val="single" w:color="auto" w:sz="4" w:space="0"/>
              <w:right w:val="single" w:color="000000" w:sz="4" w:space="0"/>
            </w:tcBorders>
            <w:tcW w:w="1463" w:type="dxa"/>
            <w:vAlign w:val="center"/>
            <w:vMerge w:val="continue"/>
            <w:textDirection w:val="lrTb"/>
            <w:noWrap w:val="false"/>
          </w:tcPr>
          <w:p>
            <w:pPr>
              <w:ind w:left="0" w:right="0" w:firstLine="0"/>
              <w:jc w:val="left"/>
              <w:keepLines w:val="0"/>
              <w:keepNext w:val="0"/>
              <w:pageBreakBefore w:val="0"/>
              <w:spacing w:line="520" w:lineRule="exact"/>
              <w:widowControl/>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7个常规站</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t xml:space="preserve">2026.3-2026.12</w:t>
            </w:r>
            <w:r/>
          </w:p>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10个月</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rPr>
              <w:t xml:space="preserve">赛默飞</w:t>
            </w:r>
            <w:r/>
          </w:p>
        </w:tc>
        <w:tc>
          <w:tcPr>
            <w:tcBorders>
              <w:left w:val="single" w:color="auto" w:sz="4" w:space="0"/>
              <w:right w:val="single" w:color="000000" w:sz="4" w:space="0"/>
            </w:tcBorders>
            <w:tcW w:w="1463" w:type="dxa"/>
            <w:vAlign w:val="center"/>
            <w:vMerge w:val="continue"/>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经济开发区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4个常规站</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lang w:bidi="ar"/>
              </w:rPr>
            </w:pPr>
            <w:r>
              <w:rPr>
                <w:rFonts w:eastAsia="方正仿宋_GBK"/>
                <w:sz w:val="24"/>
                <w:szCs w:val="24"/>
                <w:highlight w:val="none"/>
                <w:lang w:bidi="ar"/>
              </w:rPr>
              <w:t xml:space="preserve">2026.10-2026.12</w:t>
            </w:r>
            <w:r/>
          </w:p>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2个月</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rPr>
              <w:t xml:space="preserve">赛默飞</w:t>
            </w:r>
            <w:r/>
          </w:p>
        </w:tc>
        <w:tc>
          <w:tcPr>
            <w:tcBorders>
              <w:left w:val="single" w:color="auto" w:sz="4" w:space="0"/>
              <w:right w:val="single" w:color="000000" w:sz="4" w:space="0"/>
            </w:tcBorders>
            <w:tcW w:w="1463" w:type="dxa"/>
            <w:vAlign w:val="center"/>
            <w:vMerge w:val="continue"/>
            <w:textDirection w:val="lrTb"/>
            <w:noWrap w:val="false"/>
          </w:tcPr>
          <w:p>
            <w:pPr>
              <w:ind w:left="0" w:right="0" w:firstLine="0"/>
              <w:jc w:val="left"/>
              <w:keepLines w:val="0"/>
              <w:keepNext w:val="0"/>
              <w:pageBreakBefore w:val="0"/>
              <w:spacing w:line="520" w:lineRule="exact"/>
              <w:widowControl/>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eastAsia="方正仿宋_GBK"/>
                <w:sz w:val="24"/>
                <w:szCs w:val="24"/>
                <w:highlight w:val="none"/>
                <w:lang w:bidi="ar"/>
              </w:rPr>
              <w:t xml:space="preserve">8个常规站</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lang w:eastAsia="zh-CN" w:bidi="ar"/>
              </w:rPr>
              <w:t xml:space="preserve">合同签订之日起</w:t>
            </w:r>
            <w:r>
              <w:rPr>
                <w:rFonts w:eastAsia="方正仿宋_GBK"/>
                <w:sz w:val="24"/>
                <w:szCs w:val="24"/>
                <w:highlight w:val="none"/>
                <w:lang w:bidi="ar"/>
              </w:rPr>
              <w:t xml:space="preserve">-2026.12</w:t>
            </w:r>
            <w:r/>
          </w:p>
        </w:tc>
        <w:tc>
          <w:tcPr>
            <w:shd w:val="clear" w:color="auto" w:fill="ffffff"/>
            <w:tcBorders>
              <w:top w:val="single" w:color="000000" w:sz="4" w:space="0"/>
              <w:left w:val="single" w:color="000000" w:sz="4" w:space="0"/>
              <w:bottom w:val="single" w:color="000000" w:sz="4" w:space="0"/>
              <w:right w:val="single" w:color="auto" w:sz="4" w:space="0"/>
            </w:tcBorders>
            <w:tcW w:w="2935" w:type="dxa"/>
            <w:vAlign w:val="center"/>
            <w:textDirection w:val="lrTb"/>
            <w:noWrap w:val="false"/>
          </w:tcPr>
          <w:p>
            <w:pPr>
              <w:ind w:left="0" w:right="0" w:firstLine="0"/>
              <w:jc w:val="left"/>
              <w:keepLines w:val="0"/>
              <w:keepNext w:val="0"/>
              <w:pageBreakBefore w:val="0"/>
              <w:spacing w:line="520" w:lineRule="exact"/>
              <w:widowControl/>
              <w:rPr>
                <w:rFonts w:eastAsia="方正仿宋_GBK"/>
                <w:sz w:val="24"/>
                <w:szCs w:val="24"/>
                <w:highlight w:val="none"/>
              </w:rPr>
            </w:pPr>
            <w:r>
              <w:rPr>
                <w:rFonts w:hint="eastAsia" w:eastAsia="方正仿宋_GBK"/>
                <w:sz w:val="24"/>
                <w:szCs w:val="24"/>
                <w:highlight w:val="none"/>
              </w:rPr>
              <w:t xml:space="preserve">赛默飞</w:t>
            </w:r>
            <w:r/>
          </w:p>
        </w:tc>
        <w:tc>
          <w:tcPr>
            <w:tcBorders>
              <w:left w:val="single" w:color="auto" w:sz="4" w:space="0"/>
              <w:bottom w:val="single" w:color="000000" w:sz="4" w:space="0"/>
              <w:right w:val="single" w:color="000000" w:sz="4" w:space="0"/>
            </w:tcBorders>
            <w:tcW w:w="1463" w:type="dxa"/>
            <w:vAlign w:val="center"/>
            <w:vMerge w:val="continue"/>
            <w:textDirection w:val="lrTb"/>
            <w:noWrap w:val="false"/>
          </w:tcPr>
          <w:p>
            <w:pPr>
              <w:ind w:left="0" w:right="0" w:firstLine="0"/>
              <w:jc w:val="left"/>
              <w:keepLines w:val="0"/>
              <w:keepNext w:val="0"/>
              <w:pageBreakBefore w:val="0"/>
              <w:spacing w:line="520" w:lineRule="exact"/>
              <w:widowControl/>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bl>
    <w:p>
      <w:pPr>
        <w:ind w:firstLine="560"/>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VOCs站点主要设备清单</w:t>
      </w:r>
      <w:r/>
    </w:p>
    <w:tbl>
      <w:tblPr>
        <w:tblStyle w:val="875"/>
        <w:tblW w:w="8718" w:type="dxa"/>
        <w:jc w:val="center"/>
        <w:tblLayout w:type="autofit"/>
        <w:tblCellMar>
          <w:left w:w="0" w:type="dxa"/>
          <w:top w:w="0" w:type="dxa"/>
          <w:right w:w="0" w:type="dxa"/>
          <w:bottom w:w="0" w:type="dxa"/>
        </w:tblCellMar>
        <w:tblLook w:val="04A0" w:firstRow="1" w:lastRow="0" w:firstColumn="1" w:lastColumn="0" w:noHBand="0" w:noVBand="1"/>
      </w:tblPr>
      <w:tblGrid>
        <w:gridCol w:w="1038"/>
        <w:gridCol w:w="6640"/>
        <w:gridCol w:w="1040"/>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数量</w:t>
            </w:r>
            <w:r/>
          </w:p>
        </w:tc>
      </w:tr>
      <w:tr>
        <w:trPr>
          <w:jc w:val="center"/>
          <w:trHeight w:val="0"/>
        </w:trPr>
        <w:tc>
          <w:tcPr>
            <w:tcBorders>
              <w:top w:val="single" w:color="000000" w:sz="4" w:space="0"/>
              <w:left w:val="single" w:color="000000" w:sz="4" w:space="0"/>
              <w:right w:val="single" w:color="000000" w:sz="4" w:space="0"/>
            </w:tcBorders>
            <w:tcMar>
              <w:left w:w="15" w:type="dxa"/>
              <w:top w:w="15" w:type="dxa"/>
              <w:right w:w="15" w:type="dxa"/>
            </w:tcMar>
            <w:tcW w:w="1038" w:type="dxa"/>
            <w:vAlign w:val="center"/>
            <w:textDirection w:val="lrTb"/>
            <w:noWrap w:val="false"/>
          </w:tcPr>
          <w:p>
            <w:pPr>
              <w:pStyle w:val="887"/>
              <w:numPr>
                <w:ilvl w:val="0"/>
                <w:numId w:val="5"/>
              </w:num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在线VOC监测系统（116种）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3套</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pStyle w:val="887"/>
              <w:numPr>
                <w:ilvl w:val="0"/>
                <w:numId w:val="5"/>
              </w:num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6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太阳时数紫外测量系统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3套</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pStyle w:val="887"/>
              <w:numPr>
                <w:ilvl w:val="0"/>
                <w:numId w:val="5"/>
              </w:num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40" w:type="dxa"/>
            <w:vAlign w:val="center"/>
            <w:textDirection w:val="lrTb"/>
            <w:noWrap w:val="false"/>
          </w:tcPr>
          <w:p>
            <w:pPr>
              <w:ind w:left="0" w:right="0" w:firstLine="0"/>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气象五参数仪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0" w:type="dxa"/>
            <w:vAlign w:val="center"/>
            <w:textDirection w:val="lrTb"/>
            <w:noWrap w:val="false"/>
          </w:tcPr>
          <w:p>
            <w:pPr>
              <w:ind w:left="0" w:right="0" w:firstLine="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3套</w:t>
            </w:r>
            <w:r/>
          </w:p>
        </w:tc>
      </w:tr>
    </w:tbl>
    <w:p>
      <w:pPr>
        <w:jc w:val="center"/>
        <w:keepLines w:val="0"/>
        <w:keepNext w:val="0"/>
        <w:pageBreakBefore w:val="0"/>
        <w:spacing w:line="52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机场站主要设备清单</w:t>
      </w:r>
      <w:r/>
    </w:p>
    <w:tbl>
      <w:tblPr>
        <w:tblStyle w:val="875"/>
        <w:tblW w:w="4997" w:type="pct"/>
        <w:jc w:val="center"/>
        <w:tblLayout w:type="autofit"/>
        <w:tblCellMar>
          <w:left w:w="0" w:type="dxa"/>
          <w:top w:w="0" w:type="dxa"/>
          <w:right w:w="0" w:type="dxa"/>
          <w:bottom w:w="0" w:type="dxa"/>
        </w:tblCellMar>
        <w:tblLook w:val="04A0" w:firstRow="1" w:lastRow="0" w:firstColumn="1" w:lastColumn="0" w:noHBand="0" w:noVBand="1"/>
      </w:tblPr>
      <w:tblGrid>
        <w:gridCol w:w="1407"/>
        <w:gridCol w:w="5520"/>
        <w:gridCol w:w="1789"/>
      </w:tblGrid>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数量</w:t>
            </w:r>
            <w:r/>
          </w:p>
        </w:tc>
      </w:tr>
      <w:tr>
        <w:trPr>
          <w:jc w:val="center"/>
          <w:trHeight w:val="300"/>
        </w:trPr>
        <w:tc>
          <w:tcPr>
            <w:tcBorders>
              <w:top w:val="single" w:color="000000" w:sz="4" w:space="0"/>
              <w:left w:val="single" w:color="000000"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VOCs在线监测系统（57种）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254"/>
        </w:trPr>
        <w:tc>
          <w:tcPr>
            <w:tcBorders>
              <w:top w:val="single" w:color="000000" w:sz="4" w:space="0"/>
              <w:left w:val="single" w:color="000000"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非甲烷总烃在线监测系统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254"/>
        </w:trPr>
        <w:tc>
          <w:tcPr>
            <w:tcBorders>
              <w:top w:val="single" w:color="000000" w:sz="4" w:space="0"/>
              <w:left w:val="single" w:color="000000"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黑碳仪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30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NO-NO</w:t>
            </w:r>
            <w:r>
              <w:rPr>
                <w:rFonts w:hint="eastAsia" w:ascii="仿宋" w:hAnsi="仿宋" w:eastAsia="仿宋" w:cs="仿宋"/>
                <w:b w:val="0"/>
                <w:bCs w:val="0"/>
                <w:sz w:val="28"/>
                <w:szCs w:val="28"/>
                <w:highlight w:val="none"/>
                <w:vertAlign w:val="subscript"/>
              </w:rPr>
              <w:t xml:space="preserve">2</w:t>
            </w:r>
            <w:r>
              <w:rPr>
                <w:rFonts w:hint="eastAsia" w:ascii="仿宋" w:hAnsi="仿宋" w:eastAsia="仿宋" w:cs="仿宋"/>
                <w:b w:val="0"/>
                <w:bCs w:val="0"/>
                <w:sz w:val="28"/>
                <w:szCs w:val="28"/>
                <w:highlight w:val="none"/>
              </w:rPr>
              <w:t xml:space="preserve">-NO</w:t>
            </w:r>
            <w:r>
              <w:rPr>
                <w:rFonts w:hint="eastAsia" w:ascii="仿宋" w:hAnsi="仿宋" w:eastAsia="仿宋" w:cs="仿宋"/>
                <w:b w:val="0"/>
                <w:bCs w:val="0"/>
                <w:sz w:val="28"/>
                <w:szCs w:val="28"/>
                <w:highlight w:val="none"/>
                <w:vertAlign w:val="subscript"/>
              </w:rPr>
              <w:t xml:space="preserve">X</w:t>
            </w:r>
            <w:r>
              <w:rPr>
                <w:rFonts w:hint="eastAsia" w:ascii="仿宋" w:hAnsi="仿宋" w:eastAsia="仿宋" w:cs="仿宋"/>
                <w:b w:val="0"/>
                <w:bCs w:val="0"/>
                <w:sz w:val="28"/>
                <w:szCs w:val="28"/>
                <w:highlight w:val="none"/>
              </w:rPr>
              <w:t xml:space="preserve">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SO</w:t>
            </w:r>
            <w:r>
              <w:rPr>
                <w:rFonts w:hint="eastAsia" w:ascii="仿宋" w:hAnsi="仿宋" w:eastAsia="仿宋" w:cs="仿宋"/>
                <w:b w:val="0"/>
                <w:bCs w:val="0"/>
                <w:sz w:val="28"/>
                <w:szCs w:val="28"/>
                <w:highlight w:val="none"/>
                <w:vertAlign w:val="subscript"/>
              </w:rPr>
              <w:t xml:space="preserve">2</w:t>
            </w:r>
            <w:r>
              <w:rPr>
                <w:rFonts w:hint="eastAsia" w:ascii="仿宋" w:hAnsi="仿宋" w:eastAsia="仿宋" w:cs="仿宋"/>
                <w:b w:val="0"/>
                <w:bCs w:val="0"/>
                <w:sz w:val="28"/>
                <w:szCs w:val="28"/>
                <w:highlight w:val="none"/>
              </w:rPr>
              <w:t xml:space="preserve">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CO分析仪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O</w:t>
            </w:r>
            <w:r>
              <w:rPr>
                <w:rFonts w:hint="eastAsia" w:ascii="仿宋" w:hAnsi="仿宋" w:eastAsia="仿宋" w:cs="仿宋"/>
                <w:b w:val="0"/>
                <w:bCs w:val="0"/>
                <w:sz w:val="28"/>
                <w:szCs w:val="28"/>
                <w:highlight w:val="none"/>
                <w:vertAlign w:val="subscript"/>
              </w:rPr>
              <w:t xml:space="preserve">3</w:t>
            </w:r>
            <w:r>
              <w:rPr>
                <w:rFonts w:hint="eastAsia" w:ascii="仿宋" w:hAnsi="仿宋" w:eastAsia="仿宋" w:cs="仿宋"/>
                <w:b w:val="0"/>
                <w:bCs w:val="0"/>
                <w:sz w:val="28"/>
                <w:szCs w:val="28"/>
                <w:highlight w:val="none"/>
              </w:rPr>
              <w:t xml:space="preserve">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PM</w:t>
            </w:r>
            <w:r>
              <w:rPr>
                <w:rFonts w:hint="eastAsia" w:ascii="仿宋" w:hAnsi="仿宋" w:eastAsia="仿宋" w:cs="仿宋"/>
                <w:b w:val="0"/>
                <w:bCs w:val="0"/>
                <w:sz w:val="28"/>
                <w:szCs w:val="28"/>
                <w:highlight w:val="none"/>
                <w:vertAlign w:val="subscript"/>
              </w:rPr>
              <w:t xml:space="preserve">10</w:t>
            </w:r>
            <w:r>
              <w:rPr>
                <w:rFonts w:hint="eastAsia" w:ascii="仿宋" w:hAnsi="仿宋" w:eastAsia="仿宋" w:cs="仿宋"/>
                <w:b w:val="0"/>
                <w:bCs w:val="0"/>
                <w:sz w:val="28"/>
                <w:szCs w:val="28"/>
                <w:highlight w:val="none"/>
              </w:rPr>
              <w:t xml:space="preserve">颗粒物分析仪</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7" w:type="pct"/>
            <w:vAlign w:val="center"/>
            <w:textDirection w:val="lrTb"/>
            <w:noWrap w:val="false"/>
          </w:tcPr>
          <w:p>
            <w:pPr>
              <w:pStyle w:val="887"/>
              <w:numPr>
                <w:ilvl w:val="0"/>
                <w:numId w:val="6"/>
              </w:num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PM</w:t>
            </w:r>
            <w:r>
              <w:rPr>
                <w:rFonts w:hint="eastAsia" w:ascii="仿宋" w:hAnsi="仿宋" w:eastAsia="仿宋" w:cs="仿宋"/>
                <w:b w:val="0"/>
                <w:bCs w:val="0"/>
                <w:sz w:val="28"/>
                <w:szCs w:val="28"/>
                <w:highlight w:val="none"/>
                <w:vertAlign w:val="subscript"/>
              </w:rPr>
              <w:t xml:space="preserve">2.5</w:t>
            </w:r>
            <w:r>
              <w:rPr>
                <w:rFonts w:hint="eastAsia" w:ascii="仿宋" w:hAnsi="仿宋" w:eastAsia="仿宋" w:cs="仿宋"/>
                <w:b w:val="0"/>
                <w:bCs w:val="0"/>
                <w:sz w:val="28"/>
                <w:szCs w:val="28"/>
                <w:highlight w:val="none"/>
              </w:rPr>
              <w:t xml:space="preserve">颗粒物分析仪</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1套</w:t>
            </w:r>
            <w:r/>
          </w:p>
        </w:tc>
      </w:tr>
    </w:tbl>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公路站主要设备清单</w:t>
      </w:r>
      <w:r/>
    </w:p>
    <w:tbl>
      <w:tblPr>
        <w:tblStyle w:val="875"/>
        <w:tblW w:w="4997" w:type="pct"/>
        <w:jc w:val="center"/>
        <w:tblLayout w:type="autofit"/>
        <w:tblCellMar>
          <w:left w:w="0" w:type="dxa"/>
          <w:top w:w="0" w:type="dxa"/>
          <w:right w:w="0" w:type="dxa"/>
          <w:bottom w:w="0" w:type="dxa"/>
        </w:tblCellMar>
        <w:tblLook w:val="04A0" w:firstRow="1" w:lastRow="0" w:firstColumn="1" w:lastColumn="0" w:noHBand="0" w:noVBand="1"/>
      </w:tblPr>
      <w:tblGrid>
        <w:gridCol w:w="1405"/>
        <w:gridCol w:w="5522"/>
        <w:gridCol w:w="1789"/>
      </w:tblGrid>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7"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数量</w:t>
            </w:r>
            <w:r/>
          </w:p>
        </w:tc>
      </w:tr>
      <w:tr>
        <w:trPr>
          <w:jc w:val="cente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7"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VOCs在线监测系统（57种）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2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7"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非甲烷总烃在线监测系统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2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7" w:type="pct"/>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黑碳分析仪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167" w:type="pct"/>
            <w:vAlign w:val="center"/>
            <w:textDirection w:val="lrTb"/>
            <w:noWrap w:val="false"/>
          </w:tcPr>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道路车流量监测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bl>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常规站主要设备清单</w:t>
      </w:r>
      <w:r/>
    </w:p>
    <w:tbl>
      <w:tblPr>
        <w:tblStyle w:val="875"/>
        <w:tblW w:w="4997" w:type="pct"/>
        <w:jc w:val="center"/>
        <w:tblLayout w:type="autofit"/>
        <w:tblCellMar>
          <w:left w:w="0" w:type="dxa"/>
          <w:top w:w="0" w:type="dxa"/>
          <w:right w:w="0" w:type="dxa"/>
          <w:bottom w:w="0" w:type="dxa"/>
        </w:tblCellMar>
        <w:tblLook w:val="04A0" w:firstRow="1" w:lastRow="0" w:firstColumn="1" w:lastColumn="0" w:noHBand="0" w:noVBand="1"/>
      </w:tblPr>
      <w:tblGrid>
        <w:gridCol w:w="1406"/>
        <w:gridCol w:w="5521"/>
        <w:gridCol w:w="1789"/>
      </w:tblGrid>
      <w:tr>
        <w:trPr>
          <w:jc w:val="center"/>
          <w:trHeight w:val="30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NO-NO</w:t>
            </w:r>
            <w:r>
              <w:rPr>
                <w:rFonts w:hint="eastAsia" w:ascii="仿宋" w:hAnsi="仿宋" w:eastAsia="仿宋" w:cs="仿宋"/>
                <w:sz w:val="28"/>
                <w:szCs w:val="28"/>
                <w:highlight w:val="none"/>
                <w:vertAlign w:val="subscript"/>
              </w:rPr>
              <w:t xml:space="preserve">2</w:t>
            </w:r>
            <w:r>
              <w:rPr>
                <w:rFonts w:hint="eastAsia" w:ascii="仿宋" w:hAnsi="仿宋" w:eastAsia="仿宋" w:cs="仿宋"/>
                <w:sz w:val="28"/>
                <w:szCs w:val="28"/>
                <w:highlight w:val="none"/>
              </w:rPr>
              <w:t xml:space="preserve">-NO</w:t>
            </w:r>
            <w:r>
              <w:rPr>
                <w:rFonts w:hint="eastAsia" w:ascii="仿宋" w:hAnsi="仿宋" w:eastAsia="仿宋" w:cs="仿宋"/>
                <w:sz w:val="28"/>
                <w:szCs w:val="28"/>
                <w:highlight w:val="none"/>
                <w:vertAlign w:val="subscript"/>
              </w:rPr>
              <w:t xml:space="preserve">X</w:t>
            </w:r>
            <w:r>
              <w:rPr>
                <w:rFonts w:hint="eastAsia" w:ascii="仿宋" w:hAnsi="仿宋" w:eastAsia="仿宋" w:cs="仿宋"/>
                <w:sz w:val="28"/>
                <w:szCs w:val="28"/>
                <w:highlight w:val="none"/>
              </w:rPr>
              <w:t xml:space="preserve">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SO</w:t>
            </w:r>
            <w:r>
              <w:rPr>
                <w:rFonts w:hint="eastAsia" w:ascii="仿宋" w:hAnsi="仿宋" w:eastAsia="仿宋" w:cs="仿宋"/>
                <w:sz w:val="28"/>
                <w:szCs w:val="28"/>
                <w:highlight w:val="none"/>
                <w:vertAlign w:val="subscript"/>
              </w:rPr>
              <w:t xml:space="preserve">2</w:t>
            </w:r>
            <w:r>
              <w:rPr>
                <w:rFonts w:hint="eastAsia" w:ascii="仿宋" w:hAnsi="仿宋" w:eastAsia="仿宋" w:cs="仿宋"/>
                <w:sz w:val="28"/>
                <w:szCs w:val="28"/>
                <w:highlight w:val="none"/>
              </w:rPr>
              <w:t xml:space="preserve">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CO分析仪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O</w:t>
            </w:r>
            <w:r>
              <w:rPr>
                <w:rFonts w:hint="eastAsia" w:ascii="仿宋" w:hAnsi="仿宋" w:eastAsia="仿宋" w:cs="仿宋"/>
                <w:sz w:val="28"/>
                <w:szCs w:val="28"/>
                <w:highlight w:val="none"/>
                <w:vertAlign w:val="subscript"/>
              </w:rPr>
              <w:t xml:space="preserve">3</w:t>
            </w:r>
            <w:r>
              <w:rPr>
                <w:rFonts w:hint="eastAsia" w:ascii="仿宋" w:hAnsi="仿宋" w:eastAsia="仿宋" w:cs="仿宋"/>
                <w:sz w:val="28"/>
                <w:szCs w:val="28"/>
                <w:highlight w:val="none"/>
              </w:rPr>
              <w:t xml:space="preserve">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PM</w:t>
            </w:r>
            <w:r>
              <w:rPr>
                <w:rFonts w:hint="eastAsia" w:ascii="仿宋" w:hAnsi="仿宋" w:eastAsia="仿宋" w:cs="仿宋"/>
                <w:sz w:val="28"/>
                <w:szCs w:val="28"/>
                <w:highlight w:val="none"/>
                <w:vertAlign w:val="subscript"/>
              </w:rPr>
              <w:t xml:space="preserve">10</w:t>
            </w:r>
            <w:r>
              <w:rPr>
                <w:rFonts w:hint="eastAsia" w:ascii="仿宋" w:hAnsi="仿宋" w:eastAsia="仿宋" w:cs="仿宋"/>
                <w:sz w:val="28"/>
                <w:szCs w:val="28"/>
                <w:highlight w:val="none"/>
              </w:rPr>
              <w:t xml:space="preserve">颗粒物分析仪</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PM</w:t>
            </w:r>
            <w:r>
              <w:rPr>
                <w:rFonts w:hint="eastAsia" w:ascii="仿宋" w:hAnsi="仿宋" w:eastAsia="仿宋" w:cs="仿宋"/>
                <w:sz w:val="28"/>
                <w:szCs w:val="28"/>
                <w:highlight w:val="none"/>
                <w:vertAlign w:val="subscript"/>
              </w:rPr>
              <w:t xml:space="preserve">2.5</w:t>
            </w:r>
            <w:r>
              <w:rPr>
                <w:rFonts w:hint="eastAsia" w:ascii="仿宋" w:hAnsi="仿宋" w:eastAsia="仿宋" w:cs="仿宋"/>
                <w:sz w:val="28"/>
                <w:szCs w:val="28"/>
                <w:highlight w:val="none"/>
              </w:rPr>
              <w:t xml:space="preserve">颗粒物分析仪</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r>
        <w:trPr>
          <w:jc w:val="center"/>
          <w:trHeight w:val="300"/>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06" w:type="pct"/>
            <w:vAlign w:val="center"/>
            <w:textDirection w:val="lrTb"/>
            <w:noWrap w:val="false"/>
          </w:tcPr>
          <w:p>
            <w:pPr>
              <w:pStyle w:val="887"/>
              <w:ind w:left="0"/>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16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气象五参数仪</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26" w:type="pct"/>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1套</w:t>
            </w:r>
            <w:r/>
          </w:p>
        </w:tc>
      </w:tr>
    </w:tbl>
    <w:p>
      <w:pPr>
        <w:pStyle w:val="879"/>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rPr>
        <w:t xml:space="preserve">项目需运行保障的设备信息及状况由供应商自行现场勘察</w:t>
      </w:r>
      <w:r>
        <w:rPr>
          <w:rFonts w:hint="eastAsia" w:ascii="仿宋" w:hAnsi="仿宋" w:eastAsia="仿宋" w:cs="仿宋"/>
          <w:sz w:val="28"/>
          <w:szCs w:val="28"/>
          <w:highlight w:val="none"/>
          <w:lang w:eastAsia="zh-CN"/>
        </w:rPr>
        <w:t xml:space="preserve">，勘察联系人附后。</w:t>
      </w:r>
      <w:r/>
    </w:p>
    <w:tbl>
      <w:tblPr>
        <w:tblStyle w:val="875"/>
        <w:tblW w:w="9363" w:type="dxa"/>
        <w:jc w:val="center"/>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35"/>
        <w:gridCol w:w="1612"/>
        <w:gridCol w:w="2646"/>
        <w:gridCol w:w="1998"/>
        <w:gridCol w:w="2072"/>
      </w:tblGrid>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lang w:bidi="ar"/>
              </w:rPr>
            </w:pPr>
            <w:r>
              <w:rPr>
                <w:rFonts w:hint="eastAsia" w:ascii="仿宋" w:hAnsi="仿宋" w:eastAsia="仿宋" w:cs="仿宋"/>
                <w:b w:val="0"/>
                <w:bCs w:val="0"/>
                <w:sz w:val="28"/>
                <w:szCs w:val="28"/>
                <w:highlight w:val="none"/>
                <w:lang w:bidi="ar"/>
              </w:rPr>
              <w:t xml:space="preserve">归属地</w:t>
            </w:r>
            <w:r/>
          </w:p>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bidi="ar"/>
              </w:rPr>
              <w:t xml:space="preserve">（县区局）</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bidi="ar"/>
              </w:rPr>
              <w:t xml:space="preserve">站点名称</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lang w:eastAsia="zh-CN" w:bidi="ar"/>
              </w:rPr>
            </w:pPr>
            <w:r>
              <w:rPr>
                <w:rFonts w:hint="eastAsia" w:ascii="仿宋" w:hAnsi="仿宋" w:eastAsia="仿宋" w:cs="仿宋"/>
                <w:b w:val="0"/>
                <w:bCs w:val="0"/>
                <w:sz w:val="28"/>
                <w:szCs w:val="28"/>
                <w:highlight w:val="none"/>
                <w:lang w:val="en-US" w:eastAsia="zh-CN" w:bidi="ar"/>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lang w:bidi="ar"/>
              </w:rPr>
            </w:pPr>
            <w:r>
              <w:rPr>
                <w:rFonts w:hint="eastAsia" w:ascii="仿宋" w:hAnsi="仿宋" w:eastAsia="仿宋" w:cs="仿宋"/>
                <w:b w:val="0"/>
                <w:bCs w:val="0"/>
                <w:sz w:val="28"/>
                <w:szCs w:val="28"/>
                <w:highlight w:val="none"/>
                <w:lang w:bidi="ar"/>
              </w:rPr>
              <w:t xml:space="preserve">联系方式</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市本级</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VOCs楚州监测站</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姜述铖</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18360856464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VOCs市生态环境局</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姜述铖</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18360856464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VOCs张码派出所</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姜述铖</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18360856464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北京南路公路站</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姜述铖</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18360856464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涟水机场站</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姜述铖</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18360856464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经济开发区</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钱锦</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17712046115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富城路办事处</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河下街道办</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钱锦</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17712046115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王家营街道</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18205232587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工业园区管委会</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袁超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15195503031</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张码派出所</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涟水县</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保滩</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王加磊</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17551722337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岔庙</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华杰</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13771981114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陈师</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王加磊</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17551722337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成集</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王加磊</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17551722337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紅窑</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华杰</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13771981114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高沟</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华杰</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13771981114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梁岔</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王加磊</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17551722337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朱码</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王加磊</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17551722337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大东</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刘天龙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18352359945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黄营</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刘天龙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18352359945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石湖</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刘天龙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18352359945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五港</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华杰</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13771981114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唐集</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刘天龙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18352359945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东胡集</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华杰</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13771981114</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南集</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刘天龙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18352359945</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淮阴区</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新渡街道</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13048619078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淮高镇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13048619078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渔沟镇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13048619078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丁集镇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13048619078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刘老庄镇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13048619078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徐溜镇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刘帅</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13048619078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高家堰镇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徐志坚</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15396961233</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古清口街道</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徐志坚</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15396961233</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马头镇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徐志坚</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15396961233</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南陈集镇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徐志坚</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15396961233</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三树镇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徐志坚</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15396961233</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清江浦区</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淮安市烟草局</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清河街道办事处</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清江浦区王元</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清浦街道办事处</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黄码镇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武墩幼儿园</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蔡曙宇</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18036528968</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和平镇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府前街道</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城南街道办事处</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金湖县</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戴楼街道</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吕良镇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季宇昕</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15195383939</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金南镇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季宇昕</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15195383939</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前锋镇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季宇昕</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15195383939</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金北街道</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18205232587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塔集镇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18205232587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银涂镇</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经济技术开发区</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空港产业园</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郭明月</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15952391030</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南马厂</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季宇昕</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15195383939</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崇德小学</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18205232587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港龙建材家具城</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18205232587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洪泽区</w:t>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西顺河养殖场</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王熙</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18205232587</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朱坝监测点</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蒋坝监测点</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三河镇共和监测点</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老子山监测点</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东双沟镇万集</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黄集监测点</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1035" w:type="dxa"/>
            <w:vAlign w:val="bottom"/>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46"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岔河监测点</w:t>
            </w:r>
            <w:r/>
          </w:p>
        </w:tc>
        <w:tc>
          <w:tcPr>
            <w:shd w:val="clear" w:color="auto" w:fill="ffffff"/>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倪同山</w:t>
            </w:r>
            <w:r/>
          </w:p>
        </w:tc>
        <w:tc>
          <w:tcPr>
            <w:shd w:val="clear" w:color="auto" w:fill="ffffff"/>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18018156016</w:t>
            </w:r>
            <w:r/>
          </w:p>
        </w:tc>
      </w:tr>
    </w:tbl>
    <w:p>
      <w:pPr>
        <w:pStyle w:val="87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二、总体运行维护要求</w:t>
      </w:r>
      <w:r/>
    </w:p>
    <w:p>
      <w:pPr>
        <w:pStyle w:val="879"/>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运行维护服务范围包括：各站点所有监测仪器、气象仪器、质控设备、数据采集与传输设备、辅助设备、防雷、通信网络等基础设施的日常维护、质量控制、故障维修、年度检修与预防性维护、检定。运维工作应接受属地生态环境局质量检查和考核，确保各项监测仪器正常稳定运行并与相关生态环境部门正常联网。</w:t>
      </w:r>
      <w:r/>
    </w:p>
    <w:p>
      <w:pPr>
        <w:pStyle w:val="879"/>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运维单位需综合考虑运维人员、备用设备、配件、耗材、车辆等相关费用，同时承担站房网络通讯费用、电费。采购方不承担由此产生的其他费用。运维单位需在服务区域具有存放相关备用设备、耗材配件及运维人员住宿的能力。</w:t>
      </w:r>
      <w:r/>
    </w:p>
    <w:p>
      <w:pPr>
        <w:pStyle w:val="879"/>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空气站运维应严格按照《环境空气颗粒物（PM2.5和PM10）连续自动监测系统运行和质控技术规范（HJ817-2018）》《环境空气气态污染物（SO2、NO2、O3、CO）连续自动监测系统运行和质控技术规范（HJ818-2018）》、《国家环境空气监测网环境空气挥发性有机物连续自动监测质控技术规定（试行）总站气函〔2019〕785号文件及国家、省、市相关最新标准、文件等要求。</w:t>
      </w:r>
      <w:r/>
    </w:p>
    <w:p>
      <w:pPr>
        <w:pStyle w:val="87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三、</w:t>
      </w:r>
      <w:r>
        <w:rPr>
          <w:rFonts w:hint="eastAsia" w:ascii="仿宋" w:hAnsi="仿宋" w:eastAsia="仿宋" w:cs="仿宋"/>
          <w:sz w:val="28"/>
          <w:szCs w:val="28"/>
          <w:highlight w:val="none"/>
        </w:rPr>
        <w:t xml:space="preserve">机构、人员、车辆、备用设备配备要求</w:t>
      </w:r>
      <w:r/>
    </w:p>
    <w:p>
      <w:pPr>
        <w:pStyle w:val="879"/>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运维单位需安排至少18名具有省级以上专业机构颁发的空气自动监测运维上岗证的运维人员，其中明确1名负责人专门负责协调运维质控总体工作，其余人员听从甲方安排。运维单位至少配备18台专用巡检车辆用于日常巡检，根据甲方需求，统筹使用。所有工作人员必须为中标方所在单位人员，</w:t>
      </w:r>
      <w:r>
        <w:rPr>
          <w:rFonts w:hint="eastAsia" w:ascii="仿宋" w:hAnsi="仿宋" w:eastAsia="仿宋" w:cs="仿宋"/>
          <w:sz w:val="28"/>
          <w:szCs w:val="28"/>
          <w:highlight w:val="none"/>
          <w:lang w:eastAsia="zh-CN"/>
        </w:rPr>
        <w:t xml:space="preserve">运维期内甲方不定期开展人员核查（以缴纳社保为准）。</w:t>
      </w:r>
      <w:r/>
    </w:p>
    <w:tbl>
      <w:tblPr>
        <w:tblStyle w:val="884"/>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2943"/>
        <w:gridCol w:w="2765"/>
        <w:gridCol w:w="2567"/>
      </w:tblGrid>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序号</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区域</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需配备运维</w:t>
            </w:r>
            <w:r/>
          </w:p>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人员数</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需配备车辆数</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市本级</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5（含项目负责人和数据分析员各1人）</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5</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涟水县</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3</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3</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3</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淮阴区</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3</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3</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4</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清江浦区</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5</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金湖县</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6</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经济技术开发区</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w:t>
            </w:r>
            <w:r/>
          </w:p>
        </w:tc>
      </w:tr>
      <w:tr>
        <w:trPr/>
        <w:tc>
          <w:tcPr>
            <w:tcW w:w="812"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7</w:t>
            </w:r>
            <w:r/>
          </w:p>
        </w:tc>
        <w:tc>
          <w:tcPr>
            <w:tcW w:w="2129"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洪泽区</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w:t>
            </w:r>
            <w:r/>
          </w:p>
        </w:tc>
      </w:tr>
      <w:tr>
        <w:trPr/>
        <w:tc>
          <w:tcPr>
            <w:gridSpan w:val="2"/>
            <w:tcW w:w="2941"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合计</w:t>
            </w:r>
            <w:r/>
          </w:p>
        </w:tc>
        <w:tc>
          <w:tcPr>
            <w:tcW w:w="2000"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18</w:t>
            </w:r>
            <w:r/>
          </w:p>
        </w:tc>
        <w:tc>
          <w:tcPr>
            <w:tcW w:w="1857" w:type="dxa"/>
            <w:vAlign w:val="top"/>
            <w:textDirection w:val="lrTb"/>
            <w:noWrap w:val="false"/>
          </w:tcPr>
          <w:p>
            <w:pPr>
              <w:ind w:left="0" w:right="0"/>
              <w:jc w:val="center"/>
              <w:keepLines w:val="0"/>
              <w:keepNext w:val="0"/>
              <w:pageBreakBefore w:val="0"/>
              <w:spacing w:before="0" w:beforeAutospacing="0" w:after="0" w:afterAutospacing="0" w:line="520" w:lineRule="exact"/>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18</w:t>
            </w:r>
            <w:r/>
          </w:p>
        </w:tc>
      </w:tr>
    </w:tbl>
    <w:p>
      <w:pPr>
        <w:pStyle w:val="879"/>
        <w:ind w:firstLine="562"/>
        <w:keepLines w:val="0"/>
        <w:keepNext w:val="0"/>
        <w:pageBreakBefore w:val="0"/>
        <w:spacing w:line="520" w:lineRule="exact"/>
        <w:widowControl w:val="off"/>
        <w:rPr>
          <w:rFonts w:hint="eastAsia" w:ascii="仿宋" w:hAnsi="仿宋" w:eastAsia="仿宋" w:cs="仿宋"/>
          <w:b/>
          <w:bCs/>
          <w:sz w:val="28"/>
          <w:szCs w:val="28"/>
          <w:highlight w:val="none"/>
          <w:lang w:eastAsia="zh-CN"/>
        </w:rPr>
        <w:outlineLvl w:val="9"/>
      </w:pPr>
      <w:r>
        <w:rPr>
          <w:rFonts w:hint="eastAsia" w:ascii="仿宋" w:hAnsi="仿宋" w:eastAsia="仿宋" w:cs="仿宋"/>
          <w:b/>
          <w:bCs/>
          <w:sz w:val="28"/>
          <w:szCs w:val="28"/>
          <w:highlight w:val="none"/>
          <w:lang w:eastAsia="zh-CN"/>
        </w:rPr>
        <w:t xml:space="preserve">注：上述人员为最低人员配置要求，未完全满足作无效响应文件处理。</w:t>
      </w:r>
      <w:r/>
    </w:p>
    <w:p>
      <w:pPr>
        <w:pStyle w:val="879"/>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w:t>
      </w:r>
      <w:r>
        <w:rPr>
          <w:rFonts w:hint="eastAsia" w:ascii="仿宋" w:hAnsi="仿宋" w:eastAsia="仿宋"/>
          <w:bCs/>
          <w:sz w:val="28"/>
          <w:szCs w:val="28"/>
          <w:highlight w:val="none"/>
        </w:rPr>
        <w:t xml:space="preserve">运维单位须至少配置4套SO2、NO2、CO、PM10、PM2.5、O3  6项常规指标自动监测仪器用作备机。为了保证数据可比性，备机必须满足国家相关技术规范，换备机需向采购人报备。</w:t>
      </w:r>
      <w:r>
        <w:rPr>
          <w:rFonts w:hint="eastAsia" w:ascii="仿宋" w:hAnsi="仿宋" w:eastAsia="仿宋"/>
          <w:b/>
          <w:bCs w:val="0"/>
          <w:sz w:val="28"/>
          <w:szCs w:val="28"/>
          <w:highlight w:val="none"/>
          <w:lang w:eastAsia="zh-CN"/>
        </w:rPr>
        <w:t xml:space="preserve">（提供相关设备购买证明或租赁协议，未提供作无效响应文件处理）</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2.1</w:t>
      </w:r>
      <w:r>
        <w:rPr>
          <w:rFonts w:hint="eastAsia" w:ascii="仿宋" w:hAnsi="仿宋" w:eastAsia="仿宋" w:cs="仿宋"/>
          <w:sz w:val="28"/>
          <w:szCs w:val="28"/>
          <w:highlight w:val="none"/>
        </w:rPr>
        <w:t xml:space="preserve">为了保证自动站运行质量和接受抽查、校准的需要，中标人需按照要求配备质量控制配套设施，签订合同</w:t>
      </w:r>
      <w:r>
        <w:rPr>
          <w:rFonts w:hint="eastAsia" w:ascii="仿宋" w:hAnsi="仿宋" w:eastAsia="仿宋" w:cs="仿宋"/>
          <w:sz w:val="28"/>
          <w:szCs w:val="28"/>
          <w:highlight w:val="none"/>
          <w:lang w:val="en-US" w:eastAsia="zh-CN"/>
        </w:rPr>
        <w:t xml:space="preserve">之日起</w:t>
      </w:r>
      <w:r>
        <w:rPr>
          <w:rFonts w:hint="eastAsia" w:ascii="仿宋" w:hAnsi="仿宋" w:eastAsia="仿宋" w:cs="仿宋"/>
          <w:sz w:val="28"/>
          <w:szCs w:val="28"/>
          <w:highlight w:val="none"/>
        </w:rPr>
        <w:t xml:space="preserve">运维VOCs站点、非甲烷总烃站和黑碳仪器需配备经</w:t>
      </w:r>
      <w:r>
        <w:rPr>
          <w:rFonts w:hint="eastAsia" w:ascii="仿宋" w:hAnsi="仿宋" w:eastAsia="仿宋" w:cs="仿宋"/>
          <w:sz w:val="28"/>
          <w:szCs w:val="28"/>
          <w:highlight w:val="none"/>
          <w:lang w:val="en-US" w:eastAsia="zh-CN"/>
        </w:rPr>
        <w:t xml:space="preserve">检</w:t>
      </w:r>
      <w:r>
        <w:rPr>
          <w:rFonts w:hint="eastAsia" w:ascii="仿宋" w:hAnsi="仿宋" w:eastAsia="仿宋" w:cs="仿宋"/>
          <w:sz w:val="28"/>
          <w:szCs w:val="28"/>
          <w:highlight w:val="none"/>
        </w:rPr>
        <w:t xml:space="preserve">定且在有效期内的流量计、温湿度计和标准气压计、标准气体、气体稀释装置等量值溯源设备，运维常规站的单位还需配备臭氧溯源等设备（详见下表）。耗材按照服务周期消耗量配置，备件按照项目周期内使用量配置，并且负责项目周期内的全部耗材。标准气体须为生态环境部标样所或中国计量院生产的一级标准样品或物质。</w:t>
      </w:r>
      <w:r/>
    </w:p>
    <w:p>
      <w:pPr>
        <w:ind w:firstLine="560"/>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环境空气气态污染物（SO</w:t>
      </w:r>
      <w:r>
        <w:rPr>
          <w:rFonts w:hint="eastAsia" w:ascii="仿宋" w:hAnsi="仿宋" w:eastAsia="仿宋" w:cs="仿宋"/>
          <w:sz w:val="28"/>
          <w:szCs w:val="28"/>
          <w:highlight w:val="none"/>
          <w:vertAlign w:val="subscript"/>
        </w:rPr>
        <w:t xml:space="preserve">2</w:t>
      </w:r>
      <w:r>
        <w:rPr>
          <w:rFonts w:hint="eastAsia" w:ascii="仿宋" w:hAnsi="仿宋" w:eastAsia="仿宋" w:cs="仿宋"/>
          <w:sz w:val="28"/>
          <w:szCs w:val="28"/>
          <w:highlight w:val="none"/>
        </w:rPr>
        <w:t xml:space="preserve">、NO</w:t>
      </w:r>
      <w:r>
        <w:rPr>
          <w:rFonts w:hint="eastAsia" w:ascii="仿宋" w:hAnsi="仿宋" w:eastAsia="仿宋" w:cs="仿宋"/>
          <w:sz w:val="28"/>
          <w:szCs w:val="28"/>
          <w:highlight w:val="none"/>
          <w:vertAlign w:val="subscript"/>
        </w:rPr>
        <w:t xml:space="preserve">2</w:t>
      </w:r>
      <w:r>
        <w:rPr>
          <w:rFonts w:hint="eastAsia" w:ascii="仿宋" w:hAnsi="仿宋" w:eastAsia="仿宋" w:cs="仿宋"/>
          <w:sz w:val="28"/>
          <w:szCs w:val="28"/>
          <w:highlight w:val="none"/>
        </w:rPr>
        <w:t xml:space="preserve">、O</w:t>
      </w:r>
      <w:r>
        <w:rPr>
          <w:rFonts w:hint="eastAsia" w:ascii="仿宋" w:hAnsi="仿宋" w:eastAsia="仿宋" w:cs="仿宋"/>
          <w:sz w:val="28"/>
          <w:szCs w:val="28"/>
          <w:highlight w:val="none"/>
          <w:vertAlign w:val="subscript"/>
        </w:rPr>
        <w:t xml:space="preserve">3</w:t>
      </w:r>
      <w:r>
        <w:rPr>
          <w:rFonts w:hint="eastAsia" w:ascii="仿宋" w:hAnsi="仿宋" w:eastAsia="仿宋" w:cs="仿宋"/>
          <w:sz w:val="28"/>
          <w:szCs w:val="28"/>
          <w:highlight w:val="none"/>
        </w:rPr>
        <w:t xml:space="preserve">、CO）质量控制设备基本仪器设备配置清单</w:t>
      </w:r>
      <w:r/>
    </w:p>
    <w:tbl>
      <w:tblPr>
        <w:tblStyle w:val="87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597"/>
        <w:gridCol w:w="2572"/>
        <w:gridCol w:w="3838"/>
        <w:gridCol w:w="597"/>
        <w:gridCol w:w="1303"/>
      </w:tblGrid>
      <w:tr>
        <w:trPr>
          <w:jc w:val="cente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编号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仪器名称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用途</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与子站监测项目相同的监测分析仪器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与子站监测分析仪器的技术性能指标相同</w:t>
            </w:r>
            <w:r>
              <w:rPr>
                <w:rFonts w:eastAsia="方正仿宋_GBK"/>
                <w:sz w:val="24"/>
                <w:highlight w:val="none"/>
              </w:rPr>
              <w:br/>
            </w:r>
            <w:r>
              <w:rPr>
                <w:rFonts w:eastAsia="方正仿宋_GBK"/>
                <w:sz w:val="24"/>
                <w:highlight w:val="none"/>
              </w:rPr>
              <w:t xml:space="preserve">或优于子站监测分析仪器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标准气体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国家有证标准物质或标准样品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零气发生器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符合HJ 654的相关要求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动态气体校准仪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符合HJ 654的相关要求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臭氧校准仪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配置臭氧发生器、臭氧光度计及反馈装置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0～500 ml/min,1级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0～5L/min,1级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0～20 L/min,1级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标准温度计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1级，分辨率达到±0.1℃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量值传递</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压力计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气路检查</w:t>
            </w:r>
            <w:r/>
          </w:p>
        </w:tc>
      </w:tr>
      <w:tr>
        <w:trPr>
          <w:jc w:val="center"/>
          <w:trHeight w:val="9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有毒气体泄漏报警器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能够对SO₂、NO、CO、O₃等气体开展监测并报警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实验室安全防护</w:t>
            </w:r>
            <w:r/>
          </w:p>
        </w:tc>
      </w:tr>
    </w:tbl>
    <w:p>
      <w:pPr>
        <w:jc w:val="center"/>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环境空气颗粒物质量控制设备基本仪器设备配置清单</w:t>
      </w:r>
      <w:r/>
    </w:p>
    <w:tbl>
      <w:tblPr>
        <w:tblStyle w:val="87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96"/>
        <w:gridCol w:w="1899"/>
        <w:gridCol w:w="3322"/>
        <w:gridCol w:w="883"/>
        <w:gridCol w:w="1902"/>
      </w:tblGrid>
      <w:tr>
        <w:trPr>
          <w:trHeight w:val="475"/>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编号</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仪器名称</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用途</w:t>
            </w:r>
            <w:r/>
          </w:p>
        </w:tc>
      </w:tr>
      <w:tr>
        <w:trPr>
          <w:trHeight w:val="46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分析天平</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检定分度值≤0.01 mg</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颗粒物与标准滤膜称重</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0～5L/min,1级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实验室流量基准</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0～5L/min,1级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流量传递</w:t>
            </w:r>
            <w:r/>
          </w:p>
        </w:tc>
      </w:tr>
      <w:tr>
        <w:trPr>
          <w:trHeight w:val="46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0～20 L/min,1级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实验室流量基准</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0～20 L/min,1级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流量传递</w:t>
            </w:r>
            <w:r/>
          </w:p>
        </w:tc>
      </w:tr>
      <w:tr>
        <w:trPr>
          <w:trHeight w:val="46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高精度秒表</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误差0.01s</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1块</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流量传递</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压力表</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0.5级，分辨率≤0.1 kPa</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1块</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气压传递</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真空表</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1个</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气路检查</w:t>
            </w:r>
            <w:r/>
          </w:p>
        </w:tc>
      </w:tr>
      <w:tr>
        <w:trPr>
          <w:trHeight w:val="46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湿度计</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1个</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湿度传递</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温度计</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1级，分辨率0.1℃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1个</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温度传递</w:t>
            </w:r>
            <w:r/>
          </w:p>
        </w:tc>
      </w:tr>
      <w:tr>
        <w:trPr>
          <w:trHeight w:val="47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万用表</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1级</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电压传递</w:t>
            </w:r>
            <w:r/>
          </w:p>
        </w:tc>
      </w:tr>
      <w:tr>
        <w:trPr>
          <w:trHeight w:val="460"/>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06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颗粒物自动分析仪</w:t>
            </w:r>
            <w:r/>
          </w:p>
        </w:tc>
        <w:tc>
          <w:tcPr>
            <w:tcBorders>
              <w:top w:val="single" w:color="000000" w:sz="4" w:space="0"/>
              <w:left w:val="single" w:color="000000" w:sz="4" w:space="0"/>
              <w:bottom w:val="single" w:color="000000" w:sz="4" w:space="0"/>
              <w:right w:val="single" w:color="000000" w:sz="4" w:space="0"/>
            </w:tcBorders>
            <w:tcW w:w="1865"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jc w:val="center"/>
              <w:keepLines w:val="0"/>
              <w:keepNext w:val="0"/>
              <w:pageBreakBefore w:val="0"/>
              <w:spacing w:line="520" w:lineRule="exact"/>
              <w:rPr>
                <w:rFonts w:eastAsia="方正仿宋_GBK"/>
                <w:sz w:val="24"/>
                <w:highlight w:val="none"/>
              </w:rPr>
            </w:pPr>
            <w:r>
              <w:rPr>
                <w:rFonts w:eastAsia="方正仿宋_GBK"/>
                <w:sz w:val="24"/>
                <w:highlight w:val="none"/>
              </w:rPr>
              <w:t xml:space="preserve">准确度审核</w:t>
            </w:r>
            <w:r/>
          </w:p>
        </w:tc>
      </w:tr>
    </w:tbl>
    <w:p>
      <w:pPr>
        <w:pStyle w:val="879"/>
        <w:ind w:firstLine="560"/>
        <w:keepLines w:val="0"/>
        <w:keepNext w:val="0"/>
        <w:pageBreakBefore w:val="0"/>
        <w:spacing w:line="520" w:lineRule="exact"/>
        <w:widowControl w:val="off"/>
        <w:rPr>
          <w:rFonts w:hint="default" w:ascii="仿宋" w:hAnsi="仿宋" w:eastAsia="仿宋"/>
          <w:bCs/>
          <w:sz w:val="28"/>
          <w:szCs w:val="28"/>
          <w:highlight w:val="none"/>
          <w:lang w:val="en-US" w:eastAsia="zh-CN"/>
        </w:rPr>
        <w:outlineLvl w:val="9"/>
      </w:pPr>
      <w:r>
        <w:rPr>
          <w:rFonts w:hint="eastAsia" w:ascii="仿宋" w:hAnsi="仿宋" w:eastAsia="仿宋"/>
          <w:bCs/>
          <w:sz w:val="28"/>
          <w:szCs w:val="28"/>
          <w:highlight w:val="none"/>
          <w:lang w:val="en-US" w:eastAsia="zh-CN"/>
        </w:rPr>
        <w:t xml:space="preserve">2.2</w:t>
      </w:r>
      <w:r>
        <w:rPr>
          <w:rFonts w:hint="eastAsia" w:ascii="仿宋" w:hAnsi="仿宋" w:eastAsia="仿宋" w:cs="仿宋"/>
          <w:sz w:val="28"/>
          <w:szCs w:val="28"/>
          <w:highlight w:val="none"/>
        </w:rPr>
        <w:t xml:space="preserve">运维单位</w:t>
      </w:r>
      <w:r>
        <w:rPr>
          <w:rFonts w:hint="eastAsia" w:ascii="仿宋" w:hAnsi="仿宋" w:eastAsia="仿宋" w:cs="仿宋"/>
          <w:sz w:val="28"/>
          <w:szCs w:val="28"/>
          <w:highlight w:val="none"/>
          <w:lang w:val="en-US" w:eastAsia="zh-CN"/>
        </w:rPr>
        <w:t xml:space="preserve">在每个县区</w:t>
      </w:r>
      <w:r>
        <w:rPr>
          <w:rFonts w:hint="eastAsia" w:ascii="仿宋" w:hAnsi="仿宋" w:eastAsia="仿宋" w:cs="仿宋"/>
          <w:sz w:val="28"/>
          <w:szCs w:val="28"/>
          <w:highlight w:val="none"/>
        </w:rPr>
        <w:t xml:space="preserve">应至少配备1套专用仪器维护维修工具。</w:t>
      </w:r>
      <w:r/>
    </w:p>
    <w:p>
      <w:pPr>
        <w:pStyle w:val="879"/>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bCs/>
          <w:sz w:val="28"/>
          <w:szCs w:val="28"/>
          <w:highlight w:val="none"/>
          <w:lang w:val="en-US" w:eastAsia="zh-CN"/>
        </w:rPr>
        <w:t xml:space="preserve">2.3</w:t>
      </w:r>
      <w:r>
        <w:rPr>
          <w:rFonts w:hint="eastAsia" w:ascii="仿宋" w:hAnsi="仿宋" w:eastAsia="仿宋" w:cs="仿宋"/>
          <w:sz w:val="28"/>
          <w:szCs w:val="28"/>
          <w:highlight w:val="none"/>
        </w:rPr>
        <w:t xml:space="preserve">在空气自动监测系统运维及管理期间，运维单位应严格按照采购人制订的操作规范和规章制度，对所管理的系统及仪器设备进行规范操作和精心维护及必要维修，保证系统及仪器设备的正常运行，达到采购人提出的系统及仪器设备考核指标要求。中标人必须接受采购人和上级生态部门或委托的第三方质控质保核查单位的定期、不定期检查和考核。</w:t>
      </w:r>
      <w:r/>
    </w:p>
    <w:p>
      <w:pPr>
        <w:pStyle w:val="879"/>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2.4须使用原厂生产的备品备件和耗材（若未使用原厂产品，造成的损失由中标方承担）。</w:t>
      </w:r>
      <w:r/>
    </w:p>
    <w:p>
      <w:pPr>
        <w:pStyle w:val="879"/>
        <w:ind w:firstLine="560"/>
        <w:keepLines w:val="0"/>
        <w:keepNext w:val="0"/>
        <w:pageBreakBefore w:val="0"/>
        <w:spacing w:line="520" w:lineRule="exact"/>
        <w:widowControl w:val="off"/>
        <w:rPr>
          <w:rFonts w:hint="default"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★3.投标单位应具有用于质量控制的CMA实验室包含常规六参数、VOCs、非甲烷总烃等项目（可和有资质的单位签订相关合作协议），并保证相关手工监测样品能在3小时内送至实验室分析。</w:t>
      </w:r>
      <w:r>
        <w:rPr>
          <w:rFonts w:hint="eastAsia" w:ascii="仿宋" w:hAnsi="仿宋" w:eastAsia="仿宋" w:cs="仿宋"/>
          <w:b/>
          <w:bCs/>
          <w:sz w:val="28"/>
          <w:szCs w:val="28"/>
          <w:highlight w:val="none"/>
          <w:lang w:val="en-US" w:eastAsia="zh-CN"/>
        </w:rPr>
        <w:t xml:space="preserve">（提供承诺函，格式自拟加盖投标人电子签章，未提供作无效响应文件处理）</w:t>
      </w:r>
      <w:r/>
    </w:p>
    <w:p>
      <w:pPr>
        <w:pStyle w:val="87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w:t>
      </w:r>
      <w:r>
        <w:rPr>
          <w:rFonts w:hint="eastAsia" w:ascii="仿宋" w:hAnsi="仿宋" w:eastAsia="仿宋" w:cs="仿宋"/>
          <w:sz w:val="28"/>
          <w:szCs w:val="28"/>
          <w:highlight w:val="none"/>
        </w:rPr>
        <w:t xml:space="preserve">运维工作内容</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所有站点运维工作内容包括：</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空气自动监测站的日常运行维护，包含但不限于：保持站房内部环境清洁，布置整齐，各仪器设备干净清洁，设备标识清楚；保持站房外20m以内的环境清洁；检查供电和网络通讯情况，保证系统的正常运行；保证空调正常工作，站房内温度25±5℃，相对湿度保持在80%RH以下；</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（2）空气自动监测站的日常质量管理，每次维护后做好系统运行维护记录。</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空气自动监测站的日常安全管理，包含但不限于指派专人维护，设备固定牢固，门窗关闭良好，人走关门，非工作人员未经许可不得入内；定期检查消防和安全设施；进行维护时，应规范操作，注意安全，防止意外发生。</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（4）空气自动监测站监测数据的日常审核、</w:t>
      </w:r>
      <w:r>
        <w:rPr>
          <w:rFonts w:hint="eastAsia" w:ascii="仿宋" w:hAnsi="仿宋" w:eastAsia="仿宋" w:cs="仿宋"/>
          <w:bCs/>
          <w:sz w:val="28"/>
          <w:szCs w:val="28"/>
          <w:highlight w:val="none"/>
        </w:rPr>
        <w:t xml:space="preserve">并配合各属地将审核数据按时提交</w:t>
      </w:r>
      <w:r>
        <w:rPr>
          <w:rFonts w:hint="eastAsia" w:ascii="仿宋" w:hAnsi="仿宋" w:eastAsia="仿宋" w:cs="仿宋"/>
          <w:sz w:val="28"/>
          <w:szCs w:val="28"/>
          <w:highlight w:val="none"/>
        </w:rPr>
        <w:t xml:space="preserve">上报；</w:t>
      </w:r>
      <w:r/>
    </w:p>
    <w:p>
      <w:pPr>
        <w:ind w:firstLine="560"/>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（5）空气自动监测站的仪器设备维护保养及故障维修，</w:t>
      </w:r>
      <w:r>
        <w:rPr>
          <w:rFonts w:hint="eastAsia" w:ascii="仿宋" w:hAnsi="仿宋" w:eastAsia="仿宋" w:cs="仿宋"/>
          <w:bCs/>
          <w:sz w:val="28"/>
          <w:szCs w:val="28"/>
          <w:highlight w:val="none"/>
        </w:rPr>
        <w:t xml:space="preserve">定期配合业主开展仪器配件、耗材库存清点工作，制定采购规划；</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（6）空气自动监测站其他相关辅助设备设施的维护、保养、维修；</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（7）空气自动监测站数据采集及传输系统的维护及维修，保证空气自动监测站与省驻市监测中心、采购人通信正常；</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（8）根据工作需要对空气自动监测站开展手工比对；</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（9）当仪器出现故障48小时不能及时修复时，应在24小时之内使用备机开展监测（除挥发性有机物、非甲烷总烃指标），挥发性有机物、非甲烷总烃指标采用每天一次手工监测替代；</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（10）仪器报废后（包括因洪水、地震、台风、站房外部火灾、爆炸、恐怖袭击、武装冲突、蓄意破坏等不可抗力导致），运维单位须先行及时使用备机开展监测，同时报告采购人；</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（11）当点位需要新增、撤销、变更时，由所在地生态环境部门按照点位管理程序向上级生态环境部门报批。涉及站点迁移的，运维单位应做好迁移前后监测仪器设备检查工作并做好相关记录。</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（12）中标单位与上一轮运维做好交接仪器测试，如仪器测试未通过，需调试通过后完成交接手续。</w:t>
      </w:r>
      <w:r/>
    </w:p>
    <w:p>
      <w:pPr>
        <w:ind w:firstLine="560"/>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（13）依据仪器特性及上述运维要求，编制相应运维、质控记录表单。</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（14）依据技术运维要求，每月提交相应技术运维记录。</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15）项目结束后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（16）依据运维总结报告制作汇报材料（PPT）向业主进行总结性汇报。</w:t>
      </w:r>
      <w:r/>
    </w:p>
    <w:p>
      <w:pPr>
        <w:ind w:firstLine="560"/>
        <w:jc w:val="left"/>
        <w:keepLines w:val="0"/>
        <w:keepNext w:val="0"/>
        <w:pageBreakBefore w:val="0"/>
        <w:spacing w:line="520" w:lineRule="exact"/>
        <w:tabs>
          <w:tab w:val="left" w:pos="90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（17）运维期满后，配合业主进行仪器交接，交接期间承担仪器正常运维工作。</w:t>
      </w:r>
      <w:r/>
    </w:p>
    <w:p>
      <w:pPr>
        <w:pStyle w:val="879"/>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outlineLvl w:val="9"/>
      </w:pPr>
      <w:r>
        <w:rPr>
          <w:rFonts w:hint="eastAsia" w:ascii="仿宋" w:hAnsi="仿宋" w:eastAsia="仿宋"/>
          <w:bCs/>
          <w:sz w:val="28"/>
          <w:szCs w:val="28"/>
          <w:highlight w:val="none"/>
          <w:lang w:val="en-US" w:eastAsia="zh-CN"/>
        </w:rPr>
        <w:t xml:space="preserve">2.常规空气自动站运维工作内容及要求（六参数）</w:t>
      </w:r>
      <w:r/>
    </w:p>
    <w:p>
      <w:pPr>
        <w:pStyle w:val="879"/>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运维单位应遵守国家、省关于空气自动站运行管理的各项规定，如运维期间出台新的运行管理规定，则运维工作按最新规定执行。</w:t>
      </w:r>
      <w:r/>
    </w:p>
    <w:p>
      <w:pPr>
        <w:pStyle w:val="879"/>
        <w:numPr>
          <w:ilvl w:val="0"/>
          <w:numId w:val="7"/>
        </w:numPr>
        <w:ind w:firstLine="560"/>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每日工作内容如下：</w:t>
      </w:r>
      <w:r/>
    </w:p>
    <w:p>
      <w:pPr>
        <w:contextualSpacing/>
        <w:ind w:firstLine="560"/>
        <w:keepLines w:val="0"/>
        <w:keepNext w:val="0"/>
        <w:pageBreakBefore w:val="0"/>
        <w:spacing w:line="520" w:lineRule="exact"/>
        <w:tabs>
          <w:tab w:val="left" w:pos="228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每天上午和下午两次通过大数据平台远程查看监测站数据并形成记录，分析监测数据，对站点运行情况进行远程诊断和运行管理，内容包括：</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①</w:t>
      </w:r>
      <w:r>
        <w:rPr>
          <w:rFonts w:hint="eastAsia" w:ascii="仿宋" w:hAnsi="仿宋" w:eastAsia="仿宋" w:cs="仿宋"/>
          <w:sz w:val="28"/>
          <w:szCs w:val="28"/>
          <w:highlight w:val="none"/>
        </w:rPr>
        <w:t xml:space="preserve">判断系统数据采集与传输情况；</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②</w:t>
      </w:r>
      <w:r>
        <w:rPr>
          <w:rFonts w:hint="eastAsia" w:ascii="仿宋" w:hAnsi="仿宋" w:eastAsia="仿宋" w:cs="仿宋"/>
          <w:sz w:val="28"/>
          <w:szCs w:val="28"/>
          <w:highlight w:val="none"/>
        </w:rPr>
        <w:t xml:space="preserve">根据电源电压、站房温度、湿度数据判断站房内部情况；</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③</w:t>
      </w:r>
      <w:r>
        <w:rPr>
          <w:rFonts w:hint="eastAsia" w:ascii="仿宋" w:hAnsi="仿宋" w:eastAsia="仿宋" w:cs="仿宋"/>
          <w:sz w:val="28"/>
          <w:szCs w:val="28"/>
          <w:highlight w:val="none"/>
        </w:rPr>
        <w:t xml:space="preserve">发现监测数据异常，应立即通知采购人，在每日8时～22时出现的异常，应在4小时内解决（通信线路、电力线路故障除外，但应及时与相关部门联系积极解决），每日23—次日7时出现的异常，应在次日上午10时前解决；</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④</w:t>
      </w:r>
      <w:r>
        <w:rPr>
          <w:rFonts w:hint="eastAsia" w:ascii="仿宋" w:hAnsi="仿宋" w:eastAsia="仿宋" w:cs="仿宋"/>
          <w:sz w:val="28"/>
          <w:szCs w:val="28"/>
          <w:highlight w:val="none"/>
        </w:rPr>
        <w:t xml:space="preserve">根据数据分析结果、设备状态参数和仪器故障报警信号，判断仪器运行情况和现场状况；</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⑤</w:t>
      </w:r>
      <w:r>
        <w:rPr>
          <w:rFonts w:hint="eastAsia" w:ascii="仿宋" w:hAnsi="仿宋" w:eastAsia="仿宋" w:cs="仿宋"/>
          <w:sz w:val="28"/>
          <w:szCs w:val="28"/>
          <w:highlight w:val="none"/>
        </w:rPr>
        <w:t xml:space="preserve">每日检查数据是否及时上传并正常发布，发现数据断网及时恢复。</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⑥</w:t>
      </w:r>
      <w:r>
        <w:rPr>
          <w:rFonts w:hint="eastAsia" w:ascii="仿宋" w:hAnsi="仿宋" w:eastAsia="仿宋" w:cs="仿宋"/>
          <w:sz w:val="28"/>
          <w:szCs w:val="28"/>
          <w:highlight w:val="none"/>
        </w:rPr>
        <w:t xml:space="preserve">运维单位对监测站监测数据进行初审，并配合各属地将审核数据按时提交。</w:t>
      </w:r>
      <w:r/>
    </w:p>
    <w:p>
      <w:pPr>
        <w:contextualSpacing/>
        <w:ind w:firstLine="560"/>
        <w:keepLines w:val="0"/>
        <w:keepNext w:val="0"/>
        <w:pageBreakBefore w:val="0"/>
        <w:spacing w:line="520" w:lineRule="exact"/>
        <w:tabs>
          <w:tab w:val="left" w:pos="99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每日12时前运维单位配合属地完成前日各站点原始小时值的审核，上报复核。当天因网络故障等原因未能完成数据审核报送的，应于当日18时前审核报送。</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rPr>
        <w:t xml:space="preserve">每周工作内容如下</w:t>
      </w:r>
      <w:r>
        <w:rPr>
          <w:rFonts w:hint="eastAsia" w:ascii="仿宋" w:hAnsi="仿宋" w:eastAsia="仿宋" w:cs="仿宋"/>
          <w:sz w:val="28"/>
          <w:szCs w:val="28"/>
          <w:highlight w:val="none"/>
          <w:lang w:eastAsia="zh-CN"/>
        </w:rPr>
        <w:t xml:space="preserve">：</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每周至少巡检监测站1次（最长间隔期不得超过8天，且14天内必须完成2次维护），并做好巡查记录，巡检时需要完成的工作包括：</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①查看监测站设备是否齐备，无丢失和损坏；检查接地线路是否可靠，排风排气装置工作是否正常，标准气钢瓶阀门是否漏气，标准气的消耗情况；</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②检查采样和排气管路是否有漏气或堵塞现象，各监测仪器采样流量是否正常。</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③检查各监测仪器的运行状况和工作参数，判断是否正常，如有异常情况及时处理，保证仪器运行正常。</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④检查PM10和PM2.5监测仪动态加热装置及采样总管加热装置是否正常工作；</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⑤对二氧化硫、一氧化碳、臭氧、氮氧化物监测仪进行零点、跨度检查，如果漂移超过国家相关规范要求，需要进行校准或维修。</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⑥按照仪器说明书要求，对零气发生器进行维护。</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⑦检查外部环境是否正常，有没有对测定结果或运行环境存在明显影响的污染源；</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⑧检查电路系统和通讯系统，保证系统供电正常，电压稳定；</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⑨检查监测站的通讯系统，保证监测站与相关数据监控平台的连接正常，数据传输正常；确保无远程控制软件。</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⑩对仪器显示数据、时间与数据采集仪之间的一致性进行检查和校准。</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⑪检查监测仪器的采样入口与采样支路管线接合部之间安装的过滤膜的污染情况，每周更换滤膜并检查监测仪器散热风扇污染情况，及时清洗。</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12、在冬、夏季节应注意监测站站房室内外温差，若温差较大，应及时改变站房温度或对采样总管采取适当的控制措施，防止冷凝现象。</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13、应及时清除监测站站房周围的杂草和积水，当周围树木生长超过规范规定的控制线时，应及时剪除对采样或监测光束有影响的树枝。</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14、应经常检查避雷设施是否可靠，监测站房屋是否有漏雨现象，气象杆和天线是否被刮坏，站房外围的其它设施是否有损坏或被水淹，如遇到以上问题应及时处理，保证系统安全运行。</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15、检查站房的安全设施，做好防火防盗工作。</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16、每周对气象仪器及能见度仪的运行情况进行检查。</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17、每周对颗粒物的采样纸带或滤膜进行检查，如纸带即将用尽或滤膜负载超过规定要求，及时进行更换。</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18、每周检查视频监控系统，并做好视频系统的日常维护。若发现人为干扰干预环境空气质量监测的行为，及时向采购人汇报。</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sz w:val="28"/>
          <w:szCs w:val="28"/>
          <w:highlight w:val="none"/>
          <w:lang w:eastAsia="zh-CN"/>
        </w:rPr>
        <w:t xml:space="preserve">19、每周对站房内外环境卫生进行检查，及时保洁。</w:t>
      </w:r>
      <w:r/>
    </w:p>
    <w:p>
      <w:pPr>
        <w:pStyle w:val="879"/>
        <w:numPr>
          <w:ilvl w:val="0"/>
          <w:numId w:val="7"/>
        </w:numPr>
        <w:ind w:firstLine="560"/>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rPr>
        <w:t xml:space="preserve">每月工作内容如下：</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①清洗PM10及PM2.5采样头，检查β法颗粒物监测仪仪器喷嘴、压环、密封圈等部件。</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②检查PM10及PM2.5监测仪、气态监测仪、动态校准仪流量，超过国家相关规范要求时应进行校准。</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③每月对数据和运维记录进行备份。</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④检查和校准PM2.5、PM10监测仪相对湿度、温度传感器和压力传感器。</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每季度工作内容如下：</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eastAsia="zh-CN"/>
        </w:rPr>
        <w:t xml:space="preserve">①</w:t>
      </w:r>
      <w:r>
        <w:rPr>
          <w:rFonts w:hint="eastAsia" w:ascii="仿宋" w:hAnsi="仿宋" w:eastAsia="仿宋" w:cs="仿宋"/>
          <w:sz w:val="28"/>
          <w:szCs w:val="28"/>
          <w:highlight w:val="none"/>
        </w:rPr>
        <w:t xml:space="preserve">采样总管及采样风机每季度至少清洗一次；</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eastAsia="zh-CN"/>
        </w:rPr>
        <w:t xml:space="preserve">②</w:t>
      </w:r>
      <w:r>
        <w:rPr>
          <w:rFonts w:hint="eastAsia" w:ascii="仿宋" w:hAnsi="仿宋" w:eastAsia="仿宋" w:cs="仿宋"/>
          <w:sz w:val="28"/>
          <w:szCs w:val="28"/>
          <w:highlight w:val="none"/>
        </w:rPr>
        <w:t xml:space="preserve">对PM10和PM2.5监测仪器进行标准膜检查或K0值检查，超过国家相关规范要求时，及时进行校准或维修；</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lang w:eastAsia="zh-CN"/>
        </w:rPr>
        <w:t xml:space="preserve">③</w:t>
      </w:r>
      <w:r>
        <w:rPr>
          <w:rFonts w:hint="eastAsia" w:ascii="仿宋" w:hAnsi="仿宋" w:eastAsia="仿宋" w:cs="仿宋"/>
          <w:sz w:val="28"/>
          <w:szCs w:val="28"/>
          <w:highlight w:val="none"/>
        </w:rPr>
        <w:t xml:space="preserve">采用臭氧传递标准对监测站臭氧工作标准进行标准传递；</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rPr>
        <w:t xml:space="preserve">每半年工作内容如下：</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①对气态污染物监测仪进行多点校准，绘制校准曲线，检验相关系数、斜率和截距；</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②振荡天平法颗粒物仪器每半年更换一次主路过滤器滤芯、旁路过滤器滤芯和气水分离器滤芯，污染较重时应及时更换滤芯；</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③更换零气源净化剂和氧化剂，对零气性能进行检查；</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④对氮氧化物监测仪钼炉转化率进行检查。</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⑤对能见度仪器进行校准；</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⑥检查和校准气象五参数设备。</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每年工作内容如下：</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①按照仪器说明书对动态校准仪流量进行多点检查。</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②对所有的仪器（包括采样泵）进行预防性维护，按说明书的要求更换备件。</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③所有子站防雷系统每年检测一次，并出具防雷检测合格报告。</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日常运维其他相关要求如下：</w:t>
      </w:r>
      <w:r/>
    </w:p>
    <w:p>
      <w:pPr>
        <w:pStyle w:val="879"/>
        <w:numPr>
          <w:ilvl w:val="0"/>
          <w:numId w:val="0"/>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①每周更换的气态污染物监测仪器所用滤膜，必须为聚四氟乙烯材质；</w:t>
      </w:r>
      <w:r/>
    </w:p>
    <w:p>
      <w:pPr>
        <w:pStyle w:val="879"/>
        <w:numPr>
          <w:ilvl w:val="0"/>
          <w:numId w:val="0"/>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②应及时制定每月工作计划并将进出监测站的具体日期上报采购人备案，并严格按计划执行，若有变更或临时突发情况处理等应及时上报采购人备案。</w:t>
      </w:r>
      <w:r/>
    </w:p>
    <w:p>
      <w:pPr>
        <w:pStyle w:val="879"/>
        <w:numPr>
          <w:ilvl w:val="0"/>
          <w:numId w:val="0"/>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③运维单位保证满足生态环境部门对仪器设备故障的响应时间要求，当仪器设备每日8时～22时出现故障，应在1小时内响应，2小时之内到达现场，4小时内现场解决（通信线路、电力线路故障除外，但应及时与相关部门联系积极解决）。若仪器故障无法排除，运维单位必须在48小时内提供并更换相应的备机，保证自动站正常运行。备机应在投入使用前完成与原仪器的比对测试，确认关键参数（如流量、零点、跨度）偏差在±3%以内，方可正式启用，备机投入使用后，应连续运行72小时并提交比对报告，经采购人确认后正式纳入运维体系，</w:t>
      </w:r>
      <w:r/>
    </w:p>
    <w:p>
      <w:pPr>
        <w:pStyle w:val="879"/>
        <w:numPr>
          <w:ilvl w:val="0"/>
          <w:numId w:val="0"/>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④当仪器损坏不能修复时，应在48小时之内使用备机开展监测，并同时报告属地生态环境局，属地组织确认仪器损坏情况及原因，酌情处理。</w:t>
      </w:r>
      <w:r/>
    </w:p>
    <w:p>
      <w:pPr>
        <w:pStyle w:val="879"/>
        <w:numPr>
          <w:ilvl w:val="0"/>
          <w:numId w:val="0"/>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⑤仪器报废后（包括使用超过8年导致，或因洪水、地震、台风、站房外部火灾、爆炸、恐怖袭击、武装冲突、蓄意破坏等不可抗力导致），运维单位须先行及时使用备机开展监测，同时报告采购人。</w:t>
      </w:r>
      <w:r/>
    </w:p>
    <w:p>
      <w:pPr>
        <w:pStyle w:val="879"/>
        <w:numPr>
          <w:ilvl w:val="0"/>
          <w:numId w:val="0"/>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⑥严禁擅自改变采样管路连接方式和更改仪器参数设置。</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质量控制要求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运维单位需认真落实质量管理制度，建立完善的运行维护工作质量管理体系，安排专职质量控制管理人员。运维单位必须接受采购人及其委托单位和人员的质量检查。</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rPr>
        <w:t xml:space="preserve">量值溯源要求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运维单位在每个监测站需配备标准气体，所使用的标准气体须为国家生态环境部标样所或中国计量院生产的一级有证标准样品或物质，新购标准气体应做验证实验，形成验证报告。另外，当钢瓶压力低于1.5MPa（含）时，新的标气阀应预先进行3次（每次至少24小时）以上的老化后方可使用。标准气体必须在有效期内使用。</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运维单位应每年将监测站运维所用的流量计、温度计、气压计、湿度计等质控设备送检，并取得计量部门颁发的合格证书。</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rPr>
        <w:t xml:space="preserve">日常质量控制要求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监测仪在以下情况下需进行校准：</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①安装时</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②移动位置时</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③进行可能影响校准结果的维修或维护后</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④监测仪暂停工作一段时间后</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⑤有迹象表明监测仪工作不正常或校准结果出现变化</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⑥超过国家规范或本招标文件要求的校准周期或校准要求的。</w:t>
      </w:r>
      <w:r/>
    </w:p>
    <w:p>
      <w:pPr>
        <w:pStyle w:val="879"/>
        <w:numPr>
          <w:ilvl w:val="0"/>
          <w:numId w:val="7"/>
        </w:numPr>
        <w:ind w:left="0"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rPr>
        <w:t xml:space="preserve">系统设备维修要求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①维修更换工作要求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②设备维修质量控制要求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监测仪器修复后，当其监测性能受到影响时，采用关键参数检查、标气测定、颗粒物流量测定、标准膜测试、标准样品测试或手工比对等方法进行测试。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仪器大修后，气态污染监</w:t>
      </w:r>
      <w:r>
        <w:rPr>
          <w:rFonts w:hint="eastAsia" w:ascii="仿宋" w:hAnsi="仿宋" w:eastAsia="仿宋" w:cs="仿宋"/>
          <w:sz w:val="28"/>
          <w:szCs w:val="28"/>
          <w:highlight w:val="none"/>
          <w:lang w:val="en-US" w:eastAsia="zh-CN"/>
        </w:rPr>
        <w:t xml:space="preserve">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 重量法》（HJ 618-2011）和《环境空气质量手工监测技术规范》（HJ 194-2017）等相关规范要求，同时提交相应报告。</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val="0"/>
          <w:sz w:val="28"/>
          <w:szCs w:val="28"/>
          <w:highlight w:val="none"/>
        </w:rPr>
        <w:outlineLvl w:val="9"/>
      </w:pPr>
      <w:r>
        <w:rPr>
          <w:rFonts w:hint="eastAsia" w:ascii="仿宋" w:hAnsi="仿宋" w:eastAsia="仿宋" w:cs="仿宋"/>
          <w:sz w:val="28"/>
          <w:szCs w:val="28"/>
          <w:highlight w:val="none"/>
          <w:lang w:val="en-US" w:eastAsia="zh-CN"/>
        </w:rPr>
        <w:t xml:space="preserve">3.</w:t>
      </w:r>
      <w:r>
        <w:rPr>
          <w:rFonts w:hint="eastAsia" w:ascii="仿宋" w:hAnsi="仿宋" w:eastAsia="仿宋" w:cs="仿宋"/>
          <w:bCs w:val="0"/>
          <w:sz w:val="28"/>
          <w:szCs w:val="28"/>
          <w:highlight w:val="none"/>
          <w:lang w:val="zh-TW" w:eastAsia="zh-TW"/>
        </w:rPr>
        <w:t xml:space="preserve">VOCs自动监测</w:t>
      </w:r>
      <w:r>
        <w:rPr>
          <w:rFonts w:hint="eastAsia" w:ascii="仿宋" w:hAnsi="仿宋" w:eastAsia="仿宋" w:cs="仿宋"/>
          <w:bCs w:val="0"/>
          <w:sz w:val="28"/>
          <w:szCs w:val="28"/>
          <w:highlight w:val="none"/>
          <w:lang w:val="zh-TW"/>
        </w:rPr>
        <w:t xml:space="preserve">站</w:t>
      </w:r>
      <w:r>
        <w:rPr>
          <w:rFonts w:hint="eastAsia" w:ascii="仿宋" w:hAnsi="仿宋" w:eastAsia="仿宋" w:cs="仿宋"/>
          <w:bCs w:val="0"/>
          <w:sz w:val="28"/>
          <w:szCs w:val="28"/>
          <w:highlight w:val="none"/>
        </w:rPr>
        <w:t xml:space="preserve">技术运维要求</w:t>
      </w:r>
      <w:r/>
    </w:p>
    <w:p>
      <w:pPr>
        <w:jc w:val="center"/>
        <w:keepLines w:val="0"/>
        <w:keepNext w:val="0"/>
        <w:pageBreakBefore w:val="0"/>
        <w:spacing w:line="52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外标法（每日连续校准CC）所需控制物种清单</w:t>
      </w:r>
      <w:r/>
    </w:p>
    <w:tbl>
      <w:tblPr>
        <w:tblStyle w:val="875"/>
        <w:tblW w:w="5002" w:type="pct"/>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
        <w:gridCol w:w="1509"/>
        <w:gridCol w:w="1464"/>
        <w:gridCol w:w="1044"/>
        <w:gridCol w:w="2468"/>
        <w:gridCol w:w="1680"/>
      </w:tblGrid>
      <w:tr>
        <w:trPr>
          <w:jc w:val="center"/>
          <w:trHeight w:val="278"/>
          <w:tblHeader/>
        </w:trPr>
        <w:tc>
          <w:tcPr>
            <w:tcMar>
              <w:left w:w="10" w:type="dxa"/>
              <w:top w:w="10" w:type="dxa"/>
              <w:right w:w="10" w:type="dxa"/>
            </w:tcMar>
            <w:tcW w:w="320" w:type="pct"/>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序号</w:t>
            </w:r>
            <w:r/>
          </w:p>
        </w:tc>
        <w:tc>
          <w:tcPr>
            <w:tcMar>
              <w:left w:w="10" w:type="dxa"/>
              <w:top w:w="10" w:type="dxa"/>
              <w:right w:w="10" w:type="dxa"/>
            </w:tcMar>
            <w:tcW w:w="864" w:type="pct"/>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中文名称</w:t>
            </w:r>
            <w:r/>
          </w:p>
        </w:tc>
        <w:tc>
          <w:tcPr>
            <w:tcMar>
              <w:left w:w="10" w:type="dxa"/>
              <w:top w:w="10" w:type="dxa"/>
              <w:right w:w="10" w:type="dxa"/>
            </w:tcMar>
            <w:tcW w:w="838" w:type="pct"/>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CAS号</w:t>
            </w:r>
            <w:r/>
          </w:p>
        </w:tc>
        <w:tc>
          <w:tcPr>
            <w:tcMar>
              <w:left w:w="10" w:type="dxa"/>
              <w:top w:w="10" w:type="dxa"/>
              <w:right w:w="10" w:type="dxa"/>
            </w:tcMar>
            <w:tcW w:w="599" w:type="pct"/>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序号</w:t>
            </w:r>
            <w:r/>
          </w:p>
        </w:tc>
        <w:tc>
          <w:tcPr>
            <w:tcMar>
              <w:left w:w="10" w:type="dxa"/>
              <w:top w:w="10" w:type="dxa"/>
              <w:right w:w="10" w:type="dxa"/>
            </w:tcMar>
            <w:tcW w:w="1414" w:type="pct"/>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中文名称</w:t>
            </w:r>
            <w:r/>
          </w:p>
        </w:tc>
        <w:tc>
          <w:tcPr>
            <w:tcMar>
              <w:left w:w="10" w:type="dxa"/>
              <w:top w:w="10" w:type="dxa"/>
              <w:right w:w="10" w:type="dxa"/>
            </w:tcMar>
            <w:tcW w:w="962" w:type="pct"/>
            <w:vAlign w:val="center"/>
            <w:textDirection w:val="lrTb"/>
            <w:noWrap/>
          </w:tcPr>
          <w:p>
            <w:pPr>
              <w:jc w:val="center"/>
              <w:keepLines w:val="0"/>
              <w:keepNext w:val="0"/>
              <w:pageBreakBefore w:val="0"/>
              <w:spacing w:line="520" w:lineRule="exac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CAS号</w:t>
            </w:r>
            <w:r/>
          </w:p>
        </w:tc>
      </w:tr>
      <w:tr>
        <w:trPr>
          <w:jc w:val="center"/>
          <w:trHeight w:val="278"/>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74-84-0</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59</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正庚烷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142-82-5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74-85-1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60</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三氯乙烯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79-01-6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74-98-6</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61</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甲基环己烷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108-87-2</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丙烯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115-07-1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62</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1，2-二氯丙烷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78-87-5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异丁烷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75-28-5</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63</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甲基丙烯酸甲酯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80-62-6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正丁烷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106-97-8</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64</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1，4-二氧六环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123-91-1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乙炔</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74-86-2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65</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一溴二氯甲烷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75-27-4</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反式-2-丁烯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624-64-6</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66</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2，3，4-三甲基戊烷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565-75-3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1-丁烯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106-98-9</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67</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2-甲基庚烷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592-27-8</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顺式-2-丁烯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590-18-1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68</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反-1，3-二氯-1-丙烯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10061-02-6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环戊烷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287-92-3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69</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3-甲基庚烷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589-81-1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异戊烷（2-甲基丁烷）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78-78-4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70</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4-甲基-2戊酮</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108-10-1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13</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109-66-0</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71</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108-88-3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二氟二氯甲烷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75-71-8</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72</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正辛烷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111-65-9</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15</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1，2-二氯四氟乙烷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76-14-2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73</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顺式-1，3-二氯丙烯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10061-01-5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16</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氯甲烷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74-87-3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1，1，2-三氯乙烷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79-00-5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17</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氯乙烯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75-01-4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四氯乙烯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127-18-4</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18</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1，3-丁二烯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106-99-0</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76</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2-己酮</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591-78-6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19</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溴甲烷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74-83-9</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77</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二溴一氯甲烷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124-48-1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20</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氯乙烷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75-00-3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78</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二溴乙烷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106-93-4</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21</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一氟三氯甲烷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75-69-4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79</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氯苯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108-90-7</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22</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1-戊烯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109-67-1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80</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100-41-4</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23</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反式-2-戊烯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646-04-8</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81/82</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间/对-二甲苯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106-42-3/108-38-3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24</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异戊二烯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78-79-5</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83</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正壬烷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111-84-2</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25</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顺-2-戊烯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627-20-3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84</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邻-二甲苯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95-47-6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26</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丙烯醛</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107-02-8</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85</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苯乙烯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100-42-5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27</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二氯乙烯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75-35-4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86</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溴仿</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75-25-2</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28</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三氟三氯乙烷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76-13-1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87</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异丙苯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98-82-8</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29</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2，2-二甲基丁烷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75-83-2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88</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1，1，2，2- 四氯乙烷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79-34-5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30</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丙酮</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67-64-1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89</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正丙基苯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103-65-1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31</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异丙醇</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67-63-0</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90</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3-乙基甲苯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620-14-4</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32</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二硫化碳</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75-15-0</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91</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4-乙基甲苯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622-96-8</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33</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二氯甲烷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75-09-2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92</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1，3，5-三甲苯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108-67-8</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34</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2，3-二甲基丁烷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79-29-8</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93</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正癸烷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124-18-5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35</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2-甲基戊烷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107-83-5</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94</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2-乙基甲苯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611-14-3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36</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甲基叔丁基醚</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1634-04-4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95</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1，2，4三甲苯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95-63-6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37</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反-1，2-二氯乙烯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156-60-5</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96</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1，3-二氯苯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541-73-1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38</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3-甲基戊烷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96-14-0</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97</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1，4-二氯苯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106-46-7</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39</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1－己烯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592-41-6</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98</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1，2，3-三甲苯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526-73-8</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40</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正己烷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110-54-3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99</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氯化苄</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100-44-7</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41</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乙酸乙烯酯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108-05-4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1，3-二乙基苯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141-93-5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42</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1，1-二氯乙烷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75-34-3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101</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1，4-二乙基苯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105-05-5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43</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2，4－二甲基戊烷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108-08-7</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102</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1，2-二氯苯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95-50-1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44</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甲基环戊烷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96-37-7</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103</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正十一烷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1120-21-4</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45</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丁酮</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78-93-3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104</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正十二烷</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112-40-3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46</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顺-1，2-二氯乙烯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156-59-2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105</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1，2，4-三氯苯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120-82-1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47</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乙酸乙酯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141-78-6</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106</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1，1，2，3，4，4-六氯-1，3-丁二烯</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87-68-3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48</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四氢呋喃</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109-99-9</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107</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萘</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91-20-3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49</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氯仿</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67-66-3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108</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乙醛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75-07-0</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50</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2-甲基己烷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591-76-4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109</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丙醛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123-38-6</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51</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1，1，1-三氯乙烷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71-55-6</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110</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异丁烯醛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78-85-3</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52</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环己烷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110-82-7</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111</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正丁醛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123-72-8</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53</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2，3－二甲基戊烷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565-59-3</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112</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反式丁烯醛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123-73-9</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54</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四氯化碳</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56-23-5</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113</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戊醛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110-62-3</w:t>
            </w:r>
            <w:r/>
          </w:p>
        </w:tc>
      </w:tr>
      <w:tr>
        <w:trPr>
          <w:jc w:val="center"/>
          <w:trHeight w:val="9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55</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3-甲基己烷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589-34-4</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114</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己醛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66-25-1</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56</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苯</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71-43-2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115</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苯甲醛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100-52-7</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57</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1，2-二氯乙烷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107-06-2</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116</w:t>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间甲基苯甲醛</w:t>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620-23-5</w:t>
            </w:r>
            <w:r/>
          </w:p>
        </w:tc>
      </w:tr>
      <w:tr>
        <w:trPr>
          <w:jc w:val="center"/>
          <w:trHeight w:val="280"/>
        </w:trPr>
        <w:tc>
          <w:tcPr>
            <w:tcMar>
              <w:left w:w="10" w:type="dxa"/>
              <w:top w:w="10" w:type="dxa"/>
              <w:right w:w="10" w:type="dxa"/>
            </w:tcMar>
            <w:tcW w:w="320"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58</w:t>
            </w:r>
            <w:r/>
          </w:p>
        </w:tc>
        <w:tc>
          <w:tcPr>
            <w:tcMar>
              <w:left w:w="10" w:type="dxa"/>
              <w:top w:w="10" w:type="dxa"/>
              <w:right w:w="10" w:type="dxa"/>
            </w:tcMar>
            <w:tcW w:w="86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2，2，4-三甲基戊烷</w:t>
            </w:r>
            <w:r/>
          </w:p>
        </w:tc>
        <w:tc>
          <w:tcPr>
            <w:tcMar>
              <w:left w:w="10" w:type="dxa"/>
              <w:top w:w="10" w:type="dxa"/>
              <w:right w:w="10" w:type="dxa"/>
            </w:tcMar>
            <w:tcW w:w="838"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540-84-1</w:t>
            </w:r>
            <w:r/>
          </w:p>
        </w:tc>
        <w:tc>
          <w:tcPr>
            <w:tcMar>
              <w:left w:w="10" w:type="dxa"/>
              <w:top w:w="10" w:type="dxa"/>
              <w:right w:w="10" w:type="dxa"/>
            </w:tcMar>
            <w:tcW w:w="599"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r>
            <w:r/>
          </w:p>
        </w:tc>
        <w:tc>
          <w:tcPr>
            <w:tcMar>
              <w:left w:w="10" w:type="dxa"/>
              <w:top w:w="10" w:type="dxa"/>
              <w:right w:w="10" w:type="dxa"/>
            </w:tcMar>
            <w:tcW w:w="1414"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r>
            <w:r/>
          </w:p>
        </w:tc>
        <w:tc>
          <w:tcPr>
            <w:tcMar>
              <w:left w:w="10" w:type="dxa"/>
              <w:top w:w="10" w:type="dxa"/>
              <w:right w:w="10" w:type="dxa"/>
            </w:tcMar>
            <w:tcW w:w="962" w:type="pct"/>
            <w:vAlign w:val="center"/>
            <w:textDirection w:val="lrTb"/>
            <w:noWrap/>
          </w:tcPr>
          <w:p>
            <w:pPr>
              <w:pStyle w:val="888"/>
              <w:jc w:val="center"/>
              <w:keepLines w:val="0"/>
              <w:keepNext w:val="0"/>
              <w:pageBreakBefore w:val="0"/>
              <w:spacing w:line="520" w:lineRule="exact"/>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r>
            <w:r/>
          </w:p>
        </w:tc>
      </w:tr>
    </w:tbl>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val="0"/>
          <w:sz w:val="28"/>
          <w:szCs w:val="28"/>
          <w:highlight w:val="none"/>
          <w:lang w:val="en-US" w:eastAsia="zh-CN"/>
        </w:rPr>
        <w:outlineLvl w:val="9"/>
      </w:pPr>
      <w:r>
        <w:rPr>
          <w:rFonts w:hint="eastAsia" w:ascii="仿宋" w:hAnsi="仿宋" w:eastAsia="仿宋" w:cs="仿宋"/>
          <w:bCs w:val="0"/>
          <w:sz w:val="28"/>
          <w:szCs w:val="28"/>
          <w:highlight w:val="none"/>
          <w:lang w:val="en-US" w:eastAsia="zh-CN"/>
        </w:rPr>
        <w:t xml:space="preserve">（1）每日例行质量控制检查：定期手动或自动使用外部标样验证系统的准确性，每日登录仪器检查内外标响应，内外标</w:t>
      </w:r>
      <w:r>
        <w:rPr>
          <w:rFonts w:hint="eastAsia" w:ascii="仿宋" w:hAnsi="仿宋" w:eastAsia="仿宋" w:cs="仿宋"/>
          <w:bCs w:val="0"/>
          <w:sz w:val="28"/>
          <w:szCs w:val="28"/>
          <w:highlight w:val="none"/>
          <w:lang w:val="en-US" w:eastAsia="zh-CN"/>
        </w:rPr>
        <w:t xml:space="preserve">和采样进气量，仪器状态，峰型状况，在仪器的运行过程中，当所需控制外标物种（详见下表）分析结果与目标标准品浓度超出允许误差范围（±15%）时，需及时使用外标法重新积分该物种监测数据；当校准结果相对误差超过±20%时，应重新进行仪器校准，并根据需要调整积分参数，若连续两次校准结果均超出±20%，应停止数据采集，进行系统全面检查与维护；每天观察仪器运行和数据运行情况，查看日校准数据，可根据日校准数据判断仪器是否需要重新标定，并及时更改积分参数文件，保证所有化合物积分正确，个别化合物可手动积分，及时填写日质控记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val="0"/>
          <w:sz w:val="28"/>
          <w:szCs w:val="28"/>
          <w:highlight w:val="none"/>
          <w:lang w:val="en-US" w:eastAsia="zh-CN"/>
        </w:rPr>
        <w:outlineLvl w:val="9"/>
      </w:pPr>
      <w:r>
        <w:rPr>
          <w:rFonts w:hint="eastAsia" w:ascii="仿宋" w:hAnsi="仿宋" w:eastAsia="仿宋" w:cs="仿宋"/>
          <w:bCs w:val="0"/>
          <w:sz w:val="28"/>
          <w:szCs w:val="28"/>
          <w:highlight w:val="none"/>
          <w:lang w:val="en-US" w:eastAsia="zh-CN"/>
        </w:rPr>
        <w:t xml:space="preserve">（2）每周例行质控：对仪器所有配器及气体发生器（氢气发生器等）进行维护，对数据库数据检查、备份，检查内、外标准品压力，及时填写质量控制记录；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val="0"/>
          <w:sz w:val="28"/>
          <w:szCs w:val="28"/>
          <w:highlight w:val="none"/>
          <w:lang w:val="en-US" w:eastAsia="zh-CN"/>
        </w:rPr>
        <w:outlineLvl w:val="9"/>
      </w:pPr>
      <w:r>
        <w:rPr>
          <w:rFonts w:hint="eastAsia" w:ascii="仿宋" w:hAnsi="仿宋" w:eastAsia="仿宋" w:cs="仿宋"/>
          <w:bCs w:val="0"/>
          <w:sz w:val="28"/>
          <w:szCs w:val="28"/>
          <w:highlight w:val="none"/>
          <w:lang w:val="en-US" w:eastAsia="zh-CN"/>
        </w:rPr>
        <w:t xml:space="preserve">（3）每月预防性质量查核：每月对整套系统（包括样品采集、预处理及分析单元）进行预防性质量查核，对样品预处理单元及分析单元系统进行验漏，检查各辅助设备（载气压力、配气系统运行状况等）是否正常运行，解析当月质控数据，填写预防性质量查核记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val="0"/>
          <w:sz w:val="28"/>
          <w:szCs w:val="28"/>
          <w:highlight w:val="none"/>
          <w:lang w:val="en-US" w:eastAsia="zh-CN"/>
        </w:rPr>
        <w:outlineLvl w:val="9"/>
      </w:pPr>
      <w:r>
        <w:rPr>
          <w:rFonts w:hint="eastAsia" w:ascii="仿宋" w:hAnsi="仿宋" w:eastAsia="仿宋" w:cs="仿宋"/>
          <w:bCs w:val="0"/>
          <w:sz w:val="28"/>
          <w:szCs w:val="28"/>
          <w:highlight w:val="none"/>
          <w:lang w:val="en-US" w:eastAsia="zh-CN"/>
        </w:rPr>
        <w:t xml:space="preserve">（4）每季度质量控制：每季度对GC/MS进行一次自动调谐（保证仪器灵敏度、正确的峰宽、正确的质量分配，必要时清洗离子源），同时对工作曲线重新标定（数据标定主要包括全扫描、SIM分组、7点校准（包含零点）；及时填写系统维护与质控记录（若系统维护与质控期间出现秸秆焚烧、沙尘、雾霾等重污染特殊天气，上述质控工作可依据用户需求进行延期）；</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val="0"/>
          <w:sz w:val="28"/>
          <w:szCs w:val="28"/>
          <w:highlight w:val="none"/>
          <w:lang w:val="en-US" w:eastAsia="zh-CN"/>
        </w:rPr>
        <w:t xml:space="preserve">（5）</w:t>
      </w:r>
      <w:r>
        <w:rPr>
          <w:rFonts w:hint="eastAsia" w:ascii="仿宋" w:hAnsi="仿宋" w:eastAsia="仿宋" w:cs="仿宋"/>
          <w:bCs/>
          <w:sz w:val="28"/>
          <w:szCs w:val="28"/>
          <w:highlight w:val="none"/>
        </w:rPr>
        <w:t xml:space="preserve">每半年质量查核：每半年对GCMS进行检查，及时更换氧化去除剂、管路气密性配件，及时填写相关记录；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每年质量评价：每年度对GC/MS/FID分析单元进行全年运行质量评价，对MS、FID检测器年度获取监测数据有效性进行分析与评价，评价前端样品采集及预处理单元运行质量（包括稳定性）及时填写相关记录，并编制年度质量控制报告。</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lang w:eastAsia="zh-CN"/>
        </w:rPr>
        <w:t xml:space="preserve">）数据统计：依据仪器性能及用户要求数据格式，定期开展数据统计上报工作，包括如下内容：</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eastAsia="zh-CN"/>
        </w:rPr>
        <w:t xml:space="preserve">①运维单位对监测站监测数据进行初审，并配合各属地将审核数据按时提交。</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eastAsia="zh-CN"/>
        </w:rPr>
        <w:t xml:space="preserve">②每周提交上一周完整监测数据报表（excel格式），报表内容包含内标响应、外标校准、经质控审核的浓度数据，数据模板由用户提供。</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eastAsia="zh-CN"/>
        </w:rPr>
        <w:t xml:space="preserve">③每月第一周提交上月月度质控数据报表（excel格式）；</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eastAsia="zh-CN"/>
        </w:rPr>
        <w:t xml:space="preserve">④每季度提交上一季度内、外标法质控结果和质控评价报表（excel格式）。</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eastAsia="zh-CN"/>
        </w:rPr>
        <w:outlineLvl w:val="9"/>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lang w:eastAsia="zh-CN"/>
        </w:rPr>
        <w:t xml:space="preserve">）质控结果异常报警。发现设备质控数据异常后，2小时内远程检查监测数据质量，并告知用户异常情况，初步分析质控数据异常原因，为用户提供科学诊断仪器状态建议。</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rPr>
        <w:outlineLvl w:val="9"/>
      </w:pP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大型活动保障。质控服务方依据用户提前通知的要求，在年度内有大型赛事、活动和重污染物天气时间段内，提供加密质控保障工作。</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（10）质量控制要求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①仪器运行期间，每天零点自动进入一定浓度标准品，用于考核前一日监测数据有效性，若相对误差在±30%以内，且内标响应均在允许误差范围内，视前一日数据有效。</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②每月依据控制目标物种配置2ppb标准品，使用手工进样方式，进行外标核查，并手工积分标准品浓度，计算相对误差；</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③每半年重新统计、计算各目标化合物的检出限与不确定度。</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（11）运维记录与报告</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①依据仪器特性及上述运维要求，编制相应运维、质控记录表单。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②依据技术运维要求，每月提交相应技术运维记录。</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③项目结束后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④依据运维总结报告制作汇报材料（PPT）向业主进行总结性汇报。</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bCs/>
          <w:sz w:val="28"/>
          <w:szCs w:val="28"/>
          <w:highlight w:val="none"/>
          <w:lang w:val="en-US" w:eastAsia="zh-CN"/>
        </w:rPr>
        <w:outlineLvl w:val="9"/>
      </w:pPr>
      <w:r>
        <w:rPr>
          <w:rFonts w:hint="eastAsia" w:ascii="仿宋" w:hAnsi="仿宋" w:eastAsia="仿宋" w:cs="仿宋"/>
          <w:bCs/>
          <w:sz w:val="28"/>
          <w:szCs w:val="28"/>
          <w:highlight w:val="none"/>
          <w:lang w:val="en-US" w:eastAsia="zh-CN"/>
        </w:rPr>
        <w:t xml:space="preserve">（12）分析报告服务要求</w:t>
      </w:r>
      <w:r/>
    </w:p>
    <w:p>
      <w:pPr>
        <w:pStyle w:val="879"/>
        <w:ind w:firstLine="560"/>
        <w:keepLines w:val="0"/>
        <w:keepNext w:val="0"/>
        <w:pageBreakBefore w:val="0"/>
        <w:spacing w:line="52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采用在线监测仪器的综合方法，研究淮安市的大气VOC污染特征，以《环境空气挥发性有机物自动监测技术规范》（HJ 1246-2022）中的源解析推荐方法给出淮安市大气VOC在线监测分析研究报告，实现污染天气的过程监测。为淮安市大气污染防治、大气重污染过程应急方案完善、治理成效评估提供建设性意见。</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①</w:t>
      </w:r>
      <w:r>
        <w:rPr>
          <w:rFonts w:hint="eastAsia" w:ascii="仿宋" w:hAnsi="仿宋" w:eastAsia="仿宋" w:cs="仿宋"/>
          <w:bCs/>
          <w:sz w:val="28"/>
          <w:szCs w:val="28"/>
          <w:highlight w:val="none"/>
        </w:rPr>
        <w:t xml:space="preserve">一个运维周期内，按照采购方工作实际要求，及时提供污染天气快报。</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②</w:t>
      </w:r>
      <w:r>
        <w:rPr>
          <w:rFonts w:hint="eastAsia" w:ascii="仿宋" w:hAnsi="仿宋" w:eastAsia="仿宋" w:cs="仿宋"/>
          <w:bCs/>
          <w:sz w:val="28"/>
          <w:szCs w:val="28"/>
          <w:highlight w:val="none"/>
        </w:rPr>
        <w:t xml:space="preserve">每月提交月报，每年提交年报，跨年度周期，也应提供完整的自然年报告，报告内容包括：VOCs监测结果分析、臭氧或颗</w:t>
      </w:r>
      <w:r>
        <w:rPr>
          <w:rFonts w:hint="eastAsia" w:ascii="仿宋" w:hAnsi="仿宋" w:eastAsia="仿宋" w:cs="仿宋"/>
          <w:bCs/>
          <w:sz w:val="28"/>
          <w:szCs w:val="28"/>
          <w:highlight w:val="none"/>
        </w:rPr>
        <w:t xml:space="preserve">粒物监测结果分析等。</w:t>
      </w:r>
      <w:r/>
    </w:p>
    <w:p>
      <w:pPr>
        <w:pStyle w:val="879"/>
        <w:ind w:firstLine="560"/>
        <w:keepLines w:val="0"/>
        <w:keepNext w:val="0"/>
        <w:pageBreakBefore w:val="0"/>
        <w:spacing w:line="52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13</w:t>
      </w:r>
      <w:r>
        <w:rPr>
          <w:rFonts w:hint="eastAsia" w:ascii="仿宋" w:hAnsi="仿宋" w:eastAsia="仿宋" w:cs="宋体"/>
          <w:color w:val="000000"/>
          <w:sz w:val="28"/>
          <w:szCs w:val="28"/>
          <w:highlight w:val="none"/>
          <w:lang w:val="zh-CN"/>
        </w:rPr>
        <w:t xml:space="preserve">）</w:t>
      </w:r>
      <w:r>
        <w:rPr>
          <w:rFonts w:hint="eastAsia" w:ascii="仿宋" w:hAnsi="仿宋" w:eastAsia="仿宋" w:cs="仿宋"/>
          <w:bCs/>
          <w:sz w:val="28"/>
          <w:szCs w:val="28"/>
          <w:highlight w:val="none"/>
        </w:rPr>
        <w:t xml:space="preserve">VOCs系统检修要求</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①VOCs自动监测系统仪器出现故障或监测值有异常情形时，中标人应迅速进行紧急维修。一些简单的故障可现场解决，如不能现场解决，应马上更换备用机运行，保证全天数据正常。</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②每日6时至23时发生故障时，2小时之内响应，4小时内到达现场排除故障。通信和电力线路故障除外，但应及时与相关部门联系解决。对不易诊断和维修的仪器故障，若24小时内无法排除，应安装备用仪器。</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③紧急维修主要针对发生故障之设备，对发生故障的设备进行检修，如果发生零件损坏，中标人将马上进行更换，确保24小时内子站系统恢复正常运行。</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④如在现场发现不能在短期内修复仪器的，中标人应及时告知采购人，征得同意后，由中标人负责维修（仪器正常报废除外）。</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⑤发生通讯故障时，技术人员到达现场后，应检查通讯线、MODEM、数据采集器等，并及时处理，将检查结果及时反馈给采购人技术人员；如果故障是由通讯线路导致的，通知并协助采购人技术人员报修。</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⑥更换下来故障仪器设备，中标人技术人员应尽快对仪器完成维修（特殊备件损坏需进口购置的情况除外），修好的仪器经采购人技术人员确认后方可重新投入运行。</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⑦中标人技术人员在维修每一台仪器，每一个故障时，都要填写仪器维修报告表，详细记录故障现象、维修过程、更换设备情况等。</w:t>
      </w:r>
      <w:r/>
    </w:p>
    <w:p>
      <w:pPr>
        <w:pStyle w:val="879"/>
        <w:ind w:firstLine="560"/>
        <w:keepLines w:val="0"/>
        <w:keepNext w:val="0"/>
        <w:pageBreakBefore w:val="0"/>
        <w:spacing w:line="52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⑧仪器出现重大故障或核心关键部件损坏，在维修完成后需进行严格校准，必要时经重新检定或溯源后方可上架投入运行。</w:t>
      </w:r>
      <w:r/>
    </w:p>
    <w:p>
      <w:pPr>
        <w:pStyle w:val="879"/>
        <w:ind w:firstLine="560"/>
        <w:keepLines w:val="0"/>
        <w:keepNext w:val="0"/>
        <w:pageBreakBefore w:val="0"/>
        <w:spacing w:line="520" w:lineRule="exact"/>
        <w:widowControl w:val="off"/>
        <w:rPr>
          <w:rFonts w:hint="default" w:ascii="仿宋" w:hAnsi="仿宋" w:eastAsia="仿宋" w:cs="宋体"/>
          <w:color w:val="000000"/>
          <w:sz w:val="28"/>
          <w:szCs w:val="28"/>
          <w:highlight w:val="none"/>
          <w:lang w:val="en-US" w:eastAsia="zh-CN"/>
        </w:rPr>
        <w:outlineLvl w:val="9"/>
      </w:pPr>
      <w:r>
        <w:rPr>
          <w:rFonts w:hint="eastAsia" w:ascii="仿宋" w:hAnsi="仿宋" w:eastAsia="仿宋" w:cs="宋体"/>
          <w:color w:val="000000"/>
          <w:sz w:val="28"/>
          <w:szCs w:val="28"/>
          <w:highlight w:val="none"/>
          <w:lang w:val="en-US" w:eastAsia="zh-CN"/>
        </w:rPr>
        <w:t xml:space="preserve">4.非甲烷总烃自动监测技术运维要求</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每日维护内容</w:t>
      </w:r>
      <w:r/>
    </w:p>
    <w:p>
      <w:pPr>
        <w:numPr>
          <w:ilvl w:val="0"/>
          <w:numId w:val="0"/>
        </w:numPr>
        <w:ind w:firstLine="56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①</w:t>
      </w:r>
      <w:r>
        <w:rPr>
          <w:rFonts w:hint="eastAsia" w:ascii="仿宋" w:hAnsi="仿宋" w:eastAsia="仿宋" w:cs="仿宋"/>
          <w:bCs/>
          <w:sz w:val="28"/>
          <w:szCs w:val="28"/>
          <w:highlight w:val="none"/>
        </w:rPr>
        <w:t xml:space="preserve">系统状态检查：检查系统是否有报警等异常提示，以及分析模块的 FID 温度、柱 箱温度、柱前压、保留时间等重要参数是否正常。系统状态检查可通过远程或者现场检查的方式完成。</w:t>
      </w:r>
      <w:r/>
    </w:p>
    <w:p>
      <w:pPr>
        <w:numPr>
          <w:ilvl w:val="0"/>
          <w:numId w:val="0"/>
        </w:numPr>
        <w:ind w:firstLine="56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②</w:t>
      </w:r>
      <w:r>
        <w:rPr>
          <w:rFonts w:hint="eastAsia" w:ascii="仿宋" w:hAnsi="仿宋" w:eastAsia="仿宋" w:cs="仿宋"/>
          <w:bCs/>
          <w:sz w:val="28"/>
          <w:szCs w:val="28"/>
          <w:highlight w:val="none"/>
        </w:rPr>
        <w:t xml:space="preserve">基线检查：按照厂家说明书或作业指导书要求检查图谱基线是否存在异常 漂移和波动。基线漂移超过±5%FS或出现持续性趋势性变化时，视为异常，应记录并启动排查程序，如存在异常漂移和波动，应及时标识或剔除异常数据或对受影响的物质进行重积分。运维单位建立“基线漂移趋势图”，每月归档。</w:t>
      </w:r>
      <w:r/>
    </w:p>
    <w:p>
      <w:pPr>
        <w:numPr>
          <w:ilvl w:val="0"/>
          <w:numId w:val="0"/>
        </w:numPr>
        <w:ind w:firstLine="56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③</w:t>
      </w:r>
      <w:r>
        <w:rPr>
          <w:rFonts w:hint="eastAsia" w:ascii="仿宋" w:hAnsi="仿宋" w:eastAsia="仿宋" w:cs="仿宋"/>
          <w:bCs/>
          <w:sz w:val="28"/>
          <w:szCs w:val="28"/>
          <w:highlight w:val="none"/>
        </w:rPr>
        <w:t xml:space="preserve">保留时间漂移：检查仪器保留时间漂移情况，以确保非甲烷总烃测量的准确性。重点关注漂移是否影响监测物质的自动积分，如有影响，应进行调整</w:t>
      </w:r>
      <w:r/>
    </w:p>
    <w:p>
      <w:pPr>
        <w:numPr>
          <w:ilvl w:val="0"/>
          <w:numId w:val="0"/>
        </w:numPr>
        <w:ind w:firstLine="56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④</w:t>
      </w:r>
      <w:r>
        <w:rPr>
          <w:rFonts w:hint="eastAsia" w:ascii="仿宋" w:hAnsi="仿宋" w:eastAsia="仿宋" w:cs="仿宋"/>
          <w:bCs/>
          <w:sz w:val="28"/>
          <w:szCs w:val="28"/>
          <w:highlight w:val="none"/>
        </w:rPr>
        <w:t xml:space="preserve">数据审核：</w:t>
      </w:r>
      <w:r>
        <w:rPr>
          <w:rFonts w:hint="eastAsia" w:ascii="仿宋" w:hAnsi="仿宋" w:eastAsia="仿宋" w:cs="仿宋"/>
          <w:sz w:val="28"/>
          <w:szCs w:val="28"/>
          <w:highlight w:val="none"/>
        </w:rPr>
        <w:t xml:space="preserve">运维单位对监测站监测数据进行初审，并配合各属地将审核数据按时提交。</w:t>
      </w:r>
      <w:r/>
    </w:p>
    <w:p>
      <w:pPr>
        <w:numPr>
          <w:ilvl w:val="0"/>
          <w:numId w:val="0"/>
        </w:numPr>
        <w:ind w:firstLine="56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⑤</w:t>
      </w:r>
      <w:r>
        <w:rPr>
          <w:rFonts w:hint="eastAsia" w:ascii="仿宋" w:hAnsi="仿宋" w:eastAsia="仿宋" w:cs="仿宋"/>
          <w:bCs/>
          <w:sz w:val="28"/>
          <w:szCs w:val="28"/>
          <w:highlight w:val="none"/>
        </w:rPr>
        <w:t xml:space="preserve">数据审核应对异常数据进行无效标识或剔除，在 72 小时内完成。</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eastAsia="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2</w:t>
      </w:r>
      <w:r>
        <w:rPr>
          <w:rFonts w:hint="eastAsia" w:ascii="仿宋" w:hAnsi="仿宋" w:eastAsia="仿宋" w:cs="宋体"/>
          <w:color w:val="000000"/>
          <w:sz w:val="28"/>
          <w:szCs w:val="28"/>
          <w:highlight w:val="none"/>
          <w:lang w:val="zh-CN"/>
        </w:rPr>
        <w:t xml:space="preserve">）</w:t>
      </w:r>
      <w:r>
        <w:rPr>
          <w:rFonts w:hint="eastAsia" w:ascii="仿宋" w:hAnsi="仿宋" w:eastAsia="仿宋" w:cs="仿宋"/>
          <w:bCs/>
          <w:sz w:val="28"/>
          <w:szCs w:val="28"/>
          <w:highlight w:val="none"/>
        </w:rPr>
        <w:t xml:space="preserve">每周工作内容</w:t>
      </w:r>
      <w:r>
        <w:rPr>
          <w:rFonts w:hint="eastAsia" w:ascii="仿宋" w:hAnsi="仿宋" w:eastAsia="仿宋" w:cs="仿宋"/>
          <w:bCs/>
          <w:sz w:val="28"/>
          <w:szCs w:val="28"/>
          <w:highlight w:val="none"/>
          <w:lang w:eastAsia="zh-CN"/>
        </w:rPr>
        <w:t xml:space="preserve">：</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监测站房及周边环境应满足 HJ 193 相关要求。监测站房及辅助 设备日常巡检应满足 HJ 818 相关要求。运维人员应对子站站房及辅助设备定期巡检，每周至少巡检 1 次，巡检工作主要包括：</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检查站房内温度是否保持在（25±5）℃, 相对湿度保持在 85%以下。</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在冬、夏季节应注意站房内外温差，应及时调整站房温度；检查采样管路保温措施，防止因温差造成采样装置出现冷凝水的现象。</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检查采样总管进气、排气是否正常。</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检查采样支管是否存在冷凝水，如果存在冷凝水应及时进行清洁干燥处理。</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检查站房排风排气装置工作是否正常。</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检查标气、辅助气钢瓶阀门是否漏气；检查标气和辅助气有效期、压力，气瓶压力低于 2MPa（或系统相关要求值）前应更换。</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如采用气体发生器， 应检查气体发生器的工作状态，及时补充纯水、更换干燥硅胶、活性炭或无水氯化钙。</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检查数据采集、传输与网络通讯是否正常。</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检查各种运维工具、系统耗材、备件是否完好齐全。</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检查空调、电源等辅助设备的运行状况是否正常，检查站房空调机的过滤网是否清洁，必要时进行清洗。</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检查各种消防、安全设施是否完好齐全。</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对站房周围的杂草和积水应及时清除； 对采样有影响的树枝应及时进行剪除。</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检查避雷设施是否正常，子站房屋是否有漏雨现象。</w:t>
      </w:r>
      <w:r/>
    </w:p>
    <w:p>
      <w:pPr>
        <w:pStyle w:val="879"/>
        <w:numPr>
          <w:ilvl w:val="0"/>
          <w:numId w:val="8"/>
        </w:numPr>
        <w:ind w:left="0"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记录巡检情况。</w:t>
      </w:r>
      <w:r/>
    </w:p>
    <w:p>
      <w:pPr>
        <w:pStyle w:val="879"/>
        <w:numPr>
          <w:ilvl w:val="0"/>
          <w:numId w:val="8"/>
        </w:numPr>
        <w:ind w:left="0" w:firstLine="560"/>
        <w:keepLines w:val="0"/>
        <w:keepNext w:val="0"/>
        <w:pageBreakBefore w:val="0"/>
        <w:spacing w:line="52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气相色谱、检测器参数设置检查。检查氢火焰离子化检测器氢气 与空气输入压力与流量、载气流量与压力等是否与说明书、作业指导书一致。</w:t>
      </w:r>
      <w:r/>
    </w:p>
    <w:p>
      <w:pPr>
        <w:pStyle w:val="879"/>
        <w:numPr>
          <w:ilvl w:val="0"/>
          <w:numId w:val="8"/>
        </w:numPr>
        <w:ind w:left="0" w:firstLine="560"/>
        <w:keepLines w:val="0"/>
        <w:keepNext w:val="0"/>
        <w:pageBreakBefore w:val="0"/>
        <w:spacing w:line="52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气相色谱、检测器运行情况检查。检查载气净化装置（如除烃等）， 如有异常应及时更换。根据系统验收或非甲烷总烃测试时使用的 参数，检查色谱炉温控制程序、载气流量或压力控制程序、氢火 焰离子化检测器等是否正常， 如有异常应及时停机检查，排查问题。</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eastAsia="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3</w:t>
      </w:r>
      <w:r>
        <w:rPr>
          <w:rFonts w:hint="eastAsia" w:ascii="仿宋" w:hAnsi="仿宋" w:eastAsia="仿宋" w:cs="宋体"/>
          <w:color w:val="000000"/>
          <w:sz w:val="28"/>
          <w:szCs w:val="28"/>
          <w:highlight w:val="none"/>
          <w:lang w:val="zh-CN"/>
        </w:rPr>
        <w:t xml:space="preserve">）</w:t>
      </w:r>
      <w:r>
        <w:rPr>
          <w:rFonts w:hint="eastAsia" w:ascii="仿宋" w:hAnsi="仿宋" w:eastAsia="仿宋" w:cs="仿宋"/>
          <w:bCs/>
          <w:sz w:val="28"/>
          <w:szCs w:val="28"/>
          <w:highlight w:val="none"/>
        </w:rPr>
        <w:t xml:space="preserve">每月工作要求</w:t>
      </w:r>
      <w:r>
        <w:rPr>
          <w:rFonts w:hint="eastAsia" w:ascii="仿宋" w:hAnsi="仿宋" w:eastAsia="仿宋" w:cs="仿宋"/>
          <w:bCs/>
          <w:sz w:val="28"/>
          <w:szCs w:val="28"/>
          <w:highlight w:val="none"/>
          <w:lang w:eastAsia="zh-CN"/>
        </w:rPr>
        <w:t xml:space="preserve">：</w:t>
      </w:r>
      <w:r/>
    </w:p>
    <w:p>
      <w:pPr>
        <w:numPr>
          <w:ilvl w:val="0"/>
          <w:numId w:val="0"/>
        </w:numPr>
        <w:ind w:firstLine="560"/>
        <w:jc w:val="left"/>
        <w:keepLines w:val="0"/>
        <w:keepNext w:val="0"/>
        <w:pageBreakBefore w:val="0"/>
        <w:spacing w:line="520" w:lineRule="exact"/>
        <w:widowControl w:val="off"/>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①</w:t>
      </w:r>
      <w:r>
        <w:rPr>
          <w:rFonts w:hint="eastAsia" w:ascii="仿宋" w:hAnsi="仿宋" w:eastAsia="仿宋" w:cs="仿宋"/>
          <w:bCs/>
          <w:sz w:val="28"/>
          <w:szCs w:val="28"/>
          <w:highlight w:val="none"/>
        </w:rPr>
        <w:t xml:space="preserve">检查各分析仪器的流量，必要时做流量校准；</w:t>
      </w:r>
      <w:r/>
    </w:p>
    <w:p>
      <w:pPr>
        <w:numPr>
          <w:ilvl w:val="0"/>
          <w:numId w:val="0"/>
        </w:numPr>
        <w:ind w:firstLine="560"/>
        <w:jc w:val="left"/>
        <w:keepLines w:val="0"/>
        <w:keepNext w:val="0"/>
        <w:pageBreakBefore w:val="0"/>
        <w:spacing w:line="520" w:lineRule="exact"/>
        <w:widowControl w:val="off"/>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②</w:t>
      </w:r>
      <w:r>
        <w:rPr>
          <w:rFonts w:hint="eastAsia" w:ascii="仿宋" w:hAnsi="仿宋" w:eastAsia="仿宋" w:cs="仿宋"/>
          <w:bCs/>
          <w:sz w:val="28"/>
          <w:szCs w:val="28"/>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numPr>
          <w:ilvl w:val="0"/>
          <w:numId w:val="0"/>
        </w:numPr>
        <w:ind w:firstLine="560"/>
        <w:jc w:val="left"/>
        <w:keepLines w:val="0"/>
        <w:keepNext w:val="0"/>
        <w:pageBreakBefore w:val="0"/>
        <w:spacing w:line="520" w:lineRule="exact"/>
        <w:widowControl w:val="off"/>
        <w:tabs>
          <w:tab w:val="left" w:pos="900" w:leader="none"/>
        </w:tabs>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每季度工作要求</w:t>
      </w:r>
      <w:r/>
    </w:p>
    <w:p>
      <w:pPr>
        <w:ind w:firstLine="560"/>
        <w:jc w:val="left"/>
        <w:keepLines w:val="0"/>
        <w:keepNext w:val="0"/>
        <w:pageBreakBefore w:val="0"/>
        <w:spacing w:line="520" w:lineRule="exact"/>
        <w:widowControl w:val="off"/>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定期清洗空调机的过滤网；为了提高VOCs仪器监测准确度，每季度使用混合标准气体更新多点校准曲线。</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）每半年工作要求</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定期进行采样总管及采样风机清洗。</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lang w:val="zh-CN"/>
        </w:rPr>
        <w:t xml:space="preserve">）每年工作要求</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①流量计、气压计、温度计等设备送计量部门检定，并保存好检定报告；</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站点的消防设施进行检查，保证在有效期内；</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②检查站点的防雷设施，每年由有资质单位检定一次，并出具相应的检定报告；</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③更换所有仪器的泵组件；</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④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lang w:val="zh-CN"/>
        </w:rPr>
        <w:t xml:space="preserve">）不定期工作要求</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①根据实际使用情况更换相关耗材；</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②根据实际需要更换零气源活性炭和氧化剂，对零气性能进行检查；</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8</w:t>
      </w:r>
      <w:r>
        <w:rPr>
          <w:rFonts w:hint="eastAsia" w:ascii="仿宋" w:hAnsi="仿宋" w:eastAsia="仿宋" w:cs="宋体"/>
          <w:color w:val="000000"/>
          <w:sz w:val="28"/>
          <w:szCs w:val="28"/>
          <w:highlight w:val="none"/>
          <w:lang w:val="zh-CN"/>
        </w:rPr>
        <w:t xml:space="preserve">）其他</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①分析仪在以下情况下需进行校准和再校准：移动位置时；进行可能影响校准结果的维修或维护后；分析仪暂停工作一段时间后；有迹象表明分析仪工作不正常或校准结果出现变化。</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②仪器大修后（更换设备测试关键部件），应按顺序进行漂移实验（零点漂移、量程漂移）、重复性及准确度实验、多点线性实验。</w:t>
      </w:r>
      <w:r/>
    </w:p>
    <w:p>
      <w:pPr>
        <w:pStyle w:val="879"/>
        <w:ind w:firstLine="560"/>
        <w:keepLines w:val="0"/>
        <w:keepNext w:val="0"/>
        <w:pageBreakBefore w:val="0"/>
        <w:spacing w:line="520" w:lineRule="exact"/>
        <w:widowControl w:val="off"/>
        <w:rPr>
          <w:rFonts w:hint="eastAsia"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黑碳仪运维要求</w:t>
      </w:r>
      <w:r/>
    </w:p>
    <w:p>
      <w:pPr>
        <w:ind w:firstLine="560"/>
        <w:jc w:val="left"/>
        <w:keepLines w:val="0"/>
        <w:keepNext w:val="0"/>
        <w:pageBreakBefore w:val="0"/>
        <w:spacing w:line="52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黑碳仪定期维护要求如下：</w:t>
      </w:r>
      <w:r/>
    </w:p>
    <w:tbl>
      <w:tblPr>
        <w:tblStyle w:val="875"/>
        <w:tblW w:w="47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2"/>
        <w:gridCol w:w="4192"/>
      </w:tblGrid>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bookmarkStart w:id="36" w:name="_Hlk507234927"/>
            <w:r>
              <w:rPr>
                <w:rFonts w:hint="eastAsia" w:ascii="仿宋" w:hAnsi="仿宋" w:eastAsia="仿宋" w:cs="仿宋"/>
                <w:b w:val="0"/>
                <w:bCs/>
                <w:sz w:val="24"/>
                <w:szCs w:val="24"/>
                <w:highlight w:val="none"/>
              </w:rPr>
              <w:t xml:space="preserve">维护项目</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最短周期</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更换纸带</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根据需求（通常2-12个月）</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温度、压力和流量检查</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1个月</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bookmarkStart w:id="37" w:name="_Hlk507233036"/>
            <w:r>
              <w:rPr>
                <w:rFonts w:hint="eastAsia" w:ascii="仿宋" w:hAnsi="仿宋" w:eastAsia="仿宋" w:cs="仿宋"/>
                <w:b w:val="0"/>
                <w:bCs/>
                <w:sz w:val="24"/>
                <w:szCs w:val="24"/>
                <w:highlight w:val="none"/>
              </w:rPr>
              <w:t xml:space="preserve">跨点检查</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3个月</w:t>
            </w:r>
            <w:bookmarkEnd w:id="37"/>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清洁入口颗粒捕集器（切割头）</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3个月</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泄漏检查</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3个月</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流量、温度、压力全校准</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3个月</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清理切割头</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3个月</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更换切割头O圈</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根据需求</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清洁杂物过滤器</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1 年</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更换稀释系统过滤器</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每12个月或出现明显堵塞、流量下降时更换；增加说明：运维单位应建立过滤器使用台账，记录更换时间、运行时长及状况</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更换主泵</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根据需求</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更换稀释系统主泵</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根据需求</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更换稀释系统流量传感器</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根据需求</w:t>
            </w:r>
            <w:r/>
          </w:p>
        </w:tc>
      </w:tr>
      <w:tr>
        <w:trPr>
          <w:jc w:val="center"/>
        </w:trPr>
        <w:tc>
          <w:tcPr>
            <w:tcW w:w="2532"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工厂服务</w:t>
            </w:r>
            <w:r/>
          </w:p>
        </w:tc>
        <w:tc>
          <w:tcPr>
            <w:tcW w:w="2467" w:type="pct"/>
            <w:vAlign w:val="center"/>
            <w:textDirection w:val="lrTb"/>
            <w:noWrap w:val="false"/>
          </w:tcPr>
          <w:p>
            <w:pPr>
              <w:jc w:val="center"/>
              <w:keepLines w:val="0"/>
              <w:keepNext w:val="0"/>
              <w:pageBreakBefore w:val="0"/>
              <w:spacing w:line="52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根据需求</w:t>
            </w:r>
            <w:bookmarkEnd w:id="36"/>
            <w:r/>
            <w:r/>
          </w:p>
        </w:tc>
      </w:tr>
    </w:tbl>
    <w:p>
      <w:pPr>
        <w:pStyle w:val="879"/>
        <w:numPr>
          <w:ilvl w:val="0"/>
          <w:numId w:val="9"/>
        </w:num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监督考核及履约验收要求</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监督管理</w:t>
      </w:r>
      <w:r/>
    </w:p>
    <w:p>
      <w:pPr>
        <w:ind w:firstLine="560"/>
        <w:keepLines w:val="0"/>
        <w:keepNext w:val="0"/>
        <w:pageBreakBefore w:val="0"/>
        <w:spacing w:line="52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①</w:t>
      </w:r>
      <w:r>
        <w:rPr>
          <w:rFonts w:hint="eastAsia" w:ascii="仿宋" w:hAnsi="仿宋" w:eastAsia="仿宋" w:cs="仿宋"/>
          <w:sz w:val="28"/>
          <w:szCs w:val="28"/>
          <w:highlight w:val="none"/>
        </w:rPr>
        <w:t xml:space="preserve">数据必须真实有效，投标人近2年内，在环境监测服务活动中必须没有弄虚作假行为。（</w:t>
      </w:r>
      <w:r>
        <w:rPr>
          <w:rFonts w:hint="eastAsia" w:ascii="仿宋" w:hAnsi="仿宋" w:eastAsia="仿宋" w:cs="仿宋"/>
          <w:sz w:val="28"/>
          <w:szCs w:val="28"/>
          <w:highlight w:val="none"/>
          <w:lang w:eastAsia="zh-CN"/>
        </w:rPr>
        <w:t xml:space="preserve">提供承诺函格式自拟，加盖投标人电子签章，</w:t>
      </w:r>
      <w:r>
        <w:rPr>
          <w:rFonts w:hint="eastAsia" w:ascii="仿宋" w:hAnsi="仿宋" w:eastAsia="仿宋" w:cs="仿宋"/>
          <w:sz w:val="28"/>
          <w:szCs w:val="28"/>
          <w:highlight w:val="none"/>
        </w:rPr>
        <w:t xml:space="preserve">未提供承诺函作无效响应处理）</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②</w:t>
      </w:r>
      <w:r>
        <w:rPr>
          <w:rFonts w:hint="eastAsia" w:ascii="仿宋" w:hAnsi="仿宋" w:eastAsia="仿宋" w:cs="仿宋"/>
          <w:sz w:val="28"/>
          <w:szCs w:val="28"/>
          <w:highlight w:val="none"/>
        </w:rPr>
        <w:t xml:space="preserve">中标人应承担监测数据的保密责任，不得利用本项目的数据、档案或有关资料对外开展技术交流、业务联系、数据交换等。否则，采购人有权终止合同。</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③</w:t>
      </w:r>
      <w:r>
        <w:rPr>
          <w:rFonts w:hint="eastAsia" w:ascii="仿宋" w:hAnsi="仿宋" w:eastAsia="仿宋" w:cs="仿宋"/>
          <w:sz w:val="28"/>
          <w:szCs w:val="28"/>
          <w:highlight w:val="none"/>
        </w:rPr>
        <w:t xml:space="preserve">运维期间出现调整数据、修改参数、改动设备、质控结果与平台采集结果不一致、弄虚作假等违规行为的，一经查实采购人有权终止运维合同。</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④</w:t>
      </w:r>
      <w:r>
        <w:rPr>
          <w:rFonts w:hint="eastAsia" w:ascii="仿宋" w:hAnsi="仿宋" w:eastAsia="仿宋" w:cs="仿宋"/>
          <w:sz w:val="28"/>
          <w:szCs w:val="28"/>
          <w:highlight w:val="none"/>
        </w:rPr>
        <w:t xml:space="preserve">运维单位在省、市、县组织开展运维管理和质控考核中出现严重质量问题，产生不良影响后果的，采购人有权终止运维合同。</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⑤</w:t>
      </w:r>
      <w:r>
        <w:rPr>
          <w:rFonts w:hint="eastAsia" w:ascii="仿宋" w:hAnsi="仿宋" w:eastAsia="仿宋" w:cs="仿宋"/>
          <w:sz w:val="28"/>
          <w:szCs w:val="28"/>
          <w:highlight w:val="none"/>
        </w:rPr>
        <w:t xml:space="preserve">违反江苏省空气自动站管理办法等违规行为的，一经查实采购人有权终止运维合同。</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空气站运维考核要点</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以半年为周期，以单站点为单位，组织开展考核。考核内容包括：两率考核（50分）、运行考核（50分）。</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①</w:t>
      </w:r>
      <w:r>
        <w:rPr>
          <w:rFonts w:hint="eastAsia" w:ascii="仿宋" w:hAnsi="仿宋" w:eastAsia="仿宋" w:cs="仿宋"/>
          <w:sz w:val="28"/>
          <w:szCs w:val="28"/>
          <w:highlight w:val="none"/>
        </w:rPr>
        <w:t xml:space="preserve">两率考核：</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运行率：设备运行率=实际运行天数/应运行天数*100%。考核时段天数按考核时段内日历天数计。计算应运行天数，需扣除因不可抗力、外部故障导致的停运天数。考核时段内单个站点任一监测项目有效数据量应满足国家《环境空气质量标准》（GB 3095-2012）中规定的污染物浓度数据有效性的最低要求（每月有效天数27天，2月25天，特殊情况如停电等除外），否则该站点考核总分为0分。 </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②</w:t>
      </w:r>
      <w:r>
        <w:rPr>
          <w:rFonts w:hint="eastAsia" w:ascii="仿宋" w:hAnsi="仿宋" w:eastAsia="仿宋" w:cs="仿宋"/>
          <w:sz w:val="28"/>
          <w:szCs w:val="28"/>
          <w:highlight w:val="none"/>
        </w:rPr>
        <w:t xml:space="preserve">数据有效率：数据有效率=校零校跨通过的天数/应运行天数*100%，计算应运行天数时，需扣除因不可抗力、外部故障导致的停运天数。 </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站点设备运行率必须≥90%，否则该站点考核总分为0分。在设备运行率满足要求下，常规站有效率必须≥90%。挥发性有机物连续自动监测站要求各组分数据有效率数据获取率应≥80%。非甲烷总烃自动监测站数据有效率不低于90%。每低一个百分点扣1分；低于上述要求10个百分点的，此项不得分。</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运行考核</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该项得分主要来源于站点现场检查，由检查人员对照评分要点进行现场评分，主要包括日常运维操作、质量保证与控制、档案和管理方面内容。</w:t>
      </w:r>
      <w:r/>
    </w:p>
    <w:p>
      <w:pPr>
        <w:pStyle w:val="889"/>
        <w:ind w:firstLine="64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服务期大于6个月的，属地环境保护主管部门于服务期中考核一次，服务期结束考核一次；服务期不足6个月的开展一次考核。考核内容及要求按照国家、省市最新文件要求执行。</w:t>
      </w:r>
      <w:r/>
    </w:p>
    <w:p>
      <w:pPr>
        <w:pStyle w:val="889"/>
        <w:ind w:firstLine="64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另外经由国家组织的相关检查出不符合项的并被通报的，每次扣10分，经由省组织的相关检查出不符合项的并被通报的，每次扣6分。纳入总体考核分数计算。</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考核分值运用</w:t>
      </w:r>
      <w:r/>
    </w:p>
    <w:p>
      <w:pPr>
        <w:ind w:firstLine="560"/>
        <w:keepLines w:val="0"/>
        <w:keepNext w:val="0"/>
        <w:pageBreakBefore w:val="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站点考核总分大于等于90分，考核结果为优秀，半年运维费可100%支付；单站点考核总分在80分（含）-90分的，考核结果为合格，以90分为基准每低一分扣500元；考核总分低于80分的，考核结果为不合格，不予支付考核期间运维费用，并终止运维合同。如出现10%及以内站点考核结果不合格，则对运维单位进行约谈，并扣除相应运维费；如出现超过10%以上站点考核结果不合格的情况，则终止运维合同。</w:t>
      </w:r>
      <w:r/>
    </w:p>
    <w:p>
      <w:pPr>
        <w:ind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（5）项目验收</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cs="仿宋"/>
          <w:sz w:val="28"/>
          <w:szCs w:val="28"/>
          <w:highlight w:val="none"/>
          <w:lang w:val="en-US" w:eastAsia="zh-CN"/>
        </w:rPr>
        <w:t xml:space="preserve">本空气自动站运维服务项目验收工作由属地生态环境局组织开展。</w:t>
      </w:r>
      <w:r/>
    </w:p>
    <w:p>
      <w:pPr>
        <w:pStyle w:val="879"/>
        <w:numPr>
          <w:ilvl w:val="0"/>
          <w:numId w:val="9"/>
        </w:numPr>
        <w:ind w:left="0" w:firstLine="0"/>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其他要求</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lang w:eastAsia="zh-CN"/>
        </w:rPr>
        <w:t xml:space="preserve">、投标人承担运维期间运维人员、仪器设备及站房等所有安全责任。</w:t>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lang w:eastAsia="zh-CN"/>
        </w:rPr>
        <w:t xml:space="preserve">、本项目由淮安市生态环境局牵头负责统筹招标，后期中标人确定后，由各县区生态环境局与中标人签订采购服务合同。</w:t>
      </w:r>
      <w:r/>
    </w:p>
    <w:p>
      <w:pPr>
        <w:pStyle w:val="87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七、</w:t>
      </w:r>
      <w:r>
        <w:rPr>
          <w:rFonts w:hint="eastAsia" w:ascii="仿宋" w:hAnsi="仿宋" w:eastAsia="仿宋"/>
          <w:bCs/>
          <w:sz w:val="28"/>
          <w:szCs w:val="28"/>
          <w:highlight w:val="none"/>
        </w:rPr>
        <w:t xml:space="preserve">商务部分</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w:t>
      </w:r>
      <w:r>
        <w:rPr>
          <w:rFonts w:hint="eastAsia" w:ascii="仿宋" w:hAnsi="仿宋" w:eastAsia="仿宋" w:cs="仿宋"/>
          <w:sz w:val="28"/>
          <w:szCs w:val="28"/>
          <w:highlight w:val="none"/>
        </w:rPr>
        <w:t xml:space="preserve">所有自动站运维截止时间都到2026</w:t>
      </w:r>
      <w:r>
        <w:rPr>
          <w:rFonts w:hint="eastAsia" w:ascii="仿宋" w:hAnsi="仿宋" w:eastAsia="仿宋" w:cs="仿宋"/>
          <w:sz w:val="28"/>
          <w:szCs w:val="28"/>
          <w:highlight w:val="none"/>
          <w:lang w:eastAsia="zh-CN"/>
        </w:rPr>
        <w:t xml:space="preserve">年</w:t>
      </w: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eastAsia="zh-CN"/>
        </w:rPr>
        <w:t xml:space="preserve">月</w:t>
      </w:r>
      <w:r>
        <w:rPr>
          <w:rFonts w:hint="eastAsia" w:ascii="仿宋" w:hAnsi="仿宋" w:eastAsia="仿宋" w:cs="仿宋"/>
          <w:sz w:val="28"/>
          <w:szCs w:val="28"/>
          <w:highlight w:val="none"/>
        </w:rPr>
        <w:t xml:space="preserve">31</w:t>
      </w:r>
      <w:r>
        <w:rPr>
          <w:rFonts w:hint="eastAsia" w:ascii="仿宋" w:hAnsi="仿宋" w:eastAsia="仿宋" w:cs="仿宋"/>
          <w:sz w:val="28"/>
          <w:szCs w:val="28"/>
          <w:highlight w:val="none"/>
          <w:lang w:eastAsia="zh-CN"/>
        </w:rPr>
        <w:t xml:space="preserve">日</w:t>
      </w:r>
      <w:r>
        <w:rPr>
          <w:rFonts w:hint="eastAsia" w:ascii="仿宋" w:hAnsi="仿宋" w:eastAsia="仿宋" w:cs="仿宋"/>
          <w:sz w:val="28"/>
          <w:szCs w:val="28"/>
          <w:highlight w:val="none"/>
        </w:rPr>
        <w:t xml:space="preserve">，不足1年的，则按各县区实际运维时间按月签订服务合同</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地点:由采购人指定。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服务期大于等于6个月的分两次付款，合同签订后，甲方收到乙方开具的发票后15日内支付中标金额的50%；履约结束后，最终价款以扣除考核扣款后价款为准，经项目验收合格且财政预算下达后，结合预算到账情况支付尾款。服务期不满6个月的，在履约结束后，最终价款以扣除考核扣款后价款为准，经项目验收合格且财政预算下达后，结合预算到账情况支付款项。</w:t>
      </w:r>
      <w:r/>
    </w:p>
    <w:p>
      <w:pPr>
        <w:jc w:val="center"/>
        <w:keepLines w:val="0"/>
        <w:keepNext w:val="0"/>
        <w:pageBreakBefore w:val="0"/>
        <w:spacing w:line="52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p>
    <w:p>
      <w:pPr>
        <w:pStyle w:val="879"/>
        <w:keepLines w:val="0"/>
        <w:keepNext w:val="0"/>
        <w:pageBreakBefore w:val="0"/>
        <w:spacing w:line="520" w:lineRule="exact"/>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879"/>
        <w:keepLines w:val="0"/>
        <w:keepNext w:val="0"/>
        <w:pageBreakBefore w:val="0"/>
        <w:spacing w:line="520" w:lineRule="exact"/>
        <w:rPr>
          <w:rFonts w:hint="eastAsia" w:ascii="黑体" w:hAnsi="黑体" w:eastAsia="黑体"/>
          <w:sz w:val="32"/>
          <w:highlight w:val="none"/>
        </w:rPr>
        <w:outlineLvl w:val="9"/>
      </w:pPr>
      <w:r>
        <w:rPr>
          <w:rFonts w:hint="eastAsia" w:ascii="黑体" w:hAnsi="黑体" w:eastAsia="黑体"/>
          <w:sz w:val="32"/>
          <w:highlight w:val="none"/>
        </w:rPr>
      </w:r>
      <w:r/>
    </w:p>
    <w:p>
      <w:pPr>
        <w:pStyle w:val="879"/>
        <w:keepLines w:val="0"/>
        <w:keepNext w:val="0"/>
        <w:pageBreakBefore w:val="0"/>
        <w:spacing w:line="520" w:lineRule="exact"/>
        <w:rPr>
          <w:rFonts w:hint="eastAsia" w:ascii="黑体" w:hAnsi="黑体" w:eastAsia="黑体"/>
          <w:sz w:val="32"/>
          <w:highlight w:val="none"/>
        </w:rPr>
        <w:outlineLvl w:val="9"/>
      </w:pPr>
      <w:r>
        <w:rPr>
          <w:rFonts w:hint="eastAsia" w:ascii="黑体" w:hAnsi="黑体" w:eastAsia="黑体"/>
          <w:sz w:val="32"/>
          <w:highlight w:val="none"/>
        </w:rPr>
      </w:r>
      <w:r/>
    </w:p>
    <w:p>
      <w:pPr>
        <w:pStyle w:val="879"/>
        <w:keepLines w:val="0"/>
        <w:keepNext w:val="0"/>
        <w:pageBreakBefore w:val="0"/>
        <w:spacing w:line="520" w:lineRule="exact"/>
        <w:rPr>
          <w:rFonts w:hint="eastAsia" w:ascii="黑体" w:hAnsi="黑体" w:eastAsia="黑体"/>
          <w:sz w:val="32"/>
          <w:highlight w:val="none"/>
        </w:rPr>
        <w:outlineLvl w:val="9"/>
      </w:pPr>
      <w:r>
        <w:rPr>
          <w:rFonts w:hint="eastAsia" w:ascii="黑体" w:hAnsi="黑体" w:eastAsia="黑体"/>
          <w:sz w:val="32"/>
          <w:highlight w:val="none"/>
        </w:rPr>
      </w:r>
      <w:r/>
    </w:p>
    <w:p>
      <w:pPr>
        <w:pStyle w:val="879"/>
        <w:keepLines w:val="0"/>
        <w:keepNext w:val="0"/>
        <w:pageBreakBefore w:val="0"/>
        <w:spacing w:line="520" w:lineRule="exact"/>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52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879"/>
        <w:keepLines w:val="0"/>
        <w:keepNext w:val="0"/>
        <w:pageBreakBefore w:val="0"/>
        <w:spacing w:line="520" w:lineRule="exact"/>
        <w:rPr>
          <w:rFonts w:hint="eastAsia" w:ascii="黑体" w:hAnsi="黑体" w:eastAsia="黑体"/>
          <w:sz w:val="32"/>
          <w:highlight w:val="none"/>
        </w:rPr>
        <w:outlineLvl w:val="9"/>
      </w:pPr>
      <w:r>
        <w:rPr>
          <w:rFonts w:hint="eastAsia" w:ascii="黑体" w:hAnsi="黑体" w:eastAsia="黑体"/>
          <w:sz w:val="32"/>
          <w:highlight w:val="none"/>
        </w:rPr>
      </w:r>
      <w:r/>
    </w:p>
    <w:p>
      <w:pPr>
        <w:pStyle w:val="879"/>
        <w:keepLines w:val="0"/>
        <w:keepNext w:val="0"/>
        <w:pageBreakBefore w:val="0"/>
        <w:spacing w:line="520" w:lineRule="exact"/>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79"/>
        <w:ind w:firstLine="1066"/>
        <w:keepLines w:val="0"/>
        <w:keepNext w:val="0"/>
        <w:pageBreakBefore w:val="0"/>
        <w:spacing w:line="520" w:lineRule="exact"/>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79"/>
        <w:ind w:firstLine="1066"/>
        <w:keepLines w:val="0"/>
        <w:keepNext w:val="0"/>
        <w:pageBreakBefore w:val="0"/>
        <w:spacing w:line="520" w:lineRule="exact"/>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52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52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52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52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52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52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52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879"/>
        <w:ind w:firstLine="0"/>
        <w:jc w:val="center"/>
        <w:keepLines w:val="0"/>
        <w:keepNext w:val="0"/>
        <w:pageBreakBefore w:val="0"/>
        <w:spacing w:line="52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87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p>
    <w:p>
      <w:pPr>
        <w:pStyle w:val="892"/>
        <w:ind w:firstLine="70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92"/>
        <w:ind w:firstLine="56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892"/>
        <w:ind w:firstLine="56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892"/>
        <w:ind w:firstLine="56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p>
    <w:p>
      <w:pPr>
        <w:pStyle w:val="892"/>
        <w:ind w:firstLine="56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892"/>
        <w:ind w:firstLine="56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892"/>
        <w:ind w:right="560" w:firstLine="2940"/>
        <w:keepLines w:val="0"/>
        <w:keepNext w:val="0"/>
        <w:pageBreakBefore w:val="0"/>
        <w:spacing w:before="0" w:after="0" w:line="52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892"/>
        <w:ind w:right="560" w:firstLine="2940"/>
        <w:keepLines w:val="0"/>
        <w:keepNext w:val="0"/>
        <w:pageBreakBefore w:val="0"/>
        <w:spacing w:before="0" w:after="0" w:line="52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892"/>
        <w:ind w:right="560" w:firstLine="2940"/>
        <w:keepLines w:val="0"/>
        <w:keepNext w:val="0"/>
        <w:pageBreakBefore w:val="0"/>
        <w:spacing w:before="0" w:after="0" w:line="52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79"/>
        <w:ind w:right="560" w:firstLine="420"/>
        <w:jc w:val="center"/>
        <w:keepLines w:val="0"/>
        <w:keepNext w:val="0"/>
        <w:pageBreakBefore w:val="0"/>
        <w:spacing w:line="52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52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52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8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5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服务要求</w:t>
            </w:r>
            <w:r/>
          </w:p>
        </w:tc>
        <w:tc>
          <w:tcPr>
            <w:tcW w:w="6759" w:type="dxa"/>
            <w:vAlign w:val="center"/>
            <w:textDirection w:val="lrTb"/>
            <w:noWrap w:val="false"/>
          </w:tcPr>
          <w:p>
            <w:pPr>
              <w:ind w:firstLine="154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按采购文件标准执行</w:t>
            </w:r>
            <w:r/>
          </w:p>
        </w:tc>
      </w:tr>
    </w:tbl>
    <w:p>
      <w:pPr>
        <w:pStyle w:val="879"/>
        <w:keepLines w:val="0"/>
        <w:keepNext w:val="0"/>
        <w:pageBreakBefore w:val="0"/>
        <w:spacing w:line="520" w:lineRule="exact"/>
        <w:rPr>
          <w:rFonts w:hint="eastAsia" w:hAnsi="宋体"/>
          <w:b/>
          <w:sz w:val="32"/>
          <w:szCs w:val="32"/>
          <w:highlight w:val="none"/>
        </w:rPr>
        <w:outlineLvl w:val="9"/>
      </w:pPr>
      <w:r/>
      <w:bookmarkStart w:id="38" w:name="_Toc157775468"/>
      <w:r/>
      <w:r/>
    </w:p>
    <w:p>
      <w:pPr>
        <w:pStyle w:val="879"/>
        <w:jc w:val="cente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879"/>
        <w:jc w:val="center"/>
        <w:keepLines w:val="0"/>
        <w:keepNext w:val="0"/>
        <w:pageBreakBefore w:val="0"/>
        <w:spacing w:line="52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875"/>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5235"/>
        <w:gridCol w:w="1005"/>
        <w:gridCol w:w="1035"/>
        <w:gridCol w:w="870"/>
        <w:gridCol w:w="810"/>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hint="eastAsia" w:ascii="仿宋" w:hAnsi="仿宋" w:eastAsia="仿宋"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服务（项目）名称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市本级11个站点（含淮安生态环境微信公众号空气质量展示模块建设）</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涟水县15个常规站</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淮阴区11个常规站</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清江浦区9个常规站</w:t>
            </w:r>
            <w:r/>
          </w:p>
          <w:p>
            <w:pPr>
              <w:pStyle w:val="879"/>
              <w:jc w:val="center"/>
              <w:keepLines w:val="0"/>
              <w:keepNext w:val="0"/>
              <w:pageBreakBefore w:val="0"/>
              <w:spacing w:line="52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金湖</w:t>
            </w:r>
            <w:r>
              <w:rPr>
                <w:rFonts w:hint="eastAsia" w:ascii="仿宋" w:hAnsi="仿宋" w:eastAsia="仿宋" w:cs="Times New Roman"/>
                <w:sz w:val="24"/>
                <w:szCs w:val="24"/>
                <w:highlight w:val="none"/>
                <w:lang w:val="en-US" w:eastAsia="zh-CN"/>
              </w:rPr>
              <w:t xml:space="preserve">7</w:t>
            </w:r>
            <w:r>
              <w:rPr>
                <w:rFonts w:hint="eastAsia" w:ascii="仿宋" w:hAnsi="仿宋" w:eastAsia="仿宋" w:cs="Times New Roman"/>
                <w:sz w:val="24"/>
                <w:szCs w:val="24"/>
                <w:highlight w:val="none"/>
              </w:rPr>
              <w:t xml:space="preserve">个常规站</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经济开发区</w:t>
            </w: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个常规站</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Times New Roman"/>
                <w:sz w:val="24"/>
                <w:szCs w:val="24"/>
                <w:highlight w:val="none"/>
              </w:rPr>
              <w:t xml:space="preserve">洪泽区</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个常规站</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Times New Roman"/>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p>
        </w:tc>
        <w:tc>
          <w:tcPr>
            <w:tcBorders>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pStyle w:val="879"/>
              <w:jc w:val="center"/>
              <w:keepLines w:val="0"/>
              <w:keepNext w:val="0"/>
              <w:pageBreakBefore w:val="0"/>
              <w:spacing w:line="520" w:lineRule="exact"/>
              <w:rPr>
                <w:rFonts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Times New Roman"/>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879"/>
              <w:jc w:val="center"/>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1030"/>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69" w:type="dxa"/>
            <w:vAlign w:val="center"/>
            <w:textDirection w:val="lrTb"/>
            <w:noWrap w:val="false"/>
          </w:tcPr>
          <w:p>
            <w:pPr>
              <w:pStyle w:val="879"/>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投标总报价（人民币：元） </w:t>
            </w:r>
            <w:r/>
          </w:p>
        </w:tc>
      </w:tr>
      <w:tr>
        <w:trPr>
          <w:jc w:val="center"/>
          <w:trHeight w:val="1030"/>
        </w:trPr>
        <w:tc>
          <w:tcPr>
            <w:gridSpan w:val="6"/>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69" w:type="dxa"/>
            <w:vAlign w:val="center"/>
            <w:textDirection w:val="lrTb"/>
            <w:noWrap w:val="false"/>
          </w:tcPr>
          <w:p>
            <w:pPr>
              <w:pStyle w:val="879"/>
              <w:jc w:val="left"/>
              <w:keepLines w:val="0"/>
              <w:keepNext w:val="0"/>
              <w:pageBreakBefore w:val="0"/>
              <w:spacing w:line="52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highlight w:val="none"/>
                <w:u w:val="single"/>
                <w:lang w:val="en-US" w:eastAsia="zh-CN"/>
              </w:rPr>
              <w:t xml:space="preserve">      </w:t>
            </w:r>
            <w:r>
              <w:rPr>
                <w:rFonts w:hint="eastAsia" w:ascii="方正魏碑_GBK" w:hAnsi="方正魏碑_GBK" w:eastAsia="方正魏碑_GBK" w:cs="方正魏碑_GBK"/>
                <w:b/>
                <w:bCs/>
                <w:color w:val="auto"/>
                <w:sz w:val="28"/>
                <w:szCs w:val="28"/>
                <w:highlight w:val="none"/>
              </w:rPr>
              <w:t xml:space="preserve">%。</w:t>
            </w:r>
            <w:r/>
          </w:p>
        </w:tc>
      </w:tr>
    </w:tbl>
    <w:p>
      <w:pPr>
        <w:pStyle w:val="879"/>
        <w:ind w:firstLine="411"/>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879"/>
        <w:ind w:firstLine="411"/>
        <w:keepLines w:val="0"/>
        <w:keepNext w:val="0"/>
        <w:pageBreakBefore w:val="0"/>
        <w:spacing w:line="52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9"/>
        <w:numPr>
          <w:ilvl w:val="0"/>
          <w:numId w:val="10"/>
        </w:numPr>
        <w:ind w:firstLine="691"/>
        <w:keepLines w:val="0"/>
        <w:keepNext w:val="0"/>
        <w:pageBreakBefore w:val="0"/>
        <w:spacing w:line="52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879"/>
        <w:numPr>
          <w:ilvl w:val="0"/>
          <w:numId w:val="10"/>
        </w:numPr>
        <w:ind w:firstLine="691"/>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879"/>
        <w:numPr>
          <w:ilvl w:val="0"/>
          <w:numId w:val="10"/>
        </w:numPr>
        <w:ind w:firstLine="691"/>
        <w:keepLines w:val="0"/>
        <w:keepNext w:val="0"/>
        <w:pageBreakBefore w:val="0"/>
        <w:spacing w:line="52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879"/>
        <w:jc w:val="center"/>
        <w:keepLines w:val="0"/>
        <w:keepNext w:val="0"/>
        <w:pageBreakBefore w:val="0"/>
        <w:spacing w:line="52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人员配备表</w:t>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076" w:type="dxa"/>
            <w:vAlign w:val="top"/>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076" w:type="dxa"/>
            <w:vAlign w:val="top"/>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1076" w:type="dxa"/>
            <w:vAlign w:val="center"/>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1215" w:type="dxa"/>
            <w:vAlign w:val="center"/>
            <w:textDirection w:val="lrTb"/>
            <w:noWrap w:val="false"/>
          </w:tcPr>
          <w:p>
            <w:pPr>
              <w:ind w:firstLine="140"/>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121" w:type="dxa"/>
            <w:vAlign w:val="center"/>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1490" w:type="dxa"/>
            <w:vAlign w:val="center"/>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624" w:type="dxa"/>
            <w:vAlign w:val="center"/>
            <w:textDirection w:val="lrTb"/>
            <w:noWrap w:val="false"/>
          </w:tcPr>
          <w:p>
            <w:pPr>
              <w:jc w:val="center"/>
              <w:keepLines w:val="0"/>
              <w:keepNext w:val="0"/>
              <w:pageBreakBefore w:val="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1072"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121"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490"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24" w:type="dxa"/>
            <w:vAlign w:val="top"/>
            <w:textDirection w:val="lrTb"/>
            <w:noWrap w:val="false"/>
          </w:tcPr>
          <w:p>
            <w:pPr>
              <w:keepLines w:val="0"/>
              <w:keepNext w:val="0"/>
              <w:pageBreakBefore w:val="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3357"/>
        <w:keepLines w:val="0"/>
        <w:keepNext w:val="0"/>
        <w:pageBreakBefore w:val="0"/>
        <w:spacing w:line="52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ind w:firstLine="420"/>
        <w:keepLines w:val="0"/>
        <w:keepNext w:val="0"/>
        <w:pageBreakBefore w:val="0"/>
        <w:spacing w:line="520" w:lineRule="exact"/>
        <w:rPr>
          <w:rFonts w:hint="eastAsia" w:ascii="宋体" w:hAnsi="宋体"/>
          <w:b/>
          <w:sz w:val="32"/>
          <w:szCs w:val="32"/>
          <w:highlight w:val="none"/>
        </w:rPr>
        <w:outlineLvl w:val="9"/>
      </w:pPr>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u w:val="single"/>
        </w:rPr>
        <w:t xml:space="preserve">        （电子签章）      </w:t>
      </w:r>
      <w:bookmarkEnd w:id="38"/>
      <w:r/>
      <w:r/>
    </w:p>
    <w:p>
      <w:pPr>
        <w:pStyle w:val="879"/>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79"/>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9" w:name="_Toc157775454"/>
      <w:r>
        <w:rPr>
          <w:rFonts w:hint="eastAsia" w:ascii="仿宋" w:hAnsi="仿宋" w:eastAsia="仿宋" w:cs="Arial"/>
          <w:b/>
          <w:bCs/>
          <w:sz w:val="32"/>
          <w:highlight w:val="none"/>
        </w:rPr>
        <w:t xml:space="preserve">六、综合评分时投标人需提供的证明文件</w:t>
      </w:r>
      <w:r/>
    </w:p>
    <w:p>
      <w:pPr>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52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52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9"/>
      <w:r/>
      <w:r/>
    </w:p>
    <w:p>
      <w:pPr>
        <w:ind w:firstLine="2891"/>
        <w:keepLines w:val="0"/>
        <w:keepNext w:val="0"/>
        <w:pageBreakBefore w:val="0"/>
        <w:spacing w:line="52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52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92"/>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52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876"/>
        <w:ind w:firstLine="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52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52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p>
    <w:p>
      <w:pPr>
        <w:pStyle w:val="876"/>
        <w:ind w:firstLine="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6"/>
        <w:ind w:firstLine="0"/>
        <w:keepLines w:val="0"/>
        <w:keepNext w:val="0"/>
        <w:pageBreakBefore w:val="0"/>
        <w:spacing w:line="52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76"/>
        <w:ind w:firstLine="0"/>
        <w:keepLines w:val="0"/>
        <w:keepNext w:val="0"/>
        <w:pageBreakBefore w:val="0"/>
        <w:spacing w:line="52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76"/>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示范格式五</w:t>
      </w:r>
      <w:r/>
    </w:p>
    <w:p>
      <w:pPr>
        <w:jc w:val="center"/>
        <w:keepLines w:val="0"/>
        <w:keepNext w:val="0"/>
        <w:pageBreakBefore w:val="0"/>
        <w:spacing w:line="52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876"/>
        <w:ind w:firstLine="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6"/>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76"/>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76"/>
        <w:ind w:firstLine="560"/>
        <w:keepLines w:val="0"/>
        <w:keepNext w:val="0"/>
        <w:pageBreakBefore w:val="0"/>
        <w:spacing w:line="52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876"/>
        <w:ind w:firstLine="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76"/>
        <w:ind w:firstLine="4933"/>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76"/>
        <w:ind w:firstLine="560"/>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r/>
      <w:r/>
    </w:p>
    <w:p>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Calibri">
    <w:panose1 w:val="020F0502020204030204"/>
  </w:font>
  <w:font w:name="黑体">
    <w:panose1 w:val="02010609060101010101"/>
  </w:font>
  <w:font w:name="仿宋_GB2312">
    <w:panose1 w:val="02010609060101010101"/>
  </w:font>
  <w:font w:name="Courier New">
    <w:panose1 w:val="02070309020205020404"/>
  </w:font>
  <w:font w:name="方正仿宋_GBK">
    <w:panose1 w:val="020B0503020202020204"/>
  </w:font>
  <w:font w:name="Adobe 仿宋 Std R">
    <w:panose1 w:val="020B0503020202020204"/>
  </w:font>
  <w:font w:name="Cambria">
    <w:panose1 w:val="02040503050406030204"/>
  </w:font>
  <w:font w:name="楷体_GB2312">
    <w:panose1 w:val="02010609060101010101"/>
  </w:font>
  <w:font w:name="宋体">
    <w:panose1 w:val="02010600030101010101"/>
  </w:font>
  <w:font w:name="Wingdings 2">
    <w:panose1 w:val="05020102010507070707"/>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5"/>
      </w:rPr>
      <w:framePr w:wrap="around" w:vAnchor="text" w:hAnchor="margin" w:xAlign="center" w:y="1"/>
    </w:pPr>
    <w:r>
      <w:fldChar w:fldCharType="begin"/>
    </w:r>
    <w:r>
      <w:rPr>
        <w:rStyle w:val="885"/>
      </w:rPr>
      <w:instrText xml:space="preserve">PAGE  </w:instrText>
    </w:r>
    <w:r>
      <w:fldChar w:fldCharType="separate"/>
    </w:r>
    <w:r>
      <w:rPr>
        <w:rStyle w:val="885"/>
      </w:rPr>
      <w:t xml:space="preserve">1</w:t>
    </w:r>
    <w: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5"/>
      </w:rPr>
      <w:framePr w:wrap="around" w:vAnchor="text" w:hAnchor="margin" w:xAlign="center" w:y="1"/>
    </w:pPr>
    <w:r>
      <w:fldChar w:fldCharType="begin"/>
    </w:r>
    <w:r>
      <w:rPr>
        <w:rStyle w:val="885"/>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9"/>
  </w:num>
  <w:num w:numId="5">
    <w:abstractNumId w:val="2"/>
  </w:num>
  <w:num w:numId="6">
    <w:abstractNumId w:val="7"/>
  </w:num>
  <w:num w:numId="7">
    <w:abstractNumId w:val="5"/>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3"/>
    <w:next w:val="873"/>
    <w:link w:val="700"/>
    <w:uiPriority w:val="9"/>
    <w:qFormat/>
    <w:pPr>
      <w:keepLines/>
      <w:keepNext/>
      <w:spacing w:before="480" w:after="200"/>
      <w:outlineLvl w:val="0"/>
    </w:pPr>
    <w:rPr>
      <w:rFonts w:ascii="Arial" w:hAnsi="Arial" w:eastAsia="Arial" w:cs="Arial"/>
      <w:sz w:val="40"/>
      <w:szCs w:val="40"/>
    </w:rPr>
  </w:style>
  <w:style w:type="character" w:styleId="700">
    <w:name w:val="Heading 1 Char"/>
    <w:basedOn w:val="874"/>
    <w:link w:val="699"/>
    <w:uiPriority w:val="9"/>
    <w:rPr>
      <w:rFonts w:ascii="Arial" w:hAnsi="Arial" w:eastAsia="Arial" w:cs="Arial"/>
      <w:sz w:val="40"/>
      <w:szCs w:val="40"/>
    </w:rPr>
  </w:style>
  <w:style w:type="paragraph" w:styleId="701">
    <w:name w:val="Heading 2"/>
    <w:basedOn w:val="873"/>
    <w:next w:val="873"/>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basedOn w:val="874"/>
    <w:link w:val="701"/>
    <w:uiPriority w:val="9"/>
    <w:rPr>
      <w:rFonts w:ascii="Arial" w:hAnsi="Arial" w:eastAsia="Arial" w:cs="Arial"/>
      <w:sz w:val="34"/>
    </w:rPr>
  </w:style>
  <w:style w:type="paragraph" w:styleId="703">
    <w:name w:val="Heading 3"/>
    <w:basedOn w:val="873"/>
    <w:next w:val="873"/>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basedOn w:val="874"/>
    <w:link w:val="703"/>
    <w:uiPriority w:val="9"/>
    <w:rPr>
      <w:rFonts w:ascii="Arial" w:hAnsi="Arial" w:eastAsia="Arial" w:cs="Arial"/>
      <w:sz w:val="30"/>
      <w:szCs w:val="30"/>
    </w:rPr>
  </w:style>
  <w:style w:type="paragraph" w:styleId="705">
    <w:name w:val="Heading 4"/>
    <w:basedOn w:val="873"/>
    <w:next w:val="873"/>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basedOn w:val="874"/>
    <w:link w:val="705"/>
    <w:uiPriority w:val="9"/>
    <w:rPr>
      <w:rFonts w:ascii="Arial" w:hAnsi="Arial" w:eastAsia="Arial" w:cs="Arial"/>
      <w:b/>
      <w:bCs/>
      <w:sz w:val="26"/>
      <w:szCs w:val="26"/>
    </w:rPr>
  </w:style>
  <w:style w:type="paragraph" w:styleId="707">
    <w:name w:val="Heading 5"/>
    <w:basedOn w:val="873"/>
    <w:next w:val="873"/>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4"/>
    <w:link w:val="707"/>
    <w:uiPriority w:val="9"/>
    <w:rPr>
      <w:rFonts w:ascii="Arial" w:hAnsi="Arial" w:eastAsia="Arial" w:cs="Arial"/>
      <w:b/>
      <w:bCs/>
      <w:sz w:val="24"/>
      <w:szCs w:val="24"/>
    </w:rPr>
  </w:style>
  <w:style w:type="paragraph" w:styleId="709">
    <w:name w:val="Heading 6"/>
    <w:basedOn w:val="873"/>
    <w:next w:val="873"/>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4"/>
    <w:link w:val="709"/>
    <w:uiPriority w:val="9"/>
    <w:rPr>
      <w:rFonts w:ascii="Arial" w:hAnsi="Arial" w:eastAsia="Arial" w:cs="Arial"/>
      <w:b/>
      <w:bCs/>
      <w:sz w:val="22"/>
      <w:szCs w:val="22"/>
    </w:rPr>
  </w:style>
  <w:style w:type="paragraph" w:styleId="711">
    <w:name w:val="Heading 7"/>
    <w:basedOn w:val="873"/>
    <w:next w:val="873"/>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4"/>
    <w:link w:val="711"/>
    <w:uiPriority w:val="9"/>
    <w:rPr>
      <w:rFonts w:ascii="Arial" w:hAnsi="Arial" w:eastAsia="Arial" w:cs="Arial"/>
      <w:b/>
      <w:bCs/>
      <w:i/>
      <w:iCs/>
      <w:sz w:val="22"/>
      <w:szCs w:val="22"/>
    </w:rPr>
  </w:style>
  <w:style w:type="paragraph" w:styleId="713">
    <w:name w:val="Heading 8"/>
    <w:basedOn w:val="873"/>
    <w:next w:val="873"/>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4"/>
    <w:link w:val="713"/>
    <w:uiPriority w:val="9"/>
    <w:rPr>
      <w:rFonts w:ascii="Arial" w:hAnsi="Arial" w:eastAsia="Arial" w:cs="Arial"/>
      <w:i/>
      <w:iCs/>
      <w:sz w:val="22"/>
      <w:szCs w:val="22"/>
    </w:rPr>
  </w:style>
  <w:style w:type="paragraph" w:styleId="715">
    <w:name w:val="Heading 9"/>
    <w:basedOn w:val="873"/>
    <w:next w:val="873"/>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4"/>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3"/>
    <w:next w:val="873"/>
    <w:link w:val="719"/>
    <w:uiPriority w:val="10"/>
    <w:qFormat/>
    <w:pPr>
      <w:contextualSpacing/>
      <w:spacing w:before="300" w:after="200"/>
    </w:pPr>
    <w:rPr>
      <w:sz w:val="48"/>
      <w:szCs w:val="48"/>
    </w:rPr>
  </w:style>
  <w:style w:type="character" w:styleId="719">
    <w:name w:val="Title Char"/>
    <w:basedOn w:val="874"/>
    <w:link w:val="718"/>
    <w:uiPriority w:val="10"/>
    <w:rPr>
      <w:sz w:val="48"/>
      <w:szCs w:val="48"/>
    </w:rPr>
  </w:style>
  <w:style w:type="paragraph" w:styleId="720">
    <w:name w:val="Subtitle"/>
    <w:basedOn w:val="873"/>
    <w:next w:val="873"/>
    <w:link w:val="721"/>
    <w:uiPriority w:val="11"/>
    <w:qFormat/>
    <w:pPr>
      <w:spacing w:before="200" w:after="200"/>
    </w:pPr>
    <w:rPr>
      <w:sz w:val="24"/>
      <w:szCs w:val="24"/>
    </w:rPr>
  </w:style>
  <w:style w:type="character" w:styleId="721">
    <w:name w:val="Subtitle Char"/>
    <w:basedOn w:val="874"/>
    <w:link w:val="720"/>
    <w:uiPriority w:val="11"/>
    <w:rPr>
      <w:sz w:val="24"/>
      <w:szCs w:val="24"/>
    </w:rPr>
  </w:style>
  <w:style w:type="paragraph" w:styleId="722">
    <w:name w:val="Quote"/>
    <w:basedOn w:val="873"/>
    <w:next w:val="873"/>
    <w:link w:val="723"/>
    <w:uiPriority w:val="29"/>
    <w:qFormat/>
    <w:pPr>
      <w:ind w:left="720" w:right="720"/>
    </w:pPr>
    <w:rPr>
      <w:i/>
    </w:rPr>
  </w:style>
  <w:style w:type="character" w:styleId="723">
    <w:name w:val="Quote Char"/>
    <w:link w:val="722"/>
    <w:uiPriority w:val="29"/>
    <w:rPr>
      <w:i/>
    </w:rPr>
  </w:style>
  <w:style w:type="paragraph" w:styleId="724">
    <w:name w:val="Intense Quote"/>
    <w:basedOn w:val="873"/>
    <w:next w:val="873"/>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4"/>
    <w:link w:val="881"/>
    <w:uiPriority w:val="99"/>
  </w:style>
  <w:style w:type="character" w:styleId="727">
    <w:name w:val="Footer Char"/>
    <w:basedOn w:val="874"/>
    <w:link w:val="880"/>
    <w:uiPriority w:val="99"/>
  </w:style>
  <w:style w:type="paragraph" w:styleId="728">
    <w:name w:val="Caption"/>
    <w:basedOn w:val="873"/>
    <w:next w:val="873"/>
    <w:uiPriority w:val="35"/>
    <w:semiHidden/>
    <w:unhideWhenUsed/>
    <w:qFormat/>
    <w:pPr>
      <w:spacing w:line="276" w:lineRule="auto"/>
    </w:pPr>
    <w:rPr>
      <w:b/>
      <w:bCs/>
      <w:color w:val="4f81bd" w:themeColor="accent1"/>
      <w:sz w:val="18"/>
      <w:szCs w:val="18"/>
    </w:rPr>
  </w:style>
  <w:style w:type="character" w:styleId="729">
    <w:name w:val="Caption Char"/>
    <w:basedOn w:val="728"/>
    <w:link w:val="880"/>
    <w:uiPriority w:val="99"/>
  </w:style>
  <w:style w:type="table" w:styleId="730">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6">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7">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8">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9">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0">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1">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1">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2">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3">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4">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5">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6">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9">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0">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1">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2">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3">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2">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3">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4">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5">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6">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7">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9">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0">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1">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2">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3">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4">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6">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7">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8">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9">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0">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1">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4"/>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4"/>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874" w:default="1">
    <w:name w:val="Default Paragraph Font"/>
    <w:uiPriority w:val="0"/>
    <w:semiHidden/>
  </w:style>
  <w:style w:type="table" w:styleId="875" w:default="1">
    <w:name w:val="Normal Table"/>
    <w:uiPriority w:val="0"/>
    <w:semiHidden/>
    <w:tblPr>
      <w:tblCellMar>
        <w:left w:w="108" w:type="dxa"/>
        <w:top w:w="0" w:type="dxa"/>
        <w:right w:w="108" w:type="dxa"/>
        <w:bottom w:w="0" w:type="dxa"/>
      </w:tblCellMar>
    </w:tblPr>
  </w:style>
  <w:style w:type="paragraph" w:styleId="876">
    <w:name w:val="Normal Indent"/>
    <w:basedOn w:val="873"/>
    <w:uiPriority w:val="0"/>
    <w:qFormat/>
    <w:pPr>
      <w:ind w:firstLine="420"/>
    </w:pPr>
    <w:rPr>
      <w:szCs w:val="20"/>
    </w:rPr>
  </w:style>
  <w:style w:type="paragraph" w:styleId="877">
    <w:name w:val="Body Text Indent"/>
    <w:basedOn w:val="873"/>
    <w:next w:val="878"/>
    <w:uiPriority w:val="0"/>
    <w:qFormat/>
    <w:pPr>
      <w:ind w:firstLine="630"/>
    </w:pPr>
    <w:rPr>
      <w:rFonts w:ascii="楷体_GB2312" w:eastAsia="楷体_GB2312"/>
      <w:sz w:val="32"/>
      <w:szCs w:val="20"/>
    </w:rPr>
  </w:style>
  <w:style w:type="paragraph" w:styleId="878">
    <w:name w:val="envelope return"/>
    <w:basedOn w:val="873"/>
    <w:uiPriority w:val="99"/>
    <w:unhideWhenUsed/>
    <w:qFormat/>
    <w:rPr>
      <w:rFonts w:ascii="Cambria" w:hAnsi="Cambria"/>
    </w:rPr>
  </w:style>
  <w:style w:type="paragraph" w:styleId="879">
    <w:name w:val="Plain Text"/>
    <w:basedOn w:val="873"/>
    <w:uiPriority w:val="0"/>
    <w:qFormat/>
    <w:rPr>
      <w:rFonts w:ascii="宋体" w:hAnsi="Courier New"/>
      <w:szCs w:val="20"/>
    </w:rPr>
  </w:style>
  <w:style w:type="paragraph" w:styleId="880">
    <w:name w:val="Footer"/>
    <w:basedOn w:val="873"/>
    <w:uiPriority w:val="0"/>
    <w:qFormat/>
    <w:pPr>
      <w:jc w:val="left"/>
      <w:tabs>
        <w:tab w:val="center" w:pos="4153" w:leader="none"/>
        <w:tab w:val="right" w:pos="8306" w:leader="none"/>
      </w:tabs>
    </w:pPr>
    <w:rPr>
      <w:sz w:val="18"/>
      <w:szCs w:val="18"/>
    </w:rPr>
  </w:style>
  <w:style w:type="paragraph" w:styleId="881">
    <w:name w:val="Header"/>
    <w:basedOn w:val="873"/>
    <w:uiPriority w:val="0"/>
    <w:qFormat/>
    <w:pPr>
      <w:jc w:val="center"/>
      <w:tabs>
        <w:tab w:val="center" w:pos="4153" w:leader="none"/>
        <w:tab w:val="right" w:pos="8306" w:leader="none"/>
      </w:tabs>
      <w:pBdr>
        <w:bottom w:val="single" w:color="auto" w:sz="6" w:space="1"/>
      </w:pBdr>
    </w:pPr>
    <w:rPr>
      <w:sz w:val="18"/>
      <w:szCs w:val="18"/>
    </w:rPr>
  </w:style>
  <w:style w:type="paragraph" w:styleId="882">
    <w:name w:val="Body Text 2"/>
    <w:basedOn w:val="873"/>
    <w:uiPriority w:val="0"/>
    <w:qFormat/>
    <w:pPr>
      <w:spacing w:line="440" w:lineRule="exact"/>
    </w:pPr>
    <w:rPr>
      <w:rFonts w:ascii="楷体_GB2312" w:eastAsia="楷体_GB2312"/>
      <w:sz w:val="28"/>
    </w:rPr>
  </w:style>
  <w:style w:type="paragraph" w:styleId="883">
    <w:name w:val="Body Text First Indent 2"/>
    <w:basedOn w:val="877"/>
    <w:uiPriority w:val="0"/>
    <w:qFormat/>
    <w:pPr>
      <w:ind w:left="420" w:firstLine="420"/>
      <w:spacing w:after="120"/>
      <w:widowControl/>
    </w:pPr>
    <w:rPr>
      <w:rFonts w:ascii="仿宋_GB2312" w:eastAsia="仿宋_GB2312"/>
      <w:color w:val="ff6600"/>
      <w:sz w:val="21"/>
    </w:rPr>
  </w:style>
  <w:style w:type="table" w:styleId="884">
    <w:name w:val="Table Grid"/>
    <w:basedOn w:val="875"/>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page number"/>
    <w:uiPriority w:val="0"/>
    <w:qFormat/>
  </w:style>
  <w:style w:type="paragraph" w:styleId="88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87">
    <w:name w:val="List Paragraph"/>
    <w:basedOn w:val="873"/>
    <w:uiPriority w:val="34"/>
    <w:qFormat/>
    <w:pPr>
      <w:contextualSpacing/>
      <w:ind w:left="720"/>
    </w:pPr>
  </w:style>
  <w:style w:type="paragraph" w:styleId="888" w:customStyle="1">
    <w:name w:val="表蕊"/>
    <w:basedOn w:val="873"/>
    <w:uiPriority w:val="0"/>
    <w:qFormat/>
    <w:pPr>
      <w:jc w:val="left"/>
      <w:spacing w:line="320" w:lineRule="atLeast"/>
    </w:pPr>
    <w:rPr>
      <w:rFonts w:eastAsia="楷体_GB2312"/>
      <w:spacing w:val="-10"/>
      <w:szCs w:val="20"/>
    </w:rPr>
  </w:style>
  <w:style w:type="paragraph" w:styleId="889" w:customStyle="1">
    <w:name w:val="正文1"/>
    <w:basedOn w:val="890"/>
    <w:next w:val="873"/>
    <w:uiPriority w:val="99"/>
    <w:qFormat/>
    <w:pPr>
      <w:contextualSpacing/>
      <w:ind w:firstLine="200"/>
      <w:spacing w:before="120" w:after="120" w:line="180" w:lineRule="auto"/>
      <w:tabs>
        <w:tab w:val="left" w:pos="1110" w:leader="none"/>
      </w:tabs>
    </w:pPr>
    <w:rPr>
      <w:rFonts w:ascii="Calibri" w:eastAsia="Adobe 仿宋 Std R"/>
    </w:rPr>
  </w:style>
  <w:style w:type="paragraph" w:styleId="890" w:customStyle="1">
    <w:name w:val="正文111"/>
    <w:next w:val="891"/>
    <w:uiPriority w:val="0"/>
    <w:qFormat/>
    <w:pPr>
      <w:jc w:val="both"/>
      <w:widowControl w:val="off"/>
    </w:pPr>
    <w:rPr>
      <w:rFonts w:ascii="Times New Roman" w:hAnsi="Times New Roman" w:eastAsia="宋体" w:cs="Times New Roman"/>
      <w:sz w:val="21"/>
      <w:szCs w:val="24"/>
      <w:lang w:val="en-US" w:eastAsia="zh-CN" w:bidi="ar-SA"/>
    </w:rPr>
  </w:style>
  <w:style w:type="paragraph" w:styleId="891" w:customStyle="1">
    <w:name w:val="正文文本缩进11"/>
    <w:basedOn w:val="890"/>
    <w:uiPriority w:val="0"/>
    <w:qFormat/>
    <w:pPr>
      <w:ind w:firstLine="425"/>
      <w:spacing w:line="360" w:lineRule="auto"/>
    </w:pPr>
  </w:style>
  <w:style w:type="paragraph" w:styleId="892" w:customStyle="1">
    <w:name w:val="普通正文"/>
    <w:basedOn w:val="873"/>
    <w:uiPriority w:val="0"/>
    <w:qFormat/>
    <w:pPr>
      <w:ind w:firstLine="480"/>
      <w:jc w:val="left"/>
      <w:spacing w:before="120" w:after="120" w:line="360" w:lineRule="auto"/>
    </w:pPr>
    <w:rPr>
      <w:rFonts w:ascii="Arial" w:hAnsi="Arial"/>
      <w:sz w:val="24"/>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3</cp:revision>
  <dcterms:created xsi:type="dcterms:W3CDTF">2026-02-28T02:18:00Z</dcterms:created>
  <dcterms:modified xsi:type="dcterms:W3CDTF">2026-02-28T02:33:29Z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7EFBD063513D4F3DBF0CEFA60F0E8C76_11</vt:lpwstr>
  </property>
  <property fmtid="{D5CDD505-2E9C-101B-9397-08002B2CF9AE}" pid="4" name="KSOTemplateDocerSaveRecord">
    <vt:lpwstr>eyJoZGlkIjoiNGQzMTFiMjAwOTBiNjU3YzcwNGY0NGMyNTAxMDdjMGQiLCJ1c2VySWQiOiIyMTk1MDAyNyJ9</vt:lpwstr>
  </property>
</Properties>
</file>