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jc w:val="center"/>
        <w:spacing w:before="120" w:after="120" w:line="360" w:lineRule="auto"/>
        <w:rPr>
          <w:rFonts w:ascii="Arial" w:hAnsi="Arial"/>
          <w:b/>
          <w:bCs/>
          <w:color w:val="000000"/>
          <w:sz w:val="44"/>
          <w:szCs w:val="44"/>
          <w:highlight w:val="none"/>
        </w:rPr>
      </w:pPr>
      <w:r>
        <w:rPr>
          <w:rFonts w:hint="eastAsia" w:ascii="Arial" w:hAnsi="Arial"/>
          <w:b/>
          <w:bCs/>
          <w:color w:val="000000"/>
          <w:sz w:val="44"/>
          <w:szCs w:val="44"/>
          <w:highlight w:val="none"/>
        </w:rPr>
        <w:t xml:space="preserve">（更正稿</w:t>
      </w:r>
      <w:r>
        <w:rPr>
          <w:rFonts w:hint="eastAsia" w:ascii="Arial" w:hAnsi="Arial"/>
          <w:b/>
          <w:bCs/>
          <w:color w:val="000000"/>
          <w:sz w:val="44"/>
          <w:szCs w:val="44"/>
          <w:highlight w:val="none"/>
          <w:lang w:val="en-US" w:eastAsia="zh-CN"/>
        </w:rPr>
        <w:t xml:space="preserve">2</w:t>
      </w:r>
      <w:r>
        <w:rPr>
          <w:rFonts w:hint="eastAsia" w:ascii="Arial" w:hAnsi="Arial"/>
          <w:b/>
          <w:bCs/>
          <w:color w:val="000000"/>
          <w:sz w:val="44"/>
          <w:szCs w:val="44"/>
          <w:highlight w:val="none"/>
        </w:rPr>
        <w:t xml:space="preserve">）</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项目名称：扬州大学附属医院西区老旧电梯更换项目</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项目编号：JSZC-320000-SCZX-G2025-0580</w:t>
      </w:r>
      <w:r/>
    </w:p>
    <w:p>
      <w:pPr>
        <w:ind w:left="2800" w:hanging="2800"/>
        <w:rPr>
          <w:b/>
          <w:sz w:val="28"/>
          <w:szCs w:val="28"/>
          <w:highlight w:val="none"/>
        </w:rPr>
      </w:pPr>
      <w:r>
        <w:rPr>
          <w:b/>
          <w:sz w:val="28"/>
          <w:szCs w:val="28"/>
          <w:highlight w:val="none"/>
        </w:rPr>
      </w:r>
      <w:r/>
    </w:p>
    <w:p>
      <w:pPr>
        <w:ind w:left="2295" w:hanging="1560"/>
        <w:jc w:val="center"/>
        <w:rPr>
          <w:b/>
          <w:color w:val="ff0000"/>
          <w:sz w:val="24"/>
          <w:szCs w:val="24"/>
          <w:highlight w:val="none"/>
        </w:rPr>
      </w:pPr>
      <w:r>
        <w:rPr>
          <w:b/>
          <w:color w:val="ff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2026年1月</w:t>
      </w:r>
      <w:r/>
    </w:p>
    <w:p>
      <w:pPr>
        <w:jc w:val="left"/>
        <w:spacing w:before="120" w:after="120" w:line="360" w:lineRule="auto"/>
        <w:rPr>
          <w:rFonts w:ascii="Arial" w:hAnsi="Arial"/>
          <w:color w:val="000000"/>
          <w:sz w:val="24"/>
          <w:szCs w:val="24"/>
          <w:highlight w:val="none"/>
          <w:u w:val="single"/>
        </w:rPr>
      </w:pPr>
      <w:r>
        <w:rPr>
          <w:rFonts w:ascii="Arial" w:hAnsi="Arial"/>
          <w:color w:val="000000"/>
          <w:sz w:val="24"/>
          <w:szCs w:val="24"/>
          <w:highlight w:val="none"/>
          <w:u w:val="single"/>
        </w:rPr>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4"/>
        </w:numPr>
        <w:spacing w:line="480" w:lineRule="auto"/>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……………………………………3</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………………………………7</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…………………………………19</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…………………………………48</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……………………76</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……………………………80</w:t>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keepNext/>
        <w:rPr>
          <w:rFonts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受扬州大学附属医院的委托，江苏省政府采购中心就扬州大学附属医院西区老旧电梯更换项目(JSZC-320000-SCZX-G2025-0580)项目进行公开招标采购，欢迎符合条件的供应商投标。</w:t>
      </w:r>
      <w:r/>
    </w:p>
    <w:p>
      <w:pPr>
        <w:ind w:firstLine="480"/>
        <w:spacing w:line="4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扬州大学附属医院西区老旧电梯更换项目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年2月</w:t>
      </w:r>
      <w:r>
        <w:rPr>
          <w:rFonts w:hint="eastAsia" w:ascii="宋体" w:hAnsi="宋体"/>
          <w:bCs/>
          <w:color w:val="000000"/>
          <w:sz w:val="24"/>
          <w:szCs w:val="24"/>
          <w:highlight w:val="none"/>
          <w:u w:val="single"/>
          <w:lang w:val="en-US" w:eastAsia="zh-CN"/>
        </w:rPr>
        <w:t xml:space="preserve">26</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line="460" w:lineRule="exact"/>
        <w:rPr>
          <w:b/>
          <w:bCs/>
          <w:color w:val="000000"/>
          <w:sz w:val="32"/>
          <w:szCs w:val="32"/>
          <w:highlight w:val="none"/>
        </w:rPr>
        <w:outlineLvl w:val="2"/>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1.项目编号：JSZC-320000-SCZX-G2025-0580</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2.项目名称：扬州大学附属医院西区老旧电梯更换</w:t>
      </w:r>
      <w:bookmarkEnd w:id="11"/>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3.预算金额</w:t>
      </w:r>
      <w:r/>
    </w:p>
    <w:tbl>
      <w:tblPr>
        <w:tblStyle w:val="722"/>
        <w:tblW w:w="0" w:type="auto"/>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5965"/>
      </w:tblGrid>
      <w:tr>
        <w:trPr/>
        <w:tc>
          <w:tcPr>
            <w:tcW w:w="2467"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5965"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预算</w:t>
            </w:r>
            <w:r>
              <w:rPr>
                <w:rFonts w:ascii="宋体" w:hAnsi="宋体"/>
                <w:sz w:val="24"/>
                <w:szCs w:val="24"/>
                <w:highlight w:val="none"/>
              </w:rPr>
              <w:t xml:space="preserve">金额</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2467"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5965"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588</w:t>
            </w:r>
            <w:r/>
          </w:p>
        </w:tc>
      </w:tr>
    </w:tbl>
    <w:p>
      <w:pPr>
        <w:ind w:firstLine="480"/>
        <w:spacing w:line="460" w:lineRule="exact"/>
        <w:rPr>
          <w:rFonts w:ascii="宋体" w:hAnsi="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p>
    <w:tbl>
      <w:tblPr>
        <w:tblStyle w:val="72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5"/>
        <w:gridCol w:w="3582"/>
        <w:gridCol w:w="3182"/>
      </w:tblGrid>
      <w:tr>
        <w:trPr/>
        <w:tc>
          <w:tcPr>
            <w:tcW w:w="1685"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3582"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是否</w:t>
            </w:r>
            <w:r>
              <w:rPr>
                <w:rFonts w:ascii="宋体" w:hAnsi="宋体"/>
                <w:sz w:val="24"/>
                <w:szCs w:val="24"/>
                <w:highlight w:val="none"/>
              </w:rPr>
              <w:t xml:space="preserve">设定最高</w:t>
            </w:r>
            <w:r>
              <w:rPr>
                <w:rFonts w:hint="eastAsia" w:ascii="宋体" w:hAnsi="宋体"/>
                <w:sz w:val="24"/>
                <w:szCs w:val="24"/>
                <w:highlight w:val="none"/>
              </w:rPr>
              <w:t xml:space="preserve">限价</w:t>
            </w: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3182"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rHeight w:val="410"/>
        </w:trPr>
        <w:tc>
          <w:tcPr>
            <w:tcW w:w="1685"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358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是</w:t>
            </w:r>
            <w:r/>
          </w:p>
        </w:tc>
        <w:tc>
          <w:tcPr>
            <w:tcW w:w="318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550</w:t>
            </w:r>
            <w:r/>
          </w:p>
        </w:tc>
      </w:tr>
    </w:tbl>
    <w:p>
      <w:pPr>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5.采购需求(简介)：本项目位于扬州市邗江中路368号，对西区住院楼2#梯-9#梯、行政楼北电梯、手术室货梯、门急诊电梯、门诊扶梯、食堂电梯共计19部电梯</w:t>
      </w:r>
      <w:r>
        <w:rPr>
          <w:rFonts w:ascii="宋体" w:hAnsi="宋体"/>
          <w:color w:val="000000"/>
          <w:sz w:val="24"/>
          <w:szCs w:val="24"/>
          <w:highlight w:val="none"/>
        </w:rPr>
        <w:t xml:space="preserve">分期启动</w:t>
      </w:r>
      <w:r>
        <w:rPr>
          <w:rFonts w:hint="eastAsia" w:ascii="宋体" w:hAnsi="宋体"/>
          <w:color w:val="000000"/>
          <w:sz w:val="24"/>
          <w:szCs w:val="24"/>
          <w:highlight w:val="none"/>
        </w:rPr>
        <w:t xml:space="preserve">电梯更换</w:t>
      </w:r>
      <w:r>
        <w:rPr>
          <w:rFonts w:ascii="宋体" w:hAnsi="宋体"/>
          <w:color w:val="000000"/>
          <w:sz w:val="24"/>
          <w:szCs w:val="24"/>
          <w:highlight w:val="none"/>
        </w:rPr>
        <w:t xml:space="preserve">工作，要求将原电梯拆除，施工安装新电梯（含对现有电梯井道完善等一切工作内容）</w:t>
      </w:r>
      <w:r>
        <w:rPr>
          <w:rFonts w:hint="eastAsia" w:ascii="宋体" w:hAnsi="宋体" w:cs="宋体"/>
          <w:color w:val="000000"/>
          <w:sz w:val="24"/>
          <w:szCs w:val="24"/>
          <w:highlight w:val="none"/>
        </w:rPr>
        <w:t xml:space="preserve">（详细内容见本招标文件第四章）</w:t>
      </w:r>
      <w:r/>
    </w:p>
    <w:p>
      <w:pPr>
        <w:ind w:firstLine="480"/>
        <w:spacing w:line="400" w:lineRule="exact"/>
        <w:rPr>
          <w:rFonts w:ascii="宋体" w:hAnsi="宋体"/>
          <w:color w:val="000000"/>
          <w:sz w:val="24"/>
          <w:szCs w:val="24"/>
          <w:highlight w:val="none"/>
          <w:u w:val="single"/>
        </w:rPr>
      </w:pPr>
      <w:r>
        <w:rPr>
          <w:rFonts w:hint="eastAsia" w:ascii="宋体" w:hAnsi="宋体"/>
          <w:sz w:val="24"/>
          <w:szCs w:val="24"/>
          <w:highlight w:val="none"/>
        </w:rPr>
        <w:t xml:space="preserve">6.合同履行期限：合同签订后一年期内分三批次交货，第一批次合同签订后45天内到货，第二批次供货在第一批货安装验收完成后15天内到货，第三批次供货在第二批货安装验收完成后15天内到货。最终送货安装顺序由采购人决定。</w:t>
      </w:r>
      <w:r/>
    </w:p>
    <w:p>
      <w:pPr>
        <w:ind w:firstLine="496"/>
        <w:keepLines/>
        <w:keepNext/>
        <w:spacing w:line="460" w:lineRule="exact"/>
        <w:rPr>
          <w:b/>
          <w:bCs/>
          <w:color w:val="000000"/>
          <w:sz w:val="32"/>
          <w:szCs w:val="32"/>
          <w:highlight w:val="none"/>
        </w:rPr>
        <w:outlineLvl w:val="2"/>
      </w:pPr>
      <w:r/>
      <w:bookmarkStart w:id="12" w:name="_Toc35393622"/>
      <w:r/>
      <w:bookmarkStart w:id="13" w:name="_Toc28359003"/>
      <w:r/>
      <w:bookmarkStart w:id="14" w:name="_Toc35393791"/>
      <w:r/>
      <w:bookmarkStart w:id="15" w:name="_Toc38985264"/>
      <w:r/>
      <w:bookmarkStart w:id="16" w:name="_Toc28359080"/>
      <w:r>
        <w:rPr>
          <w:rFonts w:hint="eastAsia"/>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60" w:lineRule="exact"/>
        <w:rPr>
          <w:rFonts w:ascii="宋体" w:hAnsi="宋体"/>
          <w:color w:val="000000"/>
          <w:sz w:val="28"/>
          <w:szCs w:val="28"/>
          <w:highlight w:val="none"/>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 2024年度或2025年度的财务状况报告（成立不满一年无需提供）；</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60" w:lineRule="exact"/>
        <w:rPr>
          <w:rFonts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60" w:lineRule="exact"/>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p>
    <w:tbl>
      <w:tblPr>
        <w:tblStyle w:val="722"/>
        <w:tblW w:w="8884"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3492"/>
        <w:gridCol w:w="4042"/>
      </w:tblGrid>
      <w:tr>
        <w:trPr/>
        <w:tc>
          <w:tcPr>
            <w:tcW w:w="1350"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349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是否接受联合体</w:t>
            </w:r>
            <w:r>
              <w:rPr>
                <w:rFonts w:ascii="宋体" w:hAnsi="宋体"/>
                <w:sz w:val="24"/>
                <w:szCs w:val="24"/>
                <w:highlight w:val="none"/>
              </w:rPr>
              <w:t xml:space="preserve">投标（</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404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该采购包中</w:t>
            </w:r>
            <w:r>
              <w:rPr>
                <w:rFonts w:ascii="宋体" w:hAnsi="宋体"/>
                <w:sz w:val="24"/>
                <w:szCs w:val="24"/>
                <w:highlight w:val="none"/>
              </w:rPr>
              <w:t xml:space="preserve">联合体成员数量</w:t>
            </w:r>
            <w:r>
              <w:rPr>
                <w:rFonts w:hint="eastAsia" w:ascii="宋体" w:hAnsi="宋体"/>
                <w:sz w:val="24"/>
                <w:szCs w:val="24"/>
                <w:highlight w:val="none"/>
              </w:rPr>
              <w:t xml:space="preserve">上限</w:t>
            </w:r>
            <w:r/>
          </w:p>
        </w:tc>
      </w:tr>
      <w:tr>
        <w:trPr/>
        <w:tc>
          <w:tcPr>
            <w:tcW w:w="1350"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349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否</w:t>
            </w:r>
            <w:r/>
          </w:p>
        </w:tc>
        <w:tc>
          <w:tcPr>
            <w:tcW w:w="404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w:t>
            </w:r>
            <w:r/>
          </w:p>
        </w:tc>
      </w:tr>
    </w:tbl>
    <w:p>
      <w:pPr>
        <w:ind w:firstLine="560"/>
        <w:spacing w:line="46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22"/>
        <w:tblW w:w="8847"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7347"/>
      </w:tblGrid>
      <w:tr>
        <w:trPr/>
        <w:tc>
          <w:tcPr>
            <w:tcW w:w="1500"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7347"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p>
        </w:tc>
      </w:tr>
      <w:tr>
        <w:trPr/>
        <w:tc>
          <w:tcPr>
            <w:tcW w:w="1500"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7347" w:type="dxa"/>
            <w:textDirection w:val="lrTb"/>
            <w:noWrap/>
          </w:tcPr>
          <w:p>
            <w:pPr>
              <w:jc w:val="left"/>
              <w:spacing w:line="460" w:lineRule="exact"/>
              <w:rPr>
                <w:rFonts w:ascii="宋体" w:hAnsi="宋体"/>
                <w:sz w:val="24"/>
                <w:szCs w:val="24"/>
                <w:highlight w:val="none"/>
              </w:rPr>
            </w:pPr>
            <w:r>
              <w:rPr>
                <w:rFonts w:hint="eastAsia" w:ascii="宋体" w:hAnsi="宋体"/>
                <w:sz w:val="24"/>
                <w:szCs w:val="24"/>
                <w:highlight w:val="none"/>
              </w:rPr>
              <w:t xml:space="preserve">（1）投标人如为电梯制造商，须具有效期内的特种设备安装改造维修许可证（电梯）资质和特种设备制造许可证资质（电梯）或具有新证《中华人民共和国特种设备生产许可证》，其许可子项目需包含自动扶梯与自动人行道安装、曳引驱动乘客电梯安装、曳引驱动载货电梯安装； </w:t>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2）投标人如为经销商或代理商，须具有有效期内的特种设备安装改造维修许可证（电梯）资质或新证《中华人民共和国特种设备生产许可证》（含安装、维修），并同时提供所投电梯制造商有效期内的特种设备制造许可证资质（电梯）或者新证《中华人民共和国特种设备生产许可证》，其许可子项目需包含自动扶梯与自动人行道安装、曳引驱动乘客电梯安装、曳引驱动载货电梯安装。</w:t>
            </w:r>
            <w:r/>
          </w:p>
        </w:tc>
      </w:tr>
    </w:tbl>
    <w:p>
      <w:pPr>
        <w:ind w:firstLine="496"/>
        <w:keepLines/>
        <w:keepNext/>
        <w:spacing w:line="460" w:lineRule="exact"/>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39"/>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39"/>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line="460" w:lineRule="exact"/>
        <w:rPr>
          <w:b/>
          <w:bCs/>
          <w:color w:val="000000"/>
          <w:sz w:val="32"/>
          <w:szCs w:val="32"/>
          <w:highlight w:val="none"/>
        </w:rPr>
        <w:outlineLvl w:val="2"/>
      </w:pPr>
      <w:r/>
      <w:bookmarkStart w:id="22" w:name="_Toc28359082"/>
      <w:r/>
      <w:bookmarkStart w:id="23" w:name="_Toc28359005"/>
      <w:r/>
      <w:bookmarkStart w:id="24" w:name="_Toc35393793"/>
      <w:r/>
      <w:bookmarkStart w:id="25" w:name="_Toc35393624"/>
      <w:r/>
      <w:bookmarkStart w:id="26" w:name="_Toc38985266"/>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
    </w:p>
    <w:p>
      <w:pPr>
        <w:ind w:firstLine="480"/>
        <w:spacing w:line="46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26</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rPr>
        <w:t xml:space="preserve">30</w:t>
      </w:r>
      <w:r>
        <w:rPr>
          <w:rFonts w:hint="eastAsia" w:ascii="宋体" w:hAnsi="宋体"/>
          <w:bCs/>
          <w:color w:val="000000"/>
          <w:sz w:val="24"/>
          <w:szCs w:val="24"/>
          <w:highlight w:val="none"/>
        </w:rPr>
        <w:t xml:space="preserve">分（北京时间）。</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496"/>
        <w:keepLines/>
        <w:keepNext/>
        <w:spacing w:line="460" w:lineRule="exact"/>
        <w:rPr>
          <w:b/>
          <w:bCs/>
          <w:color w:val="000000"/>
          <w:sz w:val="32"/>
          <w:szCs w:val="32"/>
          <w:highlight w:val="none"/>
        </w:rPr>
        <w:outlineLvl w:val="2"/>
      </w:pPr>
      <w:r/>
      <w:bookmarkStart w:id="27" w:name="_Toc28359084"/>
      <w:r/>
      <w:bookmarkStart w:id="28" w:name="_Toc35393625"/>
      <w:r/>
      <w:bookmarkStart w:id="29" w:name="_Toc38985267"/>
      <w:r/>
      <w:bookmarkStart w:id="30" w:name="_Toc28359007"/>
      <w:r/>
      <w:bookmarkStart w:id="31" w:name="_Toc35393794"/>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ind w:firstLine="496"/>
        <w:keepLines/>
        <w:keepNext/>
        <w:spacing w:line="460" w:lineRule="exact"/>
        <w:rPr>
          <w:b/>
          <w:bCs/>
          <w:color w:val="000000"/>
          <w:sz w:val="32"/>
          <w:szCs w:val="32"/>
          <w:highlight w:val="none"/>
        </w:rPr>
        <w:outlineLvl w:val="2"/>
      </w:pPr>
      <w:r/>
      <w:bookmarkStart w:id="32" w:name="_Toc35393795"/>
      <w:r/>
      <w:bookmarkStart w:id="33" w:name="_Toc35393626"/>
      <w:r/>
      <w:bookmarkStart w:id="34" w:name="_Toc38985268"/>
      <w:r>
        <w:rPr>
          <w:rFonts w:hint="eastAsia"/>
          <w:b/>
          <w:bCs/>
          <w:color w:val="000000"/>
          <w:sz w:val="32"/>
          <w:szCs w:val="32"/>
          <w:highlight w:val="none"/>
        </w:rPr>
        <w:t xml:space="preserve">六、其他补充事宜</w:t>
      </w:r>
      <w:bookmarkEnd w:id="32"/>
      <w:r/>
      <w:bookmarkEnd w:id="33"/>
      <w:r/>
      <w:bookmarkEnd w:id="34"/>
      <w:r/>
      <w:r/>
    </w:p>
    <w:p>
      <w:pPr>
        <w:ind w:firstLine="480"/>
        <w:spacing w:line="440" w:lineRule="exact"/>
        <w:rPr>
          <w:rFonts w:ascii="宋体" w:hAnsi="宋体"/>
          <w:sz w:val="24"/>
          <w:highlight w:val="none"/>
        </w:rPr>
      </w:pPr>
      <w:r/>
      <w:bookmarkStart w:id="35" w:name="_Toc28359008"/>
      <w:r/>
      <w:bookmarkStart w:id="36" w:name="_Toc35393796"/>
      <w:r/>
      <w:bookmarkStart w:id="37" w:name="_Toc38985269"/>
      <w:r/>
      <w:bookmarkStart w:id="38" w:name="_Toc35393627"/>
      <w:r/>
      <w:bookmarkStart w:id="39" w:name="_Toc28359085"/>
      <w:r>
        <w:rPr>
          <w:rFonts w:hint="eastAsia" w:ascii="宋体" w:hAnsi="宋体"/>
          <w:sz w:val="24"/>
          <w:highlight w:val="none"/>
        </w:rPr>
        <w:t xml:space="preserve">本次项目采购人将组织投标供应商进行集中现场勘察（交通及其他勘察所需工具由供应商自配）。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现场勘查要求：投标人需核对现场井道尺寸并选择合适的型号。如因该项误差造成投标电梯型号与现场实际可用型号不一致，由此产生的一切责任均由供应商承担。请对项目现场和周围环境进行仔细认真的查勘，在随后的采购中，对现场资料和数据所作出的推论、解释和结论及由此造成的后果由供应商负责。没有勘察现场及答疑导致对需求了解不充分的供应商，自行承担相应责任。不参加现场勘察的视同对现场的一切情况均已掌握，采购人不对供应商据此作出的判断和决策负责。</w:t>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现场统一勘查时间：2026年2月3日上午10点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联系人：李老师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联系电话：13773500672    地点：扬州大学附属医院西区</w:t>
      </w:r>
      <w:r/>
    </w:p>
    <w:p>
      <w:pPr>
        <w:ind w:firstLine="496"/>
        <w:keepLines/>
        <w:keepNext/>
        <w:spacing w:line="460" w:lineRule="exact"/>
        <w:rPr>
          <w:b/>
          <w:bCs/>
          <w:color w:val="000000"/>
          <w:sz w:val="32"/>
          <w:szCs w:val="32"/>
          <w:highlight w:val="none"/>
        </w:rPr>
        <w:outlineLvl w:val="2"/>
      </w:pPr>
      <w:r>
        <w:rPr>
          <w:rFonts w:hint="eastAsia"/>
          <w:b/>
          <w:bCs/>
          <w:color w:val="000000"/>
          <w:sz w:val="32"/>
          <w:szCs w:val="32"/>
          <w:highlight w:val="none"/>
        </w:rPr>
        <w:t xml:space="preserve">七、本次招标联系方式</w:t>
      </w:r>
      <w:bookmarkEnd w:id="35"/>
      <w:r/>
      <w:bookmarkEnd w:id="36"/>
      <w:r/>
      <w:bookmarkEnd w:id="37"/>
      <w:r/>
      <w:bookmarkEnd w:id="38"/>
      <w:r/>
      <w:bookmarkEnd w:id="39"/>
      <w:r/>
      <w:r/>
    </w:p>
    <w:p>
      <w:pPr>
        <w:spacing w:line="46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扬州大学附属医院　</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扬州市邗江中路368号　</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胡先生</w:t>
      </w:r>
      <w:r/>
    </w:p>
    <w:p>
      <w:pPr>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0514-82099555　 </w:t>
      </w:r>
      <w:bookmarkStart w:id="40" w:name="_Toc28359086"/>
      <w:r/>
      <w:bookmarkEnd w:id="40"/>
      <w:r/>
      <w:bookmarkStart w:id="41" w:name="_Toc28359009"/>
      <w:r/>
      <w:bookmarkEnd w:id="41"/>
      <w:r/>
      <w:r/>
    </w:p>
    <w:p>
      <w:pPr>
        <w:ind w:firstLine="480"/>
        <w:spacing w:line="460" w:lineRule="exact"/>
        <w:rPr>
          <w:rFonts w:ascii="宋体" w:hAnsi="宋体"/>
          <w:sz w:val="24"/>
          <w:szCs w:val="24"/>
          <w:highlight w:val="none"/>
        </w:rPr>
      </w:pPr>
      <w:r/>
      <w:bookmarkStart w:id="42" w:name="_Toc28359087"/>
      <w:r/>
      <w:bookmarkStart w:id="43" w:name="_Toc28359010"/>
      <w:r>
        <w:rPr>
          <w:rFonts w:hint="eastAsia" w:ascii="宋体" w:hAnsi="宋体" w:cs="宋体"/>
          <w:sz w:val="24"/>
          <w:szCs w:val="24"/>
          <w:highlight w:val="none"/>
        </w:rPr>
        <w:t xml:space="preserve">2.江苏省政府采购中心信息</w:t>
      </w:r>
      <w:r/>
    </w:p>
    <w:p>
      <w:pPr>
        <w:ind w:firstLine="480"/>
        <w:spacing w:line="460" w:lineRule="exact"/>
        <w:tabs>
          <w:tab w:val="left" w:pos="900" w:leader="none"/>
        </w:tabs>
        <w:rPr>
          <w:rFonts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u w:val="single"/>
        </w:rPr>
        <w:t xml:space="preserve">南京市汉中门大街145号省政务服务中心二期3楼南区</w:t>
      </w:r>
      <w:r/>
    </w:p>
    <w:p>
      <w:pPr>
        <w:ind w:firstLine="480"/>
        <w:spacing w:line="460" w:lineRule="exact"/>
        <w:tabs>
          <w:tab w:val="left" w:pos="900" w:leader="none"/>
        </w:tabs>
        <w:rPr>
          <w:rFonts w:ascii="宋体" w:hAnsi="宋体"/>
          <w:sz w:val="24"/>
          <w:szCs w:val="21"/>
          <w:highlight w:val="none"/>
        </w:rPr>
      </w:pPr>
      <w:r>
        <w:rPr>
          <w:rFonts w:hint="eastAsia" w:ascii="宋体" w:hAnsi="宋体"/>
          <w:sz w:val="24"/>
          <w:szCs w:val="21"/>
          <w:highlight w:val="none"/>
        </w:rPr>
        <w:t xml:space="preserve">联系人：</w:t>
      </w:r>
      <w:r>
        <w:rPr>
          <w:rFonts w:hint="eastAsia" w:ascii="宋体" w:hAnsi="宋体"/>
          <w:sz w:val="24"/>
          <w:szCs w:val="21"/>
          <w:highlight w:val="none"/>
          <w:u w:val="single"/>
        </w:rPr>
        <w:t xml:space="preserve"> 陈瑜、严晓薇 </w:t>
      </w:r>
      <w:r/>
    </w:p>
    <w:p>
      <w:pPr>
        <w:ind w:firstLine="480"/>
        <w:spacing w:line="460" w:lineRule="exact"/>
        <w:rPr>
          <w:rFonts w:ascii="宋体" w:hAnsi="宋体"/>
          <w:color w:val="000000"/>
          <w:sz w:val="24"/>
          <w:szCs w:val="24"/>
          <w:highlight w:val="none"/>
        </w:rPr>
      </w:pPr>
      <w:r>
        <w:rPr>
          <w:rFonts w:hint="eastAsia" w:ascii="宋体" w:hAnsi="宋体"/>
          <w:sz w:val="24"/>
          <w:szCs w:val="21"/>
          <w:highlight w:val="none"/>
        </w:rPr>
        <w:t xml:space="preserve">联系方式：</w:t>
      </w:r>
      <w:r>
        <w:rPr>
          <w:rFonts w:hint="eastAsia" w:ascii="宋体" w:hAnsi="宋体"/>
          <w:sz w:val="24"/>
          <w:szCs w:val="21"/>
          <w:highlight w:val="none"/>
          <w:u w:val="single"/>
        </w:rPr>
        <w:t xml:space="preserve">025-83668552、83668537</w:t>
      </w:r>
      <w:bookmarkEnd w:id="42"/>
      <w:r/>
      <w:bookmarkEnd w:id="43"/>
      <w:r/>
      <w:r/>
    </w:p>
    <w:p>
      <w:pPr>
        <w:ind w:firstLine="496"/>
        <w:keepLines/>
        <w:keepNext/>
        <w:spacing w:line="460" w:lineRule="exact"/>
        <w:rPr>
          <w:b/>
          <w:bCs/>
          <w:color w:val="000000"/>
          <w:sz w:val="32"/>
          <w:szCs w:val="32"/>
          <w:highlight w:val="none"/>
        </w:rPr>
        <w:outlineLvl w:val="2"/>
      </w:pPr>
      <w:r>
        <w:rPr>
          <w:rFonts w:hint="eastAsia"/>
          <w:b/>
          <w:bCs/>
          <w:color w:val="000000"/>
          <w:sz w:val="32"/>
          <w:szCs w:val="32"/>
          <w:highlight w:val="none"/>
        </w:rPr>
        <w:t xml:space="preserve">八、其他</w:t>
      </w:r>
      <w:r/>
    </w:p>
    <w:p>
      <w:pPr>
        <w:ind w:firstLine="456"/>
        <w:spacing w:line="460" w:lineRule="exact"/>
        <w:tabs>
          <w:tab w:val="left" w:pos="900" w:leader="none"/>
        </w:tabs>
        <w:rPr>
          <w:rFonts w:ascii="宋体" w:hAnsi="宋体"/>
          <w:bCs/>
          <w:spacing w:val="-6"/>
          <w:sz w:val="24"/>
          <w:szCs w:val="24"/>
          <w:highlight w:val="none"/>
        </w:rPr>
      </w:pPr>
      <w:r>
        <w:rPr>
          <w:rFonts w:ascii="宋体" w:hAnsi="宋体"/>
          <w:spacing w:val="-6"/>
          <w:sz w:val="24"/>
          <w:szCs w:val="24"/>
          <w:highlight w:val="none"/>
        </w:rPr>
        <w:t xml:space="preserve">1</w:t>
      </w:r>
      <w:r>
        <w:rPr>
          <w:rFonts w:hint="eastAsia" w:ascii="宋体" w:hAnsi="宋体"/>
          <w:spacing w:val="-6"/>
          <w:sz w:val="24"/>
          <w:szCs w:val="24"/>
          <w:highlight w:val="none"/>
        </w:rPr>
        <w:t xml:space="preserve">.</w:t>
      </w:r>
      <w:r>
        <w:rPr>
          <w:rFonts w:hint="eastAsia" w:ascii="宋体" w:hAnsi="宋体"/>
          <w:bCs/>
          <w:spacing w:val="-6"/>
          <w:sz w:val="24"/>
          <w:szCs w:val="24"/>
          <w:highlight w:val="none"/>
        </w:rPr>
        <w:t xml:space="preserve">根据省财政厅《关于更换全省政府采购交易系统C A数字证书和电子签章的通知》（苏财购〔2023〕101号），</w:t>
      </w:r>
      <w:r>
        <w:rPr>
          <w:rFonts w:hint="eastAsia" w:ascii="宋体" w:hAnsi="宋体"/>
          <w:spacing w:val="-6"/>
          <w:sz w:val="24"/>
          <w:szCs w:val="24"/>
          <w:highlight w:val="none"/>
        </w:rPr>
        <w:t xml:space="preserve">“苏采云”政府采购交易系统（以下简称苏采云系统）</w:t>
      </w:r>
      <w:r>
        <w:rPr>
          <w:rFonts w:hint="eastAsia" w:ascii="宋体" w:hAnsi="宋体"/>
          <w:bCs/>
          <w:spacing w:val="-6"/>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highlight w:val="none"/>
        </w:rPr>
        <w:t xml:space="preserve">苏采云系统</w:t>
      </w:r>
      <w:r>
        <w:rPr>
          <w:rFonts w:hint="eastAsia" w:ascii="宋体" w:hAnsi="宋体"/>
          <w:bCs/>
          <w:spacing w:val="-6"/>
          <w:sz w:val="24"/>
          <w:szCs w:val="24"/>
          <w:highlight w:val="none"/>
        </w:rPr>
        <w:t xml:space="preserve">参与政府采购项目，需要更换CA数字证书和电子签章。具体办理指南和操作手册见链接：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99"/>
          <w:bCs/>
          <w:spacing w:val="-6"/>
          <w:szCs w:val="21"/>
          <w:highlight w:val="none"/>
        </w:rPr>
        <w:t xml:space="preserve">http://www.ccgp-jiangsu.gov.cn/jiangsu/zlxz/ee/ee3a4bc5a3454aa2b0d9312230633ce9.html</w:t>
      </w:r>
      <w:r>
        <w:rPr>
          <w:rStyle w:val="999"/>
          <w:bCs/>
          <w:spacing w:val="-6"/>
          <w:szCs w:val="21"/>
          <w:highlight w:val="none"/>
        </w:rPr>
        <w:fldChar w:fldCharType="end"/>
      </w:r>
      <w:r>
        <w:rPr>
          <w:bCs/>
          <w:spacing w:val="-6"/>
          <w:szCs w:val="21"/>
          <w:highlight w:val="none"/>
        </w:rPr>
        <w:t xml:space="preserve">。</w:t>
      </w:r>
      <w:r/>
    </w:p>
    <w:p>
      <w:pPr>
        <w:ind w:firstLine="480"/>
        <w:spacing w:line="4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p>
    <w:p>
      <w:pPr>
        <w:ind w:firstLine="480"/>
        <w:spacing w:line="4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如果“江苏政府采购网”</w:t>
      </w:r>
      <w:r>
        <w:rPr>
          <w:bCs/>
          <w:szCs w:val="21"/>
          <w:highlight w:val="none"/>
        </w:rPr>
        <w:t xml:space="preserve">（www.ccgp-jiangsu.gov.cn）</w:t>
      </w:r>
      <w:r>
        <w:rPr>
          <w:rFonts w:hint="eastAsia"/>
          <w:bCs/>
          <w:sz w:val="24"/>
          <w:szCs w:val="24"/>
          <w:highlight w:val="none"/>
        </w:rPr>
        <w:t xml:space="preserve">信息</w:t>
      </w:r>
      <w:r>
        <w:rPr>
          <w:rFonts w:hint="eastAsia" w:ascii="宋体" w:hAnsi="宋体"/>
          <w:bCs/>
          <w:sz w:val="24"/>
          <w:szCs w:val="24"/>
          <w:highlight w:val="none"/>
        </w:rPr>
        <w:t xml:space="preserve">与“江苏政务服务网” </w:t>
      </w:r>
      <w:r>
        <w:rPr>
          <w:bCs/>
          <w:szCs w:val="21"/>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p>
    <w:p>
      <w:pPr>
        <w:ind w:firstLine="480"/>
        <w:spacing w:line="460" w:lineRule="exact"/>
        <w:tabs>
          <w:tab w:val="left" w:pos="90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.有关本次招标的事项若存在变动或修改，敬请及时关注江苏省政府采购中心在“江苏政府采购网”发布的更正公告。</w:t>
      </w:r>
      <w:r/>
    </w:p>
    <w:p>
      <w:pPr>
        <w:ind w:firstLine="480"/>
        <w:spacing w:line="460" w:lineRule="exact"/>
        <w:tabs>
          <w:tab w:val="left" w:pos="90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.本次招标不收取投标保证金。</w:t>
      </w:r>
      <w:r/>
    </w:p>
    <w:p>
      <w:pPr>
        <w:ind w:right="840"/>
        <w:spacing w:line="440" w:lineRule="exact"/>
        <w:rPr>
          <w:rFonts w:ascii="宋体" w:hAnsi="宋体"/>
          <w:color w:val="000000"/>
          <w:sz w:val="24"/>
          <w:szCs w:val="24"/>
          <w:highlight w:val="none"/>
        </w:rPr>
      </w:pPr>
      <w:r>
        <w:rPr>
          <w:rFonts w:ascii="宋体" w:hAnsi="宋体"/>
          <w:color w:val="000000"/>
          <w:sz w:val="24"/>
          <w:szCs w:val="24"/>
          <w:highlight w:val="none"/>
        </w:rPr>
        <w:br w:type="page" w:clear="all"/>
      </w:r>
      <w:r/>
    </w:p>
    <w:p>
      <w:pPr>
        <w:ind w:firstLine="2420"/>
        <w:keepLines/>
        <w:keepNext/>
        <w:spacing w:before="260" w:after="260" w:line="416" w:lineRule="auto"/>
        <w:rPr>
          <w:rFonts w:ascii="黑体" w:hAnsi="Arial" w:eastAsia="黑体" w:cs="Arial"/>
          <w:color w:val="000000"/>
          <w:sz w:val="44"/>
          <w:szCs w:val="44"/>
          <w:highlight w:val="none"/>
        </w:rPr>
        <w:outlineLvl w:val="1"/>
      </w:pPr>
      <w:r/>
      <w:bookmarkStart w:id="44" w:name="_Toc12061421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color w:val="000000"/>
          <w:sz w:val="44"/>
          <w:szCs w:val="44"/>
          <w:highlight w:val="none"/>
        </w:rPr>
        <w:t xml:space="preserve">投标人须知</w:t>
      </w:r>
      <w:bookmarkEnd w:id="45"/>
      <w:r/>
      <w:bookmarkEnd w:id="46"/>
      <w:r/>
      <w:bookmarkEnd w:id="47"/>
      <w:r/>
      <w:bookmarkEnd w:id="48"/>
      <w:r/>
      <w:r/>
    </w:p>
    <w:p>
      <w:pPr>
        <w:ind w:firstLine="640"/>
        <w:keepLines/>
        <w:keepNext/>
        <w:spacing w:line="440" w:lineRule="exact"/>
        <w:rPr>
          <w:b/>
          <w:bCs/>
          <w:color w:val="000000"/>
          <w:sz w:val="32"/>
          <w:szCs w:val="32"/>
          <w:highlight w:val="none"/>
        </w:rPr>
        <w:outlineLvl w:val="2"/>
      </w:pPr>
      <w:r/>
      <w:bookmarkStart w:id="49" w:name="_Toc513029203"/>
      <w:r/>
      <w:bookmarkStart w:id="50" w:name="_Toc120614214"/>
      <w:r/>
      <w:bookmarkStart w:id="51" w:name="_Toc20823275"/>
      <w:r/>
      <w:bookmarkStart w:id="52" w:name="_Toc16938519"/>
      <w:r/>
      <w:bookmarkStart w:id="53" w:name="_Toc20823314"/>
      <w:r/>
      <w:bookmarkStart w:id="54" w:name="_Toc479757207"/>
      <w:r/>
      <w:bookmarkStart w:id="55" w:name="_Toc513029242"/>
      <w:r/>
      <w:bookmarkStart w:id="56" w:name="_Toc120614221"/>
      <w:r/>
      <w:bookmarkStart w:id="57" w:name="_Toc16938558"/>
      <w:r>
        <w:rPr>
          <w:rFonts w:hint="eastAsia"/>
          <w:b/>
          <w:bCs/>
          <w:color w:val="000000"/>
          <w:sz w:val="32"/>
          <w:szCs w:val="32"/>
          <w:highlight w:val="none"/>
        </w:rPr>
        <w:t xml:space="preserve">一、总则</w:t>
      </w:r>
      <w:bookmarkEnd w:id="49"/>
      <w:r/>
      <w:bookmarkEnd w:id="50"/>
      <w:r/>
      <w:bookmarkEnd w:id="51"/>
      <w:r/>
      <w:bookmarkEnd w:id="52"/>
      <w:r/>
      <w:r/>
    </w:p>
    <w:p>
      <w:pPr>
        <w:ind w:firstLine="560"/>
        <w:keepLines/>
        <w:keepNext/>
        <w:spacing w:line="440" w:lineRule="exact"/>
        <w:rPr>
          <w:rFonts w:ascii="Arial" w:hAnsi="Arial" w:eastAsia="黑体" w:cs="Arial"/>
          <w:color w:val="000000"/>
          <w:sz w:val="28"/>
          <w:szCs w:val="28"/>
          <w:highlight w:val="none"/>
        </w:rPr>
        <w:outlineLvl w:val="3"/>
      </w:pPr>
      <w:r/>
      <w:bookmarkStart w:id="58" w:name="_Hlt16619475"/>
      <w:r/>
      <w:bookmarkEnd w:id="58"/>
      <w:r/>
      <w:bookmarkStart w:id="59" w:name="_Toc458694821"/>
      <w:r/>
      <w:bookmarkStart w:id="60" w:name="_Toc20823276"/>
      <w:r/>
      <w:bookmarkStart w:id="61" w:name="_Toc513029204"/>
      <w:r/>
      <w:bookmarkStart w:id="62" w:name="_Toc16938520"/>
      <w:r>
        <w:rPr>
          <w:rFonts w:hint="eastAsia" w:ascii="Arial" w:hAnsi="Arial" w:eastAsia="黑体" w:cs="Arial"/>
          <w:color w:val="000000"/>
          <w:sz w:val="28"/>
          <w:szCs w:val="28"/>
          <w:highlight w:val="none"/>
        </w:rPr>
        <w:t xml:space="preserve">1</w:t>
      </w:r>
      <w:bookmarkEnd w:id="59"/>
      <w:r>
        <w:rPr>
          <w:rFonts w:hint="eastAsia" w:ascii="Arial" w:hAnsi="Arial" w:eastAsia="黑体" w:cs="Arial"/>
          <w:color w:val="000000"/>
          <w:sz w:val="28"/>
          <w:szCs w:val="28"/>
          <w:highlight w:val="none"/>
        </w:rPr>
        <w:t xml:space="preserve">、招标方式</w:t>
      </w:r>
      <w:bookmarkEnd w:id="60"/>
      <w:r/>
      <w:bookmarkEnd w:id="61"/>
      <w:r/>
      <w:bookmarkEnd w:id="62"/>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560"/>
        <w:keepLines/>
        <w:keepNext/>
        <w:spacing w:line="440" w:lineRule="exact"/>
        <w:rPr>
          <w:rFonts w:ascii="Arial" w:hAnsi="Arial" w:eastAsia="黑体" w:cs="Arial"/>
          <w:color w:val="000000"/>
          <w:sz w:val="28"/>
          <w:szCs w:val="28"/>
          <w:highlight w:val="none"/>
        </w:rPr>
        <w:outlineLvl w:val="3"/>
      </w:pPr>
      <w:r/>
      <w:bookmarkStart w:id="63" w:name="_Toc20823277"/>
      <w:r/>
      <w:bookmarkStart w:id="64" w:name="_Toc513029205"/>
      <w:r/>
      <w:bookmarkStart w:id="65" w:name="_Toc16938521"/>
      <w:r>
        <w:rPr>
          <w:rFonts w:hint="eastAsia" w:ascii="Arial" w:hAnsi="Arial" w:eastAsia="黑体" w:cs="Arial"/>
          <w:color w:val="000000"/>
          <w:sz w:val="28"/>
          <w:szCs w:val="28"/>
          <w:highlight w:val="none"/>
        </w:rPr>
        <w:t xml:space="preserve">2、合格的投标人</w:t>
      </w:r>
      <w:bookmarkEnd w:id="63"/>
      <w:r/>
      <w:bookmarkEnd w:id="64"/>
      <w:r/>
      <w:bookmarkEnd w:id="65"/>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560"/>
        <w:keepLines/>
        <w:keepNext/>
        <w:spacing w:line="440" w:lineRule="exact"/>
        <w:rPr>
          <w:rFonts w:ascii="Arial" w:hAnsi="Arial" w:eastAsia="黑体" w:cs="Arial"/>
          <w:color w:val="000000"/>
          <w:sz w:val="28"/>
          <w:szCs w:val="28"/>
          <w:highlight w:val="none"/>
        </w:rPr>
        <w:outlineLvl w:val="3"/>
      </w:pPr>
      <w:r/>
      <w:bookmarkStart w:id="66" w:name="_Toc20823278"/>
      <w:r/>
      <w:bookmarkStart w:id="67" w:name="_Toc16938522"/>
      <w:r/>
      <w:bookmarkStart w:id="68" w:name="_Toc513029206"/>
      <w:r>
        <w:rPr>
          <w:rFonts w:hint="eastAsia" w:ascii="Arial" w:hAnsi="Arial" w:eastAsia="黑体" w:cs="Arial"/>
          <w:color w:val="000000"/>
          <w:sz w:val="28"/>
          <w:szCs w:val="28"/>
          <w:highlight w:val="none"/>
        </w:rPr>
        <w:t xml:space="preserve">3、适用法律</w:t>
      </w:r>
      <w:bookmarkEnd w:id="66"/>
      <w:r/>
      <w:bookmarkEnd w:id="67"/>
      <w:r/>
      <w:bookmarkEnd w:id="68"/>
      <w:r>
        <w:rPr>
          <w:rFonts w:hint="eastAsia" w:ascii="Arial" w:hAnsi="Arial" w:eastAsia="黑体" w:cs="Arial"/>
          <w:color w:val="000000"/>
          <w:sz w:val="28"/>
          <w:szCs w:val="28"/>
          <w:highlight w:val="none"/>
        </w:rPr>
        <w:t xml:space="preserve">和标准</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 在本项目政府采购活动过程中，如果所执行的标准有更新的，按照最新标准执行。</w:t>
      </w:r>
      <w:r/>
    </w:p>
    <w:p>
      <w:pPr>
        <w:ind w:firstLine="560"/>
        <w:keepLines/>
        <w:keepNext/>
        <w:spacing w:line="440" w:lineRule="exact"/>
        <w:rPr>
          <w:rFonts w:ascii="Arial" w:hAnsi="Arial" w:eastAsia="黑体" w:cs="Arial"/>
          <w:color w:val="000000"/>
          <w:sz w:val="28"/>
          <w:szCs w:val="28"/>
          <w:highlight w:val="none"/>
        </w:rPr>
        <w:outlineLvl w:val="3"/>
      </w:pPr>
      <w:r/>
      <w:bookmarkStart w:id="69" w:name="_Toc16938523"/>
      <w:r/>
      <w:bookmarkStart w:id="70" w:name="_Toc462564067"/>
      <w:r/>
      <w:bookmarkStart w:id="71" w:name="_Toc513029207"/>
      <w:r/>
      <w:bookmarkStart w:id="72" w:name="_Toc20823279"/>
      <w:r>
        <w:rPr>
          <w:rFonts w:hint="eastAsia" w:ascii="Arial" w:hAnsi="Arial" w:eastAsia="黑体" w:cs="Arial"/>
          <w:color w:val="000000"/>
          <w:sz w:val="28"/>
          <w:szCs w:val="28"/>
          <w:highlight w:val="none"/>
        </w:rPr>
        <w:t xml:space="preserve">4、投标费用</w:t>
      </w:r>
      <w:bookmarkEnd w:id="69"/>
      <w:r/>
      <w:bookmarkEnd w:id="70"/>
      <w:r/>
      <w:bookmarkEnd w:id="71"/>
      <w:r/>
      <w:bookmarkEnd w:id="72"/>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p>
    <w:p>
      <w:pPr>
        <w:ind w:firstLine="600"/>
        <w:keepLines/>
        <w:keepNext/>
        <w:spacing w:line="440" w:lineRule="exact"/>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640"/>
        <w:keepLines/>
        <w:keepNext/>
        <w:spacing w:line="440" w:lineRule="exact"/>
        <w:rPr>
          <w:b/>
          <w:bCs/>
          <w:color w:val="000000"/>
          <w:sz w:val="32"/>
          <w:szCs w:val="32"/>
          <w:highlight w:val="none"/>
        </w:rPr>
        <w:outlineLvl w:val="2"/>
      </w:pPr>
      <w:r/>
      <w:bookmarkStart w:id="73" w:name="_Toc20823281"/>
      <w:r/>
      <w:bookmarkStart w:id="74" w:name="_Toc120614215"/>
      <w:r/>
      <w:bookmarkStart w:id="75" w:name="_Toc513029209"/>
      <w:r/>
      <w:bookmarkStart w:id="76" w:name="_Toc16938525"/>
      <w:r>
        <w:rPr>
          <w:rFonts w:hint="eastAsia"/>
          <w:b/>
          <w:bCs/>
          <w:color w:val="000000"/>
          <w:sz w:val="32"/>
          <w:szCs w:val="32"/>
          <w:highlight w:val="none"/>
        </w:rPr>
        <w:t xml:space="preserve">二、招标文件</w:t>
      </w:r>
      <w:bookmarkEnd w:id="73"/>
      <w:r/>
      <w:bookmarkEnd w:id="74"/>
      <w:r/>
      <w:bookmarkEnd w:id="75"/>
      <w:r/>
      <w:bookmarkEnd w:id="76"/>
      <w:r/>
      <w:r/>
    </w:p>
    <w:p>
      <w:pPr>
        <w:ind w:firstLine="560"/>
        <w:keepLines/>
        <w:keepNext/>
        <w:spacing w:line="440" w:lineRule="exact"/>
        <w:rPr>
          <w:rFonts w:ascii="Arial" w:hAnsi="Arial" w:eastAsia="黑体" w:cs="Arial"/>
          <w:color w:val="000000"/>
          <w:sz w:val="28"/>
          <w:szCs w:val="28"/>
          <w:highlight w:val="none"/>
        </w:rPr>
        <w:outlineLvl w:val="3"/>
      </w:pPr>
      <w:r/>
      <w:bookmarkStart w:id="77" w:name="_Toc20823282"/>
      <w:r/>
      <w:bookmarkStart w:id="78" w:name="_Toc513029210"/>
      <w:r/>
      <w:bookmarkStart w:id="79" w:name="_Toc16938526"/>
      <w:r>
        <w:rPr>
          <w:rFonts w:hint="eastAsia" w:ascii="Arial" w:hAnsi="Arial" w:eastAsia="黑体" w:cs="Arial"/>
          <w:color w:val="000000"/>
          <w:sz w:val="28"/>
          <w:szCs w:val="28"/>
          <w:highlight w:val="none"/>
        </w:rPr>
        <w:t xml:space="preserve">6、招标文件构成</w:t>
      </w:r>
      <w:bookmarkEnd w:id="77"/>
      <w:r/>
      <w:bookmarkEnd w:id="78"/>
      <w:r/>
      <w:bookmarkEnd w:id="79"/>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44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Arial" w:hAnsi="Arial" w:eastAsia="黑体" w:cs="Arial"/>
          <w:color w:val="000000"/>
          <w:sz w:val="28"/>
          <w:szCs w:val="28"/>
          <w:highlight w:val="none"/>
        </w:rPr>
        <w:outlineLvl w:val="3"/>
      </w:pPr>
      <w:r/>
      <w:bookmarkStart w:id="80" w:name="_Toc513029212"/>
      <w:r/>
      <w:bookmarkStart w:id="81" w:name="_Toc16938528"/>
      <w:r/>
      <w:bookmarkStart w:id="82" w:name="_Toc20823284"/>
      <w:r/>
      <w:bookmarkStart w:id="83"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80"/>
      <w:r/>
      <w:bookmarkEnd w:id="81"/>
      <w:r/>
      <w:bookmarkEnd w:id="82"/>
      <w:r/>
      <w:bookmarkEnd w:id="83"/>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p>
    <w:p>
      <w:pPr>
        <w:ind w:firstLine="480"/>
        <w:spacing w:line="440" w:lineRule="exact"/>
        <w:rPr>
          <w:rFonts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640"/>
        <w:keepLines/>
        <w:keepNext/>
        <w:spacing w:line="440" w:lineRule="exact"/>
        <w:rPr>
          <w:b/>
          <w:bCs/>
          <w:color w:val="000000"/>
          <w:sz w:val="32"/>
          <w:szCs w:val="32"/>
          <w:highlight w:val="none"/>
        </w:rPr>
        <w:outlineLvl w:val="2"/>
      </w:pPr>
      <w:r/>
      <w:bookmarkStart w:id="84" w:name="_Toc462564072"/>
      <w:r/>
      <w:bookmarkStart w:id="85" w:name="_Toc16938529"/>
      <w:r/>
      <w:bookmarkStart w:id="86" w:name="_Toc120614216"/>
      <w:r/>
      <w:bookmarkStart w:id="87" w:name="_Toc20823285"/>
      <w:r/>
      <w:bookmarkStart w:id="88" w:name="_Toc513029213"/>
      <w:r>
        <w:rPr>
          <w:rFonts w:hint="eastAsia"/>
          <w:b/>
          <w:bCs/>
          <w:color w:val="000000"/>
          <w:sz w:val="32"/>
          <w:szCs w:val="32"/>
          <w:highlight w:val="none"/>
        </w:rPr>
        <w:t xml:space="preserve">三、投标文件的编制</w:t>
      </w:r>
      <w:bookmarkEnd w:id="84"/>
      <w:r/>
      <w:bookmarkEnd w:id="85"/>
      <w:r/>
      <w:bookmarkEnd w:id="86"/>
      <w:r/>
      <w:bookmarkEnd w:id="87"/>
      <w:r/>
      <w:bookmarkEnd w:id="88"/>
      <w:r/>
      <w:r/>
    </w:p>
    <w:p>
      <w:pPr>
        <w:ind w:firstLine="560"/>
        <w:keepLines/>
        <w:keepNext/>
        <w:spacing w:line="440" w:lineRule="exact"/>
        <w:rPr>
          <w:rFonts w:ascii="Arial" w:hAnsi="Arial" w:eastAsia="黑体" w:cs="Arial"/>
          <w:b/>
          <w:color w:val="000000"/>
          <w:sz w:val="28"/>
          <w:szCs w:val="28"/>
          <w:highlight w:val="none"/>
        </w:rPr>
        <w:outlineLvl w:val="3"/>
      </w:pPr>
      <w:r/>
      <w:bookmarkStart w:id="89" w:name="_Toc16938530"/>
      <w:r/>
      <w:bookmarkStart w:id="90" w:name="_Toc462564073"/>
      <w:r/>
      <w:bookmarkStart w:id="91" w:name="_Toc20823286"/>
      <w:r/>
      <w:bookmarkStart w:id="92" w:name="_Toc513029214"/>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9"/>
      <w:r/>
      <w:bookmarkEnd w:id="90"/>
      <w:r/>
      <w:bookmarkEnd w:id="91"/>
      <w:r/>
      <w:bookmarkEnd w:id="92"/>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560"/>
        <w:keepLines/>
        <w:keepNext/>
        <w:spacing w:line="440" w:lineRule="exact"/>
        <w:rPr>
          <w:rFonts w:ascii="Arial" w:hAnsi="Arial" w:eastAsia="黑体" w:cs="Arial"/>
          <w:color w:val="000000"/>
          <w:sz w:val="28"/>
          <w:szCs w:val="28"/>
          <w:highlight w:val="none"/>
        </w:rPr>
        <w:outlineLvl w:val="3"/>
      </w:pPr>
      <w:r/>
      <w:bookmarkStart w:id="93" w:name="_Toc20823287"/>
      <w:r/>
      <w:bookmarkStart w:id="94" w:name="_Toc16938531"/>
      <w:r/>
      <w:bookmarkStart w:id="95" w:name="_Toc462564074"/>
      <w:r/>
      <w:bookmarkStart w:id="96" w:name="_Toc513029215"/>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93"/>
      <w:r/>
      <w:bookmarkEnd w:id="94"/>
      <w:r/>
      <w:bookmarkEnd w:id="95"/>
      <w:r/>
      <w:bookmarkEnd w:id="96"/>
      <w:r/>
      <w:r/>
    </w:p>
    <w:p>
      <w:pPr>
        <w:ind w:firstLine="480"/>
        <w:spacing w:line="440" w:lineRule="exact"/>
        <w:rPr>
          <w:rFonts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560"/>
        <w:keepLines/>
        <w:keepNext/>
        <w:spacing w:line="440" w:lineRule="exact"/>
        <w:rPr>
          <w:rFonts w:ascii="Arial" w:hAnsi="Arial" w:eastAsia="黑体" w:cs="Arial"/>
          <w:color w:val="000000"/>
          <w:sz w:val="28"/>
          <w:szCs w:val="28"/>
          <w:highlight w:val="none"/>
        </w:rPr>
        <w:outlineLvl w:val="3"/>
      </w:pPr>
      <w:r/>
      <w:bookmarkStart w:id="97" w:name="_Hlt26670360"/>
      <w:r/>
      <w:bookmarkEnd w:id="97"/>
      <w:r/>
      <w:bookmarkStart w:id="98" w:name="_Hlt26954838"/>
      <w:r/>
      <w:bookmarkEnd w:id="98"/>
      <w:r/>
      <w:bookmarkStart w:id="99" w:name="_Hlt26668975"/>
      <w:r/>
      <w:bookmarkEnd w:id="99"/>
      <w:r/>
      <w:bookmarkStart w:id="100" w:name="_Toc49090509"/>
      <w:r/>
      <w:bookmarkStart w:id="101" w:name="_Toc513029219"/>
      <w:r/>
      <w:bookmarkStart w:id="102" w:name="_Toc513029216"/>
      <w:r/>
      <w:bookmarkStart w:id="103" w:name="_Toc14577357"/>
      <w:r/>
      <w:bookmarkStart w:id="104" w:name="_Toc49090507"/>
      <w:r/>
      <w:bookmarkStart w:id="105" w:name="_Toc14577354"/>
      <w:r/>
      <w:bookmarkStart w:id="106" w:name="_Toc14577355"/>
      <w:r/>
      <w:bookmarkStart w:id="107"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100"/>
      <w:r/>
      <w:bookmarkEnd w:id="101"/>
      <w:r/>
      <w:bookmarkEnd w:id="102"/>
      <w:r/>
      <w:bookmarkEnd w:id="103"/>
      <w:r/>
      <w:bookmarkEnd w:id="104"/>
      <w:r/>
      <w:bookmarkEnd w:id="105"/>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6"/>
      <w:r/>
      <w:bookmarkEnd w:id="107"/>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8" w:name="_Hlt26954840"/>
      <w:r/>
      <w:bookmarkEnd w:id="108"/>
      <w:r>
        <w:rPr>
          <w:rFonts w:hint="eastAsia" w:ascii="宋体" w:hAnsi="宋体"/>
          <w:sz w:val="24"/>
          <w:szCs w:val="21"/>
          <w:highlight w:val="none"/>
        </w:rPr>
        <w:t xml:space="preserve">标人按照招标文件规定格式填报投标分项报价表</w:t>
      </w:r>
      <w:bookmarkStart w:id="109" w:name="_Hlt26670399"/>
      <w:r/>
      <w:bookmarkEnd w:id="109"/>
      <w:r>
        <w:rPr>
          <w:rFonts w:hint="eastAsia" w:ascii="宋体" w:hAnsi="宋体"/>
          <w:sz w:val="24"/>
          <w:szCs w:val="21"/>
          <w:highlight w:val="none"/>
        </w:rPr>
        <w:t xml:space="preserve">。</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560"/>
        <w:keepLines/>
        <w:keepNext/>
        <w:spacing w:line="440" w:lineRule="exact"/>
        <w:rPr>
          <w:rFonts w:ascii="Arial" w:hAnsi="Arial" w:eastAsia="黑体" w:cs="Arial"/>
          <w:sz w:val="28"/>
          <w:szCs w:val="28"/>
          <w:highlight w:val="none"/>
        </w:rPr>
        <w:outlineLvl w:val="3"/>
      </w:pPr>
      <w:r/>
      <w:bookmarkStart w:id="110" w:name="_Hlt26954848"/>
      <w:r/>
      <w:bookmarkEnd w:id="110"/>
      <w:r/>
      <w:bookmarkStart w:id="111" w:name="_Hlt26670482"/>
      <w:r/>
      <w:bookmarkEnd w:id="111"/>
      <w:r/>
      <w:bookmarkStart w:id="112" w:name="_Hlt26670486"/>
      <w:r/>
      <w:bookmarkEnd w:id="112"/>
      <w:r/>
      <w:bookmarkStart w:id="113" w:name="_Hlt26954731"/>
      <w:r/>
      <w:bookmarkEnd w:id="113"/>
      <w:r/>
      <w:bookmarkStart w:id="114" w:name="_Hlt26954846"/>
      <w:r/>
      <w:bookmarkEnd w:id="11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40" w:lineRule="exact"/>
        <w:rPr>
          <w:rFonts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560"/>
        <w:keepLines/>
        <w:keepNext/>
        <w:spacing w:line="440" w:lineRule="exact"/>
        <w:rPr>
          <w:rFonts w:ascii="Arial" w:hAnsi="Arial" w:eastAsia="黑体" w:cs="Arial"/>
          <w:color w:val="000000"/>
          <w:sz w:val="28"/>
          <w:szCs w:val="28"/>
          <w:highlight w:val="none"/>
        </w:rPr>
        <w:outlineLvl w:val="3"/>
      </w:pPr>
      <w:r/>
      <w:bookmarkStart w:id="115" w:name="_Toc49090510"/>
      <w:r/>
      <w:bookmarkStart w:id="116" w:name="_Toc1457735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560"/>
        <w:keepLines/>
        <w:keepNext/>
        <w:spacing w:line="440" w:lineRule="exact"/>
        <w:rPr>
          <w:rFonts w:ascii="Arial" w:hAnsi="Arial" w:eastAsia="黑体" w:cs="Arial"/>
          <w:color w:val="000000"/>
          <w:sz w:val="28"/>
          <w:szCs w:val="28"/>
          <w:highlight w:val="none"/>
        </w:rPr>
        <w:outlineLvl w:val="3"/>
      </w:pPr>
      <w:r/>
      <w:bookmarkStart w:id="117" w:name="_Toc49090511"/>
      <w:r/>
      <w:bookmarkStart w:id="118"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7"/>
      <w:r/>
      <w:bookmarkEnd w:id="118"/>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ind w:firstLine="640"/>
        <w:keepLines/>
        <w:keepNext/>
        <w:spacing w:line="440" w:lineRule="exact"/>
        <w:rPr>
          <w:b/>
          <w:bCs/>
          <w:color w:val="000000"/>
          <w:sz w:val="32"/>
          <w:szCs w:val="32"/>
          <w:highlight w:val="none"/>
        </w:rPr>
        <w:outlineLvl w:val="2"/>
      </w:pPr>
      <w:r/>
      <w:bookmarkStart w:id="119" w:name="_Hlt26954739"/>
      <w:r/>
      <w:bookmarkEnd w:id="119"/>
      <w:r/>
      <w:bookmarkStart w:id="120" w:name="_Hlt26954852"/>
      <w:r/>
      <w:bookmarkEnd w:id="120"/>
      <w:r/>
      <w:bookmarkStart w:id="121" w:name="_Toc20823296"/>
      <w:r/>
      <w:bookmarkStart w:id="122" w:name="_Toc513029224"/>
      <w:r/>
      <w:bookmarkStart w:id="123" w:name="_Toc16938540"/>
      <w:r/>
      <w:bookmarkStart w:id="124" w:name="_Toc120614217"/>
      <w:r>
        <w:rPr>
          <w:rFonts w:hint="eastAsia"/>
          <w:b/>
          <w:bCs/>
          <w:color w:val="000000"/>
          <w:sz w:val="32"/>
          <w:szCs w:val="32"/>
          <w:highlight w:val="none"/>
        </w:rPr>
        <w:t xml:space="preserve">四、投标文件的递交</w:t>
      </w:r>
      <w:bookmarkEnd w:id="121"/>
      <w:r/>
      <w:bookmarkEnd w:id="122"/>
      <w:r/>
      <w:bookmarkEnd w:id="123"/>
      <w:r/>
      <w:bookmarkEnd w:id="124"/>
      <w:r/>
      <w:r/>
    </w:p>
    <w:p>
      <w:pPr>
        <w:ind w:firstLine="560"/>
        <w:keepLines/>
        <w:keepNext/>
        <w:spacing w:line="440" w:lineRule="exact"/>
        <w:rPr>
          <w:rFonts w:ascii="黑体" w:hAnsi="Arial" w:eastAsia="黑体" w:cs="Arial"/>
          <w:color w:val="000000"/>
          <w:sz w:val="28"/>
          <w:szCs w:val="28"/>
          <w:highlight w:val="none"/>
        </w:rPr>
        <w:outlineLvl w:val="3"/>
      </w:pPr>
      <w:r/>
      <w:bookmarkStart w:id="125" w:name="_Toc513029225"/>
      <w:r/>
      <w:bookmarkStart w:id="126" w:name="_Toc462564084"/>
      <w:r/>
      <w:bookmarkStart w:id="127" w:name="_Toc16938541"/>
      <w:r/>
      <w:bookmarkStart w:id="128"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5"/>
      <w:r/>
      <w:bookmarkEnd w:id="126"/>
      <w:r/>
      <w:bookmarkEnd w:id="127"/>
      <w:r/>
      <w:bookmarkEnd w:id="128"/>
      <w:r>
        <w:rPr>
          <w:rFonts w:hint="eastAsia" w:ascii="黑体" w:hAnsi="Arial" w:eastAsia="黑体" w:cs="Arial"/>
          <w:color w:val="000000"/>
          <w:sz w:val="28"/>
          <w:szCs w:val="28"/>
          <w:highlight w:val="none"/>
        </w:rPr>
        <w:t xml:space="preserve">的递交</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17.1投标人应当按照《操作手册》规定，在投标截止时间前制作并上传电子投标文件。</w:t>
      </w:r>
      <w:bookmarkStart w:id="129" w:name="_Toc513029226"/>
      <w:r/>
      <w:bookmarkStart w:id="130" w:name="_Toc20823298"/>
      <w:r/>
      <w:bookmarkStart w:id="131" w:name="_Toc16938542"/>
      <w:r/>
      <w:r/>
    </w:p>
    <w:p>
      <w:pPr>
        <w:ind w:firstLine="560"/>
        <w:keepLines/>
        <w:keepNext/>
        <w:spacing w:line="440" w:lineRule="exact"/>
        <w:rPr>
          <w:rFonts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9"/>
      <w:r/>
      <w:bookmarkEnd w:id="130"/>
      <w:r/>
      <w:bookmarkEnd w:id="131"/>
      <w:r/>
      <w:r/>
    </w:p>
    <w:p>
      <w:pPr>
        <w:ind w:firstLine="480"/>
        <w:spacing w:line="44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4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560"/>
        <w:keepLines/>
        <w:keepNext/>
        <w:spacing w:line="440" w:lineRule="exact"/>
        <w:rPr>
          <w:rFonts w:ascii="Arial" w:hAnsi="Arial" w:eastAsia="黑体" w:cs="Arial"/>
          <w:color w:val="000000"/>
          <w:sz w:val="28"/>
          <w:szCs w:val="28"/>
          <w:highlight w:val="none"/>
        </w:rPr>
        <w:outlineLvl w:val="3"/>
      </w:pPr>
      <w:r/>
      <w:bookmarkStart w:id="132" w:name="_Toc513029227"/>
      <w:r/>
      <w:bookmarkStart w:id="133" w:name="_Toc16938543"/>
      <w:r/>
      <w:bookmarkStart w:id="134" w:name="_Toc20823299"/>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32"/>
      <w:r/>
      <w:bookmarkEnd w:id="133"/>
      <w:r/>
      <w:bookmarkEnd w:id="134"/>
      <w:r>
        <w:rPr>
          <w:rFonts w:hint="eastAsia" w:ascii="Arial" w:hAnsi="Arial" w:eastAsia="黑体" w:cs="Arial"/>
          <w:color w:val="000000"/>
          <w:sz w:val="28"/>
          <w:szCs w:val="28"/>
          <w:highlight w:val="none"/>
        </w:rPr>
        <w:t xml:space="preserve">的拒收</w:t>
      </w:r>
      <w:r/>
    </w:p>
    <w:p>
      <w:pPr>
        <w:ind w:firstLine="480"/>
        <w:spacing w:line="440" w:lineRule="exact"/>
        <w:rPr>
          <w:rFonts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p>
    <w:p>
      <w:pPr>
        <w:ind w:firstLine="560"/>
        <w:keepLines/>
        <w:keepNext/>
        <w:spacing w:line="440" w:lineRule="exact"/>
        <w:rPr>
          <w:rFonts w:ascii="Arial" w:hAnsi="Arial" w:eastAsia="黑体" w:cs="Arial"/>
          <w:color w:val="000000"/>
          <w:sz w:val="28"/>
          <w:szCs w:val="28"/>
          <w:highlight w:val="none"/>
        </w:rPr>
        <w:outlineLvl w:val="3"/>
      </w:pPr>
      <w:r/>
      <w:bookmarkStart w:id="135" w:name="_Toc16938544"/>
      <w:r/>
      <w:bookmarkStart w:id="136" w:name="_Toc513029228"/>
      <w:r/>
      <w:bookmarkStart w:id="137"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5"/>
      <w:r/>
      <w:bookmarkEnd w:id="136"/>
      <w:r/>
      <w:bookmarkEnd w:id="137"/>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Start w:id="138" w:name="_Toc20823301"/>
      <w:r/>
      <w:bookmarkStart w:id="139" w:name="_Toc120614218"/>
      <w:r/>
      <w:bookmarkStart w:id="140" w:name="_Toc16938545"/>
      <w:r/>
      <w:bookmarkStart w:id="141" w:name="_Toc513029229"/>
      <w:r/>
      <w:r/>
    </w:p>
    <w:p>
      <w:pPr>
        <w:ind w:firstLine="640"/>
        <w:spacing w:line="440" w:lineRule="exact"/>
        <w:rPr>
          <w:b/>
          <w:bCs/>
          <w:color w:val="000000"/>
          <w:sz w:val="32"/>
          <w:szCs w:val="32"/>
          <w:highlight w:val="none"/>
        </w:rPr>
      </w:pPr>
      <w:r>
        <w:rPr>
          <w:rFonts w:hint="eastAsia"/>
          <w:b/>
          <w:bCs/>
          <w:color w:val="000000"/>
          <w:sz w:val="32"/>
          <w:szCs w:val="32"/>
          <w:highlight w:val="none"/>
        </w:rPr>
        <w:t xml:space="preserve">五、开标与评标</w:t>
      </w:r>
      <w:bookmarkEnd w:id="138"/>
      <w:r/>
      <w:bookmarkEnd w:id="139"/>
      <w:r/>
      <w:bookmarkEnd w:id="140"/>
      <w:r/>
      <w:bookmarkEnd w:id="141"/>
      <w:r/>
      <w:r/>
    </w:p>
    <w:p>
      <w:pPr>
        <w:ind w:firstLine="560"/>
        <w:keepLines/>
        <w:keepNext/>
        <w:spacing w:line="440" w:lineRule="exact"/>
        <w:rPr>
          <w:rFonts w:ascii="Arial" w:hAnsi="Arial" w:eastAsia="黑体" w:cs="Arial"/>
          <w:color w:val="000000"/>
          <w:sz w:val="28"/>
          <w:szCs w:val="28"/>
          <w:highlight w:val="none"/>
        </w:rPr>
        <w:outlineLvl w:val="3"/>
      </w:pPr>
      <w:r/>
      <w:bookmarkStart w:id="142" w:name="_Toc16938546"/>
      <w:r/>
      <w:bookmarkStart w:id="143" w:name="_Toc513029230"/>
      <w:r/>
      <w:bookmarkStart w:id="144"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42"/>
      <w:r/>
      <w:bookmarkEnd w:id="143"/>
      <w:r/>
      <w:bookmarkEnd w:id="144"/>
      <w:r/>
      <w:r/>
    </w:p>
    <w:p>
      <w:pPr>
        <w:ind w:firstLine="480"/>
        <w:spacing w:line="440" w:lineRule="exact"/>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40" w:lineRule="exact"/>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40" w:lineRule="exact"/>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560"/>
        <w:keepLines/>
        <w:keepNext/>
        <w:spacing w:line="440" w:lineRule="exact"/>
        <w:rPr>
          <w:rFonts w:ascii="Arial" w:hAnsi="Arial" w:eastAsia="黑体" w:cs="Arial"/>
          <w:sz w:val="28"/>
          <w:szCs w:val="28"/>
          <w:highlight w:val="none"/>
        </w:rPr>
        <w:outlineLvl w:val="3"/>
      </w:pPr>
      <w:r/>
      <w:bookmarkStart w:id="145" w:name="_Toc16938547"/>
      <w:r/>
      <w:bookmarkStart w:id="146" w:name="_Toc20823303"/>
      <w:r/>
      <w:bookmarkStart w:id="147"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ind w:firstLine="480"/>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.1开标后，采购中心将立即组织评标委员会（以下简称评委会）进行评标。</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p>
    <w:p>
      <w:pPr>
        <w:ind w:firstLine="560"/>
        <w:keepLines/>
        <w:keepNext/>
        <w:spacing w:line="44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5"/>
      <w:r/>
      <w:bookmarkEnd w:id="146"/>
      <w:r/>
      <w:bookmarkEnd w:id="147"/>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4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560"/>
        <w:keepLines/>
        <w:keepNext/>
        <w:spacing w:line="440" w:lineRule="exact"/>
        <w:rPr>
          <w:rFonts w:ascii="Arial" w:hAnsi="Arial" w:eastAsia="黑体" w:cs="Arial"/>
          <w:color w:val="000000"/>
          <w:sz w:val="28"/>
          <w:szCs w:val="28"/>
          <w:highlight w:val="none"/>
        </w:rPr>
        <w:outlineLvl w:val="3"/>
      </w:pPr>
      <w:r/>
      <w:bookmarkStart w:id="148" w:name="_Toc20823304"/>
      <w:r/>
      <w:bookmarkStart w:id="149" w:name="_Toc16938548"/>
      <w:r/>
      <w:bookmarkStart w:id="150"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8"/>
      <w:r/>
      <w:bookmarkEnd w:id="149"/>
      <w:r/>
      <w:bookmarkEnd w:id="150"/>
      <w:r/>
      <w:r/>
    </w:p>
    <w:p>
      <w:pPr>
        <w:ind w:firstLine="480"/>
        <w:spacing w:line="440" w:lineRule="exact"/>
        <w:rPr>
          <w:rFonts w:ascii="宋体" w:hAnsi="宋体"/>
          <w:color w:val="000000"/>
          <w:sz w:val="24"/>
          <w:szCs w:val="24"/>
          <w:highlight w:val="none"/>
        </w:rPr>
      </w:pPr>
      <w:r/>
      <w:bookmarkStart w:id="151" w:name="_Toc20823305"/>
      <w:r/>
      <w:bookmarkStart w:id="152" w:name="_Toc16938549"/>
      <w:r/>
      <w:bookmarkStart w:id="153"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51"/>
      <w:r/>
      <w:bookmarkEnd w:id="152"/>
      <w:r/>
      <w:bookmarkEnd w:id="153"/>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p>
    <w:p>
      <w:pPr>
        <w:ind w:firstLine="480"/>
        <w:spacing w:line="440" w:lineRule="exact"/>
        <w:rPr>
          <w:rFonts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40" w:lineRule="exact"/>
        <w:rPr>
          <w:rFonts w:ascii="宋体" w:hAnsi="宋体"/>
          <w:color w:val="000000"/>
          <w:sz w:val="24"/>
          <w:szCs w:val="21"/>
          <w:highlight w:val="none"/>
        </w:rPr>
      </w:pPr>
      <w:r/>
      <w:bookmarkStart w:id="154" w:name="_Toc20823306"/>
      <w:r/>
      <w:bookmarkStart w:id="155" w:name="_Toc513029234"/>
      <w:r/>
      <w:bookmarkStart w:id="156"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80"/>
        <w:spacing w:line="44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25.8 异常低价投标审查</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25.8.1 评标过程中出现下列情形之一的，评标委员会应当启动异常低价投标审查程序：</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（1）投标报价低于全部通过符合性审查供应商投标报价平均值50%的，即投标报价&lt;全部通过符合性审查供应商投标报价平均值×50%；</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（2）投标报价低于通过符合性审查的次低报价供应商投标报价50%的，即投标报价&lt;通过符合性审查的次低报价供应商投标报价×50%；</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（3）投标报价低于采购项目最高限价45%的，即投标报价&lt;采购项目最高限价×45%；</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（4）评标委员会基于专业判断，认为供应商报价过低，有可能影响产品质量或者不能诚信履约的其他情形。</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4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4"/>
      <w:r/>
      <w:bookmarkEnd w:id="155"/>
      <w:r/>
      <w:bookmarkEnd w:id="156"/>
      <w:r>
        <w:rPr>
          <w:rFonts w:hint="eastAsia" w:ascii="Arial" w:hAnsi="Arial" w:eastAsia="黑体" w:cs="Arial"/>
          <w:sz w:val="28"/>
          <w:szCs w:val="28"/>
          <w:highlight w:val="none"/>
        </w:rPr>
        <w:t xml:space="preserve">无效投标条款和废标条款</w:t>
      </w:r>
      <w:r/>
    </w:p>
    <w:p>
      <w:pPr>
        <w:ind w:firstLine="480"/>
        <w:spacing w:line="440" w:lineRule="exact"/>
        <w:rPr>
          <w:rFonts w:ascii="宋体" w:hAnsi="宋体"/>
          <w:bCs/>
          <w:sz w:val="24"/>
          <w:szCs w:val="21"/>
          <w:highlight w:val="none"/>
        </w:rPr>
      </w:pPr>
      <w:r/>
      <w:bookmarkStart w:id="157" w:name="_Toc513029235"/>
      <w:r/>
      <w:bookmarkStart w:id="158" w:name="_Toc16938551"/>
      <w:r/>
      <w:bookmarkStart w:id="159" w:name="_Toc20823307"/>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4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4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480"/>
        <w:spacing w:line="44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26.1.10 评标委员会按照本招标文件规定对投标人进行异常低价投标审查后，认为投标人不能证明其报价合理性的。</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26.1.13 投标人所投标产品不符合招标文件中所列国家强制性标准的。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 </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.2.4评标委员会认定招标文件存在歧义、重大缺陷导致评审工作无法进行。</w:t>
      </w:r>
      <w:r/>
    </w:p>
    <w:p>
      <w:pPr>
        <w:ind w:firstLine="480"/>
        <w:spacing w:line="44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44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640"/>
        <w:keepLines/>
        <w:keepNext/>
        <w:spacing w:line="440" w:lineRule="exact"/>
        <w:rPr>
          <w:b/>
          <w:bCs/>
          <w:color w:val="000000"/>
          <w:sz w:val="32"/>
          <w:szCs w:val="32"/>
          <w:highlight w:val="none"/>
        </w:rPr>
        <w:outlineLvl w:val="2"/>
      </w:pPr>
      <w:r/>
      <w:bookmarkStart w:id="160" w:name="_Toc120614219"/>
      <w:r>
        <w:rPr>
          <w:rFonts w:hint="eastAsia"/>
          <w:b/>
          <w:bCs/>
          <w:color w:val="000000"/>
          <w:sz w:val="32"/>
          <w:szCs w:val="32"/>
          <w:highlight w:val="none"/>
        </w:rPr>
        <w:t xml:space="preserve">六、</w:t>
      </w:r>
      <w:bookmarkEnd w:id="157"/>
      <w:r/>
      <w:bookmarkEnd w:id="158"/>
      <w:r/>
      <w:bookmarkEnd w:id="159"/>
      <w:r>
        <w:rPr>
          <w:rFonts w:hint="eastAsia"/>
          <w:b/>
          <w:bCs/>
          <w:color w:val="000000"/>
          <w:sz w:val="32"/>
          <w:szCs w:val="32"/>
          <w:highlight w:val="none"/>
        </w:rPr>
        <w:t xml:space="preserve">定标</w:t>
      </w:r>
      <w:bookmarkEnd w:id="160"/>
      <w:r/>
      <w:r/>
    </w:p>
    <w:p>
      <w:pPr>
        <w:ind w:firstLine="600"/>
        <w:keepLines/>
        <w:keepNext/>
        <w:spacing w:line="440" w:lineRule="exact"/>
        <w:rPr>
          <w:rFonts w:ascii="黑体" w:hAnsi="宋体" w:eastAsia="黑体"/>
          <w:bCs/>
          <w:color w:val="000000"/>
          <w:sz w:val="30"/>
          <w:szCs w:val="30"/>
          <w:highlight w:val="none"/>
        </w:rPr>
        <w:outlineLvl w:val="3"/>
      </w:pPr>
      <w:r/>
      <w:bookmarkStart w:id="161" w:name="_Toc513029238"/>
      <w:r/>
      <w:bookmarkStart w:id="162" w:name="_Toc16938554"/>
      <w:r/>
      <w:bookmarkStart w:id="163"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61"/>
      <w:r>
        <w:rPr>
          <w:rFonts w:hint="eastAsia" w:ascii="黑体" w:hAnsi="宋体" w:eastAsia="黑体"/>
          <w:bCs/>
          <w:color w:val="000000"/>
          <w:sz w:val="30"/>
          <w:szCs w:val="30"/>
          <w:highlight w:val="none"/>
        </w:rPr>
        <w:t xml:space="preserve">确定</w:t>
      </w:r>
      <w:bookmarkEnd w:id="162"/>
      <w:r/>
      <w:bookmarkEnd w:id="163"/>
      <w:r>
        <w:rPr>
          <w:rFonts w:hint="eastAsia" w:ascii="黑体" w:hAnsi="宋体" w:eastAsia="黑体"/>
          <w:bCs/>
          <w:color w:val="000000"/>
          <w:sz w:val="30"/>
          <w:szCs w:val="30"/>
          <w:highlight w:val="none"/>
        </w:rPr>
        <w:t xml:space="preserve">中标单位</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40" w:lineRule="exact"/>
        <w:rPr>
          <w:rFonts w:ascii="宋体" w:hAnsi="宋体"/>
          <w:color w:val="000000"/>
          <w:sz w:val="24"/>
          <w:szCs w:val="24"/>
          <w:highlight w:val="none"/>
        </w:rPr>
      </w:pPr>
      <w:r/>
      <w:bookmarkStart w:id="164"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4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4"/>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4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spacing w:line="44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p>
    <w:p>
      <w:pPr>
        <w:ind w:firstLine="480"/>
        <w:spacing w:line="44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招标文件中采购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4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480"/>
        <w:spacing w:line="440" w:lineRule="exact"/>
        <w:rPr>
          <w:rFonts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keepNext/>
        <w:spacing w:line="440" w:lineRule="exact"/>
        <w:rPr>
          <w:b/>
          <w:bCs/>
          <w:color w:val="000000"/>
          <w:sz w:val="32"/>
          <w:szCs w:val="32"/>
          <w:highlight w:val="none"/>
        </w:rPr>
        <w:outlineLvl w:val="2"/>
      </w:pPr>
      <w:r/>
      <w:bookmarkStart w:id="165" w:name="_Toc16938552"/>
      <w:r/>
      <w:bookmarkStart w:id="166" w:name="_Toc20823308"/>
      <w:r/>
      <w:bookmarkStart w:id="167" w:name="_Toc120614220"/>
      <w:r/>
      <w:bookmarkStart w:id="168" w:name="_Toc513029236"/>
      <w:r>
        <w:rPr>
          <w:rFonts w:hint="eastAsia"/>
          <w:b/>
          <w:bCs/>
          <w:color w:val="000000"/>
          <w:sz w:val="32"/>
          <w:szCs w:val="32"/>
          <w:highlight w:val="none"/>
        </w:rPr>
        <w:t xml:space="preserve">七、授予合同</w:t>
      </w:r>
      <w:bookmarkEnd w:id="165"/>
      <w:r/>
      <w:bookmarkEnd w:id="166"/>
      <w:r/>
      <w:bookmarkEnd w:id="167"/>
      <w:r/>
      <w:bookmarkEnd w:id="168"/>
      <w:r/>
      <w:r/>
    </w:p>
    <w:p>
      <w:pPr>
        <w:ind w:firstLine="600"/>
        <w:keepLines/>
        <w:keepNext/>
        <w:spacing w:line="440" w:lineRule="exact"/>
        <w:rPr>
          <w:rFonts w:ascii="黑体" w:hAnsi="宋体" w:eastAsia="黑体"/>
          <w:bCs/>
          <w:color w:val="000000"/>
          <w:sz w:val="30"/>
          <w:szCs w:val="30"/>
          <w:highlight w:val="none"/>
        </w:rPr>
        <w:outlineLvl w:val="3"/>
      </w:pPr>
      <w:r/>
      <w:bookmarkStart w:id="169" w:name="_Toc513029237"/>
      <w:r/>
      <w:bookmarkStart w:id="170" w:name="_Toc20823309"/>
      <w:r/>
      <w:bookmarkStart w:id="171"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30.2招标文件、中标供应商的投标文件及招标过程中有关澄清、承诺文件均应作为合同附件。</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4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600"/>
        <w:keepLines/>
        <w:keepNext/>
        <w:spacing w:line="44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555"/>
        <w:spacing w:line="46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第三章  合同</w:t>
      </w:r>
      <w:bookmarkEnd w:id="53"/>
      <w:r/>
      <w:bookmarkEnd w:id="54"/>
      <w:r/>
      <w:bookmarkEnd w:id="55"/>
      <w:r/>
      <w:bookmarkEnd w:id="56"/>
      <w:r/>
      <w:bookmarkEnd w:id="57"/>
      <w:r>
        <w:rPr>
          <w:rFonts w:hint="eastAsia" w:ascii="黑体" w:eastAsia="黑体"/>
          <w:bCs/>
          <w:color w:val="000000"/>
          <w:sz w:val="44"/>
          <w:szCs w:val="28"/>
          <w:highlight w:val="none"/>
        </w:rPr>
        <w:t xml:space="preserve">文本</w:t>
      </w:r>
      <w:r/>
    </w:p>
    <w:p>
      <w:pPr>
        <w:spacing w:line="400" w:lineRule="exact"/>
        <w:rPr>
          <w:rFonts w:ascii="宋体" w:hAnsi="宋体"/>
          <w:bCs/>
          <w:color w:val="ff0000"/>
          <w:sz w:val="24"/>
          <w:szCs w:val="24"/>
          <w:highlight w:val="none"/>
        </w:rPr>
      </w:pPr>
      <w:r/>
      <w:bookmarkStart w:id="172" w:name="_Toc3995"/>
      <w:r/>
      <w:bookmarkStart w:id="173" w:name="_Toc20823315"/>
      <w:r/>
      <w:bookmarkStart w:id="174" w:name="_Toc513029243"/>
      <w:r/>
      <w:bookmarkStart w:id="175" w:name="_Toc16938559"/>
      <w:r/>
      <w:bookmarkStart w:id="176" w:name="_Hlt16619350"/>
      <w:r/>
      <w:bookmarkStart w:id="177" w:name="_Toc16938590"/>
      <w:r/>
      <w:bookmarkStart w:id="178" w:name="_Toc20823346"/>
      <w:r/>
      <w:bookmarkStart w:id="179" w:name="_Toc120614244"/>
      <w:r/>
      <w:bookmarkStart w:id="180" w:name="_Toc462564139"/>
      <w:r/>
      <w:bookmarkStart w:id="181" w:name="_Toc479757211"/>
      <w:r/>
      <w:bookmarkEnd w:id="172"/>
      <w:r/>
      <w:bookmarkEnd w:id="173"/>
      <w:r/>
      <w:bookmarkEnd w:id="174"/>
      <w:r/>
      <w:bookmarkEnd w:id="175"/>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pStyle w:val="953"/>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953"/>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953"/>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 政府采购货物买卖合同（试行）</w:t>
      </w:r>
      <w:r/>
    </w:p>
    <w:p>
      <w:pPr>
        <w:pStyle w:val="953"/>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p>
    <w:p>
      <w:pPr>
        <w:ind w:left="420"/>
        <w:spacing w:line="360" w:lineRule="auto"/>
        <w:rPr>
          <w:sz w:val="28"/>
          <w:szCs w:val="28"/>
          <w:highlight w:val="none"/>
          <w:u w:val="single"/>
        </w:rPr>
      </w:pPr>
      <w:r>
        <w:rPr>
          <w:rFonts w:hint="eastAsia"/>
          <w:sz w:val="28"/>
          <w:szCs w:val="28"/>
          <w:highlight w:val="none"/>
        </w:rPr>
        <w:t xml:space="preserve">合同编号：</w:t>
      </w:r>
      <w:r/>
    </w:p>
    <w:p>
      <w:pPr>
        <w:ind w:left="420"/>
        <w:spacing w:line="360" w:lineRule="auto"/>
        <w:rPr>
          <w:sz w:val="28"/>
          <w:szCs w:val="28"/>
          <w:highlight w:val="none"/>
        </w:rPr>
      </w:pPr>
      <w:r>
        <w:rPr>
          <w:rFonts w:hint="eastAsia"/>
          <w:sz w:val="28"/>
          <w:szCs w:val="28"/>
          <w:highlight w:val="none"/>
        </w:rPr>
        <w:t xml:space="preserve">甲    方：</w:t>
      </w:r>
      <w:r/>
    </w:p>
    <w:p>
      <w:pPr>
        <w:ind w:left="420"/>
        <w:spacing w:line="360" w:lineRule="auto"/>
        <w:rPr>
          <w:sz w:val="28"/>
          <w:szCs w:val="28"/>
          <w:highlight w:val="none"/>
          <w:u w:val="single"/>
        </w:rPr>
      </w:pPr>
      <w:r>
        <w:rPr>
          <w:rFonts w:hint="eastAsia"/>
          <w:sz w:val="28"/>
          <w:szCs w:val="28"/>
          <w:highlight w:val="none"/>
        </w:rPr>
        <w:t xml:space="preserve">乙    方：</w:t>
      </w:r>
      <w:r/>
    </w:p>
    <w:p>
      <w:pPr>
        <w:ind w:left="420"/>
        <w:spacing w:line="360" w:lineRule="auto"/>
        <w:rPr>
          <w:sz w:val="28"/>
          <w:szCs w:val="28"/>
          <w:highlight w:val="none"/>
        </w:rPr>
      </w:pPr>
      <w:r>
        <w:rPr>
          <w:rFonts w:hint="eastAsia"/>
          <w:sz w:val="28"/>
          <w:szCs w:val="28"/>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br w:type="page" w:clear="all"/>
      </w: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highlight w:val="none"/>
        </w:rPr>
      </w:r>
      <w:r/>
    </w:p>
    <w:p>
      <w:pPr>
        <w:pStyle w:val="923"/>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pStyle w:val="923"/>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乙方（全称）：（供应商）</w:t>
      </w:r>
      <w:r/>
    </w:p>
    <w:p>
      <w:pPr>
        <w:spacing w:line="400" w:lineRule="exact"/>
        <w:rPr>
          <w:highlight w:val="none"/>
        </w:rPr>
      </w:pPr>
      <w:r>
        <w:rPr>
          <w:highlight w:val="none"/>
        </w:rPr>
      </w:r>
      <w:r/>
    </w:p>
    <w:p>
      <w:pPr>
        <w:pStyle w:val="95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项目信息</w:t>
      </w:r>
      <w:r/>
    </w:p>
    <w:p>
      <w:pPr>
        <w:pStyle w:val="955"/>
        <w:numPr>
          <w:ilvl w:val="0"/>
          <w:numId w:val="6"/>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p>
    <w:p>
      <w:pPr>
        <w:pStyle w:val="95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p>
    <w:p>
      <w:pPr>
        <w:pStyle w:val="95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品牌：规格型号：</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 品牌： 型号：</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     关键部件： 品牌： 型号：</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     关键部件： 品牌： 型号：</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37"/>
        <w:ind w:firstLine="0"/>
        <w:rPr>
          <w:rFonts w:ascii="宋体" w:hAnsi="宋体" w:eastAsia="宋体" w:cs="宋体"/>
          <w:sz w:val="21"/>
          <w:highlight w:val="none"/>
        </w:rPr>
      </w:pP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037"/>
        <w:ind w:firstLine="0"/>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 数量： 金额：</w:t>
      </w:r>
      <w:r/>
    </w:p>
    <w:p>
      <w:pPr>
        <w:pStyle w:val="1037"/>
        <w:ind w:firstLine="0"/>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037"/>
        <w:ind w:firstLine="420"/>
        <w:rPr>
          <w:rFonts w:ascii="宋体" w:hAnsi="宋体" w:eastAsia="宋体" w:cs="宋体"/>
          <w:sz w:val="21"/>
          <w:highlight w:val="none"/>
          <w:u w:val="singl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037"/>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ascii="宋体" w:hAnsi="宋体"/>
          <w:szCs w:val="21"/>
          <w:highlight w:val="none"/>
          <w:u w:val="single"/>
        </w:rPr>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37"/>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金额：</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 品牌： 规格型号：</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spacing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spacing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037"/>
        <w:ind w:firstLine="0"/>
        <w:rPr>
          <w:rFonts w:ascii="宋体" w:hAnsi="宋体" w:eastAsia="宋体" w:cs="Times New Roman"/>
          <w:sz w:val="21"/>
          <w:highlight w:val="none"/>
        </w:rPr>
      </w:pPr>
      <w:r>
        <w:rPr>
          <w:rFonts w:hint="eastAsia" w:ascii="宋体" w:hAnsi="宋体" w:eastAsia="宋体" w:cs="Times New Roman"/>
          <w:sz w:val="21"/>
          <w:highlight w:val="none"/>
        </w:rPr>
        <w:t xml:space="preserve">是否涉及绿色产品： </w:t>
      </w:r>
      <w:r/>
    </w:p>
    <w:p>
      <w:pPr>
        <w:pStyle w:val="1037"/>
        <w:ind w:firstLine="420"/>
        <w:rPr>
          <w:rFonts w:ascii="宋体" w:hAnsi="宋体" w:eastAsia="宋体"/>
          <w:highlight w:val="none"/>
          <w:u w:val="singl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p>
    <w:p>
      <w:pPr>
        <w:spacing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037"/>
        <w:ind w:firstLine="420"/>
        <w:rPr>
          <w:rFonts w:ascii="宋体" w:hAnsi="宋体"/>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p>
    <w:p>
      <w:pPr>
        <w:spacing w:line="400" w:lineRule="exact"/>
        <w:rPr>
          <w:rFonts w:ascii="宋体" w:hAnsi="宋体"/>
          <w:szCs w:val="21"/>
          <w:highlight w:val="none"/>
          <w:u w:val="single"/>
        </w:rPr>
      </w:pPr>
      <w:r>
        <w:rPr>
          <w:rFonts w:hint="eastAsia" w:ascii="宋体" w:hAnsi="宋体"/>
          <w:szCs w:val="21"/>
          <w:highlight w:val="none"/>
        </w:rPr>
        <w:t xml:space="preserve">                 大写：</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p>
    <w:p>
      <w:pPr>
        <w:spacing w:line="400" w:lineRule="exact"/>
        <w:rPr>
          <w:rFonts w:ascii="宋体" w:hAnsi="宋体"/>
          <w:szCs w:val="21"/>
          <w:highlight w:val="none"/>
          <w:u w:val="single"/>
        </w:rPr>
      </w:pPr>
      <w:r>
        <w:rPr>
          <w:rFonts w:hint="eastAsia" w:ascii="宋体" w:hAnsi="宋体"/>
          <w:szCs w:val="21"/>
          <w:highlight w:val="none"/>
        </w:rPr>
        <w:t xml:space="preserve">大写：</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pStyle w:val="1005"/>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分期付款：本项目计划分三个周期完成和付款：</w:t>
      </w:r>
      <w:r>
        <w:rPr>
          <w:rFonts w:hint="eastAsia" w:ascii="宋体" w:hAnsi="宋体" w:cs="Courier New"/>
          <w:color w:val="000000"/>
          <w:szCs w:val="21"/>
          <w:highlight w:val="none"/>
        </w:rPr>
        <w:t xml:space="preserve">合同签订后，分三批次</w:t>
      </w:r>
      <w:r>
        <w:rPr>
          <w:rFonts w:ascii="宋体" w:hAnsi="宋体" w:cs="Courier New"/>
          <w:color w:val="000000"/>
          <w:szCs w:val="21"/>
          <w:highlight w:val="none"/>
        </w:rPr>
        <w:t xml:space="preserve">交付并完成安装调试及验收等相关工作</w:t>
      </w:r>
      <w:r>
        <w:rPr>
          <w:rFonts w:hint="eastAsia" w:ascii="宋体" w:hAnsi="宋体" w:cs="Courier New"/>
          <w:color w:val="000000"/>
          <w:szCs w:val="21"/>
          <w:highlight w:val="none"/>
        </w:rPr>
        <w:t xml:space="preserve">，按</w:t>
      </w:r>
      <w:r>
        <w:rPr>
          <w:rFonts w:hint="eastAsia" w:ascii="宋体" w:hAnsi="宋体"/>
          <w:szCs w:val="21"/>
          <w:highlight w:val="none"/>
        </w:rPr>
        <w:t xml:space="preserve">照甲方认可确认的更新批次计划，根据电梯分项报价清单，每个更新批次开始前</w:t>
      </w:r>
      <w:r>
        <w:rPr>
          <w:rFonts w:hint="eastAsia" w:ascii="宋体" w:hAnsi="宋体" w:cs="Courier New"/>
          <w:color w:val="000000"/>
          <w:szCs w:val="21"/>
          <w:highlight w:val="none"/>
        </w:rPr>
        <w:t xml:space="preserve">甲方支付当前更新批次电梯总价款的30%作为预付款，批次内电梯全部安装完成后，且所更换电梯经甲方及政府相关部门验收合格并取得电梯监督检验报告书、特种设备使用登记证、特种设备使用标志，支付至相应批次总额的100%，然后进入下一个更换批次；当采购数量与实际更换数量不一致时，乙方应根据甲方要求的更换量供货，合同的最终结算金额按实际更换量乘以成交单价进行计算。</w:t>
      </w:r>
      <w:r/>
    </w:p>
    <w:p>
      <w:pPr>
        <w:ind w:firstLine="630"/>
        <w:spacing w:line="400" w:lineRule="exact"/>
        <w:rPr>
          <w:rFonts w:ascii="宋体" w:hAnsi="宋体" w:cs="Courier New"/>
          <w:color w:val="000000"/>
          <w:sz w:val="24"/>
          <w:szCs w:val="24"/>
          <w:highlight w:val="none"/>
        </w:rPr>
      </w:pPr>
      <w:r>
        <w:rPr>
          <w:rFonts w:hint="eastAsia" w:ascii="宋体" w:hAnsi="宋体"/>
          <w:szCs w:val="21"/>
          <w:highlight w:val="none"/>
          <w:u w:val="single"/>
        </w:rPr>
        <w:t xml:space="preserve">（应明确分期支付合同款项的各期比例和支付条件，各期支付条件应与分期履约验收情况挂钩）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（1）起始日期：年月日，完成日期：年月日。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line="264" w:lineRule="auto"/>
        <w:rPr>
          <w:rFonts w:ascii="宋体" w:hAnsi="宋体" w:cs="宋体"/>
          <w:highlight w:val="none"/>
        </w:rPr>
      </w:pPr>
      <w:r>
        <w:rPr>
          <w:rFonts w:hint="eastAsia" w:ascii="宋体" w:hAnsi="宋体" w:cs="宋体"/>
          <w:highlight w:val="none"/>
        </w:rPr>
        <w:t xml:space="preserve">收取履约保证金形式：签订合同时，乙方按照合同金</w:t>
      </w:r>
      <w:r>
        <w:rPr>
          <w:rFonts w:hint="eastAsia" w:ascii="宋体" w:hAnsi="宋体" w:cs="宋体"/>
          <w:highlight w:val="none"/>
        </w:rPr>
        <w:t xml:space="preserve">额10%缴纳履约保证金。合同履行结束后，甲方按以下约定退还：1. 退还时间及条件：验收合格且合同履行期结束后（完成5年维保期后）5个工作日内。2. 退还方式：扣除违约费用后一次性无息退还。3.不予退还的情形：合同约定的交付期内未履约完成、验收不合格、整改不到位以及维保期内维保不到位等情形。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7"/>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p>
    <w:p>
      <w:pPr>
        <w:pStyle w:val="1037"/>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本合同自生效。</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本合同一式份，甲方执份，乙方执份，均具有同等法律效力。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合同订立时间：年月日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p>
    <w:p>
      <w:pPr>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p>
    <w:p>
      <w:pPr>
        <w:pStyle w:val="1005"/>
        <w:rPr>
          <w:highlight w:val="none"/>
          <w:lang w:eastAsia="zh-CN"/>
        </w:rPr>
      </w:pPr>
      <w:r>
        <w:rPr>
          <w:highlight w:val="none"/>
          <w:lang w:eastAsia="zh-CN"/>
        </w:rPr>
      </w:r>
      <w:r/>
    </w:p>
    <w:tbl>
      <w:tblPr>
        <w:tblStyle w:val="72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8" w:type="dxa"/>
            <w:vAlign w:val="center"/>
            <w:textDirection w:val="lrTb"/>
            <w:noWrap/>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W w:w="1126" w:type="dxa"/>
            <w:vAlign w:val="center"/>
            <w:textDirection w:val="lrTb"/>
            <w:noWrap/>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59" w:type="dxa"/>
            <w:vAlign w:val="center"/>
            <w:textDirection w:val="lrTb"/>
            <w:noWrap/>
          </w:tcPr>
          <w:p>
            <w:pPr>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tcPr>
          <w:p>
            <w:pPr>
              <w:jc w:val="center"/>
              <w:spacing w:line="300" w:lineRule="exact"/>
              <w:rPr>
                <w:szCs w:val="21"/>
                <w:highlight w:val="none"/>
              </w:rPr>
            </w:pPr>
            <w:r>
              <w:rPr>
                <w:szCs w:val="21"/>
                <w:highlight w:val="none"/>
              </w:rPr>
            </w:r>
            <w:r/>
          </w:p>
        </w:tc>
        <w:tc>
          <w:tcPr>
            <w:tcW w:w="1436" w:type="dxa"/>
            <w:vAlign w:val="center"/>
            <w:vMerge w:val="continue"/>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rFonts w:hint="eastAsia"/>
                <w:szCs w:val="21"/>
                <w:highlight w:val="none"/>
              </w:rPr>
              <w:t xml:space="preserve">拥有者性别</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rFonts w:hint="eastAsia"/>
                <w:szCs w:val="21"/>
                <w:highlight w:val="none"/>
              </w:rPr>
              <w:t xml:space="preserve">住  所</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rFonts w:hint="eastAsia"/>
                <w:szCs w:val="21"/>
                <w:highlight w:val="none"/>
              </w:rPr>
              <w:t xml:space="preserve">住  所</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联 系 人</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联系电话</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rFonts w:hint="eastAsia"/>
                <w:szCs w:val="21"/>
                <w:highlight w:val="none"/>
              </w:rPr>
              <w:t xml:space="preserve">通信地址</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rFonts w:hint="eastAsia"/>
                <w:szCs w:val="21"/>
                <w:highlight w:val="none"/>
              </w:rPr>
              <w:t xml:space="preserve">通信地址</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邮政编码</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rFonts w:hint="eastAsia"/>
                <w:szCs w:val="21"/>
                <w:highlight w:val="none"/>
              </w:rPr>
              <w:t xml:space="preserve">电子邮箱</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rFonts w:hint="eastAsia"/>
                <w:szCs w:val="21"/>
                <w:highlight w:val="none"/>
              </w:rPr>
              <w:t xml:space="preserve">统一社会信用代码</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szCs w:val="21"/>
                <w:highlight w:val="none"/>
              </w:rPr>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开户名称</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szCs w:val="21"/>
                <w:highlight w:val="none"/>
              </w:rPr>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开户银行</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tcPr>
          <w:p>
            <w:pPr>
              <w:jc w:val="center"/>
              <w:spacing w:line="300" w:lineRule="exact"/>
              <w:rPr>
                <w:szCs w:val="21"/>
                <w:highlight w:val="none"/>
              </w:rPr>
            </w:pPr>
            <w:r>
              <w:rPr>
                <w:szCs w:val="21"/>
                <w:highlight w:val="none"/>
              </w:rPr>
            </w:r>
            <w:r/>
          </w:p>
        </w:tc>
        <w:tc>
          <w:tcPr>
            <w:tcW w:w="1436" w:type="dxa"/>
            <w:vAlign w:val="center"/>
            <w:textDirection w:val="lrTb"/>
            <w:noWrap/>
          </w:tcPr>
          <w:p>
            <w:pPr>
              <w:jc w:val="center"/>
              <w:spacing w:line="300" w:lineRule="exact"/>
              <w:rPr>
                <w:szCs w:val="21"/>
                <w:highlight w:val="none"/>
              </w:rPr>
            </w:pPr>
            <w:r>
              <w:rPr>
                <w:szCs w:val="21"/>
                <w:highlight w:val="none"/>
              </w:rPr>
            </w:r>
            <w:r/>
          </w:p>
        </w:tc>
        <w:tc>
          <w:tcPr>
            <w:tcW w:w="1178" w:type="dxa"/>
            <w:vAlign w:val="center"/>
            <w:textDirection w:val="lrTb"/>
            <w:noWrap/>
          </w:tcPr>
          <w:p>
            <w:pPr>
              <w:jc w:val="center"/>
              <w:spacing w:line="300" w:lineRule="exact"/>
              <w:rPr>
                <w:szCs w:val="21"/>
                <w:highlight w:val="none"/>
              </w:rPr>
            </w:pPr>
            <w:r>
              <w:rPr>
                <w:szCs w:val="21"/>
                <w:highlight w:val="none"/>
              </w:rPr>
              <w:t xml:space="preserve">银行账号</w:t>
            </w:r>
            <w:r/>
          </w:p>
        </w:tc>
        <w:tc>
          <w:tcPr>
            <w:tcW w:w="1259" w:type="dxa"/>
            <w:vAlign w:val="center"/>
            <w:textDirection w:val="lrTb"/>
            <w:noWrap/>
          </w:tcPr>
          <w:p>
            <w:pPr>
              <w:jc w:val="center"/>
              <w:spacing w:line="300" w:lineRule="exact"/>
              <w:rPr>
                <w:spacing w:val="20"/>
                <w:szCs w:val="21"/>
                <w:highlight w:val="none"/>
              </w:rPr>
            </w:pPr>
            <w:r>
              <w:rPr>
                <w:spacing w:val="20"/>
                <w:szCs w:val="21"/>
                <w:highlight w:val="none"/>
              </w:rPr>
            </w:r>
            <w:r/>
          </w:p>
        </w:tc>
      </w:tr>
      <w:tr>
        <w:trPr>
          <w:trHeight w:val="586"/>
        </w:trPr>
        <w:tc>
          <w:tcPr>
            <w:gridSpan w:val="4"/>
            <w:tcW w:w="8403" w:type="dxa"/>
            <w:vAlign w:val="center"/>
            <w:textDirection w:val="lrTb"/>
            <w:noWrap/>
          </w:tcPr>
          <w:p>
            <w:pPr>
              <w:pStyle w:val="95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23"/>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37"/>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60"/>
        <w:ind w:firstLine="40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0"/>
        <w:ind w:firstLine="40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037"/>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3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37"/>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rPr>
          <w:rFonts w:ascii="黑体" w:hAnsi="华文中宋" w:eastAsia="黑体"/>
          <w:sz w:val="28"/>
          <w:szCs w:val="28"/>
          <w:highlight w:val="none"/>
        </w:rPr>
      </w:pPr>
      <w:r>
        <w:rPr>
          <w:rFonts w:hint="eastAsia" w:ascii="黑体" w:hAnsi="华文中宋" w:eastAsia="黑体"/>
          <w:sz w:val="28"/>
          <w:szCs w:val="28"/>
          <w:highlight w:val="none"/>
        </w:rPr>
        <w:t xml:space="preserve">附件</w:t>
      </w:r>
      <w:r/>
    </w:p>
    <w:p>
      <w:pPr>
        <w:pStyle w:val="1037"/>
        <w:ind w:firstLine="0"/>
        <w:jc w:val="center"/>
        <w:spacing w:line="440" w:lineRule="exact"/>
        <w:rPr>
          <w:rFonts w:ascii="宋体" w:hAnsi="宋体" w:eastAsia="宋体" w:cs="宋体"/>
          <w:b/>
          <w:sz w:val="28"/>
          <w:highlight w:val="none"/>
        </w:rPr>
      </w:pPr>
      <w:r>
        <w:rPr>
          <w:rFonts w:hint="eastAsia" w:ascii="宋体" w:hAnsi="宋体" w:eastAsia="宋体" w:cs="宋体"/>
          <w:b/>
          <w:sz w:val="28"/>
          <w:highlight w:val="none"/>
        </w:rPr>
        <w:t xml:space="preserve">项目安全责任协议书</w:t>
      </w:r>
      <w:r/>
    </w:p>
    <w:p>
      <w:pPr>
        <w:pStyle w:val="1037"/>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发包方：</w:t>
      </w:r>
      <w:r/>
    </w:p>
    <w:p>
      <w:pPr>
        <w:pStyle w:val="1037"/>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承包方：</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为加强项目安全管理，保障作业过程人身及财产安全，明确双方安全职责，根据国家有关安全生产的法律法规以及扬州大学附属医院《建设工程施工场地管理规定》、《建设工程安全文明施工管理办法》的要求，经双方充分协商签订本协议。</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一、项目情况</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施工合同名称：</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施工或作业地点：</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二、发包方职责</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1、严格遵守国家有关安全生产的法律法规，认真执行项目合同中的有关安全要求。</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2、发包方有权了解承包方所具有的安全生产资质、安全制度、安全操作规程以及针对该施工项目制定的事故防范措施。发包方认为承包方的防范措施不当时有权建议承包方予以补正。</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3、发包方对检查中发现的违章现象、事故隐患和不安全行为，有权责令承包方整改、停工整顿，并视情节予以相关违约金处罚。</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4、非发包方原因造成的安全事故，发包方概不承担任何责任，但发包方应为抢救伤员等抢险救灾提供各种方便。</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三、承包方职责</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1、承包方各级领导、工程技术及管理人员和作业人员，必须熟悉和遵守本条款各项规定。</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2、承包方应建立健全安全生产的管理机构和管理制度、作业安全管理措施，配备专职及兼职安全人员负责现场安全监督管理。制定应急救援预案和应急救援措施，培训应急救援人员。</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3、承包方严格遵守国家安全法律法规、标准和发包方安全管理制度（见附件A建设工程施工场地管理规定、附件B建设工程安全文明施工管理办法），出席该项目安全工作会议，执行会议决定，接受发包方的安全监督管理，因不服从管理导致生产安全事故的由承包方承担全部责任。</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4、承包方应对本单位的施工人员登记造册（包括身份证复印件、特种作业人员资格证等），并连同相关安全资质向发包方报告备案。承包方不得录用无身份证件的人员和未满十八周岁的未成年人和超过法定退休人员及健康缺陷人员。</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5、承包方应组织其员工学习发包方的安全相关管理规章制度及相关安全要求，督促其员工自觉遵守，并保留相应的安全管理记录。未经安全教育的不得进入服务现场，并应在工作中经常进行安全再教育，提高从业人员安全意识。</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6.承包方应组织作业人员进行安全技术教育，熟知和遵守各项安全技术操作规程，对于从事电气、起重、登高架设作业、焊接、机动车驾驶等特珠工种的人员，必须经专业培训获得特种作业或特种设备作业人员资格证，方准上岗作业。</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7、严禁破坏承重结构，不得在承重结构上开孔、开槽，在楼板上、非承重墙上开洞需标注位置，经监理甲方同意后再实施。</w:t>
      </w:r>
      <w:r/>
    </w:p>
    <w:p>
      <w:pPr>
        <w:pStyle w:val="1037"/>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8</w:t>
      </w:r>
      <w:r>
        <w:rPr>
          <w:rFonts w:hint="eastAsia" w:ascii="宋体" w:hAnsi="宋体" w:eastAsia="宋体" w:cs="宋体"/>
          <w:sz w:val="21"/>
          <w:highlight w:val="none"/>
        </w:rPr>
        <w:t xml:space="preserve">、承包方必须严格执行各类的防火、防爆、动火制度，易燃易爆场所严禁吸烟及动用明火，消防器材必须配备放置到位，且不准挪作他用。电焊、气割作业应按规定办理动火审批手续和动火监护，严格遵守“十不烧”规定，如现场必须采用明火的，应取得动火证及防火主管人员同意，落实防火措施，并指派专人监督。气瓶使用禁止敲击、碰撞、放倒使用，气瓶不得靠近热源，可燃气体气瓶与明火的距离不得小于10米，夏季要防止太阳暴晒，瓶内气体不能用尽，必须留有剩余压力；不得用电磁起重机搬运气瓶，以免失电时气瓶从高空坠落而致气瓶损坏和爆炸。</w:t>
      </w:r>
      <w:r/>
    </w:p>
    <w:p>
      <w:pPr>
        <w:pStyle w:val="1037"/>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9</w:t>
      </w:r>
      <w:r>
        <w:rPr>
          <w:rFonts w:hint="eastAsia" w:ascii="宋体" w:hAnsi="宋体" w:eastAsia="宋体" w:cs="宋体"/>
          <w:sz w:val="21"/>
          <w:highlight w:val="none"/>
        </w:rPr>
        <w:t xml:space="preserve">、承包方对脚手架搭设必须进行设计计算，编制搭拆方案，满足规范要求，基础必须坚实，做好排水措施，防止地基沉陷引起架子沉降、变形、倒塌；出入口设置规范的通道防护棚；连墙件按要求设置到位；脚手架上的荷载不应超过规定，人员、材料不要太集中；施工作业层的脚手板要满铺、牢固；架子工属于特殊工种，必须取得特种作业人员操作证；患有高血压、心脏病、癫痫、贫血、深度近视人员禁止从事脚手架作业。</w:t>
      </w:r>
      <w:r/>
    </w:p>
    <w:p>
      <w:pPr>
        <w:pStyle w:val="1037"/>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10</w:t>
      </w:r>
      <w:r>
        <w:rPr>
          <w:rFonts w:hint="eastAsia" w:ascii="宋体" w:hAnsi="宋体" w:eastAsia="宋体" w:cs="宋体"/>
          <w:sz w:val="21"/>
          <w:highlight w:val="none"/>
        </w:rPr>
        <w:t xml:space="preserve">、承包方建立“三宝”“四口”“五临边”的防护制度，正确佩戴安全帽、安全带，临边作业必须设置防护栏杆和安全网；洞口作业可能造成人与物坠落危险时，应设置防护设施和安全标志；夜间应对“四口”设红灯示警。</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1</w:t>
      </w:r>
      <w:r>
        <w:rPr>
          <w:rFonts w:hint="eastAsia" w:ascii="宋体" w:hAnsi="宋体" w:eastAsia="宋体" w:cs="宋体"/>
          <w:sz w:val="21"/>
          <w:highlight w:val="none"/>
        </w:rPr>
        <w:t xml:space="preserve">、承包方使用物料提升机应经审批，高架提升机应有下极限位器、缓冲器或无超载限制器，架体固定应牢固、稳定，缆风绳应使用钢丝绳，钢丝绳直径小于9.3mm，钢丝绳磨损不得超过标准，不得锈蚀、缺油。</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2</w:t>
      </w:r>
      <w:r>
        <w:rPr>
          <w:rFonts w:hint="eastAsia" w:ascii="宋体" w:hAnsi="宋体" w:eastAsia="宋体" w:cs="宋体"/>
          <w:sz w:val="21"/>
          <w:highlight w:val="none"/>
        </w:rPr>
        <w:t xml:space="preserve">、承包方使用起重机吊装材料及垃圾时，必须坚持“十不吊”原则。</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3</w:t>
      </w:r>
      <w:r>
        <w:rPr>
          <w:rFonts w:hint="eastAsia" w:ascii="宋体" w:hAnsi="宋体" w:eastAsia="宋体" w:cs="宋体"/>
          <w:sz w:val="21"/>
          <w:highlight w:val="none"/>
        </w:rPr>
        <w:t xml:space="preserve">、承包方施工现场拆除作业中，要严格按照从外到内、从上到下的顺序逐层拆除；拆除施工场所周围设立围栏，挂警告牌，并派专人监护，严禁无关人员逗留；建筑物拆除时应自上而下，顺序进行，禁止数层同时拆除；拆除现场照明不得使用被拆除建筑物中的配电线。</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4</w:t>
      </w:r>
      <w:r>
        <w:rPr>
          <w:rFonts w:hint="eastAsia" w:ascii="宋体" w:hAnsi="宋体" w:eastAsia="宋体" w:cs="宋体"/>
          <w:sz w:val="21"/>
          <w:highlight w:val="none"/>
        </w:rPr>
        <w:t xml:space="preserve">、承包方应对施工区域范围按要求设置围挡封闭施工，围挡材料应坚固、稳定、整洁、美观，并沿工地四周连续设置，并做标识，大门口应挂五牌一图。施工材料按照要求堆放整齐，不得对医院病员及职工造成绊倒隐患，易燃易爆物品应分类存放。</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5</w:t>
      </w:r>
      <w:r>
        <w:rPr>
          <w:rFonts w:hint="eastAsia" w:ascii="宋体" w:hAnsi="宋体" w:eastAsia="宋体" w:cs="宋体"/>
          <w:sz w:val="21"/>
          <w:highlight w:val="none"/>
        </w:rPr>
        <w:t xml:space="preserve">、承包方必须对现场临时</w:t>
      </w:r>
      <w:r>
        <w:rPr>
          <w:rFonts w:hint="eastAsia" w:ascii="宋体" w:hAnsi="宋体" w:eastAsia="宋体" w:cs="宋体"/>
          <w:sz w:val="21"/>
          <w:highlight w:val="none"/>
        </w:rPr>
        <w:t xml:space="preserve">用电安排专业人员操作，电工必须取得特种作业操作资格证，方可上岗；配电箱应符合“三级配电两级保护”及“一机、一闸、一漏、一箱”要求，周围不得堆放杂物，电箱应有门、有锁、有防雨措施；严禁非专业人员私拉乱接；不准以其他金属丝代替保险丝；电线、电缆应架空设置；电气装置不得超负荷运行；电气装置附近禁止存放易燃、易爆物品，应当配备消防器材，发生电气火情时，不能用水及泡沫灭火器进行灭火，要首先设法切断电源，采用二氧化碳、干粉等灭火设备灭火。手持电动工具严禁不用插头直接将电线的金属丝插入插座，工具电源处必须装漏电保护装置。</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6</w:t>
      </w:r>
      <w:r>
        <w:rPr>
          <w:rFonts w:hint="eastAsia" w:ascii="宋体" w:hAnsi="宋体" w:eastAsia="宋体" w:cs="宋体"/>
          <w:sz w:val="21"/>
          <w:highlight w:val="none"/>
        </w:rPr>
        <w:t xml:space="preserve">、承包方应按照国家相关法律法规的要求,为从业人员配备、发放符合国家标准和行业标准的劳动保护用品、用具，督促其从业人员正确穿戴使用，并做好检查工作。</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7</w:t>
      </w:r>
      <w:r>
        <w:rPr>
          <w:rFonts w:hint="eastAsia" w:ascii="宋体" w:hAnsi="宋体" w:eastAsia="宋体" w:cs="宋体"/>
          <w:sz w:val="21"/>
          <w:highlight w:val="none"/>
        </w:rPr>
        <w:t xml:space="preserve">、承包方在施工区域行驶或停放的车辆应服从现场管理人员指挥，禁止在消防通道、道路交叉出入口以及设有禁停标志和未划有停车线位的区域停放车辆，禁止超速行驶。</w:t>
      </w:r>
      <w:r/>
    </w:p>
    <w:p>
      <w:pPr>
        <w:pStyle w:val="1037"/>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18</w:t>
      </w:r>
      <w:r>
        <w:rPr>
          <w:rFonts w:hint="eastAsia" w:ascii="宋体" w:hAnsi="宋体" w:eastAsia="宋体" w:cs="宋体"/>
          <w:sz w:val="21"/>
          <w:highlight w:val="none"/>
        </w:rPr>
        <w:t xml:space="preserve">、承包方必须严格遵守安全生产、环境保护、社会治安规章制度组织项目施工或生产作业，并定期组织开展施工及生产作业现场安全检查与整改，并保留相关检查记录。</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9</w:t>
      </w:r>
      <w:r>
        <w:rPr>
          <w:rFonts w:hint="eastAsia" w:ascii="宋体" w:hAnsi="宋体" w:eastAsia="宋体" w:cs="宋体"/>
          <w:sz w:val="21"/>
          <w:highlight w:val="none"/>
        </w:rPr>
        <w:t xml:space="preserve">、对风险性较大的项目施工及生产作业，承包方必须充分识别安全风险，制定专项安全方案，经论证报监理单位、发包方备案审批后实施，并做好现场的安全技术交底。</w:t>
      </w:r>
      <w:r/>
    </w:p>
    <w:p>
      <w:pPr>
        <w:pStyle w:val="1037"/>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20</w:t>
      </w:r>
      <w:r>
        <w:rPr>
          <w:rFonts w:hint="eastAsia" w:ascii="宋体" w:hAnsi="宋体" w:eastAsia="宋体" w:cs="宋体"/>
          <w:sz w:val="21"/>
          <w:highlight w:val="none"/>
        </w:rPr>
        <w:t xml:space="preserve">、承包方必须按照施工项目及生产作业的特点，组织制定安全事故应急救援预案并定期组织预案演练，保留相关记录。</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1</w:t>
      </w:r>
      <w:r>
        <w:rPr>
          <w:rFonts w:hint="eastAsia" w:ascii="宋体" w:hAnsi="宋体" w:eastAsia="宋体" w:cs="宋体"/>
          <w:sz w:val="21"/>
          <w:highlight w:val="none"/>
        </w:rPr>
        <w:t xml:space="preserve">、承包方在施工过程中当天产生的垃圾当日清理干净。施工结束后，乙方应对施工现场彻底清理，做到工完、料尽、场地清。清理出的垃圾不能随意堆放在甲方管理的场地内，否则视为承包方违约，承包方须根据实际情况缴纳违约金。午间、夜间及中考、高考等特殊期间应禁止高噪声作业，可能产生大量扬尘的作业，应采取洒水等有效降尘措施。对外发生的环境污染、交通等意外事故由承包方负责。发生人身事故或生产运行的不安全情况，应立即报告甲方单位安全主管部门。</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2</w:t>
      </w:r>
      <w:r>
        <w:rPr>
          <w:rFonts w:hint="eastAsia" w:ascii="宋体" w:hAnsi="宋体" w:eastAsia="宋体" w:cs="宋体"/>
          <w:sz w:val="21"/>
          <w:highlight w:val="none"/>
        </w:rPr>
        <w:t xml:space="preserve">、承包方必须服从发包方的安全监督与检查，不得以任何理由、方式阻碍甲方履行安全职能。</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3</w:t>
      </w:r>
      <w:r>
        <w:rPr>
          <w:rFonts w:hint="eastAsia" w:ascii="宋体" w:hAnsi="宋体" w:eastAsia="宋体" w:cs="宋体"/>
          <w:sz w:val="21"/>
          <w:highlight w:val="none"/>
        </w:rPr>
        <w:t xml:space="preserve">、承包方必须及时反馈项目施工或生产作业现场的各类安全异常情况或信息，并积极配合发包方协调和处理相关安全问题。</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4</w:t>
      </w:r>
      <w:r>
        <w:rPr>
          <w:rFonts w:hint="eastAsia" w:ascii="宋体" w:hAnsi="宋体" w:eastAsia="宋体" w:cs="宋体"/>
          <w:sz w:val="21"/>
          <w:highlight w:val="none"/>
        </w:rPr>
        <w:t xml:space="preserve">、如发生承包方损坏发包方财产情形的，承包方应积极向发包方报告并协商修复或赔偿。</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5</w:t>
      </w:r>
      <w:r>
        <w:rPr>
          <w:rFonts w:hint="eastAsia" w:ascii="宋体" w:hAnsi="宋体" w:eastAsia="宋体" w:cs="宋体"/>
          <w:sz w:val="21"/>
          <w:highlight w:val="none"/>
        </w:rPr>
        <w:t xml:space="preserve">、如承包方发生安全事故、事件，必须立即向发包方报告，采取相应的措施保护好现场，并按应急预案组织抢险救灾；同时按照事故“四不放过”原则进行处理，并报发包方备案。</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6</w:t>
      </w:r>
      <w:r>
        <w:rPr>
          <w:rFonts w:hint="eastAsia" w:ascii="宋体" w:hAnsi="宋体" w:eastAsia="宋体" w:cs="宋体"/>
          <w:sz w:val="21"/>
          <w:highlight w:val="none"/>
        </w:rPr>
        <w:t xml:space="preserve">、合同履行期间因承包方原因导致的一切安全事故由承包方承担，承包方人员工伤事故由承包方承担，因承包方及其职员的原因造成发包方人员及财物以及第三方人员及财物的损害由承包方全部承担。</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四、违约责任处理</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若承包方违反发包方相关制度，将根据事故损失情况和违章事实予以违约金处罚，具体执行扬州大学附属医院《建设工程施工场地管理规定》、《建设工程安全文明施工管理办法》和合同约定的违约金处罚方式。</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2、若承包方发生重大安全责任事故或对发包方造成重大经济损失的，除对发包方进行经济赔偿外，将按国家有关法律规定，交送公安机关依法追究刑事责任。</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五、其他约定</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1、安全协议有效期为本项目施工合同约定期限，施工（检修）项目竣工验收合格、质保期满后合同自行终止。</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2、本协议经发包方、承包方双方签字盖章后生效，作为本项目施工合同的附件，双方应认真履行。</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3、本协议中未尽事宜，按照本项目施工合同条款执行。</w:t>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4、本协议一式三份，发包方、承包方双方各执一份，报发包方保卫处备案一份。</w:t>
      </w:r>
      <w:r/>
    </w:p>
    <w:p>
      <w:pPr>
        <w:pStyle w:val="1037"/>
        <w:ind w:firstLine="420"/>
        <w:jc w:val="both"/>
        <w:spacing w:line="440" w:lineRule="exact"/>
        <w:rPr>
          <w:rFonts w:ascii="宋体" w:hAnsi="宋体" w:eastAsia="宋体" w:cs="宋体"/>
          <w:sz w:val="21"/>
          <w:highlight w:val="none"/>
        </w:rPr>
      </w:pPr>
      <w:r>
        <w:rPr>
          <w:rFonts w:ascii="宋体" w:hAnsi="宋体" w:eastAsia="宋体" w:cs="宋体"/>
          <w:sz w:val="21"/>
          <w:highlight w:val="none"/>
        </w:rPr>
      </w:r>
      <w:r/>
    </w:p>
    <w:p>
      <w:pPr>
        <w:pStyle w:val="1037"/>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特别提示：本安全协议发包方、承包方双方均仔细阅读并已经充分了解协议内容及意思表示。</w:t>
      </w:r>
      <w:r/>
    </w:p>
    <w:p>
      <w:pPr>
        <w:pStyle w:val="1037"/>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发包方（章）：承包方（章）：</w:t>
      </w:r>
      <w:r/>
    </w:p>
    <w:p>
      <w:pPr>
        <w:pStyle w:val="1037"/>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发包方代表：　承包方代表：</w:t>
      </w:r>
      <w:r/>
    </w:p>
    <w:p>
      <w:pPr>
        <w:pStyle w:val="1037"/>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日期：日期：</w:t>
      </w:r>
      <w:r/>
    </w:p>
    <w:p>
      <w:pPr>
        <w:spacing w:before="156" w:after="156" w:line="360" w:lineRule="exact"/>
        <w:rPr>
          <w:rFonts w:ascii="宋体" w:hAnsi="宋体"/>
          <w:b/>
          <w:sz w:val="28"/>
          <w:szCs w:val="28"/>
          <w:highlight w:val="none"/>
        </w:rPr>
        <w:outlineLvl w:val="1"/>
      </w:pPr>
      <w:r>
        <w:rPr>
          <w:rFonts w:hint="eastAsia" w:ascii="宋体" w:hAnsi="宋体"/>
          <w:b/>
          <w:sz w:val="28"/>
          <w:szCs w:val="28"/>
          <w:highlight w:val="none"/>
        </w:rPr>
        <w:br w:type="page" w:clear="all"/>
      </w:r>
      <w:r>
        <w:rPr>
          <w:rFonts w:hint="eastAsia" w:ascii="宋体" w:hAnsi="宋体"/>
          <w:b/>
          <w:sz w:val="28"/>
          <w:szCs w:val="28"/>
          <w:highlight w:val="none"/>
        </w:rPr>
        <w:t xml:space="preserve">附件A</w:t>
      </w:r>
      <w:r/>
    </w:p>
    <w:p>
      <w:pPr>
        <w:jc w:val="center"/>
        <w:spacing w:before="156" w:after="156" w:line="400" w:lineRule="exact"/>
        <w:rPr>
          <w:rFonts w:ascii="宋体" w:hAnsi="宋体"/>
          <w:sz w:val="28"/>
          <w:szCs w:val="28"/>
          <w:highlight w:val="none"/>
        </w:rPr>
        <w:outlineLvl w:val="1"/>
      </w:pPr>
      <w:r>
        <w:rPr>
          <w:rFonts w:hint="eastAsia" w:ascii="宋体" w:hAnsi="宋体"/>
          <w:b/>
          <w:sz w:val="28"/>
          <w:szCs w:val="28"/>
          <w:highlight w:val="none"/>
        </w:rPr>
        <w:t xml:space="preserve">施工场地管理规定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为了保证建设工程质量、进度达到预定目标,确保在施工中不出现质量、安全责任事故,同时能给各施工单位创造良好的文明施工环境、合作条件,经研究特制订本工程施工场地管理规定。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一、施工场地管理要求:</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1、所有进场的施工单位必须建立健全项目管理机构,项目部全体人员一览表应公布上墙。</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2、各项目部应根据国家和省、市有关法律、法规、标准、规范,按照项目部的工作要求建立如下规章制度。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(1)安全生产责任制度、安全教育制度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(2)质量、进度目标管理制度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(3)文明施工及场地清洁卫生管理制度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(4)施工用电管理制度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(5)“三宝”、“四口”“五临边”防护制度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(6)成品保护制度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(7)动火管理制度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(8)其它规章制度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3、各项目部应认真执行如下规定。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(1)各施工单位的项目经理必须坚守工作岗位,遇有特殊情况需要离开施工现场必须向发包人、监理请假,经同意后才能离开。</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(2)各项目部的质量和安全管理人员应认真履行工作职责,上述人员如有变动必须报发包人、监理同意。</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(3)各项目部在施工前应认真编制施工方案,并上报监理、发包人审核,经审核同意后严格按方案实施,对重点部位应按要求编制专项施工方案。</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(4)隐蔽工程应先进行自检,自检合格后报监理及发包人进行隐蔽部位验收隐蔽工程在封闭前要求各施工单位执行会签制度。未经验收、会签不得擅自封闭。</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所有进场施工材料必须经监理、发包人验收合格后才能使用,材料如需复试,必须待试验合格后方可使用。同时不合格的进场材料要求立即退场,若已使用必须拆除。工程材料需及时提供样品,征得业主、监理确认同意后,按样品进行验收。</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(6)加强现场安全保卫工作,所有施工单位进场人员必须佩带胸牌上岗,进入施工现场必须配戴安全帽。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(7)未施工的材料应要善保管,已施工完毕的成品必须加强保护(附件:成品地面、门窗成品保护要求),同时要求做好防火、防盗和用电安全管理等工作。</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(8)保持施工现场环境卫生整洁。建筑垃圾、生活垃圾及时清理,按指定地点堆放。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(9)施工单位必须按照图纸施工,施工中如需调整与变更应及时办理变更手续,并严格执行。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(10)对监理、业主发现的工程施工质量、安全问题,各施工单位应按发包人、监理意见积极整改到位。</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(11)各施工单位应树立全局观念,主动积极做好协调、配合工作,不得故意刁难,相互扯皮。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(12)各施工单位必须对照施工合同,严格履行合同承诺。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二、施工管理处罚规定: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凡出现下列情况者给予处罚如下:</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1、文明施工方面: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(1)各单位人员进入现场施工必须佩戴工作卡,发现无卡人员每人次处罚50元。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(2)施工作业人员不准穿拖鞋、高跟鞋、赤膊,发现一人次处罚50元。严禁酒后进入施工区作业,发现一人次罚款50元。严禁家眷、小孩进入施工区,每发现一人次处罚50元。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仓库易燃、易爆品及其它物品必须分开堆放,严禁混放,发现一处罚款200元。现场灭火器材、消防通道焊接接火斗等消防设施未设置到位,发现一处罚款20O元。仓库严禁烟火,施工现场严禁吸烟,每发现一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(4)在建建筑物内除仓库保管员及保卫人员外,其余人员严禁入住,发现一次处罚200元。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(5)现场施工人员盗窃发现一次立即开除,按造成直接损失的3倍进行赔偿。情节严重者送当地公安部门处理。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(6)施工现场严禁赌博、打架斗殴,每发现一次处罚500元,情节严重者送当地公安部门处理。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(7)夜间施工必须有足够的照明设施,楼梯通道必须设置安全照明灯。每发现一处不合格处罚200元。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(8)发现施工现场环境脏、乱、差每次处罚200元。监理通知后仍不积极整改,汇报业主派人清理,费用从相关施工单位工程款中扣除。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(9)建筑物内各标段应设置临时厕所，严禁随地大小便,每发现一次处罚50元。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(10)自行车、电动车、摩托车按指定地点停放,不得进入建筑物施工现场内，每发现一辆处罚50元。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2、现场管理方面: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(I)各施工单位在施工中相互扯皮不协调配合,造成返工或浪费所产生的费用由业主、监理按实进行核算,在工程款中予以扣除。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(2)各施工单位未按业主、监理要求时间完成配合工作,造成其它施工单位工期延误,出现一次处罚1000元,为不影响总体进度,业主、监理有权另请其它单位进行施工,费用从施工单位工程款中扣除。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(3)因施工方原因影响群众利益,造成负面影晌,导致群众堵工上访或新闻媒体曝光的,每发生一次罚款10000元。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发现管理人员值班不在岗,每人次处罚100元。现场有人施工作业时专职安全员不在岗,每发现一次处罚100元。工序质量验收时,专职质检员不在岗,每发现一次处罚100元。特殊工种无上岗证违规操作者,每人次处罚100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(5)现场项目经理、主要负责人必须每天在现场6小时以上,召开工程例会有关人员无故缺席的,有特殊情况需提前请假。违反规定,每人次每天处罚1000元。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(6)施工单位需对进场材料及时报验,未经业主、监理单位验收合格擅自使用,处罚责任单位1000元。工程材料便用劣质、冒牌材料,发现一次除按合同有关条款处罚外,再处罚责任单位3000元。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(7)施工方如果发现现场实物与图纸内容不符,需及时上报监理、业主,严禁盲目施工,发现一次处罚责任单位2000元。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(8)各单位做好现场成品保护工作,保护好自己和他人的工程成品,一经查实损害他人成品,按实价赔偿。若发现恶意破坏他人成品现象,发现一次按造成直接损失的3倍进行赔偿。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(9)现场材料堆放严禁超过设计荷载值,发现一次处罚责任单位1000元。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(10)若工程被质量监督部门、安全监督部门或其它建筑主管部门通报批评,出现一次处罚责任单位5000元。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(11)各施工单位应积极主动配合各类检查、观摩活动,由于现场工作未做到位导致不良后果,视情节严重情况,出现一次处罚责任单位200―500元。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(12)不服从业主、监理人员管理,出现漫骂、侮辱、殴打现场业主、监理人员,发现一次处罚1000元,责任人员限期退场。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(13)上道工序未经业主、监理验收合格,擅自进入下道工序施工,隐蔽工程未经业主、监理检查合格擅白隐蔽,进行剥露检验,质量不符合要求,返工费用由施工单位承担,出现一次处罚1000元。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(14)监理、业主如发现的工程施工质量、安全问题,第一次以书面形式告知并限期整改,在期限内未能及时整改到位,发现一次处罚200元,第二次告知仍不积极整改,发现一次处罚500元。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(15)各施工单位在施工时,未经业主、监理同意,不得擅自停水、停电、开挖道路、阻碍交通等影响其它单位施工行为。如出现上述问题,每发现一次罚款1000元,另再追究造成的停工间接损失。</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3、安全检查方面: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(1)在危险部位未设置明显的安全警示标志及防范措施,发现一处罚款50元。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(2)对危险性较大的部位,施工前未编制专项施工方案或方案未经施工单位技术负责人及总监审批擅自施工,每发现一次处罚500元。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(3)分部分项工程施工前未对施工班组、作业人员进行安全技术交底,发现一次处罚200元。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(4)施工负责人对工地现场安全未执行定期检查制度或检查无记录,发现一次处罚200元。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(5)无安全教育制度,或新进场人员未进行三级安全教育,发现一次处罚100元。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(6)发现违章操作、野蛮施工或强令冒险作业,每发现一次处罚500元。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(7)严禁高空向下抛物、倾倒垃圾,每发现一次处罚200—500元,若造成人员伤害及财产损失,由当事人承担相关责任。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(8)“三宝”使用不当,“四口`”“五临边”防护不到位,每发现一次处罚100元(其中不戴安全帽,发现一人次处罚50元)。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(9)如发现违反用电安全情况时每次处罚100元。由于安全用电措施不落实、用电不规范导致不良后果,除按相关规定追究责任外,视情节轻重罚款200—2000元。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(10)脚手架搭设必须进行设计计算，编制搭拆方案，满足规范要求。严禁施工荷载超过规定要求。每发现一处不合格处罚500元。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(11)电梯应指定专人进行操作,严禁电梯超荷载运行,按规定做好交接班。违反电梯使用规定,每发现一处不合格处罚200—500元。谁损坏谁赔偿。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(12)由于焊接火花、明火、吸烟、电火花等造成施工现场失火事件,除追究当事人责任外,再视情节轻重罚款500—2000元,并按造成直接损失进行赔偿。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(13)因违反其它安全规定造成不良后果,由违反单位及责任者承担全部责任。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由业主、监理在日常工作中进行监督检查,同时业主、监理不定期组织施工单位检查,一经发现上述情况由业主、监理按规定进行处罚,所有罚款在施工单位履约保证金或工程款中扣除。(本规定自公布之日起执行)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附件：</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成品地面、门窗成品保护要求：</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要求地面开槽、凿洞须经业主、监理同意方可施工。</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成品地面必须有覆盖物保护措施。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在成品地面上不允许进行切割、焊接、绞丝等施工作业。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铁梯、脚手架等必须包护脚。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地面防止被油污浸入污染。</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地面、门窗不准硬物、重物撞击及利物损伤，造成损坏或变形。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窗框上不允许搁置重物。</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幕墙及窗框防止被污染，必须有保护措施。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玻璃及易碎品防止损坏。</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防止玻璃被火花烧伤。地面、门窗成品保护不到位，执行《建设工程施工场地管理规定》。</w:t>
      </w:r>
      <w:r/>
    </w:p>
    <w:p>
      <w:pPr>
        <w:spacing w:before="156" w:after="156" w:line="360" w:lineRule="exact"/>
        <w:rPr>
          <w:rFonts w:ascii="宋体" w:hAnsi="宋体"/>
          <w:b/>
          <w:sz w:val="28"/>
          <w:szCs w:val="28"/>
          <w:highlight w:val="none"/>
        </w:rPr>
        <w:outlineLvl w:val="1"/>
      </w:pPr>
      <w:r>
        <w:rPr>
          <w:rFonts w:ascii="宋体" w:hAnsi="宋体"/>
          <w:b/>
          <w:sz w:val="28"/>
          <w:szCs w:val="28"/>
          <w:highlight w:val="none"/>
        </w:rPr>
      </w:r>
      <w:r/>
    </w:p>
    <w:p>
      <w:pPr>
        <w:spacing w:before="156" w:after="156" w:line="360" w:lineRule="exact"/>
        <w:rPr>
          <w:rFonts w:ascii="宋体" w:hAnsi="宋体"/>
          <w:b/>
          <w:sz w:val="28"/>
          <w:szCs w:val="28"/>
          <w:highlight w:val="none"/>
        </w:rPr>
        <w:outlineLvl w:val="1"/>
      </w:pPr>
      <w:r>
        <w:rPr>
          <w:rFonts w:ascii="宋体" w:hAnsi="宋体"/>
          <w:b/>
          <w:sz w:val="28"/>
          <w:szCs w:val="28"/>
          <w:highlight w:val="none"/>
        </w:rPr>
      </w:r>
      <w:r/>
    </w:p>
    <w:p>
      <w:pPr>
        <w:pStyle w:val="946"/>
        <w:ind w:firstLine="480"/>
        <w:rPr>
          <w:highlight w:val="none"/>
        </w:rPr>
      </w:pPr>
      <w:r>
        <w:rPr>
          <w:highlight w:val="none"/>
        </w:rPr>
      </w:r>
      <w:r/>
    </w:p>
    <w:p>
      <w:pPr>
        <w:rPr>
          <w:highlight w:val="none"/>
        </w:rPr>
      </w:pPr>
      <w:r>
        <w:rPr>
          <w:highlight w:val="none"/>
        </w:rPr>
      </w:r>
      <w:r/>
    </w:p>
    <w:p>
      <w:pPr>
        <w:pStyle w:val="946"/>
        <w:ind w:firstLine="480"/>
        <w:rPr>
          <w:highlight w:val="none"/>
        </w:rPr>
      </w:pPr>
      <w:r>
        <w:rPr>
          <w:highlight w:val="none"/>
        </w:rPr>
      </w:r>
      <w:r/>
    </w:p>
    <w:p>
      <w:pPr>
        <w:rPr>
          <w:highlight w:val="none"/>
        </w:rPr>
      </w:pPr>
      <w:r>
        <w:rPr>
          <w:highlight w:val="none"/>
        </w:rPr>
      </w:r>
      <w:r/>
    </w:p>
    <w:p>
      <w:pPr>
        <w:pStyle w:val="946"/>
        <w:ind w:firstLine="480"/>
        <w:rPr>
          <w:highlight w:val="none"/>
        </w:rPr>
      </w:pPr>
      <w:r>
        <w:rPr>
          <w:highlight w:val="none"/>
        </w:rPr>
      </w:r>
      <w:r/>
    </w:p>
    <w:p>
      <w:pPr>
        <w:rPr>
          <w:highlight w:val="none"/>
        </w:rPr>
      </w:pPr>
      <w:r>
        <w:rPr>
          <w:highlight w:val="none"/>
        </w:rPr>
      </w:r>
      <w:r/>
    </w:p>
    <w:p>
      <w:pPr>
        <w:pStyle w:val="946"/>
        <w:ind w:firstLine="480"/>
        <w:rPr>
          <w:highlight w:val="none"/>
        </w:rPr>
      </w:pPr>
      <w:r>
        <w:rPr>
          <w:highlight w:val="none"/>
        </w:rPr>
      </w:r>
      <w:r/>
    </w:p>
    <w:p>
      <w:pPr>
        <w:rPr>
          <w:highlight w:val="none"/>
        </w:rPr>
      </w:pPr>
      <w:r>
        <w:rPr>
          <w:highlight w:val="none"/>
        </w:rPr>
      </w:r>
      <w:r/>
    </w:p>
    <w:p>
      <w:pPr>
        <w:pStyle w:val="946"/>
        <w:ind w:firstLine="480"/>
        <w:rPr>
          <w:highlight w:val="none"/>
        </w:rPr>
      </w:pPr>
      <w:r>
        <w:rPr>
          <w:highlight w:val="none"/>
        </w:rPr>
      </w:r>
      <w:r/>
    </w:p>
    <w:p>
      <w:pPr>
        <w:rPr>
          <w:highlight w:val="none"/>
        </w:rPr>
      </w:pPr>
      <w:r>
        <w:rPr>
          <w:highlight w:val="none"/>
        </w:rPr>
      </w:r>
      <w:r/>
    </w:p>
    <w:p>
      <w:pPr>
        <w:pStyle w:val="946"/>
        <w:ind w:firstLine="480"/>
        <w:rPr>
          <w:highlight w:val="none"/>
        </w:rPr>
      </w:pPr>
      <w:r>
        <w:rPr>
          <w:highlight w:val="none"/>
        </w:rPr>
      </w:r>
      <w:r/>
    </w:p>
    <w:p>
      <w:pPr>
        <w:rPr>
          <w:highlight w:val="none"/>
        </w:rPr>
      </w:pPr>
      <w:r>
        <w:rPr>
          <w:highlight w:val="none"/>
        </w:rPr>
      </w:r>
      <w:r/>
    </w:p>
    <w:p>
      <w:pPr>
        <w:spacing w:before="156" w:after="156" w:line="360" w:lineRule="exact"/>
        <w:rPr>
          <w:rFonts w:ascii="宋体" w:hAnsi="宋体"/>
          <w:b/>
          <w:sz w:val="28"/>
          <w:szCs w:val="28"/>
          <w:highlight w:val="none"/>
        </w:rPr>
        <w:outlineLvl w:val="1"/>
      </w:pPr>
      <w:r>
        <w:rPr>
          <w:rFonts w:hint="eastAsia" w:ascii="宋体" w:hAnsi="宋体"/>
          <w:b/>
          <w:sz w:val="28"/>
          <w:szCs w:val="28"/>
          <w:highlight w:val="none"/>
        </w:rPr>
        <w:br w:type="page" w:clear="all"/>
      </w:r>
      <w:r>
        <w:rPr>
          <w:rFonts w:hint="eastAsia" w:ascii="宋体" w:hAnsi="宋体"/>
          <w:b/>
          <w:sz w:val="28"/>
          <w:szCs w:val="28"/>
          <w:highlight w:val="none"/>
        </w:rPr>
        <w:t xml:space="preserve">附件B</w:t>
      </w:r>
      <w:r/>
    </w:p>
    <w:p>
      <w:pPr>
        <w:jc w:val="center"/>
        <w:spacing w:before="156" w:after="156" w:line="360" w:lineRule="exact"/>
        <w:rPr>
          <w:rFonts w:ascii="宋体" w:hAnsi="宋体"/>
          <w:sz w:val="28"/>
          <w:szCs w:val="28"/>
          <w:highlight w:val="none"/>
        </w:rPr>
        <w:outlineLvl w:val="1"/>
      </w:pPr>
      <w:r>
        <w:rPr>
          <w:rFonts w:hint="eastAsia" w:ascii="宋体" w:hAnsi="宋体"/>
          <w:b/>
          <w:sz w:val="28"/>
          <w:szCs w:val="28"/>
          <w:highlight w:val="none"/>
        </w:rPr>
        <w:t xml:space="preserve">安全文明施工管理办法</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第一章  总则</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第一条  为了切实加强医院基本建设安全文明施工管理,根据建设部有关安全文明施工的规定,结合我院实际,制定本管理办法。</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第二条  凡在院区范围内从事有后勤保障处负责管理的基本建设、改扩建及维修工程的施工单位,必须遵守本办法。</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第三条  施工单位、监理单位是安全文明施工的责任主体,对其施工、监理范围内工程的安全文明施工负责。后勤保障处有关管理人员负协助管理责任。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第四条  施工单位、监理单位及后勤保障处指派的现场管理人员要对安全文明施工采取切实可行的措施,严格按照建设部有关安全文明施工的规定组织施工,防止安全事故和不文明行为的发生。具体条款参照建设部最新规定相关条款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第二章  施工现场安全文明管理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第五条  施工场地四周围墙设置高度应不低于1.8米,在主要路段工地施工的围墙设置应不低于2.5米。围墙须沿工地四周连续设置,并建有门楼和值班室。围墙及门楼材料要坚固,做到稳定、整洁、美观。</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第六条  施工门楼前必须设置企业标志,新建或改扩建项目平面布置图、效果图,以及工程概况、组织管理网络、文明施工管理、安全生产牌。十项安全技术措施，消防须知牌等各种现场管理制度。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第七条  施工现场必须配备责任心强的值班人员,实行封闭式管理。施工作业人员和工作人员进出施工现场必须佩戴工作卡,非现场工作人员未经批准不得擅自进入施工现场。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第八条  现场施工人员及其工作人员必须佩戴安全帽。同时现场应配备一定数量的安全帽,以便供外来参观和检查人员使用。</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第九条  主要出入口和通道口应设置有顶盖的安全防护,临近道路和其它建筑物的外墙立面或有其它要求的外墙立面应采取封闭施工。</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第十条  现场施工必须严格遵守国家有关安全文明施工的规定和规范要求，严禁违规操作。</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第十一条  加强现场成品保护和周边环境保护。施工单位是施工现场成品的安全责任主体,要派专人看守,后勤保障处应予以协助。施工单位的施工人员在施工过程中不得破坏和损坏周边环境。包括道路和树木。</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第十二条  施工现场道路和材料堆放场地必须硬化,排水通畅,保证施工现场无积水。</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第十三条  施工材料、机具及设备应按平面布置图合理摆放在施工现场内,不得混合堆放,且标识正确、清楚。易燃易爆及危险品要严格按规定分类入库管理。无论是施工材料还是施工用机具与设备,均不得随意摆放在场外。</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第十四条  对于单体建筑工程的施工现场,其道路必须畅通无阻,现场出入口处道路必须设置车辆冲洗槽、沉淀池,配备冲洗设备。出入车辆必须冲洗干净,保证车辆不带泥土上路。对于难以保证车辆不带泥土上路的工程,施工单位在施工过程中要派专人及时清扫路面,保持路面整洁、干净。</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第十五条  施工现场的建筑废料和垃圾要及时清理外运,做到工完料尽场清。严格按要求运至后勤保障处指定地点。严禁未经批准随处乱倒建筑废料和垃圾。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第十六条  生活区必须与施工作业区分开。正在施工的工程不得用作施工单位职工宿舍、项目部办公室。生活临时用房要按后勤保障处指定地点新建,工程完工后应将其场地清理干净。</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第十七条  施工现场要采取防粉尘、防噪音、防灯光措施,严禁在施工现场焚烧有毒有害物质,一般不得在晚上10点至次日凌晨6点时段内施工。特殊情况须经后勤保障处领导批准后，向环保部门办理夜间施工相关手续。</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第十八条  施工现场应制定防火制度,落实防火责任人。施工单位要认真贯彻“以防为主,防消结合”的方针。现场要配足必备的灭火器材,提供充足的消防水源,并建有临时休息室,严禁作业人员乱扔烟头。</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第十九条  施工现场应设置自冲式男、女厕所,严禁作业人员随地大小便。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第三章  安全文明综合治理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第二十条  施工单位的所有人员必须遵守国家的法律法规。各施工单位应定期对其职工加强安全文明教育和遵纪守法教育。</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第二十一条  施工单位应建立安全文明管理制度,采取切实可行的安全保卫和文明管理措施,落实责任人,坚决杜绝不安全和不文明行为的发生,严禁打架斗殴、赌博、行窃等违法违纪行为。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第二十二条  加强施工人员生活区管理。生活区的食堂、厕所与垃圾箱应保持一定的距离。生活区与现场作业区相邻时,场内须设置带盖的垃圾桶。生活垃圾与建筑垃圾应分开堆放和处置。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第二十三条  加强施工人员宿舍内用电管理，宿舍内严禁使用大功率电器。</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第二十四条  施工单位所有车辆不得在院区内高速行驶和鸣号,所有建筑材料运输车辆不得在院区路道路上行驶,因施工需要,须经后勤保障处领导批准。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第四章  处罚措施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第二十五条  监理单位和后勤保障处指派现场的管理人员要加强施工现场安全文明施工的管理和监督,对施工单位违反本办法的规定和不安全、不文明的行为应提出处理处罚建议,经后勤保障处主管领导批准执行。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第二十六条  对于任何处理处罚决定,后勤保障处应出据处理处罚通知书。通知书一式五份,施工单位、处办公室、现场管理人员、监理公司、后勤保障处主管领导各一份。对于经济处罚决定,其处理处罚通知书应另加一份送财务科,由财务科从被处罚单位工程款项中扣减其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第二十七条  有下列行为之一者,应给予告诫整改、责令停工整顿、罚款等处理处罚。情节严重者送交司法机关,追究刑事责任。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(一)施工现场围墙及安全保护设施不符合本管理办法规定的规范要求,进行告诫整改或责令停工整顿,必要时应进行经济处罚。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(二)现场施工人员违反施工管理规定和施工操作规范,在告诫整改不听的情况下,处以100—500元的罚款。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(三)施工人员在施工过程中破坏或损坏周边环境、应保护成品,除赔偿损失外,处以200—600元的罚款。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(四)施工车辆未经清洗上路行驶,污染路面而未及时清扫干净,除接受城管部门处罚外，来院再处以1000—5000元的罚款。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(五)施工单位对职工管理不严,出现打架斗殴、盗窃、赌博等违纪违法行为,轻则告诫整改和进行经济处罚,发现一起可处以500—1000元的罚款。重则移交司法机关追究刑事责任。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(六)未经批准,其建筑材料运输车辆和施工车辆擅自进入院区道路行驶,处以500—1000元的罚款。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(七)违反本办法的其它规定,经教育不改者,可处以200—1000元的罚款。</w:t>
      </w:r>
      <w:r/>
    </w:p>
    <w:p>
      <w:pPr>
        <w:spacing w:line="380" w:lineRule="exact"/>
        <w:rPr>
          <w:rFonts w:ascii="仿宋_GB2312" w:eastAsia="仿宋_GB2312"/>
          <w:sz w:val="28"/>
          <w:szCs w:val="28"/>
          <w:highlight w:val="none"/>
        </w:rPr>
      </w:pPr>
      <w:r>
        <w:rPr>
          <w:rFonts w:ascii="仿宋_GB2312" w:eastAsia="仿宋_GB2312"/>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rPr>
          <w:rFonts w:ascii="黑体" w:hAnsi="华文中宋" w:eastAsia="黑体"/>
          <w:sz w:val="28"/>
          <w:szCs w:val="28"/>
          <w:highlight w:val="none"/>
        </w:rPr>
      </w:pPr>
      <w:r>
        <w:rPr>
          <w:rFonts w:ascii="黑体" w:hAnsi="华文中宋" w:eastAsia="黑体"/>
          <w:sz w:val="28"/>
          <w:szCs w:val="28"/>
          <w:highlight w:val="none"/>
        </w:rPr>
      </w:r>
      <w:r/>
    </w:p>
    <w:p>
      <w:pPr>
        <w:jc w:val="center"/>
        <w:spacing w:line="460" w:lineRule="exact"/>
        <w:rPr>
          <w:b/>
          <w:sz w:val="36"/>
          <w:szCs w:val="36"/>
          <w:highlight w:val="none"/>
        </w:rPr>
      </w:pPr>
      <w:r>
        <w:rPr>
          <w:rFonts w:hint="eastAsia"/>
          <w:b/>
          <w:sz w:val="36"/>
          <w:szCs w:val="36"/>
          <w:highlight w:val="none"/>
        </w:rPr>
        <w:br w:type="page" w:clear="all"/>
      </w:r>
      <w:r>
        <w:rPr>
          <w:rFonts w:hint="eastAsia"/>
          <w:b/>
          <w:sz w:val="36"/>
          <w:szCs w:val="36"/>
          <w:highlight w:val="none"/>
        </w:rPr>
        <w:t xml:space="preserve">廉洁合作协议</w:t>
      </w:r>
      <w:r/>
    </w:p>
    <w:p>
      <w:pPr>
        <w:spacing w:line="460" w:lineRule="exact"/>
        <w:rPr>
          <w:highlight w:val="none"/>
        </w:rPr>
      </w:pPr>
      <w:r>
        <w:rPr>
          <w:rFonts w:hint="eastAsia" w:cs="宋体"/>
          <w:color w:val="000000"/>
          <w:highlight w:val="none"/>
        </w:rPr>
        <w:t xml:space="preserve">合同编号：</w:t>
      </w:r>
      <w:r/>
    </w:p>
    <w:p>
      <w:pPr>
        <w:spacing w:line="460" w:lineRule="exact"/>
        <w:rPr>
          <w:rFonts w:cs="宋体"/>
          <w:b/>
          <w:color w:val="000000"/>
          <w:highlight w:val="none"/>
        </w:rPr>
      </w:pPr>
      <w:r>
        <w:rPr>
          <w:rFonts w:hint="eastAsia" w:cs="宋体"/>
          <w:color w:val="000000"/>
          <w:highlight w:val="none"/>
        </w:rPr>
        <w:t xml:space="preserve">甲方名称</w:t>
      </w:r>
      <w:r>
        <w:rPr>
          <w:rFonts w:hint="eastAsia"/>
          <w:highlight w:val="none"/>
        </w:rPr>
        <w:t xml:space="preserve">：</w:t>
      </w:r>
      <w:r>
        <w:rPr>
          <w:rFonts w:hint="eastAsia"/>
          <w:b/>
          <w:highlight w:val="none"/>
        </w:rPr>
        <w:t xml:space="preserve">扬州大学附属医院</w:t>
      </w:r>
      <w:r/>
    </w:p>
    <w:p>
      <w:pPr>
        <w:spacing w:line="460" w:lineRule="exact"/>
        <w:rPr>
          <w:highlight w:val="none"/>
        </w:rPr>
      </w:pPr>
      <w:r>
        <w:rPr>
          <w:rFonts w:hint="eastAsia"/>
          <w:highlight w:val="none"/>
        </w:rPr>
        <w:t xml:space="preserve">乙方</w:t>
      </w:r>
      <w:r>
        <w:rPr>
          <w:rFonts w:hint="eastAsia" w:cs="宋体"/>
          <w:color w:val="000000"/>
          <w:highlight w:val="none"/>
        </w:rPr>
        <w:t xml:space="preserve">名称</w:t>
      </w:r>
      <w:r>
        <w:rPr>
          <w:rFonts w:hint="eastAsia"/>
          <w:highlight w:val="none"/>
        </w:rPr>
        <w:t xml:space="preserve">：</w:t>
      </w:r>
      <w:r/>
    </w:p>
    <w:p>
      <w:pPr>
        <w:ind w:firstLine="420"/>
        <w:spacing w:line="340" w:lineRule="exact"/>
        <w:rPr>
          <w:highlight w:val="none"/>
        </w:rPr>
      </w:pPr>
      <w:r>
        <w:rPr>
          <w:rFonts w:hint="eastAsia"/>
          <w:highlight w:val="none"/>
        </w:rPr>
        <w:t xml:space="preserve">在甲乙双方订立、履行合同过程中，为保持廉洁自律的工作作风，防止各种不正当行为的发生，甲乙双方订立协议如下：</w:t>
      </w:r>
      <w:r/>
    </w:p>
    <w:p>
      <w:pPr>
        <w:ind w:firstLine="420"/>
        <w:spacing w:line="340" w:lineRule="exact"/>
        <w:rPr>
          <w:highlight w:val="none"/>
        </w:rPr>
      </w:pPr>
      <w:r>
        <w:rPr>
          <w:rFonts w:hint="eastAsia"/>
          <w:highlight w:val="none"/>
        </w:rPr>
        <w:t xml:space="preserve">一、甲乙双方应当自觉遵守国家、地方法律法规以及本协议的约定，在合同的订立、履行过程中廉洁自律。</w:t>
      </w:r>
      <w:r/>
    </w:p>
    <w:p>
      <w:pPr>
        <w:ind w:firstLine="420"/>
        <w:spacing w:line="340" w:lineRule="exact"/>
        <w:rPr>
          <w:highlight w:val="none"/>
        </w:rPr>
      </w:pPr>
      <w:r>
        <w:rPr>
          <w:rFonts w:hint="eastAsia"/>
          <w:highlight w:val="none"/>
        </w:rPr>
        <w:t xml:space="preserve">二、甲方工作人员严禁进行商业目的的统方，不得以任何形式向乙方索要和收受个人回扣等好处费。</w:t>
      </w:r>
      <w:r/>
    </w:p>
    <w:p>
      <w:pPr>
        <w:ind w:firstLine="420"/>
        <w:spacing w:line="340" w:lineRule="exact"/>
        <w:rPr>
          <w:highlight w:val="none"/>
        </w:rPr>
      </w:pPr>
      <w:r>
        <w:rPr>
          <w:rFonts w:hint="eastAsia"/>
          <w:highlight w:val="none"/>
        </w:rPr>
        <w:t xml:space="preserve">三、甲方工作人员应当保持与乙方的正常业务交往，不得接受乙方的礼金、有价证券和贵重物品，不得在乙方报销任何应由其个人承担的费用。</w:t>
      </w:r>
      <w:r/>
    </w:p>
    <w:p>
      <w:pPr>
        <w:ind w:firstLine="420"/>
        <w:spacing w:line="340" w:lineRule="exact"/>
        <w:rPr>
          <w:highlight w:val="none"/>
        </w:rPr>
      </w:pPr>
      <w:r>
        <w:rPr>
          <w:rFonts w:hint="eastAsia"/>
          <w:highlight w:val="none"/>
        </w:rPr>
        <w:t xml:space="preserve">四、甲方工作人员不得参加可能对公正开展业务有影响的宴请和娱乐活动。如甲方工作人员确因实际情况须参加宴请、进行娱乐活动的，须事先报上一级批准。</w:t>
      </w:r>
      <w:r/>
    </w:p>
    <w:p>
      <w:pPr>
        <w:ind w:firstLine="420"/>
        <w:spacing w:line="340" w:lineRule="exact"/>
        <w:rPr>
          <w:highlight w:val="none"/>
        </w:rPr>
      </w:pPr>
      <w:r>
        <w:rPr>
          <w:rFonts w:hint="eastAsia"/>
          <w:highlight w:val="none"/>
        </w:rPr>
        <w:t xml:space="preserve">五、甲方工作人员不得要求或者接受乙方为其住房装修、婚丧嫁娶、家属和子女的工作安排以及出国等提供方便。</w:t>
      </w:r>
      <w:r/>
    </w:p>
    <w:p>
      <w:pPr>
        <w:ind w:firstLine="420"/>
        <w:spacing w:line="340" w:lineRule="exact"/>
        <w:rPr>
          <w:highlight w:val="none"/>
        </w:rPr>
      </w:pPr>
      <w:r>
        <w:rPr>
          <w:rFonts w:hint="eastAsia"/>
          <w:highlight w:val="none"/>
        </w:rPr>
        <w:t xml:space="preserve">六、乙方不得接受甲方工作人员介绍的家属或者亲友从事与合同相关的业务。</w:t>
      </w:r>
      <w:r/>
    </w:p>
    <w:p>
      <w:pPr>
        <w:ind w:firstLine="420"/>
        <w:spacing w:line="340" w:lineRule="exact"/>
        <w:rPr>
          <w:highlight w:val="none"/>
        </w:rPr>
      </w:pPr>
      <w:r>
        <w:rPr>
          <w:rFonts w:hint="eastAsia"/>
          <w:highlight w:val="none"/>
        </w:rPr>
        <w:t xml:space="preserve">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20"/>
        <w:spacing w:line="340" w:lineRule="exact"/>
        <w:rPr>
          <w:highlight w:val="none"/>
        </w:rPr>
      </w:pPr>
      <w:r>
        <w:rPr>
          <w:rFonts w:hint="eastAsia"/>
          <w:highlight w:val="none"/>
        </w:rPr>
        <w:t xml:space="preserve">八、乙方如发现甲方工作人员有违反上述协议者，应向甲方举报（甲方举报接待部门：纪委办公室；举报电话：87907263）。甲方不得找任何借口对乙方进行报复。甲方对举报属实和严格遵守廉洁协议的乙方，在同等条件下优先考虑与乙方继续合作。</w:t>
      </w:r>
      <w:r/>
    </w:p>
    <w:p>
      <w:pPr>
        <w:ind w:firstLine="420"/>
        <w:spacing w:line="340" w:lineRule="exact"/>
        <w:rPr>
          <w:highlight w:val="none"/>
        </w:rPr>
      </w:pPr>
      <w:r>
        <w:rPr>
          <w:rFonts w:hint="eastAsia"/>
          <w:highlight w:val="none"/>
        </w:rPr>
        <w:t xml:space="preserve">九、甲方发现乙方有违反本协议或者采用不正当的手段行贿甲方工作人员等不正当竞争行为的，甲方有权解除合同。</w:t>
      </w:r>
      <w:r/>
    </w:p>
    <w:p>
      <w:pPr>
        <w:ind w:firstLine="315"/>
        <w:spacing w:line="340" w:lineRule="exact"/>
        <w:rPr>
          <w:highlight w:val="none"/>
        </w:rPr>
      </w:pPr>
      <w:r>
        <w:rPr>
          <w:rFonts w:hint="eastAsia"/>
          <w:highlight w:val="none"/>
        </w:rPr>
        <w:t xml:space="preserve">十、本廉洁协议作为合同的附件，与合同具有同等法律效力。经协议双方签署后立即生效。</w:t>
      </w:r>
      <w:r/>
    </w:p>
    <w:p>
      <w:pPr>
        <w:ind w:firstLine="420"/>
        <w:spacing w:line="340" w:lineRule="exact"/>
        <w:rPr>
          <w:bCs/>
          <w:highlight w:val="none"/>
        </w:rPr>
      </w:pPr>
      <w:r>
        <w:rPr>
          <w:rFonts w:hint="eastAsia"/>
          <w:highlight w:val="none"/>
        </w:rPr>
        <w:t xml:space="preserve">十一、</w:t>
      </w:r>
      <w:r>
        <w:rPr>
          <w:rFonts w:hint="eastAsia"/>
          <w:bCs/>
          <w:highlight w:val="none"/>
        </w:rPr>
        <w:t xml:space="preserve">本合同正本一式</w:t>
      </w:r>
      <w:r>
        <w:rPr>
          <w:rFonts w:hint="eastAsia"/>
          <w:b/>
          <w:bCs/>
          <w:highlight w:val="none"/>
          <w:u w:val="single"/>
        </w:rPr>
        <w:t xml:space="preserve">肆</w:t>
      </w:r>
      <w:r>
        <w:rPr>
          <w:rFonts w:hint="eastAsia"/>
          <w:bCs/>
          <w:highlight w:val="none"/>
        </w:rPr>
        <w:t xml:space="preserve">份，</w:t>
      </w:r>
      <w:r>
        <w:rPr>
          <w:rFonts w:hint="eastAsia"/>
          <w:highlight w:val="none"/>
          <w:lang w:val="zh-CN"/>
        </w:rPr>
        <w:t xml:space="preserve">甲方执</w:t>
      </w:r>
      <w:r>
        <w:rPr>
          <w:rFonts w:hint="eastAsia"/>
          <w:b/>
          <w:highlight w:val="none"/>
          <w:u w:val="single"/>
        </w:rPr>
        <w:t xml:space="preserve">贰</w:t>
      </w:r>
      <w:r>
        <w:rPr>
          <w:rFonts w:hint="eastAsia"/>
          <w:highlight w:val="none"/>
          <w:lang w:val="zh-CN"/>
        </w:rPr>
        <w:t xml:space="preserve">份，乙方执</w:t>
      </w:r>
      <w:r>
        <w:rPr>
          <w:rFonts w:hint="eastAsia"/>
          <w:b/>
          <w:highlight w:val="none"/>
          <w:u w:val="single"/>
          <w:lang w:val="zh-CN"/>
        </w:rPr>
        <w:t xml:space="preserve">贰</w:t>
      </w:r>
      <w:r>
        <w:rPr>
          <w:rFonts w:hint="eastAsia"/>
          <w:highlight w:val="none"/>
          <w:lang w:val="zh-CN"/>
        </w:rPr>
        <w:t xml:space="preserve">份，</w:t>
      </w:r>
      <w:r>
        <w:rPr>
          <w:rFonts w:hint="eastAsia"/>
          <w:highlight w:val="none"/>
        </w:rPr>
        <w:t xml:space="preserve">从签订之日起生效。</w:t>
      </w:r>
      <w:r/>
    </w:p>
    <w:p>
      <w:pPr>
        <w:spacing w:line="340" w:lineRule="exact"/>
        <w:rPr>
          <w:highlight w:val="none"/>
        </w:rPr>
      </w:pPr>
      <w:r>
        <w:rPr>
          <w:highlight w:val="none"/>
        </w:rPr>
      </w:r>
      <w:r/>
    </w:p>
    <w:p>
      <w:pPr>
        <w:contextualSpacing/>
        <w:ind w:left="5460" w:right="-312" w:hanging="5460"/>
        <w:spacing w:line="340" w:lineRule="exact"/>
        <w:rPr>
          <w:rFonts w:cs="宋体"/>
          <w:b/>
          <w:color w:val="000000"/>
          <w:highlight w:val="none"/>
        </w:rPr>
      </w:pPr>
      <w:r>
        <w:rPr>
          <w:rFonts w:hint="eastAsia" w:cs="宋体"/>
          <w:color w:val="000000"/>
          <w:highlight w:val="none"/>
        </w:rPr>
        <w:t xml:space="preserve">甲方：（盖章）</w:t>
      </w:r>
      <w:r>
        <w:rPr>
          <w:rFonts w:hint="eastAsia" w:cs="宋体"/>
          <w:b/>
          <w:color w:val="000000"/>
          <w:highlight w:val="none"/>
        </w:rPr>
        <w:t xml:space="preserve">扬州大学附属医院</w:t>
      </w:r>
      <w:r>
        <w:rPr>
          <w:rFonts w:hint="eastAsia" w:cs="宋体"/>
          <w:color w:val="000000"/>
          <w:highlight w:val="none"/>
        </w:rPr>
        <w:t xml:space="preserve">      乙方：（盖章）</w:t>
      </w:r>
      <w:r/>
    </w:p>
    <w:p>
      <w:pPr>
        <w:contextualSpacing/>
        <w:ind w:right="-312"/>
        <w:spacing w:line="340" w:lineRule="exact"/>
        <w:rPr>
          <w:rFonts w:cs="宋体"/>
          <w:color w:val="000000"/>
          <w:highlight w:val="none"/>
        </w:rPr>
      </w:pPr>
      <w:r>
        <w:rPr>
          <w:rFonts w:hint="eastAsia" w:cs="宋体"/>
          <w:color w:val="000000"/>
          <w:highlight w:val="none"/>
        </w:rPr>
        <w:t xml:space="preserve">法定代表人：                        法定代表人：</w:t>
      </w:r>
      <w:r/>
    </w:p>
    <w:p>
      <w:pPr>
        <w:contextualSpacing/>
        <w:ind w:right="-312"/>
        <w:spacing w:line="340" w:lineRule="exact"/>
        <w:rPr>
          <w:rFonts w:cs="宋体"/>
          <w:color w:val="000000"/>
          <w:highlight w:val="none"/>
        </w:rPr>
      </w:pPr>
      <w:r>
        <w:rPr>
          <w:rFonts w:hint="eastAsia" w:cs="宋体"/>
          <w:color w:val="000000"/>
          <w:highlight w:val="none"/>
        </w:rPr>
        <w:t xml:space="preserve">（或授权签约人）：                 （或授权签约人）：</w:t>
      </w:r>
      <w:r/>
    </w:p>
    <w:p>
      <w:pPr>
        <w:contextualSpacing/>
        <w:ind w:right="-312"/>
        <w:spacing w:line="340" w:lineRule="exact"/>
        <w:rPr>
          <w:rFonts w:cs="宋体"/>
          <w:color w:val="000000"/>
          <w:highlight w:val="none"/>
        </w:rPr>
      </w:pPr>
      <w:r>
        <w:rPr>
          <w:rFonts w:cs="宋体"/>
          <w:color w:val="000000"/>
          <w:highlight w:val="none"/>
        </w:rPr>
      </w:r>
      <w:r/>
    </w:p>
    <w:p>
      <w:pPr>
        <w:contextualSpacing/>
        <w:ind w:right="-312"/>
        <w:spacing w:line="340" w:lineRule="exact"/>
        <w:rPr>
          <w:rFonts w:cs="宋体"/>
          <w:color w:val="000000"/>
          <w:highlight w:val="none"/>
        </w:rPr>
      </w:pPr>
      <w:r>
        <w:rPr>
          <w:rFonts w:cs="宋体"/>
          <w:color w:val="000000"/>
          <w:highlight w:val="none"/>
        </w:rPr>
      </w:r>
      <w:r/>
    </w:p>
    <w:p>
      <w:pPr>
        <w:ind w:right="-312"/>
        <w:rPr>
          <w:rFonts w:cs="宋体"/>
          <w:color w:val="000000"/>
          <w:highlight w:val="none"/>
        </w:rPr>
      </w:pPr>
      <w:r>
        <w:rPr>
          <w:rFonts w:hint="eastAsia" w:cs="宋体"/>
          <w:color w:val="000000"/>
          <w:highlight w:val="none"/>
        </w:rPr>
        <w:t xml:space="preserve">日  期：2026年   月   日            日  期：2026年   月   日</w:t>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p>
    <w:tbl>
      <w:tblPr>
        <w:tblStyle w:val="72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tcPr>
          <w:p>
            <w:pPr>
              <w:rPr>
                <w:highlight w:val="none"/>
              </w:rPr>
            </w:pPr>
            <w:r>
              <w:rPr>
                <w:highlight w:val="none"/>
              </w:rPr>
            </w:r>
            <w:r/>
          </w:p>
        </w:tc>
      </w:tr>
      <w:tr>
        <w:trPr>
          <w:trHeight w:val="667"/>
        </w:trPr>
        <w:tc>
          <w:tcPr>
            <w:tcW w:w="1607" w:type="dxa"/>
            <w:vAlign w:val="center"/>
            <w:vMerge w:val="continue"/>
            <w:textDirection w:val="lrTb"/>
            <w:noWrap/>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tcPr>
          <w:p>
            <w:pPr>
              <w:rPr>
                <w:highlight w:val="none"/>
              </w:rPr>
            </w:pPr>
            <w:r>
              <w:rPr>
                <w:highlight w:val="none"/>
              </w:rPr>
            </w:r>
            <w:r/>
          </w:p>
        </w:tc>
      </w:tr>
      <w:tr>
        <w:trPr>
          <w:trHeight w:val="772"/>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tcPr>
          <w:p>
            <w:pPr>
              <w:rPr>
                <w:highlight w:val="none"/>
              </w:rPr>
            </w:pPr>
            <w:r>
              <w:rPr>
                <w:highlight w:val="none"/>
              </w:rPr>
            </w:r>
            <w:r/>
          </w:p>
        </w:tc>
      </w:tr>
      <w:tr>
        <w:trPr>
          <w:trHeight w:val="667"/>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tcPr>
          <w:p>
            <w:pPr>
              <w:rPr>
                <w:highlight w:val="none"/>
              </w:rPr>
            </w:pPr>
            <w:r>
              <w:rPr>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037"/>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jc w:val="left"/>
              <w:rPr>
                <w:rFonts w:ascii="宋体" w:hAnsi="宋体"/>
                <w:szCs w:val="21"/>
                <w:highlight w:val="none"/>
                <w:u w:val="single"/>
              </w:rPr>
            </w:pPr>
            <w:r>
              <w:rPr>
                <w:rFonts w:hint="eastAsia" w:ascii="宋体" w:hAnsi="宋体" w:cs="宋体"/>
                <w:iCs/>
                <w:szCs w:val="21"/>
                <w:highlight w:val="none"/>
              </w:rPr>
              <w:t xml:space="preserve">（2）向人民法院起诉。</w:t>
            </w:r>
            <w:r/>
          </w:p>
        </w:tc>
      </w:tr>
      <w:tr>
        <w:trPr>
          <w:trHeight w:val="770"/>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bl>
    <w:p>
      <w:pPr>
        <w:pStyle w:val="953"/>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3"/>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br w:type="page" w:clear="all"/>
      </w:r>
      <w:r/>
    </w:p>
    <w:p>
      <w:pPr>
        <w:jc w:val="center"/>
        <w:spacing w:before="120" w:after="120" w:line="0" w:lineRule="atLeast"/>
        <w:rPr>
          <w:rFonts w:ascii="宋体" w:hAnsi="宋体" w:cs="Courier New"/>
          <w:color w:val="000000"/>
          <w:sz w:val="24"/>
          <w:szCs w:val="24"/>
          <w:highlight w:val="none"/>
        </w:rPr>
      </w:pPr>
      <w:r>
        <w:rPr>
          <w:rFonts w:hint="eastAsia" w:ascii="黑体" w:hAnsi="Courier New" w:eastAsia="黑体" w:cs="Courier New"/>
          <w:bCs/>
          <w:color w:val="000000"/>
          <w:sz w:val="44"/>
          <w:szCs w:val="21"/>
          <w:highlight w:val="none"/>
        </w:rPr>
        <w:t xml:space="preserve">第</w:t>
      </w:r>
      <w:bookmarkEnd w:id="176"/>
      <w:r>
        <w:rPr>
          <w:rFonts w:hint="eastAsia" w:ascii="黑体" w:hAnsi="Courier New" w:eastAsia="黑体" w:cs="Courier New"/>
          <w:bCs/>
          <w:color w:val="000000"/>
          <w:sz w:val="44"/>
          <w:szCs w:val="21"/>
          <w:highlight w:val="none"/>
        </w:rPr>
        <w:t xml:space="preserve">四章 采购需求</w:t>
      </w:r>
      <w:bookmarkEnd w:id="177"/>
      <w:r/>
      <w:bookmarkEnd w:id="178"/>
      <w:r/>
      <w:bookmarkEnd w:id="179"/>
      <w:r/>
      <w:r/>
    </w:p>
    <w:p>
      <w:pPr>
        <w:spacing w:line="0" w:lineRule="atLeast"/>
        <w:rPr>
          <w:rFonts w:ascii="宋体" w:hAnsi="宋体"/>
          <w:color w:val="000000"/>
          <w:sz w:val="24"/>
          <w:szCs w:val="24"/>
          <w:highlight w:val="none"/>
        </w:rPr>
      </w:pPr>
      <w:r/>
      <w:bookmarkStart w:id="182" w:name="_Toc49090575"/>
      <w:r/>
      <w:bookmarkStart w:id="183" w:name="_Toc26554093"/>
      <w:r/>
      <w:r/>
    </w:p>
    <w:p>
      <w:pPr>
        <w:spacing w:line="0" w:lineRule="atLeast"/>
        <w:rPr>
          <w:rFonts w:ascii="宋体" w:hAnsi="宋体"/>
          <w:b/>
          <w:color w:val="000000"/>
          <w:sz w:val="28"/>
          <w:szCs w:val="28"/>
          <w:highlight w:val="none"/>
        </w:rPr>
      </w:pPr>
      <w:r>
        <w:rPr>
          <w:rFonts w:hint="eastAsia" w:ascii="宋体" w:hAnsi="宋体"/>
          <w:b/>
          <w:color w:val="000000"/>
          <w:sz w:val="28"/>
          <w:szCs w:val="28"/>
          <w:highlight w:val="none"/>
        </w:rPr>
        <w:t xml:space="preserve">一</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采购</w:t>
      </w:r>
      <w:r>
        <w:rPr>
          <w:rFonts w:ascii="宋体" w:hAnsi="宋体"/>
          <w:b/>
          <w:color w:val="000000"/>
          <w:sz w:val="28"/>
          <w:szCs w:val="28"/>
          <w:highlight w:val="none"/>
        </w:rPr>
        <w:t xml:space="preserve">标的清单</w:t>
      </w:r>
      <w:r/>
    </w:p>
    <w:tbl>
      <w:tblPr>
        <w:tblStyle w:val="722"/>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1116"/>
        <w:gridCol w:w="3291"/>
        <w:gridCol w:w="2852"/>
      </w:tblGrid>
      <w:tr>
        <w:trPr>
          <w:cantSplit/>
          <w:jc w:val="center"/>
        </w:trPr>
        <w:tc>
          <w:tcPr>
            <w:tcW w:w="1353"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采购包号</w:t>
            </w:r>
            <w:r/>
          </w:p>
        </w:tc>
        <w:tc>
          <w:tcPr>
            <w:tcW w:w="1116"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标的名称</w:t>
            </w:r>
            <w:r/>
          </w:p>
        </w:tc>
        <w:tc>
          <w:tcPr>
            <w:tcW w:w="2852"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913"/>
        </w:trPr>
        <w:tc>
          <w:tcPr>
            <w:tcW w:w="1353"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116"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291" w:type="dxa"/>
            <w:vAlign w:val="center"/>
            <w:textDirection w:val="lrTb"/>
            <w:noWrap/>
          </w:tcPr>
          <w:p>
            <w:pPr>
              <w:jc w:val="center"/>
              <w:spacing w:line="0" w:lineRule="atLeast"/>
              <w:tabs>
                <w:tab w:val="left" w:pos="2020" w:leader="none"/>
              </w:tabs>
              <w:rPr>
                <w:rFonts w:ascii="宋体" w:hAnsi="宋体"/>
                <w:sz w:val="24"/>
                <w:szCs w:val="24"/>
                <w:highlight w:val="none"/>
              </w:rPr>
            </w:pPr>
            <w:r>
              <w:rPr>
                <w:rFonts w:hint="eastAsia" w:ascii="宋体" w:hAnsi="宋体"/>
                <w:sz w:val="24"/>
                <w:szCs w:val="24"/>
                <w:highlight w:val="none"/>
              </w:rPr>
              <w:t xml:space="preserve">西区老旧电梯更换</w:t>
            </w:r>
            <w:r/>
          </w:p>
        </w:tc>
        <w:tc>
          <w:tcPr>
            <w:tcW w:w="2852" w:type="dxa"/>
            <w:vAlign w:val="center"/>
            <w:textDirection w:val="lrTb"/>
            <w:noWrap/>
          </w:tcPr>
          <w:p>
            <w:pPr>
              <w:jc w:val="center"/>
              <w:spacing w:line="0" w:lineRule="atLeast"/>
              <w:rPr>
                <w:rFonts w:ascii="宋体" w:hAnsi="宋体"/>
                <w:sz w:val="24"/>
                <w:szCs w:val="24"/>
                <w:highlight w:val="none"/>
              </w:rPr>
            </w:pPr>
            <w:r>
              <w:rPr>
                <w:rFonts w:ascii="宋体" w:hAnsi="宋体" w:cs="宋体"/>
                <w:sz w:val="24"/>
                <w:szCs w:val="24"/>
                <w:highlight w:val="none"/>
              </w:rPr>
              <w:t xml:space="preserve">工业</w:t>
            </w:r>
            <w:r/>
          </w:p>
        </w:tc>
      </w:tr>
    </w:tbl>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spacing w:line="0" w:lineRule="atLeas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t xml:space="preserve">二、政府采购中实施本国产品标准及相关政策</w:t>
      </w:r>
      <w:r/>
    </w:p>
    <w:p>
      <w:pPr>
        <w:ind w:firstLine="480"/>
        <w:keepLines w:val="0"/>
        <w:keepNext w:val="0"/>
        <w:pageBreakBefore w:val="0"/>
        <w:spacing w:line="44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1.本项目对采购本国产品给予政策支持，具体内容见招标文件“第五章 评标方法与评标标准”。</w:t>
      </w:r>
      <w:r/>
    </w:p>
    <w:p>
      <w:pPr>
        <w:ind w:firstLine="480"/>
        <w:keepLines w:val="0"/>
        <w:keepNext w:val="0"/>
        <w:pageBreakBefore w:val="0"/>
        <w:spacing w:line="44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spacing w:line="0" w:lineRule="atLeas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三</w:t>
      </w:r>
      <w:r>
        <w:rPr>
          <w:rFonts w:ascii="宋体" w:hAnsi="宋体"/>
          <w:b/>
          <w:color w:val="000000"/>
          <w:sz w:val="28"/>
          <w:szCs w:val="28"/>
          <w:highlight w:val="none"/>
        </w:rPr>
        <w:t xml:space="preserve">、技术要求</w:t>
      </w:r>
      <w:r/>
    </w:p>
    <w:p>
      <w:pPr>
        <w:pStyle w:val="953"/>
        <w:spacing w:before="104" w:line="221" w:lineRule="auto"/>
        <w:rPr>
          <w:spacing w:val="-5"/>
          <w:highlight w:val="none"/>
        </w:rPr>
      </w:pPr>
      <w:r>
        <w:rPr>
          <w:rFonts w:hint="eastAsia" w:ascii="宋体" w:hAnsi="宋体" w:eastAsia="宋体" w:cs="宋体"/>
          <w:color w:val="000000"/>
          <w:sz w:val="21"/>
          <w:szCs w:val="21"/>
          <w:highlight w:val="none"/>
          <w:u w:val="single"/>
        </w:rPr>
        <w:t xml:space="preserve">★</w:t>
      </w:r>
      <w:r>
        <w:rPr>
          <w:rFonts w:hint="eastAsia"/>
          <w:i/>
          <w:iCs/>
          <w:highlight w:val="none"/>
          <w:u w:val="single"/>
        </w:rPr>
        <w:t xml:space="preserve">本次采购的所有电梯须为同一品牌。</w:t>
      </w:r>
      <w:r/>
    </w:p>
    <w:p>
      <w:pPr>
        <w:pStyle w:val="953"/>
        <w:jc w:val="center"/>
        <w:spacing w:before="104" w:line="221" w:lineRule="auto"/>
        <w:rPr>
          <w:iCs/>
          <w:spacing w:val="-5"/>
          <w:highlight w:val="none"/>
        </w:rPr>
      </w:pPr>
      <w:r>
        <w:rPr>
          <w:rFonts w:hint="eastAsia"/>
          <w:iCs/>
          <w:spacing w:val="-5"/>
          <w:highlight w:val="none"/>
        </w:rPr>
        <w:t xml:space="preserve">项目需求（表一）</w:t>
      </w:r>
      <w:r/>
    </w:p>
    <w:tbl>
      <w:tblPr>
        <w:tblStyle w:val="722"/>
        <w:tblW w:w="11156" w:type="dxa"/>
        <w:jc w:val="center"/>
        <w:tblLayout w:type="fixed"/>
        <w:tblCellMar>
          <w:left w:w="108" w:type="dxa"/>
          <w:top w:w="0" w:type="dxa"/>
          <w:right w:w="108" w:type="dxa"/>
          <w:bottom w:w="0" w:type="dxa"/>
        </w:tblCellMar>
        <w:tblLook w:val="04A0" w:firstRow="1" w:lastRow="0" w:firstColumn="1" w:lastColumn="0" w:noHBand="0" w:noVBand="1"/>
      </w:tblPr>
      <w:tblGrid>
        <w:gridCol w:w="503"/>
        <w:gridCol w:w="675"/>
        <w:gridCol w:w="1380"/>
        <w:gridCol w:w="1140"/>
        <w:gridCol w:w="945"/>
        <w:gridCol w:w="1065"/>
        <w:gridCol w:w="1350"/>
        <w:gridCol w:w="775"/>
        <w:gridCol w:w="860"/>
        <w:gridCol w:w="763"/>
        <w:gridCol w:w="850"/>
        <w:gridCol w:w="850"/>
      </w:tblGrid>
      <w:tr>
        <w:trPr>
          <w:jc w:val="center"/>
          <w:trHeight w:val="76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电梯编号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电梯位置</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井道尺寸（宽*深 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提升（米）</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开门尺寸（宽*高mm）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层/站/门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载重（kg）</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顶层高度（米）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开门方式</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ascii="宋体" w:hAnsi="宋体" w:cs="宋体"/>
                <w:b/>
                <w:bCs/>
                <w:sz w:val="16"/>
                <w:szCs w:val="16"/>
                <w:highlight w:val="none"/>
              </w:rPr>
            </w:pPr>
            <w:r>
              <w:rPr>
                <w:rFonts w:ascii="宋体" w:hAnsi="宋体" w:cs="宋体"/>
                <w:b/>
                <w:bCs/>
                <w:sz w:val="16"/>
                <w:szCs w:val="16"/>
                <w:highlight w:val="none"/>
              </w:rPr>
            </w:r>
            <w:r/>
          </w:p>
          <w:p>
            <w:pPr>
              <w:jc w:val="center"/>
              <w:rPr>
                <w:rFonts w:ascii="宋体" w:hAnsi="宋体" w:cs="宋体"/>
                <w:b/>
                <w:bCs/>
                <w:sz w:val="16"/>
                <w:szCs w:val="16"/>
                <w:highlight w:val="none"/>
              </w:rPr>
            </w:pPr>
            <w:r>
              <w:rPr>
                <w:rFonts w:hint="eastAsia" w:ascii="宋体" w:hAnsi="宋体" w:cs="宋体"/>
                <w:b/>
                <w:bCs/>
                <w:sz w:val="16"/>
                <w:szCs w:val="16"/>
                <w:highlight w:val="none"/>
              </w:rPr>
              <w:t xml:space="preserve">机房</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2#</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40"/>
                <w:rFonts w:hint="default"/>
                <w:highlight w:val="none"/>
              </w:rPr>
              <w:t xml:space="preserve">层</w:t>
            </w:r>
            <w:r>
              <w:rPr>
                <w:rStyle w:val="1041"/>
                <w:rFonts w:hint="default"/>
                <w:highlight w:val="none"/>
              </w:rPr>
              <w:t xml:space="preserve">23</w:t>
            </w:r>
            <w:r>
              <w:rPr>
                <w:rStyle w:val="1040"/>
                <w:rFonts w:hint="default"/>
                <w:highlight w:val="none"/>
              </w:rPr>
              <w:t xml:space="preserve">站</w:t>
            </w:r>
            <w:r>
              <w:rPr>
                <w:rStyle w:val="1041"/>
                <w:rFonts w:hint="default"/>
                <w:highlight w:val="none"/>
              </w:rPr>
              <w:t xml:space="preserve">23</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3#</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40"/>
                <w:rFonts w:hint="default"/>
                <w:highlight w:val="none"/>
              </w:rPr>
              <w:t xml:space="preserve">层</w:t>
            </w:r>
            <w:r>
              <w:rPr>
                <w:rStyle w:val="1041"/>
                <w:rFonts w:hint="default"/>
                <w:highlight w:val="none"/>
              </w:rPr>
              <w:t xml:space="preserve">23</w:t>
            </w:r>
            <w:r>
              <w:rPr>
                <w:rStyle w:val="1040"/>
                <w:rFonts w:hint="default"/>
                <w:highlight w:val="none"/>
              </w:rPr>
              <w:t xml:space="preserve">站</w:t>
            </w:r>
            <w:r>
              <w:rPr>
                <w:rStyle w:val="1041"/>
                <w:rFonts w:hint="default"/>
                <w:highlight w:val="none"/>
              </w:rPr>
              <w:t xml:space="preserve">23</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4#</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2300*2300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88.8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1000*2100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40"/>
                <w:rFonts w:hint="default"/>
                <w:highlight w:val="none"/>
              </w:rPr>
              <w:t xml:space="preserve">层</w:t>
            </w:r>
            <w:r>
              <w:rPr>
                <w:rStyle w:val="1041"/>
                <w:rFonts w:hint="default"/>
                <w:highlight w:val="none"/>
              </w:rPr>
              <w:t xml:space="preserve">23</w:t>
            </w:r>
            <w:r>
              <w:rPr>
                <w:rStyle w:val="1040"/>
                <w:rFonts w:hint="default"/>
                <w:highlight w:val="none"/>
              </w:rPr>
              <w:t xml:space="preserve">站</w:t>
            </w:r>
            <w:r>
              <w:rPr>
                <w:rStyle w:val="1041"/>
                <w:rFonts w:hint="default"/>
                <w:highlight w:val="none"/>
              </w:rPr>
              <w:t xml:space="preserve">23</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DT4</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5#</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93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24</w:t>
            </w:r>
            <w:r>
              <w:rPr>
                <w:rStyle w:val="1040"/>
                <w:rFonts w:hint="default"/>
                <w:highlight w:val="none"/>
              </w:rPr>
              <w:t xml:space="preserve">层</w:t>
            </w:r>
            <w:r>
              <w:rPr>
                <w:rStyle w:val="1041"/>
                <w:rFonts w:hint="default"/>
                <w:highlight w:val="none"/>
              </w:rPr>
              <w:t xml:space="preserve">24</w:t>
            </w:r>
            <w:r>
              <w:rPr>
                <w:rStyle w:val="1040"/>
                <w:rFonts w:hint="default"/>
                <w:highlight w:val="none"/>
              </w:rPr>
              <w:t xml:space="preserve">站</w:t>
            </w:r>
            <w:r>
              <w:rPr>
                <w:rStyle w:val="1041"/>
                <w:rFonts w:hint="default"/>
                <w:highlight w:val="none"/>
              </w:rPr>
              <w:t xml:space="preserve">24</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6#</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40"/>
                <w:rFonts w:hint="default"/>
                <w:highlight w:val="none"/>
              </w:rPr>
              <w:t xml:space="preserve">层</w:t>
            </w:r>
            <w:r>
              <w:rPr>
                <w:rStyle w:val="1041"/>
                <w:rFonts w:hint="default"/>
                <w:highlight w:val="none"/>
              </w:rPr>
              <w:t xml:space="preserve">23</w:t>
            </w:r>
            <w:r>
              <w:rPr>
                <w:rStyle w:val="1040"/>
                <w:rFonts w:hint="default"/>
                <w:highlight w:val="none"/>
              </w:rPr>
              <w:t xml:space="preserve">站</w:t>
            </w:r>
            <w:r>
              <w:rPr>
                <w:rStyle w:val="1041"/>
                <w:rFonts w:hint="default"/>
                <w:highlight w:val="none"/>
              </w:rPr>
              <w:t xml:space="preserve">23</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7#</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40"/>
                <w:rFonts w:hint="default"/>
                <w:highlight w:val="none"/>
              </w:rPr>
              <w:t xml:space="preserve">层</w:t>
            </w:r>
            <w:r>
              <w:rPr>
                <w:rStyle w:val="1041"/>
                <w:rFonts w:hint="default"/>
                <w:highlight w:val="none"/>
              </w:rPr>
              <w:t xml:space="preserve">23</w:t>
            </w:r>
            <w:r>
              <w:rPr>
                <w:rStyle w:val="1040"/>
                <w:rFonts w:hint="default"/>
                <w:highlight w:val="none"/>
              </w:rPr>
              <w:t xml:space="preserve">站</w:t>
            </w:r>
            <w:r>
              <w:rPr>
                <w:rStyle w:val="1041"/>
                <w:rFonts w:hint="default"/>
                <w:highlight w:val="none"/>
              </w:rPr>
              <w:t xml:space="preserve">23</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DT7</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8#</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sz w:val="18"/>
                <w:szCs w:val="18"/>
                <w:highlight w:val="none"/>
              </w:rPr>
            </w:pPr>
            <w:r>
              <w:rPr>
                <w:sz w:val="18"/>
                <w:szCs w:val="18"/>
                <w:highlight w:val="none"/>
              </w:rPr>
              <w:t xml:space="preserve">2300*2300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2"/>
                <w:highlight w:val="none"/>
              </w:rPr>
            </w:pPr>
            <w:r>
              <w:rPr>
                <w:rFonts w:hint="eastAsia"/>
                <w:sz w:val="18"/>
                <w:szCs w:val="18"/>
                <w:highlight w:val="none"/>
              </w:rPr>
              <w:t xml:space="preserve">88.8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22"/>
                <w:highlight w:val="none"/>
              </w:rPr>
            </w:pPr>
            <w:r>
              <w:rPr>
                <w:sz w:val="18"/>
                <w:szCs w:val="18"/>
                <w:highlight w:val="none"/>
              </w:rPr>
              <w:t xml:space="preserve">1000*2100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40"/>
                <w:rFonts w:hint="default"/>
                <w:highlight w:val="none"/>
              </w:rPr>
              <w:t xml:space="preserve">层</w:t>
            </w:r>
            <w:r>
              <w:rPr>
                <w:rStyle w:val="1041"/>
                <w:rFonts w:hint="default"/>
                <w:highlight w:val="none"/>
              </w:rPr>
              <w:t xml:space="preserve">23</w:t>
            </w:r>
            <w:r>
              <w:rPr>
                <w:rStyle w:val="1040"/>
                <w:rFonts w:hint="default"/>
                <w:highlight w:val="none"/>
              </w:rPr>
              <w:t xml:space="preserve">站</w:t>
            </w:r>
            <w:r>
              <w:rPr>
                <w:rStyle w:val="1041"/>
                <w:rFonts w:hint="default"/>
                <w:highlight w:val="none"/>
              </w:rPr>
              <w:t xml:space="preserve">23</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38"/>
                <w:highlight w:val="none"/>
              </w:rPr>
              <w:t xml:space="preserve">9#</w:t>
            </w:r>
            <w:r>
              <w:rPr>
                <w:rStyle w:val="1039"/>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2100×2200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82.8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rFonts w:hint="eastAsia"/>
                <w:sz w:val="18"/>
                <w:szCs w:val="18"/>
                <w:highlight w:val="none"/>
              </w:rPr>
              <w:t xml:space="preserve">9</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22</w:t>
            </w:r>
            <w:r>
              <w:rPr>
                <w:rStyle w:val="1040"/>
                <w:rFonts w:hint="default"/>
                <w:highlight w:val="none"/>
              </w:rPr>
              <w:t xml:space="preserve">层</w:t>
            </w:r>
            <w:r>
              <w:rPr>
                <w:rStyle w:val="1041"/>
                <w:rFonts w:hint="default"/>
                <w:highlight w:val="none"/>
              </w:rPr>
              <w:t xml:space="preserve">22</w:t>
            </w:r>
            <w:r>
              <w:rPr>
                <w:rStyle w:val="1040"/>
                <w:rFonts w:hint="default"/>
                <w:highlight w:val="none"/>
              </w:rPr>
              <w:t xml:space="preserve">站</w:t>
            </w:r>
            <w:r>
              <w:rPr>
                <w:rStyle w:val="1041"/>
                <w:rFonts w:hint="default"/>
                <w:highlight w:val="none"/>
              </w:rPr>
              <w:t xml:space="preserve">22</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新行政楼</w:t>
            </w:r>
            <w:r>
              <w:rPr>
                <w:rStyle w:val="1038"/>
                <w:highlight w:val="none"/>
              </w:rPr>
              <w:t xml:space="preserve">(</w:t>
            </w:r>
            <w:r>
              <w:rPr>
                <w:rStyle w:val="1039"/>
                <w:rFonts w:hint="default"/>
                <w:highlight w:val="none"/>
              </w:rPr>
              <w:t xml:space="preserve">北</w:t>
            </w:r>
            <w:r>
              <w:rPr>
                <w:rStyle w:val="1038"/>
                <w:highlight w:val="none"/>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2100×2200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19</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900×2100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6</w:t>
            </w:r>
            <w:r>
              <w:rPr>
                <w:rStyle w:val="1040"/>
                <w:rFonts w:hint="default"/>
                <w:highlight w:val="none"/>
              </w:rPr>
              <w:t xml:space="preserve">层</w:t>
            </w:r>
            <w:r>
              <w:rPr>
                <w:rStyle w:val="1041"/>
                <w:rFonts w:hint="default"/>
                <w:highlight w:val="none"/>
              </w:rPr>
              <w:t xml:space="preserve">6</w:t>
            </w:r>
            <w:r>
              <w:rPr>
                <w:rStyle w:val="1040"/>
                <w:rFonts w:hint="default"/>
                <w:highlight w:val="none"/>
              </w:rPr>
              <w:t xml:space="preserve">站</w:t>
            </w:r>
            <w:r>
              <w:rPr>
                <w:rStyle w:val="1041"/>
                <w:rFonts w:hint="default"/>
                <w:highlight w:val="none"/>
              </w:rPr>
              <w:t xml:space="preserve">6</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3.9</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中开门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无</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手术室东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1500*1200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11.1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rFonts w:hint="eastAsia"/>
                <w:sz w:val="18"/>
                <w:szCs w:val="18"/>
                <w:highlight w:val="none"/>
              </w:rPr>
              <w:t xml:space="preserve">900*1000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3</w:t>
            </w:r>
            <w:r>
              <w:rPr>
                <w:rStyle w:val="1040"/>
                <w:rFonts w:hint="default"/>
                <w:highlight w:val="none"/>
              </w:rPr>
              <w:t xml:space="preserve">层</w:t>
            </w:r>
            <w:r>
              <w:rPr>
                <w:rStyle w:val="1041"/>
                <w:rFonts w:hint="default"/>
                <w:highlight w:val="none"/>
              </w:rPr>
              <w:t xml:space="preserve">2</w:t>
            </w:r>
            <w:r>
              <w:rPr>
                <w:rStyle w:val="1040"/>
                <w:rFonts w:hint="default"/>
                <w:highlight w:val="none"/>
              </w:rPr>
              <w:t xml:space="preserve">站</w:t>
            </w:r>
            <w:r>
              <w:rPr>
                <w:rStyle w:val="1041"/>
                <w:rFonts w:hint="default"/>
                <w:highlight w:val="none"/>
              </w:rPr>
              <w:t xml:space="preserve">2</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4.27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手术室西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1500*1200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8.68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rFonts w:hint="eastAsia"/>
                <w:sz w:val="18"/>
                <w:szCs w:val="18"/>
                <w:highlight w:val="none"/>
              </w:rPr>
              <w:t xml:space="preserve">900*1000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3</w:t>
            </w:r>
            <w:r>
              <w:rPr>
                <w:rStyle w:val="1040"/>
                <w:rFonts w:hint="default"/>
                <w:highlight w:val="none"/>
              </w:rPr>
              <w:t xml:space="preserve">层</w:t>
            </w:r>
            <w:r>
              <w:rPr>
                <w:rStyle w:val="1041"/>
                <w:rFonts w:hint="default"/>
                <w:highlight w:val="none"/>
              </w:rPr>
              <w:t xml:space="preserve">2</w:t>
            </w:r>
            <w:r>
              <w:rPr>
                <w:rStyle w:val="1040"/>
                <w:rFonts w:hint="default"/>
                <w:highlight w:val="none"/>
              </w:rPr>
              <w:t xml:space="preserve">站</w:t>
            </w:r>
            <w:r>
              <w:rPr>
                <w:rStyle w:val="1041"/>
                <w:rFonts w:hint="default"/>
                <w:highlight w:val="none"/>
              </w:rPr>
              <w:t xml:space="preserve">2</w:t>
            </w:r>
            <w:r>
              <w:rPr>
                <w:rStyle w:val="1040"/>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门诊楼北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40"/>
                <w:rFonts w:hint="default"/>
                <w:highlight w:val="none"/>
              </w:rPr>
            </w:pPr>
            <w:r>
              <w:rPr>
                <w:rStyle w:val="1040"/>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40"/>
                <w:rFonts w:hint="default"/>
                <w:highlight w:val="none"/>
              </w:rPr>
            </w:pPr>
            <w:r>
              <w:rPr>
                <w:rStyle w:val="1040"/>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40"/>
                <w:rFonts w:hint="default"/>
                <w:highlight w:val="none"/>
              </w:rPr>
            </w:pPr>
            <w:r>
              <w:rPr>
                <w:rStyle w:val="1040"/>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40"/>
                <w:rFonts w:hint="default"/>
                <w:highlight w:val="none"/>
              </w:rPr>
            </w:pPr>
            <w:r>
              <w:rPr>
                <w:rStyle w:val="1040"/>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门诊楼南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40"/>
                <w:rFonts w:hint="default"/>
                <w:highlight w:val="none"/>
              </w:rPr>
            </w:pPr>
            <w:r>
              <w:rPr>
                <w:rStyle w:val="1040"/>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40"/>
                <w:rFonts w:hint="default"/>
                <w:highlight w:val="none"/>
              </w:rPr>
            </w:pPr>
            <w:r>
              <w:rPr>
                <w:rStyle w:val="1040"/>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40"/>
                <w:rFonts w:hint="default"/>
                <w:highlight w:val="none"/>
              </w:rPr>
            </w:pPr>
            <w:r>
              <w:rPr>
                <w:rStyle w:val="1040"/>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40"/>
                <w:rFonts w:hint="default"/>
                <w:highlight w:val="none"/>
              </w:rPr>
            </w:pPr>
            <w:r>
              <w:rPr>
                <w:rStyle w:val="1040"/>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DT14</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食堂东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2350*1960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40"/>
                <w:rFonts w:hint="default"/>
                <w:highlight w:val="none"/>
              </w:rPr>
            </w:pPr>
            <w:r>
              <w:rPr>
                <w:rStyle w:val="1040"/>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40"/>
                <w:rFonts w:hint="default"/>
                <w:highlight w:val="none"/>
              </w:rPr>
            </w:pPr>
            <w:r>
              <w:rPr>
                <w:rStyle w:val="1040"/>
                <w:rFonts w:hint="default"/>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40"/>
                <w:rFonts w:hint="default"/>
                <w:highlight w:val="none"/>
              </w:rPr>
            </w:pPr>
            <w:r>
              <w:rPr>
                <w:rStyle w:val="1040"/>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40"/>
                <w:rFonts w:hint="default"/>
                <w:highlight w:val="none"/>
              </w:rPr>
            </w:pPr>
            <w:r>
              <w:rPr>
                <w:rStyle w:val="1040"/>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食堂西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2350*1960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1100*2100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40"/>
                <w:rFonts w:hint="default"/>
                <w:highlight w:val="none"/>
              </w:rPr>
            </w:pPr>
            <w:r>
              <w:rPr>
                <w:rStyle w:val="1040"/>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40"/>
                <w:rFonts w:hint="default"/>
                <w:highlight w:val="none"/>
              </w:rPr>
            </w:pPr>
            <w:r>
              <w:rPr>
                <w:rStyle w:val="1040"/>
                <w:rFonts w:hint="default"/>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40"/>
                <w:rFonts w:hint="default"/>
                <w:highlight w:val="none"/>
              </w:rPr>
            </w:pPr>
            <w:r>
              <w:rPr>
                <w:rStyle w:val="1040"/>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40"/>
                <w:rFonts w:hint="default"/>
                <w:highlight w:val="none"/>
              </w:rPr>
            </w:pPr>
            <w:r>
              <w:rPr>
                <w:rStyle w:val="1040"/>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中分双折</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医技楼西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18.61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40"/>
                <w:rFonts w:hint="default"/>
                <w:highlight w:val="none"/>
              </w:rPr>
            </w:pPr>
            <w:r>
              <w:rPr>
                <w:rStyle w:val="1040"/>
                <w:rFonts w:hint="default"/>
                <w:highlight w:val="none"/>
              </w:rPr>
              <w:t xml:space="preserve">5层5站5门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40"/>
                <w:rFonts w:hint="default"/>
                <w:highlight w:val="none"/>
              </w:rPr>
            </w:pPr>
            <w:r>
              <w:rPr>
                <w:rStyle w:val="1040"/>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40"/>
                <w:rFonts w:hint="default"/>
                <w:highlight w:val="none"/>
              </w:rPr>
            </w:pPr>
            <w:r>
              <w:rPr>
                <w:rStyle w:val="1040"/>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DT17</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医技楼东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18.61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40"/>
                <w:rFonts w:hint="default"/>
                <w:highlight w:val="none"/>
              </w:rPr>
            </w:pPr>
            <w:r>
              <w:rPr>
                <w:rStyle w:val="1040"/>
                <w:rFonts w:hint="default"/>
                <w:highlight w:val="none"/>
              </w:rPr>
              <w:t xml:space="preserve">5层5站5门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40"/>
                <w:rFonts w:hint="default"/>
                <w:highlight w:val="none"/>
              </w:rPr>
            </w:pPr>
            <w:r>
              <w:rPr>
                <w:rStyle w:val="1040"/>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40"/>
                <w:rFonts w:hint="default"/>
                <w:highlight w:val="none"/>
              </w:rPr>
            </w:pPr>
            <w:r>
              <w:rPr>
                <w:rStyle w:val="1040"/>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提升高度mm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控制方式</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公称宽度mm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水平梯级</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18</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门诊南扶梯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4800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微机变频</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1200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highlight w:val="none"/>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门诊北扶梯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4800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微机变频</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1200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highlight w:val="none"/>
              </w:rPr>
              <w:t xml:space="preserve">-</w:t>
            </w:r>
            <w:r/>
          </w:p>
        </w:tc>
      </w:tr>
      <w:tr>
        <w:trPr>
          <w:jc w:val="center"/>
          <w:trHeight w:val="280"/>
        </w:trPr>
        <w:tc>
          <w:tcPr>
            <w:gridSpan w:val="12"/>
            <w:tcBorders>
              <w:top w:val="single" w:color="000000" w:sz="4" w:space="0"/>
              <w:left w:val="single" w:color="000000" w:sz="4" w:space="0"/>
              <w:bottom w:val="single" w:color="000000" w:sz="4" w:space="0"/>
              <w:right w:val="single" w:color="000000" w:sz="4" w:space="0"/>
            </w:tcBorders>
            <w:tcW w:w="11156" w:type="dxa"/>
            <w:vAlign w:val="center"/>
            <w:textDirection w:val="lrTb"/>
            <w:noWrap/>
          </w:tcPr>
          <w:p>
            <w:pPr>
              <w:jc w:val="left"/>
              <w:rPr>
                <w:rFonts w:ascii="宋体" w:hAnsi="宋体" w:cs="宋体"/>
                <w:i/>
                <w:iCs/>
                <w:sz w:val="22"/>
                <w:highlight w:val="none"/>
                <w:u w:val="single"/>
              </w:rPr>
            </w:pPr>
            <w:r>
              <w:rPr>
                <w:rFonts w:hint="eastAsia" w:ascii="宋体" w:hAnsi="宋体" w:cs="宋体"/>
                <w:i/>
                <w:iCs/>
                <w:sz w:val="22"/>
                <w:highlight w:val="none"/>
                <w:u w:val="single"/>
              </w:rPr>
              <w:t xml:space="preserve">备注要求：本表井道尺寸、提升高度、开门尺寸、扶梯等相关参数仅供参考，具体以投标单位现场勘察勘测数据为准，供应商所投产品不小于原梯井道、开门尺寸、提升高度、扶梯提升高度、水平梯级、公称宽度、等相关参数，运行速度按项目需求(表一)配置。</w:t>
            </w:r>
            <w:r/>
          </w:p>
        </w:tc>
      </w:tr>
    </w:tbl>
    <w:p>
      <w:pPr>
        <w:pStyle w:val="953"/>
        <w:jc w:val="center"/>
        <w:spacing w:before="104" w:line="221" w:lineRule="auto"/>
        <w:rPr>
          <w:spacing w:val="-5"/>
          <w:highlight w:val="none"/>
        </w:rPr>
      </w:pPr>
      <w:r>
        <w:rPr>
          <w:spacing w:val="-5"/>
          <w:highlight w:val="none"/>
        </w:rPr>
      </w:r>
      <w:r/>
    </w:p>
    <w:p>
      <w:pPr>
        <w:pStyle w:val="953"/>
        <w:jc w:val="center"/>
        <w:spacing w:before="104" w:line="221" w:lineRule="auto"/>
        <w:rPr>
          <w:spacing w:val="-5"/>
          <w:highlight w:val="none"/>
        </w:rPr>
      </w:pPr>
      <w:r>
        <w:rPr>
          <w:rFonts w:hint="eastAsia"/>
          <w:spacing w:val="-5"/>
          <w:highlight w:val="none"/>
        </w:rPr>
        <w:t xml:space="preserve">技术参数要求（表二）</w:t>
      </w:r>
      <w:r/>
    </w:p>
    <w:tbl>
      <w:tblPr>
        <w:tblStyle w:val="722"/>
        <w:tblW w:w="104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67"/>
        <w:gridCol w:w="11"/>
        <w:gridCol w:w="8115"/>
      </w:tblGrid>
      <w:tr>
        <w:trPr>
          <w:jc w:val="center"/>
          <w:trHeight w:val="321"/>
        </w:trPr>
        <w:tc>
          <w:tcPr>
            <w:gridSpan w:val="3"/>
            <w:tcW w:w="10493" w:type="dxa"/>
            <w:vAlign w:val="center"/>
            <w:textDirection w:val="lrTb"/>
            <w:noWrap/>
          </w:tcPr>
          <w:p>
            <w:pPr>
              <w:pStyle w:val="1042"/>
              <w:jc w:val="left"/>
              <w:spacing w:before="71" w:line="220" w:lineRule="auto"/>
              <w:rPr>
                <w:b/>
                <w:i/>
                <w:sz w:val="21"/>
                <w:szCs w:val="21"/>
                <w:highlight w:val="none"/>
                <w:u w:val="single"/>
              </w:rPr>
            </w:pPr>
            <w:r>
              <w:rPr>
                <w:rFonts w:hint="eastAsia"/>
                <w:color w:val="000000"/>
                <w:sz w:val="21"/>
                <w:szCs w:val="21"/>
                <w:highlight w:val="none"/>
                <w:u w:val="single"/>
              </w:rPr>
              <w:t xml:space="preserve">★</w:t>
            </w:r>
            <w:r>
              <w:rPr>
                <w:b/>
                <w:i/>
                <w:spacing w:val="-8"/>
                <w:sz w:val="21"/>
                <w:szCs w:val="21"/>
                <w:highlight w:val="none"/>
                <w:u w:val="single"/>
              </w:rPr>
              <w:t xml:space="preserve">基本技术参数要求</w:t>
            </w:r>
            <w:r/>
          </w:p>
        </w:tc>
      </w:tr>
      <w:tr>
        <w:trPr>
          <w:jc w:val="center"/>
          <w:trHeight w:val="321"/>
        </w:trPr>
        <w:tc>
          <w:tcPr>
            <w:gridSpan w:val="2"/>
            <w:tcW w:w="2378" w:type="dxa"/>
            <w:vAlign w:val="center"/>
            <w:textDirection w:val="lrTb"/>
            <w:noWrap/>
          </w:tcPr>
          <w:p>
            <w:pPr>
              <w:pStyle w:val="1042"/>
              <w:jc w:val="center"/>
              <w:spacing w:before="71" w:line="220" w:lineRule="auto"/>
              <w:rPr>
                <w:i/>
                <w:sz w:val="21"/>
                <w:szCs w:val="21"/>
                <w:highlight w:val="none"/>
                <w:u w:val="single"/>
              </w:rPr>
            </w:pPr>
            <w:r>
              <w:rPr>
                <w:i/>
                <w:spacing w:val="-8"/>
                <w:sz w:val="21"/>
                <w:szCs w:val="21"/>
                <w:highlight w:val="none"/>
                <w:u w:val="single"/>
              </w:rPr>
              <w:t xml:space="preserve">电梯编号</w:t>
            </w:r>
            <w:r/>
          </w:p>
        </w:tc>
        <w:tc>
          <w:tcPr>
            <w:tcW w:w="8115" w:type="dxa"/>
            <w:textDirection w:val="lrTb"/>
            <w:noWrap/>
          </w:tcPr>
          <w:p>
            <w:pPr>
              <w:pStyle w:val="1042"/>
              <w:spacing w:before="99" w:line="187" w:lineRule="auto"/>
              <w:rPr>
                <w:i/>
                <w:sz w:val="18"/>
                <w:szCs w:val="18"/>
                <w:highlight w:val="none"/>
                <w:u w:val="single"/>
              </w:rPr>
            </w:pPr>
            <w:r>
              <w:rPr>
                <w:rFonts w:hint="eastAsia"/>
                <w:i/>
                <w:sz w:val="18"/>
                <w:szCs w:val="18"/>
                <w:highlight w:val="none"/>
                <w:u w:val="single"/>
              </w:rPr>
              <w:t xml:space="preserve">DT1~DT17</w:t>
            </w:r>
            <w:r/>
          </w:p>
        </w:tc>
      </w:tr>
      <w:tr>
        <w:trPr>
          <w:jc w:val="center"/>
          <w:trHeight w:val="317"/>
        </w:trPr>
        <w:tc>
          <w:tcPr>
            <w:gridSpan w:val="2"/>
            <w:tcW w:w="2378" w:type="dxa"/>
            <w:vAlign w:val="center"/>
            <w:textDirection w:val="lrTb"/>
            <w:noWrap/>
          </w:tcPr>
          <w:p>
            <w:pPr>
              <w:pStyle w:val="1042"/>
              <w:jc w:val="center"/>
              <w:spacing w:before="66" w:line="221" w:lineRule="auto"/>
              <w:rPr>
                <w:i/>
                <w:sz w:val="21"/>
                <w:szCs w:val="21"/>
                <w:highlight w:val="none"/>
                <w:u w:val="single"/>
              </w:rPr>
            </w:pPr>
            <w:r>
              <w:rPr>
                <w:i/>
                <w:spacing w:val="-8"/>
                <w:sz w:val="21"/>
                <w:szCs w:val="21"/>
                <w:highlight w:val="none"/>
                <w:u w:val="single"/>
              </w:rPr>
              <w:t xml:space="preserve">电梯型号</w:t>
            </w:r>
            <w:r/>
          </w:p>
        </w:tc>
        <w:tc>
          <w:tcPr>
            <w:tcW w:w="8115" w:type="dxa"/>
            <w:textDirection w:val="lrTb"/>
            <w:noWrap/>
          </w:tcPr>
          <w:p>
            <w:pPr>
              <w:pStyle w:val="1042"/>
              <w:ind w:left="113"/>
              <w:spacing w:before="66" w:line="221" w:lineRule="auto"/>
              <w:rPr>
                <w:i/>
                <w:sz w:val="18"/>
                <w:szCs w:val="18"/>
                <w:highlight w:val="none"/>
                <w:u w:val="single"/>
              </w:rPr>
            </w:pPr>
            <w:r>
              <w:rPr>
                <w:i/>
                <w:spacing w:val="-3"/>
                <w:sz w:val="18"/>
                <w:szCs w:val="18"/>
                <w:highlight w:val="none"/>
                <w:u w:val="single"/>
              </w:rPr>
              <w:t xml:space="preserve">客用电梯</w:t>
            </w:r>
            <w:r>
              <w:rPr>
                <w:rFonts w:hint="eastAsia"/>
                <w:i/>
                <w:spacing w:val="-3"/>
                <w:sz w:val="18"/>
                <w:szCs w:val="18"/>
                <w:highlight w:val="none"/>
                <w:u w:val="single"/>
              </w:rPr>
              <w:t xml:space="preserve">（</w:t>
            </w:r>
            <w:r>
              <w:rPr>
                <w:rFonts w:hint="eastAsia"/>
                <w:i/>
                <w:sz w:val="18"/>
                <w:szCs w:val="18"/>
                <w:highlight w:val="none"/>
                <w:u w:val="single"/>
              </w:rPr>
              <w:t xml:space="preserve">DT3、DT7、DT8、DT9、DT14、DT15</w:t>
            </w:r>
            <w:r>
              <w:rPr>
                <w:rFonts w:hint="eastAsia"/>
                <w:i/>
                <w:spacing w:val="-3"/>
                <w:sz w:val="18"/>
                <w:szCs w:val="18"/>
                <w:highlight w:val="none"/>
                <w:u w:val="single"/>
              </w:rPr>
              <w:t xml:space="preserve">）、杂物梯（</w:t>
            </w:r>
            <w:r>
              <w:rPr>
                <w:rFonts w:hint="eastAsia"/>
                <w:i/>
                <w:sz w:val="18"/>
                <w:szCs w:val="18"/>
                <w:highlight w:val="none"/>
                <w:u w:val="single"/>
              </w:rPr>
              <w:t xml:space="preserve">DT11、DT10</w:t>
            </w:r>
            <w:r>
              <w:rPr>
                <w:rFonts w:hint="eastAsia"/>
                <w:i/>
                <w:spacing w:val="-3"/>
                <w:sz w:val="18"/>
                <w:szCs w:val="18"/>
                <w:highlight w:val="none"/>
                <w:u w:val="single"/>
              </w:rPr>
              <w:t xml:space="preserve">）、医用电梯（</w:t>
            </w:r>
            <w:r>
              <w:rPr>
                <w:rFonts w:hint="eastAsia"/>
                <w:i/>
                <w:sz w:val="18"/>
                <w:szCs w:val="18"/>
                <w:highlight w:val="none"/>
                <w:u w:val="single"/>
              </w:rPr>
              <w:t xml:space="preserve">DT1、DT2、DT4、DT5、DT6、DT12、DT13、DT16、DT17</w:t>
            </w:r>
            <w:r>
              <w:rPr>
                <w:rFonts w:hint="eastAsia"/>
                <w:i/>
                <w:spacing w:val="-3"/>
                <w:sz w:val="18"/>
                <w:szCs w:val="18"/>
                <w:highlight w:val="none"/>
                <w:u w:val="single"/>
              </w:rPr>
              <w:t xml:space="preserve">）</w:t>
            </w:r>
            <w:r/>
          </w:p>
        </w:tc>
      </w:tr>
      <w:tr>
        <w:trPr>
          <w:jc w:val="center"/>
          <w:trHeight w:val="317"/>
        </w:trPr>
        <w:tc>
          <w:tcPr>
            <w:gridSpan w:val="2"/>
            <w:tcW w:w="2378" w:type="dxa"/>
            <w:vAlign w:val="center"/>
            <w:textDirection w:val="lrTb"/>
            <w:noWrap/>
          </w:tcPr>
          <w:p>
            <w:pPr>
              <w:pStyle w:val="1042"/>
              <w:jc w:val="center"/>
              <w:spacing w:before="66" w:line="220" w:lineRule="auto"/>
              <w:rPr>
                <w:i/>
                <w:sz w:val="21"/>
                <w:szCs w:val="21"/>
                <w:highlight w:val="none"/>
                <w:u w:val="single"/>
              </w:rPr>
            </w:pPr>
            <w:r>
              <w:rPr>
                <w:i/>
                <w:spacing w:val="-5"/>
                <w:sz w:val="21"/>
                <w:szCs w:val="21"/>
                <w:highlight w:val="none"/>
                <w:u w:val="single"/>
              </w:rPr>
              <w:t xml:space="preserve">数量</w:t>
            </w:r>
            <w:r/>
          </w:p>
        </w:tc>
        <w:tc>
          <w:tcPr>
            <w:tcW w:w="8115" w:type="dxa"/>
            <w:textDirection w:val="lrTb"/>
            <w:noWrap/>
          </w:tcPr>
          <w:p>
            <w:pPr>
              <w:pStyle w:val="1042"/>
              <w:ind w:left="111"/>
              <w:spacing w:before="66" w:line="222" w:lineRule="auto"/>
              <w:rPr>
                <w:i/>
                <w:sz w:val="18"/>
                <w:szCs w:val="18"/>
                <w:highlight w:val="none"/>
                <w:u w:val="single"/>
              </w:rPr>
            </w:pPr>
            <w:r>
              <w:rPr>
                <w:rFonts w:hint="eastAsia"/>
                <w:i/>
                <w:spacing w:val="-4"/>
                <w:sz w:val="18"/>
                <w:szCs w:val="18"/>
                <w:highlight w:val="none"/>
                <w:u w:val="single"/>
              </w:rPr>
              <w:t xml:space="preserve">17</w:t>
            </w:r>
            <w:r>
              <w:rPr>
                <w:i/>
                <w:spacing w:val="-4"/>
                <w:sz w:val="18"/>
                <w:szCs w:val="18"/>
                <w:highlight w:val="none"/>
                <w:u w:val="single"/>
              </w:rPr>
              <w:t xml:space="preserve">台</w:t>
            </w:r>
            <w:r/>
          </w:p>
        </w:tc>
      </w:tr>
      <w:tr>
        <w:trPr>
          <w:jc w:val="center"/>
          <w:trHeight w:val="90"/>
        </w:trPr>
        <w:tc>
          <w:tcPr>
            <w:gridSpan w:val="2"/>
            <w:tcW w:w="2378" w:type="dxa"/>
            <w:vAlign w:val="center"/>
            <w:textDirection w:val="lrTb"/>
            <w:noWrap/>
          </w:tcPr>
          <w:p>
            <w:pPr>
              <w:pStyle w:val="1042"/>
              <w:jc w:val="center"/>
              <w:spacing w:before="65" w:line="221" w:lineRule="auto"/>
              <w:rPr>
                <w:i/>
                <w:sz w:val="21"/>
                <w:szCs w:val="21"/>
                <w:highlight w:val="none"/>
                <w:u w:val="single"/>
              </w:rPr>
            </w:pPr>
            <w:r>
              <w:rPr>
                <w:i/>
                <w:spacing w:val="-6"/>
                <w:sz w:val="21"/>
                <w:szCs w:val="21"/>
                <w:highlight w:val="none"/>
                <w:u w:val="single"/>
              </w:rPr>
              <w:t xml:space="preserve">载重量</w:t>
            </w:r>
            <w:r/>
          </w:p>
        </w:tc>
        <w:tc>
          <w:tcPr>
            <w:tcW w:w="8115" w:type="dxa"/>
            <w:textDirection w:val="lrTb"/>
            <w:noWrap/>
          </w:tcPr>
          <w:p>
            <w:pPr>
              <w:pStyle w:val="1042"/>
              <w:ind w:left="125"/>
              <w:spacing w:before="66" w:line="214" w:lineRule="auto"/>
              <w:rPr>
                <w:i/>
                <w:sz w:val="18"/>
                <w:szCs w:val="18"/>
                <w:highlight w:val="none"/>
                <w:u w:val="single"/>
              </w:rPr>
            </w:pPr>
            <w:r>
              <w:rPr>
                <w:rFonts w:hint="eastAsia"/>
                <w:i/>
                <w:spacing w:val="-4"/>
                <w:sz w:val="18"/>
                <w:szCs w:val="18"/>
                <w:highlight w:val="none"/>
                <w:u w:val="single"/>
              </w:rPr>
              <w:t xml:space="preserve">≥</w:t>
            </w:r>
            <w:r>
              <w:rPr>
                <w:i/>
                <w:spacing w:val="-4"/>
                <w:sz w:val="18"/>
                <w:szCs w:val="18"/>
                <w:highlight w:val="none"/>
                <w:u w:val="single"/>
              </w:rPr>
              <w:t xml:space="preserve">1000kg</w:t>
            </w:r>
            <w:r>
              <w:rPr>
                <w:rFonts w:hint="eastAsia"/>
                <w:i/>
                <w:spacing w:val="-32"/>
                <w:sz w:val="18"/>
                <w:szCs w:val="18"/>
                <w:highlight w:val="none"/>
                <w:u w:val="single"/>
              </w:rPr>
              <w:t xml:space="preserve">、</w:t>
            </w:r>
            <w:r>
              <w:rPr>
                <w:rFonts w:hint="eastAsia"/>
                <w:i/>
                <w:spacing w:val="-4"/>
                <w:sz w:val="18"/>
                <w:szCs w:val="18"/>
                <w:highlight w:val="none"/>
                <w:u w:val="single"/>
              </w:rPr>
              <w:t xml:space="preserve">≥ 1600</w:t>
            </w:r>
            <w:r>
              <w:rPr>
                <w:i/>
                <w:spacing w:val="-4"/>
                <w:sz w:val="18"/>
                <w:szCs w:val="18"/>
                <w:highlight w:val="none"/>
                <w:u w:val="single"/>
              </w:rPr>
              <w:t xml:space="preserve">kg</w:t>
            </w:r>
            <w:r>
              <w:rPr>
                <w:rFonts w:hint="eastAsia"/>
                <w:i/>
                <w:spacing w:val="-4"/>
                <w:sz w:val="18"/>
                <w:szCs w:val="18"/>
                <w:highlight w:val="none"/>
                <w:u w:val="single"/>
              </w:rPr>
              <w:t xml:space="preserve">，DT10、DT11为杂货梯载重≥200kg</w:t>
            </w:r>
            <w:r/>
          </w:p>
        </w:tc>
      </w:tr>
      <w:tr>
        <w:trPr>
          <w:jc w:val="center"/>
          <w:trHeight w:val="317"/>
        </w:trPr>
        <w:tc>
          <w:tcPr>
            <w:gridSpan w:val="2"/>
            <w:tcW w:w="2378" w:type="dxa"/>
            <w:vAlign w:val="center"/>
            <w:textDirection w:val="lrTb"/>
            <w:noWrap/>
          </w:tcPr>
          <w:p>
            <w:pPr>
              <w:pStyle w:val="1042"/>
              <w:jc w:val="center"/>
              <w:spacing w:before="67" w:line="221" w:lineRule="auto"/>
              <w:rPr>
                <w:i/>
                <w:sz w:val="21"/>
                <w:szCs w:val="21"/>
                <w:highlight w:val="none"/>
                <w:u w:val="single"/>
              </w:rPr>
            </w:pPr>
            <w:r>
              <w:rPr>
                <w:i/>
                <w:spacing w:val="-4"/>
                <w:sz w:val="21"/>
                <w:szCs w:val="21"/>
                <w:highlight w:val="none"/>
                <w:u w:val="single"/>
              </w:rPr>
              <w:t xml:space="preserve">速度</w:t>
            </w:r>
            <w:r/>
          </w:p>
        </w:tc>
        <w:tc>
          <w:tcPr>
            <w:tcW w:w="8115" w:type="dxa"/>
            <w:textDirection w:val="lrTb"/>
            <w:noWrap/>
          </w:tcPr>
          <w:p>
            <w:pPr>
              <w:pStyle w:val="1042"/>
              <w:ind w:left="108"/>
              <w:spacing w:before="67" w:line="222"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42"/>
              <w:jc w:val="center"/>
              <w:spacing w:before="67" w:line="220" w:lineRule="auto"/>
              <w:rPr>
                <w:i/>
                <w:sz w:val="21"/>
                <w:szCs w:val="21"/>
                <w:highlight w:val="none"/>
                <w:u w:val="single"/>
              </w:rPr>
            </w:pPr>
            <w:r>
              <w:rPr>
                <w:i/>
                <w:spacing w:val="-5"/>
                <w:sz w:val="21"/>
                <w:szCs w:val="21"/>
                <w:highlight w:val="none"/>
                <w:u w:val="single"/>
              </w:rPr>
              <w:t xml:space="preserve">层站门</w:t>
            </w:r>
            <w:r/>
          </w:p>
        </w:tc>
        <w:tc>
          <w:tcPr>
            <w:tcW w:w="8115" w:type="dxa"/>
            <w:textDirection w:val="lrTb"/>
            <w:noWrap/>
          </w:tcPr>
          <w:p>
            <w:pPr>
              <w:pStyle w:val="1042"/>
              <w:ind w:left="108"/>
              <w:spacing w:before="67" w:line="220"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42"/>
              <w:jc w:val="center"/>
              <w:spacing w:before="29" w:line="220" w:lineRule="auto"/>
              <w:rPr>
                <w:i/>
                <w:sz w:val="21"/>
                <w:szCs w:val="21"/>
                <w:highlight w:val="none"/>
                <w:u w:val="single"/>
              </w:rPr>
            </w:pPr>
            <w:r>
              <w:rPr>
                <w:i/>
                <w:spacing w:val="-2"/>
                <w:sz w:val="21"/>
                <w:szCs w:val="21"/>
                <w:highlight w:val="none"/>
                <w:u w:val="single"/>
              </w:rPr>
              <w:t xml:space="preserve">服务楼层</w:t>
            </w:r>
            <w:r/>
          </w:p>
        </w:tc>
        <w:tc>
          <w:tcPr>
            <w:tcW w:w="8115" w:type="dxa"/>
            <w:textDirection w:val="lrTb"/>
            <w:noWrap/>
          </w:tcPr>
          <w:p>
            <w:pPr>
              <w:pStyle w:val="1042"/>
              <w:ind w:left="108"/>
              <w:spacing w:before="67" w:line="220"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42"/>
              <w:jc w:val="center"/>
              <w:spacing w:before="66" w:line="223" w:lineRule="auto"/>
              <w:rPr>
                <w:i/>
                <w:sz w:val="21"/>
                <w:szCs w:val="21"/>
                <w:highlight w:val="none"/>
                <w:u w:val="single"/>
              </w:rPr>
            </w:pPr>
            <w:r>
              <w:rPr>
                <w:i/>
                <w:spacing w:val="-4"/>
                <w:sz w:val="21"/>
                <w:szCs w:val="21"/>
                <w:highlight w:val="none"/>
                <w:u w:val="single"/>
              </w:rPr>
              <w:t xml:space="preserve">基站</w:t>
            </w:r>
            <w:r/>
          </w:p>
        </w:tc>
        <w:tc>
          <w:tcPr>
            <w:tcW w:w="8115" w:type="dxa"/>
            <w:textDirection w:val="lrTb"/>
            <w:noWrap/>
          </w:tcPr>
          <w:p>
            <w:pPr>
              <w:pStyle w:val="1042"/>
              <w:ind w:left="125"/>
              <w:spacing w:before="94" w:line="184"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42"/>
              <w:jc w:val="center"/>
              <w:spacing w:before="27" w:line="221" w:lineRule="auto"/>
              <w:rPr>
                <w:i/>
                <w:sz w:val="21"/>
                <w:szCs w:val="21"/>
                <w:highlight w:val="none"/>
                <w:u w:val="single"/>
              </w:rPr>
            </w:pPr>
            <w:r>
              <w:rPr>
                <w:i/>
                <w:spacing w:val="-3"/>
                <w:sz w:val="21"/>
                <w:szCs w:val="21"/>
                <w:highlight w:val="none"/>
                <w:u w:val="single"/>
              </w:rPr>
              <w:t xml:space="preserve">驱动方式</w:t>
            </w:r>
            <w:r/>
          </w:p>
        </w:tc>
        <w:tc>
          <w:tcPr>
            <w:tcW w:w="8115" w:type="dxa"/>
            <w:textDirection w:val="lrTb"/>
            <w:noWrap/>
          </w:tcPr>
          <w:p>
            <w:pPr>
              <w:pStyle w:val="1042"/>
              <w:ind w:left="111"/>
              <w:spacing w:before="66" w:line="217" w:lineRule="auto"/>
              <w:rPr>
                <w:i/>
                <w:sz w:val="18"/>
                <w:szCs w:val="18"/>
                <w:highlight w:val="none"/>
                <w:u w:val="single"/>
              </w:rPr>
            </w:pPr>
            <w:r>
              <w:rPr>
                <w:i/>
                <w:sz w:val="18"/>
                <w:szCs w:val="18"/>
                <w:highlight w:val="none"/>
                <w:u w:val="single"/>
              </w:rPr>
              <w:t xml:space="preserve">微机智能控制交流变频调压调速（VVVF）, 永磁</w:t>
            </w:r>
            <w:r>
              <w:rPr>
                <w:i/>
                <w:spacing w:val="-1"/>
                <w:sz w:val="18"/>
                <w:szCs w:val="18"/>
                <w:highlight w:val="none"/>
                <w:u w:val="single"/>
              </w:rPr>
              <w:t xml:space="preserve">同步无齿轮驱动系统</w:t>
            </w:r>
            <w:r/>
          </w:p>
        </w:tc>
      </w:tr>
      <w:tr>
        <w:trPr>
          <w:jc w:val="center"/>
          <w:trHeight w:val="317"/>
        </w:trPr>
        <w:tc>
          <w:tcPr>
            <w:gridSpan w:val="2"/>
            <w:tcW w:w="2378" w:type="dxa"/>
            <w:vAlign w:val="center"/>
            <w:textDirection w:val="lrTb"/>
            <w:noWrap/>
          </w:tcPr>
          <w:p>
            <w:pPr>
              <w:pStyle w:val="1042"/>
              <w:jc w:val="center"/>
              <w:spacing w:before="27" w:line="223" w:lineRule="auto"/>
              <w:rPr>
                <w:i/>
                <w:sz w:val="21"/>
                <w:szCs w:val="21"/>
                <w:highlight w:val="none"/>
                <w:u w:val="single"/>
              </w:rPr>
            </w:pPr>
            <w:r>
              <w:rPr>
                <w:i/>
                <w:spacing w:val="-15"/>
                <w:sz w:val="21"/>
                <w:szCs w:val="21"/>
                <w:highlight w:val="none"/>
                <w:u w:val="single"/>
              </w:rPr>
              <w:t xml:space="preserve">电源</w:t>
            </w:r>
            <w:r/>
          </w:p>
        </w:tc>
        <w:tc>
          <w:tcPr>
            <w:tcW w:w="8115" w:type="dxa"/>
            <w:textDirection w:val="lrTb"/>
            <w:noWrap/>
          </w:tcPr>
          <w:p>
            <w:pPr>
              <w:pStyle w:val="1042"/>
              <w:ind w:left="112"/>
              <w:spacing w:before="66" w:line="219" w:lineRule="auto"/>
              <w:rPr>
                <w:i/>
                <w:sz w:val="18"/>
                <w:szCs w:val="18"/>
                <w:highlight w:val="none"/>
                <w:u w:val="single"/>
              </w:rPr>
            </w:pPr>
            <w:r>
              <w:rPr>
                <w:i/>
                <w:spacing w:val="-1"/>
                <w:sz w:val="18"/>
                <w:szCs w:val="18"/>
                <w:highlight w:val="none"/>
                <w:u w:val="single"/>
              </w:rPr>
              <w:t xml:space="preserve">动力电源：三相五线制，交流380伏、50赫兹 ；照明电源：</w:t>
            </w:r>
            <w:r>
              <w:rPr>
                <w:i/>
                <w:spacing w:val="-2"/>
                <w:sz w:val="18"/>
                <w:szCs w:val="18"/>
                <w:highlight w:val="none"/>
                <w:u w:val="single"/>
              </w:rPr>
              <w:t xml:space="preserve">单相交流220伏、50赫兹</w:t>
            </w:r>
            <w:r/>
          </w:p>
        </w:tc>
      </w:tr>
      <w:tr>
        <w:trPr>
          <w:jc w:val="center"/>
          <w:trHeight w:val="317"/>
        </w:trPr>
        <w:tc>
          <w:tcPr>
            <w:gridSpan w:val="2"/>
            <w:tcW w:w="2378" w:type="dxa"/>
            <w:vAlign w:val="center"/>
            <w:textDirection w:val="lrTb"/>
            <w:noWrap/>
          </w:tcPr>
          <w:p>
            <w:pPr>
              <w:pStyle w:val="1042"/>
              <w:jc w:val="center"/>
              <w:spacing w:before="67" w:line="221" w:lineRule="auto"/>
              <w:rPr>
                <w:i/>
                <w:sz w:val="21"/>
                <w:szCs w:val="21"/>
                <w:highlight w:val="none"/>
                <w:u w:val="single"/>
              </w:rPr>
            </w:pPr>
            <w:r>
              <w:rPr>
                <w:i/>
                <w:spacing w:val="-2"/>
                <w:sz w:val="21"/>
                <w:szCs w:val="21"/>
                <w:highlight w:val="none"/>
                <w:u w:val="single"/>
              </w:rPr>
              <w:t xml:space="preserve">控制方式</w:t>
            </w:r>
            <w:r/>
          </w:p>
        </w:tc>
        <w:tc>
          <w:tcPr>
            <w:tcW w:w="8115" w:type="dxa"/>
            <w:textDirection w:val="lrTb"/>
            <w:noWrap/>
          </w:tcPr>
          <w:p>
            <w:pPr>
              <w:pStyle w:val="1042"/>
              <w:ind w:left="107"/>
              <w:spacing w:before="97" w:line="182" w:lineRule="auto"/>
              <w:rPr>
                <w:i/>
                <w:sz w:val="18"/>
                <w:szCs w:val="18"/>
                <w:highlight w:val="none"/>
                <w:u w:val="single"/>
              </w:rPr>
            </w:pPr>
            <w:r>
              <w:rPr>
                <w:i/>
                <w:spacing w:val="-1"/>
                <w:sz w:val="18"/>
                <w:szCs w:val="18"/>
                <w:highlight w:val="none"/>
                <w:u w:val="single"/>
              </w:rPr>
              <w:t xml:space="preserve">VVVF</w:t>
            </w:r>
            <w:r/>
          </w:p>
        </w:tc>
      </w:tr>
      <w:tr>
        <w:trPr>
          <w:jc w:val="center"/>
          <w:trHeight w:val="317"/>
        </w:trPr>
        <w:tc>
          <w:tcPr>
            <w:gridSpan w:val="2"/>
            <w:tcW w:w="2378" w:type="dxa"/>
            <w:vAlign w:val="center"/>
            <w:textDirection w:val="lrTb"/>
            <w:noWrap/>
          </w:tcPr>
          <w:p>
            <w:pPr>
              <w:pStyle w:val="1042"/>
              <w:jc w:val="center"/>
              <w:spacing w:before="67" w:line="220" w:lineRule="auto"/>
              <w:rPr>
                <w:i/>
                <w:iCs/>
                <w:sz w:val="21"/>
                <w:szCs w:val="21"/>
                <w:highlight w:val="none"/>
                <w:u w:val="single"/>
              </w:rPr>
            </w:pPr>
            <w:r>
              <w:rPr>
                <w:i/>
                <w:iCs/>
                <w:spacing w:val="-2"/>
                <w:sz w:val="21"/>
                <w:szCs w:val="21"/>
                <w:highlight w:val="none"/>
                <w:u w:val="single"/>
              </w:rPr>
              <w:t xml:space="preserve">操作方式</w:t>
            </w:r>
            <w:r/>
          </w:p>
        </w:tc>
        <w:tc>
          <w:tcPr>
            <w:tcW w:w="8115" w:type="dxa"/>
            <w:textDirection w:val="lrTb"/>
            <w:noWrap/>
          </w:tcPr>
          <w:p>
            <w:pPr>
              <w:pStyle w:val="1042"/>
              <w:ind w:left="108"/>
              <w:spacing w:before="67" w:line="220" w:lineRule="auto"/>
              <w:rPr>
                <w:i/>
                <w:iCs/>
                <w:sz w:val="18"/>
                <w:szCs w:val="18"/>
                <w:highlight w:val="none"/>
                <w:u w:val="single"/>
              </w:rPr>
            </w:pPr>
            <w:r>
              <w:rPr>
                <w:rFonts w:hint="eastAsia"/>
                <w:i/>
                <w:iCs/>
                <w:sz w:val="18"/>
                <w:szCs w:val="18"/>
                <w:highlight w:val="none"/>
                <w:u w:val="single"/>
              </w:rPr>
              <w:t xml:space="preserve">住院楼DT1、DT2、DT3、DT4、DT5、DT6、DT7更新后可实现任意组合群控运行也可任意组合并联运行，DT12、DT13可并联可分开控制运行，DT4、DT15可并联可分开控制运行，DT16、DT17可并联可分开控制运行。DT4、DT8（具体实施电梯根据院方需求再行调整）需全楼层配置厅外及轿内刷卡功能，接入医院刷卡系统并完成调试。</w:t>
            </w:r>
            <w:r/>
          </w:p>
          <w:p>
            <w:pPr>
              <w:pStyle w:val="1042"/>
              <w:ind w:left="108"/>
              <w:spacing w:before="67" w:line="220" w:lineRule="auto"/>
              <w:rPr>
                <w:i/>
                <w:iCs/>
                <w:sz w:val="18"/>
                <w:szCs w:val="18"/>
                <w:highlight w:val="none"/>
                <w:u w:val="single"/>
              </w:rPr>
            </w:pPr>
            <w:r>
              <w:rPr>
                <w:rFonts w:hint="eastAsia"/>
                <w:i/>
                <w:iCs/>
                <w:sz w:val="18"/>
                <w:szCs w:val="18"/>
                <w:highlight w:val="none"/>
                <w:u w:val="single"/>
              </w:rPr>
              <w:t xml:space="preserve">要求本次能通过对住院楼1号病员电梯改造实现与住院楼DT1、DT2、DT3、DT4、DT5、DT6、DT7更新后可实现任意组合群控运行也可任意组合并联运行,根据院方需求及实际运行情况随时动态优化调整设置群控或组合运行模式。智控与电梯智能化接入一站式服务中心运行。</w:t>
            </w:r>
            <w:r/>
          </w:p>
          <w:p>
            <w:pPr>
              <w:pStyle w:val="1042"/>
              <w:ind w:left="108"/>
              <w:spacing w:before="67" w:line="220" w:lineRule="auto"/>
              <w:rPr>
                <w:i/>
                <w:iCs/>
                <w:sz w:val="18"/>
                <w:szCs w:val="18"/>
                <w:highlight w:val="none"/>
                <w:u w:val="single"/>
              </w:rPr>
            </w:pPr>
            <w:r>
              <w:rPr>
                <w:rFonts w:hint="eastAsia"/>
                <w:i/>
                <w:iCs/>
                <w:sz w:val="18"/>
                <w:szCs w:val="18"/>
                <w:highlight w:val="none"/>
                <w:u w:val="single"/>
              </w:rPr>
              <w:t xml:space="preserve">群控系统可以根据乘客的候梯时间、行驶时间、当前轿厢乘用人数等因素</w:t>
            </w:r>
            <w:r>
              <w:rPr>
                <w:i/>
                <w:iCs/>
                <w:sz w:val="18"/>
                <w:szCs w:val="18"/>
                <w:highlight w:val="none"/>
                <w:u w:val="single"/>
              </w:rPr>
              <w:t xml:space="preserve">,</w:t>
            </w:r>
            <w:r>
              <w:rPr>
                <w:rFonts w:hint="eastAsia"/>
                <w:i/>
                <w:iCs/>
                <w:sz w:val="18"/>
                <w:szCs w:val="18"/>
                <w:highlight w:val="none"/>
                <w:u w:val="single"/>
              </w:rPr>
              <w:t xml:space="preserve">实现高低区或不同楼层停靠的分组管理，分配最佳轿厢</w:t>
            </w:r>
            <w:r>
              <w:rPr>
                <w:i/>
                <w:iCs/>
                <w:sz w:val="18"/>
                <w:szCs w:val="18"/>
                <w:highlight w:val="none"/>
                <w:u w:val="single"/>
              </w:rPr>
              <w:t xml:space="preserve">,提</w:t>
            </w:r>
            <w:r>
              <w:rPr>
                <w:rFonts w:hint="eastAsia"/>
                <w:i/>
                <w:iCs/>
                <w:sz w:val="18"/>
                <w:szCs w:val="18"/>
                <w:highlight w:val="none"/>
                <w:u w:val="single"/>
              </w:rPr>
              <w:t xml:space="preserve">高电梯的运行效率。</w:t>
            </w:r>
            <w:r/>
          </w:p>
        </w:tc>
      </w:tr>
      <w:tr>
        <w:trPr>
          <w:jc w:val="center"/>
          <w:trHeight w:val="317"/>
        </w:trPr>
        <w:tc>
          <w:tcPr>
            <w:gridSpan w:val="2"/>
            <w:tcW w:w="2378" w:type="dxa"/>
            <w:vAlign w:val="center"/>
            <w:textDirection w:val="lrTb"/>
            <w:noWrap/>
          </w:tcPr>
          <w:p>
            <w:pPr>
              <w:pStyle w:val="1042"/>
              <w:jc w:val="center"/>
              <w:spacing w:before="67" w:line="221" w:lineRule="auto"/>
              <w:rPr>
                <w:i/>
                <w:sz w:val="21"/>
                <w:szCs w:val="21"/>
                <w:highlight w:val="none"/>
                <w:u w:val="single"/>
              </w:rPr>
            </w:pPr>
            <w:r>
              <w:rPr>
                <w:i/>
                <w:spacing w:val="-2"/>
                <w:sz w:val="21"/>
                <w:szCs w:val="21"/>
                <w:highlight w:val="none"/>
                <w:u w:val="single"/>
              </w:rPr>
              <w:t xml:space="preserve">制作标准</w:t>
            </w:r>
            <w:r/>
          </w:p>
        </w:tc>
        <w:tc>
          <w:tcPr>
            <w:tcW w:w="8115" w:type="dxa"/>
            <w:textDirection w:val="lrTb"/>
            <w:noWrap/>
          </w:tcPr>
          <w:p>
            <w:pPr>
              <w:pStyle w:val="1042"/>
              <w:ind w:left="117"/>
              <w:spacing w:before="67" w:line="221" w:lineRule="auto"/>
              <w:rPr>
                <w:i/>
                <w:sz w:val="18"/>
                <w:szCs w:val="18"/>
                <w:highlight w:val="none"/>
                <w:u w:val="single"/>
              </w:rPr>
            </w:pPr>
            <w:r>
              <w:rPr>
                <w:i/>
                <w:spacing w:val="-1"/>
                <w:sz w:val="18"/>
                <w:szCs w:val="18"/>
                <w:highlight w:val="none"/>
                <w:u w:val="single"/>
              </w:rPr>
              <w:t xml:space="preserve">《电梯制造与安装安全规范》</w:t>
            </w:r>
            <w:r>
              <w:rPr>
                <w:rFonts w:hint="eastAsia"/>
                <w:i/>
                <w:spacing w:val="-1"/>
                <w:sz w:val="18"/>
                <w:szCs w:val="18"/>
                <w:highlight w:val="none"/>
                <w:u w:val="single"/>
              </w:rPr>
              <w:t xml:space="preserve">最新</w:t>
            </w:r>
            <w:r/>
          </w:p>
        </w:tc>
      </w:tr>
      <w:tr>
        <w:trPr>
          <w:jc w:val="center"/>
          <w:trHeight w:val="349"/>
        </w:trPr>
        <w:tc>
          <w:tcPr>
            <w:gridSpan w:val="2"/>
            <w:tcW w:w="2378" w:type="dxa"/>
            <w:vAlign w:val="center"/>
            <w:textDirection w:val="lrTb"/>
            <w:noWrap/>
          </w:tcPr>
          <w:p>
            <w:pPr>
              <w:pStyle w:val="1042"/>
              <w:jc w:val="center"/>
              <w:spacing w:before="261" w:line="219" w:lineRule="auto"/>
              <w:rPr>
                <w:i/>
                <w:sz w:val="21"/>
                <w:szCs w:val="21"/>
                <w:highlight w:val="none"/>
                <w:u w:val="single"/>
              </w:rPr>
            </w:pPr>
            <w:r>
              <w:rPr>
                <w:i/>
                <w:spacing w:val="-2"/>
                <w:sz w:val="21"/>
                <w:szCs w:val="21"/>
                <w:highlight w:val="none"/>
                <w:u w:val="single"/>
              </w:rPr>
              <w:t xml:space="preserve">井道尺寸</w:t>
            </w:r>
            <w:r/>
          </w:p>
        </w:tc>
        <w:tc>
          <w:tcPr>
            <w:tcW w:w="8115" w:type="dxa"/>
            <w:textDirection w:val="lrTb"/>
            <w:noWrap/>
          </w:tcPr>
          <w:p>
            <w:pPr>
              <w:spacing w:line="264" w:lineRule="auto"/>
              <w:rPr>
                <w:i/>
                <w:spacing w:val="-2"/>
                <w:sz w:val="18"/>
                <w:szCs w:val="18"/>
                <w:highlight w:val="none"/>
                <w:u w:val="single"/>
              </w:rPr>
            </w:pPr>
            <w:r>
              <w:rPr>
                <w:rFonts w:hint="eastAsia" w:ascii="宋体" w:hAnsi="宋体" w:cs="宋体"/>
                <w:i/>
                <w:spacing w:val="-2"/>
                <w:sz w:val="18"/>
                <w:szCs w:val="18"/>
                <w:highlight w:val="none"/>
                <w:u w:val="single"/>
              </w:rPr>
              <w:t xml:space="preserve">参考基本参数，以现场实际为准，本工程井道尺寸无法变更，供应商安装时如需整改，请将相关费用考虑在投标报价中，包括但不限于安全文明施工费（人员安全防护网、防护栏杆、人员干扰费用等）、二次搬运费用，地上、地下设施、建筑物的临时保护设施费用、己完工程及设备保护费、临时设施费；招标人不另行支付整改发生的费用。</w:t>
            </w:r>
            <w:r/>
          </w:p>
        </w:tc>
      </w:tr>
      <w:tr>
        <w:trPr>
          <w:jc w:val="center"/>
          <w:trHeight w:val="317"/>
        </w:trPr>
        <w:tc>
          <w:tcPr>
            <w:gridSpan w:val="2"/>
            <w:tcW w:w="2378" w:type="dxa"/>
            <w:vAlign w:val="center"/>
            <w:textDirection w:val="lrTb"/>
            <w:noWrap/>
          </w:tcPr>
          <w:p>
            <w:pPr>
              <w:pStyle w:val="1042"/>
              <w:jc w:val="center"/>
              <w:spacing w:before="67" w:line="219" w:lineRule="auto"/>
              <w:rPr>
                <w:i/>
                <w:sz w:val="21"/>
                <w:szCs w:val="21"/>
                <w:highlight w:val="none"/>
                <w:u w:val="single"/>
              </w:rPr>
            </w:pPr>
            <w:r>
              <w:rPr>
                <w:i/>
                <w:spacing w:val="-2"/>
                <w:sz w:val="21"/>
                <w:szCs w:val="21"/>
                <w:highlight w:val="none"/>
                <w:u w:val="single"/>
              </w:rPr>
              <w:t xml:space="preserve">开门尺寸</w:t>
            </w:r>
            <w:r/>
          </w:p>
        </w:tc>
        <w:tc>
          <w:tcPr>
            <w:tcW w:w="8115" w:type="dxa"/>
            <w:textDirection w:val="lrTb"/>
            <w:noWrap/>
          </w:tcPr>
          <w:p>
            <w:pPr>
              <w:pStyle w:val="1042"/>
              <w:ind w:left="125"/>
              <w:spacing w:before="67" w:line="220" w:lineRule="auto"/>
              <w:rPr>
                <w:i/>
                <w:sz w:val="18"/>
                <w:szCs w:val="18"/>
                <w:highlight w:val="none"/>
                <w:u w:val="single"/>
              </w:rPr>
            </w:pPr>
            <w:r>
              <w:rPr>
                <w:rFonts w:hint="eastAsia"/>
                <w:i/>
                <w:sz w:val="18"/>
                <w:szCs w:val="18"/>
                <w:highlight w:val="none"/>
                <w:u w:val="single"/>
              </w:rPr>
              <w:t xml:space="preserve">参考基本参数</w:t>
            </w:r>
            <w:r/>
          </w:p>
        </w:tc>
      </w:tr>
      <w:tr>
        <w:trPr>
          <w:jc w:val="center"/>
          <w:trHeight w:val="317"/>
        </w:trPr>
        <w:tc>
          <w:tcPr>
            <w:gridSpan w:val="2"/>
            <w:tcW w:w="2378" w:type="dxa"/>
            <w:vAlign w:val="center"/>
            <w:textDirection w:val="lrTb"/>
            <w:noWrap/>
          </w:tcPr>
          <w:p>
            <w:pPr>
              <w:pStyle w:val="1042"/>
              <w:jc w:val="center"/>
              <w:spacing w:before="67" w:line="220" w:lineRule="auto"/>
              <w:rPr>
                <w:i/>
                <w:sz w:val="21"/>
                <w:szCs w:val="21"/>
                <w:highlight w:val="none"/>
                <w:u w:val="single"/>
              </w:rPr>
            </w:pPr>
            <w:r>
              <w:rPr>
                <w:i/>
                <w:spacing w:val="-2"/>
                <w:sz w:val="21"/>
                <w:szCs w:val="21"/>
                <w:highlight w:val="none"/>
                <w:u w:val="single"/>
              </w:rPr>
              <w:t xml:space="preserve">井道总高</w:t>
            </w:r>
            <w:r/>
          </w:p>
        </w:tc>
        <w:tc>
          <w:tcPr>
            <w:tcW w:w="8115" w:type="dxa"/>
            <w:textDirection w:val="lrTb"/>
            <w:noWrap/>
          </w:tcPr>
          <w:p>
            <w:pPr>
              <w:pStyle w:val="1042"/>
              <w:ind w:left="108"/>
              <w:spacing w:before="66"/>
              <w:rPr>
                <w:i/>
                <w:sz w:val="18"/>
                <w:szCs w:val="18"/>
                <w:highlight w:val="none"/>
                <w:u w:val="single"/>
              </w:rPr>
            </w:pPr>
            <w:r>
              <w:rPr>
                <w:rFonts w:hint="eastAsia"/>
                <w:i/>
                <w:sz w:val="18"/>
                <w:szCs w:val="18"/>
                <w:highlight w:val="none"/>
                <w:u w:val="single"/>
              </w:rPr>
              <w:t xml:space="preserve">参考基本参数</w:t>
            </w:r>
            <w:r/>
          </w:p>
        </w:tc>
      </w:tr>
      <w:tr>
        <w:trPr>
          <w:jc w:val="center"/>
          <w:trHeight w:val="317"/>
        </w:trPr>
        <w:tc>
          <w:tcPr>
            <w:gridSpan w:val="2"/>
            <w:tcW w:w="2378" w:type="dxa"/>
            <w:vAlign w:val="center"/>
            <w:textDirection w:val="lrTb"/>
            <w:noWrap/>
          </w:tcPr>
          <w:p>
            <w:pPr>
              <w:pStyle w:val="1042"/>
              <w:jc w:val="center"/>
              <w:spacing w:before="69" w:line="220" w:lineRule="auto"/>
              <w:rPr>
                <w:i/>
                <w:sz w:val="21"/>
                <w:szCs w:val="21"/>
                <w:highlight w:val="none"/>
                <w:u w:val="single"/>
              </w:rPr>
            </w:pPr>
            <w:r>
              <w:rPr>
                <w:i/>
                <w:spacing w:val="-2"/>
                <w:sz w:val="21"/>
                <w:szCs w:val="21"/>
                <w:highlight w:val="none"/>
                <w:u w:val="single"/>
              </w:rPr>
              <w:t xml:space="preserve">顶层高度</w:t>
            </w:r>
            <w:r/>
          </w:p>
        </w:tc>
        <w:tc>
          <w:tcPr>
            <w:tcW w:w="8115" w:type="dxa"/>
            <w:textDirection w:val="lrTb"/>
            <w:noWrap/>
          </w:tcPr>
          <w:p>
            <w:pPr>
              <w:pStyle w:val="1042"/>
              <w:ind w:left="108"/>
              <w:spacing w:before="69" w:line="236" w:lineRule="auto"/>
              <w:rPr>
                <w:i/>
                <w:sz w:val="18"/>
                <w:szCs w:val="18"/>
                <w:highlight w:val="none"/>
                <w:u w:val="single"/>
              </w:rPr>
            </w:pPr>
            <w:r>
              <w:rPr>
                <w:rFonts w:hint="eastAsia"/>
                <w:i/>
                <w:sz w:val="18"/>
                <w:szCs w:val="18"/>
                <w:highlight w:val="none"/>
                <w:u w:val="single"/>
              </w:rPr>
              <w:t xml:space="preserve">参考基本参数</w:t>
            </w:r>
            <w:r/>
          </w:p>
        </w:tc>
      </w:tr>
      <w:tr>
        <w:trPr>
          <w:jc w:val="center"/>
          <w:trHeight w:val="317"/>
        </w:trPr>
        <w:tc>
          <w:tcPr>
            <w:gridSpan w:val="2"/>
            <w:tcW w:w="2378" w:type="dxa"/>
            <w:vAlign w:val="center"/>
            <w:textDirection w:val="lrTb"/>
            <w:noWrap/>
          </w:tcPr>
          <w:p>
            <w:pPr>
              <w:pStyle w:val="1042"/>
              <w:jc w:val="center"/>
              <w:spacing w:before="68" w:line="221" w:lineRule="auto"/>
              <w:rPr>
                <w:i/>
                <w:sz w:val="21"/>
                <w:szCs w:val="21"/>
                <w:highlight w:val="none"/>
                <w:u w:val="single"/>
              </w:rPr>
            </w:pPr>
            <w:r>
              <w:rPr>
                <w:i/>
                <w:spacing w:val="-2"/>
                <w:sz w:val="21"/>
                <w:szCs w:val="21"/>
                <w:highlight w:val="none"/>
                <w:u w:val="single"/>
              </w:rPr>
              <w:t xml:space="preserve">底坑深度</w:t>
            </w:r>
            <w:r/>
          </w:p>
        </w:tc>
        <w:tc>
          <w:tcPr>
            <w:tcW w:w="8115" w:type="dxa"/>
            <w:textDirection w:val="lrTb"/>
            <w:noWrap/>
          </w:tcPr>
          <w:p>
            <w:pPr>
              <w:pStyle w:val="1042"/>
              <w:ind w:left="108"/>
              <w:spacing w:before="68" w:line="236" w:lineRule="auto"/>
              <w:rPr>
                <w:i/>
                <w:sz w:val="18"/>
                <w:szCs w:val="18"/>
                <w:highlight w:val="none"/>
                <w:u w:val="single"/>
              </w:rPr>
            </w:pPr>
            <w:r>
              <w:rPr>
                <w:rFonts w:hint="eastAsia"/>
                <w:i/>
                <w:sz w:val="18"/>
                <w:szCs w:val="18"/>
                <w:highlight w:val="none"/>
                <w:u w:val="single"/>
              </w:rPr>
              <w:t xml:space="preserve">参考基本参数</w:t>
            </w:r>
            <w:r/>
          </w:p>
        </w:tc>
      </w:tr>
      <w:tr>
        <w:trPr>
          <w:jc w:val="center"/>
          <w:trHeight w:val="325"/>
        </w:trPr>
        <w:tc>
          <w:tcPr>
            <w:gridSpan w:val="2"/>
            <w:tcW w:w="2378" w:type="dxa"/>
            <w:vAlign w:val="center"/>
            <w:textDirection w:val="lrTb"/>
            <w:noWrap/>
          </w:tcPr>
          <w:p>
            <w:pPr>
              <w:pStyle w:val="1042"/>
              <w:jc w:val="center"/>
              <w:spacing w:before="104" w:line="216" w:lineRule="auto"/>
              <w:rPr>
                <w:i/>
                <w:iCs/>
                <w:sz w:val="21"/>
                <w:szCs w:val="21"/>
                <w:highlight w:val="none"/>
                <w:u w:val="single"/>
              </w:rPr>
            </w:pPr>
            <w:r>
              <w:rPr>
                <w:i/>
                <w:iCs/>
                <w:spacing w:val="-2"/>
                <w:sz w:val="21"/>
                <w:szCs w:val="21"/>
                <w:highlight w:val="none"/>
                <w:u w:val="single"/>
              </w:rPr>
              <w:t xml:space="preserve">轿厢内</w:t>
            </w:r>
            <w:r>
              <w:rPr>
                <w:rFonts w:hint="eastAsia"/>
                <w:i/>
                <w:iCs/>
                <w:spacing w:val="-2"/>
                <w:sz w:val="21"/>
                <w:szCs w:val="21"/>
                <w:highlight w:val="none"/>
                <w:u w:val="single"/>
              </w:rPr>
              <w:t xml:space="preserve">高度</w:t>
            </w:r>
            <w:r/>
          </w:p>
        </w:tc>
        <w:tc>
          <w:tcPr>
            <w:tcW w:w="8115" w:type="dxa"/>
            <w:textDirection w:val="lrTb"/>
            <w:noWrap/>
          </w:tcPr>
          <w:p>
            <w:pPr>
              <w:pStyle w:val="1042"/>
              <w:ind w:left="108"/>
              <w:spacing w:before="68" w:line="220" w:lineRule="auto"/>
              <w:rPr>
                <w:i/>
                <w:iCs/>
                <w:sz w:val="18"/>
                <w:szCs w:val="18"/>
                <w:highlight w:val="none"/>
                <w:u w:val="single"/>
              </w:rPr>
            </w:pPr>
            <w:r>
              <w:rPr>
                <w:rFonts w:hint="eastAsia"/>
                <w:i/>
                <w:iCs/>
                <w:spacing w:val="-1"/>
                <w:sz w:val="18"/>
                <w:szCs w:val="18"/>
                <w:highlight w:val="none"/>
                <w:u w:val="single"/>
              </w:rPr>
              <w:t xml:space="preserve">除杂物梯（DT10、DT11）、其他天花高度≥</w:t>
            </w:r>
            <w:r>
              <w:rPr>
                <w:i/>
                <w:iCs/>
                <w:spacing w:val="-1"/>
                <w:sz w:val="18"/>
                <w:szCs w:val="18"/>
                <w:highlight w:val="none"/>
                <w:u w:val="single"/>
              </w:rPr>
              <w:t xml:space="preserve">2500m</w:t>
            </w:r>
            <w:r>
              <w:rPr>
                <w:i/>
                <w:iCs/>
                <w:spacing w:val="-2"/>
                <w:sz w:val="18"/>
                <w:szCs w:val="18"/>
                <w:highlight w:val="none"/>
                <w:u w:val="single"/>
              </w:rPr>
              <w:t xml:space="preserve">m（吊顶净高度）</w:t>
            </w:r>
            <w:r/>
          </w:p>
        </w:tc>
      </w:tr>
      <w:tr>
        <w:trPr>
          <w:jc w:val="center"/>
          <w:trHeight w:val="628"/>
        </w:trPr>
        <w:tc>
          <w:tcPr>
            <w:gridSpan w:val="2"/>
            <w:tcW w:w="2378" w:type="dxa"/>
            <w:vAlign w:val="center"/>
            <w:textDirection w:val="lrTb"/>
            <w:noWrap/>
          </w:tcPr>
          <w:p>
            <w:pPr>
              <w:pStyle w:val="1042"/>
              <w:jc w:val="center"/>
              <w:spacing w:before="261" w:line="220" w:lineRule="auto"/>
              <w:rPr>
                <w:i/>
                <w:sz w:val="21"/>
                <w:szCs w:val="21"/>
                <w:highlight w:val="none"/>
                <w:u w:val="single"/>
              </w:rPr>
            </w:pPr>
            <w:r>
              <w:rPr>
                <w:i/>
                <w:spacing w:val="-4"/>
                <w:sz w:val="21"/>
                <w:szCs w:val="21"/>
                <w:highlight w:val="none"/>
                <w:u w:val="single"/>
              </w:rPr>
              <w:t xml:space="preserve">轿顶</w:t>
            </w:r>
            <w:r/>
          </w:p>
        </w:tc>
        <w:tc>
          <w:tcPr>
            <w:tcW w:w="8115" w:type="dxa"/>
            <w:textDirection w:val="lrTb"/>
            <w:noWrap/>
          </w:tcPr>
          <w:p>
            <w:pPr>
              <w:pStyle w:val="1042"/>
              <w:ind w:left="126" w:right="108" w:hanging="15"/>
              <w:spacing w:before="68" w:line="282" w:lineRule="auto"/>
              <w:rPr>
                <w:i/>
                <w:sz w:val="18"/>
                <w:szCs w:val="18"/>
                <w:highlight w:val="none"/>
                <w:u w:val="single"/>
              </w:rPr>
            </w:pPr>
            <w:r>
              <w:rPr>
                <w:i/>
                <w:spacing w:val="2"/>
                <w:sz w:val="18"/>
                <w:szCs w:val="18"/>
                <w:highlight w:val="none"/>
                <w:u w:val="single"/>
              </w:rPr>
              <w:t xml:space="preserve">材质</w:t>
            </w:r>
            <w:r>
              <w:rPr>
                <w:rFonts w:hint="eastAsia"/>
                <w:i/>
                <w:spacing w:val="2"/>
                <w:sz w:val="18"/>
                <w:szCs w:val="18"/>
                <w:highlight w:val="none"/>
                <w:u w:val="single"/>
              </w:rPr>
              <w:t xml:space="preserve">发纹不锈钢</w:t>
            </w:r>
            <w:r>
              <w:rPr>
                <w:i/>
                <w:sz w:val="18"/>
                <w:szCs w:val="18"/>
                <w:highlight w:val="none"/>
                <w:u w:val="single"/>
              </w:rPr>
              <w:t xml:space="preserve">304</w:t>
            </w:r>
            <w:r>
              <w:rPr>
                <w:rFonts w:hint="eastAsia"/>
                <w:i/>
                <w:sz w:val="18"/>
                <w:szCs w:val="18"/>
                <w:highlight w:val="none"/>
                <w:u w:val="single"/>
              </w:rPr>
              <w:t xml:space="preserve">不锈钢镜面带穿孔造型吊顶</w:t>
            </w:r>
            <w:r>
              <w:rPr>
                <w:i/>
                <w:spacing w:val="2"/>
                <w:sz w:val="18"/>
                <w:szCs w:val="18"/>
                <w:highlight w:val="none"/>
                <w:u w:val="single"/>
              </w:rPr>
              <w:t xml:space="preserve">，配有足够亮度的</w:t>
            </w:r>
            <w:r>
              <w:rPr>
                <w:i/>
                <w:sz w:val="18"/>
                <w:szCs w:val="18"/>
                <w:highlight w:val="none"/>
                <w:u w:val="single"/>
              </w:rPr>
              <w:t xml:space="preserve">LED</w:t>
            </w:r>
            <w:r>
              <w:rPr>
                <w:i/>
                <w:spacing w:val="2"/>
                <w:sz w:val="18"/>
                <w:szCs w:val="18"/>
                <w:highlight w:val="none"/>
                <w:u w:val="single"/>
              </w:rPr>
              <w:t xml:space="preserve">照</w:t>
            </w:r>
            <w:r>
              <w:rPr>
                <w:i/>
                <w:spacing w:val="1"/>
                <w:sz w:val="18"/>
                <w:szCs w:val="18"/>
                <w:highlight w:val="none"/>
                <w:u w:val="single"/>
              </w:rPr>
              <w:t xml:space="preserve">明，</w:t>
            </w:r>
            <w:r>
              <w:rPr>
                <w:rFonts w:hint="eastAsia"/>
                <w:i/>
                <w:spacing w:val="1"/>
                <w:sz w:val="18"/>
                <w:szCs w:val="18"/>
                <w:highlight w:val="none"/>
                <w:u w:val="single"/>
              </w:rPr>
              <w:t xml:space="preserve">含监控（具备远程通话报警、跌倒报警功能）广角400万像素，</w:t>
            </w:r>
            <w:r>
              <w:rPr>
                <w:i/>
                <w:spacing w:val="1"/>
                <w:sz w:val="18"/>
                <w:szCs w:val="18"/>
                <w:highlight w:val="none"/>
                <w:u w:val="single"/>
              </w:rPr>
              <w:t xml:space="preserve">便于维修更换、提供样本</w:t>
            </w:r>
            <w:r>
              <w:rPr>
                <w:rFonts w:hint="eastAsia"/>
                <w:i/>
                <w:spacing w:val="1"/>
                <w:sz w:val="18"/>
                <w:szCs w:val="18"/>
                <w:highlight w:val="none"/>
                <w:u w:val="single"/>
              </w:rPr>
              <w:t xml:space="preserve">供采购人确认</w:t>
            </w:r>
            <w:r>
              <w:rPr>
                <w:i/>
                <w:spacing w:val="1"/>
                <w:sz w:val="18"/>
                <w:szCs w:val="18"/>
                <w:highlight w:val="none"/>
                <w:u w:val="single"/>
              </w:rPr>
              <w:t xml:space="preserve">，</w:t>
            </w:r>
            <w:r>
              <w:rPr>
                <w:rFonts w:hint="eastAsia"/>
                <w:i/>
                <w:spacing w:val="-2"/>
                <w:sz w:val="18"/>
                <w:szCs w:val="18"/>
                <w:highlight w:val="none"/>
                <w:u w:val="single"/>
              </w:rPr>
              <w:t xml:space="preserve">本电梯通风系统符合</w:t>
            </w:r>
            <w:r>
              <w:rPr>
                <w:i/>
                <w:spacing w:val="-2"/>
                <w:sz w:val="18"/>
                <w:szCs w:val="18"/>
                <w:highlight w:val="none"/>
                <w:u w:val="single"/>
              </w:rPr>
              <w:t xml:space="preserve">GB 7588-2003</w:t>
            </w:r>
            <w:r>
              <w:rPr>
                <w:rFonts w:hint="eastAsia"/>
                <w:i/>
                <w:spacing w:val="-2"/>
                <w:sz w:val="18"/>
                <w:szCs w:val="18"/>
                <w:highlight w:val="none"/>
                <w:u w:val="single"/>
              </w:rPr>
              <w:t xml:space="preserve">要求，采用机械强制通风设计，配置双离心风机（换气风量≥</w:t>
            </w:r>
            <w:r>
              <w:rPr>
                <w:i/>
                <w:spacing w:val="-2"/>
                <w:sz w:val="18"/>
                <w:szCs w:val="18"/>
                <w:highlight w:val="none"/>
                <w:u w:val="single"/>
              </w:rPr>
              <w:t xml:space="preserve">0.3m³/s</w:t>
            </w:r>
            <w:r>
              <w:rPr>
                <w:rFonts w:hint="eastAsia"/>
                <w:i/>
                <w:spacing w:val="-2"/>
                <w:sz w:val="18"/>
                <w:szCs w:val="18"/>
                <w:highlight w:val="none"/>
                <w:u w:val="single"/>
              </w:rPr>
              <w:t xml:space="preserve">），轿厢顶部设可拆卸格栅（通风面积≥</w:t>
            </w:r>
            <w:r>
              <w:rPr>
                <w:i/>
                <w:spacing w:val="-2"/>
                <w:sz w:val="18"/>
                <w:szCs w:val="18"/>
                <w:highlight w:val="none"/>
                <w:u w:val="single"/>
              </w:rPr>
              <w:t xml:space="preserve">0.0</w:t>
            </w:r>
            <w:r>
              <w:rPr>
                <w:rFonts w:hint="eastAsia"/>
                <w:i/>
                <w:spacing w:val="-2"/>
                <w:sz w:val="18"/>
                <w:szCs w:val="18"/>
                <w:highlight w:val="none"/>
                <w:u w:val="single"/>
              </w:rPr>
              <w:t xml:space="preserve">4㎡），换气次数≥</w:t>
            </w:r>
            <w:r>
              <w:rPr>
                <w:i/>
                <w:spacing w:val="-2"/>
                <w:sz w:val="18"/>
                <w:szCs w:val="18"/>
                <w:highlight w:val="none"/>
                <w:u w:val="single"/>
              </w:rPr>
              <w:t xml:space="preserve">60</w:t>
            </w:r>
            <w:r>
              <w:rPr>
                <w:rFonts w:hint="eastAsia"/>
                <w:i/>
                <w:spacing w:val="-2"/>
                <w:sz w:val="18"/>
                <w:szCs w:val="18"/>
                <w:highlight w:val="none"/>
                <w:u w:val="single"/>
              </w:rPr>
              <w:t xml:space="preserve">次</w:t>
            </w:r>
            <w:r>
              <w:rPr>
                <w:i/>
                <w:spacing w:val="-2"/>
                <w:sz w:val="18"/>
                <w:szCs w:val="18"/>
                <w:highlight w:val="none"/>
                <w:u w:val="single"/>
              </w:rPr>
              <w:t xml:space="preserve">/</w:t>
            </w:r>
            <w:r>
              <w:rPr>
                <w:rFonts w:hint="eastAsia"/>
                <w:i/>
                <w:spacing w:val="-2"/>
                <w:sz w:val="18"/>
                <w:szCs w:val="18"/>
                <w:highlight w:val="none"/>
                <w:u w:val="single"/>
              </w:rPr>
              <w:t xml:space="preserve">小时。系统集成</w:t>
            </w:r>
            <w:r>
              <w:rPr>
                <w:i/>
                <w:spacing w:val="-2"/>
                <w:sz w:val="18"/>
                <w:szCs w:val="18"/>
                <w:highlight w:val="none"/>
                <w:u w:val="single"/>
              </w:rPr>
              <w:t xml:space="preserve">医用级空气净化</w:t>
            </w:r>
            <w:r>
              <w:rPr>
                <w:rFonts w:hint="eastAsia"/>
                <w:i/>
                <w:spacing w:val="-2"/>
                <w:sz w:val="18"/>
                <w:szCs w:val="18"/>
                <w:highlight w:val="none"/>
                <w:u w:val="single"/>
              </w:rPr>
              <w:t xml:space="preserve">模块，并具备停电应急通风功能（</w:t>
            </w:r>
            <w:r>
              <w:rPr>
                <w:i/>
                <w:spacing w:val="-2"/>
                <w:sz w:val="18"/>
                <w:szCs w:val="18"/>
                <w:highlight w:val="none"/>
                <w:u w:val="single"/>
              </w:rPr>
              <w:t xml:space="preserve">UPS</w:t>
            </w:r>
            <w:r>
              <w:rPr>
                <w:rFonts w:hint="eastAsia"/>
                <w:i/>
                <w:spacing w:val="-2"/>
                <w:sz w:val="18"/>
                <w:szCs w:val="18"/>
                <w:highlight w:val="none"/>
                <w:u w:val="single"/>
              </w:rPr>
              <w:t xml:space="preserve">续航</w:t>
            </w:r>
            <w:r>
              <w:rPr>
                <w:i/>
                <w:spacing w:val="-2"/>
                <w:sz w:val="18"/>
                <w:szCs w:val="18"/>
                <w:highlight w:val="none"/>
                <w:u w:val="single"/>
              </w:rPr>
              <w:t xml:space="preserve">30</w:t>
            </w:r>
            <w:r>
              <w:rPr>
                <w:rFonts w:hint="eastAsia"/>
                <w:i/>
                <w:spacing w:val="-2"/>
                <w:sz w:val="18"/>
                <w:szCs w:val="18"/>
                <w:highlight w:val="none"/>
                <w:u w:val="single"/>
              </w:rPr>
              <w:t xml:space="preserve">分钟），关闭电梯运行时，通风系统单独工作噪声≤55dB。</w:t>
            </w:r>
            <w:r>
              <w:rPr>
                <w:rFonts w:hint="eastAsia"/>
                <w:bCs/>
                <w:i/>
                <w:iCs/>
                <w:spacing w:val="-1"/>
                <w:sz w:val="18"/>
                <w:szCs w:val="18"/>
                <w:highlight w:val="none"/>
                <w:u w:val="single"/>
              </w:rPr>
              <w:t xml:space="preserve">（供货前</w:t>
            </w:r>
            <w:r>
              <w:rPr>
                <w:rFonts w:hint="eastAsia"/>
                <w:bCs/>
                <w:i/>
                <w:iCs/>
                <w:sz w:val="18"/>
                <w:szCs w:val="18"/>
                <w:highlight w:val="none"/>
                <w:u w:val="single"/>
              </w:rPr>
              <w:t xml:space="preserve">提供样本</w:t>
            </w:r>
            <w:r>
              <w:rPr>
                <w:rFonts w:hint="eastAsia"/>
                <w:bCs/>
                <w:i/>
                <w:iCs/>
                <w:spacing w:val="1"/>
                <w:sz w:val="18"/>
                <w:szCs w:val="18"/>
                <w:highlight w:val="none"/>
                <w:u w:val="single"/>
              </w:rPr>
              <w:t xml:space="preserve">供采购人确认</w:t>
            </w:r>
            <w:r>
              <w:rPr>
                <w:rFonts w:hint="eastAsia"/>
                <w:bCs/>
                <w:i/>
                <w:iCs/>
                <w:spacing w:val="-1"/>
                <w:sz w:val="18"/>
                <w:szCs w:val="18"/>
                <w:highlight w:val="none"/>
                <w:u w:val="single"/>
              </w:rPr>
              <w:t xml:space="preserve">）</w:t>
            </w:r>
            <w:r/>
          </w:p>
        </w:tc>
      </w:tr>
      <w:tr>
        <w:trPr>
          <w:jc w:val="center"/>
          <w:trHeight w:val="317"/>
        </w:trPr>
        <w:tc>
          <w:tcPr>
            <w:gridSpan w:val="2"/>
            <w:tcW w:w="2378" w:type="dxa"/>
            <w:vAlign w:val="center"/>
            <w:textDirection w:val="lrTb"/>
            <w:noWrap/>
          </w:tcPr>
          <w:p>
            <w:pPr>
              <w:pStyle w:val="1042"/>
              <w:jc w:val="center"/>
              <w:spacing w:before="69" w:line="221" w:lineRule="auto"/>
              <w:rPr>
                <w:i/>
                <w:iCs/>
                <w:sz w:val="21"/>
                <w:szCs w:val="21"/>
                <w:highlight w:val="none"/>
                <w:u w:val="single"/>
              </w:rPr>
            </w:pPr>
            <w:r>
              <w:rPr>
                <w:i/>
                <w:iCs/>
                <w:spacing w:val="-2"/>
                <w:sz w:val="21"/>
                <w:szCs w:val="21"/>
                <w:highlight w:val="none"/>
                <w:u w:val="single"/>
              </w:rPr>
              <w:t xml:space="preserve">轿厢前壁</w:t>
            </w:r>
            <w:r/>
          </w:p>
        </w:tc>
        <w:tc>
          <w:tcPr>
            <w:tcW w:w="8115" w:type="dxa"/>
            <w:textDirection w:val="lrTb"/>
            <w:noWrap/>
          </w:tcPr>
          <w:p>
            <w:pPr>
              <w:pStyle w:val="1042"/>
              <w:ind w:left="111"/>
              <w:spacing w:before="70"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1042"/>
              <w:jc w:val="center"/>
              <w:spacing w:before="69" w:line="220" w:lineRule="auto"/>
              <w:rPr>
                <w:i/>
                <w:iCs/>
                <w:sz w:val="21"/>
                <w:szCs w:val="21"/>
                <w:highlight w:val="none"/>
                <w:u w:val="single"/>
              </w:rPr>
            </w:pPr>
            <w:r>
              <w:rPr>
                <w:i/>
                <w:iCs/>
                <w:spacing w:val="-4"/>
                <w:sz w:val="21"/>
                <w:szCs w:val="21"/>
                <w:highlight w:val="none"/>
                <w:u w:val="single"/>
              </w:rPr>
              <w:t xml:space="preserve">横梁</w:t>
            </w:r>
            <w:r/>
          </w:p>
        </w:tc>
        <w:tc>
          <w:tcPr>
            <w:tcW w:w="8115" w:type="dxa"/>
            <w:textDirection w:val="lrTb"/>
            <w:noWrap/>
          </w:tcPr>
          <w:p>
            <w:pPr>
              <w:pStyle w:val="1042"/>
              <w:ind w:left="111"/>
              <w:spacing w:before="70"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1042"/>
              <w:jc w:val="center"/>
              <w:spacing w:before="31" w:line="220" w:lineRule="auto"/>
              <w:rPr>
                <w:i/>
                <w:iCs/>
                <w:sz w:val="21"/>
                <w:szCs w:val="21"/>
                <w:highlight w:val="none"/>
                <w:u w:val="single"/>
              </w:rPr>
            </w:pPr>
            <w:r>
              <w:rPr>
                <w:i/>
                <w:iCs/>
                <w:spacing w:val="-2"/>
                <w:sz w:val="21"/>
                <w:szCs w:val="21"/>
                <w:highlight w:val="none"/>
                <w:u w:val="single"/>
              </w:rPr>
              <w:t xml:space="preserve">轿厢侧壁</w:t>
            </w:r>
            <w:r/>
          </w:p>
        </w:tc>
        <w:tc>
          <w:tcPr>
            <w:tcW w:w="8115" w:type="dxa"/>
            <w:textDirection w:val="lrTb"/>
            <w:noWrap/>
          </w:tcPr>
          <w:p>
            <w:pPr>
              <w:pStyle w:val="1042"/>
              <w:ind w:left="111"/>
              <w:spacing w:before="69"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1042"/>
              <w:jc w:val="center"/>
              <w:spacing w:before="68" w:line="221" w:lineRule="auto"/>
              <w:rPr>
                <w:i/>
                <w:iCs/>
                <w:sz w:val="21"/>
                <w:szCs w:val="21"/>
                <w:highlight w:val="none"/>
                <w:u w:val="single"/>
              </w:rPr>
            </w:pPr>
            <w:r>
              <w:rPr>
                <w:i/>
                <w:iCs/>
                <w:spacing w:val="-2"/>
                <w:sz w:val="21"/>
                <w:szCs w:val="21"/>
                <w:highlight w:val="none"/>
                <w:u w:val="single"/>
              </w:rPr>
              <w:t xml:space="preserve">轿厢后壁</w:t>
            </w:r>
            <w:r/>
          </w:p>
        </w:tc>
        <w:tc>
          <w:tcPr>
            <w:tcW w:w="8115" w:type="dxa"/>
            <w:textDirection w:val="lrTb"/>
            <w:noWrap/>
          </w:tcPr>
          <w:p>
            <w:pPr>
              <w:pStyle w:val="1042"/>
              <w:ind w:left="111"/>
              <w:spacing w:before="69"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238"/>
        </w:trPr>
        <w:tc>
          <w:tcPr>
            <w:gridSpan w:val="2"/>
            <w:tcW w:w="2378" w:type="dxa"/>
            <w:vAlign w:val="center"/>
            <w:textDirection w:val="lrTb"/>
            <w:noWrap/>
          </w:tcPr>
          <w:p>
            <w:pPr>
              <w:pStyle w:val="1042"/>
              <w:jc w:val="center"/>
              <w:spacing w:before="30" w:line="203" w:lineRule="auto"/>
              <w:rPr>
                <w:i/>
                <w:sz w:val="21"/>
                <w:szCs w:val="21"/>
                <w:highlight w:val="none"/>
                <w:u w:val="single"/>
              </w:rPr>
            </w:pPr>
            <w:r>
              <w:rPr>
                <w:i/>
                <w:spacing w:val="-3"/>
                <w:sz w:val="21"/>
                <w:szCs w:val="21"/>
                <w:highlight w:val="none"/>
                <w:u w:val="single"/>
              </w:rPr>
              <w:t xml:space="preserve">扶手</w:t>
            </w:r>
            <w:r/>
          </w:p>
        </w:tc>
        <w:tc>
          <w:tcPr>
            <w:tcW w:w="8115" w:type="dxa"/>
            <w:textDirection w:val="lrTb"/>
            <w:noWrap/>
          </w:tcPr>
          <w:p>
            <w:pPr>
              <w:pStyle w:val="1042"/>
              <w:ind w:left="111"/>
              <w:spacing w:before="30" w:line="203" w:lineRule="auto"/>
              <w:rPr>
                <w:i/>
                <w:sz w:val="18"/>
                <w:szCs w:val="18"/>
                <w:highlight w:val="none"/>
                <w:u w:val="single"/>
              </w:rPr>
            </w:pPr>
            <w:r>
              <w:rPr>
                <w:i/>
                <w:spacing w:val="-1"/>
                <w:sz w:val="18"/>
                <w:szCs w:val="18"/>
                <w:highlight w:val="none"/>
                <w:u w:val="single"/>
              </w:rPr>
              <w:t xml:space="preserve">材质 </w:t>
            </w:r>
            <w:r>
              <w:rPr>
                <w:rFonts w:hint="eastAsia"/>
                <w:i/>
                <w:spacing w:val="-1"/>
                <w:sz w:val="18"/>
                <w:szCs w:val="18"/>
                <w:highlight w:val="none"/>
                <w:u w:val="single"/>
              </w:rPr>
              <w:t xml:space="preserve">发纹不锈钢</w:t>
            </w:r>
            <w:r>
              <w:rPr>
                <w:i/>
                <w:spacing w:val="-1"/>
                <w:sz w:val="18"/>
                <w:szCs w:val="18"/>
                <w:highlight w:val="none"/>
                <w:u w:val="single"/>
              </w:rPr>
              <w:t xml:space="preserve">，两侧单列5</w:t>
            </w:r>
            <w:r>
              <w:rPr>
                <w:rFonts w:hint="eastAsia"/>
                <w:i/>
                <w:spacing w:val="-1"/>
                <w:sz w:val="18"/>
                <w:szCs w:val="18"/>
                <w:highlight w:val="none"/>
                <w:u w:val="single"/>
              </w:rPr>
              <w:t xml:space="preserve">mm</w:t>
            </w:r>
            <w:r>
              <w:rPr>
                <w:i/>
                <w:spacing w:val="-1"/>
                <w:sz w:val="18"/>
                <w:szCs w:val="18"/>
                <w:highlight w:val="none"/>
                <w:u w:val="single"/>
              </w:rPr>
              <w:t xml:space="preserve">厚、10</w:t>
            </w:r>
            <w:r>
              <w:rPr>
                <w:rFonts w:hint="eastAsia"/>
                <w:i/>
                <w:spacing w:val="-1"/>
                <w:sz w:val="18"/>
                <w:szCs w:val="18"/>
                <w:highlight w:val="none"/>
                <w:u w:val="single"/>
              </w:rPr>
              <w:t xml:space="preserve">cm</w:t>
            </w:r>
            <w:r>
              <w:rPr>
                <w:i/>
                <w:spacing w:val="-1"/>
                <w:sz w:val="18"/>
                <w:szCs w:val="18"/>
                <w:highlight w:val="none"/>
                <w:u w:val="single"/>
              </w:rPr>
              <w:t xml:space="preserve">宽扁形</w:t>
            </w:r>
            <w:r>
              <w:rPr>
                <w:rFonts w:hint="eastAsia"/>
                <w:i/>
                <w:sz w:val="18"/>
                <w:szCs w:val="18"/>
                <w:highlight w:val="none"/>
                <w:u w:val="single"/>
              </w:rPr>
              <w:t xml:space="preserve">短丝</w:t>
            </w:r>
            <w:r>
              <w:rPr>
                <w:i/>
                <w:spacing w:val="-1"/>
                <w:sz w:val="18"/>
                <w:szCs w:val="18"/>
                <w:highlight w:val="none"/>
                <w:u w:val="single"/>
              </w:rPr>
              <w:t xml:space="preserve">发纹不锈</w:t>
            </w:r>
            <w:r>
              <w:rPr>
                <w:i/>
                <w:spacing w:val="-2"/>
                <w:sz w:val="18"/>
                <w:szCs w:val="18"/>
                <w:highlight w:val="none"/>
                <w:u w:val="single"/>
              </w:rPr>
              <w:t xml:space="preserve">钢扶手，提供样本，</w:t>
            </w:r>
            <w:r>
              <w:rPr>
                <w:i/>
                <w:sz w:val="18"/>
                <w:szCs w:val="18"/>
                <w:highlight w:val="none"/>
                <w:u w:val="single"/>
              </w:rPr>
              <w:t xml:space="preserve">材质 304，</w:t>
            </w:r>
            <w:r>
              <w:rPr>
                <w:rFonts w:hint="eastAsia"/>
                <w:i/>
                <w:sz w:val="18"/>
                <w:szCs w:val="18"/>
                <w:highlight w:val="none"/>
                <w:u w:val="single"/>
              </w:rPr>
              <w:t xml:space="preserve">两侧单列5mm厚、10cm宽扁形发纹不锈钢扶手，提供样本</w:t>
            </w:r>
            <w:r>
              <w:rPr>
                <w:rFonts w:hint="eastAsia"/>
                <w:i/>
                <w:spacing w:val="1"/>
                <w:sz w:val="18"/>
                <w:szCs w:val="18"/>
                <w:highlight w:val="none"/>
                <w:u w:val="single"/>
              </w:rPr>
              <w:t xml:space="preserve">供采购人确认</w:t>
            </w:r>
            <w:r/>
          </w:p>
        </w:tc>
      </w:tr>
      <w:tr>
        <w:trPr>
          <w:jc w:val="center"/>
          <w:trHeight w:val="483"/>
        </w:trPr>
        <w:tc>
          <w:tcPr>
            <w:gridSpan w:val="2"/>
            <w:tcW w:w="2378" w:type="dxa"/>
            <w:vAlign w:val="center"/>
            <w:textDirection w:val="lrTb"/>
            <w:noWrap/>
          </w:tcPr>
          <w:p>
            <w:pPr>
              <w:pStyle w:val="1042"/>
              <w:jc w:val="center"/>
              <w:spacing w:before="70" w:line="221" w:lineRule="auto"/>
              <w:rPr>
                <w:i/>
                <w:sz w:val="21"/>
                <w:szCs w:val="21"/>
                <w:highlight w:val="none"/>
                <w:u w:val="single"/>
              </w:rPr>
            </w:pPr>
            <w:r>
              <w:rPr>
                <w:i/>
                <w:spacing w:val="-5"/>
                <w:sz w:val="21"/>
                <w:szCs w:val="21"/>
                <w:highlight w:val="none"/>
                <w:u w:val="single"/>
              </w:rPr>
              <w:t xml:space="preserve">轿厢门</w:t>
            </w:r>
            <w:r/>
          </w:p>
        </w:tc>
        <w:tc>
          <w:tcPr>
            <w:tcW w:w="8115" w:type="dxa"/>
            <w:textDirection w:val="lrTb"/>
            <w:noWrap/>
          </w:tcPr>
          <w:p>
            <w:pPr>
              <w:pStyle w:val="1042"/>
              <w:ind w:left="111"/>
              <w:spacing w:before="70" w:line="219" w:lineRule="auto"/>
              <w:rPr>
                <w:i/>
                <w:sz w:val="18"/>
                <w:szCs w:val="18"/>
                <w:highlight w:val="none"/>
                <w:u w:val="single"/>
              </w:rPr>
            </w:pPr>
            <w:r>
              <w:rPr>
                <w:i/>
                <w:spacing w:val="-1"/>
                <w:sz w:val="18"/>
                <w:szCs w:val="18"/>
                <w:highlight w:val="none"/>
                <w:u w:val="single"/>
              </w:rPr>
              <w:t xml:space="preserve">材质 </w:t>
            </w:r>
            <w:r>
              <w:rPr>
                <w:rFonts w:hint="eastAsia"/>
                <w:i/>
                <w:sz w:val="18"/>
                <w:szCs w:val="18"/>
                <w:highlight w:val="none"/>
                <w:u w:val="single"/>
              </w:rPr>
              <w:t xml:space="preserve">一体成型</w:t>
            </w:r>
            <w:r>
              <w:rPr>
                <w:i/>
                <w:sz w:val="18"/>
                <w:szCs w:val="18"/>
                <w:highlight w:val="none"/>
                <w:u w:val="single"/>
              </w:rPr>
              <w:t xml:space="preserve">发纹不锈钢（厚度≥1.</w:t>
            </w:r>
            <w:r>
              <w:rPr>
                <w:rFonts w:hint="eastAsia"/>
                <w:i/>
                <w:sz w:val="18"/>
                <w:szCs w:val="18"/>
                <w:highlight w:val="none"/>
                <w:u w:val="single"/>
              </w:rPr>
              <w:t xml:space="preserve">5</w:t>
            </w:r>
            <w:r>
              <w:rPr>
                <w:i/>
                <w:sz w:val="18"/>
                <w:szCs w:val="18"/>
                <w:highlight w:val="none"/>
                <w:u w:val="single"/>
              </w:rPr>
              <w:t xml:space="preserve">mm）材质 304，</w:t>
            </w:r>
            <w:r>
              <w:rPr>
                <w:rFonts w:hint="eastAsia"/>
                <w:i/>
                <w:sz w:val="18"/>
                <w:szCs w:val="18"/>
                <w:highlight w:val="none"/>
                <w:u w:val="single"/>
              </w:rPr>
              <w:t xml:space="preserve">表面进行抗指纹处理的发纹不锈钢</w:t>
            </w:r>
            <w:r/>
          </w:p>
        </w:tc>
      </w:tr>
      <w:tr>
        <w:trPr>
          <w:jc w:val="center"/>
          <w:trHeight w:val="317"/>
        </w:trPr>
        <w:tc>
          <w:tcPr>
            <w:gridSpan w:val="2"/>
            <w:tcW w:w="2378" w:type="dxa"/>
            <w:vAlign w:val="center"/>
            <w:textDirection w:val="lrTb"/>
            <w:noWrap/>
          </w:tcPr>
          <w:p>
            <w:pPr>
              <w:pStyle w:val="1042"/>
              <w:jc w:val="center"/>
              <w:spacing w:before="69" w:line="221" w:lineRule="auto"/>
              <w:rPr>
                <w:i/>
                <w:sz w:val="21"/>
                <w:szCs w:val="21"/>
                <w:highlight w:val="none"/>
                <w:u w:val="single"/>
              </w:rPr>
            </w:pPr>
            <w:r>
              <w:rPr>
                <w:i/>
                <w:spacing w:val="-2"/>
                <w:sz w:val="21"/>
                <w:szCs w:val="21"/>
                <w:highlight w:val="none"/>
                <w:u w:val="single"/>
              </w:rPr>
              <w:t xml:space="preserve">轿厢地面</w:t>
            </w:r>
            <w:r/>
          </w:p>
        </w:tc>
        <w:tc>
          <w:tcPr>
            <w:tcW w:w="8115" w:type="dxa"/>
            <w:textDirection w:val="lrTb"/>
            <w:noWrap/>
          </w:tcPr>
          <w:p>
            <w:pPr>
              <w:pStyle w:val="1042"/>
              <w:ind w:left="112"/>
              <w:spacing w:before="70" w:line="219" w:lineRule="auto"/>
              <w:rPr>
                <w:i/>
                <w:sz w:val="18"/>
                <w:szCs w:val="18"/>
                <w:highlight w:val="none"/>
                <w:u w:val="single"/>
              </w:rPr>
            </w:pPr>
            <w:r>
              <w:rPr>
                <w:rFonts w:hint="eastAsia"/>
                <w:i/>
                <w:sz w:val="18"/>
                <w:szCs w:val="18"/>
                <w:highlight w:val="none"/>
                <w:u w:val="single"/>
              </w:rPr>
              <w:t xml:space="preserve">橡胶地板或同质透芯4mmPVC地面。（质量、颜色、样式必须满足采购人要求，提供样品供采购人确认）。</w:t>
            </w:r>
            <w:r>
              <w:rPr>
                <w:rFonts w:hint="eastAsia"/>
                <w:bCs/>
                <w:i/>
                <w:spacing w:val="-1"/>
                <w:sz w:val="18"/>
                <w:szCs w:val="18"/>
                <w:highlight w:val="none"/>
                <w:u w:val="single"/>
              </w:rPr>
              <w:t xml:space="preserve">提供书面承诺函件；</w:t>
            </w:r>
            <w:r/>
          </w:p>
        </w:tc>
      </w:tr>
      <w:tr>
        <w:trPr>
          <w:jc w:val="center"/>
          <w:trHeight w:val="90"/>
        </w:trPr>
        <w:tc>
          <w:tcPr>
            <w:gridSpan w:val="2"/>
            <w:tcW w:w="2378" w:type="dxa"/>
            <w:vAlign w:val="center"/>
            <w:textDirection w:val="lrTb"/>
            <w:noWrap/>
          </w:tcPr>
          <w:p>
            <w:pPr>
              <w:pStyle w:val="1042"/>
              <w:jc w:val="center"/>
              <w:spacing w:before="69" w:line="221" w:lineRule="auto"/>
              <w:rPr>
                <w:i/>
                <w:sz w:val="21"/>
                <w:szCs w:val="21"/>
                <w:highlight w:val="none"/>
                <w:u w:val="single"/>
              </w:rPr>
            </w:pPr>
            <w:r>
              <w:rPr>
                <w:i/>
                <w:spacing w:val="-2"/>
                <w:sz w:val="21"/>
                <w:szCs w:val="21"/>
                <w:highlight w:val="none"/>
                <w:u w:val="single"/>
              </w:rPr>
              <w:t xml:space="preserve">轿厢装饰</w:t>
            </w:r>
            <w:r/>
          </w:p>
        </w:tc>
        <w:tc>
          <w:tcPr>
            <w:tcW w:w="8115" w:type="dxa"/>
            <w:textDirection w:val="lrTb"/>
            <w:noWrap/>
          </w:tcPr>
          <w:p>
            <w:pPr>
              <w:pStyle w:val="1042"/>
              <w:ind w:left="111"/>
              <w:spacing w:before="69" w:line="219" w:lineRule="auto"/>
              <w:rPr>
                <w:i/>
                <w:sz w:val="18"/>
                <w:szCs w:val="18"/>
                <w:highlight w:val="none"/>
                <w:u w:val="single"/>
              </w:rPr>
            </w:pPr>
            <w:r>
              <w:rPr>
                <w:i/>
                <w:spacing w:val="-1"/>
                <w:sz w:val="18"/>
                <w:szCs w:val="18"/>
                <w:highlight w:val="none"/>
                <w:u w:val="single"/>
              </w:rPr>
              <w:t xml:space="preserve">轿内须有原厂制造铭牌，针对不同大小电梯分别提供三种及以上效果图，由采购人确认后实施</w:t>
            </w:r>
            <w:r/>
          </w:p>
        </w:tc>
      </w:tr>
      <w:tr>
        <w:trPr>
          <w:jc w:val="center"/>
          <w:trHeight w:val="363"/>
        </w:trPr>
        <w:tc>
          <w:tcPr>
            <w:gridSpan w:val="2"/>
            <w:tcW w:w="2378" w:type="dxa"/>
            <w:vAlign w:val="center"/>
            <w:textDirection w:val="lrTb"/>
            <w:noWrap/>
          </w:tcPr>
          <w:p>
            <w:pPr>
              <w:pStyle w:val="1042"/>
              <w:jc w:val="center"/>
              <w:spacing w:before="69" w:line="221" w:lineRule="auto"/>
              <w:rPr>
                <w:i/>
                <w:iCs/>
                <w:spacing w:val="-2"/>
                <w:sz w:val="21"/>
                <w:szCs w:val="21"/>
                <w:highlight w:val="none"/>
                <w:u w:val="single"/>
              </w:rPr>
            </w:pPr>
            <w:r>
              <w:rPr>
                <w:i/>
                <w:iCs/>
                <w:spacing w:val="-2"/>
                <w:sz w:val="21"/>
                <w:szCs w:val="21"/>
                <w:highlight w:val="none"/>
                <w:u w:val="single"/>
              </w:rPr>
              <w:t xml:space="preserve">轿厢空调</w:t>
            </w:r>
            <w:r/>
          </w:p>
        </w:tc>
        <w:tc>
          <w:tcPr>
            <w:tcW w:w="8115" w:type="dxa"/>
            <w:textDirection w:val="lrTb"/>
            <w:noWrap/>
          </w:tcPr>
          <w:p>
            <w:pPr>
              <w:pStyle w:val="1042"/>
              <w:ind w:left="111"/>
              <w:spacing w:before="69" w:line="219" w:lineRule="auto"/>
              <w:rPr>
                <w:i/>
                <w:iCs/>
                <w:spacing w:val="-1"/>
                <w:sz w:val="18"/>
                <w:szCs w:val="18"/>
                <w:highlight w:val="none"/>
                <w:u w:val="single"/>
              </w:rPr>
            </w:pPr>
            <w:r>
              <w:rPr>
                <w:rFonts w:hint="eastAsia"/>
                <w:i/>
                <w:iCs/>
                <w:spacing w:val="-2"/>
                <w:sz w:val="18"/>
                <w:szCs w:val="18"/>
                <w:highlight w:val="none"/>
                <w:u w:val="single"/>
              </w:rPr>
              <w:t xml:space="preserve">DT9</w:t>
            </w:r>
            <w:r>
              <w:rPr>
                <w:rFonts w:hint="eastAsia"/>
                <w:i/>
                <w:iCs/>
                <w:spacing w:val="-1"/>
                <w:sz w:val="18"/>
                <w:szCs w:val="18"/>
                <w:highlight w:val="none"/>
                <w:u w:val="single"/>
              </w:rPr>
              <w:t xml:space="preserve">，单冷空调(具备定时设置开关机功能)</w:t>
            </w:r>
            <w:r/>
          </w:p>
        </w:tc>
      </w:tr>
      <w:tr>
        <w:trPr>
          <w:jc w:val="center"/>
          <w:trHeight w:val="317"/>
        </w:trPr>
        <w:tc>
          <w:tcPr>
            <w:gridSpan w:val="2"/>
            <w:tcW w:w="2378" w:type="dxa"/>
            <w:vAlign w:val="center"/>
            <w:textDirection w:val="lrTb"/>
            <w:noWrap/>
          </w:tcPr>
          <w:p>
            <w:pPr>
              <w:pStyle w:val="1042"/>
              <w:jc w:val="center"/>
              <w:spacing w:before="69" w:line="221" w:lineRule="auto"/>
              <w:rPr>
                <w:i/>
                <w:iCs/>
                <w:spacing w:val="-2"/>
                <w:sz w:val="21"/>
                <w:szCs w:val="21"/>
                <w:highlight w:val="none"/>
                <w:u w:val="single"/>
              </w:rPr>
            </w:pPr>
            <w:r>
              <w:rPr>
                <w:i/>
                <w:iCs/>
                <w:spacing w:val="-2"/>
                <w:sz w:val="21"/>
                <w:szCs w:val="21"/>
                <w:highlight w:val="none"/>
                <w:u w:val="single"/>
              </w:rPr>
              <w:t xml:space="preserve">门机系统</w:t>
            </w:r>
            <w:r/>
          </w:p>
        </w:tc>
        <w:tc>
          <w:tcPr>
            <w:tcW w:w="8115" w:type="dxa"/>
            <w:textDirection w:val="lrTb"/>
            <w:noWrap/>
          </w:tcPr>
          <w:p>
            <w:pPr>
              <w:pStyle w:val="1042"/>
              <w:ind w:left="111"/>
              <w:spacing w:before="69" w:line="219" w:lineRule="auto"/>
              <w:rPr>
                <w:i/>
                <w:iCs/>
                <w:spacing w:val="-2"/>
                <w:sz w:val="18"/>
                <w:szCs w:val="18"/>
                <w:highlight w:val="none"/>
                <w:u w:val="single"/>
              </w:rPr>
            </w:pPr>
            <w:r>
              <w:rPr>
                <w:rFonts w:hint="eastAsia"/>
                <w:i/>
                <w:iCs/>
                <w:spacing w:val="-1"/>
                <w:sz w:val="18"/>
                <w:szCs w:val="18"/>
                <w:highlight w:val="none"/>
                <w:u w:val="single"/>
              </w:rPr>
              <w:t xml:space="preserve">电动永磁同步门机系统。传动方式为同步带传动，提供部件的型式试验报告</w:t>
            </w:r>
            <w:r/>
          </w:p>
        </w:tc>
      </w:tr>
      <w:tr>
        <w:trPr>
          <w:jc w:val="center"/>
          <w:trHeight w:val="90"/>
        </w:trPr>
        <w:tc>
          <w:tcPr>
            <w:gridSpan w:val="2"/>
            <w:tcW w:w="2378" w:type="dxa"/>
            <w:textDirection w:val="lrTb"/>
            <w:noWrap/>
          </w:tcPr>
          <w:p>
            <w:pPr>
              <w:pStyle w:val="1042"/>
              <w:jc w:val="center"/>
              <w:spacing w:before="68" w:line="222" w:lineRule="auto"/>
              <w:rPr>
                <w:i/>
                <w:sz w:val="21"/>
                <w:szCs w:val="21"/>
                <w:highlight w:val="none"/>
                <w:u w:val="single"/>
              </w:rPr>
            </w:pPr>
            <w:r>
              <w:rPr>
                <w:i/>
                <w:spacing w:val="-2"/>
                <w:sz w:val="21"/>
                <w:szCs w:val="21"/>
                <w:highlight w:val="none"/>
                <w:u w:val="single"/>
              </w:rPr>
              <w:t xml:space="preserve">开门方式</w:t>
            </w:r>
            <w:r/>
          </w:p>
        </w:tc>
        <w:tc>
          <w:tcPr>
            <w:tcW w:w="8115" w:type="dxa"/>
            <w:textDirection w:val="lrTb"/>
            <w:noWrap/>
          </w:tcPr>
          <w:p>
            <w:pPr>
              <w:pStyle w:val="1042"/>
              <w:spacing w:before="69" w:line="219" w:lineRule="auto"/>
              <w:rPr>
                <w:i/>
                <w:sz w:val="18"/>
                <w:szCs w:val="18"/>
                <w:highlight w:val="none"/>
                <w:u w:val="single"/>
              </w:rPr>
            </w:pPr>
            <w:r>
              <w:rPr>
                <w:rFonts w:hint="eastAsia"/>
                <w:i/>
                <w:sz w:val="18"/>
                <w:szCs w:val="18"/>
                <w:highlight w:val="none"/>
                <w:u w:val="single"/>
              </w:rPr>
              <w:t xml:space="preserve">按照基本参数中采用</w:t>
            </w:r>
            <w:r>
              <w:rPr>
                <w:i/>
                <w:spacing w:val="-3"/>
                <w:sz w:val="18"/>
                <w:szCs w:val="18"/>
                <w:highlight w:val="none"/>
                <w:u w:val="single"/>
              </w:rPr>
              <w:t xml:space="preserve">中分门</w:t>
            </w:r>
            <w:r>
              <w:rPr>
                <w:rFonts w:hint="eastAsia"/>
                <w:i/>
                <w:spacing w:val="-3"/>
                <w:sz w:val="18"/>
                <w:szCs w:val="18"/>
                <w:highlight w:val="none"/>
                <w:u w:val="single"/>
              </w:rPr>
              <w:t xml:space="preserve">或侧开门</w:t>
            </w:r>
            <w:r>
              <w:rPr>
                <w:i/>
                <w:spacing w:val="-3"/>
                <w:sz w:val="18"/>
                <w:szCs w:val="18"/>
                <w:highlight w:val="none"/>
                <w:u w:val="single"/>
              </w:rPr>
              <w:t xml:space="preserve">（</w:t>
            </w:r>
            <w:r>
              <w:rPr>
                <w:rFonts w:hint="eastAsia"/>
                <w:i/>
                <w:spacing w:val="-3"/>
                <w:sz w:val="18"/>
                <w:szCs w:val="18"/>
                <w:highlight w:val="none"/>
                <w:u w:val="single"/>
              </w:rPr>
              <w:t xml:space="preserve">均采用</w:t>
            </w:r>
            <w:r>
              <w:rPr>
                <w:i/>
                <w:spacing w:val="-3"/>
                <w:sz w:val="18"/>
                <w:szCs w:val="18"/>
                <w:highlight w:val="none"/>
                <w:u w:val="single"/>
              </w:rPr>
              <w:t xml:space="preserve">变频控制门机），（DT</w:t>
            </w:r>
            <w:r>
              <w:rPr>
                <w:rFonts w:hint="eastAsia"/>
                <w:i/>
                <w:spacing w:val="-3"/>
                <w:sz w:val="18"/>
                <w:szCs w:val="18"/>
                <w:highlight w:val="none"/>
                <w:u w:val="single"/>
              </w:rPr>
              <w:t xml:space="preserve">10、DT11设置防溜车撞门设施）</w:t>
            </w:r>
            <w:r/>
          </w:p>
        </w:tc>
      </w:tr>
      <w:tr>
        <w:trPr>
          <w:jc w:val="center"/>
          <w:trHeight w:val="317"/>
        </w:trPr>
        <w:tc>
          <w:tcPr>
            <w:gridSpan w:val="2"/>
            <w:tcW w:w="2378" w:type="dxa"/>
            <w:textDirection w:val="lrTb"/>
            <w:noWrap/>
          </w:tcPr>
          <w:p>
            <w:pPr>
              <w:pStyle w:val="1042"/>
              <w:jc w:val="center"/>
              <w:spacing w:before="68" w:line="219" w:lineRule="auto"/>
              <w:rPr>
                <w:i/>
                <w:sz w:val="21"/>
                <w:szCs w:val="21"/>
                <w:highlight w:val="none"/>
                <w:u w:val="single"/>
              </w:rPr>
            </w:pPr>
            <w:r>
              <w:rPr>
                <w:i/>
                <w:spacing w:val="-2"/>
                <w:sz w:val="21"/>
                <w:szCs w:val="21"/>
                <w:highlight w:val="none"/>
                <w:u w:val="single"/>
              </w:rPr>
              <w:t xml:space="preserve">开门尺寸</w:t>
            </w:r>
            <w:r/>
          </w:p>
        </w:tc>
        <w:tc>
          <w:tcPr>
            <w:tcW w:w="8115" w:type="dxa"/>
            <w:textDirection w:val="lrTb"/>
            <w:noWrap/>
          </w:tcPr>
          <w:p>
            <w:pPr>
              <w:pStyle w:val="1042"/>
              <w:spacing w:before="68" w:line="220" w:lineRule="auto"/>
              <w:rPr>
                <w:i/>
                <w:sz w:val="18"/>
                <w:szCs w:val="18"/>
                <w:highlight w:val="none"/>
                <w:u w:val="single"/>
              </w:rPr>
            </w:pPr>
            <w:r>
              <w:rPr>
                <w:rFonts w:hint="eastAsia"/>
                <w:i/>
                <w:sz w:val="18"/>
                <w:szCs w:val="18"/>
                <w:highlight w:val="none"/>
                <w:u w:val="single"/>
              </w:rPr>
              <w:t xml:space="preserve">参考基本参数，最终不小于原梯开门尺寸</w:t>
            </w:r>
            <w:r/>
          </w:p>
        </w:tc>
      </w:tr>
      <w:tr>
        <w:trPr>
          <w:jc w:val="center"/>
          <w:trHeight w:val="317"/>
        </w:trPr>
        <w:tc>
          <w:tcPr>
            <w:gridSpan w:val="2"/>
            <w:tcW w:w="2378" w:type="dxa"/>
            <w:textDirection w:val="lrTb"/>
            <w:noWrap/>
          </w:tcPr>
          <w:p>
            <w:pPr>
              <w:pStyle w:val="1042"/>
              <w:jc w:val="center"/>
              <w:spacing w:before="70" w:line="221" w:lineRule="auto"/>
              <w:rPr>
                <w:i/>
                <w:sz w:val="21"/>
                <w:szCs w:val="21"/>
                <w:highlight w:val="none"/>
                <w:u w:val="single"/>
              </w:rPr>
            </w:pPr>
            <w:r>
              <w:rPr>
                <w:i/>
                <w:spacing w:val="-4"/>
                <w:sz w:val="21"/>
                <w:szCs w:val="21"/>
                <w:highlight w:val="none"/>
                <w:u w:val="single"/>
              </w:rPr>
              <w:t xml:space="preserve">门系统防夹保护</w:t>
            </w:r>
            <w:r/>
          </w:p>
        </w:tc>
        <w:tc>
          <w:tcPr>
            <w:tcW w:w="8115" w:type="dxa"/>
            <w:textDirection w:val="lrTb"/>
            <w:noWrap/>
          </w:tcPr>
          <w:p>
            <w:pPr>
              <w:pStyle w:val="1042"/>
              <w:spacing w:before="70" w:line="219" w:lineRule="auto"/>
              <w:tabs>
                <w:tab w:val="left" w:pos="2943" w:leader="none"/>
              </w:tabs>
              <w:rPr>
                <w:i/>
                <w:sz w:val="18"/>
                <w:szCs w:val="18"/>
                <w:highlight w:val="none"/>
                <w:u w:val="single"/>
              </w:rPr>
            </w:pPr>
            <w:r>
              <w:rPr>
                <w:i/>
                <w:spacing w:val="-3"/>
                <w:sz w:val="18"/>
                <w:szCs w:val="18"/>
                <w:highlight w:val="none"/>
                <w:u w:val="single"/>
              </w:rPr>
              <w:t xml:space="preserve">红外线光幕保护装置</w:t>
            </w:r>
            <w:r>
              <w:rPr>
                <w:i/>
                <w:spacing w:val="-3"/>
                <w:sz w:val="18"/>
                <w:szCs w:val="18"/>
                <w:highlight w:val="none"/>
                <w:u w:val="single"/>
              </w:rPr>
              <w:tab/>
            </w:r>
            <w:r/>
          </w:p>
        </w:tc>
      </w:tr>
      <w:tr>
        <w:trPr>
          <w:jc w:val="center"/>
          <w:trHeight w:val="317"/>
        </w:trPr>
        <w:tc>
          <w:tcPr>
            <w:gridSpan w:val="2"/>
            <w:tcW w:w="2378" w:type="dxa"/>
            <w:textDirection w:val="lrTb"/>
            <w:noWrap/>
          </w:tcPr>
          <w:p>
            <w:pPr>
              <w:pStyle w:val="1042"/>
              <w:jc w:val="center"/>
              <w:spacing w:before="70" w:line="221" w:lineRule="auto"/>
              <w:rPr>
                <w:i/>
                <w:iCs/>
                <w:spacing w:val="-4"/>
                <w:sz w:val="21"/>
                <w:szCs w:val="21"/>
                <w:highlight w:val="none"/>
                <w:u w:val="single"/>
              </w:rPr>
            </w:pPr>
            <w:r>
              <w:rPr>
                <w:i/>
                <w:iCs/>
                <w:spacing w:val="-2"/>
                <w:sz w:val="21"/>
                <w:szCs w:val="21"/>
                <w:highlight w:val="none"/>
                <w:u w:val="single"/>
              </w:rPr>
              <w:t xml:space="preserve">轿外召唤面板</w:t>
            </w:r>
            <w:r/>
          </w:p>
        </w:tc>
        <w:tc>
          <w:tcPr>
            <w:tcW w:w="8115" w:type="dxa"/>
            <w:textDirection w:val="lrTb"/>
            <w:noWrap/>
          </w:tcPr>
          <w:p>
            <w:pPr>
              <w:pStyle w:val="953"/>
              <w:ind w:right="473"/>
              <w:spacing w:before="111" w:line="255" w:lineRule="auto"/>
              <w:rPr>
                <w:i/>
                <w:iCs/>
                <w:spacing w:val="-3"/>
                <w:sz w:val="18"/>
                <w:szCs w:val="18"/>
                <w:highlight w:val="none"/>
                <w:u w:val="single"/>
              </w:rPr>
            </w:pPr>
            <w:r>
              <w:rPr>
                <w:rFonts w:hint="eastAsia" w:ascii="宋体" w:hAnsi="宋体" w:eastAsia="宋体" w:cs="宋体"/>
                <w:bCs/>
                <w:i/>
                <w:iCs/>
                <w:spacing w:val="-1"/>
                <w:sz w:val="18"/>
                <w:szCs w:val="18"/>
                <w:highlight w:val="none"/>
                <w:u w:val="single"/>
              </w:rPr>
              <w:t xml:space="preserve">轿厢外招均配置微触按钮，边框材质亚克力，不小于4.3英寸彩色液晶（按钮要求常亮，当按下按钮时，按钮外边框亮）外招面板，材质304，表面进行抗指纹处理的发纹不锈钢面板，带显示楼层和电梯运行方向（带运行、检修、故障和满载等中文显示，不允许出现黑屏现象），提供效果图，效果图上需注明液晶尺寸及液晶样式（供货前</w:t>
            </w:r>
            <w:r>
              <w:rPr>
                <w:rFonts w:hint="eastAsia" w:ascii="宋体" w:hAnsi="宋体" w:eastAsia="宋体" w:cs="宋体"/>
                <w:bCs/>
                <w:i/>
                <w:iCs/>
                <w:sz w:val="18"/>
                <w:szCs w:val="18"/>
                <w:highlight w:val="none"/>
                <w:u w:val="single"/>
              </w:rPr>
              <w:t xml:space="preserve">提供样本</w:t>
            </w:r>
            <w:r>
              <w:rPr>
                <w:rFonts w:hint="eastAsia" w:ascii="宋体" w:hAnsi="宋体" w:eastAsia="宋体" w:cs="宋体"/>
                <w:bCs/>
                <w:i/>
                <w:iCs/>
                <w:spacing w:val="1"/>
                <w:sz w:val="18"/>
                <w:szCs w:val="18"/>
                <w:highlight w:val="none"/>
                <w:u w:val="single"/>
              </w:rPr>
              <w:t xml:space="preserve">供采购人确认</w:t>
            </w:r>
            <w:r>
              <w:rPr>
                <w:rFonts w:hint="eastAsia" w:ascii="宋体" w:hAnsi="宋体" w:eastAsia="宋体" w:cs="宋体"/>
                <w:bCs/>
                <w:i/>
                <w:iCs/>
                <w:spacing w:val="-1"/>
                <w:sz w:val="18"/>
                <w:szCs w:val="18"/>
                <w:highlight w:val="none"/>
                <w:u w:val="single"/>
              </w:rPr>
              <w:t xml:space="preserve">）</w:t>
            </w:r>
            <w:r/>
          </w:p>
        </w:tc>
      </w:tr>
      <w:tr>
        <w:trPr>
          <w:jc w:val="center"/>
          <w:trHeight w:val="317"/>
        </w:trPr>
        <w:tc>
          <w:tcPr>
            <w:gridSpan w:val="2"/>
            <w:tcW w:w="2378" w:type="dxa"/>
            <w:textDirection w:val="lrTb"/>
            <w:noWrap/>
          </w:tcPr>
          <w:p>
            <w:pPr>
              <w:pStyle w:val="1042"/>
              <w:jc w:val="center"/>
              <w:spacing w:before="58"/>
              <w:rPr>
                <w:i/>
                <w:iCs/>
                <w:sz w:val="21"/>
                <w:szCs w:val="21"/>
                <w:highlight w:val="none"/>
                <w:u w:val="single"/>
              </w:rPr>
            </w:pPr>
            <w:r>
              <w:rPr>
                <w:i/>
                <w:iCs/>
                <w:spacing w:val="-2"/>
                <w:sz w:val="21"/>
                <w:szCs w:val="21"/>
                <w:highlight w:val="none"/>
                <w:u w:val="single"/>
              </w:rPr>
              <w:t xml:space="preserve">轿厢操纵箱</w:t>
            </w:r>
            <w:r>
              <w:rPr>
                <w:rFonts w:hint="eastAsia"/>
                <w:i/>
                <w:iCs/>
                <w:spacing w:val="-2"/>
                <w:sz w:val="21"/>
                <w:szCs w:val="21"/>
                <w:highlight w:val="none"/>
                <w:u w:val="single"/>
              </w:rPr>
              <w:t xml:space="preserve">+</w:t>
            </w:r>
            <w:r>
              <w:rPr>
                <w:i/>
                <w:iCs/>
                <w:spacing w:val="-2"/>
                <w:sz w:val="21"/>
                <w:szCs w:val="21"/>
                <w:highlight w:val="none"/>
                <w:u w:val="single"/>
              </w:rPr>
              <w:t xml:space="preserve">轿厢位置指示</w:t>
            </w:r>
            <w:r/>
          </w:p>
        </w:tc>
        <w:tc>
          <w:tcPr>
            <w:tcW w:w="8115" w:type="dxa"/>
            <w:textDirection w:val="lrTb"/>
            <w:noWrap/>
          </w:tcPr>
          <w:p>
            <w:pPr>
              <w:pStyle w:val="1042"/>
              <w:ind w:left="111" w:right="106"/>
              <w:spacing w:before="70" w:line="294" w:lineRule="auto"/>
              <w:rPr>
                <w:i/>
                <w:iCs/>
                <w:sz w:val="18"/>
                <w:szCs w:val="18"/>
                <w:highlight w:val="none"/>
                <w:u w:val="single"/>
              </w:rPr>
            </w:pPr>
            <w:r>
              <w:rPr>
                <w:i/>
                <w:iCs/>
                <w:sz w:val="18"/>
                <w:szCs w:val="18"/>
                <w:highlight w:val="none"/>
                <w:u w:val="single"/>
              </w:rPr>
              <w:t xml:space="preserve">电梯轿厢内</w:t>
            </w:r>
            <w:r>
              <w:rPr>
                <w:rFonts w:hint="eastAsia"/>
                <w:i/>
                <w:iCs/>
                <w:sz w:val="18"/>
                <w:szCs w:val="18"/>
                <w:highlight w:val="none"/>
                <w:u w:val="single"/>
              </w:rPr>
              <w:t xml:space="preserve">配置操纵箱（住院部</w:t>
            </w:r>
            <w:r>
              <w:rPr>
                <w:rFonts w:hint="eastAsia"/>
                <w:i/>
                <w:sz w:val="18"/>
                <w:szCs w:val="18"/>
                <w:highlight w:val="none"/>
                <w:u w:val="single"/>
              </w:rPr>
              <w:t xml:space="preserve">DT1、DT2、DT4、DT5、DT6</w:t>
            </w:r>
            <w:r>
              <w:rPr>
                <w:rFonts w:hint="eastAsia"/>
                <w:i/>
                <w:iCs/>
                <w:sz w:val="18"/>
                <w:szCs w:val="18"/>
                <w:highlight w:val="none"/>
                <w:u w:val="single"/>
              </w:rPr>
              <w:t xml:space="preserve">需配置主副操纵箱）</w:t>
            </w:r>
            <w:r>
              <w:rPr>
                <w:i/>
                <w:iCs/>
                <w:sz w:val="18"/>
                <w:szCs w:val="18"/>
                <w:highlight w:val="none"/>
                <w:u w:val="single"/>
              </w:rPr>
              <w:t xml:space="preserve">，</w:t>
            </w:r>
            <w:r>
              <w:rPr>
                <w:i/>
                <w:iCs/>
                <w:sz w:val="18"/>
                <w:szCs w:val="18"/>
                <w:highlight w:val="none"/>
                <w:u w:val="single"/>
              </w:rPr>
              <w:t xml:space="preserve">面板采用</w:t>
            </w:r>
            <w:r>
              <w:rPr>
                <w:rFonts w:hint="eastAsia"/>
                <w:i/>
                <w:iCs/>
                <w:sz w:val="18"/>
                <w:szCs w:val="18"/>
                <w:highlight w:val="none"/>
                <w:u w:val="single"/>
              </w:rPr>
              <w:t xml:space="preserve">抗指纹处理的</w:t>
            </w:r>
            <w:r>
              <w:rPr>
                <w:i/>
                <w:iCs/>
                <w:sz w:val="18"/>
                <w:szCs w:val="18"/>
                <w:highlight w:val="none"/>
                <w:u w:val="single"/>
              </w:rPr>
              <w:t xml:space="preserve">发纹不锈钢，材质 304，厚度 ≥1.5</w:t>
            </w:r>
            <w:r>
              <w:rPr>
                <w:rFonts w:hint="eastAsia"/>
                <w:i/>
                <w:iCs/>
                <w:sz w:val="18"/>
                <w:szCs w:val="18"/>
                <w:highlight w:val="none"/>
                <w:u w:val="single"/>
              </w:rPr>
              <w:t xml:space="preserve">mm，</w:t>
            </w:r>
            <w:r>
              <w:rPr>
                <w:rFonts w:hint="eastAsia"/>
                <w:bCs/>
                <w:i/>
                <w:iCs/>
                <w:spacing w:val="-1"/>
                <w:sz w:val="18"/>
                <w:szCs w:val="18"/>
                <w:highlight w:val="none"/>
                <w:u w:val="single"/>
              </w:rPr>
              <w:t xml:space="preserve">DT8住院部9#电梯、DT9新行政楼(北)、DT14-DT15食堂梯配置不小于15英寸真彩液晶显示（可循环播放所有类型格式宣传视频、通知、音频播放等，同时显示当日日期、楼层及电梯运行方向）；除DT10、DT11（手术梯）外配置</w:t>
            </w:r>
            <w:r>
              <w:rPr>
                <w:rFonts w:hint="eastAsia"/>
                <w:i/>
                <w:iCs/>
                <w:sz w:val="18"/>
                <w:szCs w:val="18"/>
                <w:highlight w:val="none"/>
                <w:u w:val="single"/>
              </w:rPr>
              <w:t xml:space="preserve">不小于8.4英寸彩色液晶，能</w:t>
            </w:r>
            <w:r>
              <w:rPr>
                <w:rFonts w:hint="eastAsia"/>
                <w:bCs/>
                <w:i/>
                <w:iCs/>
                <w:spacing w:val="-1"/>
                <w:sz w:val="18"/>
                <w:szCs w:val="18"/>
                <w:highlight w:val="none"/>
                <w:u w:val="single"/>
              </w:rPr>
              <w:t xml:space="preserve">显示当日日期、楼层及电梯运行方向</w:t>
            </w:r>
            <w:r>
              <w:rPr>
                <w:i/>
                <w:iCs/>
                <w:sz w:val="18"/>
                <w:szCs w:val="18"/>
                <w:highlight w:val="none"/>
                <w:u w:val="single"/>
              </w:rPr>
              <w:t xml:space="preserve">；发纹不锈钢圆形按钮；操作功能：一个以钥匙操作的开关箱内有</w:t>
            </w:r>
            <w:r>
              <w:rPr>
                <w:rFonts w:hint="eastAsia"/>
                <w:i/>
                <w:iCs/>
                <w:sz w:val="18"/>
                <w:szCs w:val="18"/>
                <w:highlight w:val="none"/>
                <w:u w:val="single"/>
              </w:rPr>
              <w:t xml:space="preserve">司机开关、检修开关、</w:t>
            </w:r>
            <w:r>
              <w:rPr>
                <w:i/>
                <w:iCs/>
                <w:sz w:val="18"/>
                <w:szCs w:val="18"/>
                <w:highlight w:val="none"/>
                <w:u w:val="single"/>
              </w:rPr>
              <w:t xml:space="preserve">停止开关、照明开关、风扇开关，</w:t>
            </w:r>
            <w:r>
              <w:rPr>
                <w:rFonts w:hint="eastAsia"/>
                <w:i/>
                <w:iCs/>
                <w:sz w:val="18"/>
                <w:szCs w:val="18"/>
                <w:highlight w:val="none"/>
                <w:u w:val="single"/>
              </w:rPr>
              <w:t xml:space="preserve">面板</w:t>
            </w:r>
            <w:r>
              <w:rPr>
                <w:i/>
                <w:iCs/>
                <w:sz w:val="18"/>
                <w:szCs w:val="18"/>
                <w:highlight w:val="none"/>
                <w:u w:val="single"/>
              </w:rPr>
              <w:t xml:space="preserve">式</w:t>
            </w:r>
            <w:r>
              <w:rPr>
                <w:rFonts w:hint="eastAsia"/>
                <w:i/>
                <w:iCs/>
                <w:sz w:val="18"/>
                <w:szCs w:val="18"/>
                <w:highlight w:val="none"/>
                <w:u w:val="single"/>
              </w:rPr>
              <w:t xml:space="preserve">电话</w:t>
            </w:r>
            <w:r>
              <w:rPr>
                <w:i/>
                <w:iCs/>
                <w:sz w:val="18"/>
                <w:szCs w:val="18"/>
                <w:highlight w:val="none"/>
                <w:u w:val="single"/>
              </w:rPr>
              <w:t xml:space="preserve">机</w:t>
            </w:r>
            <w:r>
              <w:rPr>
                <w:rFonts w:hint="eastAsia"/>
                <w:i/>
                <w:iCs/>
                <w:sz w:val="18"/>
                <w:szCs w:val="18"/>
                <w:highlight w:val="none"/>
                <w:u w:val="single"/>
              </w:rPr>
              <w:t xml:space="preserve">，DT1-DT7、DT12~13、DT16~17轿厢内需配置盲文按钮及嵌入式残疾人操纵箱(配盲文按钮，须配置带盲文残疾人无指纹处理的发纹不锈钢嵌入式防误触操作面板)</w:t>
            </w:r>
            <w:r>
              <w:rPr>
                <w:rFonts w:hint="eastAsia"/>
                <w:bCs/>
                <w:i/>
                <w:iCs/>
                <w:spacing w:val="-1"/>
                <w:sz w:val="18"/>
                <w:szCs w:val="18"/>
                <w:highlight w:val="none"/>
                <w:u w:val="single"/>
              </w:rPr>
              <w:t xml:space="preserve"> （供货前提供效果图及样本，效果图上需注明液晶尺寸及液晶样式供采购人确认）视频播放具备定时自动播放功能</w:t>
            </w:r>
            <w:r/>
          </w:p>
        </w:tc>
      </w:tr>
      <w:tr>
        <w:trPr>
          <w:jc w:val="center"/>
          <w:trHeight w:val="317"/>
        </w:trPr>
        <w:tc>
          <w:tcPr>
            <w:gridSpan w:val="2"/>
            <w:tcW w:w="2378" w:type="dxa"/>
            <w:textDirection w:val="lrTb"/>
            <w:noWrap/>
          </w:tcPr>
          <w:p>
            <w:pPr>
              <w:pStyle w:val="1042"/>
              <w:jc w:val="center"/>
              <w:spacing w:before="70" w:line="221" w:lineRule="auto"/>
              <w:rPr>
                <w:i/>
                <w:iCs/>
                <w:spacing w:val="-2"/>
                <w:sz w:val="21"/>
                <w:szCs w:val="21"/>
                <w:highlight w:val="none"/>
                <w:u w:val="single"/>
              </w:rPr>
            </w:pPr>
            <w:r>
              <w:rPr>
                <w:i/>
                <w:iCs/>
                <w:spacing w:val="-2"/>
                <w:sz w:val="21"/>
                <w:szCs w:val="21"/>
                <w:highlight w:val="none"/>
                <w:u w:val="single"/>
              </w:rPr>
              <w:t xml:space="preserve">宣传播放</w:t>
            </w:r>
            <w:r/>
          </w:p>
        </w:tc>
        <w:tc>
          <w:tcPr>
            <w:tcW w:w="8115" w:type="dxa"/>
            <w:textDirection w:val="lrTb"/>
            <w:noWrap/>
          </w:tcPr>
          <w:p>
            <w:pPr>
              <w:pStyle w:val="1042"/>
              <w:spacing w:before="71" w:line="219" w:lineRule="auto"/>
              <w:rPr>
                <w:i/>
                <w:iCs/>
                <w:spacing w:val="-1"/>
                <w:sz w:val="18"/>
                <w:szCs w:val="18"/>
                <w:highlight w:val="none"/>
                <w:u w:val="single"/>
              </w:rPr>
            </w:pPr>
            <w:r>
              <w:rPr>
                <w:i/>
                <w:iCs/>
                <w:spacing w:val="-1"/>
                <w:sz w:val="18"/>
                <w:szCs w:val="18"/>
                <w:highlight w:val="none"/>
                <w:u w:val="single"/>
              </w:rPr>
              <w:t xml:space="preserve">轿厢内配置内</w:t>
            </w:r>
            <w:r>
              <w:rPr>
                <w:rFonts w:hint="eastAsia"/>
                <w:i/>
                <w:iCs/>
                <w:spacing w:val="-1"/>
                <w:sz w:val="18"/>
                <w:szCs w:val="18"/>
                <w:highlight w:val="none"/>
                <w:u w:val="single"/>
              </w:rPr>
              <w:t xml:space="preserve">嵌入式液晶</w:t>
            </w:r>
            <w:r>
              <w:rPr>
                <w:rFonts w:hint="eastAsia"/>
                <w:bCs/>
                <w:i/>
                <w:iCs/>
                <w:spacing w:val="-1"/>
                <w:sz w:val="18"/>
                <w:szCs w:val="18"/>
                <w:highlight w:val="none"/>
                <w:u w:val="single"/>
              </w:rPr>
              <w:t xml:space="preserve">显示器24寸需具备U盘插卡播放院内宣传片、图片或视频功能,视频播放版本均兼容或兼容最新的视频文件，能播放音频（供货前</w:t>
            </w:r>
            <w:r>
              <w:rPr>
                <w:rFonts w:hint="eastAsia"/>
                <w:bCs/>
                <w:i/>
                <w:iCs/>
                <w:sz w:val="18"/>
                <w:szCs w:val="18"/>
                <w:highlight w:val="none"/>
                <w:u w:val="single"/>
              </w:rPr>
              <w:t xml:space="preserve">提供样本</w:t>
            </w:r>
            <w:r>
              <w:rPr>
                <w:rFonts w:hint="eastAsia"/>
                <w:bCs/>
                <w:i/>
                <w:iCs/>
                <w:spacing w:val="1"/>
                <w:sz w:val="18"/>
                <w:szCs w:val="18"/>
                <w:highlight w:val="none"/>
                <w:u w:val="single"/>
              </w:rPr>
              <w:t xml:space="preserve">供采购人确认</w:t>
            </w:r>
            <w:r>
              <w:rPr>
                <w:rFonts w:hint="eastAsia"/>
                <w:bCs/>
                <w:i/>
                <w:iCs/>
                <w:spacing w:val="-1"/>
                <w:sz w:val="18"/>
                <w:szCs w:val="18"/>
                <w:highlight w:val="none"/>
                <w:u w:val="single"/>
              </w:rPr>
              <w:t xml:space="preserve">）（DT8住院部9#电梯、DT9新行政楼(北)、DT14-DT15食堂梯及DT10-DT11手术货梯除外），视频播放具备定时自动播放功能</w:t>
            </w:r>
            <w:r/>
          </w:p>
        </w:tc>
      </w:tr>
      <w:tr>
        <w:trPr>
          <w:jc w:val="center"/>
          <w:trHeight w:val="317"/>
        </w:trPr>
        <w:tc>
          <w:tcPr>
            <w:gridSpan w:val="2"/>
            <w:tcW w:w="2378" w:type="dxa"/>
            <w:textDirection w:val="lrTb"/>
            <w:noWrap/>
          </w:tcPr>
          <w:p>
            <w:pPr>
              <w:pStyle w:val="1042"/>
              <w:jc w:val="center"/>
              <w:spacing w:before="70" w:line="222" w:lineRule="auto"/>
              <w:rPr>
                <w:i/>
                <w:sz w:val="21"/>
                <w:szCs w:val="21"/>
                <w:highlight w:val="none"/>
                <w:u w:val="single"/>
              </w:rPr>
            </w:pPr>
            <w:r>
              <w:rPr>
                <w:i/>
                <w:spacing w:val="-4"/>
                <w:sz w:val="21"/>
                <w:szCs w:val="21"/>
                <w:highlight w:val="none"/>
                <w:u w:val="single"/>
              </w:rPr>
              <w:t xml:space="preserve">地坎</w:t>
            </w:r>
            <w:r/>
          </w:p>
        </w:tc>
        <w:tc>
          <w:tcPr>
            <w:tcW w:w="8115" w:type="dxa"/>
            <w:textDirection w:val="lrTb"/>
            <w:noWrap/>
          </w:tcPr>
          <w:p>
            <w:pPr>
              <w:pStyle w:val="1042"/>
              <w:spacing w:before="71" w:line="219" w:lineRule="auto"/>
              <w:rPr>
                <w:i/>
                <w:sz w:val="18"/>
                <w:szCs w:val="18"/>
                <w:highlight w:val="none"/>
                <w:u w:val="single"/>
              </w:rPr>
            </w:pPr>
            <w:r>
              <w:rPr>
                <w:i/>
                <w:spacing w:val="-1"/>
                <w:sz w:val="18"/>
                <w:szCs w:val="18"/>
                <w:highlight w:val="none"/>
                <w:u w:val="single"/>
              </w:rPr>
              <w:t xml:space="preserve">硬质耐磨铝型材，便于更换。</w:t>
            </w:r>
            <w:r/>
          </w:p>
        </w:tc>
      </w:tr>
      <w:tr>
        <w:trPr>
          <w:jc w:val="center"/>
          <w:trHeight w:val="317"/>
        </w:trPr>
        <w:tc>
          <w:tcPr>
            <w:gridSpan w:val="2"/>
            <w:tcW w:w="2378" w:type="dxa"/>
            <w:textDirection w:val="lrTb"/>
            <w:noWrap/>
          </w:tcPr>
          <w:p>
            <w:pPr>
              <w:pStyle w:val="1042"/>
              <w:jc w:val="center"/>
              <w:spacing w:before="70" w:line="219" w:lineRule="auto"/>
              <w:rPr>
                <w:i/>
                <w:sz w:val="21"/>
                <w:szCs w:val="21"/>
                <w:highlight w:val="none"/>
                <w:u w:val="single"/>
              </w:rPr>
            </w:pPr>
            <w:r>
              <w:rPr>
                <w:i/>
                <w:spacing w:val="-6"/>
                <w:sz w:val="21"/>
                <w:szCs w:val="21"/>
                <w:highlight w:val="none"/>
                <w:u w:val="single"/>
              </w:rPr>
              <w:t xml:space="preserve">门洞口尺寸</w:t>
            </w:r>
            <w:r/>
          </w:p>
        </w:tc>
        <w:tc>
          <w:tcPr>
            <w:tcW w:w="8115" w:type="dxa"/>
            <w:textDirection w:val="lrTb"/>
            <w:noWrap/>
          </w:tcPr>
          <w:p>
            <w:pPr>
              <w:pStyle w:val="1042"/>
              <w:spacing w:before="70" w:line="220" w:lineRule="auto"/>
              <w:rPr>
                <w:i/>
                <w:sz w:val="18"/>
                <w:szCs w:val="18"/>
                <w:highlight w:val="none"/>
                <w:u w:val="single"/>
              </w:rPr>
            </w:pPr>
            <w:r>
              <w:rPr>
                <w:i/>
                <w:spacing w:val="-1"/>
                <w:sz w:val="18"/>
                <w:szCs w:val="18"/>
                <w:highlight w:val="none"/>
                <w:u w:val="single"/>
              </w:rPr>
              <w:t xml:space="preserve">符合国家规范标准要求。</w:t>
            </w:r>
            <w:r/>
          </w:p>
        </w:tc>
      </w:tr>
      <w:tr>
        <w:trPr>
          <w:jc w:val="center"/>
          <w:trHeight w:val="317"/>
        </w:trPr>
        <w:tc>
          <w:tcPr>
            <w:gridSpan w:val="2"/>
            <w:tcW w:w="2378" w:type="dxa"/>
            <w:textDirection w:val="lrTb"/>
            <w:noWrap/>
          </w:tcPr>
          <w:p>
            <w:pPr>
              <w:pStyle w:val="1042"/>
              <w:jc w:val="center"/>
              <w:spacing w:before="72" w:line="221" w:lineRule="auto"/>
              <w:rPr>
                <w:i/>
                <w:iCs/>
                <w:sz w:val="21"/>
                <w:szCs w:val="21"/>
                <w:highlight w:val="none"/>
                <w:u w:val="single"/>
              </w:rPr>
            </w:pPr>
            <w:r>
              <w:rPr>
                <w:i/>
                <w:iCs/>
                <w:spacing w:val="-14"/>
                <w:sz w:val="21"/>
                <w:szCs w:val="21"/>
                <w:highlight w:val="none"/>
                <w:u w:val="single"/>
              </w:rPr>
              <w:t xml:space="preserve">门套</w:t>
            </w:r>
            <w:r/>
          </w:p>
        </w:tc>
        <w:tc>
          <w:tcPr>
            <w:tcW w:w="8115" w:type="dxa"/>
            <w:textDirection w:val="lrTb"/>
            <w:noWrap/>
          </w:tcPr>
          <w:p>
            <w:pPr>
              <w:pStyle w:val="1042"/>
              <w:spacing w:before="72"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表面进行抗指纹处理的发纹不锈钢小门套（厚度≥1.5mm）</w:t>
            </w:r>
            <w:r/>
          </w:p>
        </w:tc>
      </w:tr>
      <w:tr>
        <w:trPr>
          <w:jc w:val="center"/>
          <w:trHeight w:val="317"/>
        </w:trPr>
        <w:tc>
          <w:tcPr>
            <w:gridSpan w:val="2"/>
            <w:tcW w:w="2378" w:type="dxa"/>
            <w:textDirection w:val="lrTb"/>
            <w:noWrap/>
          </w:tcPr>
          <w:p>
            <w:pPr>
              <w:pStyle w:val="1042"/>
              <w:jc w:val="center"/>
              <w:spacing w:before="72" w:line="220" w:lineRule="auto"/>
              <w:rPr>
                <w:i/>
                <w:iCs/>
                <w:sz w:val="21"/>
                <w:szCs w:val="21"/>
                <w:highlight w:val="none"/>
                <w:u w:val="single"/>
              </w:rPr>
            </w:pPr>
            <w:r>
              <w:rPr>
                <w:i/>
                <w:iCs/>
                <w:spacing w:val="4"/>
                <w:sz w:val="21"/>
                <w:szCs w:val="21"/>
                <w:highlight w:val="none"/>
                <w:u w:val="single"/>
              </w:rPr>
              <w:t xml:space="preserve">层（厅）门</w:t>
            </w:r>
            <w:r/>
          </w:p>
        </w:tc>
        <w:tc>
          <w:tcPr>
            <w:tcW w:w="8115" w:type="dxa"/>
            <w:textDirection w:val="lrTb"/>
            <w:noWrap/>
          </w:tcPr>
          <w:p>
            <w:pPr>
              <w:pStyle w:val="1042"/>
              <w:spacing w:before="72"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表面进行抗指纹处理的发纹不锈钢厅门（厚度≥1.5mm）</w:t>
            </w:r>
            <w:r/>
          </w:p>
        </w:tc>
      </w:tr>
      <w:tr>
        <w:trPr>
          <w:jc w:val="center"/>
          <w:trHeight w:val="317"/>
        </w:trPr>
        <w:tc>
          <w:tcPr>
            <w:gridSpan w:val="2"/>
            <w:tcW w:w="2378" w:type="dxa"/>
            <w:textDirection w:val="lrTb"/>
            <w:noWrap/>
          </w:tcPr>
          <w:p>
            <w:pPr>
              <w:pStyle w:val="1042"/>
              <w:jc w:val="center"/>
              <w:spacing w:before="71" w:line="221" w:lineRule="auto"/>
              <w:rPr>
                <w:i/>
                <w:sz w:val="21"/>
                <w:szCs w:val="21"/>
                <w:highlight w:val="none"/>
                <w:u w:val="single"/>
              </w:rPr>
            </w:pPr>
            <w:r>
              <w:rPr>
                <w:i/>
                <w:spacing w:val="-2"/>
                <w:sz w:val="21"/>
                <w:szCs w:val="21"/>
                <w:highlight w:val="none"/>
                <w:u w:val="single"/>
              </w:rPr>
              <w:t xml:space="preserve">锁梯开关</w:t>
            </w:r>
            <w:r/>
          </w:p>
        </w:tc>
        <w:tc>
          <w:tcPr>
            <w:tcW w:w="8115" w:type="dxa"/>
            <w:textDirection w:val="lrTb"/>
            <w:noWrap/>
          </w:tcPr>
          <w:p>
            <w:pPr>
              <w:pStyle w:val="1042"/>
              <w:spacing w:before="71" w:line="220" w:lineRule="auto"/>
              <w:rPr>
                <w:i/>
                <w:sz w:val="18"/>
                <w:szCs w:val="18"/>
                <w:highlight w:val="none"/>
                <w:u w:val="single"/>
              </w:rPr>
            </w:pPr>
            <w:r>
              <w:rPr>
                <w:i/>
                <w:spacing w:val="-2"/>
                <w:sz w:val="18"/>
                <w:szCs w:val="18"/>
                <w:highlight w:val="none"/>
                <w:u w:val="single"/>
              </w:rPr>
              <w:t xml:space="preserve">一层配置锁梯开关</w:t>
            </w:r>
            <w:r/>
          </w:p>
        </w:tc>
      </w:tr>
      <w:tr>
        <w:trPr>
          <w:jc w:val="center"/>
          <w:trHeight w:val="317"/>
        </w:trPr>
        <w:tc>
          <w:tcPr>
            <w:gridSpan w:val="2"/>
            <w:tcW w:w="2378" w:type="dxa"/>
            <w:textDirection w:val="lrTb"/>
            <w:noWrap/>
          </w:tcPr>
          <w:p>
            <w:pPr>
              <w:pStyle w:val="1042"/>
              <w:jc w:val="center"/>
              <w:spacing w:before="70" w:line="221" w:lineRule="auto"/>
              <w:rPr>
                <w:i/>
                <w:sz w:val="21"/>
                <w:szCs w:val="21"/>
                <w:highlight w:val="none"/>
                <w:u w:val="single"/>
              </w:rPr>
            </w:pPr>
            <w:r>
              <w:rPr>
                <w:i/>
                <w:spacing w:val="-2"/>
                <w:sz w:val="21"/>
                <w:szCs w:val="21"/>
                <w:highlight w:val="none"/>
                <w:u w:val="single"/>
              </w:rPr>
              <w:t xml:space="preserve">称重装置</w:t>
            </w:r>
            <w:r/>
          </w:p>
        </w:tc>
        <w:tc>
          <w:tcPr>
            <w:tcW w:w="8115" w:type="dxa"/>
            <w:textDirection w:val="lrTb"/>
            <w:noWrap/>
          </w:tcPr>
          <w:p>
            <w:pPr>
              <w:pStyle w:val="1042"/>
              <w:spacing w:before="70" w:line="221" w:lineRule="auto"/>
              <w:rPr>
                <w:i/>
                <w:sz w:val="18"/>
                <w:szCs w:val="18"/>
                <w:highlight w:val="none"/>
                <w:u w:val="single"/>
              </w:rPr>
            </w:pPr>
            <w:r>
              <w:rPr>
                <w:i/>
                <w:spacing w:val="-1"/>
                <w:sz w:val="18"/>
                <w:szCs w:val="18"/>
                <w:highlight w:val="none"/>
                <w:u w:val="single"/>
              </w:rPr>
              <w:t xml:space="preserve">有超重显示或提示。</w:t>
            </w:r>
            <w:r/>
          </w:p>
        </w:tc>
      </w:tr>
      <w:tr>
        <w:trPr>
          <w:jc w:val="center"/>
          <w:trHeight w:val="317"/>
        </w:trPr>
        <w:tc>
          <w:tcPr>
            <w:gridSpan w:val="2"/>
            <w:tcW w:w="2378" w:type="dxa"/>
            <w:textDirection w:val="lrTb"/>
            <w:noWrap/>
          </w:tcPr>
          <w:p>
            <w:pPr>
              <w:pStyle w:val="993"/>
              <w:ind w:firstLine="0"/>
              <w:jc w:val="center"/>
              <w:rPr>
                <w:bCs/>
                <w:i/>
                <w:sz w:val="21"/>
                <w:szCs w:val="21"/>
                <w:highlight w:val="none"/>
                <w:u w:val="single"/>
              </w:rPr>
            </w:pPr>
            <w:r>
              <w:rPr>
                <w:rFonts w:hint="eastAsia" w:cs="宋体"/>
                <w:i/>
                <w:sz w:val="21"/>
                <w:szCs w:val="21"/>
                <w:highlight w:val="none"/>
                <w:u w:val="single"/>
              </w:rPr>
              <w:t xml:space="preserve">对重块材料</w:t>
            </w:r>
            <w:r/>
          </w:p>
        </w:tc>
        <w:tc>
          <w:tcPr>
            <w:tcW w:w="8115" w:type="dxa"/>
            <w:textDirection w:val="lrTb"/>
            <w:noWrap/>
          </w:tcPr>
          <w:p>
            <w:pPr>
              <w:pStyle w:val="993"/>
              <w:ind w:firstLine="0"/>
              <w:rPr>
                <w:rFonts w:cs="宋体"/>
                <w:i/>
                <w:color w:val="000000"/>
                <w:sz w:val="21"/>
                <w:highlight w:val="none"/>
                <w:u w:val="single"/>
              </w:rPr>
            </w:pPr>
            <w:r>
              <w:rPr>
                <w:rFonts w:hint="eastAsia" w:cs="宋体"/>
                <w:i/>
                <w:sz w:val="21"/>
                <w:highlight w:val="none"/>
                <w:u w:val="single"/>
              </w:rPr>
              <w:t xml:space="preserve">铸铁</w:t>
            </w:r>
            <w:r/>
          </w:p>
        </w:tc>
      </w:tr>
      <w:tr>
        <w:trPr>
          <w:jc w:val="center"/>
          <w:trHeight w:val="317"/>
        </w:trPr>
        <w:tc>
          <w:tcPr>
            <w:gridSpan w:val="2"/>
            <w:tcW w:w="2378" w:type="dxa"/>
            <w:textDirection w:val="lrTb"/>
            <w:noWrap/>
          </w:tcPr>
          <w:p>
            <w:pPr>
              <w:pStyle w:val="993"/>
              <w:ind w:firstLine="0"/>
              <w:jc w:val="center"/>
              <w:rPr>
                <w:bCs/>
                <w:i/>
                <w:sz w:val="21"/>
                <w:szCs w:val="21"/>
                <w:highlight w:val="none"/>
                <w:u w:val="single"/>
              </w:rPr>
            </w:pPr>
            <w:r>
              <w:rPr>
                <w:rFonts w:hint="eastAsia" w:cs="宋体"/>
                <w:i/>
                <w:sz w:val="21"/>
                <w:szCs w:val="21"/>
                <w:highlight w:val="none"/>
                <w:u w:val="single"/>
              </w:rPr>
              <w:t xml:space="preserve">反绳轮材料</w:t>
            </w:r>
            <w:r/>
          </w:p>
        </w:tc>
        <w:tc>
          <w:tcPr>
            <w:tcW w:w="8115" w:type="dxa"/>
            <w:textDirection w:val="lrTb"/>
            <w:noWrap/>
          </w:tcPr>
          <w:p>
            <w:pPr>
              <w:pStyle w:val="993"/>
              <w:ind w:firstLine="0"/>
              <w:rPr>
                <w:rFonts w:cs="宋体"/>
                <w:i/>
                <w:color w:val="000000"/>
                <w:sz w:val="21"/>
                <w:highlight w:val="none"/>
                <w:u w:val="single"/>
              </w:rPr>
            </w:pPr>
            <w:r>
              <w:rPr>
                <w:rFonts w:hint="eastAsia" w:cs="宋体"/>
                <w:i/>
                <w:sz w:val="21"/>
                <w:highlight w:val="none"/>
                <w:u w:val="single"/>
              </w:rPr>
              <w:t xml:space="preserve">金属</w:t>
            </w:r>
            <w:r/>
          </w:p>
        </w:tc>
      </w:tr>
      <w:tr>
        <w:trPr>
          <w:jc w:val="center"/>
          <w:trHeight w:val="317"/>
        </w:trPr>
        <w:tc>
          <w:tcPr>
            <w:gridSpan w:val="3"/>
            <w:tcW w:w="10493" w:type="dxa"/>
            <w:textDirection w:val="lrTb"/>
            <w:noWrap/>
          </w:tcPr>
          <w:p>
            <w:pPr>
              <w:rPr>
                <w:b/>
                <w:highlight w:val="none"/>
              </w:rPr>
            </w:pPr>
            <w:r>
              <w:rPr>
                <w:b/>
                <w:highlight w:val="none"/>
              </w:rPr>
              <w:t xml:space="preserve">特殊参数要求</w:t>
            </w:r>
            <w:r/>
          </w:p>
        </w:tc>
      </w:tr>
      <w:tr>
        <w:trPr>
          <w:jc w:val="center"/>
          <w:trHeight w:val="321"/>
        </w:trPr>
        <w:tc>
          <w:tcPr>
            <w:gridSpan w:val="2"/>
            <w:tcW w:w="2378" w:type="dxa"/>
            <w:textDirection w:val="lrTb"/>
            <w:noWrap/>
          </w:tcPr>
          <w:p>
            <w:pPr>
              <w:pStyle w:val="993"/>
              <w:ind w:firstLine="0"/>
              <w:jc w:val="center"/>
              <w:rPr>
                <w:sz w:val="21"/>
                <w:szCs w:val="21"/>
                <w:highlight w:val="none"/>
              </w:rPr>
            </w:pPr>
            <w:r>
              <w:rPr>
                <w:rFonts w:hint="eastAsia"/>
                <w:bCs/>
                <w:sz w:val="21"/>
                <w:szCs w:val="21"/>
                <w:highlight w:val="none"/>
              </w:rPr>
              <w:t xml:space="preserve">▲</w:t>
            </w:r>
            <w:r>
              <w:rPr>
                <w:rFonts w:hint="eastAsia" w:cs="宋体"/>
                <w:bCs/>
                <w:sz w:val="21"/>
                <w:szCs w:val="21"/>
                <w:highlight w:val="none"/>
              </w:rPr>
              <w:t xml:space="preserve">曳引机制动器</w:t>
            </w:r>
            <w:r/>
          </w:p>
        </w:tc>
        <w:tc>
          <w:tcPr>
            <w:tcW w:w="8115" w:type="dxa"/>
            <w:textDirection w:val="lrTb"/>
            <w:noWrap/>
          </w:tcPr>
          <w:p>
            <w:pPr>
              <w:rPr>
                <w:rFonts w:ascii="宋体" w:hAnsi="宋体" w:cs="宋体"/>
                <w:sz w:val="18"/>
                <w:szCs w:val="18"/>
                <w:highlight w:val="none"/>
              </w:rPr>
            </w:pPr>
            <w:r>
              <w:rPr>
                <w:rFonts w:hint="eastAsia" w:ascii="宋体" w:hAnsi="宋体" w:cs="宋体"/>
                <w:sz w:val="18"/>
                <w:szCs w:val="18"/>
                <w:highlight w:val="none"/>
              </w:rPr>
              <w:t xml:space="preserve">要求原厂原品牌同时运行寿命不低于1800万次（提供省级特种设备检测研究院或国家电梯质量监督检验中心或者具有CMA标识的第三方检测机构出具的检测报告扫描件或复印件）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93"/>
              <w:ind w:firstLine="0"/>
              <w:jc w:val="center"/>
              <w:rPr>
                <w:bCs/>
                <w:sz w:val="21"/>
                <w:szCs w:val="21"/>
                <w:highlight w:val="none"/>
              </w:rPr>
            </w:pPr>
            <w:r>
              <w:rPr>
                <w:rFonts w:hint="eastAsia"/>
                <w:bCs/>
                <w:sz w:val="21"/>
                <w:szCs w:val="21"/>
                <w:highlight w:val="none"/>
              </w:rPr>
              <w:t xml:space="preserve">▲</w:t>
            </w:r>
            <w:r>
              <w:rPr>
                <w:rFonts w:hint="eastAsia" w:cs="宋体"/>
                <w:sz w:val="21"/>
                <w:szCs w:val="21"/>
                <w:highlight w:val="none"/>
                <w:lang w:val="zh-CN"/>
              </w:rPr>
              <w:t xml:space="preserve">门机系统装置</w:t>
            </w:r>
            <w:r/>
          </w:p>
        </w:tc>
        <w:tc>
          <w:tcPr>
            <w:tcW w:w="8115" w:type="dxa"/>
            <w:textDirection w:val="lrTb"/>
            <w:noWrap/>
          </w:tcPr>
          <w:p>
            <w:pPr>
              <w:pStyle w:val="1042"/>
              <w:spacing w:before="70" w:line="221" w:lineRule="auto"/>
              <w:rPr>
                <w:sz w:val="18"/>
                <w:szCs w:val="18"/>
                <w:highlight w:val="none"/>
              </w:rPr>
            </w:pPr>
            <w:r>
              <w:rPr>
                <w:rFonts w:hint="eastAsia"/>
                <w:sz w:val="18"/>
                <w:szCs w:val="18"/>
                <w:highlight w:val="none"/>
              </w:rPr>
              <w:t xml:space="preserve">原厂原品牌同时</w:t>
            </w:r>
            <w:r>
              <w:rPr>
                <w:sz w:val="18"/>
                <w:szCs w:val="18"/>
                <w:highlight w:val="none"/>
              </w:rPr>
              <w:t xml:space="preserve">电梯门开关在正常工作条件下：能正常运行1500（含）万次及以上</w:t>
            </w:r>
            <w:r>
              <w:rPr>
                <w:rFonts w:hint="eastAsia"/>
                <w:sz w:val="18"/>
                <w:szCs w:val="18"/>
                <w:highlight w:val="none"/>
              </w:rPr>
              <w:t xml:space="preserve">（提供省级特种设备检测研究院或国家电梯质量监督检验中心或者具有CMA标识的第三方检测机构出具的检测报告扫描件或复印件）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93"/>
              <w:ind w:firstLine="0"/>
              <w:jc w:val="center"/>
              <w:rPr>
                <w:sz w:val="21"/>
                <w:szCs w:val="21"/>
                <w:highlight w:val="none"/>
              </w:rPr>
            </w:pPr>
            <w:r>
              <w:rPr>
                <w:rFonts w:hint="eastAsia"/>
                <w:bCs/>
                <w:sz w:val="21"/>
                <w:szCs w:val="21"/>
                <w:highlight w:val="none"/>
              </w:rPr>
              <w:t xml:space="preserve">▲</w:t>
            </w:r>
            <w:r>
              <w:rPr>
                <w:rFonts w:hint="eastAsia" w:cs="宋体"/>
                <w:sz w:val="21"/>
                <w:szCs w:val="21"/>
                <w:highlight w:val="none"/>
                <w:lang w:val="zh-CN"/>
              </w:rPr>
              <w:t xml:space="preserve">终端（S3）开关</w:t>
            </w:r>
            <w:r/>
          </w:p>
        </w:tc>
        <w:tc>
          <w:tcPr>
            <w:tcW w:w="8115" w:type="dxa"/>
            <w:textDirection w:val="lrTb"/>
            <w:noWrap/>
          </w:tcPr>
          <w:p>
            <w:pPr>
              <w:pStyle w:val="993"/>
              <w:ind w:firstLine="0"/>
              <w:rPr>
                <w:rFonts w:cs="宋体"/>
                <w:sz w:val="18"/>
                <w:szCs w:val="18"/>
                <w:highlight w:val="none"/>
              </w:rPr>
            </w:pPr>
            <w:r>
              <w:rPr>
                <w:rFonts w:hint="eastAsia" w:cs="宋体"/>
                <w:sz w:val="18"/>
                <w:szCs w:val="18"/>
                <w:highlight w:val="none"/>
              </w:rPr>
              <w:t xml:space="preserve">原厂原品牌，终端（s3）开关动作寿命达到1500万次及以上（提供省级特种设备检测研究院或国家电梯质量监督检验中心或者具有CMA标识的第三方检测机构出具的检测报告扫描件或复印件）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93"/>
              <w:ind w:firstLine="0"/>
              <w:jc w:val="center"/>
              <w:rPr>
                <w:sz w:val="21"/>
                <w:szCs w:val="21"/>
                <w:highlight w:val="none"/>
              </w:rPr>
            </w:pPr>
            <w:r>
              <w:rPr>
                <w:rFonts w:hint="eastAsia"/>
                <w:bCs/>
                <w:sz w:val="21"/>
                <w:szCs w:val="21"/>
                <w:highlight w:val="none"/>
              </w:rPr>
              <w:t xml:space="preserve">▲</w:t>
            </w:r>
            <w:r>
              <w:rPr>
                <w:rFonts w:hint="eastAsia" w:cs="宋体"/>
                <w:sz w:val="21"/>
                <w:szCs w:val="21"/>
                <w:highlight w:val="none"/>
                <w:lang w:val="zh-CN"/>
              </w:rPr>
              <w:t xml:space="preserve">门电机</w:t>
            </w:r>
            <w:r/>
          </w:p>
        </w:tc>
        <w:tc>
          <w:tcPr>
            <w:tcW w:w="8115" w:type="dxa"/>
            <w:textDirection w:val="lrTb"/>
            <w:noWrap/>
          </w:tcPr>
          <w:p>
            <w:pPr>
              <w:pStyle w:val="993"/>
              <w:ind w:firstLine="0"/>
              <w:rPr>
                <w:rFonts w:cs="宋体"/>
                <w:sz w:val="18"/>
                <w:szCs w:val="18"/>
                <w:highlight w:val="none"/>
              </w:rPr>
            </w:pPr>
            <w:r>
              <w:rPr>
                <w:rFonts w:hint="eastAsia" w:cs="宋体"/>
                <w:sz w:val="18"/>
                <w:szCs w:val="18"/>
                <w:highlight w:val="none"/>
              </w:rPr>
              <w:t xml:space="preserve">原厂原品牌同时①采用永磁同步门电动机；②与电梯为同一品牌；③外壳防护等级IP65。（提供具有CMA标识的第三方检测机构出具的检测报告扫描件或复印件）</w:t>
            </w:r>
            <w:r/>
          </w:p>
        </w:tc>
      </w:tr>
      <w:tr>
        <w:trPr>
          <w:jc w:val="center"/>
          <w:trHeight w:val="321"/>
        </w:trPr>
        <w:tc>
          <w:tcPr>
            <w:gridSpan w:val="2"/>
            <w:tcW w:w="2378" w:type="dxa"/>
            <w:textDirection w:val="lrTb"/>
            <w:noWrap/>
          </w:tcPr>
          <w:p>
            <w:pPr>
              <w:pStyle w:val="993"/>
              <w:ind w:firstLine="0"/>
              <w:jc w:val="center"/>
              <w:rPr>
                <w:bCs/>
                <w:sz w:val="21"/>
                <w:szCs w:val="21"/>
                <w:highlight w:val="none"/>
              </w:rPr>
            </w:pPr>
            <w:r>
              <w:rPr>
                <w:rFonts w:hint="eastAsia"/>
                <w:bCs/>
                <w:sz w:val="21"/>
                <w:szCs w:val="21"/>
                <w:highlight w:val="none"/>
              </w:rPr>
              <w:t xml:space="preserve">▲按钮</w:t>
            </w:r>
            <w:r/>
          </w:p>
        </w:tc>
        <w:tc>
          <w:tcPr>
            <w:tcW w:w="8115" w:type="dxa"/>
            <w:textDirection w:val="lrTb"/>
            <w:noWrap/>
          </w:tcPr>
          <w:p>
            <w:pPr>
              <w:pStyle w:val="993"/>
              <w:ind w:firstLine="0"/>
              <w:rPr>
                <w:rFonts w:cs="宋体"/>
                <w:sz w:val="18"/>
                <w:szCs w:val="18"/>
                <w:highlight w:val="none"/>
              </w:rPr>
            </w:pPr>
            <w:r>
              <w:rPr>
                <w:rFonts w:hint="eastAsia" w:cs="宋体"/>
                <w:sz w:val="18"/>
                <w:szCs w:val="18"/>
                <w:highlight w:val="none"/>
              </w:rPr>
              <w:t xml:space="preserve">按钮原厂原品牌，使用动作寿命达到1500万次及以上（提供省级特种设备检测研究院或国家电梯质量监督检验中心或者具有CMA标识的第三方检测机构出具的检测报告扫描件或复印件）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93"/>
              <w:ind w:firstLine="0"/>
              <w:jc w:val="center"/>
              <w:rPr>
                <w:rFonts w:cs="宋体"/>
                <w:sz w:val="18"/>
                <w:szCs w:val="18"/>
                <w:highlight w:val="none"/>
              </w:rPr>
            </w:pPr>
            <w:r>
              <w:rPr>
                <w:rFonts w:hint="eastAsia"/>
                <w:bCs/>
                <w:sz w:val="21"/>
                <w:szCs w:val="21"/>
                <w:highlight w:val="none"/>
              </w:rPr>
              <w:t xml:space="preserve">▲控制柜</w:t>
            </w:r>
            <w:r/>
          </w:p>
        </w:tc>
        <w:tc>
          <w:tcPr>
            <w:tcW w:w="8115" w:type="dxa"/>
            <w:textDirection w:val="lrTb"/>
            <w:noWrap/>
          </w:tcPr>
          <w:p>
            <w:pPr>
              <w:rPr>
                <w:rFonts w:ascii="宋体" w:hAnsi="宋体" w:cs="宋体"/>
                <w:sz w:val="18"/>
                <w:szCs w:val="18"/>
                <w:highlight w:val="none"/>
              </w:rPr>
            </w:pPr>
            <w:r>
              <w:rPr>
                <w:rFonts w:hint="eastAsia" w:ascii="宋体" w:hAnsi="宋体" w:cs="宋体"/>
                <w:sz w:val="18"/>
                <w:szCs w:val="18"/>
                <w:highlight w:val="none"/>
              </w:rPr>
              <w:t xml:space="preserve">投标品牌电梯产品的控制柜，雷击浪涌抗扰度测试，试验等级需≥±20kV。</w:t>
            </w:r>
            <w:r/>
          </w:p>
          <w:p>
            <w:pPr>
              <w:pStyle w:val="993"/>
              <w:ind w:firstLine="0"/>
              <w:rPr>
                <w:rFonts w:cs="宋体"/>
                <w:sz w:val="18"/>
                <w:szCs w:val="18"/>
                <w:highlight w:val="none"/>
              </w:rPr>
            </w:pPr>
            <w:r>
              <w:rPr>
                <w:rFonts w:hint="eastAsia" w:cs="宋体"/>
                <w:sz w:val="18"/>
                <w:szCs w:val="18"/>
                <w:highlight w:val="none"/>
              </w:rPr>
              <w:t xml:space="preserve">（提供省级特种设备检测研究院或国家电梯质量监督检验中心或者具有CMA标识的第三方机构出具的检验检测报告，复印件加盖供应商公章。）</w:t>
            </w:r>
            <w:r/>
          </w:p>
        </w:tc>
      </w:tr>
      <w:tr>
        <w:trPr>
          <w:jc w:val="center"/>
          <w:trHeight w:val="321"/>
        </w:trPr>
        <w:tc>
          <w:tcPr>
            <w:gridSpan w:val="2"/>
            <w:tcW w:w="2378" w:type="dxa"/>
            <w:textDirection w:val="lrTb"/>
            <w:noWrap/>
          </w:tcPr>
          <w:p>
            <w:pPr>
              <w:pStyle w:val="993"/>
              <w:ind w:firstLine="0"/>
              <w:jc w:val="center"/>
              <w:rPr>
                <w:rFonts w:cs="宋体"/>
                <w:sz w:val="18"/>
                <w:szCs w:val="18"/>
                <w:highlight w:val="none"/>
              </w:rPr>
            </w:pPr>
            <w:r>
              <w:rPr>
                <w:rFonts w:hint="eastAsia"/>
                <w:bCs/>
                <w:sz w:val="21"/>
                <w:szCs w:val="21"/>
                <w:highlight w:val="none"/>
              </w:rPr>
              <w:t xml:space="preserve">▲门机噪音</w:t>
            </w:r>
            <w:r/>
          </w:p>
        </w:tc>
        <w:tc>
          <w:tcPr>
            <w:tcW w:w="8115" w:type="dxa"/>
            <w:textDirection w:val="lrTb"/>
            <w:noWrap/>
          </w:tcPr>
          <w:p>
            <w:pPr>
              <w:pStyle w:val="993"/>
              <w:ind w:firstLine="0"/>
              <w:rPr>
                <w:rFonts w:cs="宋体"/>
                <w:sz w:val="18"/>
                <w:szCs w:val="18"/>
                <w:highlight w:val="none"/>
              </w:rPr>
            </w:pPr>
            <w:r>
              <w:rPr>
                <w:rFonts w:hint="eastAsia" w:cs="宋体"/>
                <w:sz w:val="18"/>
                <w:szCs w:val="18"/>
                <w:highlight w:val="none"/>
              </w:rPr>
              <w:t xml:space="preserve">电梯永磁同步门机系统：背景噪音、开门噪音、关门噪音均不大于50dB（提供省级特种设备检测研究院或国家电梯质量监督检验中心或者具有CMA标识的第三方检测机构出具的检测报告扫描件或复印件）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93"/>
              <w:ind w:firstLine="0"/>
              <w:jc w:val="center"/>
              <w:rPr>
                <w:bCs/>
                <w:sz w:val="21"/>
                <w:szCs w:val="21"/>
                <w:highlight w:val="none"/>
              </w:rPr>
            </w:pPr>
            <w:r>
              <w:rPr>
                <w:rFonts w:hint="eastAsia"/>
                <w:bCs/>
                <w:sz w:val="21"/>
                <w:szCs w:val="21"/>
                <w:highlight w:val="none"/>
              </w:rPr>
              <w:t xml:space="preserve">▲光幕</w:t>
            </w:r>
            <w:r/>
          </w:p>
        </w:tc>
        <w:tc>
          <w:tcPr>
            <w:tcW w:w="8115" w:type="dxa"/>
            <w:textDirection w:val="lrTb"/>
            <w:noWrap/>
          </w:tcPr>
          <w:p>
            <w:pPr>
              <w:pStyle w:val="993"/>
              <w:ind w:firstLine="0"/>
              <w:rPr>
                <w:rFonts w:cs="宋体"/>
                <w:sz w:val="18"/>
                <w:szCs w:val="18"/>
                <w:highlight w:val="none"/>
              </w:rPr>
            </w:pPr>
            <w:r>
              <w:rPr>
                <w:rFonts w:hint="eastAsia" w:cs="宋体"/>
                <w:sz w:val="18"/>
                <w:szCs w:val="18"/>
                <w:highlight w:val="none"/>
              </w:rPr>
              <w:t xml:space="preserve">垂直梯（DT10、DT11除外）的光幕为原厂原品牌且满足①光幕光束数大于200束且防护等级达IP65；②探测距离0mm-3000mm及以上，③发射接收管数目不小于45对。（提供省级特种设备检测研究院或国家电梯质量监督检验中心或具有</w:t>
            </w:r>
            <w:r>
              <w:rPr>
                <w:rFonts w:cs="宋体"/>
                <w:sz w:val="18"/>
                <w:szCs w:val="18"/>
                <w:highlight w:val="none"/>
              </w:rPr>
              <w:t xml:space="preserve">CMA</w:t>
            </w:r>
            <w:r>
              <w:rPr>
                <w:rFonts w:hint="eastAsia" w:cs="宋体"/>
                <w:sz w:val="18"/>
                <w:szCs w:val="18"/>
                <w:highlight w:val="none"/>
              </w:rPr>
              <w:t xml:space="preserve">标识的第三方检测机构出具的光幕检测报告的扫描件）</w:t>
            </w:r>
            <w:r/>
          </w:p>
        </w:tc>
      </w:tr>
      <w:tr>
        <w:trPr>
          <w:jc w:val="center"/>
          <w:trHeight w:val="321"/>
        </w:trPr>
        <w:tc>
          <w:tcPr>
            <w:gridSpan w:val="3"/>
            <w:tcW w:w="10493" w:type="dxa"/>
            <w:textDirection w:val="lrTb"/>
            <w:noWrap/>
          </w:tcPr>
          <w:p>
            <w:pPr>
              <w:pStyle w:val="993"/>
              <w:ind w:firstLine="0"/>
              <w:rPr>
                <w:rFonts w:cs="宋体"/>
                <w:sz w:val="18"/>
                <w:szCs w:val="18"/>
                <w:highlight w:val="none"/>
              </w:rPr>
            </w:pPr>
            <w:r>
              <w:rPr>
                <w:rFonts w:hint="eastAsia" w:cs="宋体"/>
                <w:i/>
                <w:spacing w:val="-2"/>
                <w:sz w:val="18"/>
                <w:szCs w:val="18"/>
                <w:highlight w:val="none"/>
                <w:u w:val="single"/>
              </w:rPr>
              <w:t xml:space="preserve">DT10-DT11杂物梯要求:轿厢及厅门套为发纹不锈钢</w:t>
            </w:r>
            <w:r>
              <w:rPr>
                <w:rFonts w:cs="宋体"/>
                <w:i/>
                <w:spacing w:val="-2"/>
                <w:sz w:val="18"/>
                <w:szCs w:val="18"/>
                <w:highlight w:val="none"/>
                <w:u w:val="single"/>
              </w:rPr>
              <w:t xml:space="preserve">材质 304</w:t>
            </w:r>
            <w:r>
              <w:rPr>
                <w:rFonts w:hint="eastAsia" w:cs="宋体"/>
                <w:i/>
                <w:spacing w:val="-2"/>
                <w:sz w:val="18"/>
                <w:szCs w:val="18"/>
                <w:highlight w:val="none"/>
                <w:u w:val="single"/>
              </w:rPr>
              <w:t xml:space="preserve">（厚度≥1.2mm），不需液晶显示器，地面防滑不锈钢地面</w:t>
            </w:r>
            <w:r>
              <w:rPr>
                <w:rFonts w:cs="宋体"/>
                <w:i/>
                <w:spacing w:val="-2"/>
                <w:sz w:val="18"/>
                <w:szCs w:val="18"/>
                <w:highlight w:val="none"/>
                <w:u w:val="single"/>
              </w:rPr>
              <w:t xml:space="preserve">材质304</w:t>
            </w:r>
            <w:r>
              <w:rPr>
                <w:rFonts w:hint="eastAsia" w:cs="宋体"/>
                <w:i/>
                <w:spacing w:val="-2"/>
                <w:sz w:val="18"/>
                <w:szCs w:val="18"/>
                <w:highlight w:val="none"/>
                <w:u w:val="single"/>
              </w:rPr>
              <w:t xml:space="preserve">（厚度≥1.5mm）;DT14-DT15食堂梯：地面防滑不锈钢地面</w:t>
            </w:r>
            <w:r>
              <w:rPr>
                <w:rFonts w:cs="宋体"/>
                <w:i/>
                <w:spacing w:val="-2"/>
                <w:sz w:val="18"/>
                <w:szCs w:val="18"/>
                <w:highlight w:val="none"/>
                <w:u w:val="single"/>
              </w:rPr>
              <w:t xml:space="preserve">材质304</w:t>
            </w:r>
            <w:r>
              <w:rPr>
                <w:rFonts w:hint="eastAsia" w:cs="宋体"/>
                <w:i/>
                <w:spacing w:val="-2"/>
                <w:sz w:val="18"/>
                <w:szCs w:val="18"/>
                <w:highlight w:val="none"/>
                <w:u w:val="single"/>
              </w:rPr>
              <w:t xml:space="preserve">（厚度≥1.5mm）；DT10、DT11无需响应上述特殊参数要求。</w:t>
            </w:r>
            <w:r/>
          </w:p>
        </w:tc>
      </w:tr>
      <w:tr>
        <w:trPr>
          <w:jc w:val="center"/>
          <w:trHeight w:val="321"/>
        </w:trPr>
        <w:tc>
          <w:tcPr>
            <w:gridSpan w:val="3"/>
            <w:tcW w:w="10493" w:type="dxa"/>
            <w:textDirection w:val="lrTb"/>
            <w:noWrap/>
          </w:tcPr>
          <w:p>
            <w:pPr>
              <w:pStyle w:val="1042"/>
              <w:spacing w:before="70" w:line="221" w:lineRule="auto"/>
              <w:rPr>
                <w:b/>
                <w:bCs/>
                <w:spacing w:val="-2"/>
                <w:sz w:val="18"/>
                <w:szCs w:val="18"/>
                <w:highlight w:val="none"/>
              </w:rPr>
            </w:pPr>
            <w:r>
              <w:rPr>
                <w:rFonts w:hint="eastAsia"/>
                <w:b/>
                <w:bCs/>
                <w:spacing w:val="-2"/>
                <w:sz w:val="21"/>
                <w:szCs w:val="21"/>
                <w:highlight w:val="none"/>
              </w:rPr>
              <w:t xml:space="preserve">扶梯（D18-D19）技术参数要求</w:t>
            </w:r>
            <w:r/>
          </w:p>
        </w:tc>
      </w:tr>
      <w:tr>
        <w:trPr>
          <w:jc w:val="center"/>
          <w:trHeight w:val="321"/>
        </w:trPr>
        <w:tc>
          <w:tcPr>
            <w:gridSpan w:val="3"/>
            <w:tcW w:w="10493" w:type="dxa"/>
            <w:textDirection w:val="lrTb"/>
            <w:noWrap/>
          </w:tcPr>
          <w:p>
            <w:pPr>
              <w:pStyle w:val="1042"/>
              <w:spacing w:before="70" w:line="221" w:lineRule="auto"/>
              <w:rPr>
                <w:b/>
                <w:bCs/>
                <w:spacing w:val="-2"/>
                <w:sz w:val="21"/>
                <w:szCs w:val="21"/>
                <w:highlight w:val="none"/>
                <w:u w:val="single"/>
              </w:rPr>
            </w:pPr>
            <w:r>
              <w:rPr>
                <w:rFonts w:hint="eastAsia"/>
                <w:color w:val="000000"/>
                <w:sz w:val="21"/>
                <w:szCs w:val="21"/>
                <w:highlight w:val="none"/>
                <w:u w:val="single"/>
              </w:rPr>
              <w:t xml:space="preserve">★</w:t>
            </w:r>
            <w:r>
              <w:rPr>
                <w:b/>
                <w:i/>
                <w:spacing w:val="-8"/>
                <w:sz w:val="21"/>
                <w:szCs w:val="21"/>
                <w:highlight w:val="none"/>
                <w:u w:val="single"/>
              </w:rPr>
              <w:t xml:space="preserve">基本技术参数要求</w:t>
            </w:r>
            <w:r/>
          </w:p>
        </w:tc>
      </w:tr>
      <w:tr>
        <w:trPr>
          <w:jc w:val="center"/>
          <w:trHeight w:val="321"/>
        </w:trPr>
        <w:tc>
          <w:tcPr>
            <w:gridSpan w:val="2"/>
            <w:tcW w:w="2378" w:type="dxa"/>
            <w:textDirection w:val="lrTb"/>
            <w:noWrap/>
          </w:tcPr>
          <w:p>
            <w:pPr>
              <w:pStyle w:val="1042"/>
              <w:jc w:val="center"/>
              <w:spacing w:before="70" w:line="221" w:lineRule="auto"/>
              <w:rPr>
                <w:color w:val="000000"/>
                <w:sz w:val="21"/>
                <w:szCs w:val="21"/>
                <w:highlight w:val="none"/>
              </w:rPr>
            </w:pPr>
            <w:r>
              <w:rPr>
                <w:rFonts w:hint="eastAsia"/>
                <w:color w:val="000000"/>
                <w:sz w:val="21"/>
                <w:szCs w:val="21"/>
                <w:highlight w:val="none"/>
              </w:rPr>
              <w:t xml:space="preserve">数量</w:t>
            </w:r>
            <w:r/>
          </w:p>
        </w:tc>
        <w:tc>
          <w:tcPr>
            <w:tcW w:w="8115" w:type="dxa"/>
            <w:textDirection w:val="lrTb"/>
            <w:noWrap/>
          </w:tcPr>
          <w:p>
            <w:pPr>
              <w:pStyle w:val="1042"/>
              <w:jc w:val="left"/>
              <w:spacing w:before="70" w:line="221" w:lineRule="auto"/>
              <w:rPr>
                <w:i/>
                <w:iCs/>
                <w:spacing w:val="-1"/>
                <w:sz w:val="18"/>
                <w:szCs w:val="18"/>
                <w:highlight w:val="none"/>
                <w:u w:val="single"/>
              </w:rPr>
            </w:pPr>
            <w:r>
              <w:rPr>
                <w:rFonts w:hint="eastAsia"/>
                <w:i/>
                <w:iCs/>
                <w:spacing w:val="-1"/>
                <w:sz w:val="18"/>
                <w:szCs w:val="18"/>
                <w:highlight w:val="none"/>
                <w:u w:val="single"/>
              </w:rPr>
              <w:t xml:space="preserve">2台</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额定速度</w:t>
            </w:r>
            <w:r/>
          </w:p>
        </w:tc>
        <w:tc>
          <w:tcPr>
            <w:tcW w:w="8115" w:type="dxa"/>
            <w:textDirection w:val="lrTb"/>
            <w:noWrap/>
          </w:tcPr>
          <w:p>
            <w:pPr>
              <w:pStyle w:val="1042"/>
              <w:spacing w:before="70" w:line="221" w:lineRule="auto"/>
              <w:rPr>
                <w:i/>
                <w:iCs/>
                <w:spacing w:val="-2"/>
                <w:sz w:val="21"/>
                <w:szCs w:val="21"/>
                <w:highlight w:val="none"/>
                <w:u w:val="single"/>
              </w:rPr>
            </w:pPr>
            <w:r>
              <w:rPr>
                <w:rFonts w:hint="eastAsia"/>
                <w:i/>
                <w:iCs/>
                <w:spacing w:val="-2"/>
                <w:sz w:val="21"/>
                <w:szCs w:val="21"/>
                <w:highlight w:val="none"/>
                <w:u w:val="single"/>
              </w:rPr>
              <w:t xml:space="preserve">详见表一</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控制系统</w:t>
            </w:r>
            <w:r/>
          </w:p>
        </w:tc>
        <w:tc>
          <w:tcPr>
            <w:tcW w:w="8115" w:type="dxa"/>
            <w:textDirection w:val="lrTb"/>
            <w:noWrap/>
          </w:tcPr>
          <w:p>
            <w:pPr>
              <w:pStyle w:val="1042"/>
              <w:spacing w:before="70" w:line="221" w:lineRule="auto"/>
              <w:rPr>
                <w:i/>
                <w:iCs/>
                <w:spacing w:val="-2"/>
                <w:sz w:val="18"/>
                <w:szCs w:val="18"/>
                <w:highlight w:val="none"/>
                <w:u w:val="single"/>
              </w:rPr>
            </w:pPr>
            <w:r>
              <w:rPr>
                <w:rFonts w:hint="eastAsia"/>
                <w:i/>
                <w:iCs/>
                <w:spacing w:val="-2"/>
                <w:sz w:val="18"/>
                <w:szCs w:val="18"/>
                <w:highlight w:val="none"/>
                <w:u w:val="single"/>
              </w:rPr>
              <w:t xml:space="preserve">使用3核和4核控制系统 ：电气安全开关防护等级需＞IP65：超速、逆转电子安全等级不小于SIL2交流变频变压调速控</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扶手带材料</w:t>
            </w:r>
            <w:r/>
          </w:p>
        </w:tc>
        <w:tc>
          <w:tcPr>
            <w:tcW w:w="8115" w:type="dxa"/>
            <w:textDirection w:val="lrTb"/>
            <w:noWrap/>
          </w:tcPr>
          <w:p>
            <w:pPr>
              <w:pStyle w:val="1042"/>
              <w:spacing w:before="70" w:line="221" w:lineRule="auto"/>
              <w:rPr>
                <w:i/>
                <w:iCs/>
                <w:spacing w:val="-2"/>
                <w:sz w:val="18"/>
                <w:szCs w:val="18"/>
                <w:highlight w:val="none"/>
                <w:u w:val="single"/>
              </w:rPr>
            </w:pPr>
            <w:r>
              <w:rPr>
                <w:rFonts w:hint="eastAsia"/>
                <w:i/>
                <w:iCs/>
                <w:spacing w:val="-2"/>
                <w:sz w:val="18"/>
                <w:szCs w:val="18"/>
                <w:highlight w:val="none"/>
                <w:u w:val="single"/>
              </w:rPr>
              <w:t xml:space="preserve">EHC聚氨酯扶手带，扶手带入口与楼板高度应不小于原梯高度</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围裙板、盖板</w:t>
            </w:r>
            <w:r/>
          </w:p>
        </w:tc>
        <w:tc>
          <w:tcPr>
            <w:tcW w:w="8115" w:type="dxa"/>
            <w:textDirection w:val="lrTb"/>
            <w:noWrap/>
          </w:tcPr>
          <w:p>
            <w:pPr>
              <w:pStyle w:val="1042"/>
              <w:spacing w:before="70" w:line="221" w:lineRule="auto"/>
              <w:rPr>
                <w:i/>
                <w:iCs/>
                <w:spacing w:val="-2"/>
                <w:sz w:val="18"/>
                <w:szCs w:val="18"/>
                <w:highlight w:val="none"/>
                <w:u w:val="single"/>
              </w:rPr>
            </w:pPr>
            <w:r>
              <w:rPr>
                <w:rFonts w:hint="eastAsia"/>
                <w:i/>
                <w:iCs/>
                <w:spacing w:val="-2"/>
                <w:sz w:val="18"/>
                <w:szCs w:val="18"/>
                <w:highlight w:val="none"/>
                <w:u w:val="single"/>
              </w:rPr>
              <w:t xml:space="preserve">发纹不锈钢</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梯级材料</w:t>
            </w:r>
            <w:r/>
          </w:p>
        </w:tc>
        <w:tc>
          <w:tcPr>
            <w:tcW w:w="8115" w:type="dxa"/>
            <w:textDirection w:val="lrTb"/>
            <w:noWrap/>
          </w:tcPr>
          <w:p>
            <w:pPr>
              <w:pStyle w:val="1042"/>
              <w:spacing w:before="70" w:line="221" w:lineRule="auto"/>
              <w:rPr>
                <w:i/>
                <w:iCs/>
                <w:spacing w:val="-2"/>
                <w:sz w:val="18"/>
                <w:szCs w:val="18"/>
                <w:highlight w:val="none"/>
                <w:u w:val="single"/>
              </w:rPr>
            </w:pPr>
            <w:r>
              <w:rPr>
                <w:rFonts w:hint="eastAsia"/>
                <w:i/>
                <w:iCs/>
                <w:spacing w:val="-2"/>
                <w:sz w:val="18"/>
                <w:szCs w:val="18"/>
                <w:highlight w:val="none"/>
                <w:u w:val="single"/>
              </w:rPr>
              <w:t xml:space="preserve">不锈钢梯级</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梯级齿距</w:t>
            </w:r>
            <w:r/>
          </w:p>
        </w:tc>
        <w:tc>
          <w:tcPr>
            <w:tcW w:w="8115" w:type="dxa"/>
            <w:textDirection w:val="lrTb"/>
            <w:noWrap/>
          </w:tcPr>
          <w:p>
            <w:pPr>
              <w:pStyle w:val="1042"/>
              <w:spacing w:before="70" w:line="221" w:lineRule="auto"/>
              <w:rPr>
                <w:i/>
                <w:iCs/>
                <w:spacing w:val="-2"/>
                <w:sz w:val="18"/>
                <w:szCs w:val="18"/>
                <w:highlight w:val="none"/>
                <w:u w:val="single"/>
              </w:rPr>
            </w:pPr>
            <w:r>
              <w:rPr>
                <w:rFonts w:hint="eastAsia"/>
                <w:i/>
                <w:iCs/>
                <w:spacing w:val="-2"/>
                <w:sz w:val="18"/>
                <w:szCs w:val="18"/>
                <w:highlight w:val="none"/>
                <w:u w:val="single"/>
              </w:rPr>
              <w:t xml:space="preserve">小于6mm，防止高跟鞋和雨伞等尖入物</w:t>
            </w:r>
            <w:r/>
          </w:p>
        </w:tc>
      </w:tr>
      <w:tr>
        <w:trPr>
          <w:jc w:val="center"/>
          <w:trHeight w:val="321"/>
        </w:trPr>
        <w:tc>
          <w:tcPr>
            <w:gridSpan w:val="2"/>
            <w:tcW w:w="2378" w:type="dxa"/>
            <w:textDirection w:val="lrTb"/>
            <w:noWrap/>
          </w:tcPr>
          <w:p>
            <w:pPr>
              <w:pStyle w:val="1042"/>
              <w:jc w:val="center"/>
              <w:spacing w:before="70" w:line="221" w:lineRule="auto"/>
              <w:rPr>
                <w:i/>
                <w:iCs/>
                <w:sz w:val="21"/>
                <w:szCs w:val="21"/>
                <w:highlight w:val="none"/>
                <w:u w:val="single"/>
              </w:rPr>
            </w:pPr>
            <w:r>
              <w:rPr>
                <w:rFonts w:hint="eastAsia"/>
                <w:i/>
                <w:iCs/>
                <w:spacing w:val="-2"/>
                <w:sz w:val="21"/>
                <w:szCs w:val="21"/>
                <w:highlight w:val="none"/>
                <w:u w:val="single"/>
              </w:rPr>
              <w:t xml:space="preserve">驱动主机</w:t>
            </w:r>
            <w:r/>
          </w:p>
        </w:tc>
        <w:tc>
          <w:tcPr>
            <w:tcW w:w="8115" w:type="dxa"/>
            <w:textDirection w:val="lrTb"/>
            <w:noWrap/>
          </w:tcPr>
          <w:p>
            <w:pPr>
              <w:pStyle w:val="1042"/>
              <w:spacing w:before="70" w:line="221" w:lineRule="auto"/>
              <w:rPr>
                <w:i/>
                <w:iCs/>
                <w:spacing w:val="-1"/>
                <w:sz w:val="18"/>
                <w:szCs w:val="18"/>
                <w:highlight w:val="none"/>
                <w:u w:val="single"/>
              </w:rPr>
            </w:pPr>
            <w:r>
              <w:rPr>
                <w:rFonts w:hint="eastAsia"/>
                <w:i/>
                <w:iCs/>
                <w:spacing w:val="-2"/>
                <w:sz w:val="18"/>
                <w:szCs w:val="18"/>
                <w:highlight w:val="none"/>
                <w:u w:val="single"/>
              </w:rPr>
              <w:t xml:space="preserve">配置机械或电气防逆转装置。</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梳齿材料</w:t>
            </w:r>
            <w:r/>
          </w:p>
        </w:tc>
        <w:tc>
          <w:tcPr>
            <w:tcW w:w="8115" w:type="dxa"/>
            <w:textDirection w:val="lrTb"/>
            <w:noWrap/>
          </w:tcPr>
          <w:p>
            <w:pPr>
              <w:pStyle w:val="1042"/>
              <w:spacing w:before="70" w:line="221" w:lineRule="auto"/>
              <w:rPr>
                <w:i/>
                <w:iCs/>
                <w:spacing w:val="-2"/>
                <w:sz w:val="18"/>
                <w:szCs w:val="18"/>
                <w:highlight w:val="none"/>
                <w:u w:val="single"/>
              </w:rPr>
            </w:pPr>
            <w:r>
              <w:rPr>
                <w:rFonts w:hint="eastAsia"/>
                <w:i/>
                <w:iCs/>
                <w:spacing w:val="-2"/>
                <w:sz w:val="18"/>
                <w:szCs w:val="18"/>
                <w:highlight w:val="none"/>
                <w:u w:val="single"/>
              </w:rPr>
              <w:t xml:space="preserve">铝合金</w:t>
            </w:r>
            <w:r/>
          </w:p>
        </w:tc>
      </w:tr>
      <w:tr>
        <w:trPr>
          <w:jc w:val="center"/>
          <w:trHeight w:val="321"/>
        </w:trPr>
        <w:tc>
          <w:tcPr>
            <w:gridSpan w:val="2"/>
            <w:tcW w:w="2378" w:type="dxa"/>
            <w:textDirection w:val="lrTb"/>
            <w:noWrap/>
          </w:tcPr>
          <w:p>
            <w:pPr>
              <w:pStyle w:val="1042"/>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外装饰（包套）</w:t>
            </w:r>
            <w:r/>
          </w:p>
        </w:tc>
        <w:tc>
          <w:tcPr>
            <w:tcW w:w="8115" w:type="dxa"/>
            <w:textDirection w:val="lrTb"/>
            <w:noWrap/>
          </w:tcPr>
          <w:p>
            <w:pPr>
              <w:pStyle w:val="1042"/>
              <w:spacing w:before="70"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表面进行抗指纹处理的发纹短丝不锈钢（厚度≥1.2mm）</w:t>
            </w:r>
            <w:r/>
          </w:p>
        </w:tc>
      </w:tr>
      <w:tr>
        <w:trPr>
          <w:jc w:val="center"/>
          <w:trHeight w:val="411"/>
        </w:trPr>
        <w:tc>
          <w:tcPr>
            <w:gridSpan w:val="3"/>
            <w:tcW w:w="10493" w:type="dxa"/>
            <w:textDirection w:val="lrTb"/>
            <w:noWrap/>
          </w:tcPr>
          <w:p>
            <w:pPr>
              <w:pStyle w:val="1042"/>
              <w:spacing w:before="70" w:line="221" w:lineRule="auto"/>
              <w:rPr>
                <w:spacing w:val="-2"/>
                <w:sz w:val="18"/>
                <w:szCs w:val="18"/>
                <w:highlight w:val="none"/>
              </w:rPr>
            </w:pPr>
            <w:r>
              <w:rPr>
                <w:b/>
                <w:highlight w:val="none"/>
              </w:rPr>
              <w:t xml:space="preserve">特殊参数要求</w:t>
            </w:r>
            <w:r/>
          </w:p>
        </w:tc>
      </w:tr>
      <w:tr>
        <w:trPr>
          <w:jc w:val="center"/>
          <w:trHeight w:val="411"/>
        </w:trPr>
        <w:tc>
          <w:tcPr>
            <w:tcW w:w="2367" w:type="dxa"/>
            <w:textDirection w:val="lrTb"/>
            <w:noWrap/>
          </w:tcPr>
          <w:p>
            <w:pPr>
              <w:pStyle w:val="1042"/>
              <w:jc w:val="center"/>
              <w:spacing w:before="70" w:line="221" w:lineRule="auto"/>
              <w:rPr>
                <w:spacing w:val="-2"/>
                <w:sz w:val="21"/>
                <w:szCs w:val="21"/>
                <w:highlight w:val="none"/>
              </w:rPr>
            </w:pPr>
            <w:r>
              <w:rPr>
                <w:rFonts w:hint="eastAsia" w:ascii="Calibri" w:hAnsi="Calibri" w:eastAsia="Arial" w:cs="Arial"/>
                <w:bCs/>
                <w:sz w:val="21"/>
                <w:szCs w:val="21"/>
                <w:highlight w:val="none"/>
              </w:rPr>
              <w:t xml:space="preserve">▲</w:t>
            </w:r>
            <w:r>
              <w:rPr>
                <w:rFonts w:hint="eastAsia"/>
                <w:spacing w:val="-2"/>
                <w:sz w:val="21"/>
                <w:szCs w:val="21"/>
                <w:highlight w:val="none"/>
              </w:rPr>
              <w:t xml:space="preserve">梯级踏板</w:t>
            </w:r>
            <w:r/>
          </w:p>
        </w:tc>
        <w:tc>
          <w:tcPr>
            <w:gridSpan w:val="2"/>
            <w:tcW w:w="8126" w:type="dxa"/>
            <w:textDirection w:val="lrTb"/>
            <w:noWrap/>
          </w:tcPr>
          <w:p>
            <w:pPr>
              <w:pStyle w:val="1042"/>
              <w:spacing w:before="70" w:line="221" w:lineRule="auto"/>
              <w:rPr>
                <w:spacing w:val="-2"/>
                <w:sz w:val="18"/>
                <w:szCs w:val="18"/>
                <w:highlight w:val="none"/>
              </w:rPr>
            </w:pPr>
            <w:r>
              <w:rPr>
                <w:rFonts w:hint="eastAsia"/>
                <w:spacing w:val="-2"/>
                <w:sz w:val="18"/>
                <w:szCs w:val="18"/>
                <w:highlight w:val="none"/>
              </w:rPr>
              <w:t xml:space="preserve">防滑等级R10，提供所投产品的整机型式试验报告</w:t>
            </w:r>
            <w:r/>
          </w:p>
        </w:tc>
      </w:tr>
      <w:tr>
        <w:trPr>
          <w:jc w:val="center"/>
          <w:trHeight w:val="411"/>
        </w:trPr>
        <w:tc>
          <w:tcPr>
            <w:tcW w:w="2367" w:type="dxa"/>
            <w:textDirection w:val="lrTb"/>
            <w:noWrap/>
          </w:tcPr>
          <w:p>
            <w:pPr>
              <w:pStyle w:val="1042"/>
              <w:jc w:val="center"/>
              <w:spacing w:before="70" w:line="221" w:lineRule="auto"/>
              <w:rPr>
                <w:sz w:val="21"/>
                <w:szCs w:val="21"/>
                <w:highlight w:val="none"/>
              </w:rPr>
            </w:pPr>
            <w:r>
              <w:rPr>
                <w:rFonts w:hint="eastAsia" w:ascii="Calibri" w:hAnsi="Calibri" w:eastAsia="Arial" w:cs="Arial"/>
                <w:bCs/>
                <w:sz w:val="21"/>
                <w:szCs w:val="21"/>
                <w:highlight w:val="none"/>
              </w:rPr>
              <w:t xml:space="preserve">▲</w:t>
            </w:r>
            <w:r>
              <w:rPr>
                <w:rFonts w:hint="eastAsia"/>
                <w:spacing w:val="-2"/>
                <w:sz w:val="21"/>
                <w:szCs w:val="21"/>
                <w:highlight w:val="none"/>
              </w:rPr>
              <w:t xml:space="preserve">电气安全装置</w:t>
            </w:r>
            <w:r/>
          </w:p>
        </w:tc>
        <w:tc>
          <w:tcPr>
            <w:gridSpan w:val="2"/>
            <w:tcW w:w="8126" w:type="dxa"/>
            <w:textDirection w:val="lrTb"/>
            <w:noWrap/>
          </w:tcPr>
          <w:p>
            <w:pPr>
              <w:pStyle w:val="1042"/>
              <w:spacing w:before="70" w:line="221" w:lineRule="auto"/>
              <w:rPr>
                <w:spacing w:val="-2"/>
                <w:sz w:val="18"/>
                <w:szCs w:val="18"/>
                <w:highlight w:val="none"/>
              </w:rPr>
            </w:pPr>
            <w:r>
              <w:rPr>
                <w:rFonts w:hint="eastAsia"/>
                <w:spacing w:val="-2"/>
                <w:sz w:val="18"/>
                <w:szCs w:val="18"/>
                <w:highlight w:val="none"/>
              </w:rPr>
              <w:t xml:space="preserve">系统安全等级全部不低于SIL2，提供所投产品的整机型式试验报告</w:t>
            </w:r>
            <w:r/>
          </w:p>
        </w:tc>
      </w:tr>
      <w:tr>
        <w:trPr>
          <w:jc w:val="center"/>
          <w:trHeight w:val="411"/>
        </w:trPr>
        <w:tc>
          <w:tcPr>
            <w:tcW w:w="2367" w:type="dxa"/>
            <w:textDirection w:val="lrTb"/>
            <w:noWrap/>
          </w:tcPr>
          <w:p>
            <w:pPr>
              <w:pStyle w:val="1042"/>
              <w:jc w:val="center"/>
              <w:spacing w:before="70" w:line="221" w:lineRule="auto"/>
              <w:rPr>
                <w:spacing w:val="-2"/>
                <w:sz w:val="21"/>
                <w:szCs w:val="21"/>
                <w:highlight w:val="none"/>
              </w:rPr>
            </w:pPr>
            <w:r>
              <w:rPr>
                <w:rFonts w:hint="eastAsia" w:ascii="Calibri" w:hAnsi="Calibri" w:eastAsia="Arial" w:cs="Arial"/>
                <w:bCs/>
                <w:sz w:val="21"/>
                <w:szCs w:val="21"/>
                <w:highlight w:val="none"/>
              </w:rPr>
              <w:t xml:space="preserve">▲</w:t>
            </w:r>
            <w:r>
              <w:rPr>
                <w:rFonts w:hint="eastAsia"/>
                <w:spacing w:val="-2"/>
                <w:sz w:val="21"/>
                <w:szCs w:val="21"/>
                <w:highlight w:val="none"/>
              </w:rPr>
              <w:t xml:space="preserve">梯级滚轮直径</w:t>
            </w:r>
            <w:r/>
          </w:p>
        </w:tc>
        <w:tc>
          <w:tcPr>
            <w:gridSpan w:val="2"/>
            <w:tcW w:w="8126" w:type="dxa"/>
            <w:textDirection w:val="lrTb"/>
            <w:noWrap/>
          </w:tcPr>
          <w:p>
            <w:pPr>
              <w:pStyle w:val="1042"/>
              <w:spacing w:before="70" w:line="221" w:lineRule="auto"/>
              <w:rPr>
                <w:spacing w:val="-2"/>
                <w:sz w:val="18"/>
                <w:szCs w:val="18"/>
                <w:highlight w:val="none"/>
              </w:rPr>
            </w:pPr>
            <w:r>
              <w:rPr>
                <w:rFonts w:hint="eastAsia"/>
                <w:spacing w:val="-2"/>
                <w:sz w:val="18"/>
                <w:szCs w:val="18"/>
                <w:highlight w:val="none"/>
              </w:rPr>
              <w:t xml:space="preserve">梯级滚轮直径应不小于70mm；提供所投产品的整机报告中对应部件的部件型式试验合格证；</w:t>
            </w:r>
            <w:r/>
          </w:p>
        </w:tc>
      </w:tr>
      <w:tr>
        <w:trPr>
          <w:jc w:val="center"/>
          <w:trHeight w:val="411"/>
        </w:trPr>
        <w:tc>
          <w:tcPr>
            <w:gridSpan w:val="3"/>
            <w:tcW w:w="10493" w:type="dxa"/>
            <w:textDirection w:val="lrTb"/>
            <w:noWrap/>
          </w:tcPr>
          <w:p>
            <w:pPr>
              <w:pStyle w:val="1042"/>
              <w:spacing w:before="70" w:line="221" w:lineRule="auto"/>
              <w:rPr>
                <w:spacing w:val="-2"/>
                <w:sz w:val="18"/>
                <w:szCs w:val="18"/>
                <w:highlight w:val="none"/>
              </w:rPr>
            </w:pPr>
            <w:r>
              <w:rPr>
                <w:rFonts w:hint="eastAsia"/>
                <w:b/>
                <w:bCs/>
                <w:iCs/>
                <w:spacing w:val="-2"/>
                <w:sz w:val="18"/>
                <w:szCs w:val="18"/>
                <w:highlight w:val="none"/>
              </w:rPr>
              <w:t xml:space="preserve">本项目为医院场所使用电梯，电梯性能要求较高，垂直梯（DT10、DT11除外）电梯主要部件曳引机、控制柜、安全钳、限速器、控制器、调速器、轿厢缓冲器、对重缓冲器、轿厢上行超速保护装置、轿厢意外移动保护装置，自动扶梯主要部件控制系统、驱动主机、主机电机、附加制动器应尽可能采用原厂原品牌，确保产品及服务质量。</w:t>
            </w:r>
            <w:r/>
          </w:p>
        </w:tc>
      </w:tr>
    </w:tbl>
    <w:p>
      <w:pPr>
        <w:pStyle w:val="953"/>
        <w:jc w:val="center"/>
        <w:spacing w:before="104" w:line="221" w:lineRule="auto"/>
        <w:rPr>
          <w:i/>
          <w:spacing w:val="-5"/>
          <w:highlight w:val="none"/>
        </w:rPr>
      </w:pPr>
      <w:r>
        <w:rPr>
          <w:i/>
          <w:spacing w:val="-5"/>
          <w:highlight w:val="none"/>
        </w:rPr>
      </w:r>
      <w:r/>
    </w:p>
    <w:p>
      <w:pPr>
        <w:pStyle w:val="953"/>
        <w:jc w:val="center"/>
        <w:spacing w:before="104" w:line="221" w:lineRule="auto"/>
        <w:rPr>
          <w:i/>
          <w:spacing w:val="-5"/>
          <w:highlight w:val="none"/>
        </w:rPr>
      </w:pPr>
      <w:r>
        <w:rPr>
          <w:i/>
          <w:spacing w:val="-5"/>
          <w:highlight w:val="none"/>
        </w:rPr>
      </w:r>
      <w:r/>
    </w:p>
    <w:p>
      <w:pPr>
        <w:pStyle w:val="953"/>
        <w:jc w:val="center"/>
        <w:spacing w:before="104" w:line="221" w:lineRule="auto"/>
        <w:rPr>
          <w:i/>
          <w:spacing w:val="-5"/>
          <w:sz w:val="11"/>
          <w:szCs w:val="11"/>
          <w:highlight w:val="none"/>
        </w:rPr>
      </w:pPr>
      <w:r>
        <w:rPr>
          <w:rFonts w:hint="eastAsia"/>
          <w:i/>
          <w:spacing w:val="-5"/>
          <w:highlight w:val="none"/>
        </w:rPr>
        <w:t xml:space="preserve">扶梯基本功能（表三）</w:t>
      </w:r>
      <w:r/>
    </w:p>
    <w:tbl>
      <w:tblPr>
        <w:tblStyle w:val="722"/>
        <w:tblW w:w="8613" w:type="dxa"/>
        <w:jc w:val="center"/>
        <w:tblLayout w:type="autofit"/>
        <w:tblCellMar>
          <w:left w:w="108" w:type="dxa"/>
          <w:top w:w="0" w:type="dxa"/>
          <w:right w:w="108" w:type="dxa"/>
          <w:bottom w:w="0" w:type="dxa"/>
        </w:tblCellMar>
        <w:tblLook w:val="04A0" w:firstRow="1" w:lastRow="0" w:firstColumn="1" w:lastColumn="0" w:noHBand="0" w:noVBand="1"/>
      </w:tblPr>
      <w:tblGrid>
        <w:gridCol w:w="2802"/>
        <w:gridCol w:w="2268"/>
        <w:gridCol w:w="3543"/>
      </w:tblGrid>
      <w:tr>
        <w:trPr>
          <w:jc w:val="center"/>
          <w:trHeight w:val="320"/>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错、断相保护</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扶手入口安全装置</w:t>
            </w:r>
            <w:r/>
          </w:p>
        </w:tc>
        <w:tc>
          <w:tcPr>
            <w:tcBorders>
              <w:top w:val="singl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过低速保护</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非操作逆转保护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扶手带速度检测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油位报警</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附加制动器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欠电压保护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电动机过热保护</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工作制动器动作监测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过电流保护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主轴直接检测的超速及非操纵逆转保护</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工作制动器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电机过载保护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检修操作</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梳齿板安全装置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过电压保护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自动运行</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接触器动作检测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电源相位监测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3D节能装置</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驱动链安全装置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梯级链安全装置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运行方向可选</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盖板安全装置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围裙防夹安全装置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旁路变频</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紧急停止按钮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梯级去静电装置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轻载节能</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电气安全回路保护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梯级缺失安全装置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安全装置代码显示</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制停距离检测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梯级下陷安全装置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蜂鸣器</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扶手带去静电装置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启动开关粘结监测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盖板防盗报警</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1.2倍超速保护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42"/>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变频装置过热保护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42"/>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自动感应节能功能</w:t>
            </w:r>
            <w:r/>
          </w:p>
        </w:tc>
      </w:tr>
    </w:tbl>
    <w:p>
      <w:pPr>
        <w:pStyle w:val="953"/>
        <w:jc w:val="center"/>
        <w:spacing w:before="104" w:line="221" w:lineRule="auto"/>
        <w:rPr>
          <w:i/>
          <w:spacing w:val="-5"/>
          <w:highlight w:val="none"/>
          <w:u w:val="single"/>
        </w:rPr>
      </w:pPr>
      <w:r>
        <w:rPr>
          <w:i/>
          <w:spacing w:val="-5"/>
          <w:highlight w:val="none"/>
          <w:u w:val="single"/>
        </w:rPr>
      </w:r>
      <w:r/>
    </w:p>
    <w:p>
      <w:pPr>
        <w:pStyle w:val="953"/>
        <w:jc w:val="center"/>
        <w:spacing w:before="104" w:line="221" w:lineRule="auto"/>
        <w:rPr>
          <w:i/>
          <w:spacing w:val="-5"/>
          <w:highlight w:val="none"/>
          <w:u w:val="single"/>
        </w:rPr>
      </w:pPr>
      <w:r>
        <w:rPr>
          <w:i/>
          <w:spacing w:val="-5"/>
          <w:highlight w:val="none"/>
          <w:u w:val="single"/>
        </w:rPr>
      </w:r>
      <w:r/>
    </w:p>
    <w:p>
      <w:pPr>
        <w:pStyle w:val="953"/>
        <w:jc w:val="center"/>
        <w:spacing w:before="104" w:line="221" w:lineRule="auto"/>
        <w:rPr>
          <w:spacing w:val="-5"/>
          <w:highlight w:val="none"/>
          <w:u w:val="single"/>
        </w:rPr>
      </w:pPr>
      <w:r>
        <w:rPr>
          <w:rFonts w:hint="eastAsia"/>
          <w:i/>
          <w:spacing w:val="-5"/>
          <w:highlight w:val="none"/>
          <w:u w:val="single"/>
        </w:rPr>
        <w:t xml:space="preserve">直梯基本功能（表四）</w:t>
      </w:r>
      <w:r/>
    </w:p>
    <w:tbl>
      <w:tblPr>
        <w:tblStyle w:val="722"/>
        <w:tblW w:w="10215" w:type="dxa"/>
        <w:tblInd w:w="-9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6"/>
        <w:gridCol w:w="2104"/>
        <w:gridCol w:w="7425"/>
      </w:tblGrid>
      <w:tr>
        <w:trPr>
          <w:trHeight w:val="531"/>
        </w:trPr>
        <w:tc>
          <w:tcPr>
            <w:tcW w:w="686" w:type="dxa"/>
            <w:textDirection w:val="lrTb"/>
            <w:noWrap/>
          </w:tcPr>
          <w:p>
            <w:pPr>
              <w:pStyle w:val="1042"/>
              <w:ind w:left="258"/>
              <w:spacing w:before="176" w:line="222" w:lineRule="auto"/>
              <w:rPr>
                <w:i/>
                <w:iCs/>
                <w:sz w:val="18"/>
                <w:szCs w:val="18"/>
                <w:highlight w:val="none"/>
                <w:u w:val="single"/>
              </w:rPr>
            </w:pPr>
            <w:r>
              <w:rPr>
                <w:b/>
                <w:bCs/>
                <w:i/>
                <w:iCs/>
                <w:spacing w:val="-6"/>
                <w:sz w:val="18"/>
                <w:szCs w:val="18"/>
                <w:highlight w:val="none"/>
                <w:u w:val="single"/>
              </w:rPr>
              <w:t xml:space="preserve">序号</w:t>
            </w:r>
            <w:r/>
          </w:p>
        </w:tc>
        <w:tc>
          <w:tcPr>
            <w:tcW w:w="2104" w:type="dxa"/>
            <w:textDirection w:val="lrTb"/>
            <w:noWrap/>
          </w:tcPr>
          <w:p>
            <w:pPr>
              <w:pStyle w:val="1042"/>
              <w:jc w:val="center"/>
              <w:spacing w:before="176" w:line="222" w:lineRule="auto"/>
              <w:rPr>
                <w:i/>
                <w:iCs/>
                <w:sz w:val="18"/>
                <w:szCs w:val="18"/>
                <w:highlight w:val="none"/>
                <w:u w:val="single"/>
              </w:rPr>
            </w:pPr>
            <w:r>
              <w:rPr>
                <w:b/>
                <w:bCs/>
                <w:i/>
                <w:iCs/>
                <w:spacing w:val="-4"/>
                <w:sz w:val="18"/>
                <w:szCs w:val="18"/>
                <w:highlight w:val="none"/>
                <w:u w:val="single"/>
              </w:rPr>
              <w:t xml:space="preserve">功能配置</w:t>
            </w:r>
            <w:r/>
          </w:p>
        </w:tc>
        <w:tc>
          <w:tcPr>
            <w:tcW w:w="7425" w:type="dxa"/>
            <w:textDirection w:val="lrTb"/>
            <w:noWrap/>
          </w:tcPr>
          <w:p>
            <w:pPr>
              <w:pStyle w:val="1042"/>
              <w:ind w:left="2481"/>
              <w:spacing w:before="176" w:line="222" w:lineRule="auto"/>
              <w:rPr>
                <w:i/>
                <w:iCs/>
                <w:sz w:val="18"/>
                <w:szCs w:val="18"/>
                <w:highlight w:val="none"/>
                <w:u w:val="single"/>
              </w:rPr>
            </w:pPr>
            <w:r>
              <w:rPr>
                <w:b/>
                <w:bCs/>
                <w:i/>
                <w:iCs/>
                <w:spacing w:val="-4"/>
                <w:sz w:val="18"/>
                <w:szCs w:val="18"/>
                <w:highlight w:val="none"/>
                <w:u w:val="single"/>
              </w:rPr>
              <w:t xml:space="preserve">配置要求</w:t>
            </w:r>
            <w:r/>
          </w:p>
        </w:tc>
      </w:tr>
      <w:tr>
        <w:trPr>
          <w:trHeight w:val="629"/>
        </w:trPr>
        <w:tc>
          <w:tcPr>
            <w:tcW w:w="686" w:type="dxa"/>
            <w:vAlign w:val="center"/>
            <w:textDirection w:val="lrTb"/>
            <w:noWrap/>
          </w:tcPr>
          <w:p>
            <w:pPr>
              <w:pStyle w:val="1042"/>
              <w:jc w:val="center"/>
              <w:spacing w:before="249" w:line="184" w:lineRule="auto"/>
              <w:rPr>
                <w:i/>
                <w:iCs/>
                <w:sz w:val="18"/>
                <w:szCs w:val="18"/>
                <w:highlight w:val="none"/>
                <w:u w:val="single"/>
              </w:rPr>
            </w:pPr>
            <w:r>
              <w:rPr>
                <w:i/>
                <w:iCs/>
                <w:sz w:val="18"/>
                <w:szCs w:val="18"/>
                <w:highlight w:val="none"/>
                <w:u w:val="single"/>
              </w:rPr>
              <w:t xml:space="preserve">1</w:t>
            </w:r>
            <w:r/>
          </w:p>
        </w:tc>
        <w:tc>
          <w:tcPr>
            <w:tcW w:w="2104" w:type="dxa"/>
            <w:textDirection w:val="lrTb"/>
            <w:noWrap/>
          </w:tcPr>
          <w:p>
            <w:pPr>
              <w:pStyle w:val="1042"/>
              <w:jc w:val="center"/>
              <w:spacing w:before="221" w:line="221" w:lineRule="auto"/>
              <w:rPr>
                <w:i/>
                <w:iCs/>
                <w:sz w:val="18"/>
                <w:szCs w:val="18"/>
                <w:highlight w:val="none"/>
                <w:u w:val="single"/>
              </w:rPr>
            </w:pPr>
            <w:r>
              <w:rPr>
                <w:i/>
                <w:iCs/>
                <w:spacing w:val="-5"/>
                <w:sz w:val="18"/>
                <w:szCs w:val="18"/>
                <w:highlight w:val="none"/>
                <w:u w:val="single"/>
              </w:rPr>
              <w:t xml:space="preserve">电梯变频驱动</w:t>
            </w:r>
            <w:r/>
          </w:p>
        </w:tc>
        <w:tc>
          <w:tcPr>
            <w:tcW w:w="7425" w:type="dxa"/>
            <w:textDirection w:val="lrTb"/>
            <w:noWrap/>
          </w:tcPr>
          <w:p>
            <w:pPr>
              <w:pStyle w:val="1042"/>
              <w:ind w:left="126" w:right="139" w:hanging="14"/>
              <w:spacing w:before="67" w:line="283" w:lineRule="auto"/>
              <w:rPr>
                <w:i/>
                <w:iCs/>
                <w:sz w:val="18"/>
                <w:szCs w:val="18"/>
                <w:highlight w:val="none"/>
                <w:u w:val="single"/>
              </w:rPr>
            </w:pPr>
            <w:r>
              <w:rPr>
                <w:i/>
                <w:iCs/>
                <w:spacing w:val="1"/>
                <w:sz w:val="18"/>
                <w:szCs w:val="18"/>
                <w:highlight w:val="none"/>
                <w:u w:val="single"/>
              </w:rPr>
              <w:t xml:space="preserve">精确调整电动机转速，令电梯启动、运行、停止时的</w:t>
            </w:r>
            <w:r>
              <w:rPr>
                <w:i/>
                <w:iCs/>
                <w:sz w:val="18"/>
                <w:szCs w:val="18"/>
                <w:highlight w:val="none"/>
                <w:u w:val="single"/>
              </w:rPr>
              <w:t xml:space="preserve">速度曲线平稳、 </w:t>
            </w:r>
            <w:r>
              <w:rPr>
                <w:i/>
                <w:iCs/>
                <w:spacing w:val="-2"/>
                <w:sz w:val="18"/>
                <w:szCs w:val="18"/>
                <w:highlight w:val="none"/>
                <w:u w:val="single"/>
              </w:rPr>
              <w:t xml:space="preserve">圆滑， 获得良好的舒适感。</w:t>
            </w:r>
            <w:r/>
          </w:p>
        </w:tc>
      </w:tr>
      <w:tr>
        <w:trPr>
          <w:trHeight w:val="317"/>
        </w:trPr>
        <w:tc>
          <w:tcPr>
            <w:tcW w:w="686" w:type="dxa"/>
            <w:vAlign w:val="center"/>
            <w:textDirection w:val="lrTb"/>
            <w:noWrap/>
          </w:tcPr>
          <w:p>
            <w:pPr>
              <w:pStyle w:val="1042"/>
              <w:jc w:val="center"/>
              <w:spacing w:before="96" w:line="183" w:lineRule="auto"/>
              <w:rPr>
                <w:i/>
                <w:iCs/>
                <w:sz w:val="18"/>
                <w:szCs w:val="18"/>
                <w:highlight w:val="none"/>
                <w:u w:val="single"/>
              </w:rPr>
            </w:pPr>
            <w:r>
              <w:rPr>
                <w:i/>
                <w:iCs/>
                <w:sz w:val="18"/>
                <w:szCs w:val="18"/>
                <w:highlight w:val="none"/>
                <w:u w:val="single"/>
              </w:rPr>
              <w:t xml:space="preserve">2</w:t>
            </w:r>
            <w:r/>
          </w:p>
        </w:tc>
        <w:tc>
          <w:tcPr>
            <w:tcW w:w="2104" w:type="dxa"/>
            <w:textDirection w:val="lrTb"/>
            <w:noWrap/>
          </w:tcPr>
          <w:p>
            <w:pPr>
              <w:pStyle w:val="1042"/>
              <w:jc w:val="center"/>
              <w:spacing w:before="68" w:line="219" w:lineRule="auto"/>
              <w:rPr>
                <w:i/>
                <w:iCs/>
                <w:sz w:val="18"/>
                <w:szCs w:val="18"/>
                <w:highlight w:val="none"/>
                <w:u w:val="single"/>
              </w:rPr>
            </w:pPr>
            <w:r>
              <w:rPr>
                <w:i/>
                <w:iCs/>
                <w:spacing w:val="-5"/>
                <w:sz w:val="18"/>
                <w:szCs w:val="18"/>
                <w:highlight w:val="none"/>
                <w:u w:val="single"/>
              </w:rPr>
              <w:t xml:space="preserve">门机变频驱动</w:t>
            </w:r>
            <w:r/>
          </w:p>
        </w:tc>
        <w:tc>
          <w:tcPr>
            <w:tcW w:w="7425" w:type="dxa"/>
            <w:textDirection w:val="lrTb"/>
            <w:noWrap/>
          </w:tcPr>
          <w:p>
            <w:pPr>
              <w:pStyle w:val="1042"/>
              <w:ind w:left="112"/>
              <w:spacing w:before="68" w:line="219" w:lineRule="auto"/>
              <w:rPr>
                <w:i/>
                <w:iCs/>
                <w:sz w:val="18"/>
                <w:szCs w:val="18"/>
                <w:highlight w:val="none"/>
                <w:u w:val="single"/>
              </w:rPr>
            </w:pPr>
            <w:r>
              <w:rPr>
                <w:i/>
                <w:iCs/>
                <w:spacing w:val="-1"/>
                <w:sz w:val="18"/>
                <w:szCs w:val="18"/>
                <w:highlight w:val="none"/>
                <w:u w:val="single"/>
              </w:rPr>
              <w:t xml:space="preserve">精确调整电动机转速，使门机的开启、关闭更轻柔灵敏。</w:t>
            </w:r>
            <w:r/>
          </w:p>
        </w:tc>
      </w:tr>
      <w:tr>
        <w:trPr>
          <w:trHeight w:val="628"/>
        </w:trPr>
        <w:tc>
          <w:tcPr>
            <w:tcW w:w="686" w:type="dxa"/>
            <w:vAlign w:val="center"/>
            <w:textDirection w:val="lrTb"/>
            <w:noWrap/>
          </w:tcPr>
          <w:p>
            <w:pPr>
              <w:pStyle w:val="1042"/>
              <w:jc w:val="center"/>
              <w:spacing w:before="252" w:line="183" w:lineRule="auto"/>
              <w:rPr>
                <w:i/>
                <w:iCs/>
                <w:sz w:val="18"/>
                <w:szCs w:val="18"/>
                <w:highlight w:val="none"/>
                <w:u w:val="single"/>
              </w:rPr>
            </w:pPr>
            <w:r>
              <w:rPr>
                <w:i/>
                <w:iCs/>
                <w:sz w:val="18"/>
                <w:szCs w:val="18"/>
                <w:highlight w:val="none"/>
                <w:u w:val="single"/>
              </w:rPr>
              <w:t xml:space="preserve">3</w:t>
            </w:r>
            <w:r/>
          </w:p>
        </w:tc>
        <w:tc>
          <w:tcPr>
            <w:tcW w:w="2104" w:type="dxa"/>
            <w:textDirection w:val="lrTb"/>
            <w:noWrap/>
          </w:tcPr>
          <w:p>
            <w:pPr>
              <w:pStyle w:val="1042"/>
              <w:jc w:val="center"/>
              <w:spacing w:before="223" w:line="220" w:lineRule="auto"/>
              <w:rPr>
                <w:i/>
                <w:iCs/>
                <w:sz w:val="18"/>
                <w:szCs w:val="18"/>
                <w:highlight w:val="none"/>
                <w:u w:val="single"/>
              </w:rPr>
            </w:pPr>
            <w:r>
              <w:rPr>
                <w:i/>
                <w:iCs/>
                <w:spacing w:val="-1"/>
                <w:sz w:val="18"/>
                <w:szCs w:val="18"/>
                <w:highlight w:val="none"/>
                <w:u w:val="single"/>
              </w:rPr>
              <w:t xml:space="preserve">修正运行校正功能</w:t>
            </w:r>
            <w:r/>
          </w:p>
        </w:tc>
        <w:tc>
          <w:tcPr>
            <w:tcW w:w="7425" w:type="dxa"/>
            <w:textDirection w:val="lrTb"/>
            <w:noWrap/>
          </w:tcPr>
          <w:p>
            <w:pPr>
              <w:pStyle w:val="1042"/>
              <w:ind w:left="126" w:right="108" w:firstLine="7"/>
              <w:spacing w:before="68" w:line="282" w:lineRule="auto"/>
              <w:rPr>
                <w:i/>
                <w:iCs/>
                <w:sz w:val="18"/>
                <w:szCs w:val="18"/>
                <w:highlight w:val="none"/>
                <w:u w:val="single"/>
              </w:rPr>
            </w:pPr>
            <w:r>
              <w:rPr>
                <w:i/>
                <w:iCs/>
                <w:spacing w:val="1"/>
                <w:sz w:val="18"/>
                <w:szCs w:val="18"/>
                <w:highlight w:val="none"/>
                <w:u w:val="single"/>
              </w:rPr>
              <w:t xml:space="preserve">电梯因电源扰动、断电或对电梯系统的通信干扰导致电梯停在两层之</w:t>
            </w:r>
            <w:r>
              <w:rPr>
                <w:i/>
                <w:iCs/>
                <w:spacing w:val="-1"/>
                <w:sz w:val="18"/>
                <w:szCs w:val="18"/>
                <w:highlight w:val="none"/>
                <w:u w:val="single"/>
              </w:rPr>
              <w:t xml:space="preserve">间，当电源恢复或干扰消失后，驱动系统会把电梯运行到最近楼层。</w:t>
            </w:r>
            <w:r/>
          </w:p>
        </w:tc>
      </w:tr>
      <w:tr>
        <w:trPr>
          <w:trHeight w:val="629"/>
        </w:trPr>
        <w:tc>
          <w:tcPr>
            <w:tcW w:w="686" w:type="dxa"/>
            <w:vAlign w:val="center"/>
            <w:textDirection w:val="lrTb"/>
            <w:noWrap/>
          </w:tcPr>
          <w:p>
            <w:pPr>
              <w:pStyle w:val="1042"/>
              <w:jc w:val="center"/>
              <w:spacing w:before="252" w:line="183" w:lineRule="auto"/>
              <w:rPr>
                <w:i/>
                <w:iCs/>
                <w:sz w:val="18"/>
                <w:szCs w:val="18"/>
                <w:highlight w:val="none"/>
                <w:u w:val="single"/>
              </w:rPr>
            </w:pPr>
            <w:r>
              <w:rPr>
                <w:i/>
                <w:iCs/>
                <w:sz w:val="18"/>
                <w:szCs w:val="18"/>
                <w:highlight w:val="none"/>
                <w:u w:val="single"/>
              </w:rPr>
              <w:t xml:space="preserve">4</w:t>
            </w:r>
            <w:r/>
          </w:p>
        </w:tc>
        <w:tc>
          <w:tcPr>
            <w:tcW w:w="2104" w:type="dxa"/>
            <w:textDirection w:val="lrTb"/>
            <w:noWrap/>
          </w:tcPr>
          <w:p>
            <w:pPr>
              <w:pStyle w:val="1042"/>
              <w:jc w:val="center"/>
              <w:spacing w:before="224" w:line="220" w:lineRule="auto"/>
              <w:rPr>
                <w:i/>
                <w:iCs/>
                <w:sz w:val="18"/>
                <w:szCs w:val="18"/>
                <w:highlight w:val="none"/>
                <w:u w:val="single"/>
              </w:rPr>
            </w:pPr>
            <w:r>
              <w:rPr>
                <w:i/>
                <w:iCs/>
                <w:spacing w:val="-4"/>
                <w:sz w:val="18"/>
                <w:szCs w:val="18"/>
                <w:highlight w:val="none"/>
                <w:u w:val="single"/>
              </w:rPr>
              <w:t xml:space="preserve">电源相位故障监测</w:t>
            </w:r>
            <w:r/>
          </w:p>
        </w:tc>
        <w:tc>
          <w:tcPr>
            <w:tcW w:w="7425" w:type="dxa"/>
            <w:textDirection w:val="lrTb"/>
            <w:noWrap/>
          </w:tcPr>
          <w:p>
            <w:pPr>
              <w:pStyle w:val="1042"/>
              <w:ind w:left="121" w:right="108" w:firstLine="12"/>
              <w:spacing w:before="69" w:line="282" w:lineRule="auto"/>
              <w:rPr>
                <w:i/>
                <w:iCs/>
                <w:sz w:val="18"/>
                <w:szCs w:val="18"/>
                <w:highlight w:val="none"/>
                <w:u w:val="single"/>
              </w:rPr>
            </w:pPr>
            <w:r>
              <w:rPr>
                <w:i/>
                <w:iCs/>
                <w:spacing w:val="1"/>
                <w:sz w:val="18"/>
                <w:szCs w:val="18"/>
                <w:highlight w:val="none"/>
                <w:u w:val="single"/>
              </w:rPr>
              <w:t xml:space="preserve">电源相位故障监测功能在电梯供电电源中一相或几相电压过低或断相</w:t>
            </w:r>
            <w:r>
              <w:rPr>
                <w:i/>
                <w:iCs/>
                <w:spacing w:val="-1"/>
                <w:sz w:val="18"/>
                <w:szCs w:val="18"/>
                <w:highlight w:val="none"/>
                <w:u w:val="single"/>
              </w:rPr>
              <w:t xml:space="preserve">时使用电梯停止运行；供电源正常时电梯恢复正常运行。</w:t>
            </w:r>
            <w:r/>
          </w:p>
        </w:tc>
      </w:tr>
      <w:tr>
        <w:trPr>
          <w:trHeight w:val="629"/>
        </w:trPr>
        <w:tc>
          <w:tcPr>
            <w:tcW w:w="686" w:type="dxa"/>
            <w:vAlign w:val="center"/>
            <w:textDirection w:val="lrTb"/>
            <w:noWrap/>
          </w:tcPr>
          <w:p>
            <w:pPr>
              <w:pStyle w:val="1042"/>
              <w:jc w:val="center"/>
              <w:spacing w:before="253" w:line="182" w:lineRule="auto"/>
              <w:rPr>
                <w:i/>
                <w:iCs/>
                <w:sz w:val="18"/>
                <w:szCs w:val="18"/>
                <w:highlight w:val="none"/>
                <w:u w:val="single"/>
              </w:rPr>
            </w:pPr>
            <w:r>
              <w:rPr>
                <w:i/>
                <w:iCs/>
                <w:sz w:val="18"/>
                <w:szCs w:val="18"/>
                <w:highlight w:val="none"/>
                <w:u w:val="single"/>
              </w:rPr>
              <w:t xml:space="preserve">5</w:t>
            </w:r>
            <w:r/>
          </w:p>
        </w:tc>
        <w:tc>
          <w:tcPr>
            <w:tcW w:w="2104" w:type="dxa"/>
            <w:textDirection w:val="lrTb"/>
            <w:noWrap/>
          </w:tcPr>
          <w:p>
            <w:pPr>
              <w:pStyle w:val="1042"/>
              <w:jc w:val="center"/>
              <w:spacing w:before="224" w:line="220" w:lineRule="auto"/>
              <w:rPr>
                <w:i/>
                <w:iCs/>
                <w:sz w:val="18"/>
                <w:szCs w:val="18"/>
                <w:highlight w:val="none"/>
                <w:u w:val="single"/>
              </w:rPr>
            </w:pPr>
            <w:r>
              <w:rPr>
                <w:i/>
                <w:iCs/>
                <w:spacing w:val="-2"/>
                <w:sz w:val="18"/>
                <w:szCs w:val="18"/>
                <w:highlight w:val="none"/>
                <w:u w:val="single"/>
              </w:rPr>
              <w:t xml:space="preserve">运行时间监察</w:t>
            </w:r>
            <w:r/>
          </w:p>
        </w:tc>
        <w:tc>
          <w:tcPr>
            <w:tcW w:w="7425" w:type="dxa"/>
            <w:textDirection w:val="lrTb"/>
            <w:noWrap/>
          </w:tcPr>
          <w:p>
            <w:pPr>
              <w:pStyle w:val="1042"/>
              <w:ind w:left="114" w:right="108" w:firstLine="9"/>
              <w:spacing w:before="67" w:line="283" w:lineRule="auto"/>
              <w:rPr>
                <w:i/>
                <w:iCs/>
                <w:sz w:val="18"/>
                <w:szCs w:val="18"/>
                <w:highlight w:val="none"/>
                <w:u w:val="single"/>
              </w:rPr>
            </w:pPr>
            <w:r>
              <w:rPr>
                <w:i/>
                <w:iCs/>
                <w:spacing w:val="1"/>
                <w:sz w:val="18"/>
                <w:szCs w:val="18"/>
                <w:highlight w:val="none"/>
                <w:u w:val="single"/>
              </w:rPr>
              <w:t xml:space="preserve">当控制系统检测到因电梯的轿厢、对重或其他任何运动部件卡滞而产</w:t>
            </w:r>
            <w:r>
              <w:rPr>
                <w:i/>
                <w:iCs/>
                <w:spacing w:val="-1"/>
                <w:sz w:val="18"/>
                <w:szCs w:val="18"/>
                <w:highlight w:val="none"/>
                <w:u w:val="single"/>
              </w:rPr>
              <w:t xml:space="preserve">生的曳引机运转时间超过了设定的时间，会使曳引机停止运转。</w:t>
            </w:r>
            <w:r/>
          </w:p>
        </w:tc>
      </w:tr>
      <w:tr>
        <w:trPr>
          <w:trHeight w:val="317"/>
        </w:trPr>
        <w:tc>
          <w:tcPr>
            <w:tcW w:w="686" w:type="dxa"/>
            <w:vAlign w:val="center"/>
            <w:textDirection w:val="lrTb"/>
            <w:noWrap/>
          </w:tcPr>
          <w:p>
            <w:pPr>
              <w:pStyle w:val="1042"/>
              <w:jc w:val="center"/>
              <w:spacing w:before="96" w:line="183" w:lineRule="auto"/>
              <w:rPr>
                <w:i/>
                <w:iCs/>
                <w:sz w:val="18"/>
                <w:szCs w:val="18"/>
                <w:highlight w:val="none"/>
                <w:u w:val="single"/>
              </w:rPr>
            </w:pPr>
            <w:r>
              <w:rPr>
                <w:i/>
                <w:iCs/>
                <w:sz w:val="18"/>
                <w:szCs w:val="18"/>
                <w:highlight w:val="none"/>
                <w:u w:val="single"/>
              </w:rPr>
              <w:t xml:space="preserve">6</w:t>
            </w:r>
            <w:r/>
          </w:p>
        </w:tc>
        <w:tc>
          <w:tcPr>
            <w:tcW w:w="2104" w:type="dxa"/>
            <w:textDirection w:val="lrTb"/>
            <w:noWrap/>
          </w:tcPr>
          <w:p>
            <w:pPr>
              <w:pStyle w:val="1042"/>
              <w:jc w:val="center"/>
              <w:spacing w:before="67" w:line="221" w:lineRule="auto"/>
              <w:rPr>
                <w:i/>
                <w:iCs/>
                <w:sz w:val="18"/>
                <w:szCs w:val="18"/>
                <w:highlight w:val="none"/>
                <w:u w:val="single"/>
              </w:rPr>
            </w:pPr>
            <w:r>
              <w:rPr>
                <w:i/>
                <w:iCs/>
                <w:spacing w:val="-8"/>
                <w:sz w:val="18"/>
                <w:szCs w:val="18"/>
                <w:highlight w:val="none"/>
                <w:u w:val="single"/>
              </w:rPr>
              <w:t xml:space="preserve">电阻制动</w:t>
            </w:r>
            <w:r/>
          </w:p>
        </w:tc>
        <w:tc>
          <w:tcPr>
            <w:tcW w:w="7425" w:type="dxa"/>
            <w:textDirection w:val="lrTb"/>
            <w:noWrap/>
          </w:tcPr>
          <w:p>
            <w:pPr>
              <w:pStyle w:val="1042"/>
              <w:ind w:left="133"/>
              <w:spacing w:before="67" w:line="219" w:lineRule="auto"/>
              <w:rPr>
                <w:i/>
                <w:iCs/>
                <w:sz w:val="18"/>
                <w:szCs w:val="18"/>
                <w:highlight w:val="none"/>
                <w:u w:val="single"/>
              </w:rPr>
            </w:pPr>
            <w:r>
              <w:rPr>
                <w:i/>
                <w:iCs/>
                <w:spacing w:val="-1"/>
                <w:sz w:val="18"/>
                <w:szCs w:val="18"/>
                <w:highlight w:val="none"/>
                <w:u w:val="single"/>
              </w:rPr>
              <w:t xml:space="preserve">电梯减速时，曳引机产生再生能量</w:t>
            </w:r>
            <w:r>
              <w:rPr>
                <w:rFonts w:hint="eastAsia"/>
                <w:i/>
                <w:iCs/>
                <w:spacing w:val="-1"/>
                <w:sz w:val="18"/>
                <w:szCs w:val="18"/>
                <w:highlight w:val="none"/>
                <w:u w:val="single"/>
              </w:rPr>
              <w:t xml:space="preserve">，利</w:t>
            </w:r>
            <w:r>
              <w:rPr>
                <w:rFonts w:hint="eastAsia"/>
                <w:i/>
                <w:iCs/>
                <w:spacing w:val="-2"/>
                <w:sz w:val="18"/>
                <w:szCs w:val="18"/>
                <w:highlight w:val="none"/>
                <w:u w:val="single"/>
              </w:rPr>
              <w:t xml:space="preserve">旧甲方原有节能反馈装置，质保同电梯质保时间和要求。</w:t>
            </w:r>
            <w:r/>
          </w:p>
        </w:tc>
      </w:tr>
      <w:tr>
        <w:trPr>
          <w:trHeight w:val="629"/>
        </w:trPr>
        <w:tc>
          <w:tcPr>
            <w:tcW w:w="686" w:type="dxa"/>
            <w:vAlign w:val="center"/>
            <w:textDirection w:val="lrTb"/>
            <w:noWrap/>
          </w:tcPr>
          <w:p>
            <w:pPr>
              <w:pStyle w:val="1042"/>
              <w:jc w:val="center"/>
              <w:spacing w:before="252" w:line="182" w:lineRule="auto"/>
              <w:rPr>
                <w:i/>
                <w:iCs/>
                <w:sz w:val="18"/>
                <w:szCs w:val="18"/>
                <w:highlight w:val="none"/>
                <w:u w:val="single"/>
              </w:rPr>
            </w:pPr>
            <w:r>
              <w:rPr>
                <w:i/>
                <w:iCs/>
                <w:sz w:val="18"/>
                <w:szCs w:val="18"/>
                <w:highlight w:val="none"/>
                <w:u w:val="single"/>
              </w:rPr>
              <w:t xml:space="preserve">7</w:t>
            </w:r>
            <w:r/>
          </w:p>
        </w:tc>
        <w:tc>
          <w:tcPr>
            <w:tcW w:w="2104" w:type="dxa"/>
            <w:textDirection w:val="lrTb"/>
            <w:noWrap/>
          </w:tcPr>
          <w:p>
            <w:pPr>
              <w:pStyle w:val="1042"/>
              <w:jc w:val="center"/>
              <w:spacing w:before="223" w:line="220" w:lineRule="auto"/>
              <w:rPr>
                <w:i/>
                <w:iCs/>
                <w:sz w:val="18"/>
                <w:szCs w:val="18"/>
                <w:highlight w:val="none"/>
                <w:u w:val="single"/>
              </w:rPr>
            </w:pPr>
            <w:r>
              <w:rPr>
                <w:i/>
                <w:iCs/>
                <w:spacing w:val="-2"/>
                <w:sz w:val="18"/>
                <w:szCs w:val="18"/>
                <w:highlight w:val="none"/>
                <w:u w:val="single"/>
              </w:rPr>
              <w:t xml:space="preserve">缓冲器开关</w:t>
            </w:r>
            <w:r/>
          </w:p>
        </w:tc>
        <w:tc>
          <w:tcPr>
            <w:tcW w:w="7425" w:type="dxa"/>
            <w:textDirection w:val="lrTb"/>
            <w:noWrap/>
          </w:tcPr>
          <w:p>
            <w:pPr>
              <w:pStyle w:val="1042"/>
              <w:ind w:left="114" w:right="107" w:hanging="2"/>
              <w:spacing w:before="67" w:line="283" w:lineRule="auto"/>
              <w:rPr>
                <w:i/>
                <w:iCs/>
                <w:sz w:val="18"/>
                <w:szCs w:val="18"/>
                <w:highlight w:val="none"/>
                <w:u w:val="single"/>
              </w:rPr>
            </w:pPr>
            <w:r>
              <w:rPr>
                <w:i/>
                <w:iCs/>
                <w:spacing w:val="2"/>
                <w:sz w:val="18"/>
                <w:szCs w:val="18"/>
                <w:highlight w:val="none"/>
                <w:u w:val="single"/>
              </w:rPr>
              <w:t xml:space="preserve">所投产品必须采用液压缓冲器，缓冲器的安全监察开关</w:t>
            </w:r>
            <w:r>
              <w:rPr>
                <w:i/>
                <w:iCs/>
                <w:spacing w:val="1"/>
                <w:sz w:val="18"/>
                <w:szCs w:val="18"/>
                <w:highlight w:val="none"/>
                <w:u w:val="single"/>
              </w:rPr>
              <w:t xml:space="preserve">，反馈缓冲器</w:t>
            </w:r>
            <w:r>
              <w:rPr>
                <w:i/>
                <w:iCs/>
                <w:spacing w:val="-2"/>
                <w:sz w:val="18"/>
                <w:szCs w:val="18"/>
                <w:highlight w:val="none"/>
                <w:u w:val="single"/>
              </w:rPr>
              <w:t xml:space="preserve">工作状况。</w:t>
            </w:r>
            <w:r/>
          </w:p>
        </w:tc>
      </w:tr>
      <w:tr>
        <w:trPr>
          <w:trHeight w:val="628"/>
        </w:trPr>
        <w:tc>
          <w:tcPr>
            <w:tcW w:w="686" w:type="dxa"/>
            <w:vAlign w:val="center"/>
            <w:textDirection w:val="lrTb"/>
            <w:noWrap/>
          </w:tcPr>
          <w:p>
            <w:pPr>
              <w:pStyle w:val="1042"/>
              <w:jc w:val="center"/>
              <w:spacing w:before="253" w:line="183" w:lineRule="auto"/>
              <w:rPr>
                <w:i/>
                <w:iCs/>
                <w:sz w:val="18"/>
                <w:szCs w:val="18"/>
                <w:highlight w:val="none"/>
                <w:u w:val="single"/>
              </w:rPr>
            </w:pPr>
            <w:r>
              <w:rPr>
                <w:i/>
                <w:iCs/>
                <w:sz w:val="18"/>
                <w:szCs w:val="18"/>
                <w:highlight w:val="none"/>
                <w:u w:val="single"/>
              </w:rPr>
              <w:t xml:space="preserve">8</w:t>
            </w:r>
            <w:r/>
          </w:p>
        </w:tc>
        <w:tc>
          <w:tcPr>
            <w:tcW w:w="2104" w:type="dxa"/>
            <w:textDirection w:val="lrTb"/>
            <w:noWrap/>
          </w:tcPr>
          <w:p>
            <w:pPr>
              <w:pStyle w:val="1042"/>
              <w:jc w:val="center"/>
              <w:spacing w:before="225" w:line="220" w:lineRule="auto"/>
              <w:rPr>
                <w:i/>
                <w:iCs/>
                <w:sz w:val="18"/>
                <w:szCs w:val="18"/>
                <w:highlight w:val="none"/>
                <w:u w:val="single"/>
              </w:rPr>
            </w:pPr>
            <w:r>
              <w:rPr>
                <w:i/>
                <w:iCs/>
                <w:spacing w:val="-3"/>
                <w:sz w:val="18"/>
                <w:szCs w:val="18"/>
                <w:highlight w:val="none"/>
                <w:u w:val="single"/>
              </w:rPr>
              <w:t xml:space="preserve">关门按钮</w:t>
            </w:r>
            <w:r/>
          </w:p>
        </w:tc>
        <w:tc>
          <w:tcPr>
            <w:tcW w:w="7425" w:type="dxa"/>
            <w:textDirection w:val="lrTb"/>
            <w:noWrap/>
          </w:tcPr>
          <w:p>
            <w:pPr>
              <w:pStyle w:val="1042"/>
              <w:ind w:left="112" w:right="107" w:firstLine="11"/>
              <w:spacing w:before="70" w:line="281" w:lineRule="auto"/>
              <w:rPr>
                <w:i/>
                <w:iCs/>
                <w:sz w:val="18"/>
                <w:szCs w:val="18"/>
                <w:highlight w:val="none"/>
                <w:u w:val="single"/>
              </w:rPr>
            </w:pPr>
            <w:r>
              <w:rPr>
                <w:i/>
                <w:iCs/>
                <w:spacing w:val="1"/>
                <w:sz w:val="18"/>
                <w:szCs w:val="18"/>
                <w:highlight w:val="none"/>
                <w:u w:val="single"/>
              </w:rPr>
              <w:t xml:space="preserve">当乘用/离开的乘客均已进/出轿厢后，轿厢内的乘客按关门按钮，使</w:t>
            </w:r>
            <w:r>
              <w:rPr>
                <w:i/>
                <w:iCs/>
                <w:spacing w:val="-1"/>
                <w:sz w:val="18"/>
                <w:szCs w:val="18"/>
                <w:highlight w:val="none"/>
                <w:u w:val="single"/>
              </w:rPr>
              <w:t xml:space="preserve">轿厢门立即关闭。</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z w:val="18"/>
                <w:szCs w:val="18"/>
                <w:highlight w:val="none"/>
                <w:u w:val="single"/>
              </w:rPr>
              <w:t xml:space="preserve">9</w:t>
            </w:r>
            <w:r/>
          </w:p>
        </w:tc>
        <w:tc>
          <w:tcPr>
            <w:tcW w:w="2104" w:type="dxa"/>
            <w:textDirection w:val="lrTb"/>
            <w:noWrap/>
          </w:tcPr>
          <w:p>
            <w:pPr>
              <w:pStyle w:val="1042"/>
              <w:jc w:val="center"/>
              <w:spacing w:before="225" w:line="220" w:lineRule="auto"/>
              <w:rPr>
                <w:i/>
                <w:iCs/>
                <w:sz w:val="18"/>
                <w:szCs w:val="18"/>
                <w:highlight w:val="none"/>
                <w:u w:val="single"/>
              </w:rPr>
            </w:pPr>
            <w:r>
              <w:rPr>
                <w:i/>
                <w:iCs/>
                <w:spacing w:val="-1"/>
                <w:sz w:val="18"/>
                <w:szCs w:val="18"/>
                <w:highlight w:val="none"/>
                <w:u w:val="single"/>
              </w:rPr>
              <w:t xml:space="preserve">开门按钮（常开触点）</w:t>
            </w:r>
            <w:r/>
          </w:p>
        </w:tc>
        <w:tc>
          <w:tcPr>
            <w:tcW w:w="7425" w:type="dxa"/>
            <w:textDirection w:val="lrTb"/>
            <w:noWrap/>
          </w:tcPr>
          <w:p>
            <w:pPr>
              <w:pStyle w:val="1042"/>
              <w:ind w:left="112" w:right="108" w:firstLine="2"/>
              <w:spacing w:before="69" w:line="282" w:lineRule="auto"/>
              <w:rPr>
                <w:i/>
                <w:iCs/>
                <w:sz w:val="18"/>
                <w:szCs w:val="18"/>
                <w:highlight w:val="none"/>
                <w:u w:val="single"/>
              </w:rPr>
            </w:pPr>
            <w:r>
              <w:rPr>
                <w:i/>
                <w:iCs/>
                <w:spacing w:val="2"/>
                <w:sz w:val="18"/>
                <w:szCs w:val="18"/>
                <w:highlight w:val="none"/>
                <w:u w:val="single"/>
              </w:rPr>
              <w:t xml:space="preserve">按轿厢内的开门按钮可以打开正在关闭的门，以防</w:t>
            </w:r>
            <w:r>
              <w:rPr>
                <w:i/>
                <w:iCs/>
                <w:spacing w:val="1"/>
                <w:sz w:val="18"/>
                <w:szCs w:val="18"/>
                <w:highlight w:val="none"/>
                <w:u w:val="single"/>
              </w:rPr>
              <w:t xml:space="preserve">止乘客及物品被夹</w:t>
            </w:r>
            <w:r>
              <w:rPr>
                <w:i/>
                <w:iCs/>
                <w:spacing w:val="-4"/>
                <w:sz w:val="18"/>
                <w:szCs w:val="18"/>
                <w:highlight w:val="none"/>
                <w:u w:val="single"/>
              </w:rPr>
              <w:t xml:space="preserve">住。</w:t>
            </w:r>
            <w:r/>
          </w:p>
        </w:tc>
      </w:tr>
      <w:tr>
        <w:trPr>
          <w:trHeight w:val="317"/>
        </w:trPr>
        <w:tc>
          <w:tcPr>
            <w:tcW w:w="686" w:type="dxa"/>
            <w:vAlign w:val="center"/>
            <w:textDirection w:val="lrTb"/>
            <w:noWrap/>
          </w:tcPr>
          <w:p>
            <w:pPr>
              <w:pStyle w:val="1042"/>
              <w:jc w:val="center"/>
              <w:spacing w:before="96" w:line="184" w:lineRule="auto"/>
              <w:rPr>
                <w:i/>
                <w:iCs/>
                <w:sz w:val="18"/>
                <w:szCs w:val="18"/>
                <w:highlight w:val="none"/>
                <w:u w:val="single"/>
              </w:rPr>
            </w:pPr>
            <w:r>
              <w:rPr>
                <w:i/>
                <w:iCs/>
                <w:spacing w:val="-10"/>
                <w:sz w:val="18"/>
                <w:szCs w:val="18"/>
                <w:highlight w:val="none"/>
                <w:u w:val="single"/>
              </w:rPr>
              <w:t xml:space="preserve">10</w:t>
            </w:r>
            <w:r/>
          </w:p>
        </w:tc>
        <w:tc>
          <w:tcPr>
            <w:tcW w:w="2104" w:type="dxa"/>
            <w:textDirection w:val="lrTb"/>
            <w:noWrap/>
          </w:tcPr>
          <w:p>
            <w:pPr>
              <w:pStyle w:val="1042"/>
              <w:jc w:val="center"/>
              <w:spacing w:before="69" w:line="220" w:lineRule="auto"/>
              <w:rPr>
                <w:i/>
                <w:iCs/>
                <w:sz w:val="18"/>
                <w:szCs w:val="18"/>
                <w:highlight w:val="none"/>
                <w:u w:val="single"/>
              </w:rPr>
            </w:pPr>
            <w:r>
              <w:rPr>
                <w:i/>
                <w:iCs/>
                <w:spacing w:val="-2"/>
                <w:sz w:val="18"/>
                <w:szCs w:val="18"/>
                <w:highlight w:val="none"/>
                <w:u w:val="single"/>
              </w:rPr>
              <w:t xml:space="preserve">紧急电动运行</w:t>
            </w:r>
            <w:r/>
          </w:p>
        </w:tc>
        <w:tc>
          <w:tcPr>
            <w:tcW w:w="7425" w:type="dxa"/>
            <w:textDirection w:val="lrTb"/>
            <w:noWrap/>
          </w:tcPr>
          <w:p>
            <w:pPr>
              <w:pStyle w:val="1042"/>
              <w:ind w:left="124"/>
              <w:spacing w:before="69" w:line="220" w:lineRule="auto"/>
              <w:rPr>
                <w:i/>
                <w:iCs/>
                <w:sz w:val="18"/>
                <w:szCs w:val="18"/>
                <w:highlight w:val="none"/>
                <w:u w:val="single"/>
              </w:rPr>
            </w:pPr>
            <w:r>
              <w:rPr>
                <w:i/>
                <w:iCs/>
                <w:spacing w:val="-1"/>
                <w:sz w:val="18"/>
                <w:szCs w:val="18"/>
                <w:highlight w:val="none"/>
                <w:u w:val="single"/>
              </w:rPr>
              <w:t xml:space="preserve">当允许的部分安全回路断开时，使用该组按钮可移动轿厢。</w:t>
            </w:r>
            <w:r/>
          </w:p>
        </w:tc>
      </w:tr>
      <w:tr>
        <w:trPr>
          <w:trHeight w:val="317"/>
        </w:trPr>
        <w:tc>
          <w:tcPr>
            <w:tcW w:w="686" w:type="dxa"/>
            <w:vAlign w:val="center"/>
            <w:textDirection w:val="lrTb"/>
            <w:noWrap/>
          </w:tcPr>
          <w:p>
            <w:pPr>
              <w:pStyle w:val="1042"/>
              <w:jc w:val="center"/>
              <w:spacing w:before="96" w:line="184" w:lineRule="auto"/>
              <w:rPr>
                <w:i/>
                <w:iCs/>
                <w:sz w:val="18"/>
                <w:szCs w:val="18"/>
                <w:highlight w:val="none"/>
                <w:u w:val="single"/>
              </w:rPr>
            </w:pPr>
            <w:r>
              <w:rPr>
                <w:i/>
                <w:iCs/>
                <w:spacing w:val="-10"/>
                <w:sz w:val="18"/>
                <w:szCs w:val="18"/>
                <w:highlight w:val="none"/>
                <w:u w:val="single"/>
              </w:rPr>
              <w:t xml:space="preserve">11</w:t>
            </w:r>
            <w:r/>
          </w:p>
        </w:tc>
        <w:tc>
          <w:tcPr>
            <w:tcW w:w="2104" w:type="dxa"/>
            <w:textDirection w:val="lrTb"/>
            <w:noWrap/>
          </w:tcPr>
          <w:p>
            <w:pPr>
              <w:pStyle w:val="1042"/>
              <w:jc w:val="center"/>
              <w:spacing w:before="69" w:line="220" w:lineRule="auto"/>
              <w:rPr>
                <w:i/>
                <w:iCs/>
                <w:sz w:val="18"/>
                <w:szCs w:val="18"/>
                <w:highlight w:val="none"/>
                <w:u w:val="single"/>
              </w:rPr>
            </w:pPr>
            <w:r>
              <w:rPr>
                <w:i/>
                <w:iCs/>
                <w:spacing w:val="-2"/>
                <w:sz w:val="18"/>
                <w:szCs w:val="18"/>
                <w:highlight w:val="none"/>
                <w:u w:val="single"/>
              </w:rPr>
              <w:t xml:space="preserve">层高自测定功能</w:t>
            </w:r>
            <w:r/>
          </w:p>
        </w:tc>
        <w:tc>
          <w:tcPr>
            <w:tcW w:w="7425" w:type="dxa"/>
            <w:textDirection w:val="lrTb"/>
            <w:noWrap/>
          </w:tcPr>
          <w:p>
            <w:pPr>
              <w:pStyle w:val="1042"/>
              <w:ind w:left="115"/>
              <w:spacing w:before="69" w:line="220" w:lineRule="auto"/>
              <w:rPr>
                <w:i/>
                <w:iCs/>
                <w:sz w:val="18"/>
                <w:szCs w:val="18"/>
                <w:highlight w:val="none"/>
                <w:u w:val="single"/>
              </w:rPr>
            </w:pPr>
            <w:r>
              <w:rPr>
                <w:i/>
                <w:iCs/>
                <w:spacing w:val="-1"/>
                <w:sz w:val="18"/>
                <w:szCs w:val="18"/>
                <w:highlight w:val="none"/>
                <w:u w:val="single"/>
              </w:rPr>
              <w:t xml:space="preserve">如果电梯丢失楼层位置信号，电梯自动返回端站进行同步校正。</w:t>
            </w:r>
            <w:r/>
          </w:p>
        </w:tc>
      </w:tr>
      <w:tr>
        <w:trPr>
          <w:trHeight w:val="629"/>
        </w:trPr>
        <w:tc>
          <w:tcPr>
            <w:tcW w:w="686" w:type="dxa"/>
            <w:vAlign w:val="center"/>
            <w:textDirection w:val="lrTb"/>
            <w:noWrap/>
          </w:tcPr>
          <w:p>
            <w:pPr>
              <w:pStyle w:val="1042"/>
              <w:jc w:val="center"/>
              <w:spacing w:before="252" w:line="184" w:lineRule="auto"/>
              <w:rPr>
                <w:i/>
                <w:iCs/>
                <w:sz w:val="18"/>
                <w:szCs w:val="18"/>
                <w:highlight w:val="none"/>
                <w:u w:val="single"/>
              </w:rPr>
            </w:pPr>
            <w:r>
              <w:rPr>
                <w:i/>
                <w:iCs/>
                <w:spacing w:val="-10"/>
                <w:sz w:val="18"/>
                <w:szCs w:val="18"/>
                <w:highlight w:val="none"/>
                <w:u w:val="single"/>
              </w:rPr>
              <w:t xml:space="preserve">12</w:t>
            </w:r>
            <w:r/>
          </w:p>
        </w:tc>
        <w:tc>
          <w:tcPr>
            <w:tcW w:w="2104" w:type="dxa"/>
            <w:textDirection w:val="lrTb"/>
            <w:noWrap/>
          </w:tcPr>
          <w:p>
            <w:pPr>
              <w:pStyle w:val="1042"/>
              <w:jc w:val="center"/>
              <w:spacing w:before="224" w:line="220" w:lineRule="auto"/>
              <w:rPr>
                <w:i/>
                <w:iCs/>
                <w:sz w:val="18"/>
                <w:szCs w:val="18"/>
                <w:highlight w:val="none"/>
                <w:u w:val="single"/>
              </w:rPr>
            </w:pPr>
            <w:r>
              <w:rPr>
                <w:i/>
                <w:iCs/>
                <w:spacing w:val="-1"/>
                <w:sz w:val="18"/>
                <w:szCs w:val="18"/>
                <w:highlight w:val="none"/>
                <w:u w:val="single"/>
              </w:rPr>
              <w:t xml:space="preserve">停电应急照明功能</w:t>
            </w:r>
            <w:r/>
          </w:p>
        </w:tc>
        <w:tc>
          <w:tcPr>
            <w:tcW w:w="7425" w:type="dxa"/>
            <w:textDirection w:val="lrTb"/>
            <w:noWrap/>
          </w:tcPr>
          <w:p>
            <w:pPr>
              <w:pStyle w:val="1042"/>
              <w:ind w:left="119" w:right="108" w:hanging="7"/>
              <w:spacing w:before="69" w:line="282" w:lineRule="auto"/>
              <w:rPr>
                <w:i/>
                <w:iCs/>
                <w:sz w:val="18"/>
                <w:szCs w:val="18"/>
                <w:highlight w:val="none"/>
                <w:u w:val="single"/>
              </w:rPr>
            </w:pPr>
            <w:r>
              <w:rPr>
                <w:i/>
                <w:iCs/>
                <w:spacing w:val="2"/>
                <w:sz w:val="18"/>
                <w:szCs w:val="18"/>
                <w:highlight w:val="none"/>
                <w:u w:val="single"/>
              </w:rPr>
              <w:t xml:space="preserve">供电中断，应急灯立即点亮，向轿厢提供照明（应急灯</w:t>
            </w:r>
            <w:r>
              <w:rPr>
                <w:i/>
                <w:iCs/>
                <w:spacing w:val="1"/>
                <w:sz w:val="18"/>
                <w:szCs w:val="18"/>
                <w:highlight w:val="none"/>
                <w:u w:val="single"/>
              </w:rPr>
              <w:t xml:space="preserve">应采用免维护</w:t>
            </w:r>
            <w:r>
              <w:rPr>
                <w:i/>
                <w:iCs/>
                <w:spacing w:val="-1"/>
                <w:sz w:val="18"/>
                <w:szCs w:val="18"/>
                <w:highlight w:val="none"/>
                <w:u w:val="single"/>
              </w:rPr>
              <w:t xml:space="preserve">蓄电池自动充电，照明功率≥8W 供电时间应不小于 4 小时）</w:t>
            </w:r>
            <w:r/>
          </w:p>
        </w:tc>
      </w:tr>
      <w:tr>
        <w:trPr>
          <w:trHeight w:val="685"/>
        </w:trPr>
        <w:tc>
          <w:tcPr>
            <w:tcW w:w="686" w:type="dxa"/>
            <w:vAlign w:val="center"/>
            <w:textDirection w:val="lrTb"/>
            <w:noWrap/>
          </w:tcPr>
          <w:p>
            <w:pPr>
              <w:pStyle w:val="1042"/>
              <w:jc w:val="center"/>
              <w:spacing w:before="58" w:line="184" w:lineRule="auto"/>
              <w:rPr>
                <w:i/>
                <w:iCs/>
                <w:sz w:val="18"/>
                <w:szCs w:val="18"/>
                <w:highlight w:val="none"/>
                <w:u w:val="single"/>
              </w:rPr>
            </w:pPr>
            <w:r>
              <w:rPr>
                <w:i/>
                <w:iCs/>
                <w:spacing w:val="-10"/>
                <w:sz w:val="18"/>
                <w:szCs w:val="18"/>
                <w:highlight w:val="none"/>
                <w:u w:val="single"/>
              </w:rPr>
              <w:t xml:space="preserve">13</w:t>
            </w:r>
            <w:r/>
          </w:p>
        </w:tc>
        <w:tc>
          <w:tcPr>
            <w:tcW w:w="2104" w:type="dxa"/>
            <w:textDirection w:val="lrTb"/>
            <w:noWrap/>
          </w:tcPr>
          <w:p>
            <w:pPr>
              <w:pStyle w:val="1042"/>
              <w:jc w:val="center"/>
              <w:spacing w:before="58" w:line="219" w:lineRule="auto"/>
              <w:rPr>
                <w:i/>
                <w:iCs/>
                <w:sz w:val="18"/>
                <w:szCs w:val="18"/>
                <w:highlight w:val="none"/>
                <w:u w:val="single"/>
              </w:rPr>
            </w:pPr>
            <w:r>
              <w:rPr>
                <w:i/>
                <w:iCs/>
                <w:spacing w:val="-2"/>
                <w:sz w:val="18"/>
                <w:szCs w:val="18"/>
                <w:highlight w:val="none"/>
                <w:u w:val="single"/>
              </w:rPr>
              <w:t xml:space="preserve">应急电池供电</w:t>
            </w:r>
            <w:r/>
          </w:p>
        </w:tc>
        <w:tc>
          <w:tcPr>
            <w:tcW w:w="7425" w:type="dxa"/>
            <w:textDirection w:val="lrTb"/>
            <w:noWrap/>
          </w:tcPr>
          <w:p>
            <w:pPr>
              <w:pStyle w:val="1042"/>
              <w:ind w:left="112" w:right="108"/>
              <w:spacing w:before="67" w:line="295" w:lineRule="auto"/>
              <w:rPr>
                <w:i/>
                <w:iCs/>
                <w:sz w:val="18"/>
                <w:szCs w:val="18"/>
                <w:highlight w:val="none"/>
                <w:u w:val="single"/>
              </w:rPr>
            </w:pPr>
            <w:r>
              <w:rPr>
                <w:i/>
                <w:iCs/>
                <w:spacing w:val="2"/>
                <w:sz w:val="18"/>
                <w:szCs w:val="18"/>
                <w:highlight w:val="none"/>
                <w:u w:val="single"/>
              </w:rPr>
              <w:t xml:space="preserve">应急电池始终给电梯报警系统和</w:t>
            </w:r>
            <w:r>
              <w:rPr>
                <w:rFonts w:hint="eastAsia"/>
                <w:i/>
                <w:iCs/>
                <w:spacing w:val="2"/>
                <w:sz w:val="18"/>
                <w:szCs w:val="18"/>
                <w:highlight w:val="none"/>
                <w:u w:val="single"/>
              </w:rPr>
              <w:t xml:space="preserve">院方安装的</w:t>
            </w:r>
            <w:r>
              <w:rPr>
                <w:i/>
                <w:iCs/>
                <w:spacing w:val="2"/>
                <w:sz w:val="18"/>
                <w:szCs w:val="18"/>
                <w:highlight w:val="none"/>
                <w:u w:val="single"/>
              </w:rPr>
              <w:t xml:space="preserve">电梯</w:t>
            </w:r>
            <w:r>
              <w:rPr>
                <w:rFonts w:hint="eastAsia"/>
                <w:i/>
                <w:iCs/>
                <w:spacing w:val="2"/>
                <w:sz w:val="18"/>
                <w:szCs w:val="18"/>
                <w:highlight w:val="none"/>
                <w:u w:val="single"/>
              </w:rPr>
              <w:t xml:space="preserve">一键</w:t>
            </w:r>
            <w:r>
              <w:rPr>
                <w:i/>
                <w:iCs/>
                <w:spacing w:val="2"/>
                <w:sz w:val="18"/>
                <w:szCs w:val="18"/>
                <w:highlight w:val="none"/>
                <w:u w:val="single"/>
              </w:rPr>
              <w:t xml:space="preserve">报警系统供电，并在轿厢照明电源</w:t>
            </w:r>
            <w:r>
              <w:rPr>
                <w:i/>
                <w:iCs/>
                <w:spacing w:val="1"/>
                <w:sz w:val="18"/>
                <w:szCs w:val="18"/>
                <w:highlight w:val="none"/>
                <w:u w:val="single"/>
              </w:rPr>
              <w:t xml:space="preserve">故障时给轿厢</w:t>
            </w:r>
            <w:r>
              <w:rPr>
                <w:i/>
                <w:iCs/>
                <w:spacing w:val="2"/>
                <w:sz w:val="18"/>
                <w:szCs w:val="18"/>
                <w:highlight w:val="none"/>
                <w:u w:val="single"/>
              </w:rPr>
              <w:t xml:space="preserve">应急照明灯供电。电池在电梯正常时自动充电，且电池</w:t>
            </w:r>
            <w:r>
              <w:rPr>
                <w:i/>
                <w:iCs/>
                <w:spacing w:val="1"/>
                <w:sz w:val="18"/>
                <w:szCs w:val="18"/>
                <w:highlight w:val="none"/>
                <w:u w:val="single"/>
              </w:rPr>
              <w:t xml:space="preserve">状况及其电量</w:t>
            </w:r>
            <w:r>
              <w:rPr>
                <w:i/>
                <w:iCs/>
                <w:spacing w:val="-2"/>
                <w:sz w:val="18"/>
                <w:szCs w:val="18"/>
                <w:highlight w:val="none"/>
                <w:u w:val="single"/>
              </w:rPr>
              <w:t xml:space="preserve">一直被监控。</w:t>
            </w:r>
            <w:r/>
          </w:p>
        </w:tc>
      </w:tr>
      <w:tr>
        <w:trPr>
          <w:trHeight w:val="629"/>
        </w:trPr>
        <w:tc>
          <w:tcPr>
            <w:tcW w:w="686" w:type="dxa"/>
            <w:vAlign w:val="center"/>
            <w:textDirection w:val="lrTb"/>
            <w:noWrap/>
          </w:tcPr>
          <w:p>
            <w:pPr>
              <w:pStyle w:val="1042"/>
              <w:jc w:val="center"/>
              <w:spacing w:before="254" w:line="184" w:lineRule="auto"/>
              <w:rPr>
                <w:i/>
                <w:iCs/>
                <w:sz w:val="18"/>
                <w:szCs w:val="18"/>
                <w:highlight w:val="none"/>
                <w:u w:val="single"/>
              </w:rPr>
            </w:pPr>
            <w:r>
              <w:rPr>
                <w:i/>
                <w:iCs/>
                <w:spacing w:val="-10"/>
                <w:sz w:val="18"/>
                <w:szCs w:val="18"/>
                <w:highlight w:val="none"/>
                <w:u w:val="single"/>
              </w:rPr>
              <w:t xml:space="preserve">14</w:t>
            </w:r>
            <w:r/>
          </w:p>
        </w:tc>
        <w:tc>
          <w:tcPr>
            <w:tcW w:w="2104" w:type="dxa"/>
            <w:textDirection w:val="lrTb"/>
            <w:noWrap/>
          </w:tcPr>
          <w:p>
            <w:pPr>
              <w:pStyle w:val="1042"/>
              <w:jc w:val="center"/>
              <w:spacing w:before="226" w:line="222" w:lineRule="auto"/>
              <w:rPr>
                <w:i/>
                <w:iCs/>
                <w:sz w:val="18"/>
                <w:szCs w:val="18"/>
                <w:highlight w:val="none"/>
                <w:u w:val="single"/>
              </w:rPr>
            </w:pPr>
            <w:r>
              <w:rPr>
                <w:i/>
                <w:iCs/>
                <w:spacing w:val="-3"/>
                <w:sz w:val="18"/>
                <w:szCs w:val="18"/>
                <w:highlight w:val="none"/>
                <w:u w:val="single"/>
              </w:rPr>
              <w:t xml:space="preserve">五方通话</w:t>
            </w:r>
            <w:r/>
          </w:p>
        </w:tc>
        <w:tc>
          <w:tcPr>
            <w:tcW w:w="7425" w:type="dxa"/>
            <w:textDirection w:val="lrTb"/>
            <w:noWrap/>
          </w:tcPr>
          <w:p>
            <w:pPr>
              <w:pStyle w:val="1042"/>
              <w:ind w:left="112" w:right="108"/>
              <w:spacing w:before="71" w:line="281" w:lineRule="auto"/>
              <w:rPr>
                <w:i/>
                <w:iCs/>
                <w:sz w:val="18"/>
                <w:szCs w:val="18"/>
                <w:highlight w:val="none"/>
                <w:u w:val="single"/>
              </w:rPr>
            </w:pPr>
            <w:r>
              <w:rPr>
                <w:i/>
                <w:iCs/>
                <w:spacing w:val="2"/>
                <w:sz w:val="18"/>
                <w:szCs w:val="18"/>
                <w:highlight w:val="none"/>
                <w:u w:val="single"/>
              </w:rPr>
              <w:t xml:space="preserve">通过对讲机，使轿厢、轿顶、底坑、机房和救援服务值</w:t>
            </w:r>
            <w:r>
              <w:rPr>
                <w:i/>
                <w:iCs/>
                <w:spacing w:val="1"/>
                <w:sz w:val="18"/>
                <w:szCs w:val="18"/>
                <w:highlight w:val="none"/>
                <w:u w:val="single"/>
              </w:rPr>
              <w:t xml:space="preserve">班室之间可以</w:t>
            </w:r>
            <w:r>
              <w:rPr>
                <w:i/>
                <w:iCs/>
                <w:spacing w:val="-1"/>
                <w:sz w:val="18"/>
                <w:szCs w:val="18"/>
                <w:highlight w:val="none"/>
                <w:u w:val="single"/>
              </w:rPr>
              <w:t xml:space="preserve">通话。配备五方对讲机。</w:t>
            </w:r>
            <w:r/>
          </w:p>
        </w:tc>
      </w:tr>
      <w:tr>
        <w:trPr>
          <w:trHeight w:val="317"/>
        </w:trPr>
        <w:tc>
          <w:tcPr>
            <w:tcW w:w="686" w:type="dxa"/>
            <w:vAlign w:val="center"/>
            <w:textDirection w:val="lrTb"/>
            <w:noWrap/>
          </w:tcPr>
          <w:p>
            <w:pPr>
              <w:pStyle w:val="1042"/>
              <w:jc w:val="center"/>
              <w:spacing w:before="98" w:line="184" w:lineRule="auto"/>
              <w:rPr>
                <w:i/>
                <w:iCs/>
                <w:sz w:val="18"/>
                <w:szCs w:val="18"/>
                <w:highlight w:val="none"/>
                <w:u w:val="single"/>
              </w:rPr>
            </w:pPr>
            <w:r>
              <w:rPr>
                <w:i/>
                <w:iCs/>
                <w:spacing w:val="-10"/>
                <w:sz w:val="18"/>
                <w:szCs w:val="18"/>
                <w:highlight w:val="none"/>
                <w:u w:val="single"/>
              </w:rPr>
              <w:t xml:space="preserve">15</w:t>
            </w:r>
            <w:r/>
          </w:p>
        </w:tc>
        <w:tc>
          <w:tcPr>
            <w:tcW w:w="2104" w:type="dxa"/>
            <w:textDirection w:val="lrTb"/>
            <w:noWrap/>
          </w:tcPr>
          <w:p>
            <w:pPr>
              <w:pStyle w:val="1042"/>
              <w:jc w:val="center"/>
              <w:spacing w:before="70" w:line="220" w:lineRule="auto"/>
              <w:rPr>
                <w:i/>
                <w:iCs/>
                <w:sz w:val="18"/>
                <w:szCs w:val="18"/>
                <w:highlight w:val="none"/>
                <w:u w:val="single"/>
              </w:rPr>
            </w:pPr>
            <w:r>
              <w:rPr>
                <w:i/>
                <w:iCs/>
                <w:spacing w:val="-2"/>
                <w:sz w:val="18"/>
                <w:szCs w:val="18"/>
                <w:highlight w:val="none"/>
                <w:u w:val="single"/>
              </w:rPr>
              <w:t xml:space="preserve">检修运行</w:t>
            </w:r>
            <w:r/>
          </w:p>
        </w:tc>
        <w:tc>
          <w:tcPr>
            <w:tcW w:w="7425" w:type="dxa"/>
            <w:textDirection w:val="lrTb"/>
            <w:noWrap/>
          </w:tcPr>
          <w:p>
            <w:pPr>
              <w:pStyle w:val="1042"/>
              <w:ind w:left="112"/>
              <w:spacing w:before="70" w:line="220" w:lineRule="auto"/>
              <w:rPr>
                <w:i/>
                <w:iCs/>
                <w:sz w:val="18"/>
                <w:szCs w:val="18"/>
                <w:highlight w:val="none"/>
                <w:u w:val="single"/>
              </w:rPr>
            </w:pPr>
            <w:r>
              <w:rPr>
                <w:i/>
                <w:iCs/>
                <w:spacing w:val="-1"/>
                <w:sz w:val="18"/>
                <w:szCs w:val="18"/>
                <w:highlight w:val="none"/>
                <w:u w:val="single"/>
              </w:rPr>
              <w:t xml:space="preserve">在检修运行模式</w:t>
            </w:r>
            <w:r>
              <w:rPr>
                <w:rFonts w:hint="eastAsia"/>
                <w:i/>
                <w:iCs/>
                <w:spacing w:val="-1"/>
                <w:sz w:val="18"/>
                <w:szCs w:val="18"/>
                <w:highlight w:val="none"/>
                <w:u w:val="single"/>
              </w:rPr>
              <w:t xml:space="preserve">下</w:t>
            </w:r>
            <w:r>
              <w:rPr>
                <w:i/>
                <w:iCs/>
                <w:spacing w:val="-1"/>
                <w:sz w:val="18"/>
                <w:szCs w:val="18"/>
                <w:highlight w:val="none"/>
                <w:u w:val="single"/>
              </w:rPr>
              <w:t xml:space="preserve">，按检修运行按钮电梯以限定速度运行。</w:t>
            </w:r>
            <w:r/>
          </w:p>
        </w:tc>
      </w:tr>
      <w:tr>
        <w:trPr>
          <w:trHeight w:val="628"/>
        </w:trPr>
        <w:tc>
          <w:tcPr>
            <w:tcW w:w="686" w:type="dxa"/>
            <w:vAlign w:val="center"/>
            <w:textDirection w:val="lrTb"/>
            <w:noWrap/>
          </w:tcPr>
          <w:p>
            <w:pPr>
              <w:pStyle w:val="1042"/>
              <w:jc w:val="center"/>
              <w:spacing w:before="253" w:line="184" w:lineRule="auto"/>
              <w:rPr>
                <w:i/>
                <w:iCs/>
                <w:sz w:val="18"/>
                <w:szCs w:val="18"/>
                <w:highlight w:val="none"/>
                <w:u w:val="single"/>
              </w:rPr>
            </w:pPr>
            <w:r>
              <w:rPr>
                <w:i/>
                <w:iCs/>
                <w:spacing w:val="-10"/>
                <w:sz w:val="18"/>
                <w:szCs w:val="18"/>
                <w:highlight w:val="none"/>
                <w:u w:val="single"/>
              </w:rPr>
              <w:t xml:space="preserve">16</w:t>
            </w:r>
            <w:r/>
          </w:p>
        </w:tc>
        <w:tc>
          <w:tcPr>
            <w:tcW w:w="2104" w:type="dxa"/>
            <w:vAlign w:val="center"/>
            <w:textDirection w:val="lrTb"/>
            <w:noWrap/>
          </w:tcPr>
          <w:p>
            <w:pPr>
              <w:pStyle w:val="1042"/>
              <w:jc w:val="center"/>
              <w:spacing w:before="226" w:line="220" w:lineRule="auto"/>
              <w:rPr>
                <w:i/>
                <w:iCs/>
                <w:sz w:val="18"/>
                <w:szCs w:val="18"/>
                <w:highlight w:val="none"/>
                <w:u w:val="single"/>
              </w:rPr>
            </w:pPr>
            <w:r>
              <w:rPr>
                <w:i/>
                <w:iCs/>
                <w:spacing w:val="-1"/>
                <w:sz w:val="18"/>
                <w:szCs w:val="18"/>
                <w:highlight w:val="none"/>
                <w:u w:val="single"/>
              </w:rPr>
              <w:t xml:space="preserve">轿顶检修操作功能</w:t>
            </w:r>
            <w:r/>
          </w:p>
        </w:tc>
        <w:tc>
          <w:tcPr>
            <w:tcW w:w="7425" w:type="dxa"/>
            <w:vAlign w:val="center"/>
            <w:textDirection w:val="lrTb"/>
            <w:noWrap/>
          </w:tcPr>
          <w:p>
            <w:pPr>
              <w:pStyle w:val="1042"/>
              <w:ind w:right="108"/>
              <w:spacing w:before="70" w:line="281" w:lineRule="auto"/>
              <w:rPr>
                <w:i/>
                <w:iCs/>
                <w:sz w:val="18"/>
                <w:szCs w:val="18"/>
                <w:highlight w:val="none"/>
                <w:u w:val="single"/>
              </w:rPr>
            </w:pPr>
            <w:r>
              <w:rPr>
                <w:i/>
                <w:iCs/>
                <w:spacing w:val="2"/>
                <w:sz w:val="18"/>
                <w:szCs w:val="18"/>
                <w:highlight w:val="none"/>
                <w:u w:val="single"/>
              </w:rPr>
              <w:t xml:space="preserve">在检修运行模式下，持续按压独立设在轿顶的按钮，可</w:t>
            </w:r>
            <w:r>
              <w:rPr>
                <w:i/>
                <w:iCs/>
                <w:spacing w:val="1"/>
                <w:sz w:val="18"/>
                <w:szCs w:val="18"/>
                <w:highlight w:val="none"/>
                <w:u w:val="single"/>
              </w:rPr>
              <w:t xml:space="preserve">以控制轿厢开</w:t>
            </w:r>
            <w:r>
              <w:rPr>
                <w:i/>
                <w:iCs/>
                <w:spacing w:val="-6"/>
                <w:sz w:val="18"/>
                <w:szCs w:val="18"/>
                <w:highlight w:val="none"/>
                <w:u w:val="single"/>
              </w:rPr>
              <w:t xml:space="preserve">门或关门。</w:t>
            </w:r>
            <w:r/>
          </w:p>
        </w:tc>
      </w:tr>
      <w:tr>
        <w:trPr>
          <w:trHeight w:val="319"/>
        </w:trPr>
        <w:tc>
          <w:tcPr>
            <w:tcW w:w="686" w:type="dxa"/>
            <w:vAlign w:val="center"/>
            <w:textDirection w:val="lrTb"/>
            <w:noWrap/>
          </w:tcPr>
          <w:p>
            <w:pPr>
              <w:pStyle w:val="1042"/>
              <w:jc w:val="center"/>
              <w:spacing w:before="98" w:line="184" w:lineRule="auto"/>
              <w:rPr>
                <w:i/>
                <w:iCs/>
                <w:sz w:val="18"/>
                <w:szCs w:val="18"/>
                <w:highlight w:val="none"/>
                <w:u w:val="single"/>
              </w:rPr>
            </w:pPr>
            <w:r>
              <w:rPr>
                <w:i/>
                <w:iCs/>
                <w:spacing w:val="-10"/>
                <w:sz w:val="18"/>
                <w:szCs w:val="18"/>
                <w:highlight w:val="none"/>
                <w:u w:val="single"/>
              </w:rPr>
              <w:t xml:space="preserve">17</w:t>
            </w:r>
            <w:r/>
          </w:p>
        </w:tc>
        <w:tc>
          <w:tcPr>
            <w:tcW w:w="2104" w:type="dxa"/>
            <w:textDirection w:val="lrTb"/>
            <w:noWrap/>
          </w:tcPr>
          <w:p>
            <w:pPr>
              <w:pStyle w:val="1042"/>
              <w:jc w:val="center"/>
              <w:spacing w:before="70" w:line="221" w:lineRule="auto"/>
              <w:rPr>
                <w:i/>
                <w:iCs/>
                <w:sz w:val="18"/>
                <w:szCs w:val="18"/>
                <w:highlight w:val="none"/>
                <w:u w:val="single"/>
              </w:rPr>
            </w:pPr>
            <w:r>
              <w:rPr>
                <w:i/>
                <w:iCs/>
                <w:spacing w:val="-2"/>
                <w:sz w:val="18"/>
                <w:szCs w:val="18"/>
                <w:highlight w:val="none"/>
                <w:u w:val="single"/>
              </w:rPr>
              <w:t xml:space="preserve">轿门触点</w:t>
            </w:r>
            <w:r/>
          </w:p>
        </w:tc>
        <w:tc>
          <w:tcPr>
            <w:tcW w:w="7425" w:type="dxa"/>
            <w:textDirection w:val="lrTb"/>
            <w:noWrap/>
          </w:tcPr>
          <w:p>
            <w:pPr>
              <w:pStyle w:val="1042"/>
              <w:ind w:left="114"/>
              <w:spacing w:before="71" w:line="220" w:lineRule="auto"/>
              <w:rPr>
                <w:i/>
                <w:iCs/>
                <w:sz w:val="18"/>
                <w:szCs w:val="18"/>
                <w:highlight w:val="none"/>
                <w:u w:val="single"/>
              </w:rPr>
            </w:pPr>
            <w:r>
              <w:rPr>
                <w:i/>
                <w:iCs/>
                <w:spacing w:val="-1"/>
                <w:sz w:val="18"/>
                <w:szCs w:val="18"/>
                <w:highlight w:val="none"/>
                <w:u w:val="single"/>
              </w:rPr>
              <w:t xml:space="preserve">用于监控轿门是否关好。</w:t>
            </w:r>
            <w:r/>
          </w:p>
        </w:tc>
      </w:tr>
      <w:tr>
        <w:trPr>
          <w:trHeight w:val="321"/>
        </w:trPr>
        <w:tc>
          <w:tcPr>
            <w:tcW w:w="686" w:type="dxa"/>
            <w:vAlign w:val="center"/>
            <w:textDirection w:val="lrTb"/>
            <w:noWrap/>
          </w:tcPr>
          <w:p>
            <w:pPr>
              <w:pStyle w:val="1042"/>
              <w:jc w:val="center"/>
              <w:spacing w:before="99" w:line="184" w:lineRule="auto"/>
              <w:rPr>
                <w:i/>
                <w:iCs/>
                <w:sz w:val="18"/>
                <w:szCs w:val="18"/>
                <w:highlight w:val="none"/>
                <w:u w:val="single"/>
              </w:rPr>
            </w:pPr>
            <w:r>
              <w:rPr>
                <w:i/>
                <w:iCs/>
                <w:spacing w:val="-10"/>
                <w:sz w:val="18"/>
                <w:szCs w:val="18"/>
                <w:highlight w:val="none"/>
                <w:u w:val="single"/>
              </w:rPr>
              <w:t xml:space="preserve">18</w:t>
            </w:r>
            <w:r/>
          </w:p>
        </w:tc>
        <w:tc>
          <w:tcPr>
            <w:tcW w:w="2104" w:type="dxa"/>
            <w:textDirection w:val="lrTb"/>
            <w:noWrap/>
          </w:tcPr>
          <w:p>
            <w:pPr>
              <w:pStyle w:val="1042"/>
              <w:jc w:val="center"/>
              <w:spacing w:before="71" w:line="220" w:lineRule="auto"/>
              <w:rPr>
                <w:i/>
                <w:iCs/>
                <w:sz w:val="18"/>
                <w:szCs w:val="18"/>
                <w:highlight w:val="none"/>
                <w:u w:val="single"/>
              </w:rPr>
            </w:pPr>
            <w:r>
              <w:rPr>
                <w:i/>
                <w:iCs/>
                <w:spacing w:val="-2"/>
                <w:sz w:val="18"/>
                <w:szCs w:val="18"/>
                <w:highlight w:val="none"/>
                <w:u w:val="single"/>
              </w:rPr>
              <w:t xml:space="preserve">禁止开门开关</w:t>
            </w:r>
            <w:r/>
          </w:p>
        </w:tc>
        <w:tc>
          <w:tcPr>
            <w:tcW w:w="7425" w:type="dxa"/>
            <w:textDirection w:val="lrTb"/>
            <w:noWrap/>
          </w:tcPr>
          <w:p>
            <w:pPr>
              <w:pStyle w:val="1042"/>
              <w:ind w:left="115"/>
              <w:spacing w:before="71" w:line="220" w:lineRule="auto"/>
              <w:rPr>
                <w:i/>
                <w:iCs/>
                <w:sz w:val="18"/>
                <w:szCs w:val="18"/>
                <w:highlight w:val="none"/>
                <w:u w:val="single"/>
              </w:rPr>
            </w:pPr>
            <w:r>
              <w:rPr>
                <w:i/>
                <w:iCs/>
                <w:spacing w:val="-1"/>
                <w:sz w:val="18"/>
                <w:szCs w:val="18"/>
                <w:highlight w:val="none"/>
                <w:u w:val="single"/>
              </w:rPr>
              <w:t xml:space="preserve">设在</w:t>
            </w:r>
            <w:r>
              <w:rPr>
                <w:rFonts w:hint="eastAsia"/>
                <w:i/>
                <w:iCs/>
                <w:spacing w:val="-1"/>
                <w:sz w:val="18"/>
                <w:szCs w:val="18"/>
                <w:highlight w:val="none"/>
                <w:u w:val="single"/>
              </w:rPr>
              <w:t xml:space="preserve">轿厢操作箱</w:t>
            </w:r>
            <w:r>
              <w:rPr>
                <w:i/>
                <w:iCs/>
                <w:spacing w:val="-1"/>
                <w:sz w:val="18"/>
                <w:szCs w:val="18"/>
                <w:highlight w:val="none"/>
                <w:u w:val="single"/>
              </w:rPr>
              <w:t xml:space="preserve">内的一个开关，检修时用于禁止轿厢门打开。</w:t>
            </w:r>
            <w:r/>
          </w:p>
        </w:tc>
      </w:tr>
      <w:tr>
        <w:trPr>
          <w:trHeight w:val="317"/>
        </w:trPr>
        <w:tc>
          <w:tcPr>
            <w:tcW w:w="686" w:type="dxa"/>
            <w:vAlign w:val="center"/>
            <w:textDirection w:val="lrTb"/>
            <w:noWrap/>
          </w:tcPr>
          <w:p>
            <w:pPr>
              <w:pStyle w:val="1042"/>
              <w:jc w:val="center"/>
              <w:spacing w:before="94" w:line="184" w:lineRule="auto"/>
              <w:rPr>
                <w:i/>
                <w:iCs/>
                <w:sz w:val="18"/>
                <w:szCs w:val="18"/>
                <w:highlight w:val="none"/>
                <w:u w:val="single"/>
              </w:rPr>
            </w:pPr>
            <w:r>
              <w:rPr>
                <w:i/>
                <w:iCs/>
                <w:spacing w:val="-10"/>
                <w:sz w:val="18"/>
                <w:szCs w:val="18"/>
                <w:highlight w:val="none"/>
                <w:u w:val="single"/>
              </w:rPr>
              <w:t xml:space="preserve">19</w:t>
            </w:r>
            <w:r/>
          </w:p>
        </w:tc>
        <w:tc>
          <w:tcPr>
            <w:tcW w:w="2104" w:type="dxa"/>
            <w:textDirection w:val="lrTb"/>
            <w:noWrap/>
          </w:tcPr>
          <w:p>
            <w:pPr>
              <w:pStyle w:val="1042"/>
              <w:jc w:val="center"/>
              <w:spacing w:before="67" w:line="221" w:lineRule="auto"/>
              <w:rPr>
                <w:i/>
                <w:iCs/>
                <w:sz w:val="18"/>
                <w:szCs w:val="18"/>
                <w:highlight w:val="none"/>
                <w:u w:val="single"/>
              </w:rPr>
            </w:pPr>
            <w:r>
              <w:rPr>
                <w:i/>
                <w:iCs/>
                <w:spacing w:val="-2"/>
                <w:sz w:val="18"/>
                <w:szCs w:val="18"/>
                <w:highlight w:val="none"/>
                <w:u w:val="single"/>
              </w:rPr>
              <w:t xml:space="preserve">底坑急停开关</w:t>
            </w:r>
            <w:r/>
          </w:p>
        </w:tc>
        <w:tc>
          <w:tcPr>
            <w:tcW w:w="7425" w:type="dxa"/>
            <w:textDirection w:val="lrTb"/>
            <w:noWrap/>
          </w:tcPr>
          <w:p>
            <w:pPr>
              <w:pStyle w:val="1042"/>
              <w:ind w:left="114"/>
              <w:spacing w:before="67" w:line="220" w:lineRule="auto"/>
              <w:rPr>
                <w:i/>
                <w:iCs/>
                <w:sz w:val="18"/>
                <w:szCs w:val="18"/>
                <w:highlight w:val="none"/>
                <w:u w:val="single"/>
              </w:rPr>
            </w:pPr>
            <w:r>
              <w:rPr>
                <w:i/>
                <w:iCs/>
                <w:spacing w:val="-1"/>
                <w:sz w:val="18"/>
                <w:szCs w:val="18"/>
                <w:highlight w:val="none"/>
                <w:u w:val="single"/>
              </w:rPr>
              <w:t xml:space="preserve">按下井道底坑急停开关，可使电梯停止运行。</w:t>
            </w:r>
            <w:r/>
          </w:p>
        </w:tc>
      </w:tr>
      <w:tr>
        <w:trPr>
          <w:trHeight w:val="317"/>
        </w:trPr>
        <w:tc>
          <w:tcPr>
            <w:tcW w:w="686" w:type="dxa"/>
            <w:vAlign w:val="center"/>
            <w:textDirection w:val="lrTb"/>
            <w:noWrap/>
          </w:tcPr>
          <w:p>
            <w:pPr>
              <w:pStyle w:val="1042"/>
              <w:jc w:val="center"/>
              <w:spacing w:before="95" w:line="183" w:lineRule="auto"/>
              <w:rPr>
                <w:i/>
                <w:iCs/>
                <w:sz w:val="18"/>
                <w:szCs w:val="18"/>
                <w:highlight w:val="none"/>
                <w:u w:val="single"/>
              </w:rPr>
            </w:pPr>
            <w:r>
              <w:rPr>
                <w:i/>
                <w:iCs/>
                <w:spacing w:val="-4"/>
                <w:sz w:val="18"/>
                <w:szCs w:val="18"/>
                <w:highlight w:val="none"/>
                <w:u w:val="single"/>
              </w:rPr>
              <w:t xml:space="preserve">20</w:t>
            </w:r>
            <w:r/>
          </w:p>
        </w:tc>
        <w:tc>
          <w:tcPr>
            <w:tcW w:w="2104" w:type="dxa"/>
            <w:textDirection w:val="lrTb"/>
            <w:noWrap/>
          </w:tcPr>
          <w:p>
            <w:pPr>
              <w:pStyle w:val="1042"/>
              <w:jc w:val="center"/>
              <w:spacing w:before="67" w:line="220" w:lineRule="auto"/>
              <w:rPr>
                <w:i/>
                <w:iCs/>
                <w:sz w:val="18"/>
                <w:szCs w:val="18"/>
                <w:highlight w:val="none"/>
                <w:u w:val="single"/>
              </w:rPr>
            </w:pPr>
            <w:r>
              <w:rPr>
                <w:i/>
                <w:iCs/>
                <w:spacing w:val="-2"/>
                <w:sz w:val="18"/>
                <w:szCs w:val="18"/>
                <w:highlight w:val="none"/>
                <w:u w:val="single"/>
              </w:rPr>
              <w:t xml:space="preserve">轿顶急停开关</w:t>
            </w:r>
            <w:r/>
          </w:p>
        </w:tc>
        <w:tc>
          <w:tcPr>
            <w:tcW w:w="7425" w:type="dxa"/>
            <w:textDirection w:val="lrTb"/>
            <w:noWrap/>
          </w:tcPr>
          <w:p>
            <w:pPr>
              <w:pStyle w:val="1042"/>
              <w:ind w:left="114"/>
              <w:spacing w:before="67" w:line="220" w:lineRule="auto"/>
              <w:rPr>
                <w:i/>
                <w:iCs/>
                <w:sz w:val="18"/>
                <w:szCs w:val="18"/>
                <w:highlight w:val="none"/>
                <w:u w:val="single"/>
              </w:rPr>
            </w:pPr>
            <w:r>
              <w:rPr>
                <w:i/>
                <w:iCs/>
                <w:spacing w:val="-1"/>
                <w:sz w:val="18"/>
                <w:szCs w:val="18"/>
                <w:highlight w:val="none"/>
                <w:u w:val="single"/>
              </w:rPr>
              <w:t xml:space="preserve">按下轿顶急停开关，可使电梯停止运行。</w:t>
            </w:r>
            <w:r/>
          </w:p>
        </w:tc>
      </w:tr>
      <w:tr>
        <w:trPr>
          <w:trHeight w:val="317"/>
        </w:trPr>
        <w:tc>
          <w:tcPr>
            <w:tcW w:w="686" w:type="dxa"/>
            <w:vAlign w:val="center"/>
            <w:textDirection w:val="lrTb"/>
            <w:noWrap/>
          </w:tcPr>
          <w:p>
            <w:pPr>
              <w:pStyle w:val="1042"/>
              <w:jc w:val="center"/>
              <w:spacing w:before="94" w:line="184" w:lineRule="auto"/>
              <w:rPr>
                <w:i/>
                <w:iCs/>
                <w:sz w:val="18"/>
                <w:szCs w:val="18"/>
                <w:highlight w:val="none"/>
                <w:u w:val="single"/>
              </w:rPr>
            </w:pPr>
            <w:r>
              <w:rPr>
                <w:i/>
                <w:iCs/>
                <w:spacing w:val="-4"/>
                <w:sz w:val="18"/>
                <w:szCs w:val="18"/>
                <w:highlight w:val="none"/>
                <w:u w:val="single"/>
              </w:rPr>
              <w:t xml:space="preserve">21</w:t>
            </w:r>
            <w:r/>
          </w:p>
        </w:tc>
        <w:tc>
          <w:tcPr>
            <w:tcW w:w="2104" w:type="dxa"/>
            <w:textDirection w:val="lrTb"/>
            <w:noWrap/>
          </w:tcPr>
          <w:p>
            <w:pPr>
              <w:pStyle w:val="1042"/>
              <w:jc w:val="center"/>
              <w:spacing w:before="66" w:line="220" w:lineRule="auto"/>
              <w:rPr>
                <w:i/>
                <w:iCs/>
                <w:sz w:val="18"/>
                <w:szCs w:val="18"/>
                <w:highlight w:val="none"/>
                <w:u w:val="single"/>
              </w:rPr>
            </w:pPr>
            <w:r>
              <w:rPr>
                <w:i/>
                <w:iCs/>
                <w:spacing w:val="-2"/>
                <w:sz w:val="18"/>
                <w:szCs w:val="18"/>
                <w:highlight w:val="none"/>
                <w:u w:val="single"/>
              </w:rPr>
              <w:t xml:space="preserve">禁止外呼开关</w:t>
            </w:r>
            <w:r/>
          </w:p>
        </w:tc>
        <w:tc>
          <w:tcPr>
            <w:tcW w:w="7425" w:type="dxa"/>
            <w:textDirection w:val="lrTb"/>
            <w:noWrap/>
          </w:tcPr>
          <w:p>
            <w:pPr>
              <w:pStyle w:val="1042"/>
              <w:ind w:left="112"/>
              <w:spacing w:before="66" w:line="220" w:lineRule="auto"/>
              <w:rPr>
                <w:i/>
                <w:iCs/>
                <w:sz w:val="18"/>
                <w:szCs w:val="18"/>
                <w:highlight w:val="none"/>
                <w:u w:val="single"/>
              </w:rPr>
            </w:pPr>
            <w:r>
              <w:rPr>
                <w:rFonts w:hint="eastAsia"/>
                <w:i/>
                <w:iCs/>
                <w:spacing w:val="-1"/>
                <w:sz w:val="18"/>
                <w:szCs w:val="18"/>
                <w:highlight w:val="none"/>
                <w:u w:val="single"/>
              </w:rPr>
              <w:t xml:space="preserve">轿厢操作箱内</w:t>
            </w:r>
            <w:r>
              <w:rPr>
                <w:i/>
                <w:iCs/>
                <w:spacing w:val="-1"/>
                <w:sz w:val="18"/>
                <w:szCs w:val="18"/>
                <w:highlight w:val="none"/>
                <w:u w:val="single"/>
              </w:rPr>
              <w:t xml:space="preserve">一只单独开关，用于断开电梯外呼。</w:t>
            </w:r>
            <w:r/>
          </w:p>
        </w:tc>
      </w:tr>
      <w:tr>
        <w:trPr>
          <w:trHeight w:val="317"/>
        </w:trPr>
        <w:tc>
          <w:tcPr>
            <w:tcW w:w="686" w:type="dxa"/>
            <w:vAlign w:val="center"/>
            <w:textDirection w:val="lrTb"/>
            <w:noWrap/>
          </w:tcPr>
          <w:p>
            <w:pPr>
              <w:pStyle w:val="1042"/>
              <w:jc w:val="center"/>
              <w:spacing w:before="94" w:line="183" w:lineRule="auto"/>
              <w:rPr>
                <w:i/>
                <w:iCs/>
                <w:sz w:val="18"/>
                <w:szCs w:val="18"/>
                <w:highlight w:val="none"/>
                <w:u w:val="single"/>
              </w:rPr>
            </w:pPr>
            <w:r>
              <w:rPr>
                <w:i/>
                <w:iCs/>
                <w:spacing w:val="-4"/>
                <w:sz w:val="18"/>
                <w:szCs w:val="18"/>
                <w:highlight w:val="none"/>
                <w:u w:val="single"/>
              </w:rPr>
              <w:t xml:space="preserve">22</w:t>
            </w:r>
            <w:r/>
          </w:p>
        </w:tc>
        <w:tc>
          <w:tcPr>
            <w:tcW w:w="2104" w:type="dxa"/>
            <w:textDirection w:val="lrTb"/>
            <w:noWrap/>
          </w:tcPr>
          <w:p>
            <w:pPr>
              <w:pStyle w:val="1042"/>
              <w:jc w:val="center"/>
              <w:spacing w:before="65" w:line="221" w:lineRule="auto"/>
              <w:rPr>
                <w:i/>
                <w:iCs/>
                <w:sz w:val="18"/>
                <w:szCs w:val="18"/>
                <w:highlight w:val="none"/>
                <w:u w:val="single"/>
              </w:rPr>
            </w:pPr>
            <w:r>
              <w:rPr>
                <w:i/>
                <w:iCs/>
                <w:spacing w:val="-2"/>
                <w:sz w:val="18"/>
                <w:szCs w:val="18"/>
                <w:highlight w:val="none"/>
                <w:u w:val="single"/>
              </w:rPr>
              <w:t xml:space="preserve">安全钳安全开关</w:t>
            </w:r>
            <w:r/>
          </w:p>
        </w:tc>
        <w:tc>
          <w:tcPr>
            <w:tcW w:w="7425" w:type="dxa"/>
            <w:textDirection w:val="lrTb"/>
            <w:noWrap/>
          </w:tcPr>
          <w:p>
            <w:pPr>
              <w:pStyle w:val="1042"/>
              <w:ind w:left="124"/>
              <w:spacing w:before="66" w:line="220" w:lineRule="auto"/>
              <w:rPr>
                <w:i/>
                <w:iCs/>
                <w:sz w:val="18"/>
                <w:szCs w:val="18"/>
                <w:highlight w:val="none"/>
                <w:u w:val="single"/>
              </w:rPr>
            </w:pPr>
            <w:r>
              <w:rPr>
                <w:i/>
                <w:iCs/>
                <w:spacing w:val="-1"/>
                <w:sz w:val="18"/>
                <w:szCs w:val="18"/>
                <w:highlight w:val="none"/>
                <w:u w:val="single"/>
              </w:rPr>
              <w:t xml:space="preserve">当安全钳动作时，与之联动的安全开关使电梯停止运行</w:t>
            </w:r>
            <w:r/>
          </w:p>
        </w:tc>
      </w:tr>
      <w:tr>
        <w:trPr>
          <w:trHeight w:val="628"/>
        </w:trPr>
        <w:tc>
          <w:tcPr>
            <w:tcW w:w="686" w:type="dxa"/>
            <w:vAlign w:val="center"/>
            <w:textDirection w:val="lrTb"/>
            <w:noWrap/>
          </w:tcPr>
          <w:p>
            <w:pPr>
              <w:pStyle w:val="1042"/>
              <w:jc w:val="center"/>
              <w:spacing w:before="252" w:line="183" w:lineRule="auto"/>
              <w:rPr>
                <w:i/>
                <w:iCs/>
                <w:sz w:val="18"/>
                <w:szCs w:val="18"/>
                <w:highlight w:val="none"/>
                <w:u w:val="single"/>
              </w:rPr>
            </w:pPr>
            <w:r>
              <w:rPr>
                <w:i/>
                <w:iCs/>
                <w:spacing w:val="-4"/>
                <w:sz w:val="18"/>
                <w:szCs w:val="18"/>
                <w:highlight w:val="none"/>
                <w:u w:val="single"/>
              </w:rPr>
              <w:t xml:space="preserve">23</w:t>
            </w:r>
            <w:r/>
          </w:p>
        </w:tc>
        <w:tc>
          <w:tcPr>
            <w:tcW w:w="2104" w:type="dxa"/>
            <w:textDirection w:val="lrTb"/>
            <w:noWrap/>
          </w:tcPr>
          <w:p>
            <w:pPr>
              <w:pStyle w:val="1042"/>
              <w:jc w:val="center"/>
              <w:spacing w:before="224" w:line="220" w:lineRule="auto"/>
              <w:rPr>
                <w:i/>
                <w:iCs/>
                <w:sz w:val="18"/>
                <w:szCs w:val="18"/>
                <w:highlight w:val="none"/>
                <w:u w:val="single"/>
              </w:rPr>
            </w:pPr>
            <w:r>
              <w:rPr>
                <w:i/>
                <w:iCs/>
                <w:spacing w:val="-2"/>
                <w:sz w:val="18"/>
                <w:szCs w:val="18"/>
                <w:highlight w:val="none"/>
                <w:u w:val="single"/>
              </w:rPr>
              <w:t xml:space="preserve">限速器涨紧块安全开关</w:t>
            </w:r>
            <w:r/>
          </w:p>
        </w:tc>
        <w:tc>
          <w:tcPr>
            <w:tcW w:w="7425" w:type="dxa"/>
            <w:textDirection w:val="lrTb"/>
            <w:noWrap/>
          </w:tcPr>
          <w:p>
            <w:pPr>
              <w:pStyle w:val="1042"/>
              <w:ind w:left="112" w:right="108" w:firstLine="11"/>
              <w:spacing w:before="68" w:line="282" w:lineRule="auto"/>
              <w:rPr>
                <w:i/>
                <w:iCs/>
                <w:sz w:val="18"/>
                <w:szCs w:val="18"/>
                <w:highlight w:val="none"/>
                <w:u w:val="single"/>
              </w:rPr>
            </w:pPr>
            <w:r>
              <w:rPr>
                <w:i/>
                <w:iCs/>
                <w:spacing w:val="1"/>
                <w:sz w:val="18"/>
                <w:szCs w:val="18"/>
                <w:highlight w:val="none"/>
                <w:u w:val="single"/>
              </w:rPr>
              <w:t xml:space="preserve">当限速器钢丝绳松弛、松开或断裂时，使该安全开关动作，电梯停止</w:t>
            </w:r>
            <w:r>
              <w:rPr>
                <w:i/>
                <w:iCs/>
                <w:spacing w:val="-3"/>
                <w:sz w:val="18"/>
                <w:szCs w:val="18"/>
                <w:highlight w:val="none"/>
                <w:u w:val="single"/>
              </w:rPr>
              <w:t xml:space="preserve">运行。</w:t>
            </w:r>
            <w:r/>
          </w:p>
        </w:tc>
      </w:tr>
      <w:tr>
        <w:trPr>
          <w:trHeight w:val="317"/>
        </w:trPr>
        <w:tc>
          <w:tcPr>
            <w:tcW w:w="686" w:type="dxa"/>
            <w:vAlign w:val="center"/>
            <w:textDirection w:val="lrTb"/>
            <w:noWrap/>
          </w:tcPr>
          <w:p>
            <w:pPr>
              <w:pStyle w:val="1042"/>
              <w:jc w:val="center"/>
              <w:spacing w:before="97" w:line="183" w:lineRule="auto"/>
              <w:rPr>
                <w:i/>
                <w:iCs/>
                <w:sz w:val="18"/>
                <w:szCs w:val="18"/>
                <w:highlight w:val="none"/>
                <w:u w:val="single"/>
              </w:rPr>
            </w:pPr>
            <w:r>
              <w:rPr>
                <w:i/>
                <w:iCs/>
                <w:spacing w:val="-4"/>
                <w:sz w:val="18"/>
                <w:szCs w:val="18"/>
                <w:highlight w:val="none"/>
                <w:u w:val="single"/>
              </w:rPr>
              <w:t xml:space="preserve">24</w:t>
            </w:r>
            <w:r/>
          </w:p>
        </w:tc>
        <w:tc>
          <w:tcPr>
            <w:tcW w:w="2104" w:type="dxa"/>
            <w:textDirection w:val="lrTb"/>
            <w:noWrap/>
          </w:tcPr>
          <w:p>
            <w:pPr>
              <w:pStyle w:val="1042"/>
              <w:jc w:val="center"/>
              <w:spacing w:before="68" w:line="220" w:lineRule="auto"/>
              <w:rPr>
                <w:i/>
                <w:iCs/>
                <w:sz w:val="18"/>
                <w:szCs w:val="18"/>
                <w:highlight w:val="none"/>
                <w:u w:val="single"/>
              </w:rPr>
            </w:pPr>
            <w:r>
              <w:rPr>
                <w:i/>
                <w:iCs/>
                <w:spacing w:val="-5"/>
                <w:sz w:val="18"/>
                <w:szCs w:val="18"/>
                <w:highlight w:val="none"/>
                <w:u w:val="single"/>
              </w:rPr>
              <w:t xml:space="preserve">内呼快速关门</w:t>
            </w:r>
            <w:r/>
          </w:p>
        </w:tc>
        <w:tc>
          <w:tcPr>
            <w:tcW w:w="7425" w:type="dxa"/>
            <w:textDirection w:val="lrTb"/>
            <w:noWrap/>
          </w:tcPr>
          <w:p>
            <w:pPr>
              <w:pStyle w:val="1042"/>
              <w:ind w:left="124"/>
              <w:spacing w:before="68" w:line="220" w:lineRule="auto"/>
              <w:rPr>
                <w:i/>
                <w:iCs/>
                <w:sz w:val="18"/>
                <w:szCs w:val="18"/>
                <w:highlight w:val="none"/>
                <w:u w:val="single"/>
              </w:rPr>
            </w:pPr>
            <w:r>
              <w:rPr>
                <w:i/>
                <w:iCs/>
                <w:spacing w:val="-1"/>
                <w:sz w:val="18"/>
                <w:szCs w:val="18"/>
                <w:highlight w:val="none"/>
                <w:u w:val="single"/>
              </w:rPr>
              <w:t xml:space="preserve">当有新内呼信号登记时，处于打开位置的门快速关门。</w:t>
            </w:r>
            <w:r/>
          </w:p>
        </w:tc>
      </w:tr>
      <w:tr>
        <w:trPr>
          <w:trHeight w:val="317"/>
        </w:trPr>
        <w:tc>
          <w:tcPr>
            <w:tcW w:w="686" w:type="dxa"/>
            <w:vAlign w:val="center"/>
            <w:textDirection w:val="lrTb"/>
            <w:noWrap/>
          </w:tcPr>
          <w:p>
            <w:pPr>
              <w:pStyle w:val="1042"/>
              <w:jc w:val="center"/>
              <w:spacing w:before="96" w:line="183" w:lineRule="auto"/>
              <w:rPr>
                <w:i/>
                <w:iCs/>
                <w:sz w:val="18"/>
                <w:szCs w:val="18"/>
                <w:highlight w:val="none"/>
                <w:u w:val="single"/>
              </w:rPr>
            </w:pPr>
            <w:r>
              <w:rPr>
                <w:i/>
                <w:iCs/>
                <w:spacing w:val="-4"/>
                <w:sz w:val="18"/>
                <w:szCs w:val="18"/>
                <w:highlight w:val="none"/>
                <w:u w:val="single"/>
              </w:rPr>
              <w:t xml:space="preserve">25</w:t>
            </w:r>
            <w:r/>
          </w:p>
        </w:tc>
        <w:tc>
          <w:tcPr>
            <w:tcW w:w="2104" w:type="dxa"/>
            <w:textDirection w:val="lrTb"/>
            <w:noWrap/>
          </w:tcPr>
          <w:p>
            <w:pPr>
              <w:pStyle w:val="1042"/>
              <w:jc w:val="center"/>
              <w:spacing w:before="68" w:line="221" w:lineRule="auto"/>
              <w:rPr>
                <w:i/>
                <w:iCs/>
                <w:sz w:val="18"/>
                <w:szCs w:val="18"/>
                <w:highlight w:val="none"/>
                <w:u w:val="single"/>
              </w:rPr>
            </w:pPr>
            <w:r>
              <w:rPr>
                <w:i/>
                <w:iCs/>
                <w:spacing w:val="-2"/>
                <w:sz w:val="18"/>
                <w:szCs w:val="18"/>
                <w:highlight w:val="none"/>
                <w:u w:val="single"/>
              </w:rPr>
              <w:t xml:space="preserve">外呼重新开门</w:t>
            </w:r>
            <w:r/>
          </w:p>
        </w:tc>
        <w:tc>
          <w:tcPr>
            <w:tcW w:w="7425" w:type="dxa"/>
            <w:textDirection w:val="lrTb"/>
            <w:noWrap/>
          </w:tcPr>
          <w:p>
            <w:pPr>
              <w:pStyle w:val="1042"/>
              <w:ind w:left="124"/>
              <w:spacing w:before="68" w:line="219" w:lineRule="auto"/>
              <w:rPr>
                <w:i/>
                <w:iCs/>
                <w:sz w:val="18"/>
                <w:szCs w:val="18"/>
                <w:highlight w:val="none"/>
                <w:u w:val="single"/>
              </w:rPr>
            </w:pPr>
            <w:r>
              <w:rPr>
                <w:i/>
                <w:iCs/>
                <w:spacing w:val="-1"/>
                <w:sz w:val="18"/>
                <w:szCs w:val="18"/>
                <w:highlight w:val="none"/>
                <w:u w:val="single"/>
              </w:rPr>
              <w:t xml:space="preserve">当电梯门已关门，但未启动时，本层同方向的外呼信号能重新开门。</w:t>
            </w:r>
            <w:r/>
          </w:p>
        </w:tc>
      </w:tr>
      <w:tr>
        <w:trPr>
          <w:trHeight w:val="628"/>
        </w:trPr>
        <w:tc>
          <w:tcPr>
            <w:tcW w:w="686" w:type="dxa"/>
            <w:vAlign w:val="center"/>
            <w:textDirection w:val="lrTb"/>
            <w:noWrap/>
          </w:tcPr>
          <w:p>
            <w:pPr>
              <w:pStyle w:val="1042"/>
              <w:jc w:val="center"/>
              <w:spacing w:before="252" w:line="183" w:lineRule="auto"/>
              <w:rPr>
                <w:i/>
                <w:iCs/>
                <w:sz w:val="18"/>
                <w:szCs w:val="18"/>
                <w:highlight w:val="none"/>
                <w:u w:val="single"/>
              </w:rPr>
            </w:pPr>
            <w:r>
              <w:rPr>
                <w:i/>
                <w:iCs/>
                <w:spacing w:val="-4"/>
                <w:sz w:val="18"/>
                <w:szCs w:val="18"/>
                <w:highlight w:val="none"/>
                <w:u w:val="single"/>
              </w:rPr>
              <w:t xml:space="preserve">26</w:t>
            </w:r>
            <w:r/>
          </w:p>
        </w:tc>
        <w:tc>
          <w:tcPr>
            <w:tcW w:w="2104" w:type="dxa"/>
            <w:textDirection w:val="lrTb"/>
            <w:noWrap/>
          </w:tcPr>
          <w:p>
            <w:pPr>
              <w:pStyle w:val="1042"/>
              <w:jc w:val="center"/>
              <w:spacing w:before="224" w:line="219" w:lineRule="auto"/>
              <w:rPr>
                <w:i/>
                <w:iCs/>
                <w:sz w:val="18"/>
                <w:szCs w:val="18"/>
                <w:highlight w:val="none"/>
                <w:u w:val="single"/>
              </w:rPr>
            </w:pPr>
            <w:r>
              <w:rPr>
                <w:i/>
                <w:iCs/>
                <w:spacing w:val="-2"/>
                <w:sz w:val="18"/>
                <w:szCs w:val="18"/>
                <w:highlight w:val="none"/>
                <w:u w:val="single"/>
              </w:rPr>
              <w:t xml:space="preserve">光幕保护功能</w:t>
            </w:r>
            <w:r/>
          </w:p>
        </w:tc>
        <w:tc>
          <w:tcPr>
            <w:tcW w:w="7425" w:type="dxa"/>
            <w:textDirection w:val="lrTb"/>
            <w:noWrap/>
          </w:tcPr>
          <w:p>
            <w:pPr>
              <w:pStyle w:val="1042"/>
              <w:ind w:left="116" w:right="107" w:firstLine="14"/>
              <w:spacing w:before="68" w:line="282" w:lineRule="auto"/>
              <w:rPr>
                <w:i/>
                <w:iCs/>
                <w:sz w:val="18"/>
                <w:szCs w:val="18"/>
                <w:highlight w:val="none"/>
                <w:u w:val="single"/>
              </w:rPr>
            </w:pPr>
            <w:r>
              <w:rPr>
                <w:i/>
                <w:iCs/>
                <w:spacing w:val="-3"/>
                <w:sz w:val="18"/>
                <w:szCs w:val="18"/>
                <w:highlight w:val="none"/>
                <w:u w:val="single"/>
              </w:rPr>
              <w:t xml:space="preserve">≥1</w:t>
            </w:r>
            <w:r>
              <w:rPr>
                <w:rFonts w:hint="eastAsia"/>
                <w:i/>
                <w:iCs/>
                <w:spacing w:val="-3"/>
                <w:sz w:val="18"/>
                <w:szCs w:val="18"/>
                <w:highlight w:val="none"/>
                <w:u w:val="single"/>
              </w:rPr>
              <w:t xml:space="preserve">9</w:t>
            </w:r>
            <w:r>
              <w:rPr>
                <w:i/>
                <w:iCs/>
                <w:spacing w:val="-3"/>
                <w:sz w:val="18"/>
                <w:szCs w:val="18"/>
                <w:highlight w:val="none"/>
                <w:u w:val="single"/>
              </w:rPr>
              <w:t xml:space="preserve">0红外线光幕保护装置，装于轿厢入口或</w:t>
            </w:r>
            <w:r>
              <w:rPr>
                <w:i/>
                <w:iCs/>
                <w:spacing w:val="-4"/>
                <w:sz w:val="18"/>
                <w:szCs w:val="18"/>
                <w:highlight w:val="none"/>
                <w:u w:val="single"/>
              </w:rPr>
              <w:t xml:space="preserve">轿厢门板上光幕，当红</w:t>
            </w:r>
            <w:r>
              <w:rPr>
                <w:i/>
                <w:iCs/>
                <w:spacing w:val="-1"/>
                <w:sz w:val="18"/>
                <w:szCs w:val="18"/>
                <w:highlight w:val="none"/>
                <w:u w:val="single"/>
              </w:rPr>
              <w:t xml:space="preserve">外光线被遮挡时，防止关门或重新打开正在关的门。</w:t>
            </w:r>
            <w:r/>
          </w:p>
        </w:tc>
      </w:tr>
      <w:tr>
        <w:trPr>
          <w:trHeight w:val="629"/>
        </w:trPr>
        <w:tc>
          <w:tcPr>
            <w:tcW w:w="686" w:type="dxa"/>
            <w:vAlign w:val="center"/>
            <w:textDirection w:val="lrTb"/>
            <w:noWrap/>
          </w:tcPr>
          <w:p>
            <w:pPr>
              <w:pStyle w:val="1042"/>
              <w:jc w:val="center"/>
              <w:spacing w:before="253" w:line="183" w:lineRule="auto"/>
              <w:rPr>
                <w:i/>
                <w:iCs/>
                <w:sz w:val="18"/>
                <w:szCs w:val="18"/>
                <w:highlight w:val="none"/>
                <w:u w:val="single"/>
              </w:rPr>
            </w:pPr>
            <w:r>
              <w:rPr>
                <w:i/>
                <w:iCs/>
                <w:spacing w:val="-4"/>
                <w:sz w:val="18"/>
                <w:szCs w:val="18"/>
                <w:highlight w:val="none"/>
                <w:u w:val="single"/>
              </w:rPr>
              <w:t xml:space="preserve">27</w:t>
            </w:r>
            <w:r/>
          </w:p>
        </w:tc>
        <w:tc>
          <w:tcPr>
            <w:tcW w:w="2104" w:type="dxa"/>
            <w:textDirection w:val="lrTb"/>
            <w:noWrap/>
          </w:tcPr>
          <w:p>
            <w:pPr>
              <w:pStyle w:val="1042"/>
              <w:jc w:val="center"/>
              <w:spacing w:before="224" w:line="220" w:lineRule="auto"/>
              <w:rPr>
                <w:i/>
                <w:iCs/>
                <w:sz w:val="18"/>
                <w:szCs w:val="18"/>
                <w:highlight w:val="none"/>
                <w:u w:val="single"/>
              </w:rPr>
            </w:pPr>
            <w:r>
              <w:rPr>
                <w:i/>
                <w:iCs/>
                <w:spacing w:val="-2"/>
                <w:sz w:val="18"/>
                <w:szCs w:val="18"/>
                <w:highlight w:val="none"/>
                <w:u w:val="single"/>
              </w:rPr>
              <w:t xml:space="preserve">轿厢内照明监察</w:t>
            </w:r>
            <w:r/>
          </w:p>
        </w:tc>
        <w:tc>
          <w:tcPr>
            <w:tcW w:w="7425" w:type="dxa"/>
            <w:textDirection w:val="lrTb"/>
            <w:noWrap/>
          </w:tcPr>
          <w:p>
            <w:pPr>
              <w:pStyle w:val="1042"/>
              <w:ind w:left="112" w:right="108" w:firstLine="11"/>
              <w:spacing w:before="69" w:line="282" w:lineRule="auto"/>
              <w:rPr>
                <w:i/>
                <w:iCs/>
                <w:sz w:val="18"/>
                <w:szCs w:val="18"/>
                <w:highlight w:val="none"/>
                <w:u w:val="single"/>
              </w:rPr>
            </w:pPr>
            <w:r>
              <w:rPr>
                <w:i/>
                <w:iCs/>
                <w:spacing w:val="1"/>
                <w:sz w:val="18"/>
                <w:szCs w:val="18"/>
                <w:highlight w:val="none"/>
                <w:u w:val="single"/>
              </w:rPr>
              <w:t xml:space="preserve">当轿厢照明电源故障时（群控系统时，该电梯从群控中脱离</w:t>
            </w:r>
            <w:r>
              <w:rPr>
                <w:i/>
                <w:iCs/>
                <w:spacing w:val="7"/>
                <w:sz w:val="18"/>
                <w:szCs w:val="18"/>
                <w:highlight w:val="none"/>
                <w:u w:val="single"/>
              </w:rPr>
              <w:t xml:space="preserve">），</w:t>
            </w:r>
            <w:r>
              <w:rPr>
                <w:i/>
                <w:iCs/>
                <w:spacing w:val="1"/>
                <w:sz w:val="18"/>
                <w:szCs w:val="18"/>
                <w:highlight w:val="none"/>
                <w:u w:val="single"/>
              </w:rPr>
              <w:t xml:space="preserve">取消</w:t>
            </w:r>
            <w:r>
              <w:rPr>
                <w:i/>
                <w:iCs/>
                <w:spacing w:val="-1"/>
                <w:sz w:val="18"/>
                <w:szCs w:val="18"/>
                <w:highlight w:val="none"/>
                <w:u w:val="single"/>
              </w:rPr>
              <w:t xml:space="preserve">所有内呼信号，运行到下一个停靠站后，电梯停止运行。</w:t>
            </w:r>
            <w:r/>
          </w:p>
        </w:tc>
      </w:tr>
      <w:tr>
        <w:trPr>
          <w:trHeight w:val="317"/>
        </w:trPr>
        <w:tc>
          <w:tcPr>
            <w:tcW w:w="686" w:type="dxa"/>
            <w:vAlign w:val="center"/>
            <w:textDirection w:val="lrTb"/>
            <w:noWrap/>
          </w:tcPr>
          <w:p>
            <w:pPr>
              <w:pStyle w:val="1042"/>
              <w:jc w:val="center"/>
              <w:spacing w:before="96" w:line="183" w:lineRule="auto"/>
              <w:rPr>
                <w:i/>
                <w:iCs/>
                <w:sz w:val="18"/>
                <w:szCs w:val="18"/>
                <w:highlight w:val="none"/>
                <w:u w:val="single"/>
              </w:rPr>
            </w:pPr>
            <w:r>
              <w:rPr>
                <w:i/>
                <w:iCs/>
                <w:spacing w:val="-4"/>
                <w:sz w:val="18"/>
                <w:szCs w:val="18"/>
                <w:highlight w:val="none"/>
                <w:u w:val="single"/>
              </w:rPr>
              <w:t xml:space="preserve">28</w:t>
            </w:r>
            <w:r/>
          </w:p>
        </w:tc>
        <w:tc>
          <w:tcPr>
            <w:tcW w:w="2104" w:type="dxa"/>
            <w:textDirection w:val="lrTb"/>
            <w:noWrap/>
          </w:tcPr>
          <w:p>
            <w:pPr>
              <w:pStyle w:val="1042"/>
              <w:jc w:val="center"/>
              <w:spacing w:before="68" w:line="220" w:lineRule="auto"/>
              <w:rPr>
                <w:i/>
                <w:iCs/>
                <w:sz w:val="18"/>
                <w:szCs w:val="18"/>
                <w:highlight w:val="none"/>
                <w:u w:val="single"/>
              </w:rPr>
            </w:pPr>
            <w:r>
              <w:rPr>
                <w:i/>
                <w:iCs/>
                <w:spacing w:val="-2"/>
                <w:sz w:val="18"/>
                <w:szCs w:val="18"/>
                <w:highlight w:val="none"/>
                <w:u w:val="single"/>
              </w:rPr>
              <w:t xml:space="preserve">按钮粘连监察</w:t>
            </w:r>
            <w:r/>
          </w:p>
        </w:tc>
        <w:tc>
          <w:tcPr>
            <w:tcW w:w="7425" w:type="dxa"/>
            <w:textDirection w:val="lrTb"/>
            <w:noWrap/>
          </w:tcPr>
          <w:p>
            <w:pPr>
              <w:pStyle w:val="1042"/>
              <w:ind w:left="112"/>
              <w:spacing w:before="68" w:line="220" w:lineRule="auto"/>
              <w:rPr>
                <w:i/>
                <w:iCs/>
                <w:sz w:val="18"/>
                <w:szCs w:val="18"/>
                <w:highlight w:val="none"/>
                <w:u w:val="single"/>
              </w:rPr>
            </w:pPr>
            <w:r>
              <w:rPr>
                <w:i/>
                <w:iCs/>
                <w:spacing w:val="-1"/>
                <w:sz w:val="18"/>
                <w:szCs w:val="18"/>
                <w:highlight w:val="none"/>
                <w:u w:val="single"/>
              </w:rPr>
              <w:t xml:space="preserve">所有内外呼按钮都被监控以防止粘连。</w:t>
            </w:r>
            <w:r/>
          </w:p>
        </w:tc>
      </w:tr>
      <w:tr>
        <w:trPr>
          <w:trHeight w:val="628"/>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4"/>
                <w:sz w:val="18"/>
                <w:szCs w:val="18"/>
                <w:highlight w:val="none"/>
                <w:u w:val="single"/>
              </w:rPr>
              <w:t xml:space="preserve">29</w:t>
            </w:r>
            <w:r/>
          </w:p>
        </w:tc>
        <w:tc>
          <w:tcPr>
            <w:tcW w:w="2104" w:type="dxa"/>
            <w:textDirection w:val="lrTb"/>
            <w:noWrap/>
          </w:tcPr>
          <w:p>
            <w:pPr>
              <w:pStyle w:val="1042"/>
              <w:jc w:val="center"/>
              <w:spacing w:before="226" w:line="219" w:lineRule="auto"/>
              <w:rPr>
                <w:i/>
                <w:iCs/>
                <w:sz w:val="18"/>
                <w:szCs w:val="18"/>
                <w:highlight w:val="none"/>
                <w:u w:val="single"/>
              </w:rPr>
            </w:pPr>
            <w:r>
              <w:rPr>
                <w:i/>
                <w:iCs/>
                <w:spacing w:val="-2"/>
                <w:sz w:val="18"/>
                <w:szCs w:val="18"/>
                <w:highlight w:val="none"/>
                <w:u w:val="single"/>
              </w:rPr>
              <w:t xml:space="preserve">取消轿厢虚假召唤</w:t>
            </w:r>
            <w:r/>
          </w:p>
        </w:tc>
        <w:tc>
          <w:tcPr>
            <w:tcW w:w="7425" w:type="dxa"/>
            <w:textDirection w:val="lrTb"/>
            <w:noWrap/>
          </w:tcPr>
          <w:p>
            <w:pPr>
              <w:pStyle w:val="1042"/>
              <w:ind w:left="115" w:right="108" w:hanging="3"/>
              <w:spacing w:before="70" w:line="281" w:lineRule="auto"/>
              <w:rPr>
                <w:i/>
                <w:iCs/>
                <w:sz w:val="18"/>
                <w:szCs w:val="18"/>
                <w:highlight w:val="none"/>
                <w:u w:val="single"/>
              </w:rPr>
            </w:pPr>
            <w:r>
              <w:rPr>
                <w:i/>
                <w:iCs/>
                <w:spacing w:val="2"/>
                <w:sz w:val="18"/>
                <w:szCs w:val="18"/>
                <w:highlight w:val="none"/>
                <w:u w:val="single"/>
              </w:rPr>
              <w:t xml:space="preserve">通过检查电梯连续两次停靠，在没有光幕被遮断或电梯</w:t>
            </w:r>
            <w:r>
              <w:rPr>
                <w:i/>
                <w:iCs/>
                <w:spacing w:val="1"/>
                <w:sz w:val="18"/>
                <w:szCs w:val="18"/>
                <w:highlight w:val="none"/>
                <w:u w:val="single"/>
              </w:rPr>
              <w:t xml:space="preserve">未开门时，取</w:t>
            </w:r>
            <w:r>
              <w:rPr>
                <w:i/>
                <w:iCs/>
                <w:spacing w:val="-2"/>
                <w:sz w:val="18"/>
                <w:szCs w:val="18"/>
                <w:highlight w:val="none"/>
                <w:u w:val="single"/>
              </w:rPr>
              <w:t xml:space="preserve">消所有内呼。</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i/>
                <w:iCs/>
                <w:spacing w:val="-5"/>
                <w:sz w:val="18"/>
                <w:szCs w:val="18"/>
                <w:highlight w:val="none"/>
                <w:u w:val="single"/>
              </w:rPr>
              <w:t xml:space="preserve">30</w:t>
            </w:r>
            <w:r/>
          </w:p>
        </w:tc>
        <w:tc>
          <w:tcPr>
            <w:tcW w:w="2104" w:type="dxa"/>
            <w:textDirection w:val="lrTb"/>
            <w:noWrap/>
          </w:tcPr>
          <w:p>
            <w:pPr>
              <w:pStyle w:val="1042"/>
              <w:jc w:val="center"/>
              <w:spacing w:before="70" w:line="220" w:lineRule="auto"/>
              <w:rPr>
                <w:i/>
                <w:iCs/>
                <w:sz w:val="18"/>
                <w:szCs w:val="18"/>
                <w:highlight w:val="none"/>
                <w:u w:val="single"/>
              </w:rPr>
            </w:pPr>
            <w:r>
              <w:rPr>
                <w:i/>
                <w:iCs/>
                <w:spacing w:val="-2"/>
                <w:sz w:val="18"/>
                <w:szCs w:val="18"/>
                <w:highlight w:val="none"/>
                <w:u w:val="single"/>
              </w:rPr>
              <w:t xml:space="preserve">反向内呼</w:t>
            </w:r>
            <w:r/>
          </w:p>
        </w:tc>
        <w:tc>
          <w:tcPr>
            <w:tcW w:w="7425" w:type="dxa"/>
            <w:textDirection w:val="lrTb"/>
            <w:noWrap/>
          </w:tcPr>
          <w:p>
            <w:pPr>
              <w:pStyle w:val="1042"/>
              <w:ind w:left="116"/>
              <w:spacing w:before="70" w:line="220" w:lineRule="auto"/>
              <w:rPr>
                <w:i/>
                <w:iCs/>
                <w:sz w:val="18"/>
                <w:szCs w:val="18"/>
                <w:highlight w:val="none"/>
                <w:u w:val="single"/>
              </w:rPr>
            </w:pPr>
            <w:r>
              <w:rPr>
                <w:i/>
                <w:iCs/>
                <w:spacing w:val="-1"/>
                <w:sz w:val="18"/>
                <w:szCs w:val="18"/>
                <w:highlight w:val="none"/>
                <w:u w:val="single"/>
              </w:rPr>
              <w:t xml:space="preserve">与当前运行方向相反的轿内反向内呼可以被接受后登记。</w:t>
            </w:r>
            <w:r/>
          </w:p>
        </w:tc>
      </w:tr>
      <w:tr>
        <w:trPr>
          <w:trHeight w:val="317"/>
        </w:trPr>
        <w:tc>
          <w:tcPr>
            <w:tcW w:w="686" w:type="dxa"/>
            <w:vAlign w:val="center"/>
            <w:textDirection w:val="lrTb"/>
            <w:noWrap/>
          </w:tcPr>
          <w:p>
            <w:pPr>
              <w:pStyle w:val="1042"/>
              <w:jc w:val="center"/>
              <w:spacing w:before="97" w:line="184" w:lineRule="auto"/>
              <w:rPr>
                <w:i/>
                <w:iCs/>
                <w:sz w:val="18"/>
                <w:szCs w:val="18"/>
                <w:highlight w:val="none"/>
                <w:u w:val="single"/>
              </w:rPr>
            </w:pPr>
            <w:r>
              <w:rPr>
                <w:i/>
                <w:iCs/>
                <w:spacing w:val="-5"/>
                <w:sz w:val="18"/>
                <w:szCs w:val="18"/>
                <w:highlight w:val="none"/>
                <w:u w:val="single"/>
              </w:rPr>
              <w:t xml:space="preserve">31</w:t>
            </w:r>
            <w:r/>
          </w:p>
        </w:tc>
        <w:tc>
          <w:tcPr>
            <w:tcW w:w="2104" w:type="dxa"/>
            <w:textDirection w:val="lrTb"/>
            <w:noWrap/>
          </w:tcPr>
          <w:p>
            <w:pPr>
              <w:pStyle w:val="1042"/>
              <w:jc w:val="center"/>
              <w:spacing w:before="70" w:line="221" w:lineRule="auto"/>
              <w:rPr>
                <w:i/>
                <w:iCs/>
                <w:sz w:val="18"/>
                <w:szCs w:val="18"/>
                <w:highlight w:val="none"/>
                <w:u w:val="single"/>
              </w:rPr>
            </w:pPr>
            <w:r>
              <w:rPr>
                <w:i/>
                <w:iCs/>
                <w:spacing w:val="-3"/>
                <w:sz w:val="18"/>
                <w:szCs w:val="18"/>
                <w:highlight w:val="none"/>
                <w:u w:val="single"/>
              </w:rPr>
              <w:t xml:space="preserve">外呼互锁</w:t>
            </w:r>
            <w:r/>
          </w:p>
        </w:tc>
        <w:tc>
          <w:tcPr>
            <w:tcW w:w="7425" w:type="dxa"/>
            <w:textDirection w:val="lrTb"/>
            <w:noWrap/>
          </w:tcPr>
          <w:p>
            <w:pPr>
              <w:pStyle w:val="1042"/>
              <w:ind w:left="124"/>
              <w:spacing w:before="70" w:line="220" w:lineRule="auto"/>
              <w:rPr>
                <w:i/>
                <w:iCs/>
                <w:sz w:val="18"/>
                <w:szCs w:val="18"/>
                <w:highlight w:val="none"/>
                <w:u w:val="single"/>
              </w:rPr>
            </w:pPr>
            <w:r>
              <w:rPr>
                <w:i/>
                <w:iCs/>
                <w:spacing w:val="-1"/>
                <w:sz w:val="18"/>
                <w:szCs w:val="18"/>
                <w:highlight w:val="none"/>
                <w:u w:val="single"/>
              </w:rPr>
              <w:t xml:space="preserve">防止同时登记一层站上的上、下外呼两个信号</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5"/>
                <w:sz w:val="18"/>
                <w:szCs w:val="18"/>
                <w:highlight w:val="none"/>
                <w:u w:val="single"/>
              </w:rPr>
              <w:t xml:space="preserve">32</w:t>
            </w:r>
            <w:r/>
          </w:p>
        </w:tc>
        <w:tc>
          <w:tcPr>
            <w:tcW w:w="2104" w:type="dxa"/>
            <w:textDirection w:val="lrTb"/>
            <w:noWrap/>
          </w:tcPr>
          <w:p>
            <w:pPr>
              <w:pStyle w:val="1042"/>
              <w:jc w:val="center"/>
              <w:spacing w:before="226" w:line="220" w:lineRule="auto"/>
              <w:rPr>
                <w:i/>
                <w:iCs/>
                <w:sz w:val="18"/>
                <w:szCs w:val="18"/>
                <w:highlight w:val="none"/>
                <w:u w:val="single"/>
              </w:rPr>
            </w:pPr>
            <w:r>
              <w:rPr>
                <w:i/>
                <w:iCs/>
                <w:spacing w:val="-1"/>
                <w:sz w:val="18"/>
                <w:szCs w:val="18"/>
                <w:highlight w:val="none"/>
                <w:u w:val="single"/>
              </w:rPr>
              <w:t xml:space="preserve">轿厢照明自动控制</w:t>
            </w:r>
            <w:r/>
          </w:p>
        </w:tc>
        <w:tc>
          <w:tcPr>
            <w:tcW w:w="7425" w:type="dxa"/>
            <w:textDirection w:val="lrTb"/>
            <w:noWrap/>
          </w:tcPr>
          <w:p>
            <w:pPr>
              <w:pStyle w:val="1042"/>
              <w:ind w:left="113" w:right="108" w:firstLine="20"/>
              <w:spacing w:before="69" w:line="282" w:lineRule="auto"/>
              <w:rPr>
                <w:i/>
                <w:iCs/>
                <w:sz w:val="18"/>
                <w:szCs w:val="18"/>
                <w:highlight w:val="none"/>
                <w:u w:val="single"/>
              </w:rPr>
            </w:pPr>
            <w:r>
              <w:rPr>
                <w:i/>
                <w:iCs/>
                <w:spacing w:val="1"/>
                <w:sz w:val="18"/>
                <w:szCs w:val="18"/>
                <w:highlight w:val="none"/>
                <w:u w:val="single"/>
              </w:rPr>
              <w:t xml:space="preserve">电梯最后一次运行结束，所有层门和轿门都关闭，预置时间后，轿厢</w:t>
            </w:r>
            <w:r>
              <w:rPr>
                <w:i/>
                <w:iCs/>
                <w:spacing w:val="-1"/>
                <w:sz w:val="18"/>
                <w:szCs w:val="18"/>
                <w:highlight w:val="none"/>
                <w:u w:val="single"/>
              </w:rPr>
              <w:t xml:space="preserve">照明关闭；电梯有新召唤信号时，轿厢照明重新打开。</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5"/>
                <w:sz w:val="18"/>
                <w:szCs w:val="18"/>
                <w:highlight w:val="none"/>
                <w:u w:val="single"/>
              </w:rPr>
              <w:t xml:space="preserve">33</w:t>
            </w:r>
            <w:r/>
          </w:p>
        </w:tc>
        <w:tc>
          <w:tcPr>
            <w:tcW w:w="2104" w:type="dxa"/>
            <w:textDirection w:val="lrTb"/>
            <w:noWrap/>
          </w:tcPr>
          <w:p>
            <w:pPr>
              <w:pStyle w:val="1042"/>
              <w:jc w:val="center"/>
              <w:spacing w:before="225" w:line="221" w:lineRule="auto"/>
              <w:rPr>
                <w:i/>
                <w:iCs/>
                <w:sz w:val="18"/>
                <w:szCs w:val="18"/>
                <w:highlight w:val="none"/>
                <w:u w:val="single"/>
              </w:rPr>
            </w:pPr>
            <w:r>
              <w:rPr>
                <w:i/>
                <w:iCs/>
                <w:spacing w:val="-1"/>
                <w:sz w:val="18"/>
                <w:szCs w:val="18"/>
                <w:highlight w:val="none"/>
                <w:u w:val="single"/>
              </w:rPr>
              <w:t xml:space="preserve">轿厢通风自动控制</w:t>
            </w:r>
            <w:r/>
          </w:p>
        </w:tc>
        <w:tc>
          <w:tcPr>
            <w:tcW w:w="7425" w:type="dxa"/>
            <w:textDirection w:val="lrTb"/>
            <w:noWrap/>
          </w:tcPr>
          <w:p>
            <w:pPr>
              <w:pStyle w:val="1042"/>
              <w:ind w:left="112" w:right="108" w:firstLine="21"/>
              <w:spacing w:before="69" w:line="282" w:lineRule="auto"/>
              <w:rPr>
                <w:i/>
                <w:iCs/>
                <w:sz w:val="18"/>
                <w:szCs w:val="18"/>
                <w:highlight w:val="none"/>
                <w:u w:val="single"/>
              </w:rPr>
            </w:pPr>
            <w:r>
              <w:rPr>
                <w:i/>
                <w:iCs/>
                <w:spacing w:val="1"/>
                <w:sz w:val="18"/>
                <w:szCs w:val="18"/>
                <w:highlight w:val="none"/>
                <w:u w:val="single"/>
              </w:rPr>
              <w:t xml:space="preserve">电梯最后一次运行结束，所有层门和轿门都关闭，预置时间后，轿厢</w:t>
            </w:r>
            <w:r>
              <w:rPr>
                <w:i/>
                <w:iCs/>
                <w:spacing w:val="-1"/>
                <w:sz w:val="18"/>
                <w:szCs w:val="18"/>
                <w:highlight w:val="none"/>
                <w:u w:val="single"/>
              </w:rPr>
              <w:t xml:space="preserve">通风关闭；电梯有新召唤信号时，轿厢通风重新打开。</w:t>
            </w:r>
            <w:r/>
          </w:p>
        </w:tc>
      </w:tr>
      <w:tr>
        <w:trPr>
          <w:trHeight w:val="629"/>
        </w:trPr>
        <w:tc>
          <w:tcPr>
            <w:tcW w:w="686" w:type="dxa"/>
            <w:vAlign w:val="center"/>
            <w:textDirection w:val="lrTb"/>
            <w:noWrap/>
          </w:tcPr>
          <w:p>
            <w:pPr>
              <w:pStyle w:val="1042"/>
              <w:jc w:val="center"/>
              <w:spacing w:before="253" w:line="183" w:lineRule="auto"/>
              <w:rPr>
                <w:i/>
                <w:iCs/>
                <w:sz w:val="18"/>
                <w:szCs w:val="18"/>
                <w:highlight w:val="none"/>
                <w:u w:val="single"/>
              </w:rPr>
            </w:pPr>
            <w:r>
              <w:rPr>
                <w:i/>
                <w:iCs/>
                <w:spacing w:val="-5"/>
                <w:sz w:val="18"/>
                <w:szCs w:val="18"/>
                <w:highlight w:val="none"/>
                <w:u w:val="single"/>
              </w:rPr>
              <w:t xml:space="preserve">34</w:t>
            </w:r>
            <w:r/>
          </w:p>
        </w:tc>
        <w:tc>
          <w:tcPr>
            <w:tcW w:w="2104" w:type="dxa"/>
            <w:textDirection w:val="lrTb"/>
            <w:noWrap/>
          </w:tcPr>
          <w:p>
            <w:pPr>
              <w:pStyle w:val="1042"/>
              <w:jc w:val="center"/>
              <w:spacing w:before="225" w:line="220" w:lineRule="auto"/>
              <w:rPr>
                <w:i/>
                <w:iCs/>
                <w:sz w:val="18"/>
                <w:szCs w:val="18"/>
                <w:highlight w:val="none"/>
                <w:u w:val="single"/>
              </w:rPr>
            </w:pPr>
            <w:r>
              <w:rPr>
                <w:i/>
                <w:iCs/>
                <w:spacing w:val="-2"/>
                <w:sz w:val="18"/>
                <w:szCs w:val="18"/>
                <w:highlight w:val="none"/>
                <w:u w:val="single"/>
              </w:rPr>
              <w:t xml:space="preserve">轿厢照明主开关</w:t>
            </w:r>
            <w:r/>
          </w:p>
        </w:tc>
        <w:tc>
          <w:tcPr>
            <w:tcW w:w="7425" w:type="dxa"/>
            <w:textDirection w:val="lrTb"/>
            <w:noWrap/>
          </w:tcPr>
          <w:p>
            <w:pPr>
              <w:pStyle w:val="1042"/>
              <w:ind w:left="112" w:right="108" w:firstLine="3"/>
              <w:spacing w:before="69" w:line="282" w:lineRule="auto"/>
              <w:rPr>
                <w:i/>
                <w:iCs/>
                <w:sz w:val="18"/>
                <w:szCs w:val="18"/>
                <w:highlight w:val="none"/>
                <w:u w:val="single"/>
              </w:rPr>
            </w:pPr>
            <w:r>
              <w:rPr>
                <w:i/>
                <w:iCs/>
                <w:spacing w:val="2"/>
                <w:sz w:val="18"/>
                <w:szCs w:val="18"/>
                <w:highlight w:val="none"/>
                <w:u w:val="single"/>
              </w:rPr>
              <w:t xml:space="preserve">安装在机房墙上的轿厢照明主开关，可以切断</w:t>
            </w:r>
            <w:r>
              <w:rPr>
                <w:i/>
                <w:iCs/>
                <w:spacing w:val="1"/>
                <w:sz w:val="18"/>
                <w:szCs w:val="18"/>
                <w:highlight w:val="none"/>
                <w:u w:val="single"/>
              </w:rPr>
              <w:t xml:space="preserve">轿厢照明电源，或当轿</w:t>
            </w:r>
            <w:r>
              <w:rPr>
                <w:i/>
                <w:iCs/>
                <w:spacing w:val="-1"/>
                <w:sz w:val="18"/>
                <w:szCs w:val="18"/>
                <w:highlight w:val="none"/>
                <w:u w:val="single"/>
              </w:rPr>
              <w:t xml:space="preserve">厢照明漏电时，防止人员触电。</w:t>
            </w:r>
            <w:r/>
          </w:p>
        </w:tc>
      </w:tr>
      <w:tr>
        <w:trPr>
          <w:trHeight w:val="629"/>
        </w:trPr>
        <w:tc>
          <w:tcPr>
            <w:tcW w:w="686" w:type="dxa"/>
            <w:vAlign w:val="center"/>
            <w:textDirection w:val="lrTb"/>
            <w:noWrap/>
          </w:tcPr>
          <w:p>
            <w:pPr>
              <w:pStyle w:val="1042"/>
              <w:jc w:val="center"/>
              <w:spacing w:before="255" w:line="183" w:lineRule="auto"/>
              <w:rPr>
                <w:i/>
                <w:iCs/>
                <w:sz w:val="18"/>
                <w:szCs w:val="18"/>
                <w:highlight w:val="none"/>
                <w:u w:val="single"/>
              </w:rPr>
            </w:pPr>
            <w:r>
              <w:rPr>
                <w:i/>
                <w:iCs/>
                <w:spacing w:val="-5"/>
                <w:sz w:val="18"/>
                <w:szCs w:val="18"/>
                <w:highlight w:val="none"/>
                <w:u w:val="single"/>
              </w:rPr>
              <w:t xml:space="preserve">35</w:t>
            </w:r>
            <w:r/>
          </w:p>
        </w:tc>
        <w:tc>
          <w:tcPr>
            <w:tcW w:w="2104" w:type="dxa"/>
            <w:textDirection w:val="lrTb"/>
            <w:noWrap/>
          </w:tcPr>
          <w:p>
            <w:pPr>
              <w:pStyle w:val="1042"/>
              <w:jc w:val="center"/>
              <w:spacing w:before="226" w:line="221" w:lineRule="auto"/>
              <w:rPr>
                <w:i/>
                <w:iCs/>
                <w:sz w:val="18"/>
                <w:szCs w:val="18"/>
                <w:highlight w:val="none"/>
                <w:u w:val="single"/>
              </w:rPr>
            </w:pPr>
            <w:r>
              <w:rPr>
                <w:i/>
                <w:iCs/>
                <w:spacing w:val="-6"/>
                <w:sz w:val="18"/>
                <w:szCs w:val="18"/>
                <w:highlight w:val="none"/>
                <w:u w:val="single"/>
              </w:rPr>
              <w:t xml:space="preserve">电梯主开关</w:t>
            </w:r>
            <w:r/>
          </w:p>
        </w:tc>
        <w:tc>
          <w:tcPr>
            <w:tcW w:w="7425" w:type="dxa"/>
            <w:textDirection w:val="lrTb"/>
            <w:noWrap/>
          </w:tcPr>
          <w:p>
            <w:pPr>
              <w:pStyle w:val="1042"/>
              <w:ind w:left="112" w:right="108" w:firstLine="3"/>
              <w:spacing w:before="71" w:line="281" w:lineRule="auto"/>
              <w:rPr>
                <w:i/>
                <w:iCs/>
                <w:sz w:val="18"/>
                <w:szCs w:val="18"/>
                <w:highlight w:val="none"/>
                <w:u w:val="single"/>
              </w:rPr>
            </w:pPr>
            <w:r>
              <w:rPr>
                <w:i/>
                <w:iCs/>
                <w:spacing w:val="2"/>
                <w:sz w:val="18"/>
                <w:szCs w:val="18"/>
                <w:highlight w:val="none"/>
                <w:u w:val="single"/>
              </w:rPr>
              <w:t xml:space="preserve">安装在机房墙壁上的电梯主开关，可以切断除</w:t>
            </w:r>
            <w:r>
              <w:rPr>
                <w:i/>
                <w:iCs/>
                <w:spacing w:val="1"/>
                <w:sz w:val="18"/>
                <w:szCs w:val="18"/>
                <w:highlight w:val="none"/>
                <w:u w:val="single"/>
              </w:rPr>
              <w:t xml:space="preserve">电梯照明供电以外的其</w:t>
            </w:r>
            <w:r>
              <w:rPr>
                <w:i/>
                <w:iCs/>
                <w:spacing w:val="-2"/>
                <w:sz w:val="18"/>
                <w:szCs w:val="18"/>
                <w:highlight w:val="none"/>
                <w:u w:val="single"/>
              </w:rPr>
              <w:t xml:space="preserve">它电梯供电。</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i/>
                <w:iCs/>
                <w:spacing w:val="-5"/>
                <w:sz w:val="18"/>
                <w:szCs w:val="18"/>
                <w:highlight w:val="none"/>
                <w:u w:val="single"/>
              </w:rPr>
              <w:t xml:space="preserve">36</w:t>
            </w:r>
            <w:r/>
          </w:p>
        </w:tc>
        <w:tc>
          <w:tcPr>
            <w:tcW w:w="2104" w:type="dxa"/>
            <w:textDirection w:val="lrTb"/>
            <w:noWrap/>
          </w:tcPr>
          <w:p>
            <w:pPr>
              <w:pStyle w:val="1042"/>
              <w:jc w:val="center"/>
              <w:spacing w:before="70" w:line="220" w:lineRule="auto"/>
              <w:rPr>
                <w:i/>
                <w:iCs/>
                <w:sz w:val="18"/>
                <w:szCs w:val="18"/>
                <w:highlight w:val="none"/>
                <w:u w:val="single"/>
              </w:rPr>
            </w:pPr>
            <w:r>
              <w:rPr>
                <w:i/>
                <w:iCs/>
                <w:spacing w:val="-2"/>
                <w:sz w:val="18"/>
                <w:szCs w:val="18"/>
                <w:highlight w:val="none"/>
                <w:u w:val="single"/>
              </w:rPr>
              <w:t xml:space="preserve">退出服务开关</w:t>
            </w:r>
            <w:r/>
          </w:p>
        </w:tc>
        <w:tc>
          <w:tcPr>
            <w:tcW w:w="7425" w:type="dxa"/>
            <w:textDirection w:val="lrTb"/>
            <w:noWrap/>
          </w:tcPr>
          <w:p>
            <w:pPr>
              <w:pStyle w:val="1042"/>
              <w:ind w:left="115"/>
              <w:spacing w:before="70" w:line="220" w:lineRule="auto"/>
              <w:rPr>
                <w:i/>
                <w:iCs/>
                <w:sz w:val="18"/>
                <w:szCs w:val="18"/>
                <w:highlight w:val="none"/>
                <w:u w:val="single"/>
              </w:rPr>
            </w:pPr>
            <w:r>
              <w:rPr>
                <w:i/>
                <w:iCs/>
                <w:spacing w:val="-1"/>
                <w:sz w:val="18"/>
                <w:szCs w:val="18"/>
                <w:highlight w:val="none"/>
                <w:u w:val="single"/>
              </w:rPr>
              <w:t xml:space="preserve">该开关动作后，电梯仍服务所有已登记的内呼但不接受新内呼。</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5"/>
                <w:sz w:val="18"/>
                <w:szCs w:val="18"/>
                <w:highlight w:val="none"/>
                <w:u w:val="single"/>
              </w:rPr>
              <w:t xml:space="preserve">3</w:t>
            </w:r>
            <w:r>
              <w:rPr>
                <w:rFonts w:hint="eastAsia"/>
                <w:i/>
                <w:iCs/>
                <w:spacing w:val="-5"/>
                <w:sz w:val="18"/>
                <w:szCs w:val="18"/>
                <w:highlight w:val="none"/>
                <w:u w:val="single"/>
              </w:rPr>
              <w:t xml:space="preserve">7</w:t>
            </w:r>
            <w:r/>
          </w:p>
        </w:tc>
        <w:tc>
          <w:tcPr>
            <w:tcW w:w="2104" w:type="dxa"/>
            <w:textDirection w:val="lrTb"/>
            <w:noWrap/>
          </w:tcPr>
          <w:p>
            <w:pPr>
              <w:pStyle w:val="1042"/>
              <w:jc w:val="center"/>
              <w:spacing w:before="226" w:line="220" w:lineRule="auto"/>
              <w:rPr>
                <w:i/>
                <w:iCs/>
                <w:sz w:val="18"/>
                <w:szCs w:val="18"/>
                <w:highlight w:val="none"/>
                <w:u w:val="single"/>
              </w:rPr>
            </w:pPr>
            <w:r>
              <w:rPr>
                <w:i/>
                <w:iCs/>
                <w:spacing w:val="-2"/>
                <w:sz w:val="18"/>
                <w:szCs w:val="18"/>
                <w:highlight w:val="none"/>
                <w:u w:val="single"/>
              </w:rPr>
              <w:t xml:space="preserve">满载直驶</w:t>
            </w:r>
            <w:r/>
          </w:p>
        </w:tc>
        <w:tc>
          <w:tcPr>
            <w:tcW w:w="7425" w:type="dxa"/>
            <w:textDirection w:val="lrTb"/>
            <w:noWrap/>
          </w:tcPr>
          <w:p>
            <w:pPr>
              <w:pStyle w:val="1042"/>
              <w:ind w:left="115" w:right="108" w:firstLine="8"/>
              <w:spacing w:before="69" w:line="282" w:lineRule="auto"/>
              <w:rPr>
                <w:i/>
                <w:iCs/>
                <w:sz w:val="18"/>
                <w:szCs w:val="18"/>
                <w:highlight w:val="none"/>
                <w:u w:val="single"/>
              </w:rPr>
            </w:pPr>
            <w:r>
              <w:rPr>
                <w:i/>
                <w:iCs/>
                <w:sz w:val="18"/>
                <w:szCs w:val="18"/>
                <w:highlight w:val="none"/>
                <w:u w:val="single"/>
              </w:rPr>
              <w:t xml:space="preserve">当轿厢内载重达到额定载重量的，即不能接受候梯厅呼叫，自动通过</w:t>
            </w:r>
            <w:r>
              <w:rPr>
                <w:i/>
                <w:iCs/>
                <w:spacing w:val="-1"/>
                <w:sz w:val="18"/>
                <w:szCs w:val="18"/>
                <w:highlight w:val="none"/>
                <w:u w:val="single"/>
              </w:rPr>
              <w:t xml:space="preserve">不</w:t>
            </w:r>
            <w:r>
              <w:rPr>
                <w:rFonts w:hint="eastAsia"/>
                <w:i/>
                <w:iCs/>
                <w:spacing w:val="-1"/>
                <w:sz w:val="18"/>
                <w:szCs w:val="18"/>
                <w:highlight w:val="none"/>
                <w:u w:val="single"/>
              </w:rPr>
              <w:t xml:space="preserve">层</w:t>
            </w:r>
            <w:r>
              <w:rPr>
                <w:i/>
                <w:iCs/>
                <w:spacing w:val="-1"/>
                <w:sz w:val="18"/>
                <w:szCs w:val="18"/>
                <w:highlight w:val="none"/>
                <w:u w:val="single"/>
              </w:rPr>
              <w:t xml:space="preserve">， 只响应轿厢内选层。</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5"/>
                <w:sz w:val="18"/>
                <w:szCs w:val="18"/>
                <w:highlight w:val="none"/>
                <w:u w:val="single"/>
              </w:rPr>
              <w:t xml:space="preserve">3</w:t>
            </w:r>
            <w:r>
              <w:rPr>
                <w:rFonts w:hint="eastAsia"/>
                <w:i/>
                <w:iCs/>
                <w:spacing w:val="-5"/>
                <w:sz w:val="18"/>
                <w:szCs w:val="18"/>
                <w:highlight w:val="none"/>
                <w:u w:val="single"/>
              </w:rPr>
              <w:t xml:space="preserve">8</w:t>
            </w:r>
            <w:r/>
          </w:p>
        </w:tc>
        <w:tc>
          <w:tcPr>
            <w:tcW w:w="2104" w:type="dxa"/>
            <w:textDirection w:val="lrTb"/>
            <w:noWrap/>
          </w:tcPr>
          <w:p>
            <w:pPr>
              <w:pStyle w:val="1042"/>
              <w:jc w:val="center"/>
              <w:spacing w:before="69" w:line="221" w:lineRule="auto"/>
              <w:rPr>
                <w:i/>
                <w:iCs/>
                <w:sz w:val="18"/>
                <w:szCs w:val="18"/>
                <w:highlight w:val="none"/>
                <w:u w:val="single"/>
              </w:rPr>
            </w:pPr>
            <w:r>
              <w:rPr>
                <w:i/>
                <w:iCs/>
                <w:spacing w:val="-2"/>
                <w:sz w:val="18"/>
                <w:szCs w:val="18"/>
                <w:highlight w:val="none"/>
                <w:u w:val="single"/>
              </w:rPr>
              <w:t xml:space="preserve">外呼登录显示灯</w:t>
            </w:r>
            <w:r/>
          </w:p>
        </w:tc>
        <w:tc>
          <w:tcPr>
            <w:tcW w:w="7425" w:type="dxa"/>
            <w:textDirection w:val="lrTb"/>
            <w:noWrap/>
          </w:tcPr>
          <w:p>
            <w:pPr>
              <w:pStyle w:val="1042"/>
              <w:ind w:left="117"/>
              <w:spacing w:before="69" w:line="220" w:lineRule="auto"/>
              <w:rPr>
                <w:i/>
                <w:iCs/>
                <w:sz w:val="18"/>
                <w:szCs w:val="18"/>
                <w:highlight w:val="none"/>
                <w:u w:val="single"/>
              </w:rPr>
            </w:pPr>
            <w:r>
              <w:rPr>
                <w:i/>
                <w:iCs/>
                <w:spacing w:val="-1"/>
                <w:sz w:val="18"/>
                <w:szCs w:val="18"/>
                <w:highlight w:val="none"/>
                <w:u w:val="single"/>
              </w:rPr>
              <w:t xml:space="preserve">显示灯亮表示外呼信号已被登记。外呼信号已被服务时灯熄灭。</w:t>
            </w:r>
            <w:r/>
          </w:p>
        </w:tc>
      </w:tr>
      <w:tr>
        <w:trPr>
          <w:trHeight w:val="629"/>
        </w:trPr>
        <w:tc>
          <w:tcPr>
            <w:tcW w:w="686" w:type="dxa"/>
            <w:vAlign w:val="center"/>
            <w:textDirection w:val="lrTb"/>
            <w:noWrap/>
          </w:tcPr>
          <w:p>
            <w:pPr>
              <w:pStyle w:val="1042"/>
              <w:jc w:val="center"/>
              <w:spacing w:before="253" w:line="183" w:lineRule="auto"/>
              <w:rPr>
                <w:i/>
                <w:iCs/>
                <w:sz w:val="18"/>
                <w:szCs w:val="18"/>
                <w:highlight w:val="none"/>
                <w:u w:val="single"/>
              </w:rPr>
            </w:pPr>
            <w:r>
              <w:rPr>
                <w:rFonts w:hint="eastAsia"/>
                <w:i/>
                <w:iCs/>
                <w:spacing w:val="-3"/>
                <w:sz w:val="18"/>
                <w:szCs w:val="18"/>
                <w:highlight w:val="none"/>
                <w:u w:val="single"/>
              </w:rPr>
              <w:t xml:space="preserve">39</w:t>
            </w:r>
            <w:r/>
          </w:p>
        </w:tc>
        <w:tc>
          <w:tcPr>
            <w:tcW w:w="2104" w:type="dxa"/>
            <w:textDirection w:val="lrTb"/>
            <w:noWrap/>
          </w:tcPr>
          <w:p>
            <w:pPr>
              <w:pStyle w:val="1042"/>
              <w:jc w:val="center"/>
              <w:spacing w:before="225" w:line="220" w:lineRule="auto"/>
              <w:rPr>
                <w:i/>
                <w:iCs/>
                <w:sz w:val="18"/>
                <w:szCs w:val="18"/>
                <w:highlight w:val="none"/>
                <w:u w:val="single"/>
              </w:rPr>
            </w:pPr>
            <w:r>
              <w:rPr>
                <w:i/>
                <w:iCs/>
                <w:spacing w:val="-1"/>
                <w:sz w:val="18"/>
                <w:szCs w:val="18"/>
                <w:highlight w:val="none"/>
                <w:u w:val="single"/>
              </w:rPr>
              <w:t xml:space="preserve">超载保护、报警功能</w:t>
            </w:r>
            <w:r/>
          </w:p>
        </w:tc>
        <w:tc>
          <w:tcPr>
            <w:tcW w:w="7425" w:type="dxa"/>
            <w:textDirection w:val="lrTb"/>
            <w:noWrap/>
          </w:tcPr>
          <w:p>
            <w:pPr>
              <w:pStyle w:val="1042"/>
              <w:ind w:left="112" w:right="79" w:firstLine="2"/>
              <w:spacing w:before="69" w:line="282" w:lineRule="auto"/>
              <w:rPr>
                <w:i/>
                <w:iCs/>
                <w:sz w:val="18"/>
                <w:szCs w:val="18"/>
                <w:highlight w:val="none"/>
                <w:u w:val="single"/>
              </w:rPr>
            </w:pPr>
            <w:r>
              <w:rPr>
                <w:i/>
                <w:iCs/>
                <w:spacing w:val="-2"/>
                <w:sz w:val="18"/>
                <w:szCs w:val="18"/>
                <w:highlight w:val="none"/>
                <w:u w:val="single"/>
              </w:rPr>
              <w:t xml:space="preserve">如果轿厢载重超过电梯额定载重的10%，</w:t>
            </w:r>
            <w:r>
              <w:rPr>
                <w:i/>
                <w:iCs/>
                <w:spacing w:val="-3"/>
                <w:sz w:val="18"/>
                <w:szCs w:val="18"/>
                <w:highlight w:val="none"/>
                <w:u w:val="single"/>
              </w:rPr>
              <w:t xml:space="preserve">电梯不能起动，电梯门开着，</w:t>
            </w:r>
            <w:r>
              <w:rPr>
                <w:i/>
                <w:iCs/>
                <w:spacing w:val="-1"/>
                <w:sz w:val="18"/>
                <w:szCs w:val="18"/>
                <w:highlight w:val="none"/>
                <w:u w:val="single"/>
              </w:rPr>
              <w:t xml:space="preserve">轿厢内的超载信号闪烁或警报器响，提示部分乘客离开轿厢。</w:t>
            </w:r>
            <w:r/>
          </w:p>
        </w:tc>
      </w:tr>
      <w:tr>
        <w:trPr>
          <w:trHeight w:val="317"/>
        </w:trPr>
        <w:tc>
          <w:tcPr>
            <w:tcW w:w="686" w:type="dxa"/>
            <w:vAlign w:val="center"/>
            <w:textDirection w:val="lrTb"/>
            <w:noWrap/>
          </w:tcPr>
          <w:p>
            <w:pPr>
              <w:pStyle w:val="1042"/>
              <w:jc w:val="center"/>
              <w:spacing w:before="98" w:line="184"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0</w:t>
            </w:r>
            <w:r/>
          </w:p>
        </w:tc>
        <w:tc>
          <w:tcPr>
            <w:tcW w:w="2104" w:type="dxa"/>
            <w:textDirection w:val="lrTb"/>
            <w:noWrap/>
          </w:tcPr>
          <w:p>
            <w:pPr>
              <w:pStyle w:val="1042"/>
              <w:jc w:val="center"/>
              <w:spacing w:before="70" w:line="221" w:lineRule="auto"/>
              <w:rPr>
                <w:i/>
                <w:iCs/>
                <w:sz w:val="18"/>
                <w:szCs w:val="18"/>
                <w:highlight w:val="none"/>
                <w:u w:val="single"/>
              </w:rPr>
            </w:pPr>
            <w:r>
              <w:rPr>
                <w:i/>
                <w:iCs/>
                <w:spacing w:val="-2"/>
                <w:sz w:val="18"/>
                <w:szCs w:val="18"/>
                <w:highlight w:val="none"/>
                <w:u w:val="single"/>
              </w:rPr>
              <w:t xml:space="preserve">轿厢位置显示</w:t>
            </w:r>
            <w:r/>
          </w:p>
        </w:tc>
        <w:tc>
          <w:tcPr>
            <w:tcW w:w="7425" w:type="dxa"/>
            <w:textDirection w:val="lrTb"/>
            <w:noWrap/>
          </w:tcPr>
          <w:p>
            <w:pPr>
              <w:pStyle w:val="1042"/>
              <w:ind w:left="112"/>
              <w:spacing w:before="71" w:line="220" w:lineRule="auto"/>
              <w:rPr>
                <w:i/>
                <w:iCs/>
                <w:sz w:val="18"/>
                <w:szCs w:val="18"/>
                <w:highlight w:val="none"/>
                <w:u w:val="single"/>
              </w:rPr>
            </w:pPr>
            <w:r>
              <w:rPr>
                <w:i/>
                <w:iCs/>
                <w:spacing w:val="-1"/>
                <w:sz w:val="18"/>
                <w:szCs w:val="18"/>
                <w:highlight w:val="none"/>
                <w:u w:val="single"/>
              </w:rPr>
              <w:t xml:space="preserve">轿厢位置指示器显示轿厢所在的楼层区域和运行方向。</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1</w:t>
            </w:r>
            <w:r/>
          </w:p>
        </w:tc>
        <w:tc>
          <w:tcPr>
            <w:tcW w:w="2104" w:type="dxa"/>
            <w:textDirection w:val="lrTb"/>
            <w:noWrap/>
          </w:tcPr>
          <w:p>
            <w:pPr>
              <w:pStyle w:val="1042"/>
              <w:jc w:val="center"/>
              <w:spacing w:before="70" w:line="221" w:lineRule="auto"/>
              <w:rPr>
                <w:i/>
                <w:iCs/>
                <w:sz w:val="18"/>
                <w:szCs w:val="18"/>
                <w:highlight w:val="none"/>
                <w:u w:val="single"/>
              </w:rPr>
            </w:pPr>
            <w:r>
              <w:rPr>
                <w:i/>
                <w:iCs/>
                <w:spacing w:val="-2"/>
                <w:sz w:val="18"/>
                <w:szCs w:val="18"/>
                <w:highlight w:val="none"/>
                <w:u w:val="single"/>
              </w:rPr>
              <w:t xml:space="preserve">运动方向指示</w:t>
            </w:r>
            <w:r/>
          </w:p>
        </w:tc>
        <w:tc>
          <w:tcPr>
            <w:tcW w:w="7425" w:type="dxa"/>
            <w:textDirection w:val="lrTb"/>
            <w:noWrap/>
          </w:tcPr>
          <w:p>
            <w:pPr>
              <w:pStyle w:val="1042"/>
              <w:ind w:left="113"/>
              <w:spacing w:before="70" w:line="220" w:lineRule="auto"/>
              <w:rPr>
                <w:i/>
                <w:iCs/>
                <w:sz w:val="18"/>
                <w:szCs w:val="18"/>
                <w:highlight w:val="none"/>
                <w:u w:val="single"/>
              </w:rPr>
            </w:pPr>
            <w:r>
              <w:rPr>
                <w:i/>
                <w:iCs/>
                <w:spacing w:val="-1"/>
                <w:sz w:val="18"/>
                <w:szCs w:val="18"/>
                <w:highlight w:val="none"/>
                <w:u w:val="single"/>
              </w:rPr>
              <w:t xml:space="preserve">方向箭头显示轿厢实际或将要运行的方向。</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2</w:t>
            </w:r>
            <w:r/>
          </w:p>
        </w:tc>
        <w:tc>
          <w:tcPr>
            <w:tcW w:w="2104" w:type="dxa"/>
            <w:textDirection w:val="lrTb"/>
            <w:noWrap/>
          </w:tcPr>
          <w:p>
            <w:pPr>
              <w:pStyle w:val="1042"/>
              <w:jc w:val="center"/>
              <w:spacing w:before="70" w:line="220" w:lineRule="auto"/>
              <w:rPr>
                <w:i/>
                <w:iCs/>
                <w:sz w:val="18"/>
                <w:szCs w:val="18"/>
                <w:highlight w:val="none"/>
                <w:u w:val="single"/>
              </w:rPr>
            </w:pPr>
            <w:r>
              <w:rPr>
                <w:i/>
                <w:iCs/>
                <w:spacing w:val="-5"/>
                <w:sz w:val="18"/>
                <w:szCs w:val="18"/>
                <w:highlight w:val="none"/>
                <w:u w:val="single"/>
              </w:rPr>
              <w:t xml:space="preserve">内呼登记显示灯</w:t>
            </w:r>
            <w:r/>
          </w:p>
        </w:tc>
        <w:tc>
          <w:tcPr>
            <w:tcW w:w="7425" w:type="dxa"/>
            <w:textDirection w:val="lrTb"/>
            <w:noWrap/>
          </w:tcPr>
          <w:p>
            <w:pPr>
              <w:pStyle w:val="1042"/>
              <w:ind w:left="117"/>
              <w:spacing w:before="70" w:line="220" w:lineRule="auto"/>
              <w:rPr>
                <w:i/>
                <w:iCs/>
                <w:sz w:val="18"/>
                <w:szCs w:val="18"/>
                <w:highlight w:val="none"/>
                <w:u w:val="single"/>
              </w:rPr>
            </w:pPr>
            <w:r>
              <w:rPr>
                <w:i/>
                <w:iCs/>
                <w:spacing w:val="-1"/>
                <w:sz w:val="18"/>
                <w:szCs w:val="18"/>
                <w:highlight w:val="none"/>
                <w:u w:val="single"/>
              </w:rPr>
              <w:t xml:space="preserve">显示灯亮表示内呼信号已被登记；内呼信号已被服务时灯熄灭。</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3</w:t>
            </w:r>
            <w:r/>
          </w:p>
        </w:tc>
        <w:tc>
          <w:tcPr>
            <w:tcW w:w="2104" w:type="dxa"/>
            <w:textDirection w:val="lrTb"/>
            <w:noWrap/>
          </w:tcPr>
          <w:p>
            <w:pPr>
              <w:pStyle w:val="1042"/>
              <w:jc w:val="center"/>
              <w:spacing w:before="70" w:line="220" w:lineRule="auto"/>
              <w:rPr>
                <w:i/>
                <w:iCs/>
                <w:sz w:val="18"/>
                <w:szCs w:val="18"/>
                <w:highlight w:val="none"/>
                <w:u w:val="single"/>
              </w:rPr>
            </w:pPr>
            <w:r>
              <w:rPr>
                <w:i/>
                <w:iCs/>
                <w:spacing w:val="-1"/>
                <w:sz w:val="18"/>
                <w:szCs w:val="18"/>
                <w:highlight w:val="none"/>
                <w:u w:val="single"/>
              </w:rPr>
              <w:t xml:space="preserve">起动计数显示功能</w:t>
            </w:r>
            <w:r/>
          </w:p>
        </w:tc>
        <w:tc>
          <w:tcPr>
            <w:tcW w:w="7425" w:type="dxa"/>
            <w:textDirection w:val="lrTb"/>
            <w:noWrap/>
          </w:tcPr>
          <w:p>
            <w:pPr>
              <w:pStyle w:val="1042"/>
              <w:ind w:left="112"/>
              <w:spacing w:before="70" w:line="219" w:lineRule="auto"/>
              <w:rPr>
                <w:i/>
                <w:iCs/>
                <w:sz w:val="18"/>
                <w:szCs w:val="18"/>
                <w:highlight w:val="none"/>
                <w:u w:val="single"/>
              </w:rPr>
            </w:pPr>
            <w:r>
              <w:rPr>
                <w:i/>
                <w:iCs/>
                <w:sz w:val="18"/>
                <w:szCs w:val="18"/>
                <w:highlight w:val="none"/>
                <w:u w:val="single"/>
              </w:rPr>
              <w:t xml:space="preserve">控制柜内的控制主板统计电梯从一层到另一层</w:t>
            </w:r>
            <w:r>
              <w:rPr>
                <w:i/>
                <w:iCs/>
                <w:spacing w:val="-1"/>
                <w:sz w:val="18"/>
                <w:szCs w:val="18"/>
                <w:highlight w:val="none"/>
                <w:u w:val="single"/>
              </w:rPr>
              <w:t xml:space="preserve">的累积起动次数。</w:t>
            </w:r>
            <w:r/>
          </w:p>
        </w:tc>
      </w:tr>
      <w:tr>
        <w:trPr>
          <w:trHeight w:val="628"/>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4</w:t>
            </w:r>
            <w:r/>
          </w:p>
        </w:tc>
        <w:tc>
          <w:tcPr>
            <w:tcW w:w="2104" w:type="dxa"/>
            <w:textDirection w:val="lrTb"/>
            <w:noWrap/>
          </w:tcPr>
          <w:p>
            <w:pPr>
              <w:pStyle w:val="1042"/>
              <w:jc w:val="center"/>
              <w:spacing w:before="225" w:line="219" w:lineRule="auto"/>
              <w:rPr>
                <w:i/>
                <w:iCs/>
                <w:sz w:val="18"/>
                <w:szCs w:val="18"/>
                <w:highlight w:val="none"/>
                <w:u w:val="single"/>
              </w:rPr>
            </w:pPr>
            <w:r>
              <w:rPr>
                <w:i/>
                <w:iCs/>
                <w:spacing w:val="-1"/>
                <w:sz w:val="18"/>
                <w:szCs w:val="18"/>
                <w:highlight w:val="none"/>
                <w:u w:val="single"/>
              </w:rPr>
              <w:t xml:space="preserve">轿箱微机异常处理</w:t>
            </w:r>
            <w:r/>
          </w:p>
        </w:tc>
        <w:tc>
          <w:tcPr>
            <w:tcW w:w="7425" w:type="dxa"/>
            <w:textDirection w:val="lrTb"/>
            <w:noWrap/>
          </w:tcPr>
          <w:p>
            <w:pPr>
              <w:pStyle w:val="1042"/>
              <w:ind w:left="119" w:right="108" w:firstLine="4"/>
              <w:spacing w:before="70" w:line="281" w:lineRule="auto"/>
              <w:rPr>
                <w:i/>
                <w:iCs/>
                <w:sz w:val="18"/>
                <w:szCs w:val="18"/>
                <w:highlight w:val="none"/>
                <w:u w:val="single"/>
              </w:rPr>
            </w:pPr>
            <w:r>
              <w:rPr>
                <w:i/>
                <w:iCs/>
                <w:spacing w:val="1"/>
                <w:sz w:val="18"/>
                <w:szCs w:val="18"/>
                <w:highlight w:val="none"/>
                <w:u w:val="single"/>
              </w:rPr>
              <w:t xml:space="preserve">当主操纵箱或轿顶站或门机微机发生异常时，就近层停靠后，电梯不</w:t>
            </w:r>
            <w:r>
              <w:rPr>
                <w:i/>
                <w:iCs/>
                <w:spacing w:val="-3"/>
                <w:sz w:val="18"/>
                <w:szCs w:val="18"/>
                <w:highlight w:val="none"/>
                <w:u w:val="single"/>
              </w:rPr>
              <w:t xml:space="preserve">能再启动。</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5</w:t>
            </w:r>
            <w:r/>
          </w:p>
        </w:tc>
        <w:tc>
          <w:tcPr>
            <w:tcW w:w="2104" w:type="dxa"/>
            <w:textDirection w:val="lrTb"/>
            <w:noWrap/>
          </w:tcPr>
          <w:p>
            <w:pPr>
              <w:pStyle w:val="1042"/>
              <w:jc w:val="center"/>
              <w:spacing w:before="226" w:line="219" w:lineRule="auto"/>
              <w:rPr>
                <w:i/>
                <w:iCs/>
                <w:sz w:val="18"/>
                <w:szCs w:val="18"/>
                <w:highlight w:val="none"/>
                <w:u w:val="single"/>
              </w:rPr>
            </w:pPr>
            <w:r>
              <w:rPr>
                <w:i/>
                <w:iCs/>
                <w:spacing w:val="-1"/>
                <w:sz w:val="18"/>
                <w:szCs w:val="18"/>
                <w:highlight w:val="none"/>
                <w:u w:val="single"/>
              </w:rPr>
              <w:t xml:space="preserve">轿内反向指令自动消除功能</w:t>
            </w:r>
            <w:r/>
          </w:p>
        </w:tc>
        <w:tc>
          <w:tcPr>
            <w:tcW w:w="7425" w:type="dxa"/>
            <w:textDirection w:val="lrTb"/>
            <w:noWrap/>
          </w:tcPr>
          <w:p>
            <w:pPr>
              <w:pStyle w:val="1042"/>
              <w:ind w:left="116" w:right="60" w:firstLine="17"/>
              <w:spacing w:before="71" w:line="281" w:lineRule="auto"/>
              <w:rPr>
                <w:i/>
                <w:iCs/>
                <w:sz w:val="18"/>
                <w:szCs w:val="18"/>
                <w:highlight w:val="none"/>
                <w:u w:val="single"/>
              </w:rPr>
            </w:pPr>
            <w:r>
              <w:rPr>
                <w:i/>
                <w:iCs/>
                <w:spacing w:val="-3"/>
                <w:sz w:val="18"/>
                <w:szCs w:val="18"/>
                <w:highlight w:val="none"/>
                <w:u w:val="single"/>
              </w:rPr>
              <w:t xml:space="preserve">电梯自动运行时，当电梯沿途响应完最后一个轿内指令</w:t>
            </w:r>
            <w:r>
              <w:rPr>
                <w:i/>
                <w:iCs/>
                <w:spacing w:val="-4"/>
                <w:sz w:val="18"/>
                <w:szCs w:val="18"/>
                <w:highlight w:val="none"/>
                <w:u w:val="single"/>
              </w:rPr>
              <w:t xml:space="preserve">或层站召唤后，</w:t>
            </w:r>
            <w:r>
              <w:rPr>
                <w:i/>
                <w:iCs/>
                <w:spacing w:val="-1"/>
                <w:sz w:val="18"/>
                <w:szCs w:val="18"/>
                <w:highlight w:val="none"/>
                <w:u w:val="single"/>
              </w:rPr>
              <w:t xml:space="preserve">系统自动检查并消除余下的轿内指令。</w:t>
            </w:r>
            <w:r/>
          </w:p>
        </w:tc>
      </w:tr>
      <w:tr>
        <w:trPr>
          <w:trHeight w:val="631"/>
        </w:trPr>
        <w:tc>
          <w:tcPr>
            <w:tcW w:w="686" w:type="dxa"/>
            <w:vAlign w:val="center"/>
            <w:textDirection w:val="lrTb"/>
            <w:noWrap/>
          </w:tcPr>
          <w:p>
            <w:pPr>
              <w:pStyle w:val="1042"/>
              <w:jc w:val="center"/>
              <w:spacing w:before="256"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6</w:t>
            </w:r>
            <w:r/>
          </w:p>
        </w:tc>
        <w:tc>
          <w:tcPr>
            <w:tcW w:w="2104" w:type="dxa"/>
            <w:textDirection w:val="lrTb"/>
            <w:noWrap/>
          </w:tcPr>
          <w:p>
            <w:pPr>
              <w:pStyle w:val="1042"/>
              <w:jc w:val="center"/>
              <w:spacing w:before="72" w:line="220" w:lineRule="auto"/>
              <w:rPr>
                <w:i/>
                <w:iCs/>
                <w:sz w:val="18"/>
                <w:szCs w:val="18"/>
                <w:highlight w:val="none"/>
                <w:u w:val="single"/>
              </w:rPr>
            </w:pPr>
            <w:r>
              <w:rPr>
                <w:i/>
                <w:iCs/>
                <w:spacing w:val="-1"/>
                <w:sz w:val="18"/>
                <w:szCs w:val="18"/>
                <w:highlight w:val="none"/>
                <w:u w:val="single"/>
              </w:rPr>
              <w:t xml:space="preserve">轿内照明手动关闭</w:t>
            </w:r>
            <w:r>
              <w:rPr>
                <w:i/>
                <w:iCs/>
                <w:spacing w:val="-4"/>
                <w:sz w:val="18"/>
                <w:szCs w:val="18"/>
                <w:highlight w:val="none"/>
                <w:u w:val="single"/>
              </w:rPr>
              <w:t xml:space="preserve">（</w:t>
            </w:r>
            <w:r>
              <w:rPr>
                <w:rFonts w:hint="eastAsia"/>
                <w:i/>
                <w:iCs/>
                <w:spacing w:val="-4"/>
                <w:sz w:val="18"/>
                <w:szCs w:val="18"/>
                <w:highlight w:val="none"/>
                <w:u w:val="single"/>
              </w:rPr>
              <w:t xml:space="preserve">拨动</w:t>
            </w:r>
            <w:r>
              <w:rPr>
                <w:i/>
                <w:iCs/>
                <w:spacing w:val="-4"/>
                <w:sz w:val="18"/>
                <w:szCs w:val="18"/>
                <w:highlight w:val="none"/>
                <w:u w:val="single"/>
              </w:rPr>
              <w:t xml:space="preserve">型）</w:t>
            </w:r>
            <w:r/>
          </w:p>
        </w:tc>
        <w:tc>
          <w:tcPr>
            <w:tcW w:w="7425" w:type="dxa"/>
            <w:textDirection w:val="lrTb"/>
            <w:noWrap/>
          </w:tcPr>
          <w:p>
            <w:pPr>
              <w:pStyle w:val="1042"/>
              <w:ind w:left="112"/>
              <w:spacing w:before="228" w:line="220" w:lineRule="auto"/>
              <w:rPr>
                <w:i/>
                <w:iCs/>
                <w:sz w:val="18"/>
                <w:szCs w:val="18"/>
                <w:highlight w:val="none"/>
                <w:u w:val="single"/>
              </w:rPr>
            </w:pPr>
            <w:r>
              <w:rPr>
                <w:i/>
                <w:iCs/>
                <w:spacing w:val="-1"/>
                <w:sz w:val="18"/>
                <w:szCs w:val="18"/>
                <w:highlight w:val="none"/>
                <w:u w:val="single"/>
              </w:rPr>
              <w:t xml:space="preserve">通过操纵箱按钮组合来关闭轿内通风装置。</w:t>
            </w:r>
            <w:r/>
          </w:p>
        </w:tc>
      </w:tr>
      <w:tr>
        <w:trPr>
          <w:trHeight w:val="321"/>
        </w:trPr>
        <w:tc>
          <w:tcPr>
            <w:tcW w:w="686" w:type="dxa"/>
            <w:vAlign w:val="center"/>
            <w:textDirection w:val="lrTb"/>
            <w:noWrap/>
          </w:tcPr>
          <w:p>
            <w:pPr>
              <w:pStyle w:val="1042"/>
              <w:jc w:val="center"/>
              <w:spacing w:before="100"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7</w:t>
            </w:r>
            <w:r/>
          </w:p>
        </w:tc>
        <w:tc>
          <w:tcPr>
            <w:tcW w:w="2104" w:type="dxa"/>
            <w:textDirection w:val="lrTb"/>
            <w:noWrap/>
          </w:tcPr>
          <w:p>
            <w:pPr>
              <w:pStyle w:val="1042"/>
              <w:jc w:val="center"/>
              <w:spacing w:before="71" w:line="220" w:lineRule="auto"/>
              <w:rPr>
                <w:i/>
                <w:iCs/>
                <w:sz w:val="18"/>
                <w:szCs w:val="18"/>
                <w:highlight w:val="none"/>
                <w:u w:val="single"/>
              </w:rPr>
            </w:pPr>
            <w:r>
              <w:rPr>
                <w:i/>
                <w:iCs/>
                <w:spacing w:val="-2"/>
                <w:sz w:val="18"/>
                <w:szCs w:val="18"/>
                <w:highlight w:val="none"/>
                <w:u w:val="single"/>
              </w:rPr>
              <w:t xml:space="preserve">故障自动诊断功能</w:t>
            </w:r>
            <w:r/>
          </w:p>
        </w:tc>
        <w:tc>
          <w:tcPr>
            <w:tcW w:w="7425" w:type="dxa"/>
            <w:textDirection w:val="lrTb"/>
            <w:noWrap/>
          </w:tcPr>
          <w:p>
            <w:pPr>
              <w:pStyle w:val="1042"/>
              <w:ind w:left="112"/>
              <w:spacing w:before="71" w:line="220" w:lineRule="auto"/>
              <w:rPr>
                <w:i/>
                <w:iCs/>
                <w:sz w:val="18"/>
                <w:szCs w:val="18"/>
                <w:highlight w:val="none"/>
                <w:u w:val="single"/>
              </w:rPr>
            </w:pPr>
            <w:r>
              <w:rPr>
                <w:i/>
                <w:iCs/>
                <w:spacing w:val="-1"/>
                <w:sz w:val="18"/>
                <w:szCs w:val="18"/>
                <w:highlight w:val="none"/>
                <w:u w:val="single"/>
              </w:rPr>
              <w:t xml:space="preserve">对电梯运行过程中的异常及故障进行诊断。</w:t>
            </w:r>
            <w:r/>
          </w:p>
        </w:tc>
      </w:tr>
      <w:tr>
        <w:trPr>
          <w:trHeight w:val="629"/>
        </w:trPr>
        <w:tc>
          <w:tcPr>
            <w:tcW w:w="686" w:type="dxa"/>
            <w:vAlign w:val="center"/>
            <w:textDirection w:val="lrTb"/>
            <w:noWrap/>
          </w:tcPr>
          <w:p>
            <w:pPr>
              <w:pStyle w:val="1042"/>
              <w:jc w:val="center"/>
              <w:spacing w:before="251"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8</w:t>
            </w:r>
            <w:r/>
          </w:p>
        </w:tc>
        <w:tc>
          <w:tcPr>
            <w:tcW w:w="2104" w:type="dxa"/>
            <w:textDirection w:val="lrTb"/>
            <w:noWrap/>
          </w:tcPr>
          <w:p>
            <w:pPr>
              <w:pStyle w:val="1042"/>
              <w:jc w:val="center"/>
              <w:spacing w:before="223" w:line="220" w:lineRule="auto"/>
              <w:rPr>
                <w:i/>
                <w:iCs/>
                <w:sz w:val="18"/>
                <w:szCs w:val="18"/>
                <w:highlight w:val="none"/>
                <w:u w:val="single"/>
              </w:rPr>
            </w:pPr>
            <w:r>
              <w:rPr>
                <w:i/>
                <w:iCs/>
                <w:spacing w:val="-1"/>
                <w:sz w:val="18"/>
                <w:szCs w:val="18"/>
                <w:highlight w:val="none"/>
                <w:u w:val="single"/>
              </w:rPr>
              <w:t xml:space="preserve">层站召唤自动登记</w:t>
            </w:r>
            <w:r/>
          </w:p>
        </w:tc>
        <w:tc>
          <w:tcPr>
            <w:tcW w:w="7425" w:type="dxa"/>
            <w:textDirection w:val="lrTb"/>
            <w:noWrap/>
          </w:tcPr>
          <w:p>
            <w:pPr>
              <w:pStyle w:val="1042"/>
              <w:ind w:left="142" w:right="108" w:hanging="18"/>
              <w:spacing w:before="67" w:line="283" w:lineRule="auto"/>
              <w:rPr>
                <w:i/>
                <w:iCs/>
                <w:sz w:val="18"/>
                <w:szCs w:val="18"/>
                <w:highlight w:val="none"/>
                <w:u w:val="single"/>
              </w:rPr>
            </w:pPr>
            <w:r>
              <w:rPr>
                <w:i/>
                <w:iCs/>
                <w:spacing w:val="1"/>
                <w:sz w:val="18"/>
                <w:szCs w:val="18"/>
                <w:highlight w:val="none"/>
                <w:u w:val="single"/>
              </w:rPr>
              <w:t xml:space="preserve">当一台电梯不能将所有乘客接走，该层站按钮保持登记状态，系统将</w:t>
            </w:r>
            <w:r>
              <w:rPr>
                <w:i/>
                <w:iCs/>
                <w:spacing w:val="-3"/>
                <w:sz w:val="18"/>
                <w:szCs w:val="18"/>
                <w:highlight w:val="none"/>
                <w:u w:val="single"/>
              </w:rPr>
              <w:t xml:space="preserve">自动分配另外一台电梯来服务。</w:t>
            </w:r>
            <w:r/>
          </w:p>
        </w:tc>
      </w:tr>
      <w:tr>
        <w:trPr>
          <w:trHeight w:val="589"/>
        </w:trPr>
        <w:tc>
          <w:tcPr>
            <w:tcW w:w="686" w:type="dxa"/>
            <w:vAlign w:val="center"/>
            <w:textDirection w:val="lrTb"/>
            <w:noWrap/>
          </w:tcPr>
          <w:p>
            <w:pPr>
              <w:pStyle w:val="1042"/>
              <w:jc w:val="center"/>
              <w:spacing w:before="59" w:line="183" w:lineRule="auto"/>
              <w:rPr>
                <w:i/>
                <w:iCs/>
                <w:sz w:val="18"/>
                <w:szCs w:val="18"/>
                <w:highlight w:val="none"/>
                <w:u w:val="single"/>
              </w:rPr>
            </w:pPr>
            <w:r>
              <w:rPr>
                <w:rFonts w:hint="eastAsia"/>
                <w:i/>
                <w:iCs/>
                <w:spacing w:val="-5"/>
                <w:sz w:val="18"/>
                <w:szCs w:val="18"/>
                <w:highlight w:val="none"/>
                <w:u w:val="single"/>
              </w:rPr>
              <w:t xml:space="preserve">49</w:t>
            </w:r>
            <w:r/>
          </w:p>
        </w:tc>
        <w:tc>
          <w:tcPr>
            <w:tcW w:w="2104" w:type="dxa"/>
            <w:textDirection w:val="lrTb"/>
            <w:noWrap/>
          </w:tcPr>
          <w:p>
            <w:pPr>
              <w:pStyle w:val="1042"/>
              <w:jc w:val="center"/>
              <w:spacing w:before="59"/>
              <w:rPr>
                <w:i/>
                <w:iCs/>
                <w:sz w:val="18"/>
                <w:szCs w:val="18"/>
                <w:highlight w:val="none"/>
                <w:u w:val="single"/>
              </w:rPr>
            </w:pPr>
            <w:r>
              <w:rPr>
                <w:i/>
                <w:iCs/>
                <w:spacing w:val="-1"/>
                <w:sz w:val="18"/>
                <w:szCs w:val="18"/>
                <w:highlight w:val="none"/>
                <w:u w:val="single"/>
              </w:rPr>
              <w:t xml:space="preserve">群/并联控制后备运行</w:t>
            </w:r>
            <w:r/>
          </w:p>
        </w:tc>
        <w:tc>
          <w:tcPr>
            <w:tcW w:w="7425" w:type="dxa"/>
            <w:textDirection w:val="lrTb"/>
            <w:noWrap/>
          </w:tcPr>
          <w:p>
            <w:pPr>
              <w:pStyle w:val="1042"/>
              <w:ind w:left="112" w:right="107"/>
              <w:spacing w:before="67" w:line="295" w:lineRule="auto"/>
              <w:rPr>
                <w:i/>
                <w:iCs/>
                <w:sz w:val="18"/>
                <w:szCs w:val="18"/>
                <w:highlight w:val="none"/>
                <w:u w:val="single"/>
              </w:rPr>
            </w:pPr>
            <w:r>
              <w:rPr>
                <w:i/>
                <w:iCs/>
                <w:spacing w:val="2"/>
                <w:sz w:val="18"/>
                <w:szCs w:val="18"/>
                <w:highlight w:val="none"/>
                <w:u w:val="single"/>
              </w:rPr>
              <w:t xml:space="preserve">群控处理器故障或群控与各台通讯故障引起群控失控时</w:t>
            </w:r>
            <w:r>
              <w:rPr>
                <w:i/>
                <w:iCs/>
                <w:spacing w:val="1"/>
                <w:sz w:val="18"/>
                <w:szCs w:val="18"/>
                <w:highlight w:val="none"/>
                <w:u w:val="single"/>
              </w:rPr>
              <w:t xml:space="preserve">，维持各台电</w:t>
            </w:r>
            <w:r>
              <w:rPr>
                <w:i/>
                <w:iCs/>
                <w:spacing w:val="-1"/>
                <w:sz w:val="18"/>
                <w:szCs w:val="18"/>
                <w:highlight w:val="none"/>
                <w:u w:val="single"/>
              </w:rPr>
              <w:t xml:space="preserve">梯服务的功能。</w:t>
            </w:r>
            <w:r/>
          </w:p>
        </w:tc>
      </w:tr>
      <w:tr>
        <w:trPr>
          <w:trHeight w:val="317"/>
        </w:trPr>
        <w:tc>
          <w:tcPr>
            <w:tcW w:w="686" w:type="dxa"/>
            <w:vAlign w:val="center"/>
            <w:textDirection w:val="lrTb"/>
            <w:noWrap/>
          </w:tcPr>
          <w:p>
            <w:pPr>
              <w:pStyle w:val="1042"/>
              <w:jc w:val="center"/>
              <w:spacing w:before="95" w:line="184"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0</w:t>
            </w:r>
            <w:r/>
          </w:p>
        </w:tc>
        <w:tc>
          <w:tcPr>
            <w:tcW w:w="2104" w:type="dxa"/>
            <w:textDirection w:val="lrTb"/>
            <w:noWrap/>
          </w:tcPr>
          <w:p>
            <w:pPr>
              <w:pStyle w:val="1042"/>
              <w:jc w:val="center"/>
              <w:spacing w:before="67" w:line="219" w:lineRule="auto"/>
              <w:rPr>
                <w:i/>
                <w:iCs/>
                <w:sz w:val="18"/>
                <w:szCs w:val="18"/>
                <w:highlight w:val="none"/>
                <w:u w:val="single"/>
              </w:rPr>
            </w:pPr>
            <w:r>
              <w:rPr>
                <w:i/>
                <w:iCs/>
                <w:spacing w:val="-1"/>
                <w:sz w:val="18"/>
                <w:szCs w:val="18"/>
                <w:highlight w:val="none"/>
                <w:u w:val="single"/>
              </w:rPr>
              <w:t xml:space="preserve">层站微机异常处理</w:t>
            </w:r>
            <w:r/>
          </w:p>
        </w:tc>
        <w:tc>
          <w:tcPr>
            <w:tcW w:w="7425" w:type="dxa"/>
            <w:textDirection w:val="lrTb"/>
            <w:noWrap/>
          </w:tcPr>
          <w:p>
            <w:pPr>
              <w:pStyle w:val="1042"/>
              <w:ind w:left="124"/>
              <w:spacing w:before="67" w:line="219" w:lineRule="auto"/>
              <w:rPr>
                <w:i/>
                <w:iCs/>
                <w:sz w:val="18"/>
                <w:szCs w:val="18"/>
                <w:highlight w:val="none"/>
                <w:u w:val="single"/>
              </w:rPr>
            </w:pPr>
            <w:r>
              <w:rPr>
                <w:i/>
                <w:iCs/>
                <w:spacing w:val="-1"/>
                <w:sz w:val="18"/>
                <w:szCs w:val="18"/>
                <w:highlight w:val="none"/>
                <w:u w:val="single"/>
              </w:rPr>
              <w:t xml:space="preserve">当层站微机发生异常时，就近层停靠后，电梯不能再启动。</w:t>
            </w:r>
            <w:r/>
          </w:p>
        </w:tc>
      </w:tr>
      <w:tr>
        <w:trPr>
          <w:trHeight w:val="629"/>
        </w:trPr>
        <w:tc>
          <w:tcPr>
            <w:tcW w:w="686" w:type="dxa"/>
            <w:vAlign w:val="center"/>
            <w:textDirection w:val="lrTb"/>
            <w:noWrap/>
          </w:tcPr>
          <w:p>
            <w:pPr>
              <w:pStyle w:val="1042"/>
              <w:jc w:val="center"/>
              <w:spacing w:before="251"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1</w:t>
            </w:r>
            <w:r/>
          </w:p>
        </w:tc>
        <w:tc>
          <w:tcPr>
            <w:tcW w:w="2104" w:type="dxa"/>
            <w:textDirection w:val="lrTb"/>
            <w:noWrap/>
          </w:tcPr>
          <w:p>
            <w:pPr>
              <w:pStyle w:val="1042"/>
              <w:jc w:val="center"/>
              <w:spacing w:before="222" w:line="221" w:lineRule="auto"/>
              <w:rPr>
                <w:i/>
                <w:iCs/>
                <w:sz w:val="18"/>
                <w:szCs w:val="18"/>
                <w:highlight w:val="none"/>
                <w:u w:val="single"/>
              </w:rPr>
            </w:pPr>
            <w:r>
              <w:rPr>
                <w:i/>
                <w:iCs/>
                <w:spacing w:val="-2"/>
                <w:sz w:val="18"/>
                <w:szCs w:val="18"/>
                <w:highlight w:val="none"/>
                <w:u w:val="single"/>
              </w:rPr>
              <w:t xml:space="preserve">独立运行</w:t>
            </w:r>
            <w:r/>
          </w:p>
        </w:tc>
        <w:tc>
          <w:tcPr>
            <w:tcW w:w="7425" w:type="dxa"/>
            <w:textDirection w:val="lrTb"/>
            <w:noWrap/>
          </w:tcPr>
          <w:p>
            <w:pPr>
              <w:pStyle w:val="1042"/>
              <w:ind w:left="112" w:right="107"/>
              <w:spacing w:before="67" w:line="283" w:lineRule="auto"/>
              <w:rPr>
                <w:i/>
                <w:iCs/>
                <w:sz w:val="18"/>
                <w:szCs w:val="18"/>
                <w:highlight w:val="none"/>
                <w:u w:val="single"/>
              </w:rPr>
            </w:pPr>
            <w:r>
              <w:rPr>
                <w:i/>
                <w:iCs/>
                <w:spacing w:val="1"/>
                <w:sz w:val="18"/>
                <w:szCs w:val="18"/>
                <w:highlight w:val="none"/>
                <w:u w:val="single"/>
              </w:rPr>
              <w:t xml:space="preserve">使用操纵箱内的“独立”开关，可以在不中断运行的情况下，</w:t>
            </w:r>
            <w:r>
              <w:rPr>
                <w:i/>
                <w:iCs/>
                <w:sz w:val="18"/>
                <w:szCs w:val="18"/>
                <w:highlight w:val="none"/>
                <w:u w:val="single"/>
              </w:rPr>
              <w:t xml:space="preserve">只响应 </w:t>
            </w:r>
            <w:r>
              <w:rPr>
                <w:i/>
                <w:iCs/>
                <w:spacing w:val="-1"/>
                <w:sz w:val="18"/>
                <w:szCs w:val="18"/>
                <w:highlight w:val="none"/>
                <w:u w:val="single"/>
              </w:rPr>
              <w:t xml:space="preserve">轿内指令而不响应层站召唤。</w:t>
            </w:r>
            <w:r/>
          </w:p>
        </w:tc>
      </w:tr>
      <w:tr>
        <w:trPr>
          <w:trHeight w:val="628"/>
        </w:trPr>
        <w:tc>
          <w:tcPr>
            <w:tcW w:w="686" w:type="dxa"/>
            <w:vAlign w:val="center"/>
            <w:textDirection w:val="lrTb"/>
            <w:noWrap/>
          </w:tcPr>
          <w:p>
            <w:pPr>
              <w:pStyle w:val="1042"/>
              <w:jc w:val="center"/>
              <w:spacing w:before="253"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2</w:t>
            </w:r>
            <w:r/>
          </w:p>
        </w:tc>
        <w:tc>
          <w:tcPr>
            <w:tcW w:w="2104" w:type="dxa"/>
            <w:textDirection w:val="lrTb"/>
            <w:noWrap/>
          </w:tcPr>
          <w:p>
            <w:pPr>
              <w:pStyle w:val="1042"/>
              <w:jc w:val="center"/>
              <w:spacing w:before="225" w:line="220" w:lineRule="auto"/>
              <w:rPr>
                <w:i/>
                <w:iCs/>
                <w:sz w:val="18"/>
                <w:szCs w:val="18"/>
                <w:highlight w:val="none"/>
                <w:u w:val="single"/>
              </w:rPr>
            </w:pPr>
            <w:r>
              <w:rPr>
                <w:i/>
                <w:iCs/>
                <w:spacing w:val="-3"/>
                <w:sz w:val="18"/>
                <w:szCs w:val="18"/>
                <w:highlight w:val="none"/>
                <w:u w:val="single"/>
              </w:rPr>
              <w:t xml:space="preserve">次层停靠</w:t>
            </w:r>
            <w:r/>
          </w:p>
        </w:tc>
        <w:tc>
          <w:tcPr>
            <w:tcW w:w="7425" w:type="dxa"/>
            <w:textDirection w:val="lrTb"/>
            <w:noWrap/>
          </w:tcPr>
          <w:p>
            <w:pPr>
              <w:pStyle w:val="1042"/>
              <w:ind w:left="114" w:right="151" w:firstLine="19"/>
              <w:spacing w:before="70" w:line="281" w:lineRule="auto"/>
              <w:rPr>
                <w:i/>
                <w:iCs/>
                <w:sz w:val="18"/>
                <w:szCs w:val="18"/>
                <w:highlight w:val="none"/>
                <w:u w:val="single"/>
              </w:rPr>
            </w:pPr>
            <w:r>
              <w:rPr>
                <w:i/>
                <w:iCs/>
                <w:sz w:val="18"/>
                <w:szCs w:val="18"/>
                <w:highlight w:val="none"/>
                <w:u w:val="single"/>
              </w:rPr>
              <w:t xml:space="preserve">电梯到达目的层后，若轿厢门不能完全开启</w:t>
            </w:r>
            <w:r>
              <w:rPr>
                <w:i/>
                <w:iCs/>
                <w:spacing w:val="-1"/>
                <w:sz w:val="18"/>
                <w:szCs w:val="18"/>
                <w:highlight w:val="none"/>
                <w:u w:val="single"/>
              </w:rPr>
              <w:t xml:space="preserve">，则关门前行到下一层，直到门能完全开启后，恢复正常运行。</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3</w:t>
            </w:r>
            <w:r/>
          </w:p>
        </w:tc>
        <w:tc>
          <w:tcPr>
            <w:tcW w:w="2104" w:type="dxa"/>
            <w:textDirection w:val="lrTb"/>
            <w:noWrap/>
          </w:tcPr>
          <w:p>
            <w:pPr>
              <w:pStyle w:val="1042"/>
              <w:jc w:val="center"/>
              <w:spacing w:before="225" w:line="220" w:lineRule="auto"/>
              <w:rPr>
                <w:i/>
                <w:iCs/>
                <w:sz w:val="18"/>
                <w:szCs w:val="18"/>
                <w:highlight w:val="none"/>
                <w:u w:val="single"/>
              </w:rPr>
            </w:pPr>
            <w:r>
              <w:rPr>
                <w:i/>
                <w:iCs/>
                <w:spacing w:val="-5"/>
                <w:sz w:val="18"/>
                <w:szCs w:val="18"/>
                <w:highlight w:val="none"/>
                <w:u w:val="single"/>
              </w:rPr>
              <w:t xml:space="preserve">电梯不启动报警</w:t>
            </w:r>
            <w:r/>
          </w:p>
        </w:tc>
        <w:tc>
          <w:tcPr>
            <w:tcW w:w="7425" w:type="dxa"/>
            <w:textDirection w:val="lrTb"/>
            <w:noWrap/>
          </w:tcPr>
          <w:p>
            <w:pPr>
              <w:pStyle w:val="1042"/>
              <w:ind w:left="123" w:right="108"/>
              <w:spacing w:before="69" w:line="282" w:lineRule="auto"/>
              <w:rPr>
                <w:i/>
                <w:iCs/>
                <w:sz w:val="18"/>
                <w:szCs w:val="18"/>
                <w:highlight w:val="none"/>
                <w:u w:val="single"/>
              </w:rPr>
            </w:pPr>
            <w:r>
              <w:rPr>
                <w:i/>
                <w:iCs/>
                <w:spacing w:val="1"/>
                <w:sz w:val="18"/>
                <w:szCs w:val="18"/>
                <w:highlight w:val="none"/>
                <w:u w:val="single"/>
              </w:rPr>
              <w:t xml:space="preserve">当层站召唤、轿内指令已登记，但电梯在预定时间内不能启动，则清</w:t>
            </w:r>
            <w:r>
              <w:rPr>
                <w:i/>
                <w:iCs/>
                <w:spacing w:val="-1"/>
                <w:sz w:val="18"/>
                <w:szCs w:val="18"/>
                <w:highlight w:val="none"/>
                <w:u w:val="single"/>
              </w:rPr>
              <w:t xml:space="preserve">除已分配的层站召唤，保留轿内指令，异常灯点亮，异常警铃鸣响。</w:t>
            </w:r>
            <w:r/>
          </w:p>
        </w:tc>
      </w:tr>
      <w:tr>
        <w:trPr>
          <w:trHeight w:val="317"/>
        </w:trPr>
        <w:tc>
          <w:tcPr>
            <w:tcW w:w="686" w:type="dxa"/>
            <w:vAlign w:val="center"/>
            <w:textDirection w:val="lrTb"/>
            <w:noWrap/>
          </w:tcPr>
          <w:p>
            <w:pPr>
              <w:pStyle w:val="1042"/>
              <w:jc w:val="center"/>
              <w:spacing w:before="98" w:line="182"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4</w:t>
            </w:r>
            <w:r/>
          </w:p>
        </w:tc>
        <w:tc>
          <w:tcPr>
            <w:tcW w:w="2104" w:type="dxa"/>
            <w:textDirection w:val="lrTb"/>
            <w:noWrap/>
          </w:tcPr>
          <w:p>
            <w:pPr>
              <w:pStyle w:val="1042"/>
              <w:jc w:val="center"/>
              <w:spacing w:before="69" w:line="221" w:lineRule="auto"/>
              <w:rPr>
                <w:i/>
                <w:iCs/>
                <w:sz w:val="18"/>
                <w:szCs w:val="18"/>
                <w:highlight w:val="none"/>
                <w:u w:val="single"/>
              </w:rPr>
            </w:pPr>
            <w:r>
              <w:rPr>
                <w:i/>
                <w:iCs/>
                <w:spacing w:val="-5"/>
                <w:sz w:val="18"/>
                <w:szCs w:val="18"/>
                <w:highlight w:val="none"/>
                <w:u w:val="single"/>
              </w:rPr>
              <w:t xml:space="preserve">警铃</w:t>
            </w:r>
            <w:r/>
          </w:p>
        </w:tc>
        <w:tc>
          <w:tcPr>
            <w:tcW w:w="7425" w:type="dxa"/>
            <w:textDirection w:val="lrTb"/>
            <w:noWrap/>
          </w:tcPr>
          <w:p>
            <w:pPr>
              <w:pStyle w:val="1042"/>
              <w:ind w:left="117"/>
              <w:spacing w:before="69" w:line="220" w:lineRule="auto"/>
              <w:rPr>
                <w:i/>
                <w:iCs/>
                <w:sz w:val="18"/>
                <w:szCs w:val="18"/>
                <w:highlight w:val="none"/>
                <w:u w:val="single"/>
              </w:rPr>
            </w:pPr>
            <w:r>
              <w:rPr>
                <w:i/>
                <w:iCs/>
                <w:spacing w:val="-1"/>
                <w:sz w:val="18"/>
                <w:szCs w:val="18"/>
                <w:highlight w:val="none"/>
                <w:u w:val="single"/>
              </w:rPr>
              <w:t xml:space="preserve">紧急时按下该警铃，警铃和通话装置鸣响。</w:t>
            </w:r>
            <w:r/>
          </w:p>
        </w:tc>
      </w:tr>
      <w:tr>
        <w:trPr>
          <w:trHeight w:val="317"/>
        </w:trPr>
        <w:tc>
          <w:tcPr>
            <w:tcW w:w="686" w:type="dxa"/>
            <w:vAlign w:val="center"/>
            <w:textDirection w:val="lrTb"/>
            <w:noWrap/>
          </w:tcPr>
          <w:p>
            <w:pPr>
              <w:pStyle w:val="1042"/>
              <w:jc w:val="center"/>
              <w:spacing w:before="97"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5</w:t>
            </w:r>
            <w:r/>
          </w:p>
        </w:tc>
        <w:tc>
          <w:tcPr>
            <w:tcW w:w="2104" w:type="dxa"/>
            <w:textDirection w:val="lrTb"/>
            <w:noWrap/>
          </w:tcPr>
          <w:p>
            <w:pPr>
              <w:pStyle w:val="1042"/>
              <w:jc w:val="center"/>
              <w:spacing w:before="68" w:line="221" w:lineRule="auto"/>
              <w:rPr>
                <w:i/>
                <w:iCs/>
                <w:sz w:val="18"/>
                <w:szCs w:val="18"/>
                <w:highlight w:val="none"/>
                <w:u w:val="single"/>
              </w:rPr>
            </w:pPr>
            <w:r>
              <w:rPr>
                <w:i/>
                <w:iCs/>
                <w:spacing w:val="-3"/>
                <w:sz w:val="18"/>
                <w:szCs w:val="18"/>
                <w:highlight w:val="none"/>
                <w:u w:val="single"/>
              </w:rPr>
              <w:t xml:space="preserve">关门保护</w:t>
            </w:r>
            <w:r/>
          </w:p>
        </w:tc>
        <w:tc>
          <w:tcPr>
            <w:tcW w:w="7425" w:type="dxa"/>
            <w:textDirection w:val="lrTb"/>
            <w:noWrap/>
          </w:tcPr>
          <w:p>
            <w:pPr>
              <w:pStyle w:val="1042"/>
              <w:ind w:left="124"/>
              <w:spacing w:before="69" w:line="220" w:lineRule="auto"/>
              <w:rPr>
                <w:i/>
                <w:iCs/>
                <w:sz w:val="18"/>
                <w:szCs w:val="18"/>
                <w:highlight w:val="none"/>
                <w:u w:val="single"/>
              </w:rPr>
            </w:pPr>
            <w:r>
              <w:rPr>
                <w:i/>
                <w:iCs/>
                <w:spacing w:val="-2"/>
                <w:sz w:val="18"/>
                <w:szCs w:val="18"/>
                <w:highlight w:val="none"/>
                <w:u w:val="single"/>
              </w:rPr>
              <w:t xml:space="preserve">当轿厢门不能完全关闭时，门反向开启。</w:t>
            </w:r>
            <w:r/>
          </w:p>
        </w:tc>
      </w:tr>
      <w:tr>
        <w:trPr>
          <w:trHeight w:val="629"/>
        </w:trPr>
        <w:tc>
          <w:tcPr>
            <w:tcW w:w="686" w:type="dxa"/>
            <w:vAlign w:val="center"/>
            <w:textDirection w:val="lrTb"/>
            <w:noWrap/>
          </w:tcPr>
          <w:p>
            <w:pPr>
              <w:pStyle w:val="1042"/>
              <w:jc w:val="center"/>
              <w:spacing w:before="254" w:line="182"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6</w:t>
            </w:r>
            <w:r/>
          </w:p>
        </w:tc>
        <w:tc>
          <w:tcPr>
            <w:tcW w:w="2104" w:type="dxa"/>
            <w:textDirection w:val="lrTb"/>
            <w:noWrap/>
          </w:tcPr>
          <w:p>
            <w:pPr>
              <w:pStyle w:val="1042"/>
              <w:jc w:val="center"/>
              <w:spacing w:before="224" w:line="221" w:lineRule="auto"/>
              <w:rPr>
                <w:i/>
                <w:iCs/>
                <w:sz w:val="18"/>
                <w:szCs w:val="18"/>
                <w:highlight w:val="none"/>
                <w:u w:val="single"/>
              </w:rPr>
            </w:pPr>
            <w:r>
              <w:rPr>
                <w:i/>
                <w:iCs/>
                <w:spacing w:val="-2"/>
                <w:sz w:val="18"/>
                <w:szCs w:val="18"/>
                <w:highlight w:val="none"/>
                <w:u w:val="single"/>
              </w:rPr>
              <w:t xml:space="preserve">换向重开门</w:t>
            </w:r>
            <w:r/>
          </w:p>
        </w:tc>
        <w:tc>
          <w:tcPr>
            <w:tcW w:w="7425" w:type="dxa"/>
            <w:textDirection w:val="lrTb"/>
            <w:noWrap/>
          </w:tcPr>
          <w:p>
            <w:pPr>
              <w:pStyle w:val="1042"/>
              <w:ind w:left="113" w:right="108" w:firstLine="20"/>
              <w:spacing w:before="69" w:line="282" w:lineRule="auto"/>
              <w:rPr>
                <w:i/>
                <w:iCs/>
                <w:sz w:val="18"/>
                <w:szCs w:val="18"/>
                <w:highlight w:val="none"/>
                <w:u w:val="single"/>
              </w:rPr>
            </w:pPr>
            <w:r>
              <w:rPr>
                <w:i/>
                <w:iCs/>
                <w:spacing w:val="1"/>
                <w:sz w:val="18"/>
                <w:szCs w:val="18"/>
                <w:highlight w:val="none"/>
                <w:u w:val="single"/>
              </w:rPr>
              <w:t xml:space="preserve">电梯门开状态，前行方向上没有轿内指令和层站召唤，且该层站的相</w:t>
            </w:r>
            <w:r>
              <w:rPr>
                <w:i/>
                <w:iCs/>
                <w:spacing w:val="-1"/>
                <w:sz w:val="18"/>
                <w:szCs w:val="18"/>
                <w:highlight w:val="none"/>
                <w:u w:val="single"/>
              </w:rPr>
              <w:t xml:space="preserve">反方向的层站召唤已被登记，电梯关门后立即重开。</w:t>
            </w:r>
            <w:r/>
          </w:p>
        </w:tc>
      </w:tr>
      <w:tr>
        <w:trPr>
          <w:trHeight w:val="317"/>
        </w:trPr>
        <w:tc>
          <w:tcPr>
            <w:tcW w:w="686" w:type="dxa"/>
            <w:vAlign w:val="center"/>
            <w:textDirection w:val="lrTb"/>
            <w:noWrap/>
          </w:tcPr>
          <w:p>
            <w:pPr>
              <w:pStyle w:val="1042"/>
              <w:jc w:val="center"/>
              <w:spacing w:before="96"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7</w:t>
            </w:r>
            <w:r/>
          </w:p>
        </w:tc>
        <w:tc>
          <w:tcPr>
            <w:tcW w:w="2104" w:type="dxa"/>
            <w:textDirection w:val="lrTb"/>
            <w:noWrap/>
          </w:tcPr>
          <w:p>
            <w:pPr>
              <w:pStyle w:val="1042"/>
              <w:jc w:val="center"/>
              <w:spacing w:before="68" w:line="220" w:lineRule="auto"/>
              <w:rPr>
                <w:i/>
                <w:iCs/>
                <w:sz w:val="18"/>
                <w:szCs w:val="18"/>
                <w:highlight w:val="none"/>
                <w:u w:val="single"/>
              </w:rPr>
            </w:pPr>
            <w:r>
              <w:rPr>
                <w:i/>
                <w:iCs/>
                <w:spacing w:val="-4"/>
                <w:sz w:val="18"/>
                <w:szCs w:val="18"/>
                <w:highlight w:val="none"/>
                <w:u w:val="single"/>
              </w:rPr>
              <w:t xml:space="preserve">门负载检测功能</w:t>
            </w:r>
            <w:r/>
          </w:p>
        </w:tc>
        <w:tc>
          <w:tcPr>
            <w:tcW w:w="7425" w:type="dxa"/>
            <w:textDirection w:val="lrTb"/>
            <w:noWrap/>
          </w:tcPr>
          <w:p>
            <w:pPr>
              <w:pStyle w:val="1042"/>
              <w:ind w:left="115"/>
              <w:spacing w:before="68" w:line="219" w:lineRule="auto"/>
              <w:rPr>
                <w:i/>
                <w:iCs/>
                <w:sz w:val="18"/>
                <w:szCs w:val="18"/>
                <w:highlight w:val="none"/>
                <w:u w:val="single"/>
              </w:rPr>
            </w:pPr>
            <w:r>
              <w:rPr>
                <w:i/>
                <w:iCs/>
                <w:sz w:val="18"/>
                <w:szCs w:val="18"/>
                <w:highlight w:val="none"/>
                <w:u w:val="single"/>
              </w:rPr>
              <w:t xml:space="preserve">如果门由于过载导致不能完全打开或关闭，</w:t>
            </w:r>
            <w:r>
              <w:rPr>
                <w:i/>
                <w:iCs/>
                <w:spacing w:val="-1"/>
                <w:sz w:val="18"/>
                <w:szCs w:val="18"/>
                <w:highlight w:val="none"/>
                <w:u w:val="single"/>
              </w:rPr>
              <w:t xml:space="preserve">电梯门将会反方向动作。</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8</w:t>
            </w:r>
            <w:r/>
          </w:p>
        </w:tc>
        <w:tc>
          <w:tcPr>
            <w:tcW w:w="2104" w:type="dxa"/>
            <w:textDirection w:val="lrTb"/>
            <w:noWrap/>
          </w:tcPr>
          <w:p>
            <w:pPr>
              <w:pStyle w:val="1042"/>
              <w:jc w:val="center"/>
              <w:spacing w:before="69" w:line="221" w:lineRule="auto"/>
              <w:rPr>
                <w:i/>
                <w:iCs/>
                <w:sz w:val="18"/>
                <w:szCs w:val="18"/>
                <w:highlight w:val="none"/>
                <w:u w:val="single"/>
              </w:rPr>
            </w:pPr>
            <w:r>
              <w:rPr>
                <w:i/>
                <w:iCs/>
                <w:spacing w:val="-2"/>
                <w:sz w:val="18"/>
                <w:szCs w:val="18"/>
                <w:highlight w:val="none"/>
                <w:u w:val="single"/>
              </w:rPr>
              <w:t xml:space="preserve">开门受阻控制</w:t>
            </w:r>
            <w:r/>
          </w:p>
        </w:tc>
        <w:tc>
          <w:tcPr>
            <w:tcW w:w="7425" w:type="dxa"/>
            <w:textDirection w:val="lrTb"/>
            <w:noWrap/>
          </w:tcPr>
          <w:p>
            <w:pPr>
              <w:pStyle w:val="1042"/>
              <w:ind w:left="115"/>
              <w:spacing w:before="69" w:line="221" w:lineRule="auto"/>
              <w:rPr>
                <w:i/>
                <w:iCs/>
                <w:sz w:val="18"/>
                <w:szCs w:val="18"/>
                <w:highlight w:val="none"/>
                <w:u w:val="single"/>
              </w:rPr>
            </w:pPr>
            <w:r>
              <w:rPr>
                <w:i/>
                <w:iCs/>
                <w:spacing w:val="-1"/>
                <w:sz w:val="18"/>
                <w:szCs w:val="18"/>
                <w:highlight w:val="none"/>
                <w:u w:val="single"/>
              </w:rPr>
              <w:t xml:space="preserve">如果电梯开门受阻，立即关门。</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rFonts w:hint="eastAsia"/>
                <w:i/>
                <w:iCs/>
                <w:spacing w:val="-4"/>
                <w:sz w:val="18"/>
                <w:szCs w:val="18"/>
                <w:highlight w:val="none"/>
                <w:u w:val="single"/>
              </w:rPr>
              <w:t xml:space="preserve">59</w:t>
            </w:r>
            <w:r/>
          </w:p>
        </w:tc>
        <w:tc>
          <w:tcPr>
            <w:tcW w:w="2104" w:type="dxa"/>
            <w:textDirection w:val="lrTb"/>
            <w:noWrap/>
          </w:tcPr>
          <w:p>
            <w:pPr>
              <w:pStyle w:val="1042"/>
              <w:jc w:val="center"/>
              <w:spacing w:before="69" w:line="220" w:lineRule="auto"/>
              <w:rPr>
                <w:i/>
                <w:iCs/>
                <w:sz w:val="18"/>
                <w:szCs w:val="18"/>
                <w:highlight w:val="none"/>
                <w:u w:val="single"/>
              </w:rPr>
            </w:pPr>
            <w:r>
              <w:rPr>
                <w:i/>
                <w:iCs/>
                <w:spacing w:val="-1"/>
                <w:sz w:val="18"/>
                <w:szCs w:val="18"/>
                <w:highlight w:val="none"/>
                <w:u w:val="single"/>
              </w:rPr>
              <w:t xml:space="preserve">开门保持时间自动调整</w:t>
            </w:r>
            <w:r/>
          </w:p>
        </w:tc>
        <w:tc>
          <w:tcPr>
            <w:tcW w:w="7425" w:type="dxa"/>
            <w:textDirection w:val="lrTb"/>
            <w:noWrap/>
          </w:tcPr>
          <w:p>
            <w:pPr>
              <w:pStyle w:val="1042"/>
              <w:ind w:left="112"/>
              <w:spacing w:before="70" w:line="219" w:lineRule="auto"/>
              <w:rPr>
                <w:i/>
                <w:iCs/>
                <w:sz w:val="18"/>
                <w:szCs w:val="18"/>
                <w:highlight w:val="none"/>
                <w:u w:val="single"/>
              </w:rPr>
            </w:pPr>
            <w:r>
              <w:rPr>
                <w:i/>
                <w:iCs/>
                <w:spacing w:val="-1"/>
                <w:sz w:val="18"/>
                <w:szCs w:val="18"/>
                <w:highlight w:val="none"/>
                <w:u w:val="single"/>
              </w:rPr>
              <w:t xml:space="preserve">根据层站召唤或轿内指令自动调整开门保持时间。</w:t>
            </w:r>
            <w:r/>
          </w:p>
        </w:tc>
      </w:tr>
      <w:tr>
        <w:trPr>
          <w:trHeight w:val="317"/>
        </w:trPr>
        <w:tc>
          <w:tcPr>
            <w:tcW w:w="686" w:type="dxa"/>
            <w:vAlign w:val="center"/>
            <w:textDirection w:val="lrTb"/>
            <w:noWrap/>
          </w:tcPr>
          <w:p>
            <w:pPr>
              <w:pStyle w:val="1042"/>
              <w:jc w:val="center"/>
              <w:spacing w:before="96" w:line="184"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0</w:t>
            </w:r>
            <w:r/>
          </w:p>
        </w:tc>
        <w:tc>
          <w:tcPr>
            <w:tcW w:w="2104" w:type="dxa"/>
            <w:textDirection w:val="lrTb"/>
            <w:noWrap/>
          </w:tcPr>
          <w:p>
            <w:pPr>
              <w:pStyle w:val="1042"/>
              <w:jc w:val="center"/>
              <w:spacing w:before="69" w:line="220" w:lineRule="auto"/>
              <w:rPr>
                <w:i/>
                <w:iCs/>
                <w:sz w:val="18"/>
                <w:szCs w:val="18"/>
                <w:highlight w:val="none"/>
                <w:u w:val="single"/>
              </w:rPr>
            </w:pPr>
            <w:r>
              <w:rPr>
                <w:i/>
                <w:iCs/>
                <w:spacing w:val="-2"/>
                <w:sz w:val="18"/>
                <w:szCs w:val="18"/>
                <w:highlight w:val="none"/>
                <w:u w:val="single"/>
              </w:rPr>
              <w:t xml:space="preserve">关门力矩控制</w:t>
            </w:r>
            <w:r/>
          </w:p>
        </w:tc>
        <w:tc>
          <w:tcPr>
            <w:tcW w:w="7425" w:type="dxa"/>
            <w:textDirection w:val="lrTb"/>
            <w:noWrap/>
          </w:tcPr>
          <w:p>
            <w:pPr>
              <w:pStyle w:val="1042"/>
              <w:ind w:left="133"/>
              <w:spacing w:before="69" w:line="220" w:lineRule="auto"/>
              <w:rPr>
                <w:i/>
                <w:iCs/>
                <w:sz w:val="18"/>
                <w:szCs w:val="18"/>
                <w:highlight w:val="none"/>
                <w:u w:val="single"/>
              </w:rPr>
            </w:pPr>
            <w:r>
              <w:rPr>
                <w:i/>
                <w:iCs/>
                <w:spacing w:val="-2"/>
                <w:sz w:val="18"/>
                <w:szCs w:val="18"/>
                <w:highlight w:val="none"/>
                <w:u w:val="single"/>
              </w:rPr>
              <w:t xml:space="preserve">电梯关门遇到额外阻力时，门系统自动增大力矩。</w:t>
            </w:r>
            <w:r/>
          </w:p>
        </w:tc>
      </w:tr>
      <w:tr>
        <w:trPr>
          <w:trHeight w:val="317"/>
        </w:trPr>
        <w:tc>
          <w:tcPr>
            <w:tcW w:w="686" w:type="dxa"/>
            <w:vAlign w:val="center"/>
            <w:textDirection w:val="lrTb"/>
            <w:noWrap/>
          </w:tcPr>
          <w:p>
            <w:pPr>
              <w:pStyle w:val="1042"/>
              <w:jc w:val="center"/>
              <w:spacing w:before="97"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1</w:t>
            </w:r>
            <w:r/>
          </w:p>
        </w:tc>
        <w:tc>
          <w:tcPr>
            <w:tcW w:w="2104" w:type="dxa"/>
            <w:textDirection w:val="lrTb"/>
            <w:noWrap/>
          </w:tcPr>
          <w:p>
            <w:pPr>
              <w:pStyle w:val="1042"/>
              <w:jc w:val="center"/>
              <w:spacing w:before="68" w:line="221" w:lineRule="auto"/>
              <w:rPr>
                <w:i/>
                <w:iCs/>
                <w:sz w:val="18"/>
                <w:szCs w:val="18"/>
                <w:highlight w:val="none"/>
                <w:u w:val="single"/>
              </w:rPr>
            </w:pPr>
            <w:r>
              <w:rPr>
                <w:i/>
                <w:iCs/>
                <w:spacing w:val="-6"/>
                <w:sz w:val="18"/>
                <w:szCs w:val="18"/>
                <w:highlight w:val="none"/>
                <w:u w:val="single"/>
              </w:rPr>
              <w:t xml:space="preserve">即时关门</w:t>
            </w:r>
            <w:r/>
          </w:p>
        </w:tc>
        <w:tc>
          <w:tcPr>
            <w:tcW w:w="7425" w:type="dxa"/>
            <w:textDirection w:val="lrTb"/>
            <w:noWrap/>
          </w:tcPr>
          <w:p>
            <w:pPr>
              <w:pStyle w:val="1042"/>
              <w:ind w:left="133"/>
              <w:spacing w:before="69" w:line="220" w:lineRule="auto"/>
              <w:rPr>
                <w:i/>
                <w:iCs/>
                <w:sz w:val="18"/>
                <w:szCs w:val="18"/>
                <w:highlight w:val="none"/>
                <w:u w:val="single"/>
              </w:rPr>
            </w:pPr>
            <w:r>
              <w:rPr>
                <w:i/>
                <w:iCs/>
                <w:spacing w:val="-2"/>
                <w:sz w:val="18"/>
                <w:szCs w:val="18"/>
                <w:highlight w:val="none"/>
                <w:u w:val="single"/>
              </w:rPr>
              <w:t xml:space="preserve">电梯停站开门后，按下关门按钮，门立即关闭。</w:t>
            </w:r>
            <w:r/>
          </w:p>
        </w:tc>
      </w:tr>
      <w:tr>
        <w:trPr>
          <w:trHeight w:val="629"/>
        </w:trPr>
        <w:tc>
          <w:tcPr>
            <w:tcW w:w="686" w:type="dxa"/>
            <w:vAlign w:val="center"/>
            <w:textDirection w:val="lrTb"/>
            <w:noWrap/>
          </w:tcPr>
          <w:p>
            <w:pPr>
              <w:pStyle w:val="1042"/>
              <w:jc w:val="center"/>
              <w:spacing w:before="253"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2</w:t>
            </w:r>
            <w:r/>
          </w:p>
        </w:tc>
        <w:tc>
          <w:tcPr>
            <w:tcW w:w="2104" w:type="dxa"/>
            <w:textDirection w:val="lrTb"/>
            <w:noWrap/>
          </w:tcPr>
          <w:p>
            <w:pPr>
              <w:pStyle w:val="1042"/>
              <w:jc w:val="center"/>
              <w:spacing w:before="224" w:line="221" w:lineRule="auto"/>
              <w:rPr>
                <w:i/>
                <w:iCs/>
                <w:sz w:val="18"/>
                <w:szCs w:val="18"/>
                <w:highlight w:val="none"/>
                <w:u w:val="single"/>
              </w:rPr>
            </w:pPr>
            <w:r>
              <w:rPr>
                <w:i/>
                <w:iCs/>
                <w:spacing w:val="-3"/>
                <w:sz w:val="18"/>
                <w:szCs w:val="18"/>
                <w:highlight w:val="none"/>
                <w:u w:val="single"/>
              </w:rPr>
              <w:t xml:space="preserve">强制关门</w:t>
            </w:r>
            <w:r/>
          </w:p>
        </w:tc>
        <w:tc>
          <w:tcPr>
            <w:tcW w:w="7425" w:type="dxa"/>
            <w:textDirection w:val="lrTb"/>
            <w:noWrap/>
          </w:tcPr>
          <w:p>
            <w:pPr>
              <w:pStyle w:val="1042"/>
              <w:ind w:left="126" w:right="108" w:hanging="11"/>
              <w:spacing w:before="69" w:line="282" w:lineRule="auto"/>
              <w:rPr>
                <w:i/>
                <w:iCs/>
                <w:sz w:val="18"/>
                <w:szCs w:val="18"/>
                <w:highlight w:val="none"/>
                <w:u w:val="single"/>
              </w:rPr>
            </w:pPr>
            <w:r>
              <w:rPr>
                <w:i/>
                <w:iCs/>
                <w:spacing w:val="2"/>
                <w:sz w:val="18"/>
                <w:szCs w:val="18"/>
                <w:highlight w:val="none"/>
                <w:u w:val="single"/>
              </w:rPr>
              <w:t xml:space="preserve">如果电梯开门保护时间超过预定值，电梯暂时忽</w:t>
            </w:r>
            <w:r>
              <w:rPr>
                <w:i/>
                <w:iCs/>
                <w:spacing w:val="1"/>
                <w:sz w:val="18"/>
                <w:szCs w:val="18"/>
                <w:highlight w:val="none"/>
                <w:u w:val="single"/>
              </w:rPr>
              <w:t xml:space="preserve">略非接触式门传感器</w:t>
            </w:r>
            <w:r>
              <w:rPr>
                <w:i/>
                <w:iCs/>
                <w:spacing w:val="-3"/>
                <w:sz w:val="18"/>
                <w:szCs w:val="18"/>
                <w:highlight w:val="none"/>
                <w:u w:val="single"/>
              </w:rPr>
              <w:t xml:space="preserve">的作用，强制关门。</w:t>
            </w:r>
            <w:r/>
          </w:p>
        </w:tc>
      </w:tr>
      <w:tr>
        <w:trPr>
          <w:trHeight w:val="317"/>
        </w:trPr>
        <w:tc>
          <w:tcPr>
            <w:tcW w:w="686" w:type="dxa"/>
            <w:vAlign w:val="center"/>
            <w:textDirection w:val="lrTb"/>
            <w:noWrap/>
          </w:tcPr>
          <w:p>
            <w:pPr>
              <w:pStyle w:val="1042"/>
              <w:jc w:val="center"/>
              <w:spacing w:before="96"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3</w:t>
            </w:r>
            <w:r/>
          </w:p>
        </w:tc>
        <w:tc>
          <w:tcPr>
            <w:tcW w:w="2104" w:type="dxa"/>
            <w:textDirection w:val="lrTb"/>
            <w:noWrap/>
          </w:tcPr>
          <w:p>
            <w:pPr>
              <w:pStyle w:val="1042"/>
              <w:jc w:val="center"/>
              <w:spacing w:before="67" w:line="221" w:lineRule="auto"/>
              <w:rPr>
                <w:i/>
                <w:iCs/>
                <w:sz w:val="18"/>
                <w:szCs w:val="18"/>
                <w:highlight w:val="none"/>
                <w:u w:val="single"/>
              </w:rPr>
            </w:pPr>
            <w:r>
              <w:rPr>
                <w:i/>
                <w:iCs/>
                <w:spacing w:val="-2"/>
                <w:sz w:val="18"/>
                <w:szCs w:val="18"/>
                <w:highlight w:val="none"/>
                <w:u w:val="single"/>
              </w:rPr>
              <w:t xml:space="preserve">重复关门</w:t>
            </w:r>
            <w:r/>
          </w:p>
        </w:tc>
        <w:tc>
          <w:tcPr>
            <w:tcW w:w="7425" w:type="dxa"/>
            <w:textDirection w:val="lrTb"/>
            <w:noWrap/>
          </w:tcPr>
          <w:p>
            <w:pPr>
              <w:pStyle w:val="1042"/>
              <w:ind w:left="113"/>
              <w:spacing w:before="68" w:line="219" w:lineRule="auto"/>
              <w:rPr>
                <w:i/>
                <w:iCs/>
                <w:sz w:val="18"/>
                <w:szCs w:val="18"/>
                <w:highlight w:val="none"/>
                <w:u w:val="single"/>
              </w:rPr>
            </w:pPr>
            <w:r>
              <w:rPr>
                <w:i/>
                <w:iCs/>
                <w:spacing w:val="-1"/>
                <w:sz w:val="18"/>
                <w:szCs w:val="18"/>
                <w:highlight w:val="none"/>
                <w:u w:val="single"/>
              </w:rPr>
              <w:t xml:space="preserve">若关门受阻，电梯就会重复关门动作，直到杂物被清除。</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4</w:t>
            </w:r>
            <w:r/>
          </w:p>
        </w:tc>
        <w:tc>
          <w:tcPr>
            <w:tcW w:w="2104" w:type="dxa"/>
            <w:textDirection w:val="lrTb"/>
            <w:noWrap/>
          </w:tcPr>
          <w:p>
            <w:pPr>
              <w:pStyle w:val="1042"/>
              <w:jc w:val="center"/>
              <w:spacing w:before="70" w:line="219" w:lineRule="auto"/>
              <w:rPr>
                <w:i/>
                <w:iCs/>
                <w:sz w:val="18"/>
                <w:szCs w:val="18"/>
                <w:highlight w:val="none"/>
                <w:u w:val="single"/>
              </w:rPr>
            </w:pPr>
            <w:r>
              <w:rPr>
                <w:i/>
                <w:iCs/>
                <w:spacing w:val="-2"/>
                <w:sz w:val="18"/>
                <w:szCs w:val="18"/>
                <w:highlight w:val="none"/>
                <w:u w:val="single"/>
              </w:rPr>
              <w:t xml:space="preserve">本层再开门</w:t>
            </w:r>
            <w:r/>
          </w:p>
        </w:tc>
        <w:tc>
          <w:tcPr>
            <w:tcW w:w="7425" w:type="dxa"/>
            <w:textDirection w:val="lrTb"/>
            <w:noWrap/>
          </w:tcPr>
          <w:p>
            <w:pPr>
              <w:pStyle w:val="1042"/>
              <w:ind w:left="115"/>
              <w:spacing w:before="70" w:line="220" w:lineRule="auto"/>
              <w:rPr>
                <w:i/>
                <w:iCs/>
                <w:sz w:val="18"/>
                <w:szCs w:val="18"/>
                <w:highlight w:val="none"/>
                <w:u w:val="single"/>
              </w:rPr>
            </w:pPr>
            <w:r>
              <w:rPr>
                <w:i/>
                <w:iCs/>
                <w:spacing w:val="-1"/>
                <w:sz w:val="18"/>
                <w:szCs w:val="18"/>
                <w:highlight w:val="none"/>
                <w:u w:val="single"/>
              </w:rPr>
              <w:t xml:space="preserve">关门过程中，按同方向层站召唤按钮，电梯重新开门。</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5</w:t>
            </w:r>
            <w:r/>
          </w:p>
        </w:tc>
        <w:tc>
          <w:tcPr>
            <w:tcW w:w="2104" w:type="dxa"/>
            <w:textDirection w:val="lrTb"/>
            <w:noWrap/>
          </w:tcPr>
          <w:p>
            <w:pPr>
              <w:pStyle w:val="1042"/>
              <w:jc w:val="center"/>
              <w:spacing w:before="69" w:line="220" w:lineRule="auto"/>
              <w:rPr>
                <w:i/>
                <w:iCs/>
                <w:sz w:val="18"/>
                <w:szCs w:val="18"/>
                <w:highlight w:val="none"/>
                <w:u w:val="single"/>
              </w:rPr>
            </w:pPr>
            <w:r>
              <w:rPr>
                <w:i/>
                <w:iCs/>
                <w:spacing w:val="-1"/>
                <w:sz w:val="18"/>
                <w:szCs w:val="18"/>
                <w:highlight w:val="none"/>
                <w:u w:val="single"/>
              </w:rPr>
              <w:t xml:space="preserve">运行次数与时间统计</w:t>
            </w:r>
            <w:r/>
          </w:p>
        </w:tc>
        <w:tc>
          <w:tcPr>
            <w:tcW w:w="7425" w:type="dxa"/>
            <w:textDirection w:val="lrTb"/>
            <w:noWrap/>
          </w:tcPr>
          <w:p>
            <w:pPr>
              <w:pStyle w:val="1042"/>
              <w:ind w:left="112"/>
              <w:spacing w:before="69" w:line="220" w:lineRule="auto"/>
              <w:rPr>
                <w:i/>
                <w:iCs/>
                <w:sz w:val="18"/>
                <w:szCs w:val="18"/>
                <w:highlight w:val="none"/>
                <w:u w:val="single"/>
              </w:rPr>
            </w:pPr>
            <w:r>
              <w:rPr>
                <w:i/>
                <w:iCs/>
                <w:spacing w:val="-1"/>
                <w:sz w:val="18"/>
                <w:szCs w:val="18"/>
                <w:highlight w:val="none"/>
                <w:u w:val="single"/>
              </w:rPr>
              <w:t xml:space="preserve">记录电梯运行次数及运行时间、</w:t>
            </w:r>
            <w:r>
              <w:rPr>
                <w:rFonts w:hint="eastAsia"/>
                <w:i/>
                <w:iCs/>
                <w:spacing w:val="-1"/>
                <w:sz w:val="18"/>
                <w:szCs w:val="18"/>
                <w:highlight w:val="none"/>
                <w:u w:val="single"/>
              </w:rPr>
              <w:t xml:space="preserve">楼层停靠次数</w:t>
            </w:r>
            <w:r>
              <w:rPr>
                <w:i/>
                <w:iCs/>
                <w:spacing w:val="-1"/>
                <w:sz w:val="18"/>
                <w:szCs w:val="18"/>
                <w:highlight w:val="none"/>
                <w:u w:val="single"/>
              </w:rPr>
              <w:t xml:space="preserve">。</w:t>
            </w:r>
            <w:r/>
          </w:p>
        </w:tc>
      </w:tr>
      <w:tr>
        <w:trPr>
          <w:trHeight w:val="1293"/>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6</w:t>
            </w:r>
            <w:r/>
          </w:p>
        </w:tc>
        <w:tc>
          <w:tcPr>
            <w:tcW w:w="2104" w:type="dxa"/>
            <w:textDirection w:val="lrTb"/>
            <w:noWrap/>
          </w:tcPr>
          <w:p>
            <w:pPr>
              <w:jc w:val="center"/>
              <w:spacing w:line="315" w:lineRule="auto"/>
              <w:rPr>
                <w:i/>
                <w:iCs/>
                <w:highlight w:val="none"/>
                <w:u w:val="single"/>
              </w:rPr>
            </w:pPr>
            <w:r>
              <w:rPr>
                <w:i/>
                <w:iCs/>
                <w:highlight w:val="none"/>
                <w:u w:val="single"/>
              </w:rPr>
            </w:r>
            <w:r/>
          </w:p>
          <w:p>
            <w:pPr>
              <w:jc w:val="center"/>
              <w:spacing w:line="316" w:lineRule="auto"/>
              <w:rPr>
                <w:i/>
                <w:iCs/>
                <w:highlight w:val="none"/>
                <w:u w:val="single"/>
              </w:rPr>
            </w:pPr>
            <w:r>
              <w:rPr>
                <w:i/>
                <w:iCs/>
                <w:highlight w:val="none"/>
                <w:u w:val="single"/>
              </w:rPr>
            </w:r>
            <w:r/>
          </w:p>
          <w:p>
            <w:pPr>
              <w:pStyle w:val="1042"/>
              <w:jc w:val="center"/>
              <w:spacing w:before="58" w:line="220" w:lineRule="auto"/>
              <w:rPr>
                <w:i/>
                <w:iCs/>
                <w:sz w:val="18"/>
                <w:szCs w:val="18"/>
                <w:highlight w:val="none"/>
                <w:u w:val="single"/>
              </w:rPr>
            </w:pPr>
            <w:r>
              <w:rPr>
                <w:i/>
                <w:iCs/>
                <w:spacing w:val="-1"/>
                <w:sz w:val="18"/>
                <w:szCs w:val="18"/>
                <w:highlight w:val="none"/>
                <w:u w:val="single"/>
              </w:rPr>
              <w:t xml:space="preserve">位置异常自动校正功能</w:t>
            </w:r>
            <w:r/>
          </w:p>
        </w:tc>
        <w:tc>
          <w:tcPr>
            <w:tcW w:w="7425" w:type="dxa"/>
            <w:textDirection w:val="lrTb"/>
            <w:noWrap/>
          </w:tcPr>
          <w:p>
            <w:pPr>
              <w:pStyle w:val="1042"/>
              <w:ind w:left="112" w:right="107"/>
              <w:spacing w:before="67" w:line="305" w:lineRule="auto"/>
              <w:rPr>
                <w:i/>
                <w:iCs/>
                <w:sz w:val="18"/>
                <w:szCs w:val="18"/>
                <w:highlight w:val="none"/>
                <w:u w:val="single"/>
              </w:rPr>
            </w:pPr>
            <w:r>
              <w:rPr>
                <w:i/>
                <w:iCs/>
                <w:spacing w:val="2"/>
                <w:sz w:val="18"/>
                <w:szCs w:val="18"/>
                <w:highlight w:val="none"/>
                <w:u w:val="single"/>
              </w:rPr>
              <w:t xml:space="preserve">在电梯的运行过程中，电梯系统会自动对轿厢所在的位</w:t>
            </w:r>
            <w:r>
              <w:rPr>
                <w:i/>
                <w:iCs/>
                <w:spacing w:val="1"/>
                <w:sz w:val="18"/>
                <w:szCs w:val="18"/>
                <w:highlight w:val="none"/>
                <w:u w:val="single"/>
              </w:rPr>
              <w:t xml:space="preserve">置进行监测和</w:t>
            </w:r>
            <w:r>
              <w:rPr>
                <w:i/>
                <w:iCs/>
                <w:spacing w:val="2"/>
                <w:sz w:val="18"/>
                <w:szCs w:val="18"/>
                <w:highlight w:val="none"/>
                <w:u w:val="single"/>
              </w:rPr>
              <w:t xml:space="preserve">分析，当由于故障或人为的操作而使电梯轿厢的实际位</w:t>
            </w:r>
            <w:r>
              <w:rPr>
                <w:i/>
                <w:iCs/>
                <w:spacing w:val="1"/>
                <w:sz w:val="18"/>
                <w:szCs w:val="18"/>
                <w:highlight w:val="none"/>
                <w:u w:val="single"/>
              </w:rPr>
              <w:t xml:space="preserve">置与系统分析</w:t>
            </w:r>
            <w:r>
              <w:rPr>
                <w:i/>
                <w:iCs/>
                <w:spacing w:val="-1"/>
                <w:sz w:val="18"/>
                <w:szCs w:val="18"/>
                <w:highlight w:val="none"/>
                <w:u w:val="single"/>
              </w:rPr>
              <w:t xml:space="preserve">结果不相符时，电梯会自动以低速（15m/min）驶返最低层，以重</w:t>
            </w:r>
            <w:r>
              <w:rPr>
                <w:i/>
                <w:iCs/>
                <w:spacing w:val="-2"/>
                <w:sz w:val="18"/>
                <w:szCs w:val="18"/>
                <w:highlight w:val="none"/>
                <w:u w:val="single"/>
              </w:rPr>
              <w:t xml:space="preserve">新对</w:t>
            </w:r>
            <w:r>
              <w:rPr>
                <w:i/>
                <w:iCs/>
                <w:spacing w:val="2"/>
                <w:sz w:val="18"/>
                <w:szCs w:val="18"/>
                <w:highlight w:val="none"/>
                <w:u w:val="single"/>
              </w:rPr>
              <w:t xml:space="preserve">轿厢位置作出校正。在确认了轿厢位置与系统分析结果</w:t>
            </w:r>
            <w:r>
              <w:rPr>
                <w:i/>
                <w:iCs/>
                <w:spacing w:val="1"/>
                <w:sz w:val="18"/>
                <w:szCs w:val="18"/>
                <w:highlight w:val="none"/>
                <w:u w:val="single"/>
              </w:rPr>
              <w:t xml:space="preserve">一致后，电梯</w:t>
            </w:r>
            <w:r>
              <w:rPr>
                <w:i/>
                <w:iCs/>
                <w:spacing w:val="-1"/>
                <w:sz w:val="18"/>
                <w:szCs w:val="18"/>
                <w:highlight w:val="none"/>
                <w:u w:val="single"/>
              </w:rPr>
              <w:t xml:space="preserve">恢复正常运行状态。</w:t>
            </w:r>
            <w:r/>
          </w:p>
        </w:tc>
      </w:tr>
      <w:tr>
        <w:trPr>
          <w:trHeight w:val="628"/>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7</w:t>
            </w:r>
            <w:r/>
          </w:p>
        </w:tc>
        <w:tc>
          <w:tcPr>
            <w:tcW w:w="2104" w:type="dxa"/>
            <w:textDirection w:val="lrTb"/>
            <w:noWrap/>
          </w:tcPr>
          <w:p>
            <w:pPr>
              <w:pStyle w:val="1042"/>
              <w:jc w:val="center"/>
              <w:spacing w:before="226" w:line="220" w:lineRule="auto"/>
              <w:rPr>
                <w:i/>
                <w:iCs/>
                <w:sz w:val="18"/>
                <w:szCs w:val="18"/>
                <w:highlight w:val="none"/>
                <w:u w:val="single"/>
              </w:rPr>
            </w:pPr>
            <w:r>
              <w:rPr>
                <w:i/>
                <w:iCs/>
                <w:spacing w:val="-4"/>
                <w:sz w:val="18"/>
                <w:szCs w:val="18"/>
                <w:highlight w:val="none"/>
                <w:u w:val="single"/>
              </w:rPr>
              <w:t xml:space="preserve">防捣乱功能</w:t>
            </w:r>
            <w:r/>
          </w:p>
        </w:tc>
        <w:tc>
          <w:tcPr>
            <w:tcW w:w="7425" w:type="dxa"/>
            <w:textDirection w:val="lrTb"/>
            <w:noWrap/>
          </w:tcPr>
          <w:p>
            <w:pPr>
              <w:pStyle w:val="1042"/>
              <w:ind w:left="116" w:right="107" w:hanging="2"/>
              <w:spacing w:before="70" w:line="281" w:lineRule="auto"/>
              <w:rPr>
                <w:i/>
                <w:iCs/>
                <w:sz w:val="18"/>
                <w:szCs w:val="18"/>
                <w:highlight w:val="none"/>
                <w:u w:val="single"/>
              </w:rPr>
            </w:pPr>
            <w:r>
              <w:rPr>
                <w:i/>
                <w:iCs/>
                <w:spacing w:val="2"/>
                <w:sz w:val="18"/>
                <w:szCs w:val="18"/>
                <w:highlight w:val="none"/>
                <w:u w:val="single"/>
              </w:rPr>
              <w:t xml:space="preserve">无乘客(或载量很小)时，但操纵上多层楼信号</w:t>
            </w:r>
            <w:r>
              <w:rPr>
                <w:i/>
                <w:iCs/>
                <w:spacing w:val="1"/>
                <w:sz w:val="18"/>
                <w:szCs w:val="18"/>
                <w:highlight w:val="none"/>
                <w:u w:val="single"/>
              </w:rPr>
              <w:t xml:space="preserve">被登记，微机则自动取</w:t>
            </w:r>
            <w:r>
              <w:rPr>
                <w:i/>
                <w:iCs/>
                <w:spacing w:val="-2"/>
                <w:sz w:val="18"/>
                <w:szCs w:val="18"/>
                <w:highlight w:val="none"/>
                <w:u w:val="single"/>
              </w:rPr>
              <w:t xml:space="preserve">消已被登记信号。</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8</w:t>
            </w:r>
            <w:r/>
          </w:p>
        </w:tc>
        <w:tc>
          <w:tcPr>
            <w:tcW w:w="2104" w:type="dxa"/>
            <w:textDirection w:val="lrTb"/>
            <w:noWrap/>
          </w:tcPr>
          <w:p>
            <w:pPr>
              <w:pStyle w:val="1042"/>
              <w:jc w:val="center"/>
              <w:spacing w:before="70" w:line="221" w:lineRule="auto"/>
              <w:rPr>
                <w:i/>
                <w:iCs/>
                <w:sz w:val="18"/>
                <w:szCs w:val="18"/>
                <w:highlight w:val="none"/>
                <w:u w:val="single"/>
              </w:rPr>
            </w:pPr>
            <w:r>
              <w:rPr>
                <w:i/>
                <w:iCs/>
                <w:spacing w:val="-2"/>
                <w:sz w:val="18"/>
                <w:szCs w:val="18"/>
                <w:highlight w:val="none"/>
                <w:u w:val="single"/>
              </w:rPr>
              <w:t xml:space="preserve">轿门防扒开功能</w:t>
            </w:r>
            <w:r/>
          </w:p>
        </w:tc>
        <w:tc>
          <w:tcPr>
            <w:tcW w:w="7425" w:type="dxa"/>
            <w:textDirection w:val="lrTb"/>
            <w:noWrap/>
          </w:tcPr>
          <w:p>
            <w:pPr>
              <w:pStyle w:val="1042"/>
              <w:ind w:left="133"/>
              <w:spacing w:before="70" w:line="219" w:lineRule="auto"/>
              <w:rPr>
                <w:i/>
                <w:iCs/>
                <w:sz w:val="18"/>
                <w:szCs w:val="18"/>
                <w:highlight w:val="none"/>
                <w:u w:val="single"/>
              </w:rPr>
            </w:pPr>
            <w:r>
              <w:rPr>
                <w:i/>
                <w:iCs/>
                <w:spacing w:val="-4"/>
                <w:sz w:val="18"/>
                <w:szCs w:val="18"/>
                <w:highlight w:val="none"/>
                <w:u w:val="single"/>
              </w:rPr>
              <w:t xml:space="preserve">电气机械联动保护</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rFonts w:hint="eastAsia"/>
                <w:i/>
                <w:iCs/>
                <w:spacing w:val="-6"/>
                <w:sz w:val="18"/>
                <w:szCs w:val="18"/>
                <w:highlight w:val="none"/>
                <w:u w:val="single"/>
              </w:rPr>
              <w:t xml:space="preserve">69</w:t>
            </w:r>
            <w:r/>
          </w:p>
        </w:tc>
        <w:tc>
          <w:tcPr>
            <w:tcW w:w="2104" w:type="dxa"/>
            <w:textDirection w:val="lrTb"/>
            <w:noWrap/>
          </w:tcPr>
          <w:p>
            <w:pPr>
              <w:pStyle w:val="1042"/>
              <w:jc w:val="center"/>
              <w:spacing w:before="70" w:line="219" w:lineRule="auto"/>
              <w:rPr>
                <w:i/>
                <w:iCs/>
                <w:sz w:val="18"/>
                <w:szCs w:val="18"/>
                <w:highlight w:val="none"/>
                <w:u w:val="single"/>
              </w:rPr>
            </w:pPr>
            <w:r>
              <w:rPr>
                <w:i/>
                <w:iCs/>
                <w:spacing w:val="-1"/>
                <w:sz w:val="18"/>
                <w:szCs w:val="18"/>
                <w:highlight w:val="none"/>
                <w:u w:val="single"/>
              </w:rPr>
              <w:t xml:space="preserve">有无司机两用功能</w:t>
            </w:r>
            <w:r/>
          </w:p>
        </w:tc>
        <w:tc>
          <w:tcPr>
            <w:tcW w:w="7425" w:type="dxa"/>
            <w:textDirection w:val="lrTb"/>
            <w:noWrap/>
          </w:tcPr>
          <w:p>
            <w:pPr>
              <w:pStyle w:val="1042"/>
              <w:ind w:left="120"/>
              <w:spacing w:before="70" w:line="219" w:lineRule="auto"/>
              <w:rPr>
                <w:i/>
                <w:iCs/>
                <w:sz w:val="18"/>
                <w:szCs w:val="18"/>
                <w:highlight w:val="none"/>
                <w:u w:val="single"/>
              </w:rPr>
            </w:pPr>
            <w:r>
              <w:rPr>
                <w:i/>
                <w:iCs/>
                <w:spacing w:val="-2"/>
                <w:sz w:val="18"/>
                <w:szCs w:val="18"/>
                <w:highlight w:val="none"/>
                <w:u w:val="single"/>
              </w:rPr>
              <w:t xml:space="preserve">暗装有司机和无司机切换开关</w:t>
            </w:r>
            <w:r/>
          </w:p>
        </w:tc>
      </w:tr>
      <w:tr>
        <w:trPr>
          <w:trHeight w:val="317"/>
        </w:trPr>
        <w:tc>
          <w:tcPr>
            <w:tcW w:w="686" w:type="dxa"/>
            <w:vAlign w:val="center"/>
            <w:textDirection w:val="lrTb"/>
            <w:noWrap/>
          </w:tcPr>
          <w:p>
            <w:pPr>
              <w:pStyle w:val="1042"/>
              <w:jc w:val="center"/>
              <w:spacing w:before="99" w:line="184"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0</w:t>
            </w:r>
            <w:r/>
          </w:p>
        </w:tc>
        <w:tc>
          <w:tcPr>
            <w:tcW w:w="2104" w:type="dxa"/>
            <w:textDirection w:val="lrTb"/>
            <w:noWrap/>
          </w:tcPr>
          <w:p>
            <w:pPr>
              <w:pStyle w:val="1042"/>
              <w:jc w:val="center"/>
              <w:spacing w:before="72" w:line="220" w:lineRule="auto"/>
              <w:rPr>
                <w:i/>
                <w:iCs/>
                <w:sz w:val="18"/>
                <w:szCs w:val="18"/>
                <w:highlight w:val="none"/>
                <w:u w:val="single"/>
              </w:rPr>
            </w:pPr>
            <w:r>
              <w:rPr>
                <w:i/>
                <w:iCs/>
                <w:spacing w:val="-5"/>
                <w:sz w:val="18"/>
                <w:szCs w:val="18"/>
                <w:highlight w:val="none"/>
                <w:u w:val="single"/>
              </w:rPr>
              <w:t xml:space="preserve">ITV电缆（数字式）</w:t>
            </w:r>
            <w:r/>
          </w:p>
        </w:tc>
        <w:tc>
          <w:tcPr>
            <w:tcW w:w="7425" w:type="dxa"/>
            <w:textDirection w:val="lrTb"/>
            <w:noWrap/>
          </w:tcPr>
          <w:p>
            <w:pPr>
              <w:pStyle w:val="1042"/>
              <w:ind w:left="112"/>
              <w:spacing w:before="72" w:line="219" w:lineRule="auto"/>
              <w:rPr>
                <w:i/>
                <w:iCs/>
                <w:sz w:val="18"/>
                <w:szCs w:val="18"/>
                <w:highlight w:val="none"/>
                <w:u w:val="single"/>
              </w:rPr>
            </w:pPr>
            <w:r>
              <w:rPr>
                <w:i/>
                <w:iCs/>
                <w:spacing w:val="-1"/>
                <w:sz w:val="18"/>
                <w:szCs w:val="18"/>
                <w:highlight w:val="none"/>
                <w:u w:val="single"/>
              </w:rPr>
              <w:t xml:space="preserve">供用户轿内视频装置（数字式）使用的电缆。</w:t>
            </w:r>
            <w:r/>
          </w:p>
        </w:tc>
      </w:tr>
      <w:tr>
        <w:trPr>
          <w:trHeight w:val="629"/>
        </w:trPr>
        <w:tc>
          <w:tcPr>
            <w:tcW w:w="686" w:type="dxa"/>
            <w:vAlign w:val="center"/>
            <w:textDirection w:val="lrTb"/>
            <w:noWrap/>
          </w:tcPr>
          <w:p>
            <w:pPr>
              <w:pStyle w:val="1042"/>
              <w:jc w:val="center"/>
              <w:spacing w:before="256"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1</w:t>
            </w:r>
            <w:r/>
          </w:p>
        </w:tc>
        <w:tc>
          <w:tcPr>
            <w:tcW w:w="2104" w:type="dxa"/>
            <w:textDirection w:val="lrTb"/>
            <w:noWrap/>
          </w:tcPr>
          <w:p>
            <w:pPr>
              <w:pStyle w:val="1042"/>
              <w:jc w:val="center"/>
              <w:spacing w:before="227" w:line="221" w:lineRule="auto"/>
              <w:rPr>
                <w:i/>
                <w:iCs/>
                <w:sz w:val="18"/>
                <w:szCs w:val="18"/>
                <w:highlight w:val="none"/>
                <w:u w:val="single"/>
              </w:rPr>
            </w:pPr>
            <w:r>
              <w:rPr>
                <w:i/>
                <w:iCs/>
                <w:spacing w:val="-10"/>
                <w:sz w:val="18"/>
                <w:szCs w:val="18"/>
                <w:highlight w:val="none"/>
                <w:u w:val="single"/>
              </w:rPr>
              <w:t xml:space="preserve">自动恢复</w:t>
            </w:r>
            <w:r/>
          </w:p>
        </w:tc>
        <w:tc>
          <w:tcPr>
            <w:tcW w:w="7425" w:type="dxa"/>
            <w:textDirection w:val="lrTb"/>
            <w:noWrap/>
          </w:tcPr>
          <w:p>
            <w:pPr>
              <w:pStyle w:val="1042"/>
              <w:ind w:left="114" w:right="108" w:firstLine="9"/>
              <w:spacing w:before="71" w:line="281" w:lineRule="auto"/>
              <w:rPr>
                <w:i/>
                <w:iCs/>
                <w:sz w:val="18"/>
                <w:szCs w:val="18"/>
                <w:highlight w:val="none"/>
                <w:u w:val="single"/>
              </w:rPr>
            </w:pPr>
            <w:r>
              <w:rPr>
                <w:i/>
                <w:iCs/>
                <w:spacing w:val="1"/>
                <w:sz w:val="18"/>
                <w:szCs w:val="18"/>
                <w:highlight w:val="none"/>
                <w:u w:val="single"/>
              </w:rPr>
              <w:t xml:space="preserve">当供电系统突然断电后，电梯应立即安全制动；当供电恢复后，电梯</w:t>
            </w:r>
            <w:r>
              <w:rPr>
                <w:i/>
                <w:iCs/>
                <w:spacing w:val="-1"/>
                <w:sz w:val="18"/>
                <w:szCs w:val="18"/>
                <w:highlight w:val="none"/>
                <w:u w:val="single"/>
              </w:rPr>
              <w:t xml:space="preserve">经自动检测、校对后恢复正常运行。</w:t>
            </w:r>
            <w:r/>
          </w:p>
        </w:tc>
      </w:tr>
      <w:tr>
        <w:trPr>
          <w:trHeight w:val="629"/>
        </w:trPr>
        <w:tc>
          <w:tcPr>
            <w:tcW w:w="686" w:type="dxa"/>
            <w:vAlign w:val="center"/>
            <w:textDirection w:val="lrTb"/>
            <w:noWrap/>
          </w:tcPr>
          <w:p>
            <w:pPr>
              <w:pStyle w:val="1042"/>
              <w:jc w:val="center"/>
              <w:spacing w:before="255"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2</w:t>
            </w:r>
            <w:r/>
          </w:p>
        </w:tc>
        <w:tc>
          <w:tcPr>
            <w:tcW w:w="2104" w:type="dxa"/>
            <w:textDirection w:val="lrTb"/>
            <w:noWrap/>
          </w:tcPr>
          <w:p>
            <w:pPr>
              <w:pStyle w:val="1042"/>
              <w:jc w:val="center"/>
              <w:spacing w:before="227" w:line="220" w:lineRule="auto"/>
              <w:rPr>
                <w:i/>
                <w:iCs/>
                <w:sz w:val="18"/>
                <w:szCs w:val="18"/>
                <w:highlight w:val="none"/>
                <w:u w:val="single"/>
              </w:rPr>
            </w:pPr>
            <w:r>
              <w:rPr>
                <w:i/>
                <w:iCs/>
                <w:spacing w:val="-2"/>
                <w:sz w:val="18"/>
                <w:szCs w:val="18"/>
                <w:highlight w:val="none"/>
                <w:u w:val="single"/>
              </w:rPr>
              <w:t xml:space="preserve">故障自动存储功能</w:t>
            </w:r>
            <w:r/>
          </w:p>
        </w:tc>
        <w:tc>
          <w:tcPr>
            <w:tcW w:w="7425" w:type="dxa"/>
            <w:textDirection w:val="lrTb"/>
            <w:noWrap/>
          </w:tcPr>
          <w:p>
            <w:pPr>
              <w:pStyle w:val="1042"/>
              <w:ind w:left="115" w:right="108" w:firstLine="8"/>
              <w:spacing w:before="71" w:line="281" w:lineRule="auto"/>
              <w:rPr>
                <w:i/>
                <w:iCs/>
                <w:sz w:val="18"/>
                <w:szCs w:val="18"/>
                <w:highlight w:val="none"/>
                <w:u w:val="single"/>
              </w:rPr>
            </w:pPr>
            <w:r>
              <w:rPr>
                <w:i/>
                <w:iCs/>
                <w:spacing w:val="1"/>
                <w:sz w:val="18"/>
                <w:szCs w:val="18"/>
                <w:highlight w:val="none"/>
                <w:u w:val="single"/>
              </w:rPr>
              <w:t xml:space="preserve">当电梯有故障发生时，电梯将检测出的故障做出及时的分项登录和分</w:t>
            </w:r>
            <w:r>
              <w:rPr>
                <w:i/>
                <w:iCs/>
                <w:spacing w:val="-1"/>
                <w:sz w:val="18"/>
                <w:szCs w:val="18"/>
                <w:highlight w:val="none"/>
                <w:u w:val="single"/>
              </w:rPr>
              <w:t xml:space="preserve">级处理，并存储起来。</w:t>
            </w:r>
            <w:r/>
          </w:p>
        </w:tc>
      </w:tr>
      <w:tr>
        <w:trPr>
          <w:trHeight w:val="319"/>
        </w:trPr>
        <w:tc>
          <w:tcPr>
            <w:tcW w:w="686" w:type="dxa"/>
            <w:vAlign w:val="center"/>
            <w:textDirection w:val="lrTb"/>
            <w:noWrap/>
          </w:tcPr>
          <w:p>
            <w:pPr>
              <w:pStyle w:val="1042"/>
              <w:jc w:val="center"/>
              <w:spacing w:before="100" w:line="182"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3</w:t>
            </w:r>
            <w:r/>
          </w:p>
        </w:tc>
        <w:tc>
          <w:tcPr>
            <w:tcW w:w="2104" w:type="dxa"/>
            <w:textDirection w:val="lrTb"/>
            <w:noWrap/>
          </w:tcPr>
          <w:p>
            <w:pPr>
              <w:pStyle w:val="1042"/>
              <w:jc w:val="center"/>
              <w:spacing w:before="70" w:line="221" w:lineRule="auto"/>
              <w:rPr>
                <w:i/>
                <w:iCs/>
                <w:sz w:val="18"/>
                <w:szCs w:val="18"/>
                <w:highlight w:val="none"/>
                <w:u w:val="single"/>
              </w:rPr>
            </w:pPr>
            <w:r>
              <w:rPr>
                <w:i/>
                <w:iCs/>
                <w:spacing w:val="-1"/>
                <w:sz w:val="18"/>
                <w:szCs w:val="18"/>
                <w:highlight w:val="none"/>
                <w:u w:val="single"/>
              </w:rPr>
              <w:t xml:space="preserve">超速电气保护功能</w:t>
            </w:r>
            <w:r/>
          </w:p>
        </w:tc>
        <w:tc>
          <w:tcPr>
            <w:tcW w:w="7425" w:type="dxa"/>
            <w:vMerge w:val="restart"/>
            <w:textDirection w:val="lrTb"/>
            <w:noWrap/>
          </w:tcPr>
          <w:p>
            <w:pPr>
              <w:pStyle w:val="1042"/>
              <w:ind w:left="124"/>
              <w:spacing w:before="70" w:line="220" w:lineRule="auto"/>
              <w:rPr>
                <w:i/>
                <w:iCs/>
                <w:sz w:val="18"/>
                <w:szCs w:val="18"/>
                <w:highlight w:val="none"/>
                <w:u w:val="single"/>
              </w:rPr>
            </w:pPr>
            <w:r>
              <w:rPr>
                <w:i/>
                <w:iCs/>
                <w:spacing w:val="1"/>
                <w:sz w:val="18"/>
                <w:szCs w:val="18"/>
                <w:highlight w:val="none"/>
                <w:u w:val="single"/>
              </w:rPr>
              <w:t xml:space="preserve">当电梯的运行速度大于额定速度，且超过设定的限制速度 (≥电梯额</w:t>
            </w:r>
            <w:r/>
          </w:p>
          <w:p>
            <w:pPr>
              <w:pStyle w:val="1042"/>
              <w:ind w:left="112" w:right="60" w:firstLine="4"/>
              <w:spacing w:before="72" w:line="283" w:lineRule="auto"/>
              <w:rPr>
                <w:i/>
                <w:iCs/>
                <w:sz w:val="18"/>
                <w:szCs w:val="18"/>
                <w:highlight w:val="none"/>
                <w:u w:val="single"/>
              </w:rPr>
            </w:pPr>
            <w:r>
              <w:rPr>
                <w:i/>
                <w:iCs/>
                <w:spacing w:val="-4"/>
                <w:sz w:val="18"/>
                <w:szCs w:val="18"/>
                <w:highlight w:val="none"/>
                <w:u w:val="single"/>
              </w:rPr>
              <w:t xml:space="preserve">定速度的115</w:t>
            </w:r>
            <w:r>
              <w:rPr>
                <w:i/>
                <w:iCs/>
                <w:spacing w:val="-49"/>
                <w:sz w:val="18"/>
                <w:szCs w:val="18"/>
                <w:highlight w:val="none"/>
                <w:u w:val="single"/>
              </w:rPr>
              <w:t xml:space="preserve">％）</w:t>
            </w:r>
            <w:r>
              <w:rPr>
                <w:i/>
                <w:iCs/>
                <w:spacing w:val="-4"/>
                <w:sz w:val="18"/>
                <w:szCs w:val="18"/>
                <w:highlight w:val="none"/>
                <w:u w:val="single"/>
              </w:rPr>
              <w:t xml:space="preserve">时，电梯系统将通过限速器</w:t>
            </w:r>
            <w:r>
              <w:rPr>
                <w:i/>
                <w:iCs/>
                <w:spacing w:val="-5"/>
                <w:sz w:val="18"/>
                <w:szCs w:val="18"/>
                <w:highlight w:val="none"/>
                <w:u w:val="single"/>
              </w:rPr>
              <w:t xml:space="preserve">的电气开关保护强制停梯，</w:t>
            </w:r>
            <w:r>
              <w:rPr>
                <w:i/>
                <w:iCs/>
                <w:spacing w:val="-2"/>
                <w:sz w:val="18"/>
                <w:szCs w:val="18"/>
                <w:highlight w:val="none"/>
                <w:u w:val="single"/>
              </w:rPr>
              <w:t xml:space="preserve">确保乘客安全</w:t>
            </w:r>
            <w:r/>
          </w:p>
        </w:tc>
      </w:tr>
      <w:tr>
        <w:trPr>
          <w:trHeight w:val="463"/>
        </w:trPr>
        <w:tc>
          <w:tcPr>
            <w:tcW w:w="686" w:type="dxa"/>
            <w:vAlign w:val="center"/>
            <w:textDirection w:val="lrTb"/>
            <w:noWrap/>
          </w:tcPr>
          <w:p>
            <w:pPr>
              <w:jc w:val="center"/>
              <w:spacing w:line="720" w:lineRule="auto"/>
              <w:rPr>
                <w:i/>
                <w:iCs/>
                <w:highlight w:val="none"/>
                <w:u w:val="single"/>
              </w:rPr>
            </w:pPr>
            <w:r>
              <w:rPr>
                <w:rFonts w:hint="eastAsia" w:ascii="宋体" w:hAnsi="宋体" w:cs="宋体"/>
                <w:i/>
                <w:iCs/>
                <w:spacing w:val="-6"/>
                <w:sz w:val="18"/>
                <w:szCs w:val="18"/>
                <w:highlight w:val="none"/>
                <w:u w:val="single"/>
              </w:rPr>
              <w:t xml:space="preserve">74</w:t>
            </w:r>
            <w:r/>
          </w:p>
        </w:tc>
        <w:tc>
          <w:tcPr>
            <w:tcW w:w="2104" w:type="dxa"/>
            <w:textDirection w:val="lrTb"/>
            <w:noWrap/>
          </w:tcPr>
          <w:p>
            <w:pPr>
              <w:jc w:val="center"/>
              <w:rPr>
                <w:i/>
                <w:iCs/>
                <w:highlight w:val="none"/>
                <w:u w:val="single"/>
              </w:rPr>
            </w:pPr>
            <w:r>
              <w:rPr>
                <w:i/>
                <w:iCs/>
                <w:highlight w:val="none"/>
                <w:u w:val="single"/>
              </w:rPr>
            </w:r>
            <w:r/>
          </w:p>
          <w:p>
            <w:pPr>
              <w:jc w:val="center"/>
              <w:rPr>
                <w:i/>
                <w:iCs/>
                <w:highlight w:val="none"/>
                <w:u w:val="single"/>
              </w:rPr>
            </w:pPr>
            <w:r>
              <w:rPr>
                <w:rFonts w:hint="eastAsia" w:ascii="宋体" w:hAnsi="宋体" w:cs="宋体"/>
                <w:i/>
                <w:iCs/>
                <w:spacing w:val="-1"/>
                <w:sz w:val="18"/>
                <w:szCs w:val="18"/>
                <w:highlight w:val="none"/>
                <w:u w:val="single"/>
              </w:rPr>
              <w:t xml:space="preserve">超速保护</w:t>
            </w:r>
            <w:r/>
          </w:p>
        </w:tc>
        <w:tc>
          <w:tcPr>
            <w:tcW w:w="7425" w:type="dxa"/>
            <w:vMerge w:val="continue"/>
            <w:textDirection w:val="lrTb"/>
            <w:noWrap/>
          </w:tcPr>
          <w:p>
            <w:pPr>
              <w:pStyle w:val="1042"/>
              <w:ind w:left="112" w:right="60" w:firstLine="4"/>
              <w:spacing w:before="72" w:line="283" w:lineRule="auto"/>
              <w:rPr>
                <w:i/>
                <w:iCs/>
                <w:sz w:val="18"/>
                <w:szCs w:val="18"/>
                <w:highlight w:val="none"/>
                <w:u w:val="single"/>
              </w:rPr>
            </w:pPr>
            <w:r>
              <w:rPr>
                <w:i/>
                <w:iCs/>
                <w:sz w:val="18"/>
                <w:szCs w:val="18"/>
                <w:highlight w:val="none"/>
                <w:u w:val="single"/>
              </w:rPr>
            </w:r>
            <w:r/>
          </w:p>
        </w:tc>
      </w:tr>
      <w:tr>
        <w:trPr>
          <w:trHeight w:val="941"/>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5</w:t>
            </w:r>
            <w:r/>
          </w:p>
        </w:tc>
        <w:tc>
          <w:tcPr>
            <w:tcW w:w="2104" w:type="dxa"/>
            <w:textDirection w:val="lrTb"/>
            <w:noWrap/>
          </w:tcPr>
          <w:p>
            <w:pPr>
              <w:jc w:val="center"/>
              <w:spacing w:line="318" w:lineRule="auto"/>
              <w:rPr>
                <w:i/>
                <w:iCs/>
                <w:highlight w:val="none"/>
                <w:u w:val="single"/>
              </w:rPr>
            </w:pPr>
            <w:r>
              <w:rPr>
                <w:i/>
                <w:iCs/>
                <w:highlight w:val="none"/>
                <w:u w:val="single"/>
              </w:rPr>
            </w:r>
            <w:r/>
          </w:p>
          <w:p>
            <w:pPr>
              <w:pStyle w:val="1042"/>
              <w:jc w:val="center"/>
              <w:spacing w:before="58" w:line="219" w:lineRule="auto"/>
              <w:rPr>
                <w:i/>
                <w:iCs/>
                <w:sz w:val="18"/>
                <w:szCs w:val="18"/>
                <w:highlight w:val="none"/>
                <w:u w:val="single"/>
              </w:rPr>
            </w:pPr>
            <w:r>
              <w:rPr>
                <w:i/>
                <w:iCs/>
                <w:spacing w:val="-1"/>
                <w:sz w:val="18"/>
                <w:szCs w:val="18"/>
                <w:highlight w:val="none"/>
                <w:u w:val="single"/>
              </w:rPr>
              <w:t xml:space="preserve">超速机械保护功能</w:t>
            </w:r>
            <w:r/>
          </w:p>
        </w:tc>
        <w:tc>
          <w:tcPr>
            <w:tcW w:w="7425" w:type="dxa"/>
            <w:textDirection w:val="lrTb"/>
            <w:noWrap/>
          </w:tcPr>
          <w:p>
            <w:pPr>
              <w:pStyle w:val="1042"/>
              <w:ind w:left="114" w:right="107" w:firstLine="9"/>
              <w:spacing w:before="65" w:line="296" w:lineRule="auto"/>
              <w:rPr>
                <w:i/>
                <w:iCs/>
                <w:sz w:val="18"/>
                <w:szCs w:val="18"/>
                <w:highlight w:val="none"/>
                <w:u w:val="single"/>
              </w:rPr>
            </w:pPr>
            <w:r>
              <w:rPr>
                <w:i/>
                <w:iCs/>
                <w:spacing w:val="1"/>
                <w:sz w:val="18"/>
                <w:szCs w:val="18"/>
                <w:highlight w:val="none"/>
                <w:u w:val="single"/>
              </w:rPr>
              <w:t xml:space="preserve">当电梯的运行速度大于额定速度，且超过设定的限制速度 (≥电梯额</w:t>
            </w:r>
            <w:r>
              <w:rPr>
                <w:i/>
                <w:iCs/>
                <w:spacing w:val="-3"/>
                <w:sz w:val="18"/>
                <w:szCs w:val="18"/>
                <w:highlight w:val="none"/>
                <w:u w:val="single"/>
              </w:rPr>
              <w:t xml:space="preserve">定速度的115</w:t>
            </w:r>
            <w:r>
              <w:rPr>
                <w:i/>
                <w:iCs/>
                <w:spacing w:val="-7"/>
                <w:sz w:val="18"/>
                <w:szCs w:val="18"/>
                <w:highlight w:val="none"/>
                <w:u w:val="single"/>
              </w:rPr>
              <w:t xml:space="preserve">％）</w:t>
            </w:r>
            <w:r>
              <w:rPr>
                <w:i/>
                <w:iCs/>
                <w:spacing w:val="-3"/>
                <w:sz w:val="18"/>
                <w:szCs w:val="18"/>
                <w:highlight w:val="none"/>
                <w:u w:val="single"/>
              </w:rPr>
              <w:t xml:space="preserve">时，电梯系统将通过安全钳机械保护强行钳固在导轨</w:t>
            </w:r>
            <w:r>
              <w:rPr>
                <w:i/>
                <w:iCs/>
                <w:spacing w:val="-2"/>
                <w:sz w:val="18"/>
                <w:szCs w:val="18"/>
                <w:highlight w:val="none"/>
                <w:u w:val="single"/>
              </w:rPr>
              <w:t xml:space="preserve">上，确保乘客安全</w:t>
            </w:r>
            <w:r/>
          </w:p>
        </w:tc>
      </w:tr>
      <w:tr>
        <w:trPr>
          <w:trHeight w:val="629"/>
        </w:trPr>
        <w:tc>
          <w:tcPr>
            <w:tcW w:w="686" w:type="dxa"/>
            <w:vAlign w:val="center"/>
            <w:textDirection w:val="lrTb"/>
            <w:noWrap/>
          </w:tcPr>
          <w:p>
            <w:pPr>
              <w:pStyle w:val="1042"/>
              <w:jc w:val="center"/>
              <w:spacing w:before="251" w:line="182"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6</w:t>
            </w:r>
            <w:r/>
          </w:p>
        </w:tc>
        <w:tc>
          <w:tcPr>
            <w:tcW w:w="2104" w:type="dxa"/>
            <w:textDirection w:val="lrTb"/>
            <w:noWrap/>
          </w:tcPr>
          <w:p>
            <w:pPr>
              <w:pStyle w:val="1042"/>
              <w:jc w:val="center"/>
              <w:spacing w:before="222" w:line="220" w:lineRule="auto"/>
              <w:rPr>
                <w:i/>
                <w:iCs/>
                <w:sz w:val="18"/>
                <w:szCs w:val="18"/>
                <w:highlight w:val="none"/>
                <w:u w:val="single"/>
              </w:rPr>
            </w:pPr>
            <w:r>
              <w:rPr>
                <w:i/>
                <w:iCs/>
                <w:spacing w:val="-1"/>
                <w:sz w:val="18"/>
                <w:szCs w:val="18"/>
                <w:highlight w:val="none"/>
                <w:u w:val="single"/>
              </w:rPr>
              <w:t xml:space="preserve">开关门时间超常报警功能</w:t>
            </w:r>
            <w:r/>
          </w:p>
        </w:tc>
        <w:tc>
          <w:tcPr>
            <w:tcW w:w="7425" w:type="dxa"/>
            <w:textDirection w:val="lrTb"/>
            <w:noWrap/>
          </w:tcPr>
          <w:p>
            <w:pPr>
              <w:pStyle w:val="1042"/>
              <w:ind w:left="115" w:right="108" w:firstLine="8"/>
              <w:spacing w:before="65" w:line="284" w:lineRule="auto"/>
              <w:rPr>
                <w:i/>
                <w:iCs/>
                <w:sz w:val="18"/>
                <w:szCs w:val="18"/>
                <w:highlight w:val="none"/>
                <w:u w:val="single"/>
              </w:rPr>
            </w:pPr>
            <w:r>
              <w:rPr>
                <w:i/>
                <w:iCs/>
                <w:spacing w:val="1"/>
                <w:sz w:val="18"/>
                <w:szCs w:val="18"/>
                <w:highlight w:val="none"/>
                <w:u w:val="single"/>
              </w:rPr>
              <w:t xml:space="preserve">当电梯因开关门受阻无法正常打开时，电梯系统会自动对开门时间进</w:t>
            </w:r>
            <w:r>
              <w:rPr>
                <w:i/>
                <w:iCs/>
                <w:spacing w:val="-1"/>
                <w:sz w:val="18"/>
                <w:szCs w:val="18"/>
                <w:highlight w:val="none"/>
                <w:u w:val="single"/>
              </w:rPr>
              <w:t xml:space="preserve">行计算，当时间超过设定值时，电梯会发出报警声</w:t>
            </w:r>
            <w:r/>
          </w:p>
        </w:tc>
      </w:tr>
      <w:tr>
        <w:trPr>
          <w:trHeight w:val="1252"/>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7</w:t>
            </w:r>
            <w:r/>
          </w:p>
        </w:tc>
        <w:tc>
          <w:tcPr>
            <w:tcW w:w="2104" w:type="dxa"/>
            <w:textDirection w:val="lrTb"/>
            <w:noWrap/>
          </w:tcPr>
          <w:p>
            <w:pPr>
              <w:jc w:val="center"/>
              <w:spacing w:line="472" w:lineRule="auto"/>
              <w:rPr>
                <w:i/>
                <w:iCs/>
                <w:highlight w:val="none"/>
                <w:u w:val="single"/>
              </w:rPr>
            </w:pPr>
            <w:r>
              <w:rPr>
                <w:i/>
                <w:iCs/>
                <w:highlight w:val="none"/>
                <w:u w:val="single"/>
              </w:rPr>
            </w:r>
            <w:r/>
          </w:p>
          <w:p>
            <w:pPr>
              <w:pStyle w:val="1042"/>
              <w:jc w:val="center"/>
              <w:spacing w:before="58" w:line="220" w:lineRule="auto"/>
              <w:rPr>
                <w:i/>
                <w:iCs/>
                <w:sz w:val="18"/>
                <w:szCs w:val="18"/>
                <w:highlight w:val="none"/>
                <w:u w:val="single"/>
              </w:rPr>
            </w:pPr>
            <w:r>
              <w:rPr>
                <w:i/>
                <w:iCs/>
                <w:spacing w:val="-1"/>
                <w:sz w:val="18"/>
                <w:szCs w:val="18"/>
                <w:highlight w:val="none"/>
                <w:u w:val="single"/>
              </w:rPr>
              <w:t xml:space="preserve">开门异常自动选层功能</w:t>
            </w:r>
            <w:r/>
          </w:p>
        </w:tc>
        <w:tc>
          <w:tcPr>
            <w:tcW w:w="7425" w:type="dxa"/>
            <w:textDirection w:val="lrTb"/>
            <w:noWrap/>
          </w:tcPr>
          <w:p>
            <w:pPr>
              <w:pStyle w:val="1042"/>
              <w:ind w:left="112" w:right="108" w:firstLine="11"/>
              <w:spacing w:before="64" w:line="302" w:lineRule="auto"/>
              <w:rPr>
                <w:i/>
                <w:iCs/>
                <w:sz w:val="18"/>
                <w:szCs w:val="18"/>
                <w:highlight w:val="none"/>
                <w:u w:val="single"/>
              </w:rPr>
            </w:pPr>
            <w:r>
              <w:rPr>
                <w:i/>
                <w:iCs/>
                <w:spacing w:val="1"/>
                <w:sz w:val="18"/>
                <w:szCs w:val="18"/>
                <w:highlight w:val="none"/>
                <w:u w:val="single"/>
              </w:rPr>
              <w:t xml:space="preserve">当电梯因开关门受阻无法正常打开时，电梯系统会自动对开门时间进</w:t>
            </w:r>
            <w:r>
              <w:rPr>
                <w:i/>
                <w:iCs/>
                <w:spacing w:val="2"/>
                <w:sz w:val="18"/>
                <w:szCs w:val="18"/>
                <w:highlight w:val="none"/>
                <w:u w:val="single"/>
              </w:rPr>
              <w:t xml:space="preserve">行计算，当时间超过设定值时，电梯会自动关门并运行</w:t>
            </w:r>
            <w:r>
              <w:rPr>
                <w:i/>
                <w:iCs/>
                <w:spacing w:val="1"/>
                <w:sz w:val="18"/>
                <w:szCs w:val="18"/>
                <w:highlight w:val="none"/>
                <w:u w:val="single"/>
              </w:rPr>
              <w:t xml:space="preserve">到邻近的服务</w:t>
            </w:r>
            <w:r>
              <w:rPr>
                <w:i/>
                <w:iCs/>
                <w:spacing w:val="2"/>
                <w:sz w:val="18"/>
                <w:szCs w:val="18"/>
                <w:highlight w:val="none"/>
                <w:u w:val="single"/>
              </w:rPr>
              <w:t xml:space="preserve">层再开门，使得乘客离开轿厢，避免由莫层发生开门故</w:t>
            </w:r>
            <w:r>
              <w:rPr>
                <w:i/>
                <w:iCs/>
                <w:spacing w:val="1"/>
                <w:sz w:val="18"/>
                <w:szCs w:val="18"/>
                <w:highlight w:val="none"/>
                <w:u w:val="single"/>
              </w:rPr>
              <w:t xml:space="preserve">障而影响正常</w:t>
            </w:r>
            <w:r>
              <w:rPr>
                <w:i/>
                <w:iCs/>
                <w:spacing w:val="-2"/>
                <w:sz w:val="18"/>
                <w:szCs w:val="18"/>
                <w:highlight w:val="none"/>
                <w:u w:val="single"/>
              </w:rPr>
              <w:t xml:space="preserve">的电梯运行</w:t>
            </w:r>
            <w:r/>
          </w:p>
        </w:tc>
      </w:tr>
      <w:tr>
        <w:trPr>
          <w:trHeight w:val="941"/>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8</w:t>
            </w:r>
            <w:r/>
          </w:p>
        </w:tc>
        <w:tc>
          <w:tcPr>
            <w:tcW w:w="2104" w:type="dxa"/>
            <w:textDirection w:val="lrTb"/>
            <w:noWrap/>
          </w:tcPr>
          <w:p>
            <w:pPr>
              <w:jc w:val="center"/>
              <w:spacing w:line="317" w:lineRule="auto"/>
              <w:rPr>
                <w:i/>
                <w:iCs/>
                <w:highlight w:val="none"/>
                <w:u w:val="single"/>
              </w:rPr>
            </w:pPr>
            <w:r>
              <w:rPr>
                <w:i/>
                <w:iCs/>
                <w:highlight w:val="none"/>
                <w:u w:val="single"/>
              </w:rPr>
            </w:r>
            <w:r/>
          </w:p>
          <w:p>
            <w:pPr>
              <w:pStyle w:val="1042"/>
              <w:jc w:val="center"/>
              <w:spacing w:before="59" w:line="220" w:lineRule="auto"/>
              <w:rPr>
                <w:i/>
                <w:iCs/>
                <w:sz w:val="18"/>
                <w:szCs w:val="18"/>
                <w:highlight w:val="none"/>
                <w:u w:val="single"/>
              </w:rPr>
            </w:pPr>
            <w:r>
              <w:rPr>
                <w:i/>
                <w:iCs/>
                <w:spacing w:val="-1"/>
                <w:sz w:val="18"/>
                <w:szCs w:val="18"/>
                <w:highlight w:val="none"/>
                <w:u w:val="single"/>
              </w:rPr>
              <w:t xml:space="preserve">故障低速自救运行功能</w:t>
            </w:r>
            <w:r/>
          </w:p>
        </w:tc>
        <w:tc>
          <w:tcPr>
            <w:tcW w:w="7425" w:type="dxa"/>
            <w:textDirection w:val="lrTb"/>
            <w:noWrap/>
          </w:tcPr>
          <w:p>
            <w:pPr>
              <w:pStyle w:val="1042"/>
              <w:ind w:left="113" w:right="107" w:firstLine="20"/>
              <w:spacing w:before="65" w:line="296" w:lineRule="auto"/>
              <w:rPr>
                <w:i/>
                <w:iCs/>
                <w:sz w:val="18"/>
                <w:szCs w:val="18"/>
                <w:highlight w:val="none"/>
                <w:u w:val="single"/>
              </w:rPr>
            </w:pPr>
            <w:r>
              <w:rPr>
                <w:i/>
                <w:iCs/>
                <w:spacing w:val="1"/>
                <w:sz w:val="18"/>
                <w:szCs w:val="18"/>
                <w:highlight w:val="none"/>
                <w:u w:val="single"/>
              </w:rPr>
              <w:t xml:space="preserve">电梯发生故障可能会导致电梯在非平层区域停车，当故障被排除后，</w:t>
            </w:r>
            <w:r>
              <w:rPr>
                <w:i/>
                <w:iCs/>
                <w:spacing w:val="-1"/>
                <w:sz w:val="18"/>
                <w:szCs w:val="18"/>
                <w:highlight w:val="none"/>
                <w:u w:val="single"/>
              </w:rPr>
              <w:t xml:space="preserve">电梯可自动以低速（15m/min）进行自动救援运行，并在最近的</w:t>
            </w:r>
            <w:r>
              <w:rPr>
                <w:i/>
                <w:iCs/>
                <w:spacing w:val="-2"/>
                <w:sz w:val="18"/>
                <w:szCs w:val="18"/>
                <w:highlight w:val="none"/>
                <w:u w:val="single"/>
              </w:rPr>
              <w:t xml:space="preserve">服务层</w:t>
            </w:r>
            <w:r>
              <w:rPr>
                <w:i/>
                <w:iCs/>
                <w:spacing w:val="-1"/>
                <w:sz w:val="18"/>
                <w:szCs w:val="18"/>
                <w:highlight w:val="none"/>
                <w:u w:val="single"/>
              </w:rPr>
              <w:t xml:space="preserve">停车，防止将乘客困在轿厢中</w:t>
            </w:r>
            <w:r/>
          </w:p>
        </w:tc>
      </w:tr>
      <w:tr>
        <w:trPr>
          <w:trHeight w:val="1564"/>
        </w:trPr>
        <w:tc>
          <w:tcPr>
            <w:tcW w:w="686" w:type="dxa"/>
            <w:vAlign w:val="center"/>
            <w:textDirection w:val="lrTb"/>
            <w:noWrap/>
          </w:tcPr>
          <w:p>
            <w:pPr>
              <w:pStyle w:val="1042"/>
              <w:jc w:val="center"/>
              <w:spacing w:before="58" w:line="183" w:lineRule="auto"/>
              <w:rPr>
                <w:i/>
                <w:iCs/>
                <w:sz w:val="18"/>
                <w:szCs w:val="18"/>
                <w:highlight w:val="none"/>
                <w:u w:val="single"/>
              </w:rPr>
            </w:pPr>
            <w:r>
              <w:rPr>
                <w:rFonts w:hint="eastAsia"/>
                <w:i/>
                <w:iCs/>
                <w:spacing w:val="-4"/>
                <w:sz w:val="18"/>
                <w:szCs w:val="18"/>
                <w:highlight w:val="none"/>
                <w:u w:val="single"/>
              </w:rPr>
              <w:t xml:space="preserve">79</w:t>
            </w:r>
            <w:r/>
          </w:p>
        </w:tc>
        <w:tc>
          <w:tcPr>
            <w:tcW w:w="2104" w:type="dxa"/>
            <w:textDirection w:val="lrTb"/>
            <w:noWrap/>
          </w:tcPr>
          <w:p>
            <w:pPr>
              <w:jc w:val="center"/>
              <w:spacing w:line="314" w:lineRule="auto"/>
              <w:rPr>
                <w:i/>
                <w:iCs/>
                <w:highlight w:val="none"/>
                <w:u w:val="single"/>
              </w:rPr>
            </w:pPr>
            <w:r>
              <w:rPr>
                <w:i/>
                <w:iCs/>
                <w:highlight w:val="none"/>
                <w:u w:val="single"/>
              </w:rPr>
            </w:r>
            <w:r/>
          </w:p>
          <w:p>
            <w:pPr>
              <w:jc w:val="center"/>
              <w:spacing w:line="315" w:lineRule="auto"/>
              <w:rPr>
                <w:i/>
                <w:iCs/>
                <w:highlight w:val="none"/>
                <w:u w:val="single"/>
              </w:rPr>
            </w:pPr>
            <w:r>
              <w:rPr>
                <w:i/>
                <w:iCs/>
                <w:highlight w:val="none"/>
                <w:u w:val="single"/>
              </w:rPr>
            </w:r>
            <w:r/>
          </w:p>
          <w:p>
            <w:pPr>
              <w:pStyle w:val="1042"/>
              <w:jc w:val="center"/>
              <w:spacing w:before="59" w:line="220" w:lineRule="auto"/>
              <w:rPr>
                <w:i/>
                <w:iCs/>
                <w:sz w:val="18"/>
                <w:szCs w:val="18"/>
                <w:highlight w:val="none"/>
                <w:u w:val="single"/>
              </w:rPr>
            </w:pPr>
            <w:r>
              <w:rPr>
                <w:i/>
                <w:iCs/>
                <w:spacing w:val="-1"/>
                <w:sz w:val="18"/>
                <w:szCs w:val="18"/>
                <w:highlight w:val="none"/>
                <w:u w:val="single"/>
              </w:rPr>
              <w:t xml:space="preserve">停车在非门区报警功能</w:t>
            </w:r>
            <w:r/>
          </w:p>
        </w:tc>
        <w:tc>
          <w:tcPr>
            <w:tcW w:w="7425" w:type="dxa"/>
            <w:textDirection w:val="lrTb"/>
            <w:noWrap/>
          </w:tcPr>
          <w:p>
            <w:pPr>
              <w:pStyle w:val="1042"/>
              <w:ind w:left="112" w:right="108" w:firstLine="11"/>
              <w:spacing w:before="67" w:line="305" w:lineRule="auto"/>
              <w:rPr>
                <w:i/>
                <w:iCs/>
                <w:sz w:val="18"/>
                <w:szCs w:val="18"/>
                <w:highlight w:val="none"/>
                <w:u w:val="single"/>
              </w:rPr>
            </w:pPr>
            <w:r>
              <w:rPr>
                <w:i/>
                <w:iCs/>
                <w:spacing w:val="1"/>
                <w:sz w:val="18"/>
                <w:szCs w:val="18"/>
                <w:highlight w:val="none"/>
                <w:u w:val="single"/>
              </w:rPr>
              <w:t xml:space="preserve">当电梯因故障停在非门区位置时，维保人员在机房进行盘车操作，断</w:t>
            </w:r>
            <w:r>
              <w:rPr>
                <w:i/>
                <w:iCs/>
                <w:spacing w:val="2"/>
                <w:sz w:val="18"/>
                <w:szCs w:val="18"/>
                <w:highlight w:val="none"/>
                <w:u w:val="single"/>
              </w:rPr>
              <w:t xml:space="preserve">开安全回路并接通控制柜救援开关，这时蜂鸣器发出警</w:t>
            </w:r>
            <w:r>
              <w:rPr>
                <w:i/>
                <w:iCs/>
                <w:spacing w:val="1"/>
                <w:sz w:val="18"/>
                <w:szCs w:val="18"/>
                <w:highlight w:val="none"/>
                <w:u w:val="single"/>
              </w:rPr>
              <w:t xml:space="preserve">报，以示电梯</w:t>
            </w:r>
            <w:r>
              <w:rPr>
                <w:i/>
                <w:iCs/>
                <w:spacing w:val="2"/>
                <w:sz w:val="18"/>
                <w:szCs w:val="18"/>
                <w:highlight w:val="none"/>
                <w:u w:val="single"/>
              </w:rPr>
              <w:t xml:space="preserve">轿厢未达到门区位置，当维保人员将电梯轿厢盘车至开</w:t>
            </w:r>
            <w:r>
              <w:rPr>
                <w:i/>
                <w:iCs/>
                <w:spacing w:val="1"/>
                <w:sz w:val="18"/>
                <w:szCs w:val="18"/>
                <w:highlight w:val="none"/>
                <w:u w:val="single"/>
              </w:rPr>
              <w:t xml:space="preserve">门区域时，蜂</w:t>
            </w:r>
            <w:r>
              <w:rPr>
                <w:i/>
                <w:iCs/>
                <w:spacing w:val="2"/>
                <w:sz w:val="18"/>
                <w:szCs w:val="18"/>
                <w:highlight w:val="none"/>
                <w:u w:val="single"/>
              </w:rPr>
              <w:t xml:space="preserve">鸣器的报警声停止，表示电梯此时的轿厢已达到门区位</w:t>
            </w:r>
            <w:r>
              <w:rPr>
                <w:i/>
                <w:iCs/>
                <w:spacing w:val="1"/>
                <w:sz w:val="18"/>
                <w:szCs w:val="18"/>
                <w:highlight w:val="none"/>
                <w:u w:val="single"/>
              </w:rPr>
              <w:t xml:space="preserve">置，可开门救</w:t>
            </w:r>
            <w:r>
              <w:rPr>
                <w:i/>
                <w:iCs/>
                <w:spacing w:val="-1"/>
                <w:sz w:val="18"/>
                <w:szCs w:val="18"/>
                <w:highlight w:val="none"/>
                <w:u w:val="single"/>
              </w:rPr>
              <w:t xml:space="preserve">出被困的电梯乘客</w:t>
            </w:r>
            <w:r/>
          </w:p>
        </w:tc>
      </w:tr>
      <w:tr>
        <w:trPr>
          <w:trHeight w:val="629"/>
        </w:trPr>
        <w:tc>
          <w:tcPr>
            <w:tcW w:w="686" w:type="dxa"/>
            <w:vAlign w:val="center"/>
            <w:textDirection w:val="lrTb"/>
            <w:noWrap/>
          </w:tcPr>
          <w:p>
            <w:pPr>
              <w:pStyle w:val="1042"/>
              <w:jc w:val="center"/>
              <w:spacing w:before="252" w:line="184"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0</w:t>
            </w:r>
            <w:r/>
          </w:p>
        </w:tc>
        <w:tc>
          <w:tcPr>
            <w:tcW w:w="2104" w:type="dxa"/>
            <w:textDirection w:val="lrTb"/>
            <w:noWrap/>
          </w:tcPr>
          <w:p>
            <w:pPr>
              <w:pStyle w:val="1042"/>
              <w:jc w:val="center"/>
              <w:spacing w:before="224" w:line="220" w:lineRule="auto"/>
              <w:rPr>
                <w:i/>
                <w:iCs/>
                <w:sz w:val="18"/>
                <w:szCs w:val="18"/>
                <w:highlight w:val="none"/>
                <w:u w:val="single"/>
              </w:rPr>
            </w:pPr>
            <w:r>
              <w:rPr>
                <w:i/>
                <w:iCs/>
                <w:spacing w:val="-1"/>
                <w:sz w:val="18"/>
                <w:szCs w:val="18"/>
                <w:highlight w:val="none"/>
                <w:u w:val="single"/>
              </w:rPr>
              <w:t xml:space="preserve">轿内慢速运行功能</w:t>
            </w:r>
            <w:r/>
          </w:p>
        </w:tc>
        <w:tc>
          <w:tcPr>
            <w:tcW w:w="7425" w:type="dxa"/>
            <w:textDirection w:val="lrTb"/>
            <w:noWrap/>
          </w:tcPr>
          <w:p>
            <w:pPr>
              <w:pStyle w:val="1042"/>
              <w:ind w:left="112" w:right="33"/>
              <w:spacing w:before="69" w:line="282" w:lineRule="auto"/>
              <w:rPr>
                <w:i/>
                <w:iCs/>
                <w:sz w:val="18"/>
                <w:szCs w:val="18"/>
                <w:highlight w:val="none"/>
                <w:u w:val="single"/>
              </w:rPr>
            </w:pPr>
            <w:r>
              <w:rPr>
                <w:i/>
                <w:iCs/>
                <w:spacing w:val="-4"/>
                <w:sz w:val="18"/>
                <w:szCs w:val="18"/>
                <w:highlight w:val="none"/>
                <w:u w:val="single"/>
              </w:rPr>
              <w:t xml:space="preserve">操作人员通过轿厢里面的操纵箱检修开关，对电梯进行慢速（15m/min）</w:t>
            </w:r>
            <w:r>
              <w:rPr>
                <w:i/>
                <w:iCs/>
                <w:spacing w:val="-1"/>
                <w:sz w:val="18"/>
                <w:szCs w:val="18"/>
                <w:highlight w:val="none"/>
                <w:u w:val="single"/>
              </w:rPr>
              <w:t xml:space="preserve">检修运行，以电动的方式控制电梯上、下行</w:t>
            </w:r>
            <w:r/>
          </w:p>
        </w:tc>
      </w:tr>
      <w:tr>
        <w:trPr>
          <w:trHeight w:val="629"/>
        </w:trPr>
        <w:tc>
          <w:tcPr>
            <w:tcW w:w="686" w:type="dxa"/>
            <w:vAlign w:val="center"/>
            <w:textDirection w:val="lrTb"/>
            <w:noWrap/>
          </w:tcPr>
          <w:p>
            <w:pPr>
              <w:pStyle w:val="1042"/>
              <w:jc w:val="center"/>
              <w:spacing w:before="252"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1</w:t>
            </w:r>
            <w:r/>
          </w:p>
        </w:tc>
        <w:tc>
          <w:tcPr>
            <w:tcW w:w="2104" w:type="dxa"/>
            <w:textDirection w:val="lrTb"/>
            <w:noWrap/>
          </w:tcPr>
          <w:p>
            <w:pPr>
              <w:pStyle w:val="1042"/>
              <w:jc w:val="center"/>
              <w:spacing w:before="224" w:line="219" w:lineRule="auto"/>
              <w:rPr>
                <w:i/>
                <w:iCs/>
                <w:sz w:val="18"/>
                <w:szCs w:val="18"/>
                <w:highlight w:val="none"/>
                <w:u w:val="single"/>
              </w:rPr>
            </w:pPr>
            <w:r>
              <w:rPr>
                <w:i/>
                <w:iCs/>
                <w:spacing w:val="-1"/>
                <w:sz w:val="18"/>
                <w:szCs w:val="18"/>
                <w:highlight w:val="none"/>
                <w:u w:val="single"/>
              </w:rPr>
              <w:t xml:space="preserve">机房调试操作功能</w:t>
            </w:r>
            <w:r/>
          </w:p>
        </w:tc>
        <w:tc>
          <w:tcPr>
            <w:tcW w:w="7425" w:type="dxa"/>
            <w:textDirection w:val="lrTb"/>
            <w:noWrap/>
          </w:tcPr>
          <w:p>
            <w:pPr>
              <w:pStyle w:val="1042"/>
              <w:ind w:left="112" w:right="107"/>
              <w:spacing w:before="69" w:line="282" w:lineRule="auto"/>
              <w:rPr>
                <w:i/>
                <w:iCs/>
                <w:sz w:val="18"/>
                <w:szCs w:val="18"/>
                <w:highlight w:val="none"/>
                <w:u w:val="single"/>
              </w:rPr>
            </w:pPr>
            <w:r>
              <w:rPr>
                <w:i/>
                <w:iCs/>
                <w:spacing w:val="-1"/>
                <w:sz w:val="18"/>
                <w:szCs w:val="18"/>
                <w:highlight w:val="none"/>
                <w:u w:val="single"/>
              </w:rPr>
              <w:t xml:space="preserve">操作人员通过机房控制柜检修开关，对电梯进行慢速（15m/min）检修运行，以电动的方式控制电梯上、下行</w:t>
            </w:r>
            <w:r/>
          </w:p>
        </w:tc>
      </w:tr>
      <w:tr>
        <w:trPr>
          <w:trHeight w:val="1029"/>
        </w:trPr>
        <w:tc>
          <w:tcPr>
            <w:tcW w:w="686" w:type="dxa"/>
            <w:vAlign w:val="center"/>
            <w:textDirection w:val="lrTb"/>
            <w:noWrap/>
          </w:tcPr>
          <w:p>
            <w:pPr>
              <w:pStyle w:val="1042"/>
              <w:jc w:val="center"/>
              <w:spacing w:before="59"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2</w:t>
            </w:r>
            <w:r/>
          </w:p>
        </w:tc>
        <w:tc>
          <w:tcPr>
            <w:tcW w:w="2104" w:type="dxa"/>
            <w:textDirection w:val="lrTb"/>
            <w:noWrap/>
          </w:tcPr>
          <w:p>
            <w:pPr>
              <w:jc w:val="center"/>
              <w:spacing w:line="474" w:lineRule="auto"/>
              <w:rPr>
                <w:i/>
                <w:iCs/>
                <w:highlight w:val="none"/>
                <w:u w:val="single"/>
              </w:rPr>
            </w:pPr>
            <w:r>
              <w:rPr>
                <w:i/>
                <w:iCs/>
                <w:highlight w:val="none"/>
                <w:u w:val="single"/>
              </w:rPr>
            </w:r>
            <w:r/>
          </w:p>
          <w:p>
            <w:pPr>
              <w:pStyle w:val="1042"/>
              <w:jc w:val="center"/>
              <w:spacing w:before="59" w:line="219" w:lineRule="auto"/>
              <w:rPr>
                <w:i/>
                <w:iCs/>
                <w:sz w:val="18"/>
                <w:szCs w:val="18"/>
                <w:highlight w:val="none"/>
                <w:u w:val="single"/>
              </w:rPr>
            </w:pPr>
            <w:r>
              <w:rPr>
                <w:i/>
                <w:iCs/>
                <w:spacing w:val="-1"/>
                <w:sz w:val="18"/>
                <w:szCs w:val="18"/>
                <w:highlight w:val="none"/>
                <w:u w:val="single"/>
              </w:rPr>
              <w:t xml:space="preserve">无效内指令自动消除功能</w:t>
            </w:r>
            <w:r/>
          </w:p>
        </w:tc>
        <w:tc>
          <w:tcPr>
            <w:tcW w:w="7425" w:type="dxa"/>
            <w:textDirection w:val="lrTb"/>
            <w:noWrap/>
          </w:tcPr>
          <w:p>
            <w:pPr>
              <w:pStyle w:val="1042"/>
              <w:ind w:left="117" w:right="107" w:firstLine="7"/>
              <w:spacing w:before="68" w:line="301" w:lineRule="auto"/>
              <w:rPr>
                <w:i/>
                <w:iCs/>
                <w:sz w:val="18"/>
                <w:szCs w:val="18"/>
                <w:highlight w:val="none"/>
                <w:u w:val="single"/>
              </w:rPr>
            </w:pPr>
            <w:r>
              <w:rPr>
                <w:i/>
                <w:iCs/>
                <w:spacing w:val="-1"/>
                <w:sz w:val="18"/>
                <w:szCs w:val="18"/>
                <w:highlight w:val="none"/>
                <w:u w:val="single"/>
              </w:rPr>
              <w:t xml:space="preserve">当电梯轿厢的载重量小于额定载重量的20</w:t>
            </w:r>
            <w:r>
              <w:rPr>
                <w:i/>
                <w:iCs/>
                <w:spacing w:val="-14"/>
                <w:sz w:val="18"/>
                <w:szCs w:val="18"/>
                <w:highlight w:val="none"/>
                <w:u w:val="single"/>
              </w:rPr>
              <w:t xml:space="preserve">％，</w:t>
            </w:r>
            <w:r>
              <w:rPr>
                <w:i/>
                <w:iCs/>
                <w:spacing w:val="-1"/>
                <w:sz w:val="18"/>
                <w:szCs w:val="18"/>
                <w:highlight w:val="none"/>
                <w:u w:val="single"/>
              </w:rPr>
              <w:t xml:space="preserve">而电梯的内指令大于系</w:t>
            </w:r>
            <w:r>
              <w:rPr>
                <w:i/>
                <w:iCs/>
                <w:spacing w:val="2"/>
                <w:sz w:val="18"/>
                <w:szCs w:val="18"/>
                <w:highlight w:val="none"/>
                <w:u w:val="single"/>
              </w:rPr>
              <w:t xml:space="preserve">统设定值时，电梯的防恶作剧功能自动投入</w:t>
            </w:r>
            <w:r>
              <w:rPr>
                <w:i/>
                <w:iCs/>
                <w:spacing w:val="1"/>
                <w:sz w:val="18"/>
                <w:szCs w:val="18"/>
                <w:highlight w:val="none"/>
                <w:u w:val="single"/>
              </w:rPr>
              <w:t xml:space="preserve">，电梯在响应完最近楼层</w:t>
            </w:r>
            <w:r>
              <w:rPr>
                <w:i/>
                <w:iCs/>
                <w:spacing w:val="2"/>
                <w:sz w:val="18"/>
                <w:szCs w:val="18"/>
                <w:highlight w:val="none"/>
                <w:u w:val="single"/>
              </w:rPr>
              <w:t xml:space="preserve">的内指令后，自动消除所有的内指令，以提</w:t>
            </w:r>
            <w:r>
              <w:rPr>
                <w:i/>
                <w:iCs/>
                <w:spacing w:val="1"/>
                <w:sz w:val="18"/>
                <w:szCs w:val="18"/>
                <w:highlight w:val="none"/>
                <w:u w:val="single"/>
              </w:rPr>
              <w:t xml:space="preserve">高电梯的运行效率和降低</w:t>
            </w:r>
            <w:r>
              <w:rPr>
                <w:i/>
                <w:iCs/>
                <w:spacing w:val="-3"/>
                <w:sz w:val="18"/>
                <w:szCs w:val="18"/>
                <w:highlight w:val="none"/>
                <w:u w:val="single"/>
              </w:rPr>
              <w:t xml:space="preserve">电能消耗</w:t>
            </w:r>
            <w:r/>
          </w:p>
        </w:tc>
      </w:tr>
      <w:tr>
        <w:trPr>
          <w:trHeight w:val="629"/>
        </w:trPr>
        <w:tc>
          <w:tcPr>
            <w:tcW w:w="686" w:type="dxa"/>
            <w:vAlign w:val="center"/>
            <w:textDirection w:val="lrTb"/>
            <w:noWrap/>
          </w:tcPr>
          <w:p>
            <w:pPr>
              <w:pStyle w:val="1042"/>
              <w:jc w:val="center"/>
              <w:spacing w:before="253"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3</w:t>
            </w:r>
            <w:r/>
          </w:p>
        </w:tc>
        <w:tc>
          <w:tcPr>
            <w:tcW w:w="2104" w:type="dxa"/>
            <w:textDirection w:val="lrTb"/>
            <w:noWrap/>
          </w:tcPr>
          <w:p>
            <w:pPr>
              <w:pStyle w:val="1042"/>
              <w:jc w:val="center"/>
              <w:spacing w:before="224" w:line="221" w:lineRule="auto"/>
              <w:rPr>
                <w:i/>
                <w:iCs/>
                <w:sz w:val="18"/>
                <w:szCs w:val="18"/>
                <w:highlight w:val="none"/>
                <w:u w:val="single"/>
              </w:rPr>
            </w:pPr>
            <w:r>
              <w:rPr>
                <w:i/>
                <w:iCs/>
                <w:spacing w:val="-2"/>
                <w:sz w:val="18"/>
                <w:szCs w:val="18"/>
                <w:highlight w:val="none"/>
                <w:u w:val="single"/>
              </w:rPr>
              <w:t xml:space="preserve">起动补偿功能</w:t>
            </w:r>
            <w:r/>
          </w:p>
        </w:tc>
        <w:tc>
          <w:tcPr>
            <w:tcW w:w="7425" w:type="dxa"/>
            <w:textDirection w:val="lrTb"/>
            <w:noWrap/>
          </w:tcPr>
          <w:p>
            <w:pPr>
              <w:pStyle w:val="1042"/>
              <w:ind w:left="116" w:right="108" w:firstLine="17"/>
              <w:spacing w:before="69" w:line="282" w:lineRule="auto"/>
              <w:rPr>
                <w:i/>
                <w:iCs/>
                <w:sz w:val="18"/>
                <w:szCs w:val="18"/>
                <w:highlight w:val="none"/>
                <w:u w:val="single"/>
              </w:rPr>
            </w:pPr>
            <w:r>
              <w:rPr>
                <w:i/>
                <w:iCs/>
                <w:sz w:val="18"/>
                <w:szCs w:val="18"/>
                <w:highlight w:val="none"/>
                <w:u w:val="single"/>
              </w:rPr>
              <w:t xml:space="preserve">电梯能根据轿厢载重量的不同，自动调整其预置启动力矩</w:t>
            </w:r>
            <w:r>
              <w:rPr>
                <w:i/>
                <w:iCs/>
                <w:spacing w:val="-1"/>
                <w:sz w:val="18"/>
                <w:szCs w:val="18"/>
                <w:highlight w:val="none"/>
                <w:u w:val="single"/>
              </w:rPr>
              <w:t xml:space="preserve">，使电梯的</w:t>
            </w:r>
            <w:r>
              <w:rPr>
                <w:i/>
                <w:iCs/>
                <w:spacing w:val="-2"/>
                <w:sz w:val="18"/>
                <w:szCs w:val="18"/>
                <w:highlight w:val="none"/>
                <w:u w:val="single"/>
              </w:rPr>
              <w:t xml:space="preserve">启动过程平稳舒适</w:t>
            </w:r>
            <w:r/>
          </w:p>
        </w:tc>
      </w:tr>
      <w:tr>
        <w:trPr>
          <w:trHeight w:val="1252"/>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4</w:t>
            </w:r>
            <w:r/>
          </w:p>
        </w:tc>
        <w:tc>
          <w:tcPr>
            <w:tcW w:w="2104" w:type="dxa"/>
            <w:textDirection w:val="lrTb"/>
            <w:noWrap/>
          </w:tcPr>
          <w:p>
            <w:pPr>
              <w:jc w:val="center"/>
              <w:spacing w:line="474" w:lineRule="auto"/>
              <w:rPr>
                <w:i/>
                <w:iCs/>
                <w:highlight w:val="none"/>
                <w:u w:val="single"/>
              </w:rPr>
            </w:pPr>
            <w:r>
              <w:rPr>
                <w:i/>
                <w:iCs/>
                <w:highlight w:val="none"/>
                <w:u w:val="single"/>
              </w:rPr>
            </w:r>
            <w:r/>
          </w:p>
          <w:p>
            <w:pPr>
              <w:pStyle w:val="1042"/>
              <w:jc w:val="center"/>
              <w:spacing w:before="59" w:line="220" w:lineRule="auto"/>
              <w:rPr>
                <w:i/>
                <w:iCs/>
                <w:sz w:val="18"/>
                <w:szCs w:val="18"/>
                <w:highlight w:val="none"/>
                <w:u w:val="single"/>
              </w:rPr>
            </w:pPr>
            <w:r>
              <w:rPr>
                <w:i/>
                <w:iCs/>
                <w:spacing w:val="-2"/>
                <w:sz w:val="18"/>
                <w:szCs w:val="18"/>
                <w:highlight w:val="none"/>
                <w:u w:val="single"/>
              </w:rPr>
              <w:t xml:space="preserve">微动平层功能</w:t>
            </w:r>
            <w:r/>
          </w:p>
        </w:tc>
        <w:tc>
          <w:tcPr>
            <w:tcW w:w="7425" w:type="dxa"/>
            <w:textDirection w:val="lrTb"/>
            <w:noWrap/>
          </w:tcPr>
          <w:p>
            <w:pPr>
              <w:pStyle w:val="1042"/>
              <w:ind w:left="111" w:right="108" w:firstLine="22"/>
              <w:spacing w:before="68" w:line="301" w:lineRule="auto"/>
              <w:rPr>
                <w:i/>
                <w:iCs/>
                <w:sz w:val="18"/>
                <w:szCs w:val="18"/>
                <w:highlight w:val="none"/>
                <w:u w:val="single"/>
              </w:rPr>
            </w:pPr>
            <w:r>
              <w:rPr>
                <w:i/>
                <w:iCs/>
                <w:spacing w:val="1"/>
                <w:sz w:val="18"/>
                <w:szCs w:val="18"/>
                <w:highlight w:val="none"/>
                <w:u w:val="single"/>
              </w:rPr>
              <w:t xml:space="preserve">电梯运行到平层开门后，由于乘客人数的变化使得轿厢的载重量产生</w:t>
            </w:r>
            <w:r>
              <w:rPr>
                <w:i/>
                <w:iCs/>
                <w:spacing w:val="2"/>
                <w:sz w:val="18"/>
                <w:szCs w:val="18"/>
                <w:highlight w:val="none"/>
                <w:u w:val="single"/>
              </w:rPr>
              <w:t xml:space="preserve">变化，曳引钢丝绳会产生较大的伸缩形变，导致电梯轿厢</w:t>
            </w:r>
            <w:r>
              <w:rPr>
                <w:i/>
                <w:iCs/>
                <w:spacing w:val="1"/>
                <w:sz w:val="18"/>
                <w:szCs w:val="18"/>
                <w:highlight w:val="none"/>
                <w:u w:val="single"/>
              </w:rPr>
              <w:t xml:space="preserve">产生平层位</w:t>
            </w:r>
            <w:r>
              <w:rPr>
                <w:i/>
                <w:iCs/>
                <w:spacing w:val="2"/>
                <w:sz w:val="18"/>
                <w:szCs w:val="18"/>
                <w:highlight w:val="none"/>
                <w:u w:val="single"/>
              </w:rPr>
              <w:t xml:space="preserve">置偏差，此时电梯将在开门状态下以极低的速度进行微动</w:t>
            </w:r>
            <w:r>
              <w:rPr>
                <w:i/>
                <w:iCs/>
                <w:spacing w:val="1"/>
                <w:sz w:val="18"/>
                <w:szCs w:val="18"/>
                <w:highlight w:val="none"/>
                <w:u w:val="single"/>
              </w:rPr>
              <w:t xml:space="preserve">运行，使轿</w:t>
            </w:r>
            <w:r>
              <w:rPr>
                <w:i/>
                <w:iCs/>
                <w:spacing w:val="-1"/>
                <w:sz w:val="18"/>
                <w:szCs w:val="18"/>
                <w:highlight w:val="none"/>
                <w:u w:val="single"/>
              </w:rPr>
              <w:t xml:space="preserve">厢从回平层位置，保障乘客进出轿厢安全</w:t>
            </w:r>
            <w:r/>
          </w:p>
        </w:tc>
      </w:tr>
      <w:tr>
        <w:trPr>
          <w:trHeight w:val="1564"/>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5</w:t>
            </w:r>
            <w:r/>
          </w:p>
        </w:tc>
        <w:tc>
          <w:tcPr>
            <w:tcW w:w="2104" w:type="dxa"/>
            <w:textDirection w:val="lrTb"/>
            <w:noWrap/>
          </w:tcPr>
          <w:p>
            <w:pPr>
              <w:jc w:val="center"/>
              <w:spacing w:line="316" w:lineRule="auto"/>
              <w:rPr>
                <w:i/>
                <w:iCs/>
                <w:highlight w:val="none"/>
                <w:u w:val="single"/>
              </w:rPr>
            </w:pPr>
            <w:r>
              <w:rPr>
                <w:i/>
                <w:iCs/>
                <w:highlight w:val="none"/>
                <w:u w:val="single"/>
              </w:rPr>
            </w:r>
            <w:r/>
          </w:p>
          <w:p>
            <w:pPr>
              <w:jc w:val="center"/>
              <w:spacing w:line="316" w:lineRule="auto"/>
              <w:rPr>
                <w:i/>
                <w:iCs/>
                <w:highlight w:val="none"/>
                <w:u w:val="single"/>
              </w:rPr>
            </w:pPr>
            <w:r>
              <w:rPr>
                <w:i/>
                <w:iCs/>
                <w:highlight w:val="none"/>
                <w:u w:val="single"/>
              </w:rPr>
            </w:r>
            <w:r/>
          </w:p>
          <w:p>
            <w:pPr>
              <w:pStyle w:val="1042"/>
              <w:jc w:val="center"/>
              <w:spacing w:before="59" w:line="221" w:lineRule="auto"/>
              <w:rPr>
                <w:i/>
                <w:iCs/>
                <w:sz w:val="18"/>
                <w:szCs w:val="18"/>
                <w:highlight w:val="none"/>
                <w:u w:val="single"/>
              </w:rPr>
            </w:pPr>
            <w:r>
              <w:rPr>
                <w:i/>
                <w:iCs/>
                <w:spacing w:val="-1"/>
                <w:sz w:val="18"/>
                <w:szCs w:val="18"/>
                <w:highlight w:val="none"/>
                <w:u w:val="single"/>
              </w:rPr>
              <w:t xml:space="preserve">开门时间自动调整功能</w:t>
            </w:r>
            <w:r/>
          </w:p>
        </w:tc>
        <w:tc>
          <w:tcPr>
            <w:tcW w:w="7425" w:type="dxa"/>
            <w:textDirection w:val="lrTb"/>
            <w:noWrap/>
          </w:tcPr>
          <w:p>
            <w:pPr>
              <w:pStyle w:val="1042"/>
              <w:ind w:left="112" w:right="107"/>
              <w:spacing w:before="71" w:line="304" w:lineRule="auto"/>
              <w:rPr>
                <w:i/>
                <w:iCs/>
                <w:sz w:val="18"/>
                <w:szCs w:val="18"/>
                <w:highlight w:val="none"/>
                <w:u w:val="single"/>
              </w:rPr>
            </w:pPr>
            <w:r>
              <w:rPr>
                <w:i/>
                <w:iCs/>
                <w:spacing w:val="1"/>
                <w:sz w:val="18"/>
                <w:szCs w:val="18"/>
                <w:highlight w:val="none"/>
                <w:u w:val="single"/>
              </w:rPr>
              <w:t xml:space="preserve">本功能中的“开门时间”是指电梯停车后完全开门到自动关门</w:t>
            </w:r>
            <w:r>
              <w:rPr>
                <w:i/>
                <w:iCs/>
                <w:sz w:val="18"/>
                <w:szCs w:val="18"/>
                <w:highlight w:val="none"/>
                <w:u w:val="single"/>
              </w:rPr>
              <w:t xml:space="preserve">投入这 </w:t>
            </w:r>
            <w:r>
              <w:rPr>
                <w:i/>
                <w:iCs/>
                <w:spacing w:val="2"/>
                <w:sz w:val="18"/>
                <w:szCs w:val="18"/>
                <w:highlight w:val="none"/>
                <w:u w:val="single"/>
              </w:rPr>
              <w:t xml:space="preserve">个过程所持续保持开门的时间。电梯系统能根据层站出</w:t>
            </w:r>
            <w:r>
              <w:rPr>
                <w:i/>
                <w:iCs/>
                <w:spacing w:val="1"/>
                <w:sz w:val="18"/>
                <w:szCs w:val="18"/>
                <w:highlight w:val="none"/>
                <w:u w:val="single"/>
              </w:rPr>
              <w:t xml:space="preserve">入口的利用情</w:t>
            </w:r>
            <w:r>
              <w:rPr>
                <w:i/>
                <w:iCs/>
                <w:sz w:val="18"/>
                <w:szCs w:val="18"/>
                <w:highlight w:val="none"/>
                <w:u w:val="single"/>
              </w:rPr>
              <w:t xml:space="preserve">况，自动对开门时间作出调整。一般电梯应答厅外召唤信号的开门时 </w:t>
            </w:r>
            <w:r>
              <w:rPr>
                <w:i/>
                <w:iCs/>
                <w:spacing w:val="-5"/>
                <w:sz w:val="18"/>
                <w:szCs w:val="18"/>
                <w:highlight w:val="none"/>
                <w:u w:val="single"/>
              </w:rPr>
              <w:t xml:space="preserve">间为3秒，应答轿厢内指令信号的开门时间为2秒，应答基站</w:t>
            </w:r>
            <w:r>
              <w:rPr>
                <w:i/>
                <w:iCs/>
                <w:spacing w:val="-6"/>
                <w:sz w:val="18"/>
                <w:szCs w:val="18"/>
                <w:highlight w:val="none"/>
                <w:u w:val="single"/>
              </w:rPr>
              <w:t xml:space="preserve">指令（包</w:t>
            </w:r>
            <w:r>
              <w:rPr>
                <w:i/>
                <w:iCs/>
                <w:spacing w:val="-2"/>
                <w:sz w:val="18"/>
                <w:szCs w:val="18"/>
                <w:highlight w:val="none"/>
                <w:u w:val="single"/>
              </w:rPr>
              <w:t xml:space="preserve">括轿内、厅外）的开门时间为5秒。</w:t>
            </w:r>
            <w:r/>
          </w:p>
        </w:tc>
      </w:tr>
      <w:tr>
        <w:trPr>
          <w:trHeight w:val="1564"/>
        </w:trPr>
        <w:tc>
          <w:tcPr>
            <w:tcW w:w="686" w:type="dxa"/>
            <w:vAlign w:val="center"/>
            <w:textDirection w:val="lrTb"/>
            <w:noWrap/>
          </w:tcPr>
          <w:p>
            <w:pPr>
              <w:pStyle w:val="1042"/>
              <w:jc w:val="center"/>
              <w:spacing w:before="59"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6</w:t>
            </w:r>
            <w:r/>
          </w:p>
        </w:tc>
        <w:tc>
          <w:tcPr>
            <w:tcW w:w="2104" w:type="dxa"/>
            <w:textDirection w:val="lrTb"/>
            <w:noWrap/>
          </w:tcPr>
          <w:p>
            <w:pPr>
              <w:jc w:val="center"/>
              <w:spacing w:line="316" w:lineRule="auto"/>
              <w:rPr>
                <w:i/>
                <w:iCs/>
                <w:highlight w:val="none"/>
                <w:u w:val="single"/>
              </w:rPr>
            </w:pPr>
            <w:r>
              <w:rPr>
                <w:i/>
                <w:iCs/>
                <w:highlight w:val="none"/>
                <w:u w:val="single"/>
              </w:rPr>
            </w:r>
            <w:r/>
          </w:p>
          <w:p>
            <w:pPr>
              <w:jc w:val="center"/>
              <w:spacing w:line="317" w:lineRule="auto"/>
              <w:rPr>
                <w:i/>
                <w:iCs/>
                <w:highlight w:val="none"/>
                <w:u w:val="single"/>
              </w:rPr>
            </w:pPr>
            <w:r>
              <w:rPr>
                <w:i/>
                <w:iCs/>
                <w:highlight w:val="none"/>
                <w:u w:val="single"/>
              </w:rPr>
            </w:r>
            <w:r/>
          </w:p>
          <w:p>
            <w:pPr>
              <w:pStyle w:val="1042"/>
              <w:jc w:val="center"/>
              <w:spacing w:before="58" w:line="221" w:lineRule="auto"/>
              <w:rPr>
                <w:i/>
                <w:iCs/>
                <w:sz w:val="18"/>
                <w:szCs w:val="18"/>
                <w:highlight w:val="none"/>
                <w:u w:val="single"/>
              </w:rPr>
            </w:pPr>
            <w:r>
              <w:rPr>
                <w:i/>
                <w:iCs/>
                <w:spacing w:val="-1"/>
                <w:sz w:val="18"/>
                <w:szCs w:val="18"/>
                <w:highlight w:val="none"/>
                <w:u w:val="single"/>
              </w:rPr>
              <w:t xml:space="preserve">开门时间自动控制功能</w:t>
            </w:r>
            <w:r/>
          </w:p>
        </w:tc>
        <w:tc>
          <w:tcPr>
            <w:tcW w:w="7425" w:type="dxa"/>
            <w:textDirection w:val="lrTb"/>
            <w:noWrap/>
          </w:tcPr>
          <w:p>
            <w:pPr>
              <w:pStyle w:val="1042"/>
              <w:ind w:left="112" w:right="46" w:firstLine="1"/>
              <w:spacing w:before="71" w:line="304" w:lineRule="auto"/>
              <w:rPr>
                <w:i/>
                <w:iCs/>
                <w:sz w:val="18"/>
                <w:szCs w:val="18"/>
                <w:highlight w:val="none"/>
                <w:u w:val="single"/>
              </w:rPr>
            </w:pPr>
            <w:r>
              <w:rPr>
                <w:i/>
                <w:iCs/>
                <w:spacing w:val="1"/>
                <w:sz w:val="18"/>
                <w:szCs w:val="18"/>
                <w:highlight w:val="none"/>
                <w:u w:val="single"/>
              </w:rPr>
              <w:t xml:space="preserve">本功能中的“开门时间”是指电梯停车后完全开门到自动关门</w:t>
            </w:r>
            <w:r>
              <w:rPr>
                <w:i/>
                <w:iCs/>
                <w:sz w:val="18"/>
                <w:szCs w:val="18"/>
                <w:highlight w:val="none"/>
                <w:u w:val="single"/>
              </w:rPr>
              <w:t xml:space="preserve">投入这</w:t>
            </w:r>
            <w:r>
              <w:rPr>
                <w:i/>
                <w:iCs/>
                <w:spacing w:val="2"/>
                <w:sz w:val="18"/>
                <w:szCs w:val="18"/>
                <w:highlight w:val="none"/>
                <w:u w:val="single"/>
              </w:rPr>
              <w:t xml:space="preserve">个过程所持续保持开门的时间。电梯在平层停车并自动</w:t>
            </w:r>
            <w:r>
              <w:rPr>
                <w:i/>
                <w:iCs/>
                <w:spacing w:val="1"/>
                <w:sz w:val="18"/>
                <w:szCs w:val="18"/>
                <w:highlight w:val="none"/>
                <w:u w:val="single"/>
              </w:rPr>
              <w:t xml:space="preserve">开门后，能根</w:t>
            </w:r>
            <w:r>
              <w:rPr>
                <w:i/>
                <w:iCs/>
                <w:sz w:val="18"/>
                <w:szCs w:val="18"/>
                <w:highlight w:val="none"/>
                <w:u w:val="single"/>
              </w:rPr>
              <w:t xml:space="preserve">据应答指令的不同，自动控制开门时间，保持开门状态，规定的时间 </w:t>
            </w:r>
            <w:r>
              <w:rPr>
                <w:i/>
                <w:iCs/>
                <w:spacing w:val="2"/>
                <w:sz w:val="18"/>
                <w:szCs w:val="18"/>
                <w:highlight w:val="none"/>
                <w:u w:val="single"/>
              </w:rPr>
              <w:t xml:space="preserve">到达后，电梯自动关门，既方便了乘客的使用亦保证了</w:t>
            </w:r>
            <w:r>
              <w:rPr>
                <w:i/>
                <w:iCs/>
                <w:spacing w:val="1"/>
                <w:sz w:val="18"/>
                <w:szCs w:val="18"/>
                <w:highlight w:val="none"/>
                <w:u w:val="single"/>
              </w:rPr>
              <w:t xml:space="preserve">电梯的运行效</w:t>
            </w:r>
            <w:r>
              <w:rPr>
                <w:i/>
                <w:iCs/>
                <w:spacing w:val="-2"/>
                <w:sz w:val="18"/>
                <w:szCs w:val="18"/>
                <w:highlight w:val="none"/>
                <w:u w:val="single"/>
              </w:rPr>
              <w:t xml:space="preserve">率，在此状态下，关门按钮有效，乘客一按关门按钮，电梯立即</w:t>
            </w:r>
            <w:r>
              <w:rPr>
                <w:i/>
                <w:iCs/>
                <w:spacing w:val="-3"/>
                <w:sz w:val="18"/>
                <w:szCs w:val="18"/>
                <w:highlight w:val="none"/>
                <w:u w:val="single"/>
              </w:rPr>
              <w:t xml:space="preserve">关门。</w:t>
            </w:r>
            <w:r/>
          </w:p>
        </w:tc>
      </w:tr>
      <w:tr>
        <w:trPr>
          <w:trHeight w:val="320"/>
        </w:trPr>
        <w:tc>
          <w:tcPr>
            <w:tcW w:w="686" w:type="dxa"/>
            <w:vAlign w:val="center"/>
            <w:textDirection w:val="lrTb"/>
            <w:noWrap/>
          </w:tcPr>
          <w:p>
            <w:pPr>
              <w:pStyle w:val="1042"/>
              <w:jc w:val="center"/>
              <w:spacing w:before="100"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7</w:t>
            </w:r>
            <w:r/>
          </w:p>
        </w:tc>
        <w:tc>
          <w:tcPr>
            <w:tcW w:w="2104" w:type="dxa"/>
            <w:textDirection w:val="lrTb"/>
            <w:noWrap/>
          </w:tcPr>
          <w:p>
            <w:pPr>
              <w:jc w:val="center"/>
              <w:rPr>
                <w:rFonts w:ascii="宋体" w:hAnsi="宋体"/>
                <w:i/>
                <w:iCs/>
                <w:sz w:val="18"/>
                <w:szCs w:val="18"/>
                <w:highlight w:val="none"/>
                <w:u w:val="single"/>
              </w:rPr>
            </w:pPr>
            <w:r>
              <w:rPr>
                <w:rFonts w:hint="eastAsia" w:ascii="宋体" w:hAnsi="宋体" w:cs="宋体"/>
                <w:i/>
                <w:iCs/>
                <w:spacing w:val="-2"/>
                <w:sz w:val="18"/>
                <w:szCs w:val="18"/>
                <w:highlight w:val="none"/>
                <w:u w:val="single"/>
              </w:rPr>
              <w:t xml:space="preserve">轿</w:t>
            </w:r>
            <w:r>
              <w:rPr>
                <w:i/>
                <w:iCs/>
                <w:spacing w:val="-2"/>
                <w:sz w:val="18"/>
                <w:szCs w:val="18"/>
                <w:highlight w:val="none"/>
                <w:u w:val="single"/>
              </w:rPr>
              <w:t xml:space="preserve">内语言报站、</w:t>
            </w:r>
            <w:r>
              <w:rPr>
                <w:rFonts w:hint="eastAsia"/>
                <w:i/>
                <w:iCs/>
                <w:spacing w:val="-2"/>
                <w:sz w:val="18"/>
                <w:szCs w:val="18"/>
                <w:highlight w:val="none"/>
                <w:u w:val="single"/>
              </w:rPr>
              <w:t xml:space="preserve">背景音乐</w:t>
            </w:r>
            <w:r>
              <w:rPr>
                <w:i/>
                <w:iCs/>
                <w:spacing w:val="-2"/>
                <w:sz w:val="18"/>
                <w:szCs w:val="18"/>
                <w:highlight w:val="none"/>
                <w:u w:val="single"/>
              </w:rPr>
              <w:t xml:space="preserve">功</w:t>
            </w:r>
            <w:r>
              <w:rPr>
                <w:rFonts w:hint="eastAsia"/>
                <w:i/>
                <w:iCs/>
                <w:spacing w:val="-2"/>
                <w:sz w:val="18"/>
                <w:szCs w:val="18"/>
                <w:highlight w:val="none"/>
                <w:u w:val="single"/>
              </w:rPr>
              <w:t xml:space="preserve">能</w:t>
            </w:r>
            <w:r/>
          </w:p>
          <w:p>
            <w:pPr>
              <w:pStyle w:val="1042"/>
              <w:jc w:val="center"/>
              <w:spacing w:before="72" w:line="220" w:lineRule="auto"/>
              <w:rPr>
                <w:i/>
                <w:iCs/>
                <w:sz w:val="18"/>
                <w:szCs w:val="18"/>
                <w:highlight w:val="none"/>
                <w:u w:val="single"/>
              </w:rPr>
            </w:pPr>
            <w:r>
              <w:rPr>
                <w:rFonts w:hint="eastAsia"/>
                <w:i/>
                <w:iCs/>
                <w:sz w:val="18"/>
                <w:szCs w:val="18"/>
                <w:highlight w:val="none"/>
                <w:u w:val="single"/>
              </w:rPr>
              <w:t xml:space="preserve">及轿内电梯专用电话</w:t>
            </w:r>
            <w:r/>
          </w:p>
        </w:tc>
        <w:tc>
          <w:tcPr>
            <w:tcW w:w="7425" w:type="dxa"/>
            <w:textDirection w:val="lrTb"/>
            <w:noWrap/>
          </w:tcPr>
          <w:p>
            <w:pPr>
              <w:pStyle w:val="1042"/>
              <w:ind w:left="133"/>
              <w:spacing w:before="72" w:line="220" w:lineRule="auto"/>
              <w:rPr>
                <w:i/>
                <w:iCs/>
                <w:sz w:val="18"/>
                <w:szCs w:val="18"/>
                <w:highlight w:val="none"/>
                <w:u w:val="single"/>
              </w:rPr>
            </w:pPr>
            <w:r>
              <w:rPr>
                <w:i/>
                <w:iCs/>
                <w:sz w:val="18"/>
                <w:szCs w:val="18"/>
                <w:highlight w:val="none"/>
                <w:u w:val="single"/>
              </w:rPr>
              <w:t xml:space="preserve">电梯系统用轿内语音预报电梯的位置和方向的场合。电梯系统可以通过语音合成装置以柔和的声</w:t>
            </w:r>
            <w:r>
              <w:rPr>
                <w:rFonts w:hint="eastAsia"/>
                <w:i/>
                <w:iCs/>
                <w:sz w:val="18"/>
                <w:szCs w:val="18"/>
                <w:highlight w:val="none"/>
                <w:u w:val="single"/>
              </w:rPr>
              <w:t xml:space="preserve">音</w:t>
            </w:r>
            <w:r>
              <w:rPr>
                <w:i/>
                <w:iCs/>
                <w:sz w:val="18"/>
                <w:szCs w:val="18"/>
                <w:highlight w:val="none"/>
                <w:u w:val="single"/>
              </w:rPr>
              <w:t xml:space="preserve">向电梯乘客预报电梯将要到达的层站和运行的方向</w:t>
            </w:r>
            <w:r>
              <w:rPr>
                <w:rFonts w:hint="eastAsia"/>
                <w:i/>
                <w:iCs/>
                <w:sz w:val="18"/>
                <w:szCs w:val="18"/>
                <w:highlight w:val="none"/>
                <w:u w:val="single"/>
              </w:rPr>
              <w:t xml:space="preserve">，需配背景音乐，须按照采购人需求，编录语音报站，电梯轿厢内安装电梯嵌入式专用电话（要求原厂配套并接入院方电话网络并调试实现通讯功能），电梯轿厢内安装嵌入式一键报警可视对讲机（要求拆除旧梯设备在新梯安装并接入院方报警系统并调试实现通讯功能）</w:t>
            </w:r>
            <w:r/>
          </w:p>
        </w:tc>
      </w:tr>
      <w:tr>
        <w:trPr>
          <w:trHeight w:val="1564"/>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8</w:t>
            </w:r>
            <w:r/>
          </w:p>
        </w:tc>
        <w:tc>
          <w:tcPr>
            <w:tcW w:w="2104" w:type="dxa"/>
            <w:textDirection w:val="lrTb"/>
            <w:noWrap/>
          </w:tcPr>
          <w:p>
            <w:pPr>
              <w:jc w:val="center"/>
              <w:spacing w:line="314" w:lineRule="auto"/>
              <w:rPr>
                <w:i/>
                <w:iCs/>
                <w:highlight w:val="none"/>
                <w:u w:val="single"/>
              </w:rPr>
            </w:pPr>
            <w:r>
              <w:rPr>
                <w:i/>
                <w:iCs/>
                <w:highlight w:val="none"/>
                <w:u w:val="single"/>
              </w:rPr>
            </w:r>
            <w:r/>
          </w:p>
          <w:p>
            <w:pPr>
              <w:jc w:val="center"/>
              <w:spacing w:line="315" w:lineRule="auto"/>
              <w:rPr>
                <w:i/>
                <w:iCs/>
                <w:highlight w:val="none"/>
                <w:u w:val="single"/>
              </w:rPr>
            </w:pPr>
            <w:r>
              <w:rPr>
                <w:i/>
                <w:iCs/>
                <w:highlight w:val="none"/>
                <w:u w:val="single"/>
              </w:rPr>
            </w:r>
            <w:r/>
          </w:p>
          <w:p>
            <w:pPr>
              <w:pStyle w:val="1042"/>
              <w:jc w:val="center"/>
              <w:spacing w:before="58" w:line="219" w:lineRule="auto"/>
              <w:rPr>
                <w:i/>
                <w:iCs/>
                <w:sz w:val="18"/>
                <w:szCs w:val="18"/>
                <w:highlight w:val="none"/>
                <w:u w:val="single"/>
              </w:rPr>
            </w:pPr>
            <w:r>
              <w:rPr>
                <w:i/>
                <w:iCs/>
                <w:spacing w:val="-2"/>
                <w:sz w:val="18"/>
                <w:szCs w:val="18"/>
                <w:highlight w:val="none"/>
                <w:u w:val="single"/>
              </w:rPr>
              <w:t xml:space="preserve">待机定期自检功能</w:t>
            </w:r>
            <w:r/>
          </w:p>
        </w:tc>
        <w:tc>
          <w:tcPr>
            <w:tcW w:w="7425" w:type="dxa"/>
            <w:textDirection w:val="lrTb"/>
            <w:noWrap/>
          </w:tcPr>
          <w:p>
            <w:pPr>
              <w:pStyle w:val="1042"/>
              <w:ind w:left="112" w:right="107" w:firstLine="12"/>
              <w:spacing w:before="67" w:line="305" w:lineRule="auto"/>
              <w:rPr>
                <w:i/>
                <w:iCs/>
                <w:sz w:val="18"/>
                <w:szCs w:val="18"/>
                <w:highlight w:val="none"/>
                <w:u w:val="single"/>
              </w:rPr>
            </w:pPr>
            <w:r>
              <w:rPr>
                <w:i/>
                <w:iCs/>
                <w:spacing w:val="-2"/>
                <w:sz w:val="18"/>
                <w:szCs w:val="18"/>
                <w:highlight w:val="none"/>
                <w:u w:val="single"/>
              </w:rPr>
              <w:t xml:space="preserve">当电梯在一定的周期内（30min）的运行次数小于特定值（3次</w:t>
            </w:r>
            <w:r>
              <w:rPr>
                <w:i/>
                <w:iCs/>
                <w:spacing w:val="24"/>
                <w:sz w:val="18"/>
                <w:szCs w:val="18"/>
                <w:highlight w:val="none"/>
                <w:u w:val="single"/>
              </w:rPr>
              <w:t xml:space="preserve">），</w:t>
            </w:r>
            <w:r>
              <w:rPr>
                <w:i/>
                <w:iCs/>
                <w:spacing w:val="-2"/>
                <w:sz w:val="18"/>
                <w:szCs w:val="18"/>
                <w:highlight w:val="none"/>
                <w:u w:val="single"/>
              </w:rPr>
              <w:t xml:space="preserve">电</w:t>
            </w:r>
            <w:r>
              <w:rPr>
                <w:i/>
                <w:iCs/>
                <w:spacing w:val="2"/>
                <w:sz w:val="18"/>
                <w:szCs w:val="18"/>
                <w:highlight w:val="none"/>
                <w:u w:val="single"/>
              </w:rPr>
              <w:t xml:space="preserve">梯系统将工作于闲驶状态。在闲驶状态中没有召唤指令</w:t>
            </w:r>
            <w:r>
              <w:rPr>
                <w:i/>
                <w:iCs/>
                <w:spacing w:val="1"/>
                <w:sz w:val="18"/>
                <w:szCs w:val="18"/>
                <w:highlight w:val="none"/>
                <w:u w:val="single"/>
              </w:rPr>
              <w:t xml:space="preserve">登记，电梯系</w:t>
            </w:r>
            <w:r>
              <w:rPr>
                <w:i/>
                <w:iCs/>
                <w:spacing w:val="2"/>
                <w:sz w:val="18"/>
                <w:szCs w:val="18"/>
                <w:highlight w:val="none"/>
                <w:u w:val="single"/>
              </w:rPr>
              <w:t xml:space="preserve">统会对软件安全回路进行自检，以确保安全回路正常工</w:t>
            </w:r>
            <w:r>
              <w:rPr>
                <w:i/>
                <w:iCs/>
                <w:spacing w:val="1"/>
                <w:sz w:val="18"/>
                <w:szCs w:val="18"/>
                <w:highlight w:val="none"/>
                <w:u w:val="single"/>
              </w:rPr>
              <w:t xml:space="preserve">作。当自检结</w:t>
            </w:r>
            <w:r>
              <w:rPr>
                <w:i/>
                <w:iCs/>
                <w:spacing w:val="2"/>
                <w:sz w:val="18"/>
                <w:szCs w:val="18"/>
                <w:highlight w:val="none"/>
                <w:u w:val="single"/>
              </w:rPr>
              <w:t xml:space="preserve">束后，电梯将工作于待机工作状态，若有召唤指令被登</w:t>
            </w:r>
            <w:r>
              <w:rPr>
                <w:i/>
                <w:iCs/>
                <w:spacing w:val="1"/>
                <w:sz w:val="18"/>
                <w:szCs w:val="18"/>
                <w:highlight w:val="none"/>
                <w:u w:val="single"/>
              </w:rPr>
              <w:t xml:space="preserve">记，电梯恢复</w:t>
            </w:r>
            <w:r>
              <w:rPr>
                <w:i/>
                <w:iCs/>
                <w:spacing w:val="-1"/>
                <w:sz w:val="18"/>
                <w:szCs w:val="18"/>
                <w:highlight w:val="none"/>
                <w:u w:val="single"/>
              </w:rPr>
              <w:t xml:space="preserve">正常工作状态。</w:t>
            </w:r>
            <w:r/>
          </w:p>
        </w:tc>
      </w:tr>
      <w:tr>
        <w:trPr>
          <w:trHeight w:val="628"/>
        </w:trPr>
        <w:tc>
          <w:tcPr>
            <w:tcW w:w="686" w:type="dxa"/>
            <w:vAlign w:val="center"/>
            <w:textDirection w:val="lrTb"/>
            <w:noWrap/>
          </w:tcPr>
          <w:p>
            <w:pPr>
              <w:pStyle w:val="1042"/>
              <w:jc w:val="center"/>
              <w:spacing w:before="252" w:line="183" w:lineRule="auto"/>
              <w:rPr>
                <w:i/>
                <w:iCs/>
                <w:sz w:val="18"/>
                <w:szCs w:val="18"/>
                <w:highlight w:val="none"/>
                <w:u w:val="single"/>
              </w:rPr>
            </w:pPr>
            <w:r>
              <w:rPr>
                <w:rFonts w:hint="eastAsia"/>
                <w:i/>
                <w:iCs/>
                <w:spacing w:val="-4"/>
                <w:sz w:val="18"/>
                <w:szCs w:val="18"/>
                <w:highlight w:val="none"/>
                <w:u w:val="single"/>
              </w:rPr>
              <w:t xml:space="preserve">89</w:t>
            </w:r>
            <w:r/>
          </w:p>
        </w:tc>
        <w:tc>
          <w:tcPr>
            <w:tcW w:w="2104" w:type="dxa"/>
            <w:textDirection w:val="lrTb"/>
            <w:noWrap/>
          </w:tcPr>
          <w:p>
            <w:pPr>
              <w:pStyle w:val="1042"/>
              <w:jc w:val="center"/>
              <w:spacing w:before="224" w:line="220" w:lineRule="auto"/>
              <w:rPr>
                <w:i/>
                <w:iCs/>
                <w:sz w:val="18"/>
                <w:szCs w:val="18"/>
                <w:highlight w:val="none"/>
                <w:u w:val="single"/>
              </w:rPr>
            </w:pPr>
            <w:r>
              <w:rPr>
                <w:i/>
                <w:iCs/>
                <w:spacing w:val="-2"/>
                <w:sz w:val="18"/>
                <w:szCs w:val="18"/>
                <w:highlight w:val="none"/>
                <w:u w:val="single"/>
              </w:rPr>
              <w:t xml:space="preserve">消防迫降功能</w:t>
            </w:r>
            <w:r/>
          </w:p>
        </w:tc>
        <w:tc>
          <w:tcPr>
            <w:tcW w:w="7425" w:type="dxa"/>
            <w:textDirection w:val="lrTb"/>
            <w:noWrap/>
          </w:tcPr>
          <w:p>
            <w:pPr>
              <w:pStyle w:val="1042"/>
              <w:ind w:left="112" w:right="108"/>
              <w:spacing w:before="68" w:line="282" w:lineRule="auto"/>
              <w:rPr>
                <w:i/>
                <w:iCs/>
                <w:sz w:val="18"/>
                <w:szCs w:val="18"/>
                <w:highlight w:val="none"/>
                <w:u w:val="single"/>
              </w:rPr>
            </w:pPr>
            <w:r>
              <w:rPr>
                <w:i/>
                <w:iCs/>
                <w:spacing w:val="2"/>
                <w:sz w:val="18"/>
                <w:szCs w:val="18"/>
                <w:highlight w:val="none"/>
                <w:u w:val="single"/>
              </w:rPr>
              <w:t xml:space="preserve">在建筑物发生火灾的情况下，可通过消防信号使电梯自</w:t>
            </w:r>
            <w:r>
              <w:rPr>
                <w:i/>
                <w:iCs/>
                <w:spacing w:val="1"/>
                <w:sz w:val="18"/>
                <w:szCs w:val="18"/>
                <w:highlight w:val="none"/>
                <w:u w:val="single"/>
              </w:rPr>
              <w:t xml:space="preserve">动返回消防避</w:t>
            </w:r>
            <w:r>
              <w:rPr>
                <w:i/>
                <w:iCs/>
                <w:spacing w:val="-1"/>
                <w:sz w:val="18"/>
                <w:szCs w:val="18"/>
                <w:highlight w:val="none"/>
                <w:u w:val="single"/>
              </w:rPr>
              <w:t xml:space="preserve">难层，以确保电梯乘客的安全的场合，电梯配置消防</w:t>
            </w:r>
            <w:r>
              <w:rPr>
                <w:i/>
                <w:iCs/>
                <w:spacing w:val="-2"/>
                <w:sz w:val="18"/>
                <w:szCs w:val="18"/>
                <w:highlight w:val="none"/>
                <w:u w:val="single"/>
              </w:rPr>
              <w:t xml:space="preserve">员专用功能</w:t>
            </w:r>
            <w:r/>
          </w:p>
        </w:tc>
      </w:tr>
      <w:tr>
        <w:trPr>
          <w:trHeight w:val="335"/>
        </w:trPr>
        <w:tc>
          <w:tcPr>
            <w:tcW w:w="686" w:type="dxa"/>
            <w:vAlign w:val="center"/>
            <w:textDirection w:val="lrTb"/>
            <w:noWrap/>
          </w:tcPr>
          <w:p>
            <w:pPr>
              <w:pStyle w:val="1042"/>
              <w:jc w:val="center"/>
              <w:spacing w:before="96" w:line="184" w:lineRule="auto"/>
              <w:rPr>
                <w:i/>
                <w:iCs/>
                <w:sz w:val="18"/>
                <w:szCs w:val="18"/>
                <w:highlight w:val="none"/>
                <w:u w:val="single"/>
              </w:rPr>
            </w:pPr>
            <w:r>
              <w:rPr>
                <w:rFonts w:hint="eastAsia"/>
                <w:i/>
                <w:iCs/>
                <w:spacing w:val="-4"/>
                <w:sz w:val="18"/>
                <w:szCs w:val="18"/>
                <w:highlight w:val="none"/>
                <w:u w:val="single"/>
              </w:rPr>
              <w:t xml:space="preserve">90</w:t>
            </w:r>
            <w:r/>
          </w:p>
        </w:tc>
        <w:tc>
          <w:tcPr>
            <w:tcW w:w="2104" w:type="dxa"/>
            <w:textDirection w:val="lrTb"/>
            <w:noWrap/>
          </w:tcPr>
          <w:p>
            <w:pPr>
              <w:pStyle w:val="1042"/>
              <w:jc w:val="center"/>
              <w:spacing w:before="68" w:line="221" w:lineRule="auto"/>
              <w:rPr>
                <w:i/>
                <w:iCs/>
                <w:sz w:val="18"/>
                <w:szCs w:val="18"/>
                <w:highlight w:val="none"/>
                <w:u w:val="single"/>
              </w:rPr>
            </w:pPr>
            <w:r>
              <w:rPr>
                <w:i/>
                <w:iCs/>
                <w:spacing w:val="-4"/>
                <w:sz w:val="18"/>
                <w:szCs w:val="18"/>
                <w:highlight w:val="none"/>
                <w:u w:val="single"/>
              </w:rPr>
              <w:t xml:space="preserve">门停止运行功能</w:t>
            </w:r>
            <w:r/>
          </w:p>
        </w:tc>
        <w:tc>
          <w:tcPr>
            <w:tcW w:w="7425" w:type="dxa"/>
            <w:textDirection w:val="lrTb"/>
            <w:noWrap/>
          </w:tcPr>
          <w:p>
            <w:pPr>
              <w:jc w:val="center"/>
              <w:rPr>
                <w:i/>
                <w:iCs/>
                <w:highlight w:val="none"/>
                <w:u w:val="single"/>
              </w:rPr>
            </w:pPr>
            <w:r>
              <w:rPr>
                <w:rFonts w:hint="eastAsia"/>
                <w:i/>
                <w:iCs/>
                <w:highlight w:val="none"/>
                <w:u w:val="single"/>
              </w:rPr>
              <w:t xml:space="preserve">/</w:t>
            </w:r>
            <w:r/>
          </w:p>
        </w:tc>
      </w:tr>
      <w:tr>
        <w:trPr>
          <w:trHeight w:val="940"/>
        </w:trPr>
        <w:tc>
          <w:tcPr>
            <w:tcW w:w="686" w:type="dxa"/>
            <w:vAlign w:val="center"/>
            <w:textDirection w:val="lrTb"/>
            <w:noWrap/>
          </w:tcPr>
          <w:p>
            <w:pPr>
              <w:pStyle w:val="1042"/>
              <w:jc w:val="center"/>
              <w:spacing w:before="58"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1</w:t>
            </w:r>
            <w:r/>
          </w:p>
        </w:tc>
        <w:tc>
          <w:tcPr>
            <w:tcW w:w="2104" w:type="dxa"/>
            <w:textDirection w:val="lrTb"/>
            <w:noWrap/>
          </w:tcPr>
          <w:p>
            <w:pPr>
              <w:jc w:val="center"/>
              <w:spacing w:line="319" w:lineRule="auto"/>
              <w:rPr>
                <w:i/>
                <w:iCs/>
                <w:highlight w:val="none"/>
                <w:u w:val="single"/>
              </w:rPr>
            </w:pPr>
            <w:r>
              <w:rPr>
                <w:i/>
                <w:iCs/>
                <w:highlight w:val="none"/>
                <w:u w:val="single"/>
              </w:rPr>
            </w:r>
            <w:r/>
          </w:p>
          <w:p>
            <w:pPr>
              <w:pStyle w:val="1042"/>
              <w:jc w:val="center"/>
              <w:spacing w:before="59" w:line="220" w:lineRule="auto"/>
              <w:rPr>
                <w:i/>
                <w:iCs/>
                <w:sz w:val="18"/>
                <w:szCs w:val="18"/>
                <w:highlight w:val="none"/>
                <w:u w:val="single"/>
              </w:rPr>
            </w:pPr>
            <w:r>
              <w:rPr>
                <w:i/>
                <w:iCs/>
                <w:spacing w:val="-2"/>
                <w:sz w:val="18"/>
                <w:szCs w:val="18"/>
                <w:highlight w:val="none"/>
                <w:u w:val="single"/>
              </w:rPr>
              <w:t xml:space="preserve">层高自测定功能</w:t>
            </w:r>
            <w:r/>
          </w:p>
        </w:tc>
        <w:tc>
          <w:tcPr>
            <w:tcW w:w="7425" w:type="dxa"/>
            <w:textDirection w:val="lrTb"/>
            <w:noWrap/>
          </w:tcPr>
          <w:p>
            <w:pPr>
              <w:pStyle w:val="1042"/>
              <w:ind w:left="112" w:right="107" w:firstLine="21"/>
              <w:spacing w:before="67" w:line="295" w:lineRule="auto"/>
              <w:rPr>
                <w:i/>
                <w:iCs/>
                <w:sz w:val="18"/>
                <w:szCs w:val="18"/>
                <w:highlight w:val="none"/>
                <w:u w:val="single"/>
              </w:rPr>
            </w:pPr>
            <w:r>
              <w:rPr>
                <w:i/>
                <w:iCs/>
                <w:spacing w:val="-2"/>
                <w:sz w:val="18"/>
                <w:szCs w:val="18"/>
                <w:highlight w:val="none"/>
                <w:u w:val="single"/>
              </w:rPr>
              <w:t xml:space="preserve">电梯自动对建筑物层楼高度进行自测定，当测定工作完成后， 层楼高</w:t>
            </w:r>
            <w:r>
              <w:rPr>
                <w:i/>
                <w:iCs/>
                <w:spacing w:val="2"/>
                <w:sz w:val="18"/>
                <w:szCs w:val="18"/>
                <w:highlight w:val="none"/>
                <w:u w:val="single"/>
              </w:rPr>
              <w:t xml:space="preserve">度的数据会存储在电梯系统的微机中，这样电梯微机就</w:t>
            </w:r>
            <w:r>
              <w:rPr>
                <w:i/>
                <w:iCs/>
                <w:spacing w:val="1"/>
                <w:sz w:val="18"/>
                <w:szCs w:val="18"/>
                <w:highlight w:val="none"/>
                <w:u w:val="single"/>
              </w:rPr>
              <w:t xml:space="preserve">能准确计算出</w:t>
            </w:r>
            <w:r>
              <w:rPr>
                <w:i/>
                <w:iCs/>
                <w:sz w:val="18"/>
                <w:szCs w:val="18"/>
                <w:highlight w:val="none"/>
                <w:u w:val="single"/>
              </w:rPr>
              <w:t xml:space="preserve"> 该建筑物各层的位置，对电梯的加减速及平层位置</w:t>
            </w:r>
            <w:r>
              <w:rPr>
                <w:i/>
                <w:iCs/>
                <w:spacing w:val="-1"/>
                <w:sz w:val="18"/>
                <w:szCs w:val="18"/>
                <w:highlight w:val="none"/>
                <w:u w:val="single"/>
              </w:rPr>
              <w:t xml:space="preserve">实现精确的控制。</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rFonts w:hint="eastAsia"/>
                <w:i/>
                <w:iCs/>
                <w:spacing w:val="-4"/>
                <w:sz w:val="18"/>
                <w:szCs w:val="18"/>
                <w:highlight w:val="none"/>
                <w:u w:val="single"/>
              </w:rPr>
              <w:t xml:space="preserve">92</w:t>
            </w:r>
            <w:r/>
          </w:p>
        </w:tc>
        <w:tc>
          <w:tcPr>
            <w:tcW w:w="2104" w:type="dxa"/>
            <w:textDirection w:val="lrTb"/>
            <w:noWrap/>
          </w:tcPr>
          <w:p>
            <w:pPr>
              <w:pStyle w:val="1042"/>
              <w:jc w:val="center"/>
              <w:spacing w:before="71" w:line="219" w:lineRule="auto"/>
              <w:rPr>
                <w:i/>
                <w:iCs/>
                <w:sz w:val="18"/>
                <w:szCs w:val="18"/>
                <w:highlight w:val="none"/>
                <w:u w:val="single"/>
              </w:rPr>
            </w:pPr>
            <w:r>
              <w:rPr>
                <w:i/>
                <w:iCs/>
                <w:spacing w:val="-3"/>
                <w:sz w:val="18"/>
                <w:szCs w:val="18"/>
                <w:highlight w:val="none"/>
                <w:u w:val="single"/>
              </w:rPr>
              <w:t xml:space="preserve">同步电机磁极码静态测试</w:t>
            </w:r>
            <w:r/>
          </w:p>
        </w:tc>
        <w:tc>
          <w:tcPr>
            <w:tcW w:w="7425" w:type="dxa"/>
            <w:textDirection w:val="lrTb"/>
            <w:noWrap/>
          </w:tcPr>
          <w:p>
            <w:pPr>
              <w:pStyle w:val="1042"/>
              <w:ind w:left="133"/>
              <w:spacing w:before="70" w:line="221" w:lineRule="auto"/>
              <w:rPr>
                <w:i/>
                <w:iCs/>
                <w:sz w:val="18"/>
                <w:szCs w:val="18"/>
                <w:highlight w:val="none"/>
                <w:u w:val="single"/>
              </w:rPr>
            </w:pPr>
            <w:r>
              <w:rPr>
                <w:i/>
                <w:iCs/>
                <w:spacing w:val="-5"/>
                <w:sz w:val="18"/>
                <w:szCs w:val="18"/>
                <w:highlight w:val="none"/>
                <w:u w:val="single"/>
              </w:rPr>
              <w:t xml:space="preserve">电梯安全测试</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3</w:t>
            </w:r>
            <w:r/>
          </w:p>
        </w:tc>
        <w:tc>
          <w:tcPr>
            <w:tcW w:w="2104" w:type="dxa"/>
            <w:textDirection w:val="lrTb"/>
            <w:noWrap/>
          </w:tcPr>
          <w:p>
            <w:pPr>
              <w:pStyle w:val="1042"/>
              <w:jc w:val="center"/>
              <w:spacing w:before="71" w:line="219" w:lineRule="auto"/>
              <w:rPr>
                <w:i/>
                <w:iCs/>
                <w:sz w:val="18"/>
                <w:szCs w:val="18"/>
                <w:highlight w:val="none"/>
                <w:u w:val="single"/>
              </w:rPr>
            </w:pPr>
            <w:r>
              <w:rPr>
                <w:i/>
                <w:iCs/>
                <w:spacing w:val="-4"/>
                <w:sz w:val="18"/>
                <w:szCs w:val="18"/>
                <w:highlight w:val="none"/>
                <w:u w:val="single"/>
              </w:rPr>
              <w:t xml:space="preserve">电机过热保护功能</w:t>
            </w:r>
            <w:r/>
          </w:p>
        </w:tc>
        <w:tc>
          <w:tcPr>
            <w:tcW w:w="7425" w:type="dxa"/>
            <w:textDirection w:val="lrTb"/>
            <w:noWrap/>
          </w:tcPr>
          <w:p>
            <w:pPr>
              <w:pStyle w:val="1042"/>
              <w:ind w:left="124"/>
              <w:spacing w:before="71" w:line="219" w:lineRule="auto"/>
              <w:rPr>
                <w:i/>
                <w:iCs/>
                <w:sz w:val="18"/>
                <w:szCs w:val="18"/>
                <w:highlight w:val="none"/>
                <w:u w:val="single"/>
              </w:rPr>
            </w:pPr>
            <w:r>
              <w:rPr>
                <w:i/>
                <w:iCs/>
                <w:spacing w:val="-2"/>
                <w:sz w:val="18"/>
                <w:szCs w:val="18"/>
                <w:highlight w:val="none"/>
                <w:u w:val="single"/>
              </w:rPr>
              <w:t xml:space="preserve">当电机超过限定温度时进行保护</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4</w:t>
            </w:r>
            <w:r/>
          </w:p>
        </w:tc>
        <w:tc>
          <w:tcPr>
            <w:tcW w:w="2104" w:type="dxa"/>
            <w:textDirection w:val="lrTb"/>
            <w:noWrap/>
          </w:tcPr>
          <w:p>
            <w:pPr>
              <w:pStyle w:val="1042"/>
              <w:jc w:val="center"/>
              <w:spacing w:before="70" w:line="220" w:lineRule="auto"/>
              <w:rPr>
                <w:i/>
                <w:iCs/>
                <w:sz w:val="18"/>
                <w:szCs w:val="18"/>
                <w:highlight w:val="none"/>
                <w:u w:val="single"/>
              </w:rPr>
            </w:pPr>
            <w:r>
              <w:rPr>
                <w:i/>
                <w:iCs/>
                <w:spacing w:val="-2"/>
                <w:sz w:val="18"/>
                <w:szCs w:val="18"/>
                <w:highlight w:val="none"/>
                <w:u w:val="single"/>
              </w:rPr>
              <w:t xml:space="preserve">厅外检修显示功能</w:t>
            </w:r>
            <w:r/>
          </w:p>
        </w:tc>
        <w:tc>
          <w:tcPr>
            <w:tcW w:w="7425" w:type="dxa"/>
            <w:textDirection w:val="lrTb"/>
            <w:noWrap/>
          </w:tcPr>
          <w:p>
            <w:pPr>
              <w:pStyle w:val="1042"/>
              <w:ind w:left="116"/>
              <w:spacing w:before="70" w:line="219" w:lineRule="auto"/>
              <w:rPr>
                <w:i/>
                <w:iCs/>
                <w:sz w:val="18"/>
                <w:szCs w:val="18"/>
                <w:highlight w:val="none"/>
                <w:u w:val="single"/>
              </w:rPr>
            </w:pPr>
            <w:r>
              <w:rPr>
                <w:i/>
                <w:iCs/>
                <w:spacing w:val="-1"/>
                <w:sz w:val="18"/>
                <w:szCs w:val="18"/>
                <w:highlight w:val="none"/>
                <w:u w:val="single"/>
              </w:rPr>
              <w:t xml:space="preserve">外召显示板显示电梯检修</w:t>
            </w:r>
            <w:r>
              <w:rPr>
                <w:rFonts w:hint="eastAsia"/>
                <w:i/>
                <w:iCs/>
                <w:spacing w:val="-1"/>
                <w:sz w:val="18"/>
                <w:szCs w:val="18"/>
                <w:highlight w:val="none"/>
                <w:u w:val="single"/>
              </w:rPr>
              <w:t xml:space="preserve">及运行</w:t>
            </w:r>
            <w:r>
              <w:rPr>
                <w:i/>
                <w:iCs/>
                <w:spacing w:val="-1"/>
                <w:sz w:val="18"/>
                <w:szCs w:val="18"/>
                <w:highlight w:val="none"/>
                <w:u w:val="single"/>
              </w:rPr>
              <w:t xml:space="preserve">状态</w:t>
            </w:r>
            <w:r/>
          </w:p>
        </w:tc>
      </w:tr>
      <w:tr>
        <w:trPr>
          <w:trHeight w:val="629"/>
        </w:trPr>
        <w:tc>
          <w:tcPr>
            <w:tcW w:w="686" w:type="dxa"/>
            <w:vAlign w:val="center"/>
            <w:textDirection w:val="lrTb"/>
            <w:noWrap/>
          </w:tcPr>
          <w:p>
            <w:pPr>
              <w:pStyle w:val="1042"/>
              <w:jc w:val="center"/>
              <w:spacing w:before="254"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5</w:t>
            </w:r>
            <w:r/>
          </w:p>
        </w:tc>
        <w:tc>
          <w:tcPr>
            <w:tcW w:w="2104" w:type="dxa"/>
            <w:textDirection w:val="lrTb"/>
            <w:noWrap/>
          </w:tcPr>
          <w:p>
            <w:pPr>
              <w:pStyle w:val="1042"/>
              <w:jc w:val="center"/>
              <w:spacing w:before="226" w:line="220" w:lineRule="auto"/>
              <w:rPr>
                <w:i/>
                <w:iCs/>
                <w:sz w:val="18"/>
                <w:szCs w:val="18"/>
                <w:highlight w:val="none"/>
                <w:u w:val="single"/>
              </w:rPr>
            </w:pPr>
            <w:r>
              <w:rPr>
                <w:i/>
                <w:iCs/>
                <w:spacing w:val="-1"/>
                <w:sz w:val="18"/>
                <w:szCs w:val="18"/>
                <w:highlight w:val="none"/>
                <w:u w:val="single"/>
              </w:rPr>
              <w:t xml:space="preserve">轿内检修操作功能</w:t>
            </w:r>
            <w:r/>
          </w:p>
        </w:tc>
        <w:tc>
          <w:tcPr>
            <w:tcW w:w="7425" w:type="dxa"/>
            <w:textDirection w:val="lrTb"/>
            <w:noWrap/>
          </w:tcPr>
          <w:p>
            <w:pPr>
              <w:pStyle w:val="1042"/>
              <w:ind w:left="112" w:right="33"/>
              <w:spacing w:before="69" w:line="282" w:lineRule="auto"/>
              <w:rPr>
                <w:i/>
                <w:iCs/>
                <w:sz w:val="18"/>
                <w:szCs w:val="18"/>
                <w:highlight w:val="none"/>
                <w:u w:val="single"/>
              </w:rPr>
            </w:pPr>
            <w:r>
              <w:rPr>
                <w:i/>
                <w:iCs/>
                <w:spacing w:val="-4"/>
                <w:sz w:val="18"/>
                <w:szCs w:val="18"/>
                <w:highlight w:val="none"/>
                <w:u w:val="single"/>
              </w:rPr>
              <w:t xml:space="preserve">操作人员通过轿厢里面的操纵箱检修开关，对电梯进行慢速（15m/min）</w:t>
            </w:r>
            <w:r>
              <w:rPr>
                <w:i/>
                <w:iCs/>
                <w:spacing w:val="-1"/>
                <w:sz w:val="18"/>
                <w:szCs w:val="18"/>
                <w:highlight w:val="none"/>
                <w:u w:val="single"/>
              </w:rPr>
              <w:t xml:space="preserve">检修运行，以电动的方式控制电梯上、下行</w:t>
            </w:r>
            <w:r/>
          </w:p>
        </w:tc>
      </w:tr>
      <w:tr>
        <w:trPr>
          <w:trHeight w:val="317"/>
        </w:trPr>
        <w:tc>
          <w:tcPr>
            <w:tcW w:w="686" w:type="dxa"/>
            <w:vAlign w:val="center"/>
            <w:textDirection w:val="lrTb"/>
            <w:noWrap/>
          </w:tcPr>
          <w:p>
            <w:pPr>
              <w:pStyle w:val="1042"/>
              <w:jc w:val="center"/>
              <w:spacing w:before="98"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6</w:t>
            </w:r>
            <w:r/>
          </w:p>
        </w:tc>
        <w:tc>
          <w:tcPr>
            <w:tcW w:w="2104" w:type="dxa"/>
            <w:textDirection w:val="lrTb"/>
            <w:noWrap/>
          </w:tcPr>
          <w:p>
            <w:pPr>
              <w:pStyle w:val="1042"/>
              <w:jc w:val="center"/>
              <w:spacing w:before="69" w:line="219" w:lineRule="auto"/>
              <w:rPr>
                <w:i/>
                <w:iCs/>
                <w:sz w:val="18"/>
                <w:szCs w:val="18"/>
                <w:highlight w:val="none"/>
                <w:u w:val="single"/>
              </w:rPr>
            </w:pPr>
            <w:r>
              <w:rPr>
                <w:i/>
                <w:iCs/>
                <w:spacing w:val="-2"/>
                <w:sz w:val="18"/>
                <w:szCs w:val="18"/>
                <w:highlight w:val="none"/>
                <w:u w:val="single"/>
              </w:rPr>
              <w:t xml:space="preserve">抗电磁干扰功能</w:t>
            </w:r>
            <w:r/>
          </w:p>
        </w:tc>
        <w:tc>
          <w:tcPr>
            <w:tcW w:w="7425" w:type="dxa"/>
            <w:textDirection w:val="lrTb"/>
            <w:noWrap/>
          </w:tcPr>
          <w:p>
            <w:pPr>
              <w:pStyle w:val="1042"/>
              <w:ind w:left="133"/>
              <w:spacing w:before="69" w:line="219" w:lineRule="auto"/>
              <w:rPr>
                <w:i/>
                <w:iCs/>
                <w:sz w:val="18"/>
                <w:szCs w:val="18"/>
                <w:highlight w:val="none"/>
                <w:u w:val="single"/>
              </w:rPr>
            </w:pPr>
            <w:r>
              <w:rPr>
                <w:i/>
                <w:iCs/>
                <w:spacing w:val="-2"/>
                <w:sz w:val="18"/>
                <w:szCs w:val="18"/>
                <w:highlight w:val="none"/>
                <w:u w:val="single"/>
              </w:rPr>
              <w:t xml:space="preserve">电梯通讯线路不受其余信号电磁干扰</w:t>
            </w:r>
            <w:r/>
          </w:p>
        </w:tc>
      </w:tr>
      <w:tr>
        <w:trPr>
          <w:trHeight w:val="629"/>
        </w:trPr>
        <w:tc>
          <w:tcPr>
            <w:tcW w:w="686" w:type="dxa"/>
            <w:vAlign w:val="center"/>
            <w:textDirection w:val="lrTb"/>
            <w:noWrap/>
          </w:tcPr>
          <w:p>
            <w:pPr>
              <w:pStyle w:val="1042"/>
              <w:jc w:val="center"/>
              <w:spacing w:before="253"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7</w:t>
            </w:r>
            <w:r/>
          </w:p>
        </w:tc>
        <w:tc>
          <w:tcPr>
            <w:tcW w:w="2104" w:type="dxa"/>
            <w:textDirection w:val="lrTb"/>
            <w:noWrap/>
          </w:tcPr>
          <w:p>
            <w:pPr>
              <w:pStyle w:val="1042"/>
              <w:jc w:val="center"/>
              <w:spacing w:before="225" w:line="220" w:lineRule="auto"/>
              <w:rPr>
                <w:i/>
                <w:iCs/>
                <w:sz w:val="18"/>
                <w:szCs w:val="18"/>
                <w:highlight w:val="none"/>
                <w:u w:val="single"/>
              </w:rPr>
            </w:pPr>
            <w:r>
              <w:rPr>
                <w:i/>
                <w:iCs/>
                <w:spacing w:val="-1"/>
                <w:sz w:val="18"/>
                <w:szCs w:val="18"/>
                <w:highlight w:val="none"/>
                <w:u w:val="single"/>
              </w:rPr>
              <w:t xml:space="preserve">轿厢内操纵外叫内显示功能</w:t>
            </w:r>
            <w:r/>
          </w:p>
        </w:tc>
        <w:tc>
          <w:tcPr>
            <w:tcW w:w="7425" w:type="dxa"/>
            <w:textDirection w:val="lrTb"/>
            <w:noWrap/>
          </w:tcPr>
          <w:p>
            <w:pPr>
              <w:pStyle w:val="1042"/>
              <w:ind w:left="116" w:right="108" w:hanging="4"/>
              <w:spacing w:before="69" w:line="282" w:lineRule="auto"/>
              <w:rPr>
                <w:i/>
                <w:iCs/>
                <w:sz w:val="18"/>
                <w:szCs w:val="18"/>
                <w:highlight w:val="none"/>
                <w:u w:val="single"/>
              </w:rPr>
            </w:pPr>
            <w:r>
              <w:rPr>
                <w:i/>
                <w:iCs/>
                <w:spacing w:val="2"/>
                <w:sz w:val="18"/>
                <w:szCs w:val="18"/>
                <w:highlight w:val="none"/>
                <w:u w:val="single"/>
              </w:rPr>
              <w:t xml:space="preserve">在有司机的情况下，轿内操纵显示板显示外呼楼层数，</w:t>
            </w:r>
            <w:r>
              <w:rPr>
                <w:i/>
                <w:iCs/>
                <w:spacing w:val="1"/>
                <w:sz w:val="18"/>
                <w:szCs w:val="18"/>
                <w:highlight w:val="none"/>
                <w:u w:val="single"/>
              </w:rPr>
              <w:t xml:space="preserve">方便司机提前</w:t>
            </w:r>
            <w:r>
              <w:rPr>
                <w:i/>
                <w:iCs/>
                <w:spacing w:val="-2"/>
                <w:sz w:val="18"/>
                <w:szCs w:val="18"/>
                <w:highlight w:val="none"/>
                <w:u w:val="single"/>
              </w:rPr>
              <w:t xml:space="preserve">知道停靠楼层</w:t>
            </w:r>
            <w:r/>
          </w:p>
        </w:tc>
      </w:tr>
      <w:tr>
        <w:trPr>
          <w:trHeight w:val="317"/>
        </w:trPr>
        <w:tc>
          <w:tcPr>
            <w:tcW w:w="686" w:type="dxa"/>
            <w:vAlign w:val="center"/>
            <w:textDirection w:val="lrTb"/>
            <w:noWrap/>
          </w:tcPr>
          <w:p>
            <w:pPr>
              <w:pStyle w:val="1042"/>
              <w:jc w:val="center"/>
              <w:spacing w:before="99"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8</w:t>
            </w:r>
            <w:r/>
          </w:p>
        </w:tc>
        <w:tc>
          <w:tcPr>
            <w:tcW w:w="2104" w:type="dxa"/>
            <w:textDirection w:val="lrTb"/>
            <w:noWrap/>
          </w:tcPr>
          <w:p>
            <w:pPr>
              <w:pStyle w:val="1042"/>
              <w:jc w:val="center"/>
              <w:spacing w:before="71" w:line="220" w:lineRule="auto"/>
              <w:rPr>
                <w:i/>
                <w:iCs/>
                <w:sz w:val="18"/>
                <w:szCs w:val="18"/>
                <w:highlight w:val="none"/>
                <w:u w:val="single"/>
              </w:rPr>
            </w:pPr>
            <w:r>
              <w:rPr>
                <w:i/>
                <w:iCs/>
                <w:spacing w:val="-4"/>
                <w:sz w:val="18"/>
                <w:szCs w:val="18"/>
                <w:highlight w:val="none"/>
                <w:u w:val="single"/>
              </w:rPr>
              <w:t xml:space="preserve">电梯服务支援系统</w:t>
            </w:r>
            <w:r/>
          </w:p>
        </w:tc>
        <w:tc>
          <w:tcPr>
            <w:tcW w:w="7425" w:type="dxa"/>
            <w:textDirection w:val="lrTb"/>
            <w:noWrap/>
          </w:tcPr>
          <w:p>
            <w:pPr>
              <w:pStyle w:val="1042"/>
              <w:ind w:left="112"/>
              <w:spacing w:before="70" w:line="221" w:lineRule="auto"/>
              <w:rPr>
                <w:i/>
                <w:iCs/>
                <w:sz w:val="18"/>
                <w:szCs w:val="18"/>
                <w:highlight w:val="none"/>
                <w:u w:val="single"/>
              </w:rPr>
            </w:pPr>
            <w:r>
              <w:rPr>
                <w:i/>
                <w:iCs/>
                <w:spacing w:val="-1"/>
                <w:sz w:val="18"/>
                <w:szCs w:val="18"/>
                <w:highlight w:val="none"/>
                <w:u w:val="single"/>
              </w:rPr>
              <w:t xml:space="preserve">通过无线网络平台实施</w:t>
            </w:r>
            <w:r>
              <w:rPr>
                <w:i/>
                <w:iCs/>
                <w:spacing w:val="2"/>
                <w:sz w:val="18"/>
                <w:szCs w:val="18"/>
                <w:highlight w:val="none"/>
                <w:u w:val="single"/>
              </w:rPr>
              <w:t xml:space="preserve">（此功能</w:t>
            </w:r>
            <w:r>
              <w:rPr>
                <w:rFonts w:hint="eastAsia"/>
                <w:i/>
                <w:iCs/>
                <w:spacing w:val="2"/>
                <w:sz w:val="18"/>
                <w:szCs w:val="18"/>
                <w:highlight w:val="none"/>
                <w:u w:val="single"/>
              </w:rPr>
              <w:t xml:space="preserve">所需费用含在报价中</w:t>
            </w:r>
            <w:r>
              <w:rPr>
                <w:i/>
                <w:iCs/>
                <w:spacing w:val="2"/>
                <w:sz w:val="18"/>
                <w:szCs w:val="18"/>
                <w:highlight w:val="none"/>
                <w:u w:val="single"/>
              </w:rPr>
              <w:t xml:space="preserve">）</w:t>
            </w:r>
            <w:r/>
          </w:p>
        </w:tc>
      </w:tr>
      <w:tr>
        <w:trPr>
          <w:trHeight w:val="629"/>
        </w:trPr>
        <w:tc>
          <w:tcPr>
            <w:tcW w:w="686" w:type="dxa"/>
            <w:vAlign w:val="center"/>
            <w:textDirection w:val="lrTb"/>
            <w:noWrap/>
          </w:tcPr>
          <w:p>
            <w:pPr>
              <w:pStyle w:val="1042"/>
              <w:jc w:val="center"/>
              <w:spacing w:before="254" w:line="184" w:lineRule="auto"/>
              <w:rPr>
                <w:i/>
                <w:iCs/>
                <w:sz w:val="18"/>
                <w:szCs w:val="18"/>
                <w:highlight w:val="none"/>
                <w:u w:val="single"/>
              </w:rPr>
            </w:pPr>
            <w:r>
              <w:rPr>
                <w:rFonts w:hint="eastAsia"/>
                <w:i/>
                <w:iCs/>
                <w:spacing w:val="-7"/>
                <w:sz w:val="18"/>
                <w:szCs w:val="18"/>
                <w:highlight w:val="none"/>
                <w:u w:val="single"/>
              </w:rPr>
              <w:t xml:space="preserve">99</w:t>
            </w:r>
            <w:r/>
          </w:p>
        </w:tc>
        <w:tc>
          <w:tcPr>
            <w:tcW w:w="2104" w:type="dxa"/>
            <w:textDirection w:val="lrTb"/>
            <w:noWrap/>
          </w:tcPr>
          <w:p>
            <w:pPr>
              <w:pStyle w:val="1042"/>
              <w:jc w:val="center"/>
              <w:spacing w:before="226" w:line="221" w:lineRule="auto"/>
              <w:rPr>
                <w:i/>
                <w:iCs/>
                <w:sz w:val="18"/>
                <w:szCs w:val="18"/>
                <w:highlight w:val="none"/>
                <w:u w:val="single"/>
              </w:rPr>
            </w:pPr>
            <w:r>
              <w:rPr>
                <w:i/>
                <w:iCs/>
                <w:spacing w:val="-2"/>
                <w:sz w:val="18"/>
                <w:szCs w:val="18"/>
                <w:highlight w:val="none"/>
                <w:u w:val="single"/>
              </w:rPr>
              <w:t xml:space="preserve">物联网远程监控</w:t>
            </w:r>
            <w:r/>
          </w:p>
        </w:tc>
        <w:tc>
          <w:tcPr>
            <w:tcW w:w="7425" w:type="dxa"/>
            <w:textDirection w:val="lrTb"/>
            <w:noWrap/>
          </w:tcPr>
          <w:p>
            <w:pPr>
              <w:pStyle w:val="1042"/>
              <w:ind w:left="116" w:right="108"/>
              <w:spacing w:before="71" w:line="281" w:lineRule="auto"/>
              <w:rPr>
                <w:i/>
                <w:iCs/>
                <w:sz w:val="18"/>
                <w:szCs w:val="18"/>
                <w:highlight w:val="none"/>
                <w:u w:val="single"/>
              </w:rPr>
            </w:pPr>
            <w:r>
              <w:rPr>
                <w:i/>
                <w:iCs/>
                <w:spacing w:val="2"/>
                <w:sz w:val="18"/>
                <w:szCs w:val="18"/>
                <w:highlight w:val="none"/>
                <w:u w:val="single"/>
              </w:rPr>
              <w:t xml:space="preserve">具有可实时远程监视电梯运行参数的功能</w:t>
            </w:r>
            <w:r>
              <w:rPr>
                <w:rFonts w:hint="eastAsia"/>
                <w:i/>
                <w:iCs/>
                <w:spacing w:val="2"/>
                <w:sz w:val="18"/>
                <w:szCs w:val="18"/>
                <w:highlight w:val="none"/>
                <w:u w:val="single"/>
              </w:rPr>
              <w:t xml:space="preserve">(能够实时监测各电梯的运行状态</w:t>
            </w:r>
            <w:r>
              <w:rPr>
                <w:i/>
                <w:iCs/>
                <w:spacing w:val="2"/>
                <w:sz w:val="18"/>
                <w:szCs w:val="18"/>
                <w:highlight w:val="none"/>
                <w:u w:val="single"/>
              </w:rPr>
              <w:t xml:space="preserve">,</w:t>
            </w:r>
            <w:r>
              <w:rPr>
                <w:rFonts w:hint="eastAsia"/>
                <w:i/>
                <w:iCs/>
                <w:spacing w:val="2"/>
                <w:sz w:val="18"/>
                <w:szCs w:val="18"/>
                <w:highlight w:val="none"/>
                <w:u w:val="single"/>
              </w:rPr>
              <w:t xml:space="preserve">包括电梯的当前位置、运行方向、载重、速度、次数等)</w:t>
            </w:r>
            <w:r>
              <w:rPr>
                <w:i/>
                <w:iCs/>
                <w:spacing w:val="2"/>
                <w:sz w:val="18"/>
                <w:szCs w:val="18"/>
                <w:highlight w:val="none"/>
                <w:u w:val="single"/>
              </w:rPr>
              <w:t xml:space="preserve">，能集成到医院现有</w:t>
            </w:r>
            <w:r>
              <w:rPr>
                <w:i/>
                <w:iCs/>
                <w:spacing w:val="1"/>
                <w:sz w:val="18"/>
                <w:szCs w:val="18"/>
                <w:highlight w:val="none"/>
                <w:u w:val="single"/>
              </w:rPr>
              <w:t xml:space="preserve">信息化系统，完成院方远程监控点的接入、对接、调试并在医院信息系统上显示（院方远程监控点设置在行政楼一楼），可以升级</w:t>
            </w:r>
            <w:r>
              <w:rPr>
                <w:i/>
                <w:iCs/>
                <w:spacing w:val="-1"/>
                <w:sz w:val="18"/>
                <w:szCs w:val="18"/>
                <w:highlight w:val="none"/>
                <w:u w:val="single"/>
              </w:rPr>
              <w:t xml:space="preserve">并具有兼容功能，接口</w:t>
            </w:r>
            <w:r>
              <w:rPr>
                <w:rFonts w:hint="eastAsia"/>
                <w:i/>
                <w:iCs/>
                <w:spacing w:val="-1"/>
                <w:sz w:val="18"/>
                <w:szCs w:val="18"/>
                <w:highlight w:val="none"/>
                <w:u w:val="single"/>
              </w:rPr>
              <w:t xml:space="preserve">免费</w:t>
            </w:r>
            <w:r>
              <w:rPr>
                <w:i/>
                <w:iCs/>
                <w:spacing w:val="-1"/>
                <w:sz w:val="18"/>
                <w:szCs w:val="18"/>
                <w:highlight w:val="none"/>
                <w:u w:val="single"/>
              </w:rPr>
              <w:t xml:space="preserve">开放。</w:t>
            </w:r>
            <w:r>
              <w:rPr>
                <w:rFonts w:hint="eastAsia"/>
                <w:i/>
                <w:iCs/>
                <w:spacing w:val="-1"/>
                <w:sz w:val="18"/>
                <w:szCs w:val="18"/>
                <w:highlight w:val="none"/>
                <w:u w:val="single"/>
              </w:rPr>
              <w:t xml:space="preserve">实现故障报警、困人报警等功能</w:t>
            </w:r>
            <w:r/>
          </w:p>
        </w:tc>
      </w:tr>
      <w:tr>
        <w:trPr>
          <w:trHeight w:val="629"/>
        </w:trPr>
        <w:tc>
          <w:tcPr>
            <w:tcW w:w="686" w:type="dxa"/>
            <w:vAlign w:val="center"/>
            <w:textDirection w:val="lrTb"/>
            <w:noWrap/>
          </w:tcPr>
          <w:p>
            <w:pPr>
              <w:pStyle w:val="1042"/>
              <w:jc w:val="center"/>
              <w:spacing w:before="97" w:line="184" w:lineRule="auto"/>
              <w:rPr>
                <w:i/>
                <w:iCs/>
                <w:sz w:val="18"/>
                <w:szCs w:val="18"/>
                <w:highlight w:val="none"/>
                <w:u w:val="single"/>
              </w:rPr>
            </w:pPr>
            <w:r>
              <w:rPr>
                <w:i/>
                <w:iCs/>
                <w:spacing w:val="-7"/>
                <w:sz w:val="18"/>
                <w:szCs w:val="18"/>
                <w:highlight w:val="none"/>
                <w:u w:val="single"/>
              </w:rPr>
              <w:t xml:space="preserve">10</w:t>
            </w:r>
            <w:r>
              <w:rPr>
                <w:rFonts w:hint="eastAsia"/>
                <w:i/>
                <w:iCs/>
                <w:spacing w:val="-7"/>
                <w:sz w:val="18"/>
                <w:szCs w:val="18"/>
                <w:highlight w:val="none"/>
                <w:u w:val="single"/>
              </w:rPr>
              <w:t xml:space="preserve">0</w:t>
            </w:r>
            <w:r/>
          </w:p>
        </w:tc>
        <w:tc>
          <w:tcPr>
            <w:tcW w:w="2104" w:type="dxa"/>
            <w:vAlign w:val="center"/>
            <w:textDirection w:val="lrTb"/>
            <w:noWrap/>
          </w:tcPr>
          <w:p>
            <w:pPr>
              <w:jc w:val="center"/>
              <w:rPr>
                <w:rFonts w:ascii="宋体" w:hAnsi="宋体" w:cs="宋体"/>
                <w:i/>
                <w:iCs/>
                <w:spacing w:val="2"/>
                <w:sz w:val="18"/>
                <w:szCs w:val="18"/>
                <w:highlight w:val="none"/>
                <w:u w:val="single"/>
              </w:rPr>
            </w:pPr>
            <w:r>
              <w:rPr>
                <w:rFonts w:hint="eastAsia" w:ascii="宋体" w:hAnsi="宋体" w:cs="宋体"/>
                <w:i/>
                <w:iCs/>
                <w:spacing w:val="2"/>
                <w:sz w:val="18"/>
                <w:szCs w:val="18"/>
                <w:highlight w:val="none"/>
                <w:u w:val="single"/>
              </w:rPr>
              <w:t xml:space="preserve">电梯刷卡功能</w:t>
            </w:r>
            <w:r/>
          </w:p>
        </w:tc>
        <w:tc>
          <w:tcPr>
            <w:tcW w:w="7425" w:type="dxa"/>
            <w:vAlign w:val="center"/>
            <w:textDirection w:val="lrTb"/>
            <w:noWrap/>
          </w:tcPr>
          <w:p>
            <w:pPr>
              <w:rPr>
                <w:rFonts w:ascii="宋体" w:hAnsi="宋体" w:cs="宋体"/>
                <w:i/>
                <w:iCs/>
                <w:spacing w:val="2"/>
                <w:sz w:val="18"/>
                <w:szCs w:val="18"/>
                <w:highlight w:val="none"/>
                <w:u w:val="single"/>
              </w:rPr>
            </w:pPr>
            <w:r>
              <w:rPr>
                <w:rFonts w:hint="eastAsia" w:ascii="宋体" w:hAnsi="宋体" w:cs="宋体"/>
                <w:i/>
                <w:iCs/>
                <w:spacing w:val="2"/>
                <w:sz w:val="18"/>
                <w:szCs w:val="18"/>
                <w:highlight w:val="none"/>
                <w:u w:val="single"/>
              </w:rPr>
              <w:t xml:space="preserve">DT4和DT8具有轿内和外呼电梯刷卡系统功能，（要求加密，防止复制盗刷）能集成到医院现有电梯刷卡系统，可以升级并具有兼容功能，接口免费开放，完成调试投入使用。（</w:t>
            </w:r>
            <w:r>
              <w:rPr>
                <w:rFonts w:hint="eastAsia"/>
                <w:i/>
                <w:iCs/>
                <w:spacing w:val="-4"/>
                <w:sz w:val="18"/>
                <w:szCs w:val="18"/>
                <w:highlight w:val="none"/>
                <w:u w:val="single"/>
              </w:rPr>
              <w:t xml:space="preserve">具体实施电梯可根据院方需求再行调整）</w:t>
            </w:r>
            <w:r/>
          </w:p>
        </w:tc>
      </w:tr>
      <w:tr>
        <w:trPr>
          <w:trHeight w:val="317"/>
        </w:trPr>
        <w:tc>
          <w:tcPr>
            <w:tcW w:w="686" w:type="dxa"/>
            <w:vAlign w:val="center"/>
            <w:textDirection w:val="lrTb"/>
            <w:noWrap/>
          </w:tcPr>
          <w:p>
            <w:pPr>
              <w:pStyle w:val="1042"/>
              <w:jc w:val="center"/>
              <w:spacing w:before="59" w:line="184" w:lineRule="auto"/>
              <w:rPr>
                <w:i/>
                <w:iCs/>
                <w:sz w:val="18"/>
                <w:szCs w:val="18"/>
                <w:highlight w:val="none"/>
                <w:u w:val="single"/>
              </w:rPr>
            </w:pPr>
            <w:r>
              <w:rPr>
                <w:i/>
                <w:iCs/>
                <w:spacing w:val="-7"/>
                <w:sz w:val="18"/>
                <w:szCs w:val="18"/>
                <w:highlight w:val="none"/>
                <w:u w:val="single"/>
              </w:rPr>
              <w:t xml:space="preserve">10</w:t>
            </w:r>
            <w:r>
              <w:rPr>
                <w:rFonts w:hint="eastAsia"/>
                <w:i/>
                <w:iCs/>
                <w:spacing w:val="-7"/>
                <w:sz w:val="18"/>
                <w:szCs w:val="18"/>
                <w:highlight w:val="none"/>
                <w:u w:val="single"/>
              </w:rPr>
              <w:t xml:space="preserve">1</w:t>
            </w:r>
            <w:r/>
          </w:p>
        </w:tc>
        <w:tc>
          <w:tcPr>
            <w:tcW w:w="2104" w:type="dxa"/>
            <w:textDirection w:val="lrTb"/>
            <w:noWrap/>
          </w:tcPr>
          <w:p>
            <w:pPr>
              <w:pStyle w:val="1042"/>
              <w:jc w:val="center"/>
              <w:spacing w:before="70" w:line="220" w:lineRule="auto"/>
              <w:rPr>
                <w:i/>
                <w:iCs/>
                <w:sz w:val="18"/>
                <w:szCs w:val="18"/>
                <w:highlight w:val="none"/>
                <w:u w:val="single"/>
              </w:rPr>
            </w:pPr>
            <w:r>
              <w:rPr>
                <w:i/>
                <w:iCs/>
                <w:spacing w:val="-2"/>
                <w:sz w:val="18"/>
                <w:szCs w:val="18"/>
                <w:highlight w:val="none"/>
                <w:u w:val="single"/>
              </w:rPr>
              <w:t xml:space="preserve">医用级空气净化消毒系统</w:t>
            </w:r>
            <w:r/>
          </w:p>
        </w:tc>
        <w:tc>
          <w:tcPr>
            <w:tcW w:w="7425" w:type="dxa"/>
            <w:textDirection w:val="lrTb"/>
            <w:noWrap/>
          </w:tcPr>
          <w:p>
            <w:pPr>
              <w:pStyle w:val="1042"/>
              <w:ind w:left="109"/>
              <w:spacing w:before="69" w:line="221" w:lineRule="auto"/>
              <w:rPr>
                <w:i/>
                <w:iCs/>
                <w:sz w:val="18"/>
                <w:szCs w:val="18"/>
                <w:highlight w:val="none"/>
                <w:u w:val="single"/>
              </w:rPr>
            </w:pPr>
            <w:r>
              <w:rPr>
                <w:rFonts w:hint="eastAsia"/>
                <w:i/>
                <w:iCs/>
                <w:spacing w:val="-1"/>
                <w:sz w:val="18"/>
                <w:szCs w:val="18"/>
                <w:highlight w:val="none"/>
                <w:u w:val="single"/>
              </w:rPr>
              <w:t xml:space="preserve">客梯和医梯</w:t>
            </w:r>
            <w:r>
              <w:rPr>
                <w:i/>
                <w:iCs/>
                <w:spacing w:val="-1"/>
                <w:sz w:val="18"/>
                <w:szCs w:val="18"/>
                <w:highlight w:val="none"/>
                <w:u w:val="single"/>
              </w:rPr>
              <w:t xml:space="preserve">均需具备</w:t>
            </w:r>
            <w:r>
              <w:rPr>
                <w:rFonts w:hint="eastAsia"/>
                <w:i/>
                <w:iCs/>
                <w:spacing w:val="-1"/>
                <w:sz w:val="18"/>
                <w:szCs w:val="18"/>
                <w:highlight w:val="none"/>
                <w:u w:val="single"/>
              </w:rPr>
              <w:t xml:space="preserve">（电子空气消毒），换气扇满足乘客大流量换气需求</w:t>
            </w:r>
            <w:r/>
          </w:p>
        </w:tc>
      </w:tr>
      <w:tr>
        <w:trPr>
          <w:trHeight w:val="740"/>
        </w:trPr>
        <w:tc>
          <w:tcPr>
            <w:tcW w:w="686" w:type="dxa"/>
            <w:vAlign w:val="center"/>
            <w:textDirection w:val="lrTb"/>
            <w:noWrap/>
          </w:tcPr>
          <w:p>
            <w:pPr>
              <w:pStyle w:val="1042"/>
              <w:jc w:val="center"/>
              <w:spacing w:before="98" w:line="184" w:lineRule="auto"/>
              <w:rPr>
                <w:i/>
                <w:iCs/>
                <w:sz w:val="18"/>
                <w:szCs w:val="18"/>
                <w:highlight w:val="none"/>
                <w:u w:val="single"/>
              </w:rPr>
            </w:pPr>
            <w:r>
              <w:rPr>
                <w:i/>
                <w:iCs/>
                <w:spacing w:val="-7"/>
                <w:sz w:val="18"/>
                <w:szCs w:val="18"/>
                <w:highlight w:val="none"/>
                <w:u w:val="single"/>
              </w:rPr>
              <w:t xml:space="preserve">10</w:t>
            </w:r>
            <w:r>
              <w:rPr>
                <w:rFonts w:hint="eastAsia"/>
                <w:i/>
                <w:iCs/>
                <w:spacing w:val="-7"/>
                <w:sz w:val="18"/>
                <w:szCs w:val="18"/>
                <w:highlight w:val="none"/>
                <w:u w:val="single"/>
              </w:rPr>
              <w:t xml:space="preserve">2</w:t>
            </w:r>
            <w:r/>
          </w:p>
        </w:tc>
        <w:tc>
          <w:tcPr>
            <w:tcW w:w="2104" w:type="dxa"/>
            <w:textDirection w:val="lrTb"/>
            <w:noWrap/>
          </w:tcPr>
          <w:p>
            <w:pPr>
              <w:pStyle w:val="1042"/>
              <w:jc w:val="center"/>
              <w:spacing w:before="283" w:line="220" w:lineRule="auto"/>
              <w:rPr>
                <w:i/>
                <w:iCs/>
                <w:sz w:val="18"/>
                <w:szCs w:val="18"/>
                <w:highlight w:val="none"/>
                <w:u w:val="single"/>
              </w:rPr>
            </w:pPr>
            <w:r>
              <w:rPr>
                <w:i/>
                <w:iCs/>
                <w:spacing w:val="-4"/>
                <w:sz w:val="18"/>
                <w:szCs w:val="18"/>
                <w:highlight w:val="none"/>
                <w:u w:val="single"/>
              </w:rPr>
              <w:t xml:space="preserve">电力节能反馈装置</w:t>
            </w:r>
            <w:r/>
          </w:p>
        </w:tc>
        <w:tc>
          <w:tcPr>
            <w:tcW w:w="7425" w:type="dxa"/>
            <w:textDirection w:val="lrTb"/>
            <w:noWrap/>
          </w:tcPr>
          <w:p>
            <w:pPr>
              <w:pStyle w:val="1042"/>
              <w:ind w:left="115"/>
              <w:spacing w:before="283" w:line="219" w:lineRule="auto"/>
              <w:rPr>
                <w:i/>
                <w:iCs/>
                <w:sz w:val="18"/>
                <w:szCs w:val="18"/>
                <w:highlight w:val="none"/>
                <w:u w:val="single"/>
              </w:rPr>
            </w:pPr>
            <w:r>
              <w:rPr>
                <w:rFonts w:hint="eastAsia"/>
                <w:i/>
                <w:iCs/>
                <w:spacing w:val="-1"/>
                <w:sz w:val="18"/>
                <w:szCs w:val="18"/>
                <w:highlight w:val="none"/>
                <w:u w:val="single"/>
              </w:rPr>
              <w:t xml:space="preserve">≥6层电梯新</w:t>
            </w:r>
            <w:r>
              <w:rPr>
                <w:i/>
                <w:iCs/>
                <w:spacing w:val="-1"/>
                <w:sz w:val="18"/>
                <w:szCs w:val="18"/>
                <w:highlight w:val="none"/>
                <w:u w:val="single"/>
              </w:rPr>
              <w:t xml:space="preserve">配置电力节能反馈装置</w:t>
            </w:r>
            <w:r>
              <w:rPr>
                <w:rFonts w:hint="eastAsia"/>
                <w:i/>
                <w:iCs/>
                <w:spacing w:val="-1"/>
                <w:sz w:val="18"/>
                <w:szCs w:val="18"/>
                <w:highlight w:val="none"/>
                <w:u w:val="single"/>
              </w:rPr>
              <w:t xml:space="preserve">，小于6层电梯维修利旧原住院楼节能反馈装置，质保、维保要求同电梯。</w:t>
            </w:r>
            <w:r/>
          </w:p>
        </w:tc>
      </w:tr>
      <w:tr>
        <w:trPr>
          <w:trHeight w:val="317"/>
        </w:trPr>
        <w:tc>
          <w:tcPr>
            <w:tcW w:w="686" w:type="dxa"/>
            <w:vAlign w:val="center"/>
            <w:textDirection w:val="lrTb"/>
            <w:noWrap/>
          </w:tcPr>
          <w:p>
            <w:pPr>
              <w:pStyle w:val="1042"/>
              <w:jc w:val="center"/>
              <w:spacing w:before="98" w:line="184" w:lineRule="auto"/>
              <w:rPr>
                <w:i/>
                <w:iCs/>
                <w:sz w:val="18"/>
                <w:szCs w:val="18"/>
                <w:highlight w:val="none"/>
                <w:u w:val="single"/>
              </w:rPr>
            </w:pPr>
            <w:r>
              <w:rPr>
                <w:i/>
                <w:iCs/>
                <w:spacing w:val="-6"/>
                <w:sz w:val="18"/>
                <w:szCs w:val="18"/>
                <w:highlight w:val="none"/>
                <w:u w:val="single"/>
              </w:rPr>
              <w:t xml:space="preserve">10</w:t>
            </w:r>
            <w:r>
              <w:rPr>
                <w:rFonts w:hint="eastAsia"/>
                <w:i/>
                <w:iCs/>
                <w:spacing w:val="-6"/>
                <w:sz w:val="18"/>
                <w:szCs w:val="18"/>
                <w:highlight w:val="none"/>
                <w:u w:val="single"/>
              </w:rPr>
              <w:t xml:space="preserve">3</w:t>
            </w:r>
            <w:r/>
          </w:p>
        </w:tc>
        <w:tc>
          <w:tcPr>
            <w:tcW w:w="2104" w:type="dxa"/>
            <w:textDirection w:val="lrTb"/>
            <w:noWrap/>
          </w:tcPr>
          <w:p>
            <w:pPr>
              <w:pStyle w:val="1042"/>
              <w:jc w:val="center"/>
              <w:spacing w:before="70" w:line="221" w:lineRule="auto"/>
              <w:rPr>
                <w:i/>
                <w:iCs/>
                <w:sz w:val="18"/>
                <w:szCs w:val="18"/>
                <w:highlight w:val="none"/>
                <w:u w:val="single"/>
              </w:rPr>
            </w:pPr>
            <w:r>
              <w:rPr>
                <w:i/>
                <w:iCs/>
                <w:spacing w:val="-8"/>
                <w:sz w:val="18"/>
                <w:szCs w:val="18"/>
                <w:highlight w:val="none"/>
                <w:u w:val="single"/>
              </w:rPr>
              <w:t xml:space="preserve">电梯导轨</w:t>
            </w:r>
            <w:r/>
          </w:p>
        </w:tc>
        <w:tc>
          <w:tcPr>
            <w:tcW w:w="7425" w:type="dxa"/>
            <w:textDirection w:val="lrTb"/>
            <w:noWrap/>
          </w:tcPr>
          <w:p>
            <w:pPr>
              <w:pStyle w:val="1042"/>
              <w:ind w:left="133"/>
              <w:spacing w:before="70" w:line="221" w:lineRule="auto"/>
              <w:rPr>
                <w:i/>
                <w:iCs/>
                <w:sz w:val="18"/>
                <w:szCs w:val="18"/>
                <w:highlight w:val="none"/>
                <w:u w:val="single"/>
              </w:rPr>
            </w:pPr>
            <w:r>
              <w:rPr>
                <w:rFonts w:hint="eastAsia"/>
                <w:i/>
                <w:iCs/>
                <w:sz w:val="18"/>
                <w:szCs w:val="18"/>
                <w:highlight w:val="none"/>
                <w:u w:val="single"/>
              </w:rPr>
              <w:t xml:space="preserve">≥1000kg轿厢主导轨配置T89及以上,≥1600kg轿厢主导轨配置T114及以上，电梯主、副导轨须配置实心导轨</w:t>
            </w:r>
            <w:r/>
          </w:p>
        </w:tc>
      </w:tr>
      <w:tr>
        <w:trPr>
          <w:trHeight w:val="317"/>
        </w:trPr>
        <w:tc>
          <w:tcPr>
            <w:tcW w:w="686" w:type="dxa"/>
            <w:vAlign w:val="center"/>
            <w:textDirection w:val="lrTb"/>
            <w:noWrap/>
          </w:tcPr>
          <w:p>
            <w:pPr>
              <w:pStyle w:val="1042"/>
              <w:jc w:val="center"/>
              <w:spacing w:before="99" w:line="184" w:lineRule="auto"/>
              <w:rPr>
                <w:i/>
                <w:iCs/>
                <w:sz w:val="18"/>
                <w:szCs w:val="18"/>
                <w:highlight w:val="none"/>
                <w:u w:val="single"/>
              </w:rPr>
            </w:pPr>
            <w:r>
              <w:rPr>
                <w:i/>
                <w:iCs/>
                <w:spacing w:val="-6"/>
                <w:sz w:val="18"/>
                <w:szCs w:val="18"/>
                <w:highlight w:val="none"/>
                <w:u w:val="single"/>
              </w:rPr>
              <w:t xml:space="preserve">10</w:t>
            </w:r>
            <w:r>
              <w:rPr>
                <w:rFonts w:hint="eastAsia"/>
                <w:i/>
                <w:iCs/>
                <w:spacing w:val="-6"/>
                <w:sz w:val="18"/>
                <w:szCs w:val="18"/>
                <w:highlight w:val="none"/>
                <w:u w:val="single"/>
              </w:rPr>
              <w:t xml:space="preserve">4</w:t>
            </w:r>
            <w:r/>
          </w:p>
        </w:tc>
        <w:tc>
          <w:tcPr>
            <w:tcW w:w="2104" w:type="dxa"/>
            <w:textDirection w:val="lrTb"/>
            <w:noWrap/>
          </w:tcPr>
          <w:p>
            <w:pPr>
              <w:pStyle w:val="1042"/>
              <w:jc w:val="center"/>
              <w:spacing w:before="70" w:line="220" w:lineRule="auto"/>
              <w:rPr>
                <w:i/>
                <w:iCs/>
                <w:sz w:val="18"/>
                <w:szCs w:val="18"/>
                <w:highlight w:val="none"/>
                <w:u w:val="single"/>
              </w:rPr>
            </w:pPr>
            <w:r>
              <w:rPr>
                <w:i/>
                <w:iCs/>
                <w:spacing w:val="-2"/>
                <w:sz w:val="18"/>
                <w:szCs w:val="18"/>
                <w:highlight w:val="none"/>
                <w:u w:val="single"/>
              </w:rPr>
              <w:t xml:space="preserve">断电应急自动平层功能</w:t>
            </w:r>
            <w:r/>
          </w:p>
        </w:tc>
        <w:tc>
          <w:tcPr>
            <w:tcW w:w="7425" w:type="dxa"/>
            <w:textDirection w:val="lrTb"/>
            <w:noWrap/>
          </w:tcPr>
          <w:p>
            <w:pPr>
              <w:pStyle w:val="1042"/>
              <w:ind w:left="124"/>
              <w:spacing w:before="70" w:line="220" w:lineRule="auto"/>
              <w:rPr>
                <w:i/>
                <w:iCs/>
                <w:sz w:val="18"/>
                <w:szCs w:val="18"/>
                <w:highlight w:val="none"/>
                <w:u w:val="single"/>
              </w:rPr>
            </w:pPr>
            <w:r>
              <w:rPr>
                <w:i/>
                <w:iCs/>
                <w:spacing w:val="-2"/>
                <w:sz w:val="18"/>
                <w:szCs w:val="18"/>
                <w:highlight w:val="none"/>
                <w:u w:val="single"/>
              </w:rPr>
              <w:t xml:space="preserve">当电梯断电后，电梯自动就近平层开门</w:t>
            </w:r>
            <w:r/>
          </w:p>
        </w:tc>
      </w:tr>
      <w:tr>
        <w:trPr>
          <w:trHeight w:val="629"/>
        </w:trPr>
        <w:tc>
          <w:tcPr>
            <w:tcW w:w="686" w:type="dxa"/>
            <w:vAlign w:val="center"/>
            <w:textDirection w:val="lrTb"/>
            <w:noWrap/>
          </w:tcPr>
          <w:p>
            <w:pPr>
              <w:pStyle w:val="1042"/>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105</w:t>
            </w:r>
            <w:r/>
          </w:p>
        </w:tc>
        <w:tc>
          <w:tcPr>
            <w:tcW w:w="2104" w:type="dxa"/>
            <w:textDirection w:val="lrTb"/>
            <w:noWrap/>
          </w:tcPr>
          <w:p>
            <w:pPr>
              <w:pStyle w:val="1042"/>
              <w:ind w:right="160"/>
              <w:jc w:val="center"/>
              <w:spacing w:before="71" w:line="281" w:lineRule="auto"/>
              <w:rPr>
                <w:i/>
                <w:iCs/>
                <w:sz w:val="18"/>
                <w:szCs w:val="18"/>
                <w:highlight w:val="none"/>
                <w:u w:val="single"/>
              </w:rPr>
            </w:pPr>
            <w:r>
              <w:rPr>
                <w:i/>
                <w:iCs/>
                <w:spacing w:val="-3"/>
                <w:sz w:val="18"/>
                <w:szCs w:val="18"/>
                <w:highlight w:val="none"/>
                <w:u w:val="single"/>
              </w:rPr>
              <w:t xml:space="preserve">电梯与智能物流小车智能化</w:t>
            </w:r>
            <w:r>
              <w:rPr>
                <w:i/>
                <w:iCs/>
                <w:spacing w:val="-6"/>
                <w:sz w:val="18"/>
                <w:szCs w:val="18"/>
                <w:highlight w:val="none"/>
                <w:u w:val="single"/>
              </w:rPr>
              <w:t xml:space="preserve">管理</w:t>
            </w:r>
            <w:r/>
          </w:p>
        </w:tc>
        <w:tc>
          <w:tcPr>
            <w:tcW w:w="7425" w:type="dxa"/>
            <w:textDirection w:val="lrTb"/>
            <w:noWrap/>
          </w:tcPr>
          <w:p>
            <w:pPr>
              <w:pStyle w:val="1042"/>
              <w:ind w:left="114" w:right="107" w:hanging="5"/>
              <w:spacing w:before="71" w:line="281" w:lineRule="auto"/>
              <w:rPr>
                <w:i/>
                <w:iCs/>
                <w:sz w:val="18"/>
                <w:szCs w:val="18"/>
                <w:highlight w:val="none"/>
                <w:u w:val="single"/>
              </w:rPr>
            </w:pPr>
            <w:r>
              <w:rPr>
                <w:rFonts w:hint="eastAsia"/>
                <w:i/>
                <w:iCs/>
                <w:spacing w:val="-3"/>
                <w:sz w:val="18"/>
                <w:szCs w:val="18"/>
                <w:highlight w:val="none"/>
                <w:u w:val="single"/>
              </w:rPr>
              <w:t xml:space="preserve">住院楼</w:t>
            </w:r>
            <w:r>
              <w:rPr>
                <w:i/>
                <w:iCs/>
                <w:spacing w:val="-3"/>
                <w:sz w:val="18"/>
                <w:szCs w:val="18"/>
                <w:highlight w:val="none"/>
                <w:u w:val="single"/>
              </w:rPr>
              <w:t xml:space="preserve">DT</w:t>
            </w:r>
            <w:r>
              <w:rPr>
                <w:rFonts w:hint="eastAsia"/>
                <w:i/>
                <w:iCs/>
                <w:spacing w:val="-3"/>
                <w:sz w:val="18"/>
                <w:szCs w:val="18"/>
                <w:highlight w:val="none"/>
                <w:u w:val="single"/>
              </w:rPr>
              <w:t xml:space="preserve">3、DT7、DT8</w:t>
            </w:r>
            <w:r>
              <w:rPr>
                <w:i/>
                <w:iCs/>
                <w:spacing w:val="-3"/>
                <w:sz w:val="18"/>
                <w:szCs w:val="18"/>
                <w:highlight w:val="none"/>
                <w:u w:val="single"/>
              </w:rPr>
              <w:t xml:space="preserve">电梯与智能物流小车设置信息交互功能，实现</w:t>
            </w:r>
            <w:r>
              <w:rPr>
                <w:rFonts w:hint="eastAsia"/>
                <w:i/>
                <w:iCs/>
                <w:spacing w:val="-4"/>
                <w:sz w:val="18"/>
                <w:szCs w:val="18"/>
                <w:highlight w:val="none"/>
                <w:u w:val="single"/>
              </w:rPr>
              <w:t xml:space="preserve">物流</w:t>
            </w:r>
            <w:r>
              <w:rPr>
                <w:i/>
                <w:iCs/>
                <w:spacing w:val="-4"/>
                <w:sz w:val="18"/>
                <w:szCs w:val="18"/>
                <w:highlight w:val="none"/>
                <w:u w:val="single"/>
              </w:rPr>
              <w:t xml:space="preserve">小车智能</w:t>
            </w:r>
            <w:r>
              <w:rPr>
                <w:rFonts w:hint="eastAsia"/>
                <w:i/>
                <w:iCs/>
                <w:spacing w:val="-4"/>
                <w:sz w:val="18"/>
                <w:szCs w:val="18"/>
                <w:highlight w:val="none"/>
                <w:u w:val="single"/>
              </w:rPr>
              <w:t xml:space="preserve">自主召梯、乘梯（需与开发物流</w:t>
            </w:r>
            <w:r>
              <w:rPr>
                <w:i/>
                <w:iCs/>
                <w:spacing w:val="-4"/>
                <w:sz w:val="18"/>
                <w:szCs w:val="18"/>
                <w:highlight w:val="none"/>
                <w:u w:val="single"/>
              </w:rPr>
              <w:t xml:space="preserve">小车</w:t>
            </w:r>
            <w:r>
              <w:rPr>
                <w:rFonts w:hint="eastAsia"/>
                <w:i/>
                <w:iCs/>
                <w:spacing w:val="-4"/>
                <w:sz w:val="18"/>
                <w:szCs w:val="18"/>
                <w:highlight w:val="none"/>
                <w:u w:val="single"/>
              </w:rPr>
              <w:t xml:space="preserve">公司进行技术对接，具体实施电梯可根据院方需求再行调整）</w:t>
            </w:r>
            <w:r>
              <w:rPr>
                <w:i/>
                <w:iCs/>
                <w:spacing w:val="-5"/>
                <w:sz w:val="18"/>
                <w:szCs w:val="18"/>
                <w:highlight w:val="none"/>
                <w:u w:val="single"/>
              </w:rPr>
              <w:t xml:space="preserve">。</w:t>
            </w:r>
            <w:r/>
          </w:p>
        </w:tc>
      </w:tr>
      <w:tr>
        <w:trPr>
          <w:trHeight w:val="629"/>
        </w:trPr>
        <w:tc>
          <w:tcPr>
            <w:tcW w:w="686" w:type="dxa"/>
            <w:vAlign w:val="center"/>
            <w:textDirection w:val="lrTb"/>
            <w:noWrap/>
          </w:tcPr>
          <w:p>
            <w:pPr>
              <w:pStyle w:val="1042"/>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106</w:t>
            </w:r>
            <w:r/>
          </w:p>
        </w:tc>
        <w:tc>
          <w:tcPr>
            <w:tcW w:w="2104" w:type="dxa"/>
            <w:textDirection w:val="lrTb"/>
            <w:noWrap/>
          </w:tcPr>
          <w:p>
            <w:pPr>
              <w:pStyle w:val="1042"/>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层显</w:t>
            </w:r>
            <w:r/>
          </w:p>
        </w:tc>
        <w:tc>
          <w:tcPr>
            <w:tcW w:w="7425" w:type="dxa"/>
            <w:textDirection w:val="lrTb"/>
            <w:noWrap/>
          </w:tcPr>
          <w:p>
            <w:pPr>
              <w:pStyle w:val="1042"/>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轿厢外门头部位上方安装电梯运行方向和楼层显示全彩显示屏以及门头上方有条形亚克力到站指示灯，电梯到达到站闪烁，具备运行到站提示音，原厂配套，提供样册采购方选定。</w:t>
            </w:r>
            <w:r/>
          </w:p>
        </w:tc>
      </w:tr>
      <w:tr>
        <w:trPr>
          <w:trHeight w:val="629"/>
        </w:trPr>
        <w:tc>
          <w:tcPr>
            <w:tcW w:w="686" w:type="dxa"/>
            <w:vAlign w:val="center"/>
            <w:textDirection w:val="lrTb"/>
            <w:noWrap/>
          </w:tcPr>
          <w:p>
            <w:pPr>
              <w:pStyle w:val="1042"/>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107</w:t>
            </w:r>
            <w:r/>
          </w:p>
        </w:tc>
        <w:tc>
          <w:tcPr>
            <w:tcW w:w="2104" w:type="dxa"/>
            <w:textDirection w:val="lrTb"/>
            <w:noWrap/>
          </w:tcPr>
          <w:p>
            <w:pPr>
              <w:pStyle w:val="1042"/>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按时停启梯功能</w:t>
            </w:r>
            <w:r/>
          </w:p>
        </w:tc>
        <w:tc>
          <w:tcPr>
            <w:tcW w:w="7425" w:type="dxa"/>
            <w:textDirection w:val="lrTb"/>
            <w:noWrap/>
          </w:tcPr>
          <w:p>
            <w:pPr>
              <w:pStyle w:val="1042"/>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能在确保乘梯人安全的前提下，实现垂直梯、扶梯定时自动启停功能</w:t>
            </w:r>
            <w:r/>
          </w:p>
        </w:tc>
      </w:tr>
      <w:tr>
        <w:trPr>
          <w:trHeight w:val="629"/>
        </w:trPr>
        <w:tc>
          <w:tcPr>
            <w:tcW w:w="686" w:type="dxa"/>
            <w:vAlign w:val="center"/>
            <w:textDirection w:val="lrTb"/>
            <w:noWrap/>
          </w:tcPr>
          <w:p>
            <w:pPr>
              <w:pStyle w:val="1042"/>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108</w:t>
            </w:r>
            <w:r/>
          </w:p>
        </w:tc>
        <w:tc>
          <w:tcPr>
            <w:tcW w:w="2104" w:type="dxa"/>
            <w:textDirection w:val="lrTb"/>
            <w:noWrap/>
          </w:tcPr>
          <w:p>
            <w:pPr>
              <w:pStyle w:val="1042"/>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轿内误指令消除</w:t>
            </w:r>
            <w:r/>
          </w:p>
        </w:tc>
        <w:tc>
          <w:tcPr>
            <w:tcW w:w="7425" w:type="dxa"/>
            <w:textDirection w:val="lrTb"/>
            <w:noWrap/>
          </w:tcPr>
          <w:p>
            <w:pPr>
              <w:pStyle w:val="1042"/>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双击操纵箱按钮可消除误操作指令</w:t>
            </w:r>
            <w:r/>
          </w:p>
        </w:tc>
      </w:tr>
      <w:tr>
        <w:trPr>
          <w:trHeight w:val="629"/>
        </w:trPr>
        <w:tc>
          <w:tcPr>
            <w:tcW w:w="686" w:type="dxa"/>
            <w:vAlign w:val="center"/>
            <w:textDirection w:val="lrTb"/>
            <w:noWrap/>
          </w:tcPr>
          <w:p>
            <w:pPr>
              <w:pStyle w:val="1042"/>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109</w:t>
            </w:r>
            <w:r/>
          </w:p>
        </w:tc>
        <w:tc>
          <w:tcPr>
            <w:tcW w:w="2104" w:type="dxa"/>
            <w:textDirection w:val="lrTb"/>
            <w:noWrap/>
          </w:tcPr>
          <w:p>
            <w:pPr>
              <w:pStyle w:val="1042"/>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梯控管理系统</w:t>
            </w:r>
            <w:r/>
          </w:p>
        </w:tc>
        <w:tc>
          <w:tcPr>
            <w:tcW w:w="7425" w:type="dxa"/>
            <w:textDirection w:val="lrTb"/>
            <w:noWrap/>
          </w:tcPr>
          <w:p>
            <w:pPr>
              <w:pStyle w:val="1042"/>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能对电梯的选层及停靠进行科学编程，优化电梯停靠程序；同时在专用病员的接送检查电梯（住院楼1号电梯）</w:t>
            </w:r>
            <w:r>
              <w:rPr>
                <w:rFonts w:hint="eastAsia"/>
                <w:i/>
                <w:iCs/>
                <w:spacing w:val="-2"/>
                <w:sz w:val="18"/>
                <w:szCs w:val="18"/>
                <w:highlight w:val="none"/>
                <w:u w:val="single"/>
              </w:rPr>
              <w:t xml:space="preserve">全楼层</w:t>
            </w:r>
            <w:r>
              <w:rPr>
                <w:rFonts w:hint="eastAsia"/>
                <w:i/>
                <w:iCs/>
                <w:spacing w:val="-3"/>
                <w:sz w:val="18"/>
                <w:szCs w:val="18"/>
                <w:highlight w:val="none"/>
                <w:u w:val="single"/>
              </w:rPr>
              <w:t xml:space="preserve">外呼箱内改造</w:t>
            </w:r>
            <w:r>
              <w:rPr>
                <w:rFonts w:hint="eastAsia"/>
                <w:i/>
                <w:iCs/>
                <w:spacing w:val="-2"/>
                <w:sz w:val="18"/>
                <w:szCs w:val="18"/>
                <w:highlight w:val="none"/>
                <w:u w:val="single"/>
              </w:rPr>
              <w:t xml:space="preserve">配置</w:t>
            </w:r>
            <w:r>
              <w:rPr>
                <w:rFonts w:hint="eastAsia"/>
                <w:i/>
                <w:iCs/>
                <w:spacing w:val="-3"/>
                <w:sz w:val="18"/>
                <w:szCs w:val="18"/>
                <w:highlight w:val="none"/>
                <w:u w:val="single"/>
              </w:rPr>
              <w:t xml:space="preserve">装设可视应急对讲用于急救使用；梯控协议免费开放，根据院方要求设置电梯运行停靠楼层，具有用户自编程功能，编程费用含在报价中。</w:t>
            </w:r>
            <w:r/>
          </w:p>
        </w:tc>
      </w:tr>
    </w:tbl>
    <w:p>
      <w:pPr>
        <w:pStyle w:val="953"/>
        <w:contextualSpacing/>
        <w:ind w:firstLine="460"/>
        <w:spacing w:line="440" w:lineRule="exact"/>
        <w:rPr>
          <w:rFonts w:ascii="宋体" w:hAnsi="宋体" w:eastAsia="宋体" w:cs="宋体"/>
          <w:i/>
          <w:sz w:val="24"/>
          <w:szCs w:val="24"/>
          <w:highlight w:val="none"/>
          <w:u w:val="single"/>
        </w:rPr>
      </w:pPr>
      <w:r>
        <w:rPr>
          <w:rFonts w:hint="eastAsia" w:ascii="宋体" w:hAnsi="宋体" w:eastAsia="宋体" w:cs="宋体"/>
          <w:i/>
          <w:spacing w:val="-5"/>
          <w:sz w:val="24"/>
          <w:szCs w:val="24"/>
          <w:highlight w:val="none"/>
          <w:u w:val="single"/>
        </w:rPr>
        <w:t xml:space="preserve">注：</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1.上述功能如未包含在投标产品型号标准功能范围内，则需作为增选功能加入，所需费用包含在报价中；</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2.上述功能不一定全部包含所投电梯的标准配置，投标人中标后不得减少产品配置，并按投标时电梯宣传材料载明的标准配置提供对应产品。</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3.电梯的消防具备消防联动功能。</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4.具备双路电源, 建筑物工作电梯电源中断时，电梯消防的非常电源能自动投合，可以继续运行；</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5.具有紧急控制功能，电梯主机接入消防报警信号，即当楼上发生火灾时，电梯可接受指令，及时返回首层，而不再继续接纳乘客使用。</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6.电梯制造、安装执行标准及规范符合国家现行规范、标准和要求。扬州市电梯安全监督管理办法以上规范、标准若与最新规范、标准相冲突的以最新规范、标准为准。</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w:t>
      </w:r>
      <w:r>
        <w:rPr>
          <w:rFonts w:hint="eastAsia" w:ascii="宋体" w:hAnsi="宋体" w:eastAsia="宋体" w:cs="宋体"/>
          <w:i/>
          <w:sz w:val="24"/>
          <w:szCs w:val="24"/>
          <w:highlight w:val="none"/>
          <w:u w:val="single"/>
          <w:lang w:val="zh-CN"/>
        </w:rPr>
        <w:t xml:space="preserve">电梯设备制造、安装、验收的技术及质量标准</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（2）</w:t>
      </w:r>
      <w:r>
        <w:rPr>
          <w:rFonts w:hint="eastAsia" w:ascii="宋体" w:hAnsi="宋体" w:eastAsia="宋体" w:cs="宋体"/>
          <w:i/>
          <w:sz w:val="24"/>
          <w:szCs w:val="24"/>
          <w:highlight w:val="none"/>
          <w:u w:val="single"/>
          <w:lang w:val="zh-CN"/>
        </w:rPr>
        <w:t xml:space="preserve">电梯制造与安装安全规范：GB/T7588.1/2-2020 或电梯制造单位所提供的企业标准</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（3）</w:t>
      </w:r>
      <w:r>
        <w:rPr>
          <w:rFonts w:hint="eastAsia" w:ascii="宋体" w:hAnsi="宋体" w:eastAsia="宋体" w:cs="宋体"/>
          <w:i/>
          <w:sz w:val="24"/>
          <w:szCs w:val="24"/>
          <w:highlight w:val="none"/>
          <w:u w:val="single"/>
          <w:lang w:val="zh-CN"/>
        </w:rPr>
        <w:t xml:space="preserve">电梯技术条件：GB/T10058-2009</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（4）</w:t>
      </w:r>
      <w:r>
        <w:rPr>
          <w:rFonts w:hint="eastAsia" w:ascii="宋体" w:hAnsi="宋体" w:eastAsia="宋体" w:cs="宋体"/>
          <w:i/>
          <w:sz w:val="24"/>
          <w:szCs w:val="24"/>
          <w:highlight w:val="none"/>
          <w:u w:val="single"/>
          <w:lang w:val="zh-CN"/>
        </w:rPr>
        <w:t xml:space="preserve">电梯试验方法：GB/T10059-2009</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（5）</w:t>
      </w:r>
      <w:r>
        <w:rPr>
          <w:rFonts w:hint="eastAsia" w:ascii="宋体" w:hAnsi="宋体" w:eastAsia="宋体" w:cs="宋体"/>
          <w:i/>
          <w:sz w:val="24"/>
          <w:szCs w:val="24"/>
          <w:highlight w:val="none"/>
          <w:u w:val="single"/>
          <w:lang w:val="zh-CN"/>
        </w:rPr>
        <w:t xml:space="preserve">电梯安装验收规范：GB10060-2011</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（6）</w:t>
      </w:r>
      <w:r>
        <w:rPr>
          <w:rFonts w:hint="eastAsia" w:ascii="宋体" w:hAnsi="宋体" w:eastAsia="宋体" w:cs="宋体"/>
          <w:i/>
          <w:sz w:val="24"/>
          <w:szCs w:val="24"/>
          <w:highlight w:val="none"/>
          <w:u w:val="single"/>
          <w:lang w:val="zh-CN"/>
        </w:rPr>
        <w:t xml:space="preserve">《电梯、自动扶梯、自动人行道术语》：GB/T7024-2008</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（7）</w:t>
      </w:r>
      <w:r>
        <w:rPr>
          <w:rFonts w:hint="eastAsia" w:ascii="宋体" w:hAnsi="宋体" w:eastAsia="宋体" w:cs="宋体"/>
          <w:i/>
          <w:sz w:val="24"/>
          <w:szCs w:val="24"/>
          <w:highlight w:val="none"/>
          <w:u w:val="single"/>
          <w:lang w:val="zh-CN"/>
        </w:rPr>
        <w:t xml:space="preserve">电梯T型导轨：JG5072.1-2008</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（8）</w:t>
      </w:r>
      <w:r>
        <w:rPr>
          <w:rFonts w:hint="eastAsia" w:ascii="宋体" w:hAnsi="宋体" w:eastAsia="宋体" w:cs="宋体"/>
          <w:i/>
          <w:sz w:val="24"/>
          <w:szCs w:val="24"/>
          <w:highlight w:val="none"/>
          <w:u w:val="single"/>
          <w:lang w:val="zh-CN"/>
        </w:rPr>
        <w:t xml:space="preserve">电梯曳引机：GB13435-2009</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（9）</w:t>
      </w:r>
      <w:r>
        <w:rPr>
          <w:rFonts w:hint="eastAsia" w:ascii="宋体" w:hAnsi="宋体" w:eastAsia="宋体" w:cs="宋体"/>
          <w:i/>
          <w:sz w:val="24"/>
          <w:szCs w:val="24"/>
          <w:highlight w:val="none"/>
          <w:u w:val="single"/>
          <w:lang w:val="zh-CN"/>
        </w:rPr>
        <w:t xml:space="preserve">电梯主参数及轿厢、井道、机房的型式与尺寸：GB/T7025.1-08</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（10）</w:t>
      </w:r>
      <w:r>
        <w:rPr>
          <w:rFonts w:hint="eastAsia" w:ascii="宋体" w:hAnsi="宋体" w:eastAsia="宋体" w:cs="宋体"/>
          <w:i/>
          <w:sz w:val="24"/>
          <w:szCs w:val="24"/>
          <w:highlight w:val="none"/>
          <w:u w:val="single"/>
          <w:lang w:val="zh-CN"/>
        </w:rPr>
        <w:t xml:space="preserve">电梯主参数及轿厢、井道、机房的型式与尺寸GB/T7025.2-08</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（11）</w:t>
      </w:r>
      <w:r>
        <w:rPr>
          <w:rFonts w:hint="eastAsia" w:ascii="宋体" w:hAnsi="宋体" w:eastAsia="宋体" w:cs="宋体"/>
          <w:i/>
          <w:sz w:val="24"/>
          <w:szCs w:val="24"/>
          <w:highlight w:val="none"/>
          <w:u w:val="single"/>
          <w:lang w:val="zh-CN"/>
        </w:rPr>
        <w:t xml:space="preserve">电梯主参数及轿厢、井道、机房的型式与尺寸GB/T7025.3-08</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（12）</w:t>
      </w:r>
      <w:r>
        <w:rPr>
          <w:rFonts w:hint="eastAsia" w:ascii="宋体" w:hAnsi="宋体" w:eastAsia="宋体" w:cs="宋体"/>
          <w:i/>
          <w:sz w:val="24"/>
          <w:szCs w:val="24"/>
          <w:highlight w:val="none"/>
          <w:u w:val="single"/>
          <w:lang w:val="zh-CN"/>
        </w:rPr>
        <w:t xml:space="preserve">电梯装置安装工程电梯电气装置施工及验收规范GB50310-2002</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（13）</w:t>
      </w:r>
      <w:r>
        <w:rPr>
          <w:rFonts w:hint="eastAsia" w:ascii="宋体" w:hAnsi="宋体" w:eastAsia="宋体" w:cs="宋体"/>
          <w:i/>
          <w:sz w:val="24"/>
          <w:szCs w:val="24"/>
          <w:highlight w:val="none"/>
          <w:u w:val="single"/>
          <w:lang w:val="zh-CN"/>
        </w:rPr>
        <w:t xml:space="preserve">电梯工程施工质量验收规范：GB50310-2002</w:t>
      </w:r>
      <w:r/>
    </w:p>
    <w:p>
      <w:pPr>
        <w:pStyle w:val="953"/>
        <w:contextualSpacing/>
        <w:ind w:firstLine="480"/>
        <w:spacing w:line="440" w:lineRule="exact"/>
        <w:rPr>
          <w:rFonts w:hint="eastAsia"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（14）</w:t>
      </w:r>
      <w:r>
        <w:rPr>
          <w:rFonts w:hint="eastAsia" w:ascii="宋体" w:hAnsi="宋体" w:eastAsia="宋体" w:cs="宋体"/>
          <w:i/>
          <w:sz w:val="24"/>
          <w:szCs w:val="24"/>
          <w:highlight w:val="none"/>
          <w:u w:val="single"/>
          <w:lang w:val="zh-CN"/>
        </w:rPr>
        <w:t xml:space="preserve">江苏省防火部门的条例及相关的中国国家防火规则</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（15）GB/T 24479-2023《医用电梯技术条件》</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（16）GB 7588-2003《电梯制造与安装安全规范》</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（17）GB/T 10058-2009《电梯技术条件》</w:t>
      </w:r>
      <w:r/>
    </w:p>
    <w:p>
      <w:pPr>
        <w:pStyle w:val="953"/>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（18）《综合医院建筑设计规范》</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7.</w:t>
      </w:r>
      <w:r>
        <w:rPr>
          <w:rFonts w:hint="eastAsia" w:ascii="宋体" w:hAnsi="宋体" w:eastAsia="宋体" w:cs="宋体"/>
          <w:i/>
          <w:spacing w:val="-3"/>
          <w:sz w:val="24"/>
          <w:szCs w:val="24"/>
          <w:highlight w:val="none"/>
          <w:u w:val="single"/>
          <w:lang w:val="zh-CN"/>
        </w:rPr>
        <w:t xml:space="preserve">电梯运行的限速要求符合国家最新颁布的技术规范</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8.</w:t>
      </w:r>
      <w:r>
        <w:rPr>
          <w:rFonts w:hint="eastAsia" w:ascii="宋体" w:hAnsi="宋体" w:eastAsia="宋体" w:cs="宋体"/>
          <w:i/>
          <w:spacing w:val="-3"/>
          <w:sz w:val="24"/>
          <w:szCs w:val="24"/>
          <w:highlight w:val="none"/>
          <w:u w:val="single"/>
          <w:lang w:val="zh-CN"/>
        </w:rPr>
        <w:t xml:space="preserve">上述要求与国家电梯验收方面最新相关强制标准规范相冲突时，以最新标准为准，保证满足验收部门要求。</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9.</w:t>
      </w:r>
      <w:r>
        <w:rPr>
          <w:rFonts w:hint="eastAsia" w:ascii="宋体" w:hAnsi="宋体" w:eastAsia="宋体" w:cs="宋体"/>
          <w:i/>
          <w:spacing w:val="-3"/>
          <w:sz w:val="24"/>
          <w:szCs w:val="24"/>
          <w:highlight w:val="none"/>
          <w:u w:val="single"/>
          <w:lang w:val="zh-CN"/>
        </w:rPr>
        <w:t xml:space="preserve">投标人采用其它标准和规范时，应在投标文件注明是采用何种标准，并应保证设备达到或优于国家规定的现行相关标准。</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10.</w:t>
      </w:r>
      <w:r>
        <w:rPr>
          <w:rFonts w:hint="eastAsia" w:ascii="宋体" w:hAnsi="宋体" w:eastAsia="宋体" w:cs="宋体"/>
          <w:i/>
          <w:spacing w:val="-3"/>
          <w:sz w:val="24"/>
          <w:szCs w:val="24"/>
          <w:highlight w:val="none"/>
          <w:u w:val="single"/>
          <w:lang w:val="zh-CN"/>
        </w:rPr>
        <w:t xml:space="preserve">投标人负责向采购人提供详细出厂质量检验标准、质量证明、出厂合格证、验收手册、安装调试报告及绿标。</w:t>
      </w:r>
      <w:r/>
    </w:p>
    <w:p>
      <w:pPr>
        <w:contextualSpacing/>
        <w:ind w:firstLine="468"/>
        <w:spacing w:line="440" w:lineRule="exact"/>
        <w:rPr>
          <w:rFonts w:ascii="宋体" w:hAnsi="宋体" w:cs="宋体"/>
          <w:b/>
          <w:i/>
          <w:sz w:val="24"/>
          <w:szCs w:val="24"/>
          <w:highlight w:val="none"/>
          <w:u w:val="single"/>
        </w:rPr>
      </w:pPr>
      <w:r>
        <w:rPr>
          <w:rFonts w:hint="eastAsia" w:ascii="宋体" w:hAnsi="宋体" w:cs="宋体"/>
          <w:i/>
          <w:spacing w:val="-3"/>
          <w:sz w:val="24"/>
          <w:szCs w:val="24"/>
          <w:highlight w:val="none"/>
          <w:u w:val="single"/>
        </w:rPr>
        <w:t xml:space="preserve">11.</w:t>
      </w:r>
      <w:r>
        <w:rPr>
          <w:rFonts w:hint="eastAsia" w:ascii="宋体" w:hAnsi="宋体" w:cs="宋体"/>
          <w:i/>
          <w:spacing w:val="-3"/>
          <w:sz w:val="24"/>
          <w:szCs w:val="24"/>
          <w:highlight w:val="none"/>
          <w:u w:val="single"/>
          <w:lang w:val="zh-CN"/>
        </w:rPr>
        <w:t xml:space="preserve">在符合国家规范基础上，上述电梯必须符合医院定制要求总体要求。</w:t>
      </w:r>
      <w:r/>
    </w:p>
    <w:p>
      <w:pPr>
        <w:contextualSpacing/>
        <w:ind w:firstLine="480"/>
        <w:spacing w:line="440" w:lineRule="exact"/>
        <w:rPr>
          <w:rFonts w:ascii="宋体" w:hAnsi="宋体" w:cs="宋体"/>
          <w:i/>
          <w:iCs/>
          <w:spacing w:val="-3"/>
          <w:sz w:val="24"/>
          <w:szCs w:val="24"/>
          <w:highlight w:val="none"/>
          <w:u w:val="single"/>
        </w:rPr>
      </w:pPr>
      <w:r>
        <w:rPr>
          <w:rFonts w:hint="eastAsia" w:ascii="宋体" w:hAnsi="宋体"/>
          <w:color w:val="000000"/>
          <w:sz w:val="24"/>
          <w:highlight w:val="none"/>
          <w:u w:val="single"/>
        </w:rPr>
        <w:t xml:space="preserve">★</w:t>
      </w:r>
      <w:r>
        <w:rPr>
          <w:rFonts w:hint="eastAsia" w:ascii="宋体" w:hAnsi="宋体" w:cs="宋体"/>
          <w:i/>
          <w:iCs/>
          <w:spacing w:val="-3"/>
          <w:sz w:val="24"/>
          <w:szCs w:val="24"/>
          <w:highlight w:val="none"/>
          <w:u w:val="single"/>
        </w:rPr>
        <w:t xml:space="preserve">12.原厂售后服务要求：投标人应在质保与售后服务期内提供所投电梯品牌制造厂商的工程师（及以上）售后服务。中标供应商提供制造厂商的原厂售后服务函为本项目合同签订的必须要求之一：①制造厂商参加投标时，提供加盖公章的原制造厂商售后服务函。②代理商参加投标时，提供承诺函，承诺提供制造厂商的原厂售后服务并于合同签订前提供加盖原厂公章的原厂售后服务函，承诺函格式自拟，加盖公章。</w:t>
      </w:r>
      <w:r/>
    </w:p>
    <w:p>
      <w:pPr>
        <w:contextualSpacing/>
        <w:ind w:firstLine="480"/>
        <w:spacing w:line="440" w:lineRule="exact"/>
        <w:rPr>
          <w:rFonts w:ascii="宋体" w:hAnsi="宋体" w:cs="宋体"/>
          <w:i/>
          <w:iCs/>
          <w:spacing w:val="-3"/>
          <w:sz w:val="24"/>
          <w:szCs w:val="24"/>
          <w:highlight w:val="none"/>
          <w:u w:val="single"/>
        </w:rPr>
      </w:pPr>
      <w:r>
        <w:rPr>
          <w:rFonts w:hint="eastAsia" w:ascii="宋体" w:hAnsi="宋体"/>
          <w:color w:val="000000"/>
          <w:sz w:val="24"/>
          <w:highlight w:val="none"/>
          <w:u w:val="single"/>
        </w:rPr>
        <w:t xml:space="preserve">★</w:t>
      </w:r>
      <w:r>
        <w:rPr>
          <w:rFonts w:hint="eastAsia" w:ascii="宋体" w:hAnsi="宋体" w:cs="宋体"/>
          <w:i/>
          <w:iCs/>
          <w:spacing w:val="-3"/>
          <w:sz w:val="24"/>
          <w:szCs w:val="24"/>
          <w:highlight w:val="none"/>
          <w:u w:val="single"/>
        </w:rPr>
        <w:t xml:space="preserve">13.投标人承诺中标后提供产品厂家授权书，投标产品均为原厂产品，并提供原厂售后服务，投标人提供承诺函，承诺函格式自拟，加盖公章。</w:t>
      </w:r>
      <w:r/>
    </w:p>
    <w:p>
      <w:pPr>
        <w:contextualSpacing/>
        <w:ind w:firstLine="468"/>
        <w:spacing w:line="440" w:lineRule="exact"/>
        <w:rPr>
          <w:rFonts w:ascii="宋体" w:hAnsi="宋体" w:cs="宋体"/>
          <w:i/>
          <w:iCs/>
          <w:spacing w:val="-3"/>
          <w:sz w:val="24"/>
          <w:szCs w:val="24"/>
          <w:highlight w:val="none"/>
          <w:u w:val="single"/>
        </w:rPr>
      </w:pPr>
      <w:r>
        <w:rPr>
          <w:rFonts w:hint="eastAsia" w:ascii="宋体" w:hAnsi="宋体" w:cs="宋体"/>
          <w:i/>
          <w:iCs/>
          <w:spacing w:val="-3"/>
          <w:sz w:val="24"/>
          <w:szCs w:val="24"/>
          <w:highlight w:val="none"/>
          <w:u w:val="single"/>
        </w:rPr>
        <w:t xml:space="preserve">14.采购人有权要求在合同签订前，核查评分项目中证明材料原件以及承诺的实际履约能力，如不能提供则视为虚假投标及承诺内容无法实质性履约，终止签订合同并按规定上报财政厅。</w:t>
      </w:r>
      <w:r/>
    </w:p>
    <w:p>
      <w:pPr>
        <w:contextualSpacing/>
        <w:spacing w:line="440" w:lineRule="exact"/>
        <w:rPr>
          <w:rFonts w:hint="eastAsia" w:ascii="宋体" w:hAnsi="宋体"/>
          <w:b/>
          <w:i/>
          <w:sz w:val="28"/>
          <w:szCs w:val="28"/>
          <w:highlight w:val="none"/>
          <w:u w:val="single"/>
          <w:lang w:val="en-US" w:eastAsia="zh-CN"/>
        </w:rPr>
      </w:pPr>
      <w:r>
        <w:rPr>
          <w:rFonts w:hint="eastAsia" w:ascii="宋体" w:hAnsi="宋体"/>
          <w:b/>
          <w:i/>
          <w:sz w:val="28"/>
          <w:szCs w:val="28"/>
          <w:highlight w:val="none"/>
          <w:u w:val="single"/>
          <w:lang w:val="en-US" w:eastAsia="zh-CN"/>
        </w:rPr>
      </w:r>
      <w:r/>
    </w:p>
    <w:p>
      <w:pPr>
        <w:contextualSpacing/>
        <w:spacing w:line="440" w:lineRule="exact"/>
        <w:rPr>
          <w:rFonts w:ascii="宋体" w:hAnsi="宋体"/>
          <w:b/>
          <w:i w:val="0"/>
          <w:iCs/>
          <w:sz w:val="28"/>
          <w:szCs w:val="28"/>
          <w:highlight w:val="none"/>
          <w:u w:val="none"/>
        </w:rPr>
      </w:pPr>
      <w:r>
        <w:rPr>
          <w:rFonts w:hint="eastAsia" w:ascii="宋体" w:hAnsi="宋体"/>
          <w:b/>
          <w:i w:val="0"/>
          <w:iCs/>
          <w:sz w:val="28"/>
          <w:szCs w:val="28"/>
          <w:highlight w:val="none"/>
          <w:u w:val="none"/>
          <w:lang w:val="en-US" w:eastAsia="zh-CN"/>
        </w:rPr>
        <w:t xml:space="preserve">四</w:t>
      </w:r>
      <w:r>
        <w:rPr>
          <w:rFonts w:hint="eastAsia" w:ascii="宋体" w:hAnsi="宋体"/>
          <w:b/>
          <w:i w:val="0"/>
          <w:iCs/>
          <w:sz w:val="28"/>
          <w:szCs w:val="28"/>
          <w:highlight w:val="none"/>
          <w:u w:val="none"/>
        </w:rPr>
        <w:t xml:space="preserve">、</w:t>
      </w:r>
      <w:r>
        <w:rPr>
          <w:rFonts w:ascii="宋体" w:hAnsi="宋体"/>
          <w:b/>
          <w:i w:val="0"/>
          <w:iCs/>
          <w:sz w:val="28"/>
          <w:szCs w:val="28"/>
          <w:highlight w:val="none"/>
          <w:u w:val="none"/>
        </w:rPr>
        <w:t xml:space="preserve">商务要求</w:t>
      </w:r>
      <w:r/>
    </w:p>
    <w:p>
      <w:pPr>
        <w:ind w:firstLine="560"/>
        <w:spacing w:line="440" w:lineRule="exact"/>
        <w:rPr>
          <w:rFonts w:ascii="宋体" w:hAnsi="宋体" w:cs="宋体"/>
          <w:b/>
          <w:i/>
          <w:sz w:val="28"/>
          <w:szCs w:val="28"/>
          <w:highlight w:val="none"/>
          <w:u w:val="single"/>
        </w:rPr>
      </w:pPr>
      <w:r>
        <w:rPr>
          <w:rFonts w:hint="eastAsia" w:ascii="宋体" w:hAnsi="宋体" w:cs="宋体"/>
          <w:b/>
          <w:i/>
          <w:sz w:val="28"/>
          <w:szCs w:val="28"/>
          <w:highlight w:val="none"/>
          <w:u w:val="single"/>
        </w:rPr>
        <w:t xml:space="preserve">（一）总体要求</w:t>
      </w:r>
      <w:r/>
    </w:p>
    <w:p>
      <w:pPr>
        <w:pStyle w:val="953"/>
        <w:contextualSpacing/>
        <w:ind w:firstLine="480"/>
        <w:spacing w:line="440" w:lineRule="exact"/>
        <w:rPr>
          <w:rFonts w:ascii="宋体" w:hAnsi="宋体" w:eastAsia="宋体" w:cs="宋体"/>
          <w:b/>
          <w:bCs/>
          <w:i/>
          <w:iCs/>
          <w:sz w:val="24"/>
          <w:szCs w:val="24"/>
          <w:highlight w:val="none"/>
          <w:u w:val="single"/>
          <w:lang w:val="zh-CN"/>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val="zh-CN"/>
        </w:rPr>
        <w:t xml:space="preserve">在安装等施工过程中，因</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原因导致的安全事故、人员伤亡、财产损失以及其他相关损害，由</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承担全部责任并负责赔偿。因</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提供的电梯存在质量问题或施工不当等原因导致电梯在终生运行期间引发的安全事故、设备损坏、人员伤害及其他相关损害和损失，中标人同样承担全部责任并负责赔偿。中标人应购买足额的保险，以保障施工及运行期间的潜在风险。中标人需提供质量完全符合相关国家及行业标准相关要求的合格产品,需严格按照国家及行业相关安全标准和规范进行施工，并确保电梯安装符合国家质量标准。</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应购买足额的保险，以保障施工及运行期间的潜在风险。</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2.</w:t>
      </w:r>
      <w:r>
        <w:rPr>
          <w:rFonts w:hint="eastAsia" w:ascii="宋体" w:hAnsi="宋体" w:eastAsia="宋体" w:cs="宋体"/>
          <w:i/>
          <w:spacing w:val="-3"/>
          <w:sz w:val="24"/>
          <w:szCs w:val="24"/>
          <w:highlight w:val="none"/>
          <w:u w:val="single"/>
          <w:lang w:val="zh-CN"/>
        </w:rPr>
        <w:t xml:space="preserve">本项目为交钥匙项目，中标人应为采购人提供本次采购电梯的拆除、安装、调试、维修保养一条龙服务，有义务保证采购人系统的功能性和完整性，未在招标文件中明示的附配件，中标人应予以补充，如项目实施过程中因缺少线材辅料、配件或服务导致采购人系统无法正常运行，中标供应商须提供，相关所有费用包含在本次项目报价中。采购人只接收通过当地质量监督部门验收合格并发放准运证明的电梯设备。</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3.</w:t>
      </w:r>
      <w:r>
        <w:rPr>
          <w:rFonts w:hint="eastAsia" w:ascii="宋体" w:hAnsi="宋体" w:eastAsia="宋体" w:cs="宋体"/>
          <w:i/>
          <w:spacing w:val="-3"/>
          <w:sz w:val="24"/>
          <w:szCs w:val="24"/>
          <w:highlight w:val="none"/>
          <w:u w:val="single"/>
          <w:lang w:val="zh-CN"/>
        </w:rPr>
        <w:t xml:space="preserve">电梯安装过程中，中标人必须安排安装项目经理和工程师全程参与。</w:t>
      </w:r>
      <w:r/>
    </w:p>
    <w:p>
      <w:pPr>
        <w:pStyle w:val="953"/>
        <w:contextualSpacing/>
        <w:ind w:firstLine="468"/>
        <w:spacing w:line="440" w:lineRule="exact"/>
        <w:rPr>
          <w:rFonts w:ascii="宋体" w:hAnsi="宋体" w:eastAsia="宋体" w:cs="宋体"/>
          <w:i/>
          <w:iCs/>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4.</w:t>
      </w:r>
      <w:r>
        <w:rPr>
          <w:rFonts w:hint="eastAsia" w:ascii="宋体" w:hAnsi="宋体" w:eastAsia="宋体" w:cs="宋体"/>
          <w:i/>
          <w:iCs/>
          <w:spacing w:val="-3"/>
          <w:sz w:val="24"/>
          <w:szCs w:val="24"/>
          <w:highlight w:val="none"/>
          <w:u w:val="single"/>
          <w:lang w:val="zh-CN"/>
        </w:rPr>
        <w:t xml:space="preserve">本项目是更新电梯设备项目，拆除原旧梯和安装新梯要求不破坏各楼层原有电梯门厅石材门套（原门套石）、门槛石，确保各楼层原有电梯门厅外部装修不变,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304，表面进行抗指纹处理的发纹不锈钢小门套（厚度≥1.5mm）），样式由采购方确认后施工，新装电梯门框与原门套石完好衔接，不增设门套和门槛，提供承诺函。</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5.</w:t>
      </w:r>
      <w:r>
        <w:rPr>
          <w:rFonts w:hint="eastAsia" w:ascii="宋体" w:hAnsi="宋体" w:eastAsia="宋体" w:cs="宋体"/>
          <w:i/>
          <w:spacing w:val="-3"/>
          <w:sz w:val="24"/>
          <w:szCs w:val="24"/>
          <w:highlight w:val="none"/>
          <w:u w:val="single"/>
          <w:lang w:val="zh-CN"/>
        </w:rPr>
        <w:t xml:space="preserve">负责预留安装轿厢强、弱电线路和视频电缆、监控、音频电缆等。</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6.</w:t>
      </w:r>
      <w:r>
        <w:rPr>
          <w:rFonts w:hint="eastAsia" w:ascii="宋体" w:hAnsi="宋体" w:eastAsia="宋体" w:cs="宋体"/>
          <w:i/>
          <w:spacing w:val="-3"/>
          <w:sz w:val="24"/>
          <w:szCs w:val="24"/>
          <w:highlight w:val="none"/>
          <w:u w:val="single"/>
          <w:lang w:val="zh-CN"/>
        </w:rPr>
        <w:t xml:space="preserve">轿厢尺寸：现场勘察，参考</w:t>
      </w:r>
      <w:r>
        <w:rPr>
          <w:rFonts w:hint="eastAsia" w:ascii="宋体" w:hAnsi="宋体" w:eastAsia="宋体" w:cs="宋体"/>
          <w:i/>
          <w:spacing w:val="-3"/>
          <w:sz w:val="24"/>
          <w:szCs w:val="24"/>
          <w:highlight w:val="none"/>
          <w:u w:val="single"/>
        </w:rPr>
        <w:t xml:space="preserve">采购人</w:t>
      </w:r>
      <w:r>
        <w:rPr>
          <w:rFonts w:hint="eastAsia" w:ascii="宋体" w:hAnsi="宋体" w:eastAsia="宋体" w:cs="宋体"/>
          <w:i/>
          <w:spacing w:val="-3"/>
          <w:sz w:val="24"/>
          <w:szCs w:val="24"/>
          <w:highlight w:val="none"/>
          <w:u w:val="single"/>
          <w:lang w:val="zh-CN"/>
        </w:rPr>
        <w:t xml:space="preserve">提供的参数，按实际预留井道和土建图制作，符合国家规范标准要求。</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7.</w:t>
      </w:r>
      <w:r>
        <w:rPr>
          <w:rFonts w:hint="eastAsia" w:ascii="宋体" w:hAnsi="宋体" w:eastAsia="宋体" w:cs="宋体"/>
          <w:i/>
          <w:spacing w:val="-3"/>
          <w:sz w:val="24"/>
          <w:szCs w:val="24"/>
          <w:highlight w:val="none"/>
          <w:u w:val="single"/>
          <w:lang w:val="zh-CN"/>
        </w:rPr>
        <w:t xml:space="preserve">轿厢装修方案中标人须提供彩样由采购人认可，其最终定案亦为合同的组成部分，并对合同总价不产生影响，中标人不得提出额外费用。</w:t>
      </w:r>
      <w:r/>
    </w:p>
    <w:p>
      <w:pPr>
        <w:pStyle w:val="953"/>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8.</w:t>
      </w:r>
      <w:r>
        <w:rPr>
          <w:rFonts w:hint="eastAsia" w:ascii="宋体" w:hAnsi="宋体" w:eastAsia="宋体" w:cs="宋体"/>
          <w:i/>
          <w:spacing w:val="-3"/>
          <w:sz w:val="24"/>
          <w:szCs w:val="24"/>
          <w:highlight w:val="none"/>
          <w:u w:val="single"/>
          <w:lang w:val="zh-CN"/>
        </w:rPr>
        <w:t xml:space="preserve">待所有电梯安装完成且经检验合格投用后，所有更换电梯整机质保至少5年，</w:t>
      </w:r>
      <w:r>
        <w:rPr>
          <w:rFonts w:hint="eastAsia" w:ascii="宋体" w:hAnsi="宋体" w:eastAsia="宋体" w:cs="宋体"/>
          <w:i/>
          <w:spacing w:val="-3"/>
          <w:sz w:val="24"/>
          <w:szCs w:val="24"/>
          <w:highlight w:val="none"/>
          <w:u w:val="single"/>
        </w:rPr>
        <w:t xml:space="preserve">项目</w:t>
      </w:r>
      <w:r>
        <w:rPr>
          <w:rFonts w:hint="eastAsia" w:ascii="宋体" w:hAnsi="宋体" w:eastAsia="宋体" w:cs="宋体"/>
          <w:i/>
          <w:spacing w:val="-3"/>
          <w:sz w:val="24"/>
          <w:szCs w:val="24"/>
          <w:highlight w:val="none"/>
          <w:u w:val="single"/>
          <w:lang w:val="zh-CN"/>
        </w:rPr>
        <w:t xml:space="preserve">维保期</w:t>
      </w:r>
      <w:r>
        <w:rPr>
          <w:rFonts w:hint="eastAsia" w:ascii="宋体" w:hAnsi="宋体" w:eastAsia="宋体" w:cs="宋体"/>
          <w:i/>
          <w:spacing w:val="-3"/>
          <w:sz w:val="24"/>
          <w:szCs w:val="24"/>
          <w:highlight w:val="none"/>
          <w:u w:val="single"/>
        </w:rPr>
        <w:t xml:space="preserve">至少</w:t>
      </w:r>
      <w:r>
        <w:rPr>
          <w:rFonts w:hint="eastAsia" w:ascii="宋体" w:hAnsi="宋体" w:eastAsia="宋体" w:cs="宋体"/>
          <w:i/>
          <w:spacing w:val="-3"/>
          <w:sz w:val="24"/>
          <w:szCs w:val="24"/>
          <w:highlight w:val="none"/>
          <w:u w:val="single"/>
          <w:lang w:val="zh-CN"/>
        </w:rPr>
        <w:t xml:space="preserve">5年（提供更换维修材料和耗材），维保要求详见项目需求，</w:t>
      </w:r>
      <w:r>
        <w:rPr>
          <w:rFonts w:hint="eastAsia" w:ascii="宋体" w:hAnsi="宋体" w:eastAsia="宋体" w:cs="宋体"/>
          <w:i/>
          <w:spacing w:val="-3"/>
          <w:sz w:val="24"/>
          <w:szCs w:val="24"/>
          <w:highlight w:val="none"/>
          <w:u w:val="single"/>
        </w:rPr>
        <w:t xml:space="preserve">整机质保及项目维保所需费用含在报价中。</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b/>
          <w:bCs/>
          <w:i/>
          <w:spacing w:val="-3"/>
          <w:sz w:val="24"/>
          <w:szCs w:val="24"/>
          <w:highlight w:val="none"/>
          <w:u w:val="single"/>
        </w:rPr>
        <w:t xml:space="preserve">9.</w:t>
      </w:r>
      <w:r>
        <w:rPr>
          <w:rFonts w:hint="eastAsia" w:ascii="宋体" w:hAnsi="宋体" w:eastAsia="宋体" w:cs="宋体"/>
          <w:b/>
          <w:bCs/>
          <w:i/>
          <w:spacing w:val="-3"/>
          <w:sz w:val="24"/>
          <w:szCs w:val="24"/>
          <w:highlight w:val="none"/>
          <w:u w:val="single"/>
          <w:lang w:val="zh-CN"/>
        </w:rPr>
        <w:t xml:space="preserve">费用包含原旧梯拆除，运至</w:t>
      </w:r>
      <w:r>
        <w:rPr>
          <w:rFonts w:hint="eastAsia" w:ascii="宋体" w:hAnsi="宋体" w:eastAsia="宋体" w:cs="宋体"/>
          <w:b/>
          <w:bCs/>
          <w:i/>
          <w:spacing w:val="-3"/>
          <w:sz w:val="24"/>
          <w:szCs w:val="24"/>
          <w:highlight w:val="none"/>
          <w:u w:val="single"/>
        </w:rPr>
        <w:t xml:space="preserve">采购</w:t>
      </w:r>
      <w:r>
        <w:rPr>
          <w:rFonts w:hint="eastAsia" w:ascii="宋体" w:hAnsi="宋体" w:eastAsia="宋体" w:cs="宋体"/>
          <w:b/>
          <w:bCs/>
          <w:i/>
          <w:spacing w:val="-3"/>
          <w:sz w:val="24"/>
          <w:szCs w:val="24"/>
          <w:highlight w:val="none"/>
          <w:u w:val="single"/>
          <w:lang w:val="zh-CN"/>
        </w:rPr>
        <w:t xml:space="preserve">人指定地点，残值由</w:t>
      </w:r>
      <w:r>
        <w:rPr>
          <w:rFonts w:hint="eastAsia" w:ascii="宋体" w:hAnsi="宋体" w:eastAsia="宋体" w:cs="宋体"/>
          <w:b/>
          <w:bCs/>
          <w:i/>
          <w:spacing w:val="-3"/>
          <w:sz w:val="24"/>
          <w:szCs w:val="24"/>
          <w:highlight w:val="none"/>
          <w:u w:val="single"/>
        </w:rPr>
        <w:t xml:space="preserve">采购</w:t>
      </w:r>
      <w:r>
        <w:rPr>
          <w:rFonts w:hint="eastAsia" w:ascii="宋体" w:hAnsi="宋体" w:eastAsia="宋体" w:cs="宋体"/>
          <w:b/>
          <w:bCs/>
          <w:i/>
          <w:spacing w:val="-3"/>
          <w:sz w:val="24"/>
          <w:szCs w:val="24"/>
          <w:highlight w:val="none"/>
          <w:u w:val="single"/>
          <w:lang w:val="zh-CN"/>
        </w:rPr>
        <w:t xml:space="preserve">人处置回收，主要部件（控制柜、外招板、轿顶通讯板、门机板、门电机、轿厢显示板、轿内按钮）保护性拆除交</w:t>
      </w:r>
      <w:r>
        <w:rPr>
          <w:rFonts w:hint="eastAsia" w:ascii="宋体" w:hAnsi="宋体" w:eastAsia="宋体" w:cs="宋体"/>
          <w:b/>
          <w:bCs/>
          <w:i/>
          <w:spacing w:val="-3"/>
          <w:sz w:val="24"/>
          <w:szCs w:val="24"/>
          <w:highlight w:val="none"/>
          <w:u w:val="single"/>
        </w:rPr>
        <w:t xml:space="preserve">采购人</w:t>
      </w:r>
      <w:r>
        <w:rPr>
          <w:rFonts w:hint="eastAsia" w:ascii="宋体" w:hAnsi="宋体" w:eastAsia="宋体" w:cs="宋体"/>
          <w:b/>
          <w:bCs/>
          <w:i/>
          <w:spacing w:val="-3"/>
          <w:sz w:val="24"/>
          <w:szCs w:val="24"/>
          <w:highlight w:val="none"/>
          <w:u w:val="single"/>
          <w:lang w:val="zh-CN"/>
        </w:rPr>
        <w:t xml:space="preserve">。</w:t>
      </w:r>
      <w:r/>
    </w:p>
    <w:p>
      <w:pPr>
        <w:pStyle w:val="953"/>
        <w:contextualSpacing/>
        <w:ind w:firstLine="468"/>
        <w:spacing w:line="440" w:lineRule="exact"/>
        <w:rPr>
          <w:rFonts w:ascii="宋体" w:hAnsi="宋体" w:eastAsia="宋体" w:cs="宋体"/>
          <w:b/>
          <w:bCs/>
          <w:i/>
          <w:spacing w:val="-3"/>
          <w:sz w:val="24"/>
          <w:szCs w:val="24"/>
          <w:highlight w:val="none"/>
          <w:u w:val="single"/>
          <w:lang w:val="zh-CN"/>
        </w:rPr>
      </w:pPr>
      <w:r>
        <w:rPr>
          <w:rFonts w:hint="eastAsia" w:ascii="宋体" w:hAnsi="宋体" w:eastAsia="宋体" w:cs="宋体"/>
          <w:b/>
          <w:bCs/>
          <w:i/>
          <w:spacing w:val="-3"/>
          <w:sz w:val="24"/>
          <w:szCs w:val="24"/>
          <w:highlight w:val="none"/>
          <w:u w:val="single"/>
          <w:lang w:val="zh-CN"/>
        </w:rPr>
        <w:t xml:space="preserve">10.开门尺寸、轿厢内净尺寸（长、宽、高）要求不小于原梯尺寸,供货前双方共同测绘确认原梯的尺寸。</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11.新安装完成的电梯应与现场所有楼层的门厅、门洞等无缝对接；供应商负责做好电梯拆除及安装时的全封闭施工，确保医院工作人员正常办公使用和施工期人员的安全，由此带来的相关所有费用含在报价中。</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12.电梯设备自运抵用户现场至交付使用过程中的看护防盗工作由供应商自行负责，由于看管不利等造成的损失，由供应商自行承担；</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13.在不影响医院正常医疗情况下，有效组织好现场的电梯拆除及安装工作，并不得要求增加任何费用和延长现场安装施工周期。</w:t>
      </w:r>
      <w:r/>
    </w:p>
    <w:p>
      <w:pPr>
        <w:contextualSpacing/>
        <w:ind w:firstLine="480"/>
        <w:spacing w:line="440" w:lineRule="exact"/>
        <w:rPr>
          <w:rFonts w:ascii="宋体" w:hAnsi="宋体" w:cs="宋体"/>
          <w:i/>
          <w:sz w:val="24"/>
          <w:szCs w:val="24"/>
          <w:highlight w:val="none"/>
          <w:u w:val="single"/>
        </w:rPr>
      </w:pPr>
      <w:r>
        <w:rPr>
          <w:rFonts w:hint="eastAsia" w:ascii="宋体" w:hAnsi="宋体" w:cs="方正仿宋繁体"/>
          <w:i/>
          <w:sz w:val="24"/>
          <w:szCs w:val="24"/>
          <w:highlight w:val="none"/>
          <w:u w:val="single"/>
        </w:rPr>
        <w:t xml:space="preserve">14.</w:t>
      </w:r>
      <w:r>
        <w:rPr>
          <w:rFonts w:hint="eastAsia" w:ascii="宋体" w:hAnsi="宋体" w:cs="宋体"/>
          <w:i/>
          <w:sz w:val="24"/>
          <w:szCs w:val="24"/>
          <w:highlight w:val="none"/>
          <w:u w:val="single"/>
        </w:rPr>
        <w:t xml:space="preserve">供应商负责做好施工区域范围内已完成的成品保护工作，成品保护费用含在投标报价中，如供应商在电梯拆除及安装施工中造成采购人已完成的成品损坏的，由供应商负责赔偿、修复并处罚款。</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15. 严格对照采购清单及技术要求检查相关品牌证书、装箱清单（含设备的主、附件）、产品配置说明、设备出厂检验报告、整机及安全保护装置型式试验证书等相关文件证书等验收，采购人保留邀请第三方质检部门验收的权利。电梯安装竣工并经监督检验合格后完成交付检验后，三十日内，供应商应向采购人移交监督检验报告、特种设备使用标志、电梯相关建筑接口符合性声明、配置说明、型式试验证书、</w:t>
      </w:r>
      <w:r>
        <w:rPr>
          <w:rFonts w:ascii="宋体" w:hAnsi="宋体" w:cs="宋体"/>
          <w:i/>
          <w:sz w:val="24"/>
          <w:szCs w:val="24"/>
          <w:highlight w:val="none"/>
          <w:u w:val="single"/>
        </w:rPr>
        <w:t xml:space="preserve">电气设备及系统原理图</w:t>
      </w: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电气设备及系统安装线路图、电梯安装图、</w:t>
      </w:r>
      <w:r>
        <w:rPr>
          <w:rFonts w:hint="eastAsia" w:ascii="宋体" w:hAnsi="宋体" w:cs="宋体"/>
          <w:i/>
          <w:sz w:val="24"/>
          <w:szCs w:val="24"/>
          <w:highlight w:val="none"/>
          <w:u w:val="single"/>
        </w:rPr>
        <w:t xml:space="preserve">整机质量证明文件、</w:t>
      </w:r>
      <w:r>
        <w:rPr>
          <w:rFonts w:ascii="宋体" w:hAnsi="宋体" w:cs="宋体"/>
          <w:i/>
          <w:sz w:val="24"/>
          <w:szCs w:val="24"/>
          <w:highlight w:val="none"/>
          <w:u w:val="single"/>
        </w:rPr>
        <w:t xml:space="preserve">零部件目录、构建机械安装图、</w:t>
      </w:r>
      <w:r>
        <w:rPr>
          <w:rFonts w:hint="eastAsia" w:ascii="宋体" w:hAnsi="宋体" w:cs="宋体"/>
          <w:i/>
          <w:sz w:val="24"/>
          <w:szCs w:val="24"/>
          <w:highlight w:val="none"/>
          <w:u w:val="single"/>
        </w:rPr>
        <w:t xml:space="preserve">安装操作使用维护保养手册、应急救援说明、非金属材质部件使用声明（如果有）、未设置人为障碍声明、变更设计证明文件（如果有）、合格文件和有关技术资料、满足制造及安全技术规范要求的设计文件、安装验收报告、产品质量合格证明、安装及使用维修说明等安装自检报告等</w:t>
      </w:r>
      <w:r>
        <w:rPr>
          <w:rFonts w:ascii="宋体" w:hAnsi="宋体" w:cs="宋体"/>
          <w:i/>
          <w:sz w:val="24"/>
          <w:szCs w:val="24"/>
          <w:highlight w:val="none"/>
          <w:u w:val="single"/>
        </w:rPr>
        <w:t xml:space="preserve">采购人认为应交付的其他资料</w:t>
      </w:r>
      <w:r>
        <w:rPr>
          <w:rFonts w:hint="eastAsia" w:ascii="宋体" w:hAnsi="宋体" w:cs="宋体"/>
          <w:i/>
          <w:sz w:val="24"/>
          <w:szCs w:val="24"/>
          <w:highlight w:val="none"/>
          <w:u w:val="single"/>
        </w:rPr>
        <w:t xml:space="preserve">有关资料。</w:t>
      </w:r>
      <w:r/>
    </w:p>
    <w:p>
      <w:pPr>
        <w:ind w:firstLine="560"/>
        <w:spacing w:line="440" w:lineRule="exact"/>
        <w:rPr>
          <w:b/>
          <w:sz w:val="28"/>
          <w:szCs w:val="28"/>
          <w:highlight w:val="none"/>
        </w:rPr>
      </w:pPr>
      <w:r>
        <w:rPr>
          <w:rFonts w:hint="eastAsia"/>
          <w:b/>
          <w:sz w:val="28"/>
          <w:szCs w:val="28"/>
          <w:highlight w:val="none"/>
        </w:rPr>
        <w:t xml:space="preserve">（二）项目深化设计、项目实施及质量控制等方案</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1.针对本项目具体的安装方案（包括原设备拆除及新设备现场安装）</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（1）旧电梯逐部拆除：</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1）拆除时需注意施工区域防护，减少对医疗秩序影响。</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2）拆除时需注意特殊施工环境，服从采购方施工时间要求。</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3）拆除和安装需同步进行。</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4）扶梯施工区域周边搭设施工围护，垂直电梯门制作安全围护门。</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5）注意成品防护，造成损坏由中标人承担。</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6）拆除时需注意特殊施工环境，服从采购方施工时间要求。</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7</w:t>
      </w:r>
      <w:r>
        <w:rPr>
          <w:rFonts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lang w:val="zh-CN"/>
        </w:rPr>
        <w:t xml:space="preserve">新电梯逐部安装（按采购人要求），拆除时需注意施工区域防护，减少对正常医疗秩序影响。</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8）在拆除、安装过程中，各班组必须加强自检、互检工作，并严格填写自检记录各数据必须真实可靠，并有填写人签名，以便日后备查。</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9）</w:t>
      </w:r>
      <w:r>
        <w:rPr>
          <w:rFonts w:hint="eastAsia" w:ascii="宋体" w:hAnsi="宋体" w:eastAsia="宋体" w:cs="宋体"/>
          <w:spacing w:val="-3"/>
          <w:sz w:val="24"/>
          <w:szCs w:val="24"/>
          <w:highlight w:val="none"/>
          <w:lang w:val="zh-CN"/>
        </w:rPr>
        <w:t xml:space="preserve">电梯拆除、安装现场必须有技术、安全人员监护。</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10）电梯拆除、安装区域设置警戒线，有明显标志，并要有专人监护，安装期间现场严禁闲杂人员进出。</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11）电梯拆除、安装前工作人员应对工具、附件等仔细检查，不合格者立即更换，确保正常使用。</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12）电梯拆除、安装过程中，所有工作人员必须听从指挥人员的统一指挥和信号。</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13）电梯拆除、安装过程中须有专人照看电源。</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14）电梯拆除、安装过程中所有工作人员必须戴好安全帽，上高人员必须穿防滑鞋，高空作业必须系好安全带，配挂工具包。</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15）电梯拆除、安装过程中严禁由高空向下抛投物品。</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16）须配置井道爬梯、井道永久照明和井道间防护网并符合国标要求。（</w:t>
      </w:r>
      <w:r>
        <w:rPr>
          <w:rFonts w:hint="eastAsia" w:ascii="宋体" w:hAnsi="宋体" w:eastAsia="宋体" w:cs="宋体"/>
          <w:spacing w:val="-3"/>
          <w:sz w:val="24"/>
          <w:szCs w:val="24"/>
          <w:highlight w:val="none"/>
        </w:rPr>
        <w:t xml:space="preserve">17）</w:t>
      </w:r>
      <w:r>
        <w:rPr>
          <w:rFonts w:hint="eastAsia" w:ascii="宋体" w:hAnsi="宋体" w:eastAsia="宋体" w:cs="宋体"/>
          <w:spacing w:val="-3"/>
          <w:sz w:val="24"/>
          <w:szCs w:val="24"/>
          <w:highlight w:val="none"/>
          <w:lang w:val="zh-CN"/>
        </w:rPr>
        <w:t xml:space="preserve">电梯安装过程中每道工序完成后经专人检查认可方能进行下一道安装工序。</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w:t>
      </w:r>
      <w:r>
        <w:rPr>
          <w:rFonts w:hint="eastAsia" w:ascii="宋体" w:hAnsi="宋体" w:eastAsia="宋体" w:cs="宋体"/>
          <w:spacing w:val="-3"/>
          <w:sz w:val="24"/>
          <w:szCs w:val="24"/>
          <w:highlight w:val="none"/>
        </w:rPr>
        <w:t xml:space="preserve">7</w:t>
      </w:r>
      <w:r>
        <w:rPr>
          <w:rFonts w:hint="eastAsia" w:ascii="宋体" w:hAnsi="宋体" w:eastAsia="宋体" w:cs="宋体"/>
          <w:spacing w:val="-3"/>
          <w:sz w:val="24"/>
          <w:szCs w:val="24"/>
          <w:highlight w:val="none"/>
          <w:lang w:val="zh-CN"/>
        </w:rPr>
        <w:t xml:space="preserve">）电梯安装过程中发现异常，应立即停止安装工作，排除故障后才能继续安装。</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w:t>
      </w:r>
      <w:r>
        <w:rPr>
          <w:rFonts w:hint="eastAsia" w:ascii="宋体" w:hAnsi="宋体" w:eastAsia="宋体" w:cs="宋体"/>
          <w:spacing w:val="-3"/>
          <w:sz w:val="24"/>
          <w:szCs w:val="24"/>
          <w:highlight w:val="none"/>
        </w:rPr>
        <w:t xml:space="preserve">8</w:t>
      </w:r>
      <w:r>
        <w:rPr>
          <w:rFonts w:hint="eastAsia" w:ascii="宋体" w:hAnsi="宋体" w:eastAsia="宋体" w:cs="宋体"/>
          <w:spacing w:val="-3"/>
          <w:sz w:val="24"/>
          <w:szCs w:val="24"/>
          <w:highlight w:val="none"/>
          <w:lang w:val="zh-CN"/>
        </w:rPr>
        <w:t xml:space="preserve">）电梯拆除安装以及质保期内投标人原因造成的第三方伤害及损失由投标人承担。</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（2）新电梯安装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设备安装方案包括设备安装及质量保障、施工组织与施工中的保证措施、</w:t>
      </w:r>
      <w:r/>
    </w:p>
    <w:p>
      <w:pPr>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施工组织机构，须成立健全的施工组织机构，包含项目经理、项目工程师；调试监督、现场工程监督、质检工程师和安全监督；现场安装负责人、安装班组、起重班组和支援班组等相关组织机构和人员。持续完善施工中的保证措施：</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1）严格按国家颁布的电梯安装施工工艺标准执行，并派电梯安全质量检验员进行监督，每道工序完工后由质检员检查合格后，方能进行下一道工序。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2）为保证工程顺利无事故进行，安装队必须定期组织召开安全会，检查各种安全防护用品是否牢固。要求操作者严格遵守现场的安全管理规定，确保现场安全。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3）为保证在合同期内完成电梯的安装工作量，要求安装队制定详细的施工进度表，并严格按进度表完成当日的工作量。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4）在安装过程中，要求各班组必须加强自检、互检工作，并严格填写自检记录，各数据必须真实可靠，并有填写人签名，以便日后查找。</w:t>
      </w:r>
      <w:r/>
    </w:p>
    <w:p>
      <w:pPr>
        <w:pStyle w:val="953"/>
        <w:contextualSpacing/>
        <w:ind w:firstLine="480"/>
        <w:spacing w:line="440" w:lineRule="exact"/>
        <w:rPr>
          <w:rFonts w:ascii="宋体" w:hAnsi="宋体" w:eastAsia="宋体" w:cs="宋体"/>
          <w:spacing w:val="-3"/>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spacing w:val="-3"/>
          <w:sz w:val="24"/>
          <w:szCs w:val="24"/>
          <w:highlight w:val="none"/>
        </w:rPr>
        <w:t xml:space="preserve">中标人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p>
    <w:p>
      <w:pPr>
        <w:pStyle w:val="953"/>
        <w:contextualSpacing/>
        <w:ind w:firstLine="480"/>
        <w:spacing w:line="440" w:lineRule="exact"/>
        <w:rPr>
          <w:rFonts w:ascii="宋体" w:hAnsi="宋体" w:eastAsia="宋体" w:cs="宋体"/>
          <w:spacing w:val="-3"/>
          <w:sz w:val="24"/>
          <w:szCs w:val="24"/>
          <w:highlight w:val="none"/>
          <w:lang w:val="zh-CN"/>
        </w:rPr>
      </w:pPr>
      <w:r>
        <w:rPr>
          <w:rFonts w:hint="eastAsia" w:ascii="宋体" w:hAnsi="宋体" w:eastAsia="宋体" w:cs="宋体"/>
          <w:bCs/>
          <w:sz w:val="24"/>
          <w:szCs w:val="24"/>
          <w:highlight w:val="none"/>
        </w:rPr>
        <w:t xml:space="preserve">6）</w:t>
      </w:r>
      <w:r>
        <w:rPr>
          <w:rFonts w:hint="eastAsia" w:ascii="宋体" w:hAnsi="宋体" w:eastAsia="宋体" w:cs="宋体"/>
          <w:spacing w:val="-3"/>
          <w:sz w:val="24"/>
          <w:szCs w:val="24"/>
          <w:highlight w:val="none"/>
          <w:lang w:val="zh-CN"/>
        </w:rPr>
        <w:t xml:space="preserve">新电梯逐部安装（按采购人要求），拆除时需注意施工区域防护，减少对正常医疗秩序影响。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7）电梯安装现场必须有技术、安全人员监护。</w:t>
      </w:r>
      <w:r/>
    </w:p>
    <w:p>
      <w:pPr>
        <w:ind w:firstLine="480"/>
        <w:spacing w:line="440" w:lineRule="exact"/>
        <w:rPr>
          <w:rFonts w:ascii="宋体" w:hAnsi="宋体" w:cs="宋体"/>
          <w:spacing w:val="-3"/>
          <w:sz w:val="24"/>
          <w:szCs w:val="24"/>
          <w:highlight w:val="none"/>
        </w:rPr>
      </w:pPr>
      <w:r>
        <w:rPr>
          <w:rFonts w:hint="eastAsia" w:ascii="宋体" w:hAnsi="宋体" w:cs="宋体"/>
          <w:spacing w:val="-3"/>
          <w:sz w:val="24"/>
          <w:szCs w:val="24"/>
          <w:highlight w:val="none"/>
        </w:rPr>
        <w:t xml:space="preserve">8）中标人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9</w:t>
      </w:r>
      <w:r>
        <w:rPr>
          <w:rFonts w:hint="eastAsia" w:ascii="宋体" w:hAnsi="宋体" w:eastAsia="宋体" w:cs="宋体"/>
          <w:spacing w:val="-3"/>
          <w:sz w:val="24"/>
          <w:szCs w:val="24"/>
          <w:highlight w:val="none"/>
          <w:lang w:val="zh-CN"/>
        </w:rPr>
        <w:t xml:space="preserve">）投标人中标后，应在接到中标通知书后一周内按招标文件要求提交详细的图纸及项目组织设计等。</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10）</w:t>
      </w:r>
      <w:r>
        <w:rPr>
          <w:rFonts w:hint="eastAsia" w:ascii="宋体" w:hAnsi="宋体" w:eastAsia="宋体" w:cs="宋体"/>
          <w:spacing w:val="-3"/>
          <w:sz w:val="24"/>
          <w:szCs w:val="24"/>
          <w:highlight w:val="none"/>
          <w:lang w:val="zh-CN"/>
        </w:rPr>
        <w:t xml:space="preserve">设备订货合同签订后，由中标人厂家工程师到现场勘察设计，所有尺寸以现场勘测的实际尺寸为准；到货后，中标人负责进行设备安装调试，不得转包。</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11）</w:t>
      </w:r>
      <w:r>
        <w:rPr>
          <w:rFonts w:hint="eastAsia" w:ascii="宋体" w:hAnsi="宋体" w:eastAsia="宋体" w:cs="宋体"/>
          <w:spacing w:val="-3"/>
          <w:sz w:val="24"/>
          <w:szCs w:val="24"/>
          <w:highlight w:val="none"/>
          <w:lang w:val="zh-CN"/>
        </w:rPr>
        <w:t xml:space="preserve">本项目是更新电梯设备项目，施工不能破坏各楼层原有电梯门厅石材门套，确保各楼层原有电梯门厅外部装修不变。</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2.安全文明施工方案</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本项目在医疗机构内，拆除和安装工作多在夜间。施工环境复杂，安全要求高，投标人应根据招标文件要求及本项目实际，提供科学、细化的项目安全文明施工控制方案，要求项目实施过程中，不发生任何事故及做好环境、噪声等控制</w:t>
      </w:r>
      <w:r>
        <w:rPr>
          <w:rFonts w:hint="eastAsia" w:ascii="宋体" w:hAnsi="宋体"/>
          <w:sz w:val="24"/>
          <w:highlight w:val="none"/>
        </w:rPr>
        <w:t xml:space="preserve">，供应商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以防意外医患滑到和伤害；拆除和安装的进度施工方案需征得业主同意方可施工。施工前须与采购人签订安全协议，施工期间的安全责任由成交供应商负责，若发生安全事故，所有损失由成交供应商承担，给医院造成损失的，追究相关责任。</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（1）电梯安装区域设置警戒线，有明显标志，并要有专人监护，安装期间现场严禁闲杂人员进出；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（2）电梯安装前工作人员应对工具、附件等仔细检查，不合格者立即更换，确保正常使用；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（3）电梯安装过程中，所有工作人员必须听从指挥人员的统一指挥和信号；</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（4）电梯安装过程中须有专人照看电源；</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（5）电梯安装过程中所有工作人员必须戴好安全帽，上高人员必须穿防滑鞋，高空作业必须系好安全带，配挂工具包；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（6）电梯安装过程中严禁由高空向下抛投物品；</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（7）电梯安装过程中注意建筑物周边的障碍物，若有障碍物必须排除后方可作业，防止发生意外事故；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（8）电梯安装过程中吊笼运动时，人体及装运的物件绝对不准超出吊笼护栏；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（9）电梯安装过程中每道工序完成后经专人检查认可方能进行下一道安装工序；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（10）电梯安装过程中发现异常，应立即停止安装工作，排除故障后才能继续安装；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（11）电梯安装过程中吊笼载荷不允许超过额定安装载重量。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（12）电梯安装过程中吊杆进行安装工作时，吊杆的最大起重量为200kg，不允许超载，吊杆有悬挂物时，不准开动吊笼；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（13）电梯安装期间绝对不允许非安装人员使用施工升降机；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（14）安装期间严禁饮酒、打闹；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（15）电梯安装完成后应仔细检查施工升降机的各机构，各部位是否应处于良好状态，发现问题及时处理；</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rPr>
        <w:t xml:space="preserve">（16）施工中文明施工，严格遵守国家法规，遵守工地规章制度，配备安全检查专职人员。</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3.质量保证方案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（1）严格按国家颁布的电梯安装施工工艺标准执行，并派电梯安全质量检验员进行监督，每道工序完工后由质检员检查合格后，方能进行下一道工序。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（2）为保证工程顺利无事故进行，安装队必须定期组织召开安全会，检查各种安全防护用品是否牢固。要求操作者严格遵守现场的安全管理规定，确保现场安全。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（3）为保证在合同期内完成电梯的安装工作量，要求安装队制定详细的施工进度表，并严格按进度表完成当日的工作量。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（4）在安装过程中，要求各班组必须加强自检、互检工作，并严格填写自检记录，各数据必须真实可靠，并有填写人签名，以便日后查找。</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（5）施工中文明施工，严格遵守国家法规，遵守工地规章制度，配备安全检查专职人员。</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（6）电梯的安装和调试要求需严格执与电梯相关的国家、行业和地方的法律法规、规范规程、标准、图集的要求。</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如需对井道等进行改造，成交供应商须在收到成交通知书之日起15天内提交相关整改的书面详细要求（如发生变更原有建筑结构的维修改造，必须提供有资质的设计院出具的改造图纸），并配合做好井道整改。如因成交供应商原因造成不能及时安装和调试，由成交供应商承担一切责任和损失。</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（8）所投电梯必须符合中华人民共和国电梯制造与安全规范的制造、安装标准和技术规范要求，成交供应商须提供采购人所在地质量技术监督部门的验收合格证、运行证等。</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（9）本次采购规定的电梯设备，由成交供应商负责运输到项目现场，并进行整机安装、调试及试运行，政府验收合格后交付采购人。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（10）投标人依据现场实际情况和招标文件的要求，提供具体详实的项目实施方案（必须含自收到中标通知书之日起的项目进度计划表）。</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其它要求及说明：</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（1）电梯的电源总柜内，应有安装电源电缆的足够空间与配套紧固件。</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（2）电梯的变频调速等应有必要的防干扰措施，阻止电梯的干扰信号经双电源线路对外传导而妨害其它用电设备。</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（3）电梯的VVVF系统应采用低电磁噪声（静音化）、电流过零开关控制等技术，充分改善波形、降低谐波次数与幅值。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电梯电气系统应有三相电源错相与缺相保护、短路与超负荷保护，应有合理、可靠的防雷击保护；电梯电源（控制）柜应具有防水溅、防尘等必要的防护，应能在国标环境温度下长期正常工作，有强制通风散热，进风口滤网可拆洗，高温报警自动停运、钥匙开门等必需的保护；如果电梯配有工作温度较高的电阻器等元器件，不得与变频器、电脑控制板同柜安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（5）电梯控制系统应符合电磁兼容EMC（包括EMI、EMS）国家级标准。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（6）须配置井道爬梯、井道永久照明和井道间防护网并符合国标要求。</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其它注意事项和要求：</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（1）响应文件应按照已有井道与门厅、机房、圈梁等布置，原则上不得改造电梯井道的原有尺寸，技术要求中所有尺寸应以按现场勘查采购人确认的数据实际为准。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（2）在电梯的安装至交付过程中，成交供应商应按质监部门的检测与验收要求，提供检测所需的样件、材料、人员配合，并承担这些费用。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（3）成交供应商负责安装电梯所需的全部零件、管线（如电管、走线槽、电线、电缆等）、配件、构件、施工人员与设施，包括引至井道外与电梯有关的设备与管线。</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（4）如果建筑物现有共用总接地点接地电阻值不能满足响应电梯安装要求，由投标人自行解决。</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（5）如果建筑物现有共用总接地点接地电阻值不能满足响应电梯安装要求，由投标人自行解决。</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（6）除采购文件明确由采购人负责的工程外，因安装电梯所需的其它土建与预埋、配合，由成交供应商承担全部费用。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（7）成交供应商应当服从采购人属地的质监部门、城市管理等部门的管理与督查，并按规定缴相关管理费。</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rPr>
        <w:t xml:space="preserve">8</w:t>
      </w:r>
      <w:r>
        <w:rPr>
          <w:rFonts w:hint="eastAsia" w:ascii="宋体" w:hAnsi="宋体" w:eastAsia="宋体" w:cs="宋体"/>
          <w:spacing w:val="-3"/>
          <w:sz w:val="24"/>
          <w:szCs w:val="24"/>
          <w:highlight w:val="none"/>
          <w:lang w:val="zh-CN"/>
        </w:rPr>
        <w:t xml:space="preserve">）安装、调试、质量监督及其他服务人员条件：投标文件中应提供有关安装、调试、质量监督及其他服务所需人员（包括在本项目中负责的总部主管人员和现场主要人员）的配备情况，包括其姓名、年龄、学</w:t>
      </w:r>
      <w:r>
        <w:rPr>
          <w:rFonts w:hint="eastAsia" w:ascii="宋体" w:hAnsi="宋体" w:eastAsia="宋体" w:cs="宋体"/>
          <w:spacing w:val="-3"/>
          <w:sz w:val="24"/>
          <w:szCs w:val="24"/>
          <w:highlight w:val="none"/>
          <w:lang w:val="zh-CN"/>
        </w:rPr>
        <w:t xml:space="preserve">历、资质、履历、类似项目或工程经验等。其中安装人员必须提供本单位近三个月内任意一个月缴纳该安装人员职工社会保障资金的缴款凭证或缴款证明。投标文件需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供应商应提供同等资质人员替代其执行合同，该人员需获得采购人确认后方可开始工作，由此所引起的一切责任由供应商自负。</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9</w:t>
      </w:r>
      <w:r>
        <w:rPr>
          <w:rFonts w:hint="eastAsia" w:ascii="宋体" w:hAnsi="宋体" w:cs="宋体"/>
          <w:sz w:val="24"/>
          <w:szCs w:val="24"/>
          <w:highlight w:val="none"/>
          <w:lang w:val="zh-CN"/>
        </w:rPr>
        <w:t xml:space="preserve">）供应商应保证货物是投标品牌全新、未使用过的原装合格正品。</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10</w:t>
      </w:r>
      <w:r>
        <w:rPr>
          <w:rFonts w:hint="eastAsia" w:ascii="宋体" w:hAnsi="宋体" w:cs="宋体"/>
          <w:sz w:val="24"/>
          <w:szCs w:val="24"/>
          <w:highlight w:val="none"/>
          <w:lang w:val="zh-CN"/>
        </w:rPr>
        <w:t xml:space="preserve">）供应商应保证提供的产品不得侵犯第三方专利权、商标权和工业设计权、版权等。否则供应商应负全部责任，并承担由此引起的一切后果。</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11</w:t>
      </w:r>
      <w:r>
        <w:rPr>
          <w:rFonts w:hint="eastAsia" w:ascii="宋体" w:hAnsi="宋体" w:cs="宋体"/>
          <w:sz w:val="24"/>
          <w:szCs w:val="24"/>
          <w:highlight w:val="none"/>
          <w:lang w:val="zh-CN"/>
        </w:rPr>
        <w:t xml:space="preserve">）供应商提供的货物必须符合国家有关质量技术标准及相关法律、法规规定的要求。</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（12）</w:t>
      </w:r>
      <w:r>
        <w:rPr>
          <w:rFonts w:hint="eastAsia" w:ascii="宋体" w:hAnsi="宋体" w:cs="宋体"/>
          <w:sz w:val="24"/>
          <w:szCs w:val="24"/>
          <w:highlight w:val="none"/>
          <w:lang w:val="zh-CN"/>
        </w:rPr>
        <w:t xml:space="preserve">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spacing w:line="440" w:lineRule="exact"/>
        <w:rPr>
          <w:rFonts w:ascii="宋体" w:hAnsi="宋体"/>
          <w:b/>
          <w:bCs/>
          <w:sz w:val="24"/>
          <w:szCs w:val="24"/>
          <w:highlight w:val="none"/>
        </w:rPr>
      </w:pPr>
      <w:r>
        <w:rPr>
          <w:rFonts w:hint="eastAsia" w:ascii="宋体" w:hAnsi="宋体"/>
          <w:b/>
          <w:bCs/>
          <w:sz w:val="24"/>
          <w:szCs w:val="24"/>
          <w:highlight w:val="none"/>
        </w:rPr>
        <w:t xml:space="preserve">4.应急处置方案要求：</w:t>
      </w:r>
      <w:r/>
    </w:p>
    <w:p>
      <w:pPr>
        <w:ind w:firstLine="480"/>
        <w:spacing w:line="440" w:lineRule="exact"/>
        <w:rPr>
          <w:rFonts w:ascii="宋体" w:hAnsi="宋体"/>
          <w:sz w:val="24"/>
          <w:highlight w:val="none"/>
        </w:rPr>
      </w:pPr>
      <w:r>
        <w:rPr>
          <w:rFonts w:hint="eastAsia" w:ascii="宋体" w:hAnsi="宋体"/>
          <w:sz w:val="24"/>
          <w:highlight w:val="none"/>
        </w:rPr>
        <w:t xml:space="preserve">本项目电梯主要由医疗区域使用，使用负荷高，应急安全等要求高，投标人应针对本项目制定具体的应急预案，确保电梯使用安全和人身安全。</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（1）接到业主报警或发现有乘客被困在电梯内，应</w:t>
      </w:r>
      <w:r>
        <w:rPr>
          <w:rFonts w:hint="eastAsia" w:ascii="微软雅黑" w:hAnsi="微软雅黑" w:eastAsia="微软雅黑" w:cs="微软雅黑"/>
          <w:sz w:val="24"/>
          <w:highlight w:val="none"/>
        </w:rPr>
        <w:t xml:space="preserve">⽴</w:t>
      </w:r>
      <w:r>
        <w:rPr>
          <w:rFonts w:hint="eastAsia" w:ascii="宋体" w:hAnsi="宋体" w:cs="宋体"/>
          <w:sz w:val="24"/>
          <w:highlight w:val="none"/>
        </w:rPr>
        <w:t xml:space="preserve">即通知保安消防监控室，同时记录接报和发现时间。</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（2）维修单位经理或值班人员接报后，应即派人前往现场解救，同时电话通知电梯维修公司前来抢修。</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（3）若维修单位和电梯维修公司都不能解救或短期时间内解救不了，应视情况向公安部门或消防部门求助（应说明求助原因和情况）。向公安、消防部门求助前应征得甲方的同意。</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（4）在解救过程中，若发现被困乘客中有晕厥、神志昏迷（尤其是老人或儿童），应立即通知医护人员到场，以便被困人员救出后即可进行抢救。</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（5）被困者救出后，应立即请电梯维修公司查明故障原因，修复后方可恢复正常运。</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（6）维修单位经理或值班人员应详细记录故障发生时间、原因、解救办法和修复时间。</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rPr>
        <w:t xml:space="preserve">7</w:t>
      </w:r>
      <w:r>
        <w:rPr>
          <w:rFonts w:hint="eastAsia" w:ascii="宋体" w:hAnsi="宋体" w:eastAsia="宋体" w:cs="宋体"/>
          <w:spacing w:val="-3"/>
          <w:sz w:val="24"/>
          <w:szCs w:val="24"/>
          <w:highlight w:val="none"/>
          <w:lang w:val="zh-CN"/>
        </w:rPr>
        <w:t xml:space="preserve">）建有电梯运行监测平台，对电梯运行状况进行实时监测，及时发现运行故障，第一时间告知使用人并派员处理。</w:t>
      </w:r>
      <w:r/>
    </w:p>
    <w:p>
      <w:pPr>
        <w:ind w:firstLine="480"/>
        <w:spacing w:line="440" w:lineRule="exact"/>
        <w:rPr>
          <w:rFonts w:ascii="宋体" w:hAnsi="宋体"/>
          <w:b/>
          <w:bCs/>
          <w:sz w:val="24"/>
          <w:szCs w:val="24"/>
          <w:highlight w:val="none"/>
        </w:rPr>
      </w:pPr>
      <w:r>
        <w:rPr>
          <w:rFonts w:hint="eastAsia" w:ascii="宋体" w:hAnsi="宋体"/>
          <w:b/>
          <w:bCs/>
          <w:sz w:val="24"/>
          <w:szCs w:val="24"/>
          <w:highlight w:val="none"/>
        </w:rPr>
        <w:t xml:space="preserve">5.售后服务（培训、质保、维保）方案</w:t>
      </w:r>
      <w:r/>
    </w:p>
    <w:p>
      <w:pPr>
        <w:ind w:firstLine="351"/>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 xml:space="preserve">（1）培训要求</w:t>
      </w:r>
      <w:r/>
    </w:p>
    <w:p>
      <w:pPr>
        <w:pStyle w:val="953"/>
        <w:ind w:firstLine="480"/>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投标人依据现场实际情况和招标文件的要求，提供具体详实的售后服务方案：包括售后服务及电梯故障响应机制，在电梯发生故障时将故障排除，对于电梯的维修和质保应满足以下要求。</w:t>
      </w:r>
      <w:r>
        <w:rPr>
          <w:rFonts w:hint="eastAsia" w:ascii="宋体" w:hAnsi="宋体" w:eastAsia="宋体" w:cs="宋体"/>
          <w:spacing w:val="0"/>
          <w:sz w:val="24"/>
          <w:szCs w:val="24"/>
          <w:highlight w:val="none"/>
          <w:lang w:val="zh-CN"/>
        </w:rPr>
        <w:t xml:space="preserve">中标人提供售后服务体系及配套的管理制度，所投品牌承诺由厂家提供驻点服务、备品备件库说明等。</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w:t>
      </w: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zh-CN"/>
        </w:rPr>
        <w:t xml:space="preserve">）售后服务响应时间要求</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1）</w:t>
      </w:r>
      <w:r>
        <w:rPr>
          <w:rFonts w:hint="eastAsia" w:ascii="宋体" w:hAnsi="宋体" w:eastAsia="宋体" w:cs="宋体"/>
          <w:spacing w:val="0"/>
          <w:sz w:val="24"/>
          <w:szCs w:val="24"/>
          <w:highlight w:val="none"/>
          <w:lang w:val="zh-CN"/>
        </w:rPr>
        <w:t xml:space="preserve">中标人所提供的设备发生故障后，一经采购人通知后应做到快速响应并到达现场；电梯困人的求援时间不应超过30分钟内到达现场；故障反应时间小于30分钟；一般故障修复时间小于60分钟；较大故障修复时间小于24小时。</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zh-CN"/>
        </w:rPr>
        <w:t xml:space="preserve">质保期内，中标人应每半月、季对每台电梯的运行安全工作情况作一次全面检查，并向采购人提交检查报告(检查报告的内容至少应包括故障次数、故障类型、处理方法、处理后的效果、所有安全装置状态和设备现有工作状况等)。</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zh-CN"/>
        </w:rPr>
        <w:t xml:space="preserve">因设备制造原因出现的质量问题，中标人应负责更换或维修，由此产生的一切费用由中标人承担。</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w:t>
      </w: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zh-CN"/>
        </w:rPr>
        <w:t xml:space="preserve">）质保期内的日常保养要求</w:t>
      </w:r>
      <w:r/>
    </w:p>
    <w:p>
      <w:pPr>
        <w:contextualSpacing/>
        <w:ind w:firstLine="468"/>
        <w:spacing w:line="440" w:lineRule="exact"/>
        <w:rPr>
          <w:rFonts w:ascii="宋体" w:hAnsi="宋体" w:cs="宋体"/>
          <w:spacing w:val="0"/>
          <w:highlight w:val="none"/>
        </w:rPr>
      </w:pPr>
      <w:r>
        <w:rPr>
          <w:rFonts w:hint="eastAsia" w:ascii="宋体" w:hAnsi="宋体" w:cs="宋体"/>
          <w:spacing w:val="0"/>
          <w:sz w:val="24"/>
          <w:szCs w:val="24"/>
          <w:highlight w:val="none"/>
        </w:rPr>
        <w:t xml:space="preserve">1）</w:t>
      </w:r>
      <w:r>
        <w:rPr>
          <w:rFonts w:hint="eastAsia" w:ascii="宋体" w:hAnsi="宋体" w:cs="宋体"/>
          <w:spacing w:val="0"/>
          <w:sz w:val="24"/>
          <w:szCs w:val="24"/>
          <w:highlight w:val="none"/>
          <w:lang w:val="zh-CN"/>
        </w:rPr>
        <w:t xml:space="preserve">中标人应定期派出专业人员对电梯进行保养，每月进行常规维护保养不少于两次，由派出的专业人员对每台设备进行保养、检查、维护、调整、加油、润滑以及维修时提供电梯原厂零部件（相关费用含在此次报价中），使设备保持安全、正常状态，每次保养应经采购人签字确认。</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2）</w:t>
      </w:r>
      <w:r>
        <w:rPr>
          <w:rFonts w:hint="eastAsia" w:ascii="宋体" w:hAnsi="宋体" w:cs="宋体"/>
          <w:spacing w:val="0"/>
          <w:sz w:val="24"/>
          <w:szCs w:val="24"/>
          <w:highlight w:val="none"/>
          <w:lang w:val="zh-CN"/>
        </w:rPr>
        <w:t xml:space="preserve">中标人负责按TSG T5002-2017《电梯维护保养规则》和《医疗和疾控机构后勤安全生产工作管理指南》相关要求进行维保和管理，维保需符合国家及行业最新相关标准。</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3）</w:t>
      </w:r>
      <w:r>
        <w:rPr>
          <w:rFonts w:hint="eastAsia" w:ascii="宋体" w:hAnsi="宋体" w:cs="宋体"/>
          <w:spacing w:val="0"/>
          <w:sz w:val="24"/>
          <w:szCs w:val="24"/>
          <w:highlight w:val="none"/>
          <w:lang w:val="zh-CN"/>
        </w:rPr>
        <w:t xml:space="preserve">中标人对其维保电梯的安全性能负责。对承担维保的电梯是否符合安全技术规范要求应当进行确认，维保后的电梯应当符合相应的安全技术规范，并且处于正常的运行状态。</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4）</w:t>
      </w:r>
      <w:r>
        <w:rPr>
          <w:rFonts w:hint="eastAsia" w:ascii="宋体" w:hAnsi="宋体" w:eastAsia="宋体" w:cs="宋体"/>
          <w:spacing w:val="0"/>
          <w:sz w:val="24"/>
          <w:szCs w:val="24"/>
          <w:highlight w:val="none"/>
          <w:lang w:val="zh-CN"/>
        </w:rPr>
        <w:t xml:space="preserve">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5）</w:t>
      </w:r>
      <w:r>
        <w:rPr>
          <w:rFonts w:hint="eastAsia" w:ascii="宋体" w:hAnsi="宋体" w:eastAsia="宋体" w:cs="宋体"/>
          <w:spacing w:val="0"/>
          <w:sz w:val="24"/>
          <w:szCs w:val="24"/>
          <w:highlight w:val="none"/>
          <w:lang w:val="zh-CN"/>
        </w:rPr>
        <w:t xml:space="preserve">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6）</w:t>
      </w:r>
      <w:r>
        <w:rPr>
          <w:rFonts w:hint="eastAsia" w:ascii="宋体" w:hAnsi="宋体" w:eastAsia="宋体" w:cs="宋体"/>
          <w:spacing w:val="0"/>
          <w:sz w:val="24"/>
          <w:szCs w:val="24"/>
          <w:highlight w:val="none"/>
          <w:lang w:val="zh-CN"/>
        </w:rPr>
        <w:t xml:space="preserve">设备投入使用后提供升级服务，中标人有义务对设备的控制软件给予动态的、最新的升级服务（相关费用含在此次报价中）。</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7）</w:t>
      </w:r>
      <w:r>
        <w:rPr>
          <w:rFonts w:hint="eastAsia" w:ascii="宋体" w:hAnsi="宋体" w:eastAsia="宋体" w:cs="宋体"/>
          <w:spacing w:val="0"/>
          <w:sz w:val="24"/>
          <w:szCs w:val="24"/>
          <w:highlight w:val="none"/>
          <w:lang w:val="zh-CN"/>
        </w:rPr>
        <w:t xml:space="preserve">每个月提交维保维修报告、维修记录、开展保养、提供备品备件清单、维保记录档案等，台账资料以及电梯维保满足《医疗和疾控机构后勤安全生产工作管理指南》和三甲医院评审相关要求。</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8）</w:t>
      </w:r>
      <w:r>
        <w:rPr>
          <w:rFonts w:hint="eastAsia" w:ascii="宋体" w:hAnsi="宋体" w:cs="宋体"/>
          <w:spacing w:val="0"/>
          <w:sz w:val="24"/>
          <w:szCs w:val="24"/>
          <w:highlight w:val="none"/>
          <w:lang w:val="zh-CN"/>
        </w:rPr>
        <w:t xml:space="preserve">中标人保证和负责项目内设备通过年检并取得新一年度的《电梯准用证》。（如不通过中标人必须整改并支付维保期内检测费用，由此造成的相关费用、后果与损失由中标人承担）。</w:t>
      </w:r>
      <w:r/>
    </w:p>
    <w:p>
      <w:pPr>
        <w:contextualSpacing/>
        <w:ind w:firstLine="468"/>
        <w:spacing w:line="440" w:lineRule="exact"/>
        <w:rPr>
          <w:rFonts w:ascii="宋体" w:hAnsi="宋体" w:cs="宋体"/>
          <w:spacing w:val="0"/>
          <w:highlight w:val="none"/>
        </w:rPr>
      </w:pPr>
      <w:r>
        <w:rPr>
          <w:rFonts w:hint="eastAsia" w:ascii="宋体" w:hAnsi="宋体" w:cs="宋体"/>
          <w:spacing w:val="0"/>
          <w:sz w:val="24"/>
          <w:szCs w:val="24"/>
          <w:highlight w:val="none"/>
        </w:rPr>
        <w:t xml:space="preserve">9）</w:t>
      </w:r>
      <w:r>
        <w:rPr>
          <w:rFonts w:hint="eastAsia" w:ascii="宋体" w:hAnsi="宋体" w:cs="宋体"/>
          <w:spacing w:val="0"/>
          <w:sz w:val="24"/>
          <w:szCs w:val="24"/>
          <w:highlight w:val="none"/>
          <w:lang w:val="zh-CN"/>
        </w:rPr>
        <w:t xml:space="preserve">在维保过程中如发现需更换零部件，费用由中标人承担。中标人应及时通知采购人，提供的更换部件（原厂原品牌、型号配件）和维修方案待采购人认可后方可实施。</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10）中标人</w:t>
      </w:r>
      <w:r>
        <w:rPr>
          <w:rFonts w:hint="eastAsia" w:ascii="宋体" w:hAnsi="宋体" w:cs="宋体"/>
          <w:spacing w:val="0"/>
          <w:sz w:val="24"/>
          <w:szCs w:val="24"/>
          <w:highlight w:val="none"/>
          <w:lang w:val="zh-CN"/>
        </w:rPr>
        <w:t xml:space="preserve">须对所维保的电梯进行每年不少于一次的全面电梯质量安全检查，检查结束应在一周内向甲方提供详细检查报告书一份。</w:t>
      </w:r>
      <w:r/>
    </w:p>
    <w:p>
      <w:pPr>
        <w:contextualSpacing/>
        <w:ind w:firstLine="468"/>
        <w:spacing w:line="440" w:lineRule="exact"/>
        <w:rPr>
          <w:rFonts w:hint="eastAsia" w:ascii="宋体" w:hAnsi="宋体" w:cs="宋体"/>
          <w:spacing w:val="0"/>
          <w:sz w:val="24"/>
          <w:szCs w:val="24"/>
          <w:highlight w:val="none"/>
          <w:lang w:val="zh-CN"/>
        </w:rPr>
      </w:pPr>
      <w:r>
        <w:rPr>
          <w:rFonts w:hint="eastAsia" w:ascii="宋体" w:hAnsi="宋体" w:cs="宋体"/>
          <w:spacing w:val="0"/>
          <w:sz w:val="24"/>
          <w:szCs w:val="24"/>
          <w:highlight w:val="none"/>
        </w:rPr>
        <w:t xml:space="preserve">11</w:t>
      </w:r>
      <w:r>
        <w:rPr>
          <w:rFonts w:hint="eastAsia" w:ascii="宋体" w:hAnsi="宋体" w:cs="宋体"/>
          <w:spacing w:val="0"/>
          <w:sz w:val="24"/>
          <w:szCs w:val="24"/>
          <w:highlight w:val="none"/>
          <w:lang w:val="zh-CN"/>
        </w:rPr>
        <w:t xml:space="preserve">）</w:t>
      </w:r>
      <w:r>
        <w:rPr>
          <w:rFonts w:hint="eastAsia" w:ascii="宋体" w:hAnsi="宋体" w:cs="宋体"/>
          <w:spacing w:val="0"/>
          <w:sz w:val="24"/>
          <w:szCs w:val="24"/>
          <w:highlight w:val="none"/>
        </w:rPr>
        <w:t xml:space="preserve">中标人</w:t>
      </w:r>
      <w:r>
        <w:rPr>
          <w:rFonts w:hint="eastAsia" w:ascii="宋体" w:hAnsi="宋体" w:cs="宋体"/>
          <w:spacing w:val="0"/>
          <w:sz w:val="24"/>
          <w:szCs w:val="24"/>
          <w:highlight w:val="none"/>
          <w:lang w:val="zh-CN"/>
        </w:rPr>
        <w:t xml:space="preserve">按照电梯档案管理制度和电梯安全管理规章制度，制定巡检例行保养表，定期保养表，维保记录，把每一次维保起止时间，主要内容，更换主要配件，故障原因等记录在案，并由检修负责人和甲方电梯管理人员签章，并做好技监局检测检验记录及整改、中修、大修记录。乙方的电梯档案要做到一梯一档、记录完整、随时备查。</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12</w:t>
      </w:r>
      <w:r>
        <w:rPr>
          <w:rFonts w:hint="eastAsia" w:ascii="宋体" w:hAnsi="宋体" w:cs="宋体"/>
          <w:spacing w:val="0"/>
          <w:sz w:val="24"/>
          <w:szCs w:val="24"/>
          <w:highlight w:val="none"/>
          <w:lang w:val="zh-CN"/>
        </w:rPr>
        <w:t xml:space="preserve">）维保期间，中标人对维保的电梯需按照《电梯监督检验和定期检验规则》（TSG_T7001 2023）要求每年度至少进行1次自检，自</w:t>
      </w:r>
      <w:r>
        <w:rPr>
          <w:rFonts w:hint="eastAsia" w:ascii="宋体" w:hAnsi="宋体" w:cs="宋体"/>
          <w:spacing w:val="0"/>
          <w:sz w:val="24"/>
          <w:szCs w:val="24"/>
          <w:highlight w:val="none"/>
          <w:lang w:val="zh-CN"/>
        </w:rPr>
        <w:t xml:space="preserve">检时间安排在年度检验检测之前进行。自检项目不少于电梯年度检验检测规定的项目及内容，自检结束向采购人出具加盖中标人公章的记录和报告。配合政府主管部门对电梯实施年度检验检测，并保证年度检验检测的顺利通过。因中标人责任造成一次年度检验检测未通过的，再次检验检测的费用由中标单位承担；如因检验检测不合格造成电梯停运，所造成的损失和影响由中标单位承担。对政府主管部门检验检测及例行检查提出的相关整改内容，由维保单位进行整改直至符合政府主管部门要求。同时，中标单位负责免费提供电梯检验检测时载荷试验所需的配重块及其搬运工作。</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质保期届满前30日内，中标人应全面检查一次，需有专业工程师对所提供的设备进行测试并将检查情况书面报告采购人，任何缺陷须由制造商修理，并得到采购人认可（相关费用含在此次报价中）。在修理之后，中标人应将成因、补教措施、恢复正常的时间和日期等报告给采购人，报告一式两份。</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rPr>
        <w:t xml:space="preserve">4</w:t>
      </w:r>
      <w:r>
        <w:rPr>
          <w:rFonts w:hint="eastAsia" w:ascii="宋体" w:hAnsi="宋体" w:eastAsia="宋体" w:cs="宋体"/>
          <w:spacing w:val="-3"/>
          <w:sz w:val="24"/>
          <w:szCs w:val="24"/>
          <w:highlight w:val="none"/>
          <w:lang w:val="zh-CN"/>
        </w:rPr>
        <w:t xml:space="preserve">）维保服务日常考核要求</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日常管理考核包括工作人员持证上岗情况，不定期检查相关维保场所（电梯机房、井道，轿内卫生等）设备设施运行情况及现场卫生情况等。</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1）维保场所、值班区域、机房等场所环境卫生较差，经提醒后在规定时间内（3天）整改不到位的，扣罚300元一次。</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2）维保人员在接到使用单位通知后，未在合同约定时间（20分钟）内到达现场，一次扣罚500元。</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3）上级部门各项检查中发现工作存在安全隐患的视情节轻重每次扣罚乙方300-500元。</w:t>
      </w:r>
      <w:r/>
    </w:p>
    <w:p>
      <w:pPr>
        <w:pStyle w:val="953"/>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4）医护人员、患者、患者家属投诉维保人员服务质量和服务态度有问题，一经查实扣罚中标人100元。</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3"/>
          <w:sz w:val="24"/>
          <w:szCs w:val="24"/>
          <w:highlight w:val="none"/>
          <w:lang w:val="zh-CN"/>
        </w:rPr>
        <w:t xml:space="preserve">5）维保不认真，未按照电梯维保标准进行维保工作的，视情节轻重每次扣罚</w:t>
      </w:r>
      <w:r>
        <w:rPr>
          <w:rFonts w:hint="eastAsia" w:ascii="宋体" w:hAnsi="宋体" w:eastAsia="宋体" w:cs="宋体"/>
          <w:spacing w:val="0"/>
          <w:sz w:val="24"/>
          <w:szCs w:val="24"/>
          <w:highlight w:val="none"/>
          <w:lang w:val="zh-CN"/>
        </w:rPr>
        <w:t xml:space="preserve">乙方300-500元。</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6）现场维保人员需持证上岗，无证、证书不在有效期内的，无证人员需立即退出维保岗位，扣罚乙方1000元。</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7）由于维保人员工作不认真，导致的人身安全伤害（自身、医护人员、患者、家属或陪护）及财产损失的，视情节每次处罚中标人500-3000元并承担损失。造成后果的，中标人承担全部责任。采购人保留通过法律途径追偿经济损失和社会名誉损失等法律权利。</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8）电梯故障控制</w:t>
      </w:r>
      <w:r/>
    </w:p>
    <w:p>
      <w:pPr>
        <w:pStyle w:val="953"/>
        <w:contextualSpacing/>
        <w:ind w:firstLine="468"/>
        <w:spacing w:line="440" w:lineRule="exact"/>
        <w:rPr>
          <w:rFonts w:cs="Arial"/>
          <w:color w:val="000311"/>
          <w:highlight w:val="none"/>
        </w:rPr>
      </w:pPr>
      <w:r>
        <w:rPr>
          <w:rFonts w:hint="eastAsia" w:ascii="宋体" w:hAnsi="宋体" w:eastAsia="宋体" w:cs="宋体"/>
          <w:spacing w:val="0"/>
          <w:sz w:val="24"/>
          <w:szCs w:val="24"/>
          <w:highlight w:val="none"/>
        </w:rPr>
        <w:t xml:space="preserve">①</w:t>
      </w:r>
      <w:r>
        <w:rPr>
          <w:rFonts w:hint="eastAsia" w:ascii="宋体" w:hAnsi="宋体" w:eastAsia="宋体" w:cs="宋体"/>
          <w:spacing w:val="0"/>
          <w:sz w:val="24"/>
          <w:szCs w:val="24"/>
          <w:highlight w:val="none"/>
          <w:lang w:val="zh-CN"/>
        </w:rPr>
        <w:t xml:space="preserve">根据《GB/T24476-2017电梯安全评估规范》相关要求，按照电梯出现故障的严重程度，将电梯故障分为一、二、三、四共四个等级。每个等级对应的故障种类见下表。</w:t>
      </w:r>
      <w:r/>
    </w:p>
    <w:p>
      <w:pPr>
        <w:pStyle w:val="1044"/>
        <w:contextualSpacing/>
        <w:ind w:firstLine="480"/>
        <w:jc w:val="center"/>
        <w:spacing w:beforeAutospacing="0" w:afterAutospacing="0" w:line="440" w:lineRule="exact"/>
        <w:shd w:val="clear" w:color="auto" w:fill="ffffff"/>
        <w:rPr>
          <w:rFonts w:cs="Arial"/>
          <w:color w:val="000311"/>
          <w:highlight w:val="none"/>
        </w:rPr>
      </w:pPr>
      <w:r>
        <w:rPr>
          <w:rFonts w:hint="eastAsia" w:cs="Arial"/>
          <w:color w:val="000311"/>
          <w:highlight w:val="none"/>
        </w:rPr>
        <w:t xml:space="preserve">电梯故障等级划分表</w:t>
      </w:r>
      <w:r/>
    </w:p>
    <w:tbl>
      <w:tblPr>
        <w:tblStyle w:val="7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2"/>
        <w:gridCol w:w="1562"/>
        <w:gridCol w:w="3454"/>
      </w:tblGrid>
      <w:tr>
        <w:trPr>
          <w:trHeight w:val="567" w:hRule="exact"/>
        </w:trPr>
        <w:tc>
          <w:tcPr>
            <w:tcW w:w="2059" w:type="dxa"/>
            <w:vAlign w:val="center"/>
            <w:vMerge w:val="restart"/>
            <w:textDirection w:val="lrTb"/>
            <w:noWrap/>
          </w:tcPr>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电梯故障等级四级</w:t>
            </w:r>
            <w:r/>
          </w:p>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（灾难性故障）</w:t>
            </w:r>
            <w:r/>
          </w:p>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序号</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故障子目</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坠落</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2</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冲顶</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3</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蹲底</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4</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电气系统起火</w:t>
            </w:r>
            <w:r/>
          </w:p>
        </w:tc>
      </w:tr>
      <w:tr>
        <w:trPr>
          <w:trHeight w:val="567" w:hRule="exact"/>
        </w:trPr>
        <w:tc>
          <w:tcPr>
            <w:tcW w:w="2059" w:type="dxa"/>
            <w:vAlign w:val="center"/>
            <w:vMerge w:val="restart"/>
            <w:textDirection w:val="lrTb"/>
            <w:noWrap/>
          </w:tcPr>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电梯故障等级三级</w:t>
            </w:r>
            <w:r/>
          </w:p>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（严重故障）</w:t>
            </w:r>
            <w:r/>
          </w:p>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5</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困人事件</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6</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制动器失效</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7</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钢丝绳磨损</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8</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控制系统瘫痪</w:t>
            </w:r>
            <w:r/>
          </w:p>
        </w:tc>
      </w:tr>
      <w:tr>
        <w:trPr>
          <w:trHeight w:val="567" w:hRule="exact"/>
        </w:trPr>
        <w:tc>
          <w:tcPr>
            <w:tcW w:w="2059" w:type="dxa"/>
            <w:vAlign w:val="center"/>
            <w:vMerge w:val="restart"/>
            <w:textDirection w:val="lrTb"/>
            <w:noWrap/>
          </w:tcPr>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电梯故障等级二级</w:t>
            </w:r>
            <w:r/>
          </w:p>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（一般故障）</w:t>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9</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门锁接触不良</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b/>
                <w:color w:val="000311"/>
                <w:highlight w:val="none"/>
              </w:rPr>
            </w:pPr>
            <w:r>
              <w:rPr>
                <w:rFonts w:cs="Arial"/>
                <w:b/>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10</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平层误差较大</w:t>
            </w:r>
            <w:r/>
          </w:p>
        </w:tc>
      </w:tr>
      <w:tr>
        <w:trPr>
          <w:trHeight w:val="567" w:hRule="exact"/>
        </w:trPr>
        <w:tc>
          <w:tcPr>
            <w:tcW w:w="2059" w:type="dxa"/>
            <w:vAlign w:val="center"/>
            <w:vMerge w:val="continue"/>
            <w:textDirection w:val="lrTb"/>
            <w:noWrap/>
          </w:tcPr>
          <w:p>
            <w:pPr>
              <w:pStyle w:val="1044"/>
              <w:contextualSpacing/>
              <w:jc w:val="center"/>
              <w:spacing w:beforeAutospacing="0" w:afterAutospacing="0" w:line="440" w:lineRule="exact"/>
              <w:rPr>
                <w:rFonts w:cs="Arial"/>
                <w:b/>
                <w:color w:val="000311"/>
                <w:highlight w:val="none"/>
              </w:rPr>
            </w:pPr>
            <w:r>
              <w:rPr>
                <w:rFonts w:cs="Arial"/>
                <w:b/>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11</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控制系统偶发误报</w:t>
            </w:r>
            <w:r/>
          </w:p>
        </w:tc>
      </w:tr>
      <w:tr>
        <w:trPr>
          <w:trHeight w:val="567" w:hRule="exact"/>
        </w:trPr>
        <w:tc>
          <w:tcPr>
            <w:tcW w:w="2059" w:type="dxa"/>
            <w:vAlign w:val="center"/>
            <w:vMerge w:val="restart"/>
            <w:textDirection w:val="lrTb"/>
            <w:noWrap/>
          </w:tcPr>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电梯故障等级一级</w:t>
            </w:r>
            <w:r/>
          </w:p>
          <w:p>
            <w:pPr>
              <w:pStyle w:val="1044"/>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（轻微故障）</w:t>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12</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按钮失灵</w:t>
            </w:r>
            <w:r/>
          </w:p>
        </w:tc>
      </w:tr>
      <w:tr>
        <w:trPr>
          <w:trHeight w:val="567" w:hRule="exact"/>
        </w:trPr>
        <w:tc>
          <w:tcPr>
            <w:tcW w:w="2059" w:type="dxa"/>
            <w:vAlign w:val="top"/>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13</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按钮显示异常</w:t>
            </w:r>
            <w:r/>
          </w:p>
        </w:tc>
      </w:tr>
      <w:tr>
        <w:trPr>
          <w:trHeight w:val="567" w:hRule="exact"/>
        </w:trPr>
        <w:tc>
          <w:tcPr>
            <w:tcW w:w="2059" w:type="dxa"/>
            <w:vAlign w:val="top"/>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14</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轻微异响</w:t>
            </w:r>
            <w:r/>
          </w:p>
        </w:tc>
      </w:tr>
      <w:tr>
        <w:trPr>
          <w:trHeight w:val="567" w:hRule="exact"/>
        </w:trPr>
        <w:tc>
          <w:tcPr>
            <w:tcW w:w="2059" w:type="dxa"/>
            <w:vAlign w:val="top"/>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15</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轻微震动</w:t>
            </w:r>
            <w:r/>
          </w:p>
        </w:tc>
      </w:tr>
      <w:tr>
        <w:trPr>
          <w:trHeight w:val="567" w:hRule="exact"/>
        </w:trPr>
        <w:tc>
          <w:tcPr>
            <w:tcW w:w="2059" w:type="dxa"/>
            <w:vAlign w:val="top"/>
            <w:vMerge w:val="continue"/>
            <w:textDirection w:val="lrTb"/>
            <w:noWrap/>
          </w:tcPr>
          <w:p>
            <w:pPr>
              <w:pStyle w:val="1044"/>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16</w:t>
            </w:r>
            <w:r/>
          </w:p>
        </w:tc>
        <w:tc>
          <w:tcPr>
            <w:tcW w:w="2025" w:type="dxa"/>
            <w:vAlign w:val="center"/>
            <w:textDirection w:val="lrTb"/>
            <w:noWrap/>
          </w:tcPr>
          <w:p>
            <w:pPr>
              <w:pStyle w:val="1044"/>
              <w:contextualSpacing/>
              <w:jc w:val="center"/>
              <w:spacing w:beforeAutospacing="0" w:afterAutospacing="0" w:line="440" w:lineRule="exact"/>
              <w:rPr>
                <w:rFonts w:cs="Arial"/>
                <w:color w:val="000311"/>
                <w:highlight w:val="none"/>
              </w:rPr>
            </w:pPr>
            <w:r>
              <w:rPr>
                <w:rFonts w:hint="eastAsia" w:cs="Arial"/>
                <w:color w:val="000311"/>
                <w:highlight w:val="none"/>
              </w:rPr>
              <w:t xml:space="preserve">轿厢照明故障</w:t>
            </w:r>
            <w:r/>
          </w:p>
        </w:tc>
      </w:tr>
    </w:tbl>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②</w:t>
      </w:r>
      <w:r>
        <w:rPr>
          <w:rFonts w:hint="eastAsia" w:ascii="宋体" w:hAnsi="宋体" w:eastAsia="宋体" w:cs="宋体"/>
          <w:spacing w:val="0"/>
          <w:sz w:val="24"/>
          <w:szCs w:val="24"/>
          <w:highlight w:val="none"/>
          <w:lang w:val="zh-CN"/>
        </w:rPr>
        <w:t xml:space="preserve">电梯如出现四级电梯故障，采购人有权直接解除合同，中标人赔偿采购人一切损失；</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③</w:t>
      </w:r>
      <w:r>
        <w:rPr>
          <w:rFonts w:hint="eastAsia" w:ascii="宋体" w:hAnsi="宋体" w:eastAsia="宋体" w:cs="宋体"/>
          <w:spacing w:val="0"/>
          <w:sz w:val="24"/>
          <w:szCs w:val="24"/>
          <w:highlight w:val="none"/>
          <w:lang w:val="zh-CN"/>
        </w:rPr>
        <w:t xml:space="preserve">电梯出现三级电梯故障，每部电梯的年故障率应控制在≤2次/年，若故障率超出此标准，每次扣罚中标人2000元；若同一部电梯在一周内发生两次或以上相同故障，每次扣罚中标人4000元。</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④</w:t>
      </w:r>
      <w:r>
        <w:rPr>
          <w:rFonts w:hint="eastAsia" w:ascii="宋体" w:hAnsi="宋体" w:eastAsia="宋体" w:cs="宋体"/>
          <w:spacing w:val="0"/>
          <w:sz w:val="24"/>
          <w:szCs w:val="24"/>
          <w:highlight w:val="none"/>
          <w:lang w:val="zh-CN"/>
        </w:rPr>
        <w:t xml:space="preserve">电梯出现二级电梯故障，每部电梯的年故障率应控制在≤4次/年，若故障率超出此标准，每次扣罚中标人2000元；若同一部电梯在一周内发生两次或以上相同故障，每次扣罚</w:t>
      </w:r>
      <w:r>
        <w:rPr>
          <w:rFonts w:hint="eastAsia" w:ascii="宋体" w:hAnsi="宋体" w:eastAsia="宋体" w:cs="宋体"/>
          <w:spacing w:val="0"/>
          <w:sz w:val="24"/>
          <w:szCs w:val="24"/>
          <w:highlight w:val="none"/>
        </w:rPr>
        <w:t xml:space="preserve">中标人</w:t>
      </w:r>
      <w:r>
        <w:rPr>
          <w:rFonts w:hint="eastAsia" w:ascii="宋体" w:hAnsi="宋体" w:eastAsia="宋体" w:cs="宋体"/>
          <w:spacing w:val="0"/>
          <w:sz w:val="24"/>
          <w:szCs w:val="24"/>
          <w:highlight w:val="none"/>
          <w:lang w:val="zh-CN"/>
        </w:rPr>
        <w:t xml:space="preserve">4000元。</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⑤</w:t>
      </w:r>
      <w:r>
        <w:rPr>
          <w:rFonts w:hint="eastAsia" w:ascii="宋体" w:hAnsi="宋体" w:eastAsia="宋体" w:cs="宋体"/>
          <w:spacing w:val="0"/>
          <w:sz w:val="24"/>
          <w:szCs w:val="24"/>
          <w:highlight w:val="none"/>
          <w:lang w:val="zh-CN"/>
        </w:rPr>
        <w:t xml:space="preserve">电梯出现一级电梯故障，每部电梯的年故障率应控制在≤6次/年，若故障率超出此标准，每次扣罚中标人2000元；若同一部电梯在一周内发生两次或以上相同故障，每次扣罚中标人4000元。</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w:t>
      </w:r>
      <w:r>
        <w:rPr>
          <w:rFonts w:hint="eastAsia" w:ascii="宋体" w:hAnsi="宋体" w:eastAsia="宋体" w:cs="宋体"/>
          <w:spacing w:val="0"/>
          <w:sz w:val="24"/>
          <w:szCs w:val="24"/>
          <w:highlight w:val="none"/>
        </w:rPr>
        <w:t xml:space="preserve">5</w:t>
      </w:r>
      <w:r>
        <w:rPr>
          <w:rFonts w:hint="eastAsia" w:ascii="宋体" w:hAnsi="宋体" w:eastAsia="宋体" w:cs="宋体"/>
          <w:spacing w:val="0"/>
          <w:sz w:val="24"/>
          <w:szCs w:val="24"/>
          <w:highlight w:val="none"/>
          <w:lang w:val="zh-CN"/>
        </w:rPr>
        <w:t xml:space="preserve">）故障响应及解决要求</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1）</w:t>
      </w:r>
      <w:r>
        <w:rPr>
          <w:rFonts w:hint="eastAsia" w:ascii="宋体" w:hAnsi="宋体" w:eastAsia="宋体" w:cs="宋体"/>
          <w:spacing w:val="0"/>
          <w:sz w:val="24"/>
          <w:szCs w:val="24"/>
          <w:highlight w:val="none"/>
          <w:lang w:val="zh-CN"/>
        </w:rPr>
        <w:t xml:space="preserve">电梯交付使用后，中标人须提供电梯使用地(同城)的报修电话，在质保期内保证24小时应急服务的提供，且不收取额外的附加服务费用。</w:t>
      </w:r>
      <w:r/>
    </w:p>
    <w:p>
      <w:pPr>
        <w:pStyle w:val="953"/>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zh-CN"/>
        </w:rPr>
        <w:t xml:space="preserve">在保修期内，中标人必须参照《电梯使用管理与维修保养规则》的要求及售后服务方案执行。在接到故障通知后，若中标人在应该到达现场的情况下而未能在24小时内到达现场，采购人有权要求赔偿。</w:t>
      </w:r>
      <w:r/>
    </w:p>
    <w:p>
      <w:pPr>
        <w:ind w:firstLine="480"/>
        <w:spacing w:line="440" w:lineRule="exact"/>
        <w:rPr>
          <w:rFonts w:ascii="宋体" w:hAnsi="宋体"/>
          <w:b/>
          <w:spacing w:val="0"/>
          <w:sz w:val="24"/>
          <w:szCs w:val="24"/>
          <w:highlight w:val="none"/>
        </w:rPr>
      </w:pPr>
      <w:r>
        <w:rPr>
          <w:rFonts w:hint="eastAsia" w:ascii="宋体" w:hAnsi="宋体"/>
          <w:b/>
          <w:spacing w:val="0"/>
          <w:sz w:val="24"/>
          <w:szCs w:val="24"/>
          <w:highlight w:val="none"/>
        </w:rPr>
        <w:t xml:space="preserve">6.智慧管理方案：</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投标品牌制造商电梯功能设置具备高度智能化、场景化的综合管理体系，</w:t>
      </w:r>
      <w:r>
        <w:rPr>
          <w:rFonts w:ascii="宋体" w:hAnsi="宋体"/>
          <w:spacing w:val="0"/>
          <w:sz w:val="24"/>
          <w:szCs w:val="24"/>
          <w:highlight w:val="none"/>
        </w:rPr>
        <w:t xml:space="preserve">利用物联网、大数据和人工智能技术，</w:t>
      </w:r>
      <w:r>
        <w:rPr>
          <w:rFonts w:hint="eastAsia" w:ascii="宋体" w:hAnsi="宋体"/>
          <w:spacing w:val="0"/>
          <w:sz w:val="24"/>
          <w:szCs w:val="24"/>
          <w:highlight w:val="none"/>
        </w:rPr>
        <w:t xml:space="preserve">通过融合多模态身份验证、动态权限分配、</w:t>
      </w:r>
      <w:r>
        <w:rPr>
          <w:rFonts w:ascii="宋体" w:hAnsi="宋体"/>
          <w:spacing w:val="0"/>
          <w:sz w:val="24"/>
          <w:szCs w:val="24"/>
          <w:highlight w:val="none"/>
        </w:rPr>
        <w:t xml:space="preserve">智能调度、</w:t>
      </w:r>
      <w:r>
        <w:rPr>
          <w:rFonts w:hint="eastAsia" w:ascii="宋体" w:hAnsi="宋体"/>
          <w:spacing w:val="0"/>
          <w:sz w:val="24"/>
          <w:szCs w:val="24"/>
          <w:highlight w:val="none"/>
        </w:rPr>
        <w:t xml:space="preserve">应急响应机制及</w:t>
      </w:r>
      <w:r>
        <w:rPr>
          <w:rFonts w:ascii="宋体" w:hAnsi="宋体"/>
          <w:spacing w:val="0"/>
          <w:sz w:val="24"/>
          <w:szCs w:val="24"/>
          <w:highlight w:val="none"/>
        </w:rPr>
        <w:t xml:space="preserve">实时</w:t>
      </w:r>
      <w:r>
        <w:rPr>
          <w:rFonts w:hint="eastAsia" w:ascii="宋体" w:hAnsi="宋体"/>
          <w:spacing w:val="0"/>
          <w:sz w:val="24"/>
          <w:szCs w:val="24"/>
          <w:highlight w:val="none"/>
        </w:rPr>
        <w:t xml:space="preserve">数据监测分析能力，</w:t>
      </w:r>
      <w:r>
        <w:rPr>
          <w:rFonts w:ascii="宋体" w:hAnsi="宋体"/>
          <w:spacing w:val="0"/>
          <w:sz w:val="24"/>
          <w:szCs w:val="24"/>
          <w:highlight w:val="none"/>
        </w:rPr>
        <w:t xml:space="preserve">实现电梯运行状态的动态感知、故障的主动预警、人流的科学分配以及维保的精准预测，从而显著提升电梯运行效率、安全性和患者就医体验，同时降低运维成本与管理压力，</w:t>
      </w:r>
      <w:r>
        <w:rPr>
          <w:rFonts w:hint="eastAsia" w:ascii="宋体" w:hAnsi="宋体"/>
          <w:spacing w:val="0"/>
          <w:sz w:val="24"/>
          <w:szCs w:val="24"/>
          <w:highlight w:val="none"/>
        </w:rPr>
        <w:t xml:space="preserve">优化医疗流程与患者体验</w:t>
      </w:r>
      <w:r>
        <w:rPr>
          <w:rFonts w:hint="eastAsia" w:ascii="宋体" w:hAnsi="宋体" w:cs="宋体"/>
          <w:spacing w:val="0"/>
          <w:sz w:val="24"/>
          <w:szCs w:val="24"/>
          <w:highlight w:val="none"/>
        </w:rPr>
        <w:t xml:space="preserve">，同时能实现电脑、手机、平板等多终端电梯智慧管理，电梯物联网获得信息系统安全高等级保护认证。</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（1）电梯远程监控系统。选用电梯品牌商最新的电梯物联网</w:t>
      </w:r>
      <w:r>
        <w:rPr>
          <w:rFonts w:ascii="宋体" w:hAnsi="宋体"/>
          <w:spacing w:val="0"/>
          <w:sz w:val="24"/>
          <w:szCs w:val="24"/>
          <w:highlight w:val="none"/>
        </w:rPr>
        <w:t xml:space="preserve">系统</w:t>
      </w:r>
      <w:r>
        <w:rPr>
          <w:rFonts w:hint="eastAsia" w:ascii="宋体" w:hAnsi="宋体"/>
          <w:spacing w:val="0"/>
          <w:sz w:val="24"/>
          <w:szCs w:val="24"/>
          <w:highlight w:val="none"/>
        </w:rPr>
        <w:t xml:space="preserve">，在电梯控制柜内安装远程监控模块，通过网络将电梯的运行数据实时传输至医院的设备管理部门。工作人员可以在监控中心远程监控电梯的运行状态，</w:t>
      </w:r>
      <w:r>
        <w:rPr>
          <w:rFonts w:ascii="宋体" w:hAnsi="宋体"/>
          <w:spacing w:val="0"/>
          <w:sz w:val="24"/>
          <w:szCs w:val="24"/>
          <w:highlight w:val="none"/>
        </w:rPr>
        <w:t xml:space="preserve">监视所有电梯交通指令和负载信息并识别可能出现的技术故障. 简易视图模式可以轻松的将所有电扶梯状态显示在一个显示屏中</w:t>
      </w:r>
      <w:r>
        <w:rPr>
          <w:rFonts w:hint="eastAsia" w:ascii="宋体" w:hAnsi="宋体"/>
          <w:spacing w:val="0"/>
          <w:sz w:val="24"/>
          <w:szCs w:val="24"/>
          <w:highlight w:val="none"/>
        </w:rPr>
        <w:t xml:space="preserve">，</w:t>
      </w:r>
      <w:r>
        <w:rPr>
          <w:rFonts w:ascii="宋体" w:hAnsi="宋体"/>
          <w:spacing w:val="0"/>
          <w:sz w:val="24"/>
          <w:szCs w:val="24"/>
          <w:highlight w:val="none"/>
        </w:rPr>
        <w:t xml:space="preserve">可以看到电梯运行状态，指令分布，交通流量及电扶梯在楼宇中运行性能表现</w:t>
      </w:r>
      <w:r>
        <w:rPr>
          <w:rFonts w:hint="eastAsia" w:ascii="宋体" w:hAnsi="宋体"/>
          <w:spacing w:val="0"/>
          <w:sz w:val="24"/>
          <w:szCs w:val="24"/>
          <w:highlight w:val="none"/>
        </w:rPr>
        <w:t xml:space="preserve">及时发现并处理电梯故障，缩短维修响应时间</w:t>
      </w:r>
      <w:r>
        <w:rPr>
          <w:rFonts w:ascii="宋体" w:hAnsi="宋体"/>
          <w:spacing w:val="0"/>
          <w:sz w:val="24"/>
          <w:szCs w:val="24"/>
          <w:highlight w:val="none"/>
        </w:rPr>
        <w:t xml:space="preserve">，确保电梯永远工作在最佳状态</w:t>
      </w:r>
      <w:r>
        <w:rPr>
          <w:rFonts w:hint="eastAsia" w:ascii="宋体" w:hAnsi="宋体"/>
          <w:spacing w:val="0"/>
          <w:sz w:val="24"/>
          <w:szCs w:val="24"/>
          <w:highlight w:val="none"/>
        </w:rPr>
        <w:t xml:space="preserve">。</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2）电梯智能呼梯系统。在医院的各病区、手术室、急诊室等关键区域安装智能呼梯终端，医护人员和患者可以通过刷卡、指纹识别或人脸识别等方式快速召唤电梯，系统根据呼叫者的身份和位置信息，优先调度电梯进行响应，提高电梯服务的便捷性和针对性。</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（3）</w:t>
      </w:r>
      <w:r>
        <w:rPr>
          <w:rFonts w:ascii="宋体" w:hAnsi="宋体"/>
          <w:spacing w:val="0"/>
          <w:sz w:val="24"/>
          <w:szCs w:val="24"/>
          <w:highlight w:val="none"/>
        </w:rPr>
        <w:t xml:space="preserve">安装智能控制系统：采用先进的电梯智能控制系统，实现电梯的智能调度和优化运行。智能控制系统可以根据电梯的实时负载、楼层呼叫信息等，自动调整电梯的运行模式，减少电梯的空驶和无效运行次数。例如，在非高峰期，系统可以将部分电梯设置为休眠状态，仅保留必要的电梯运行；在高峰期，通过合理调配电梯，提高电梯的运输效率。</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4）电梯物联网系统的应用使得电梯的调度更加科学合理，减少了电梯的空驶率和乘客的候梯时间。远程监控系统的实施方便了设备管理人员对电梯的实时监控和维护管理，故障处理响应时间缩短。同时电梯运行数据能够被实时采集与传输，工作人员通过远程监控平台，可精准掌握电梯的运行状态，</w:t>
      </w:r>
      <w:r>
        <w:rPr>
          <w:rFonts w:ascii="宋体" w:hAnsi="宋体"/>
          <w:spacing w:val="0"/>
          <w:sz w:val="24"/>
          <w:szCs w:val="24"/>
          <w:highlight w:val="none"/>
        </w:rPr>
        <w:t xml:space="preserve">可以向电梯发出轿厢内呼/改变电梯运行模式/定义泊梯楼层/锁定指定楼层等指令</w:t>
      </w:r>
      <w:r>
        <w:rPr>
          <w:rFonts w:hint="eastAsia" w:ascii="宋体" w:hAnsi="宋体"/>
          <w:spacing w:val="0"/>
          <w:sz w:val="24"/>
          <w:szCs w:val="24"/>
          <w:highlight w:val="none"/>
        </w:rPr>
        <w:t xml:space="preserve">。一旦监测数据出现异常，系统便能迅速发出预警，使技术人员提前介入，将原先的故障后保修模式转变为更具前瞻性的主动检修模式，有效避免潜在故障的发生，极大提升了电梯运行的稳定性和安全性，为乘客的日常出行提供了更为可靠的保障。</w:t>
      </w:r>
      <w:r/>
    </w:p>
    <w:p>
      <w:pPr>
        <w:ind w:firstLine="36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5）在算法优化层面，由电梯维保单位积极引入智能传感器与电梯控制系统，长期收集并深度分析历史乘梯数据、电梯运行数据和人流数据（包括但不限于乘客流量、运行楼层停靠次数、运行时长等关键信息）；利用大</w:t>
      </w:r>
      <w:r>
        <w:rPr>
          <w:rFonts w:ascii="宋体" w:hAnsi="宋体"/>
          <w:spacing w:val="0"/>
          <w:sz w:val="24"/>
          <w:szCs w:val="24"/>
          <w:highlight w:val="none"/>
        </w:rPr>
        <w:t xml:space="preserve">数据存储及数据分析技术</w:t>
      </w:r>
      <w:r>
        <w:rPr>
          <w:rFonts w:hint="eastAsia" w:ascii="宋体" w:hAnsi="宋体"/>
          <w:spacing w:val="0"/>
          <w:sz w:val="24"/>
          <w:szCs w:val="24"/>
          <w:highlight w:val="none"/>
        </w:rPr>
        <w:t xml:space="preserve">，</w:t>
      </w:r>
      <w:r>
        <w:rPr>
          <w:rFonts w:ascii="宋体" w:hAnsi="宋体"/>
          <w:spacing w:val="0"/>
          <w:sz w:val="24"/>
          <w:szCs w:val="24"/>
          <w:highlight w:val="none"/>
        </w:rPr>
        <w:t xml:space="preserve">生成大量专业报告体现电梯的运行能力及楼宇交通状况</w:t>
      </w:r>
      <w:r>
        <w:rPr>
          <w:rFonts w:hint="eastAsia" w:ascii="宋体" w:hAnsi="宋体"/>
          <w:spacing w:val="0"/>
          <w:sz w:val="24"/>
          <w:szCs w:val="24"/>
          <w:highlight w:val="none"/>
        </w:rPr>
        <w:t xml:space="preserve">，</w:t>
      </w:r>
      <w:r>
        <w:rPr>
          <w:rFonts w:ascii="宋体" w:hAnsi="宋体"/>
          <w:spacing w:val="0"/>
          <w:sz w:val="24"/>
          <w:szCs w:val="24"/>
          <w:highlight w:val="none"/>
        </w:rPr>
        <w:t xml:space="preserve">可生成大量的报告用于数据分析</w:t>
      </w:r>
      <w:r>
        <w:rPr>
          <w:rFonts w:hint="eastAsia" w:ascii="宋体" w:hAnsi="宋体"/>
          <w:spacing w:val="0"/>
          <w:sz w:val="24"/>
          <w:szCs w:val="24"/>
          <w:highlight w:val="none"/>
        </w:rPr>
        <w:t xml:space="preserve">，数据可以以</w:t>
      </w:r>
      <w:r>
        <w:rPr>
          <w:rFonts w:ascii="宋体" w:hAnsi="宋体"/>
          <w:spacing w:val="0"/>
          <w:sz w:val="24"/>
          <w:szCs w:val="24"/>
          <w:highlight w:val="none"/>
        </w:rPr>
        <w:t xml:space="preserve">PDF</w:t>
      </w:r>
      <w:r>
        <w:rPr>
          <w:rFonts w:hint="eastAsia" w:ascii="宋体" w:hAnsi="宋体"/>
          <w:spacing w:val="0"/>
          <w:sz w:val="24"/>
          <w:szCs w:val="24"/>
          <w:highlight w:val="none"/>
        </w:rPr>
        <w:t xml:space="preserve">或</w:t>
      </w:r>
      <w:r>
        <w:rPr>
          <w:rFonts w:ascii="宋体" w:hAnsi="宋体"/>
          <w:spacing w:val="0"/>
          <w:sz w:val="24"/>
          <w:szCs w:val="24"/>
          <w:highlight w:val="none"/>
        </w:rPr>
        <w:t xml:space="preserve">Excel</w:t>
      </w:r>
      <w:r>
        <w:rPr>
          <w:rFonts w:hint="eastAsia" w:ascii="宋体" w:hAnsi="宋体"/>
          <w:spacing w:val="0"/>
          <w:sz w:val="24"/>
          <w:szCs w:val="24"/>
          <w:highlight w:val="none"/>
        </w:rPr>
        <w:t xml:space="preserve">形式导出，精准预测未来一段时间内各楼层的乘梯需求变化趋势</w:t>
      </w:r>
      <w:r>
        <w:rPr>
          <w:rFonts w:ascii="宋体" w:hAnsi="宋体"/>
          <w:spacing w:val="0"/>
          <w:sz w:val="24"/>
          <w:szCs w:val="24"/>
          <w:highlight w:val="none"/>
        </w:rPr>
        <w:t xml:space="preserve">以及可以用来研究特定时间段交通流量情况以便将来改善交通流量。</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（三）验收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1.在交货之前，制造商应对产品质量、规格、性能和数量/重量进行精确和全面的检测，并出具证明产品与招标文件要求相符的证明书。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2.检测、检验和试验证明设备达到文件的技术规定, 并获得江苏省特种设备安全监督检验研究院扬州分院特种设备使用登记证和特种设备使用标志，批准运营后，双方即签署验收文件，设备即视为验收通过。</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3.货物抵达工地后,双方根据装箱文件清点件数及外观质量验收,并出具书面验收证明。</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4.货物到达采购人工地至交付使用前所有的安全保管工作由供应商负责。</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5.电梯验收要求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①第1次验收：设备运抵采购人现场之日，采购人、供应商双方及采购人共同派员验收，如发生数量短少、外观缺损，由供应商负责补齐、调换（相关费用含在此次报价中）。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包括扣除供应商全部履约保证金及赔偿给采购人造成的相关损失等。）</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②第2次验收：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③第3次验收：安装完成由供应商负责向江苏省特种设备安全监督检验研究院扬州分院送交有关验收资料，经江苏省特种设备安全监督检验研究院扬州分院检验验收合格。并由供应商负责办理特种设备使用登记证，特种设备使用标志。使用前办理完成电梯安全责任保险。</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④第4次验收：质保期满，系统所有设备、材料及安装无质量问题，采购人、供应商双方和江苏省特种设备安全监督检验研究院扬州分院共同验收合格为最终验收合格。</w:t>
      </w:r>
      <w:r/>
    </w:p>
    <w:p>
      <w:pPr>
        <w:ind w:firstLine="560"/>
        <w:spacing w:line="440" w:lineRule="exact"/>
        <w:rPr>
          <w:b/>
          <w:sz w:val="28"/>
          <w:szCs w:val="28"/>
          <w:highlight w:val="none"/>
        </w:rPr>
      </w:pPr>
      <w:r>
        <w:rPr>
          <w:rFonts w:hint="eastAsia"/>
          <w:b/>
          <w:sz w:val="28"/>
          <w:szCs w:val="28"/>
          <w:highlight w:val="none"/>
        </w:rPr>
        <w:t xml:space="preserve">（四）投标人履约能力</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1.投标人具有自</w:t>
      </w:r>
      <w:r>
        <w:rPr>
          <w:rFonts w:hint="eastAsia" w:ascii="宋体" w:hAnsi="宋体" w:cs="宋体"/>
          <w:sz w:val="24"/>
          <w:szCs w:val="24"/>
          <w:highlight w:val="none"/>
        </w:rPr>
        <w:t xml:space="preserve">2022年1月1日（含）以来</w:t>
      </w:r>
      <w:r>
        <w:rPr>
          <w:rFonts w:hint="eastAsia" w:ascii="宋体" w:hAnsi="宋体" w:cs="宋体"/>
          <w:bCs/>
          <w:sz w:val="24"/>
          <w:szCs w:val="24"/>
          <w:highlight w:val="none"/>
        </w:rPr>
        <w:t xml:space="preserve">与所投同品牌电梯类似本项目的业绩供货及安装成功案例。（时间以合同签订日期为准）。</w:t>
      </w:r>
      <w:r/>
    </w:p>
    <w:p>
      <w:pPr>
        <w:ind w:firstLine="480"/>
        <w:spacing w:line="440" w:lineRule="exact"/>
        <w:rPr>
          <w:rFonts w:ascii="宋体" w:hAnsi="宋体"/>
          <w:bCs/>
          <w:color w:val="000000"/>
          <w:sz w:val="24"/>
          <w:szCs w:val="24"/>
          <w:highlight w:val="none"/>
        </w:rPr>
      </w:pPr>
      <w:r>
        <w:rPr>
          <w:rFonts w:hint="eastAsia" w:ascii="宋体" w:hAnsi="宋体" w:cs="宋体"/>
          <w:bCs/>
          <w:sz w:val="24"/>
          <w:szCs w:val="24"/>
          <w:highlight w:val="none"/>
        </w:rPr>
        <w:t xml:space="preserve">2.</w:t>
      </w:r>
      <w:r>
        <w:rPr>
          <w:rFonts w:hint="eastAsia" w:ascii="宋体" w:hAnsi="宋体"/>
          <w:bCs/>
          <w:color w:val="000000"/>
          <w:sz w:val="24"/>
          <w:szCs w:val="24"/>
          <w:highlight w:val="none"/>
        </w:rPr>
        <w:t xml:space="preserve">投标人所投电梯制造商需投保《公共及产品责任险》。</w:t>
      </w:r>
      <w:r/>
    </w:p>
    <w:p>
      <w:pPr>
        <w:ind w:firstLine="560"/>
        <w:spacing w:line="440" w:lineRule="exact"/>
        <w:rPr>
          <w:b/>
          <w:sz w:val="28"/>
          <w:szCs w:val="28"/>
          <w:highlight w:val="none"/>
        </w:rPr>
      </w:pPr>
      <w:r>
        <w:rPr>
          <w:rFonts w:hint="eastAsia"/>
          <w:b/>
          <w:sz w:val="28"/>
          <w:szCs w:val="28"/>
          <w:highlight w:val="none"/>
        </w:rPr>
        <w:t xml:space="preserve">（五）产品包装</w:t>
      </w:r>
      <w:r/>
    </w:p>
    <w:p>
      <w:pPr>
        <w:ind w:firstLine="482"/>
        <w:spacing w:line="440" w:lineRule="exact"/>
        <w:rPr>
          <w:rFonts w:ascii="宋体" w:hAnsi="宋体" w:cs="宋体"/>
          <w:bCs/>
          <w:sz w:val="24"/>
          <w:highlight w:val="none"/>
        </w:rPr>
      </w:pPr>
      <w:r>
        <w:rPr>
          <w:rFonts w:hint="eastAsia" w:ascii="宋体" w:hAnsi="宋体" w:cs="宋体"/>
          <w:bCs/>
          <w:sz w:val="24"/>
          <w:highlight w:val="none"/>
        </w:rPr>
        <w:t xml:space="preserve">1. 投标人须承诺按照“财办库〔2020〕123号《关于印发《商品包装政府采购需求标准（试行）》《快递包装政府采购需求标准（试行）》的通知》”执行。</w:t>
      </w:r>
      <w:r/>
    </w:p>
    <w:p>
      <w:pPr>
        <w:ind w:firstLine="560"/>
        <w:spacing w:line="440" w:lineRule="exact"/>
        <w:rPr>
          <w:rFonts w:ascii="宋体" w:hAnsi="宋体" w:cs="宋体"/>
          <w:b/>
          <w:bCs/>
          <w:i/>
          <w:sz w:val="28"/>
          <w:szCs w:val="28"/>
          <w:highlight w:val="none"/>
          <w:u w:val="single"/>
        </w:rPr>
      </w:pPr>
      <w:r>
        <w:rPr>
          <w:rFonts w:hint="eastAsia" w:ascii="宋体" w:hAnsi="宋体" w:cs="宋体"/>
          <w:b/>
          <w:bCs/>
          <w:i/>
          <w:sz w:val="28"/>
          <w:szCs w:val="28"/>
          <w:highlight w:val="none"/>
          <w:u w:val="single"/>
        </w:rPr>
        <w:t xml:space="preserve">（六）报价要求</w:t>
      </w:r>
      <w:r/>
    </w:p>
    <w:p>
      <w:pPr>
        <w:pStyle w:val="953"/>
        <w:ind w:firstLine="468"/>
        <w:spacing w:line="440" w:lineRule="exact"/>
        <w:rPr>
          <w:rFonts w:ascii="宋体" w:hAnsi="宋体" w:eastAsia="宋体" w:cs="宋体"/>
          <w:i/>
          <w:spacing w:val="-1"/>
          <w:sz w:val="24"/>
          <w:szCs w:val="24"/>
          <w:highlight w:val="none"/>
          <w:u w:val="single"/>
        </w:rPr>
      </w:pPr>
      <w:r>
        <w:rPr>
          <w:rFonts w:hint="eastAsia" w:ascii="宋体" w:hAnsi="宋体" w:eastAsia="宋体" w:cs="宋体"/>
          <w:i/>
          <w:spacing w:val="-3"/>
          <w:sz w:val="24"/>
          <w:szCs w:val="24"/>
          <w:highlight w:val="none"/>
          <w:u w:val="single"/>
        </w:rPr>
        <w:t xml:space="preserve">1.电梯安装场地基本参数部分仅作为参考，投标人需根据现场勘查情况进行</w:t>
      </w:r>
      <w:r>
        <w:rPr>
          <w:rFonts w:hint="eastAsia" w:ascii="宋体" w:hAnsi="宋体" w:eastAsia="宋体" w:cs="宋体"/>
          <w:i/>
          <w:spacing w:val="-4"/>
          <w:sz w:val="24"/>
          <w:szCs w:val="24"/>
          <w:highlight w:val="none"/>
          <w:u w:val="single"/>
        </w:rPr>
        <w:t xml:space="preserve">复核，防止存在偏差（投标人在投标时要充分考虑井道符合各项规范要求的上下效正负偏</w:t>
      </w:r>
      <w:r>
        <w:rPr>
          <w:rFonts w:hint="eastAsia" w:ascii="宋体" w:hAnsi="宋体" w:eastAsia="宋体" w:cs="宋体"/>
          <w:i/>
          <w:spacing w:val="-1"/>
          <w:sz w:val="24"/>
          <w:szCs w:val="24"/>
          <w:highlight w:val="none"/>
          <w:u w:val="single"/>
        </w:rPr>
        <w:t xml:space="preserve">差的人工、材料费用，这部分费用含在投标报价里）。</w:t>
      </w:r>
      <w:r/>
    </w:p>
    <w:p>
      <w:pPr>
        <w:pStyle w:val="953"/>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2.井道尺寸、门洞尺寸以现场实际测量为准，投标人应在进场施工前勘探现场，投标人负责旧梯拆除运送至甲方指定地点，投标人负责电梯安装及验收所涉及的井道改造及防护，所有相关费用包含在投标报价中；不得以不熟悉现场、实际尺寸等理由增加费用。</w:t>
      </w:r>
      <w:r/>
    </w:p>
    <w:p>
      <w:pPr>
        <w:pStyle w:val="953"/>
        <w:contextualSpacing/>
        <w:ind w:firstLine="468"/>
        <w:spacing w:line="440" w:lineRule="exact"/>
        <w:rPr>
          <w:rFonts w:ascii="宋体" w:hAnsi="宋体" w:eastAsia="宋体" w:cs="宋体"/>
          <w:b/>
          <w:i/>
          <w:spacing w:val="-3"/>
          <w:sz w:val="24"/>
          <w:szCs w:val="24"/>
          <w:highlight w:val="none"/>
          <w:u w:val="single"/>
          <w:lang w:val="zh-CN"/>
        </w:rPr>
      </w:pPr>
      <w:r>
        <w:rPr>
          <w:rFonts w:hint="eastAsia" w:ascii="宋体" w:hAnsi="宋体" w:eastAsia="宋体" w:cs="宋体"/>
          <w:i/>
          <w:spacing w:val="-3"/>
          <w:sz w:val="24"/>
          <w:szCs w:val="24"/>
          <w:highlight w:val="none"/>
          <w:u w:val="single"/>
          <w:lang w:val="zh-CN"/>
        </w:rPr>
        <w:t xml:space="preserve">本项目报价中的项目包括但不限于：旧电梯的拆除费用(</w:t>
      </w:r>
      <w:r>
        <w:rPr>
          <w:rFonts w:hint="eastAsia" w:ascii="宋体" w:hAnsi="宋体" w:eastAsia="宋体" w:cs="宋体"/>
          <w:i/>
          <w:sz w:val="24"/>
          <w:szCs w:val="24"/>
          <w:highlight w:val="none"/>
          <w:u w:val="single"/>
        </w:rPr>
        <w:t xml:space="preserve">包含旧电梯拆除运往指定地点费用)</w:t>
      </w:r>
      <w:r>
        <w:rPr>
          <w:rFonts w:hint="eastAsia" w:ascii="宋体" w:hAnsi="宋体" w:eastAsia="宋体" w:cs="宋体"/>
          <w:i/>
          <w:spacing w:val="-3"/>
          <w:sz w:val="24"/>
          <w:szCs w:val="24"/>
          <w:highlight w:val="none"/>
          <w:u w:val="single"/>
          <w:lang w:val="zh-CN"/>
        </w:rPr>
        <w:t xml:space="preserve">、</w:t>
      </w:r>
      <w:r>
        <w:rPr>
          <w:rFonts w:hint="eastAsia" w:ascii="宋体" w:hAnsi="宋体" w:eastAsia="宋体" w:cs="宋体"/>
          <w:i/>
          <w:sz w:val="24"/>
          <w:szCs w:val="24"/>
          <w:highlight w:val="none"/>
          <w:u w:val="single"/>
        </w:rPr>
        <w:t xml:space="preserve">新电梯的设计、制造、运输（</w:t>
      </w:r>
      <w:r>
        <w:rPr>
          <w:rFonts w:hint="eastAsia" w:ascii="宋体" w:hAnsi="宋体" w:eastAsia="宋体" w:cs="宋体"/>
          <w:i/>
          <w:spacing w:val="-3"/>
          <w:sz w:val="24"/>
          <w:szCs w:val="24"/>
          <w:highlight w:val="none"/>
          <w:u w:val="single"/>
          <w:lang w:val="zh-CN"/>
        </w:rPr>
        <w:t xml:space="preserve">包装费、运杂费、运输保险费、运至现场卸货费、现场保管费</w:t>
      </w:r>
      <w:r>
        <w:rPr>
          <w:rFonts w:hint="eastAsia" w:ascii="宋体" w:hAnsi="宋体" w:eastAsia="宋体" w:cs="宋体"/>
          <w:i/>
          <w:sz w:val="24"/>
          <w:szCs w:val="24"/>
          <w:highlight w:val="none"/>
          <w:u w:val="single"/>
        </w:rPr>
        <w:t xml:space="preserve">）、仓储、安装、调试、验收、检验、5年的整机质保及维保；</w:t>
      </w:r>
      <w:r>
        <w:rPr>
          <w:rFonts w:hint="eastAsia" w:ascii="宋体" w:hAnsi="宋体" w:eastAsia="宋体" w:cs="宋体"/>
          <w:i/>
          <w:spacing w:val="-3"/>
          <w:sz w:val="24"/>
          <w:szCs w:val="24"/>
          <w:highlight w:val="none"/>
          <w:u w:val="single"/>
          <w:lang w:val="zh-CN"/>
        </w:rPr>
        <w:t xml:space="preserve">新电梯设备价（应含轿厢装潢和选配功能及保证质保期内正常运行所需要的备品备件、检测孔、减震台等）、机房及土建整改</w:t>
      </w:r>
      <w:r>
        <w:rPr>
          <w:rFonts w:hint="eastAsia" w:ascii="宋体" w:hAnsi="宋体" w:eastAsia="宋体" w:cs="宋体"/>
          <w:i/>
          <w:spacing w:val="-3"/>
          <w:sz w:val="24"/>
          <w:szCs w:val="24"/>
          <w:highlight w:val="none"/>
          <w:u w:val="single"/>
          <w:lang w:val="zh-CN"/>
        </w:rPr>
        <w:t xml:space="preserve">费（含井道地坎安装牛腿）、井道改造费、蓄电池应急平层装置费用、住院楼1号病员梯与住院楼新更换电梯形成群控适配改造费用、保障更换电梯相邻或并联电梯使用运行的相关改造及措施费、电梯轿厢内医用级空气净化消毒系统费用、单冷空调费用（DT9）、安全施工保障费、内陆运输及保险费、脚手架搭建费、整个电梯设备所需的电配线（包括调试电缆）设施费、施工井道照明费及其他电费、所有电梯运行的监察系统设施费、吊装费、安装费、调试费、预埋件的材料及施工费、电梯监督检验费用（包括电梯投运前的监督检验费，有关部门检测检验费、砝码费用等）、</w:t>
      </w:r>
      <w:r>
        <w:rPr>
          <w:rFonts w:hint="eastAsia" w:ascii="宋体" w:hAnsi="宋体" w:eastAsia="宋体" w:cs="宋体"/>
          <w:i/>
          <w:sz w:val="24"/>
          <w:szCs w:val="24"/>
          <w:highlight w:val="none"/>
          <w:u w:val="single"/>
        </w:rPr>
        <w:t xml:space="preserve">5年的整机质保及维保费</w:t>
      </w:r>
      <w:r>
        <w:rPr>
          <w:rFonts w:hint="eastAsia" w:ascii="宋体" w:hAnsi="宋体" w:eastAsia="宋体" w:cs="宋体"/>
          <w:i/>
          <w:spacing w:val="-3"/>
          <w:sz w:val="24"/>
          <w:szCs w:val="24"/>
          <w:highlight w:val="none"/>
          <w:u w:val="single"/>
          <w:lang w:val="zh-CN"/>
        </w:rPr>
        <w:t xml:space="preserve">（</w:t>
      </w:r>
      <w:r>
        <w:rPr>
          <w:rFonts w:hint="eastAsia" w:ascii="宋体" w:hAnsi="宋体" w:eastAsia="宋体" w:cs="宋体"/>
          <w:i/>
          <w:sz w:val="24"/>
          <w:szCs w:val="24"/>
          <w:highlight w:val="none"/>
          <w:u w:val="single"/>
        </w:rPr>
        <w:t xml:space="preserve">含各类维修保养更换的部件材料费用以及</w:t>
      </w:r>
      <w:r>
        <w:rPr>
          <w:rFonts w:hint="eastAsia" w:ascii="宋体" w:hAnsi="宋体" w:eastAsia="宋体" w:cs="宋体"/>
          <w:i/>
          <w:spacing w:val="-3"/>
          <w:sz w:val="24"/>
          <w:szCs w:val="24"/>
          <w:highlight w:val="none"/>
          <w:u w:val="single"/>
          <w:lang w:val="zh-CN"/>
        </w:rPr>
        <w:t xml:space="preserve">所有维修保养时的耗材及配件费用）</w:t>
      </w:r>
      <w:r>
        <w:rPr>
          <w:rFonts w:hint="eastAsia" w:ascii="宋体" w:hAnsi="宋体" w:eastAsia="宋体" w:cs="宋体"/>
          <w:i/>
          <w:spacing w:val="-3"/>
          <w:sz w:val="24"/>
          <w:szCs w:val="24"/>
          <w:highlight w:val="none"/>
          <w:u w:val="single"/>
          <w:lang w:val="zh-CN"/>
        </w:rPr>
        <w:t xml:space="preserve">、调试费、保管费、操作维护人员培训费、售后服务费（说明服务内容）、电梯装饰装修费、井道内检修插座、照明、底坑铁爬梯等与电梯有关的辅助工作、招标文件中相关费用等需完成本项目的所有费用（完成本项目是指领取到电梯使用许可证并领取竣工验收报告且电梯投入使用）。办理电梯检测手续和领取电梯使用许可证由中标人负责。中标后不得追加任合费用。特别说明</w:t>
      </w:r>
      <w:r>
        <w:rPr>
          <w:rFonts w:hint="eastAsia" w:ascii="宋体" w:hAnsi="宋体" w:eastAsia="宋体" w:cs="宋体"/>
          <w:b/>
          <w:bCs/>
          <w:i/>
          <w:spacing w:val="-3"/>
          <w:sz w:val="24"/>
          <w:szCs w:val="24"/>
          <w:highlight w:val="none"/>
          <w:u w:val="single"/>
          <w:lang w:val="zh-CN"/>
        </w:rPr>
        <w:t xml:space="preserve">：1.</w:t>
      </w:r>
      <w:r>
        <w:rPr>
          <w:rFonts w:hint="eastAsia" w:ascii="宋体" w:hAnsi="宋体" w:eastAsia="宋体" w:cs="宋体"/>
          <w:b/>
          <w:bCs/>
          <w:i/>
          <w:iCs/>
          <w:spacing w:val="-3"/>
          <w:sz w:val="24"/>
          <w:szCs w:val="24"/>
          <w:highlight w:val="none"/>
          <w:u w:val="single"/>
          <w:lang w:val="zh-CN"/>
        </w:rPr>
        <w:t xml:space="preserve">整机更换报价中应含有导轨更换费用；2.</w:t>
      </w:r>
      <w:r>
        <w:rPr>
          <w:rFonts w:hint="eastAsia" w:ascii="宋体" w:hAnsi="宋体" w:eastAsia="宋体" w:cs="宋体"/>
          <w:b/>
          <w:i/>
          <w:spacing w:val="-3"/>
          <w:sz w:val="24"/>
          <w:szCs w:val="24"/>
          <w:highlight w:val="none"/>
          <w:u w:val="single"/>
          <w:lang w:val="zh-CN"/>
        </w:rPr>
        <w:t xml:space="preserve"> 住院楼井道为串通井道，中标供应商自行考虑施工防护以及达到交付验收标准相关隔离设施及安装费用纳入报价；</w:t>
      </w:r>
      <w:r/>
    </w:p>
    <w:p>
      <w:pPr>
        <w:pStyle w:val="953"/>
        <w:contextualSpacing/>
        <w:ind w:firstLine="476"/>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1"/>
          <w:sz w:val="24"/>
          <w:szCs w:val="24"/>
          <w:highlight w:val="none"/>
          <w:u w:val="single"/>
        </w:rPr>
        <w:t xml:space="preserve">本项目为交钥匙工程。中标供应商有义务保证采购人系统的功能性和完整性，未在招标文件中明示的附配件，中标供应商应予以补充，如项目实施过程中因缺少线材辅料、配件或服务导致采购人系统无法正常运行，中标供应商须提供，相关所</w:t>
      </w:r>
      <w:r>
        <w:rPr>
          <w:rFonts w:hint="eastAsia" w:ascii="宋体" w:hAnsi="宋体" w:eastAsia="宋体" w:cs="宋体"/>
          <w:i/>
          <w:spacing w:val="-3"/>
          <w:sz w:val="24"/>
          <w:szCs w:val="24"/>
          <w:highlight w:val="none"/>
          <w:u w:val="single"/>
        </w:rPr>
        <w:t xml:space="preserve">有费用包含在本次项目报价中。</w:t>
      </w:r>
      <w:r/>
    </w:p>
    <w:p>
      <w:pPr>
        <w:pStyle w:val="953"/>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中标供应商提供货物和响应如不符合采购人需求及要求的，采购人可直接解除合同并要求中标供应商退场，因此造成的一切损失和赔偿费用由中标供应商承担。</w:t>
      </w:r>
      <w:r/>
    </w:p>
    <w:p>
      <w:pPr>
        <w:contextualSpacing/>
        <w:ind w:firstLine="560"/>
        <w:spacing w:line="440" w:lineRule="exact"/>
        <w:rPr>
          <w:rFonts w:ascii="宋体" w:hAnsi="宋体" w:cs="宋体"/>
          <w:b/>
          <w:i/>
          <w:sz w:val="28"/>
          <w:szCs w:val="28"/>
          <w:highlight w:val="none"/>
          <w:u w:val="single"/>
        </w:rPr>
      </w:pPr>
      <w:r>
        <w:rPr>
          <w:rFonts w:hint="eastAsia" w:ascii="宋体" w:hAnsi="宋体" w:cs="宋体"/>
          <w:b/>
          <w:i/>
          <w:sz w:val="28"/>
          <w:szCs w:val="28"/>
          <w:highlight w:val="none"/>
          <w:u w:val="single"/>
        </w:rPr>
        <w:t xml:space="preserve">（七）</w:t>
      </w:r>
      <w:r>
        <w:rPr>
          <w:rFonts w:ascii="宋体" w:hAnsi="宋体" w:cs="宋体"/>
          <w:b/>
          <w:i/>
          <w:sz w:val="28"/>
          <w:szCs w:val="28"/>
          <w:highlight w:val="none"/>
          <w:u w:val="single"/>
        </w:rPr>
        <w:t xml:space="preserve">交付时间及地点</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w:t>
      </w:r>
      <w:r>
        <w:rPr>
          <w:rFonts w:ascii="宋体" w:hAnsi="宋体" w:cs="宋体"/>
          <w:i/>
          <w:sz w:val="24"/>
          <w:szCs w:val="24"/>
          <w:highlight w:val="none"/>
          <w:u w:val="single"/>
        </w:rPr>
        <w:t xml:space="preserve">交付时间：</w:t>
      </w:r>
      <w:r>
        <w:rPr>
          <w:rFonts w:hint="eastAsia" w:ascii="宋体" w:hAnsi="宋体" w:cs="宋体"/>
          <w:i/>
          <w:spacing w:val="-3"/>
          <w:sz w:val="24"/>
          <w:szCs w:val="24"/>
          <w:highlight w:val="none"/>
          <w:u w:val="single"/>
        </w:rPr>
        <w:t xml:space="preserve">合同签订后一年期内分三批次交货，第一批次合同签订后45天内到货，第二批次供货在第一批货安装验收完成后15天内到货，第三批次供货在第二批货安装验收完成后15天内到货。最终送货安装顺序由采购人决定。</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2.</w:t>
      </w:r>
      <w:r>
        <w:rPr>
          <w:rFonts w:ascii="宋体" w:hAnsi="宋体" w:cs="宋体"/>
          <w:i/>
          <w:sz w:val="24"/>
          <w:szCs w:val="24"/>
          <w:highlight w:val="none"/>
          <w:u w:val="single"/>
        </w:rPr>
        <w:t xml:space="preserve">交付地点：采购人指定地点</w:t>
      </w:r>
      <w:r>
        <w:rPr>
          <w:rFonts w:hint="eastAsia" w:ascii="宋体" w:hAnsi="宋体" w:cs="宋体"/>
          <w:i/>
          <w:sz w:val="24"/>
          <w:szCs w:val="24"/>
          <w:highlight w:val="none"/>
          <w:u w:val="single"/>
        </w:rPr>
        <w:t xml:space="preserve">。</w:t>
      </w:r>
      <w:r/>
    </w:p>
    <w:p>
      <w:pPr>
        <w:pStyle w:val="971"/>
        <w:rPr>
          <w:highlight w:val="none"/>
        </w:rPr>
      </w:pPr>
      <w:r>
        <w:rPr>
          <w:highlight w:val="none"/>
        </w:rPr>
      </w:r>
      <w:r/>
    </w:p>
    <w:p>
      <w:pPr>
        <w:jc w:val="center"/>
        <w:rPr>
          <w:rFonts w:ascii="宋体" w:hAnsi="宋体" w:cs="宋体"/>
          <w:b/>
          <w:bCs/>
          <w:sz w:val="24"/>
          <w:szCs w:val="21"/>
          <w:highlight w:val="none"/>
        </w:rPr>
      </w:pPr>
      <w:r>
        <w:rPr>
          <w:rFonts w:hint="eastAsia" w:ascii="宋体" w:hAnsi="宋体" w:cs="宋体"/>
          <w:b/>
          <w:bCs/>
          <w:sz w:val="24"/>
          <w:szCs w:val="21"/>
          <w:highlight w:val="none"/>
        </w:rPr>
        <w:t xml:space="preserve">西区医院电梯计划更换批次</w:t>
      </w:r>
      <w:r/>
    </w:p>
    <w:tbl>
      <w:tblPr>
        <w:tblStyle w:val="722"/>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703"/>
        <w:gridCol w:w="1458"/>
        <w:gridCol w:w="1887"/>
        <w:gridCol w:w="766"/>
        <w:gridCol w:w="1254"/>
      </w:tblGrid>
      <w:tr>
        <w:trPr>
          <w:jc w:val="center"/>
        </w:trPr>
        <w:tc>
          <w:tcPr>
            <w:shd w:val="clear" w:color="auto" w:fill="ffffff"/>
            <w:tcW w:w="633"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shd w:val="clear" w:color="auto" w:fill="ffffff"/>
            <w:tcW w:w="1052"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位置</w:t>
            </w:r>
            <w:r/>
          </w:p>
        </w:tc>
        <w:tc>
          <w:tcPr>
            <w:shd w:val="clear" w:color="auto" w:fill="ffffff"/>
            <w:tcW w:w="901"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额载（KG）</w:t>
            </w:r>
            <w:r/>
          </w:p>
        </w:tc>
        <w:tc>
          <w:tcPr>
            <w:shd w:val="clear" w:color="auto" w:fill="ffffff"/>
            <w:tcW w:w="1166"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层站</w:t>
            </w:r>
            <w:r/>
          </w:p>
        </w:tc>
        <w:tc>
          <w:tcPr>
            <w:shd w:val="clear" w:color="auto" w:fill="ffffff"/>
            <w:tcW w:w="473"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批次</w:t>
            </w:r>
            <w:r/>
          </w:p>
        </w:tc>
        <w:tc>
          <w:tcPr>
            <w:shd w:val="clear" w:color="auto" w:fill="ffffff"/>
            <w:tcW w:w="775"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电梯编号</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住院部2#电梯</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ccc0d9"/>
            <w:tcW w:w="47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住院部3#电梯</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DT2</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门诊楼北</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DT12</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新行政楼(北)</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6层6站6门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DT9</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手术室东</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3层2站2门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DT10</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6</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医技楼东</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5层5站5门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DT17</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7</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门诊南</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扶梯</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DT18</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8</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食堂东</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DT14</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9</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住院部4#电梯</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95b3d7"/>
            <w:tcW w:w="47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DT3</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10</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门诊北</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扶梯</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DT19</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11</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手术室西</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Style w:val="1048"/>
                <w:rFonts w:hint="default"/>
                <w:szCs w:val="21"/>
                <w:highlight w:val="none"/>
              </w:rPr>
              <w:t xml:space="preserve">3</w:t>
            </w:r>
            <w:r>
              <w:rPr>
                <w:rStyle w:val="1049"/>
                <w:rFonts w:hint="default"/>
                <w:szCs w:val="21"/>
                <w:highlight w:val="none"/>
              </w:rPr>
              <w:t xml:space="preserve">层</w:t>
            </w:r>
            <w:r>
              <w:rPr>
                <w:rStyle w:val="1048"/>
                <w:rFonts w:hint="default"/>
                <w:szCs w:val="21"/>
                <w:highlight w:val="none"/>
              </w:rPr>
              <w:t xml:space="preserve">2</w:t>
            </w:r>
            <w:r>
              <w:rPr>
                <w:rStyle w:val="1049"/>
                <w:rFonts w:hint="default"/>
                <w:szCs w:val="21"/>
                <w:highlight w:val="none"/>
              </w:rPr>
              <w:t xml:space="preserve">站</w:t>
            </w:r>
            <w:r>
              <w:rPr>
                <w:rStyle w:val="1048"/>
                <w:rFonts w:hint="default"/>
                <w:szCs w:val="21"/>
                <w:highlight w:val="none"/>
              </w:rPr>
              <w:t xml:space="preserve">2</w:t>
            </w:r>
            <w:r>
              <w:rPr>
                <w:rStyle w:val="1049"/>
                <w:rFonts w:hint="default"/>
                <w:szCs w:val="21"/>
                <w:highlight w:val="none"/>
              </w:rPr>
              <w:t xml:space="preserve">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DT11</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12</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住院部9#电梯</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22层22站22门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DT8</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13</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门诊楼南</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DT13</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14</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食堂西</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DT15</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15</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医技楼西</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5层5站5门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DT16</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16</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住院部5#电梯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24层24站24门</w:t>
            </w:r>
            <w:r/>
          </w:p>
        </w:tc>
        <w:tc>
          <w:tcPr>
            <w:shd w:val="clear" w:color="auto" w:fill="fbd4b4"/>
            <w:tcW w:w="47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DT4</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17</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住院部6#电梯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fbd4b4"/>
            <w:tcW w:w="473" w:type="dxa"/>
            <w:textDirection w:val="lrTb"/>
            <w:noWrap/>
          </w:tcPr>
          <w:p>
            <w:pPr>
              <w:jc w:val="center"/>
              <w:rPr>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DT5</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18</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住院部7#电梯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fbd4b4"/>
            <w:tcW w:w="473" w:type="dxa"/>
            <w:textDirection w:val="lrTb"/>
            <w:noWrap/>
          </w:tcPr>
          <w:p>
            <w:pPr>
              <w:jc w:val="center"/>
              <w:rPr>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DT6</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19</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住院部8#电梯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fbd4b4"/>
            <w:tcW w:w="473" w:type="dxa"/>
            <w:textDirection w:val="lrTb"/>
            <w:noWrap/>
          </w:tcPr>
          <w:p>
            <w:pPr>
              <w:jc w:val="center"/>
              <w:rPr>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DT7</w:t>
            </w:r>
            <w:r/>
          </w:p>
        </w:tc>
      </w:tr>
    </w:tbl>
    <w:p>
      <w:pPr>
        <w:ind w:firstLine="560"/>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（八）履约保证金、质保金、付款方式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按规范要求收取，详见第三章合同文本。</w:t>
      </w:r>
      <w:r/>
    </w:p>
    <w:p>
      <w:pPr>
        <w:ind w:firstLine="560"/>
        <w:spacing w:line="44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ind w:firstLine="560"/>
        <w:spacing w:line="440" w:lineRule="exac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五</w:t>
      </w:r>
      <w:r>
        <w:rPr>
          <w:rFonts w:ascii="宋体" w:hAnsi="宋体"/>
          <w:b/>
          <w:color w:val="000000"/>
          <w:sz w:val="28"/>
          <w:szCs w:val="28"/>
          <w:highlight w:val="none"/>
        </w:rPr>
        <w:t xml:space="preserve">、其他要求</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p>
    <w:p>
      <w:pPr>
        <w:ind w:firstLine="480"/>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．核心产品</w:t>
      </w:r>
      <w:r/>
    </w:p>
    <w:tbl>
      <w:tblPr>
        <w:tblStyle w:val="722"/>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6117"/>
      </w:tblGrid>
      <w:tr>
        <w:trPr/>
        <w:tc>
          <w:tcPr>
            <w:tcW w:w="1394"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采购包号</w:t>
            </w:r>
            <w:r/>
          </w:p>
        </w:tc>
        <w:tc>
          <w:tcPr>
            <w:tcW w:w="6117"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核心产品</w:t>
            </w:r>
            <w:r/>
          </w:p>
        </w:tc>
      </w:tr>
      <w:tr>
        <w:trPr/>
        <w:tc>
          <w:tcPr>
            <w:tcW w:w="1394"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6117"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无</w:t>
            </w:r>
            <w:r/>
          </w:p>
        </w:tc>
      </w:tr>
    </w:tbl>
    <w:p>
      <w:pPr>
        <w:ind w:firstLine="480"/>
        <w:spacing w:line="440" w:lineRule="exact"/>
        <w:rPr>
          <w:rFonts w:ascii="宋体" w:hAnsi="宋体"/>
          <w:sz w:val="24"/>
          <w:szCs w:val="24"/>
          <w:highlight w:val="none"/>
        </w:rPr>
      </w:pPr>
      <w:r>
        <w:rPr>
          <w:rFonts w:hint="eastAsia" w:ascii="宋体" w:hAnsi="宋体"/>
          <w:sz w:val="24"/>
          <w:szCs w:val="24"/>
          <w:highlight w:val="none"/>
        </w:rPr>
        <w:t xml:space="preserve">3.进口</w:t>
      </w:r>
      <w:r>
        <w:rPr>
          <w:rFonts w:ascii="宋体" w:hAnsi="宋体"/>
          <w:sz w:val="24"/>
          <w:szCs w:val="24"/>
          <w:highlight w:val="none"/>
        </w:rPr>
        <w:t xml:space="preserve">产品</w:t>
      </w:r>
      <w:r>
        <w:rPr>
          <w:rFonts w:hint="eastAsia" w:ascii="宋体" w:hAnsi="宋体"/>
          <w:sz w:val="24"/>
          <w:szCs w:val="24"/>
          <w:highlight w:val="none"/>
        </w:rPr>
        <w:t xml:space="preserve">投标</w:t>
      </w:r>
      <w:r/>
    </w:p>
    <w:tbl>
      <w:tblPr>
        <w:tblStyle w:val="722"/>
        <w:tblW w:w="0" w:type="auto"/>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6106"/>
      </w:tblGrid>
      <w:tr>
        <w:trPr/>
        <w:tc>
          <w:tcPr>
            <w:tcW w:w="1428"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采购包号</w:t>
            </w:r>
            <w:r/>
          </w:p>
        </w:tc>
        <w:tc>
          <w:tcPr>
            <w:tcW w:w="6106"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是否接受</w:t>
            </w:r>
            <w:r>
              <w:rPr>
                <w:rFonts w:ascii="宋体" w:hAnsi="宋体"/>
                <w:szCs w:val="21"/>
                <w:highlight w:val="none"/>
              </w:rPr>
              <w:t xml:space="preserve">进口产品投标</w:t>
            </w:r>
            <w:r>
              <w:rPr>
                <w:rFonts w:hint="eastAsia" w:ascii="宋体" w:hAnsi="宋体"/>
                <w:szCs w:val="21"/>
                <w:highlight w:val="none"/>
              </w:rPr>
              <w:t xml:space="preserve">（是/否）</w:t>
            </w:r>
            <w:r/>
          </w:p>
        </w:tc>
      </w:tr>
      <w:tr>
        <w:trPr/>
        <w:tc>
          <w:tcPr>
            <w:tcW w:w="1428"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6106"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否</w:t>
            </w:r>
            <w:r/>
          </w:p>
        </w:tc>
      </w:tr>
    </w:tbl>
    <w:p>
      <w:pPr>
        <w:spacing w:line="0" w:lineRule="atLeast"/>
        <w:rPr>
          <w:rFonts w:ascii="宋体" w:hAnsi="宋体"/>
          <w:sz w:val="24"/>
          <w:szCs w:val="24"/>
          <w:highlight w:val="none"/>
        </w:rPr>
      </w:pPr>
      <w:r>
        <w:rPr>
          <w:rFonts w:ascii="宋体" w:hAnsi="宋体"/>
          <w:sz w:val="24"/>
          <w:szCs w:val="24"/>
          <w:highlight w:val="none"/>
        </w:rPr>
      </w:r>
      <w:r/>
    </w:p>
    <w:p>
      <w:pPr>
        <w:jc w:val="center"/>
        <w:keepNext/>
        <w:rPr>
          <w:rFonts w:ascii="黑体" w:eastAsia="黑体"/>
          <w:bCs/>
          <w:color w:val="000000"/>
          <w:sz w:val="44"/>
          <w:szCs w:val="28"/>
          <w:highlight w:val="none"/>
        </w:rPr>
        <w:outlineLvl w:val="0"/>
      </w:pPr>
      <w:r/>
      <w:bookmarkStart w:id="184" w:name="_Toc120614281"/>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p>
    <w:p>
      <w:pPr>
        <w:spacing w:line="440" w:lineRule="exact"/>
        <w:rPr>
          <w:color w:val="000000"/>
          <w:szCs w:val="21"/>
          <w:highlight w:val="none"/>
        </w:rPr>
      </w:pPr>
      <w:r>
        <w:rPr>
          <w:color w:val="000000"/>
          <w:szCs w:val="21"/>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p>
    <w:tbl>
      <w:tblPr>
        <w:tblStyle w:val="722"/>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256"/>
        <w:gridCol w:w="5011"/>
      </w:tblGrid>
      <w:tr>
        <w:trPr/>
        <w:tc>
          <w:tcPr>
            <w:tcW w:w="1117"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采购包号</w:t>
            </w:r>
            <w:r/>
          </w:p>
        </w:tc>
        <w:tc>
          <w:tcPr>
            <w:tcW w:w="2256"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中标候选人数量</w:t>
            </w:r>
            <w:r/>
          </w:p>
        </w:tc>
        <w:tc>
          <w:tcPr>
            <w:tcW w:w="5011"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中标候选人的原则</w:t>
            </w:r>
            <w:r/>
          </w:p>
        </w:tc>
      </w:tr>
      <w:tr>
        <w:trPr/>
        <w:tc>
          <w:tcPr>
            <w:tcW w:w="1117"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2256"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5011" w:type="dxa"/>
            <w:textDirection w:val="lrTb"/>
            <w:noWrap/>
          </w:tcPr>
          <w:p>
            <w:pPr>
              <w:spacing w:line="440" w:lineRule="exact"/>
              <w:rPr>
                <w:rFonts w:ascii="宋体" w:hAnsi="宋体"/>
                <w:szCs w:val="21"/>
                <w:highlight w:val="none"/>
              </w:rPr>
            </w:pPr>
            <w:r>
              <w:rPr>
                <w:rFonts w:hint="eastAsia" w:ascii="宋体" w:hAnsi="宋体"/>
                <w:szCs w:val="21"/>
                <w:highlight w:val="none"/>
              </w:rPr>
              <w:t xml:space="preserve">满足招标文件全部实质性要求，且按照评审因素的量化指标评审得分最高的投标人为中标候选人。</w:t>
            </w:r>
            <w:r/>
          </w:p>
        </w:tc>
      </w:tr>
    </w:tbl>
    <w:p>
      <w:pPr>
        <w:ind w:firstLine="439"/>
        <w:spacing w:line="440" w:lineRule="exact"/>
        <w:rPr>
          <w:rFonts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w:t>
      </w:r>
      <w:r>
        <w:rPr>
          <w:rFonts w:hint="eastAsia" w:ascii="宋体" w:hAnsi="宋体"/>
          <w:sz w:val="24"/>
          <w:szCs w:val="24"/>
          <w:highlight w:val="none"/>
        </w:rPr>
        <w:t xml:space="preserve">《中小</w:t>
      </w:r>
      <w:r>
        <w:rPr>
          <w:rFonts w:hint="eastAsia" w:ascii="宋体" w:hAnsi="宋体"/>
          <w:color w:val="000000"/>
          <w:sz w:val="24"/>
          <w:szCs w:val="24"/>
          <w:highlight w:val="none"/>
        </w:rPr>
        <w:t xml:space="preserve">微企业声明函》。</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spacing w:line="440" w:lineRule="exact"/>
        <w:rPr>
          <w:rFonts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lang w:val="en-US" w:eastAsia="zh-CN"/>
        </w:rPr>
        <w:t xml:space="preserve">的价格扣除，用扣除后的价格参与评审。供应商未填写比例数值，或比例数值</w:t>
      </w:r>
      <w:r>
        <w:rPr>
          <w:rFonts w:hint="eastAsia" w:ascii="宋体" w:hAnsi="宋体" w:eastAsia="宋体" w:cs="宋体"/>
          <w:color w:val="auto"/>
          <w:sz w:val="24"/>
          <w:szCs w:val="24"/>
          <w:highlight w:val="none"/>
          <w:u w:val="none"/>
          <w:lang w:val="en-US" w:eastAsia="zh-CN"/>
        </w:rPr>
        <w:t xml:space="preserve">不足</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lang w:val="en-US" w:eastAsia="zh-CN"/>
        </w:rPr>
        <w:t xml:space="preserve">的，将不享受本国产品价格评审优惠</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 </w:t>
      </w:r>
      <w:r>
        <w:rPr>
          <w:rFonts w:hint="eastAsia" w:ascii="宋体" w:hAnsi="宋体" w:eastAsia="宋体" w:cs="宋体"/>
          <w:color w:val="auto"/>
          <w:sz w:val="24"/>
          <w:szCs w:val="24"/>
          <w:highlight w:val="none"/>
        </w:rPr>
        <w:t xml:space="preserve">供应商需按照</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文件的要求提供《关于符合本国产品标准的声明函》</w:t>
      </w:r>
      <w:r>
        <w:rPr>
          <w:rFonts w:hint="eastAsia" w:ascii="宋体" w:hAnsi="宋体" w:eastAsia="宋体" w:cs="宋体"/>
          <w:color w:val="auto"/>
          <w:sz w:val="24"/>
          <w:szCs w:val="24"/>
          <w:highlight w:val="none"/>
          <w:lang w:eastAsia="zh-CN"/>
        </w:rPr>
        <w:t xml:space="preserve">（以下简称《声明函》），如不提供</w:t>
      </w:r>
      <w:r>
        <w:rPr>
          <w:rFonts w:hint="eastAsia" w:ascii="宋体" w:hAnsi="宋体" w:eastAsia="宋体" w:cs="宋体"/>
          <w:color w:val="auto"/>
          <w:sz w:val="24"/>
          <w:szCs w:val="24"/>
          <w:highlight w:val="none"/>
          <w:lang w:val="en-US" w:eastAsia="zh-CN"/>
        </w:rPr>
        <w:t xml:space="preserve">将不享受本国产品价格评审优惠</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w:t>
      </w:r>
      <w:r>
        <w:rPr>
          <w:rFonts w:hint="eastAsia" w:ascii="宋体" w:hAnsi="宋体" w:eastAsia="宋体" w:cs="宋体"/>
          <w:color w:val="auto"/>
          <w:sz w:val="24"/>
          <w:szCs w:val="24"/>
          <w:highlight w:val="none"/>
          <w:lang w:val="en-US" w:eastAsia="zh-CN"/>
        </w:rPr>
        <w:t xml:space="preserve">《声明函》中标注</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auto"/>
          <w:sz w:val="24"/>
          <w:szCs w:val="24"/>
          <w:highlight w:val="none"/>
          <w:u w:val="none"/>
          <w:lang w:eastAsia="zh-CN"/>
        </w:rPr>
        <w:t xml:space="preserve">和招标文件</w:t>
      </w:r>
      <w:r>
        <w:rPr>
          <w:rFonts w:hint="eastAsia" w:ascii="宋体" w:hAnsi="宋体" w:eastAsia="宋体" w:cs="宋体"/>
          <w:b w:val="0"/>
          <w:bCs w:val="0"/>
          <w:color w:val="auto"/>
          <w:sz w:val="24"/>
          <w:szCs w:val="24"/>
          <w:highlight w:val="none"/>
          <w:u w:val="none"/>
        </w:rPr>
        <w:t xml:space="preserve">规定的，供应商提供的相关产品视为不符合本国产品标准。</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bl>
      <w:tblPr>
        <w:tblStyle w:val="722"/>
        <w:tblW w:w="91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87"/>
        <w:gridCol w:w="1017"/>
        <w:gridCol w:w="6430"/>
        <w:gridCol w:w="836"/>
      </w:tblGrid>
      <w:tr>
        <w:trPr>
          <w:jc w:val="center"/>
          <w:trHeight w:val="352"/>
          <w:tblHeader/>
        </w:trPr>
        <w:tc>
          <w:tcPr>
            <w:tcW w:w="887"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序号</w:t>
            </w:r>
            <w:r/>
          </w:p>
        </w:tc>
        <w:tc>
          <w:tcPr>
            <w:tcW w:w="1017"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评审因素</w:t>
            </w:r>
            <w:r/>
          </w:p>
        </w:tc>
        <w:tc>
          <w:tcPr>
            <w:tcW w:w="6430"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评审细则</w:t>
            </w:r>
            <w:r/>
          </w:p>
        </w:tc>
        <w:tc>
          <w:tcPr>
            <w:tcW w:w="836"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分值</w:t>
            </w:r>
            <w:r/>
          </w:p>
        </w:tc>
      </w:tr>
      <w:tr>
        <w:trPr>
          <w:jc w:val="center"/>
          <w:trHeight w:val="628"/>
        </w:trPr>
        <w:tc>
          <w:tcPr>
            <w:tcW w:w="887"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pacing w:val="-6"/>
                <w:sz w:val="24"/>
                <w:szCs w:val="24"/>
                <w:highlight w:val="none"/>
              </w:rPr>
              <w:t xml:space="preserve">1</w:t>
            </w:r>
            <w:r/>
          </w:p>
        </w:tc>
        <w:tc>
          <w:tcPr>
            <w:tcW w:w="1017" w:type="dxa"/>
            <w:vAlign w:val="center"/>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价格分</w:t>
            </w:r>
            <w:r/>
          </w:p>
        </w:tc>
        <w:tc>
          <w:tcPr>
            <w:tcW w:w="6430" w:type="dxa"/>
            <w:vAlign w:val="center"/>
            <w:textDirection w:val="lrTb"/>
            <w:noWrap/>
          </w:tcPr>
          <w:p>
            <w:pPr>
              <w:spacing w:line="400" w:lineRule="exact"/>
              <w:rPr>
                <w:rFonts w:ascii="宋体" w:hAnsi="宋体"/>
                <w:sz w:val="24"/>
                <w:szCs w:val="24"/>
                <w:highlight w:val="none"/>
              </w:rPr>
            </w:pPr>
            <w:r>
              <w:rPr>
                <w:rFonts w:hint="eastAsia" w:ascii="宋体" w:hAnsi="宋体"/>
                <w:sz w:val="24"/>
                <w:szCs w:val="24"/>
                <w:highlight w:val="none"/>
              </w:rPr>
              <w:t xml:space="preserve">价格分采用低价优先法计算，即满足招标文件要求且报价最低的供应商报价为评标基准价，其价格分为满分30分，其他投标人的价格分统一按照以下公式计算：</w:t>
            </w:r>
            <w:r/>
          </w:p>
          <w:p>
            <w:pPr>
              <w:spacing w:line="440" w:lineRule="exact"/>
              <w:rPr>
                <w:rFonts w:ascii="宋体" w:hAnsi="宋体" w:cs="宋体"/>
                <w:sz w:val="24"/>
                <w:szCs w:val="24"/>
                <w:highlight w:val="none"/>
              </w:rPr>
            </w:pPr>
            <w:r>
              <w:rPr>
                <w:rFonts w:hint="eastAsia" w:ascii="宋体" w:hAnsi="宋体"/>
                <w:sz w:val="24"/>
                <w:szCs w:val="24"/>
                <w:highlight w:val="none"/>
              </w:rPr>
              <w:t xml:space="preserve">投标报价得分=（(评标基准价/该投标人的投标报价)）×30。</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30</w:t>
            </w:r>
            <w:r/>
          </w:p>
        </w:tc>
      </w:tr>
      <w:tr>
        <w:trPr>
          <w:jc w:val="center"/>
          <w:trHeight w:val="3589"/>
        </w:trPr>
        <w:tc>
          <w:tcPr>
            <w:tcW w:w="887" w:type="dxa"/>
            <w:vAlign w:val="center"/>
            <w:vMerge w:val="restart"/>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W w:w="1017" w:type="dxa"/>
            <w:vAlign w:val="center"/>
            <w:vMerge w:val="restart"/>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技术响应</w:t>
            </w:r>
            <w:r/>
          </w:p>
        </w:tc>
        <w:tc>
          <w:tcPr>
            <w:tcW w:w="6430" w:type="dxa"/>
            <w:vAlign w:val="center"/>
            <w:textDirection w:val="lrTb"/>
            <w:noWrap/>
          </w:tcPr>
          <w:p>
            <w:pPr>
              <w:spacing w:line="440" w:lineRule="exact"/>
              <w:rPr>
                <w:sz w:val="24"/>
                <w:szCs w:val="24"/>
                <w:highlight w:val="none"/>
              </w:rPr>
            </w:pPr>
            <w:r>
              <w:rPr>
                <w:rFonts w:hint="eastAsia" w:ascii="宋体" w:hAnsi="宋体" w:cs="宋体"/>
                <w:bCs/>
                <w:highlight w:val="none"/>
              </w:rPr>
              <w:t xml:space="preserve">2.1.</w:t>
            </w:r>
            <w:r>
              <w:rPr>
                <w:rFonts w:hint="eastAsia"/>
                <w:sz w:val="24"/>
                <w:szCs w:val="24"/>
                <w:highlight w:val="none"/>
              </w:rPr>
              <w:t xml:space="preserve"> 投标产品对招标文件技术需求的响应程度：标注斜体下划线的部分参数为实质性响应要求，有一项负偏离即为未实质性响应，作无效投标；前面标注</w:t>
            </w:r>
            <w:bookmarkStart w:id="185" w:name="OLE_LINK1"/>
            <w:r>
              <w:rPr>
                <w:rFonts w:hint="eastAsia"/>
                <w:sz w:val="24"/>
                <w:szCs w:val="24"/>
                <w:highlight w:val="none"/>
              </w:rPr>
              <w:t xml:space="preserve">▲</w:t>
            </w:r>
            <w:bookmarkEnd w:id="185"/>
            <w:r>
              <w:rPr>
                <w:rFonts w:hint="eastAsia"/>
                <w:sz w:val="24"/>
                <w:szCs w:val="24"/>
                <w:highlight w:val="none"/>
              </w:rPr>
              <w:t xml:space="preserve">的重要技术要求全部满足得22分，每项负偏离项扣2分，22分扣完为止。（投标人需按照本招标文件第四章的具体功能技术要求，在“技术参数响应及偏离表”中如实详细填列所投产品的参数，并按招标文件要求提供相应证明材料并在投标文件中醒目标识，否则评标委员会有权做负偏离处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22</w:t>
            </w:r>
            <w:r/>
          </w:p>
        </w:tc>
      </w:tr>
      <w:tr>
        <w:trPr>
          <w:jc w:val="center"/>
          <w:trHeight w:val="628"/>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仿宋"/>
                <w:bCs/>
                <w:color w:val="000000"/>
                <w:sz w:val="24"/>
                <w:szCs w:val="24"/>
                <w:highlight w:val="none"/>
              </w:rPr>
            </w:pPr>
            <w:r>
              <w:rPr>
                <w:rFonts w:hint="eastAsia" w:ascii="宋体" w:hAnsi="宋体" w:cs="宋体"/>
                <w:sz w:val="24"/>
                <w:szCs w:val="24"/>
                <w:highlight w:val="none"/>
              </w:rPr>
              <w:t xml:space="preserve">2.2.</w:t>
            </w:r>
            <w:r>
              <w:rPr>
                <w:rFonts w:hint="eastAsia"/>
                <w:sz w:val="24"/>
                <w:szCs w:val="24"/>
                <w:highlight w:val="none"/>
              </w:rPr>
              <w:t xml:space="preserve"> 垂直梯（DT10、DT11除外）电梯主要部件曳引机、控制柜、安全钳、限速器、控制器、调速器、轿厢缓冲器、对重缓冲器、轿厢上行超速保护装置、轿厢意外移动保护装置为原厂原品牌，每满足1项得1分，本项最高得10分。（提供省级特种设备检测研究院或国家电梯质量监督检验中心或者带CMA标识的投标型号整机型式试验报告原件扫描件上传至电子投标文件中，否则不予得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10</w:t>
            </w:r>
            <w:r/>
          </w:p>
        </w:tc>
      </w:tr>
      <w:tr>
        <w:trPr>
          <w:jc w:val="center"/>
          <w:trHeight w:val="628"/>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宋体"/>
                <w:sz w:val="24"/>
                <w:szCs w:val="24"/>
                <w:highlight w:val="none"/>
              </w:rPr>
            </w:pPr>
            <w:r>
              <w:rPr>
                <w:rFonts w:hint="eastAsia" w:ascii="宋体" w:hAnsi="宋体" w:cs="仿宋"/>
                <w:bCs/>
                <w:color w:val="000000"/>
                <w:sz w:val="24"/>
                <w:szCs w:val="24"/>
                <w:highlight w:val="none"/>
              </w:rPr>
              <w:t xml:space="preserve">2.3</w:t>
            </w:r>
            <w:r>
              <w:rPr>
                <w:rFonts w:hint="eastAsia"/>
                <w:sz w:val="24"/>
                <w:szCs w:val="24"/>
                <w:highlight w:val="none"/>
              </w:rPr>
              <w:t xml:space="preserve">自动扶梯主要部件控制系统、驱动主机、主机电机、附加制动器为原厂原品牌，每满足1项得1分，本项最高得4分。（提供省级特种设备检测研究院或国家电梯质量监督检验中心或者带CMA标识的投标型号整机型式试验报告原件扫描件，加盖公章）。</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4</w:t>
            </w:r>
            <w:r/>
          </w:p>
        </w:tc>
      </w:tr>
      <w:tr>
        <w:trPr>
          <w:jc w:val="center"/>
          <w:trHeight w:val="531"/>
        </w:trPr>
        <w:tc>
          <w:tcPr>
            <w:tcW w:w="887" w:type="dxa"/>
            <w:vAlign w:val="center"/>
            <w:vMerge w:val="restart"/>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p>
        </w:tc>
        <w:tc>
          <w:tcPr>
            <w:tcW w:w="1017" w:type="dxa"/>
            <w:vAlign w:val="center"/>
            <w:vMerge w:val="restart"/>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项目方案</w:t>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bCs/>
                <w:sz w:val="24"/>
                <w:szCs w:val="24"/>
                <w:highlight w:val="none"/>
              </w:rPr>
              <w:t xml:space="preserve">安装方案（4分）：方案优于招标文件要求得4分；</w:t>
            </w:r>
            <w:r>
              <w:rPr>
                <w:rFonts w:hint="eastAsia" w:ascii="宋体" w:hAnsi="宋体" w:cs="宋体"/>
                <w:sz w:val="24"/>
                <w:szCs w:val="24"/>
                <w:highlight w:val="none"/>
              </w:rPr>
              <w:t xml:space="preserve">方案符合招标文件要求得2分；不符合招标文件要求或者未提供的不得分。</w:t>
            </w:r>
            <w:r/>
          </w:p>
        </w:tc>
        <w:tc>
          <w:tcPr>
            <w:tcW w:w="836" w:type="dxa"/>
            <w:vAlign w:val="center"/>
            <w:vMerge w:val="restart"/>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24</w:t>
            </w:r>
            <w:r/>
          </w:p>
        </w:tc>
      </w:tr>
      <w:tr>
        <w:trPr>
          <w:jc w:val="center"/>
          <w:trHeight w:val="1334"/>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bCs/>
                <w:sz w:val="24"/>
                <w:szCs w:val="24"/>
                <w:highlight w:val="none"/>
              </w:rPr>
              <w:t xml:space="preserve">安全文明施工方案（4分）：方案优于招标文件要求得4分；</w:t>
            </w:r>
            <w:r>
              <w:rPr>
                <w:rFonts w:hint="eastAsia" w:ascii="宋体" w:hAnsi="宋体" w:cs="宋体"/>
                <w:sz w:val="24"/>
                <w:szCs w:val="24"/>
                <w:highlight w:val="none"/>
              </w:rPr>
              <w:t xml:space="preserve">方案符合招标文件要求得2分；不符合招标文件要求或者未提供的不得分。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272"/>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bCs/>
                <w:sz w:val="24"/>
                <w:szCs w:val="24"/>
                <w:highlight w:val="none"/>
              </w:rPr>
              <w:t xml:space="preserve">质量保证方案（4分）方案优于招标文件要求得4分；</w:t>
            </w:r>
            <w:r>
              <w:rPr>
                <w:rFonts w:hint="eastAsia" w:ascii="宋体" w:hAnsi="宋体" w:cs="宋体"/>
                <w:sz w:val="24"/>
                <w:szCs w:val="24"/>
                <w:highlight w:val="none"/>
              </w:rPr>
              <w:t xml:space="preserve">方案符合招标文件要求得2分；不符合招标文件要求或者未提供的不得分。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highlight w:val="none"/>
              </w:rPr>
            </w:pPr>
            <w:r>
              <w:rPr>
                <w:highlight w:val="none"/>
              </w:rPr>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spacing w:val="-2"/>
                <w:sz w:val="24"/>
                <w:szCs w:val="24"/>
                <w:highlight w:val="none"/>
              </w:rPr>
              <w:t xml:space="preserve">3.4应急处理预案（4分）</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投标人提供的应急处理预案（电梯常见故障应急救援方法）是否全面、详细、合理可行。优于招标文件要求的得4分；符合招标要求文件的得2分；不符合招标文件要求或者未提供的不得分。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highlight w:val="none"/>
              </w:rPr>
            </w:pPr>
            <w:r>
              <w:rPr>
                <w:highlight w:val="none"/>
              </w:rPr>
            </w:r>
            <w:r/>
          </w:p>
        </w:tc>
        <w:tc>
          <w:tcPr>
            <w:tcW w:w="6430" w:type="dxa"/>
            <w:vAlign w:val="center"/>
            <w:textDirection w:val="lrTb"/>
            <w:noWrap/>
          </w:tcPr>
          <w:p>
            <w:pPr>
              <w:spacing w:line="440" w:lineRule="exact"/>
              <w:rPr>
                <w:rFonts w:ascii="宋体" w:hAnsi="宋体" w:cs="宋体"/>
                <w:bCs/>
                <w:sz w:val="24"/>
                <w:highlight w:val="none"/>
              </w:rPr>
            </w:pPr>
            <w:r>
              <w:rPr>
                <w:rFonts w:hint="eastAsia" w:ascii="宋体" w:hAnsi="宋体" w:cs="宋体"/>
                <w:sz w:val="24"/>
                <w:szCs w:val="24"/>
                <w:highlight w:val="none"/>
              </w:rPr>
              <w:t xml:space="preserve">3.5售后服务（培训、质保、维保）方案（4分）。 包括培训方案，服务体系，售后服务内容，故障解决方案，专业技术人员保障，售后技术、装备、备品备件，应急响应时间。</w:t>
            </w:r>
            <w:r>
              <w:rPr>
                <w:rFonts w:hint="eastAsia" w:ascii="宋体" w:hAnsi="宋体" w:cs="宋体"/>
                <w:bCs/>
                <w:sz w:val="24"/>
                <w:highlight w:val="none"/>
              </w:rPr>
              <w:t xml:space="preserve">方案优于招标文件要求得4分，方案符合招标文件要求得2分，方案不符合招标文件要求或未提供不得分。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highlight w:val="none"/>
              </w:rPr>
            </w:pPr>
            <w:r>
              <w:rPr>
                <w:highlight w:val="none"/>
              </w:rPr>
            </w:r>
            <w:r/>
          </w:p>
        </w:tc>
        <w:tc>
          <w:tcPr>
            <w:tcW w:w="6430" w:type="dxa"/>
            <w:vAlign w:val="center"/>
            <w:textDirection w:val="lrTb"/>
            <w:noWrap/>
          </w:tcPr>
          <w:p>
            <w:pPr>
              <w:spacing w:line="440" w:lineRule="exact"/>
              <w:rPr>
                <w:rFonts w:ascii="宋体" w:hAnsi="宋体" w:cs="宋体"/>
                <w:bCs/>
                <w:sz w:val="24"/>
                <w:highlight w:val="none"/>
              </w:rPr>
            </w:pPr>
            <w:r>
              <w:rPr>
                <w:rFonts w:hint="eastAsia" w:ascii="宋体" w:hAnsi="宋体" w:cs="宋体"/>
                <w:bCs/>
                <w:sz w:val="24"/>
                <w:highlight w:val="none"/>
              </w:rPr>
              <w:t xml:space="preserve">3.6智慧管理方案（4分）。方案优于招标文件要求得4分，方案符合招标文件要求得2分，方案不符合招标文件要求或未提供不得分。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14"/>
        </w:trPr>
        <w:tc>
          <w:tcPr>
            <w:tcW w:w="887"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4</w:t>
            </w:r>
            <w:r/>
          </w:p>
        </w:tc>
        <w:tc>
          <w:tcPr>
            <w:tcW w:w="1017" w:type="dxa"/>
            <w:vAlign w:val="center"/>
            <w:textDirection w:val="lrTb"/>
            <w:noWrap/>
          </w:tcPr>
          <w:p>
            <w:pPr>
              <w:spacing w:line="440" w:lineRule="exact"/>
              <w:rPr>
                <w:rFonts w:ascii="宋体" w:hAnsi="宋体" w:cs="宋体"/>
                <w:spacing w:val="-2"/>
                <w:sz w:val="24"/>
                <w:szCs w:val="24"/>
                <w:highlight w:val="none"/>
              </w:rPr>
            </w:pPr>
            <w:r>
              <w:rPr>
                <w:rFonts w:hint="eastAsia" w:ascii="宋体" w:hAnsi="宋体" w:cs="宋体"/>
                <w:sz w:val="24"/>
                <w:szCs w:val="24"/>
                <w:highlight w:val="none"/>
              </w:rPr>
              <w:t xml:space="preserve">投标人业绩</w:t>
            </w:r>
            <w:r/>
          </w:p>
        </w:tc>
        <w:tc>
          <w:tcPr>
            <w:tcW w:w="6430" w:type="dxa"/>
            <w:vAlign w:val="center"/>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4.1投标人提供自2022年1月1日（含）以来与本项目所投产品</w:t>
            </w:r>
            <w:r>
              <w:rPr>
                <w:rFonts w:hint="eastAsia" w:ascii="宋体" w:hAnsi="宋体" w:cs="宋体"/>
                <w:bCs/>
                <w:sz w:val="24"/>
                <w:szCs w:val="24"/>
                <w:highlight w:val="none"/>
              </w:rPr>
              <w:t xml:space="preserve">同品牌</w:t>
            </w:r>
            <w:r>
              <w:rPr>
                <w:rFonts w:hint="eastAsia" w:ascii="宋体" w:hAnsi="宋体" w:cs="宋体"/>
                <w:sz w:val="24"/>
                <w:szCs w:val="24"/>
                <w:highlight w:val="none"/>
              </w:rPr>
              <w:t xml:space="preserve">电梯项目的业绩，每提供1个得1分，最多得3分。</w:t>
            </w:r>
            <w:r/>
          </w:p>
          <w:p>
            <w:pPr>
              <w:spacing w:line="440" w:lineRule="exact"/>
              <w:rPr>
                <w:rFonts w:ascii="宋体" w:hAnsi="宋体" w:cs="宋体"/>
                <w:sz w:val="24"/>
                <w:szCs w:val="24"/>
                <w:highlight w:val="none"/>
                <w:lang w:bidi="zh-CN"/>
              </w:rPr>
            </w:pPr>
            <w:r>
              <w:rPr>
                <w:rFonts w:hint="eastAsia" w:ascii="宋体" w:hAnsi="宋体" w:cs="宋体"/>
                <w:sz w:val="24"/>
                <w:szCs w:val="24"/>
                <w:highlight w:val="none"/>
              </w:rPr>
              <w:t xml:space="preserve">提供合同复印件并加盖投标人公章，包括但不限于合同首页、签字盖章页等关键页，须反映出相关数据和内容，同一业主单位不重复计分，同时提供合同中</w:t>
            </w:r>
            <w:r>
              <w:rPr>
                <w:rFonts w:hint="eastAsia" w:ascii="宋体" w:hAnsi="宋体" w:cs="仿宋"/>
                <w:bCs/>
                <w:color w:val="000000"/>
                <w:sz w:val="24"/>
                <w:szCs w:val="24"/>
                <w:highlight w:val="none"/>
              </w:rPr>
              <w:t xml:space="preserve">电梯的监督检验报告复印件加盖投标人公章</w:t>
            </w:r>
            <w:r>
              <w:rPr>
                <w:rFonts w:hint="eastAsia" w:ascii="宋体" w:hAnsi="宋体" w:cs="宋体"/>
                <w:sz w:val="24"/>
                <w:szCs w:val="24"/>
                <w:highlight w:val="none"/>
              </w:rPr>
              <w:t xml:space="preserve">。（时间以合同签订日期为准）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387"/>
        </w:trPr>
        <w:tc>
          <w:tcPr>
            <w:tcW w:w="887"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5</w:t>
            </w:r>
            <w:r/>
          </w:p>
        </w:tc>
        <w:tc>
          <w:tcPr>
            <w:tcW w:w="1017" w:type="dxa"/>
            <w:vAlign w:val="center"/>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履约能力</w:t>
            </w:r>
            <w:r/>
          </w:p>
        </w:tc>
        <w:tc>
          <w:tcPr>
            <w:tcW w:w="6430" w:type="dxa"/>
            <w:vAlign w:val="center"/>
            <w:textDirection w:val="lrTb"/>
            <w:noWrap/>
          </w:tcPr>
          <w:p>
            <w:pPr>
              <w:pStyle w:val="993"/>
              <w:ind w:firstLine="0"/>
              <w:spacing w:line="440" w:lineRule="exact"/>
              <w:rPr>
                <w:rFonts w:cs="宋体"/>
                <w:sz w:val="24"/>
                <w:szCs w:val="24"/>
                <w:highlight w:val="none"/>
              </w:rPr>
            </w:pPr>
            <w:r>
              <w:rPr>
                <w:rFonts w:hint="eastAsia" w:cs="宋体"/>
                <w:sz w:val="24"/>
                <w:szCs w:val="24"/>
                <w:highlight w:val="none"/>
              </w:rPr>
              <w:t xml:space="preserve">5.1提供制造商购买的有效期内的累计赔偿金额不低于5000万元《公众责任保险》保单复印件盖投标人公章，本项3分。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676"/>
        </w:trPr>
        <w:tc>
          <w:tcPr>
            <w:tcW w:w="887" w:type="dxa"/>
            <w:vAlign w:val="center"/>
            <w:textDirection w:val="lrTb"/>
            <w:noWrap/>
          </w:tcPr>
          <w:p>
            <w:pPr>
              <w:pStyle w:val="928"/>
              <w:jc w:val="center"/>
              <w:spacing w:before="0" w:after="0" w:line="440" w:lineRule="exact"/>
              <w:rPr>
                <w:rFonts w:ascii="宋体" w:hAnsi="宋体" w:eastAsia="宋体" w:cs="宋体"/>
                <w:highlight w:val="none"/>
              </w:rPr>
            </w:pPr>
            <w:r>
              <w:rPr>
                <w:rFonts w:hint="eastAsia" w:ascii="宋体" w:hAnsi="宋体" w:eastAsia="宋体" w:cs="宋体"/>
                <w:highlight w:val="none"/>
              </w:rPr>
              <w:t xml:space="preserve">6</w:t>
            </w:r>
            <w:r/>
          </w:p>
        </w:tc>
        <w:tc>
          <w:tcPr>
            <w:tcW w:w="1017" w:type="dxa"/>
            <w:vAlign w:val="center"/>
            <w:textDirection w:val="lrTb"/>
            <w:noWrap/>
          </w:tcPr>
          <w:p>
            <w:pPr>
              <w:pStyle w:val="928"/>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五大件质保</w:t>
            </w:r>
            <w:r/>
          </w:p>
        </w:tc>
        <w:tc>
          <w:tcPr>
            <w:tcW w:w="6430" w:type="dxa"/>
            <w:vAlign w:val="center"/>
            <w:textDirection w:val="lrTb"/>
            <w:noWrap/>
          </w:tcPr>
          <w:p>
            <w:pPr>
              <w:pStyle w:val="928"/>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6.1投标人提供五大安全部件质保承诺，五大安全部件(曳引机、门机、控制柜、限速器、安全钳)质保年限≥10年，得2分；8年≤五大安全部件(曳引机、门机、控制柜、限速器、安全钳)质保年限＜10年，得1分。</w:t>
            </w:r>
            <w:r/>
          </w:p>
          <w:p>
            <w:pPr>
              <w:pStyle w:val="928"/>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【相关费用包含在投标总价中，签订合同时提供原厂质保承诺，不提供不得分】。</w:t>
            </w:r>
            <w:r/>
          </w:p>
        </w:tc>
        <w:tc>
          <w:tcPr>
            <w:tcW w:w="836" w:type="dxa"/>
            <w:vAlign w:val="center"/>
            <w:textDirection w:val="lrTb"/>
            <w:noWrap/>
          </w:tcPr>
          <w:p>
            <w:pPr>
              <w:pStyle w:val="928"/>
              <w:jc w:val="center"/>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2</w:t>
            </w:r>
            <w:r/>
          </w:p>
        </w:tc>
      </w:tr>
      <w:tr>
        <w:trPr>
          <w:jc w:val="center"/>
          <w:trHeight w:val="676"/>
        </w:trPr>
        <w:tc>
          <w:tcPr>
            <w:tcW w:w="887" w:type="dxa"/>
            <w:vAlign w:val="center"/>
            <w:textDirection w:val="lrTb"/>
            <w:noWrap/>
          </w:tcPr>
          <w:p>
            <w:pPr>
              <w:pStyle w:val="928"/>
              <w:jc w:val="center"/>
              <w:spacing w:before="0" w:after="0" w:line="440" w:lineRule="exact"/>
              <w:rPr>
                <w:rFonts w:ascii="宋体" w:hAnsi="宋体" w:eastAsia="宋体" w:cs="宋体"/>
                <w:highlight w:val="none"/>
              </w:rPr>
            </w:pPr>
            <w:r>
              <w:rPr>
                <w:rFonts w:hint="eastAsia" w:ascii="宋体" w:hAnsi="宋体" w:eastAsia="宋体" w:cs="宋体"/>
                <w:highlight w:val="none"/>
              </w:rPr>
              <w:t xml:space="preserve">7</w:t>
            </w:r>
            <w:r/>
          </w:p>
        </w:tc>
        <w:tc>
          <w:tcPr>
            <w:tcW w:w="1017" w:type="dxa"/>
            <w:vAlign w:val="center"/>
            <w:textDirection w:val="lrTb"/>
            <w:noWrap/>
          </w:tcPr>
          <w:p>
            <w:pPr>
              <w:pStyle w:val="928"/>
              <w:spacing w:before="0" w:after="0" w:line="440" w:lineRule="exact"/>
              <w:rPr>
                <w:rFonts w:ascii="宋体" w:hAnsi="宋体" w:eastAsia="宋体" w:cs="宋体"/>
                <w:b w:val="0"/>
                <w:bCs w:val="0"/>
                <w:highlight w:val="none"/>
              </w:rPr>
            </w:pPr>
            <w:r>
              <w:rPr>
                <w:rFonts w:hint="eastAsia" w:ascii="宋体" w:hAnsi="宋体" w:eastAsia="宋体" w:cs="宋体"/>
                <w:b w:val="0"/>
                <w:bCs w:val="0"/>
                <w:highlight w:val="none"/>
              </w:rPr>
              <w:t xml:space="preserve">节能环保</w:t>
            </w:r>
            <w:r/>
          </w:p>
        </w:tc>
        <w:tc>
          <w:tcPr>
            <w:tcW w:w="6430" w:type="dxa"/>
            <w:vAlign w:val="center"/>
            <w:textDirection w:val="lrTb"/>
            <w:noWrap/>
          </w:tcPr>
          <w:p>
            <w:pPr>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7.1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28"/>
              <w:spacing w:before="0" w:after="0" w:line="440" w:lineRule="exact"/>
              <w:rPr>
                <w:rFonts w:ascii="宋体" w:hAnsi="宋体" w:eastAsia="宋体" w:cs="宋体"/>
                <w:b w:val="0"/>
                <w:bCs w:val="0"/>
                <w:highlight w:val="none"/>
              </w:rPr>
            </w:pPr>
            <w:r>
              <w:rPr>
                <w:rFonts w:hint="eastAsia" w:ascii="宋体" w:hAnsi="宋体" w:eastAsia="宋体" w:cs="宋体"/>
                <w:b w:val="0"/>
                <w:bCs w:val="0"/>
                <w:highlight w:val="none"/>
              </w:rPr>
              <w:t xml:space="preserve">7.2投标产品属于财政部、生态环境部公布的“环境标志产品品目清单”范围内的，投标人提供国家确定的认证机构出具的、处于有效期内的该投标产品环境标志产品认证证书复印件的，有1个得0.5分，最多得1分。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836" w:type="dxa"/>
            <w:vAlign w:val="center"/>
            <w:textDirection w:val="lrTb"/>
            <w:noWrap/>
          </w:tcPr>
          <w:p>
            <w:pPr>
              <w:pStyle w:val="928"/>
              <w:jc w:val="center"/>
              <w:spacing w:before="0" w:after="0" w:line="440" w:lineRule="exact"/>
              <w:rPr>
                <w:rFonts w:ascii="宋体" w:hAnsi="宋体" w:eastAsia="宋体" w:cs="宋体"/>
                <w:b w:val="0"/>
                <w:bCs w:val="0"/>
                <w:highlight w:val="none"/>
              </w:rPr>
            </w:pPr>
            <w:r>
              <w:rPr>
                <w:rFonts w:hint="eastAsia" w:ascii="宋体" w:hAnsi="宋体" w:eastAsia="宋体" w:cs="宋体"/>
                <w:b w:val="0"/>
                <w:bCs w:val="0"/>
                <w:highlight w:val="none"/>
              </w:rPr>
              <w:t xml:space="preserve">2</w:t>
            </w:r>
            <w:r/>
          </w:p>
        </w:tc>
      </w:tr>
    </w:tbl>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spacing w:line="440" w:lineRule="exact"/>
        <w:rPr>
          <w:rFonts w:ascii="黑体" w:eastAsia="黑体"/>
          <w:bCs/>
          <w:color w:val="000000"/>
          <w:sz w:val="44"/>
          <w:szCs w:val="28"/>
          <w:highlight w:val="none"/>
        </w:rPr>
        <w:outlineLvl w:val="0"/>
      </w:pPr>
      <w:r>
        <w:rPr>
          <w:rFonts w:ascii="黑体" w:eastAsia="黑体"/>
          <w:bCs/>
          <w:color w:val="000000"/>
          <w:sz w:val="44"/>
          <w:szCs w:val="28"/>
          <w:highlight w:val="none"/>
        </w:rPr>
      </w:r>
      <w:r/>
    </w:p>
    <w:p>
      <w:pPr>
        <w:jc w:val="center"/>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第六章  投标</w:t>
      </w:r>
      <w:bookmarkEnd w:id="182"/>
      <w:r/>
      <w:bookmarkEnd w:id="183"/>
      <w:r/>
      <w:bookmarkEnd w:id="184"/>
      <w:r>
        <w:rPr>
          <w:rFonts w:hint="eastAsia" w:ascii="黑体" w:eastAsia="黑体"/>
          <w:bCs/>
          <w:color w:val="000000"/>
          <w:sz w:val="44"/>
          <w:szCs w:val="28"/>
          <w:highlight w:val="none"/>
        </w:rPr>
        <w:t xml:space="preserve">文件格式 </w:t>
      </w:r>
      <w:r/>
    </w:p>
    <w:p>
      <w:pPr>
        <w:jc w:val="center"/>
        <w:rPr>
          <w:rFonts w:ascii="宋体" w:hAnsi="宋体"/>
          <w:b/>
          <w:color w:val="000000"/>
          <w:sz w:val="72"/>
          <w:szCs w:val="21"/>
          <w:highlight w:val="none"/>
        </w:rPr>
      </w:pPr>
      <w:r/>
      <w:bookmarkStart w:id="186" w:name="_Hlt26671244"/>
      <w:r/>
      <w:bookmarkEnd w:id="186"/>
      <w:r/>
      <w:bookmarkStart w:id="187" w:name="_Hlt26955039"/>
      <w:r/>
      <w:bookmarkEnd w:id="187"/>
      <w:r/>
      <w:bookmarkStart w:id="188" w:name="_Toc49090576"/>
      <w:r/>
      <w:bookmarkStart w:id="189" w:name="_Toc26554094"/>
      <w:r/>
      <w:bookmarkStart w:id="190" w:name="_Toc120614282"/>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108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p>
    <w:p>
      <w:pPr>
        <w:ind w:left="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5.****（格式</w:t>
      </w:r>
      <w:r>
        <w:rPr>
          <w:rFonts w:ascii="宋体" w:hAnsi="宋体"/>
          <w:sz w:val="24"/>
          <w:szCs w:val="21"/>
          <w:highlight w:val="none"/>
        </w:rPr>
        <w:t xml:space="preserve">见附件</w:t>
      </w:r>
      <w:r>
        <w:rPr>
          <w:rFonts w:hint="eastAsia" w:ascii="宋体" w:hAnsi="宋体"/>
          <w:sz w:val="24"/>
          <w:szCs w:val="21"/>
          <w:highlight w:val="none"/>
        </w:rPr>
        <w:t xml:space="preserve">**）</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rPr>
        <w:t xml:space="preserve">2024年度或2025年度的财务状况报告（投标人成立不满一年无需提供）</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依法缴纳税收和社会保障资金的相关材料（提供提交投标文件截止时间</w:t>
      </w:r>
      <w:r/>
    </w:p>
    <w:p>
      <w:pPr>
        <w:spacing w:line="400" w:lineRule="exact"/>
        <w:rPr>
          <w:rFonts w:ascii="宋体" w:hAnsi="宋体"/>
          <w:sz w:val="24"/>
          <w:szCs w:val="21"/>
          <w:highlight w:val="none"/>
        </w:rPr>
      </w:pPr>
      <w:r>
        <w:rPr>
          <w:rFonts w:hint="eastAsia" w:ascii="宋体" w:hAnsi="宋体"/>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附件5</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w:t>
      </w:r>
      <w:r/>
    </w:p>
    <w:p>
      <w:pPr>
        <w:spacing w:line="400" w:lineRule="exact"/>
        <w:rPr>
          <w:rFonts w:ascii="宋体" w:hAnsi="宋体"/>
          <w:sz w:val="24"/>
          <w:szCs w:val="21"/>
          <w:highlight w:val="none"/>
        </w:rPr>
      </w:pPr>
      <w:r>
        <w:rPr>
          <w:rFonts w:hint="eastAsia" w:ascii="宋体" w:hAnsi="宋体"/>
          <w:sz w:val="24"/>
          <w:szCs w:val="21"/>
          <w:highlight w:val="none"/>
        </w:rPr>
        <w:t xml:space="preserve">明（格式见</w:t>
      </w:r>
      <w:r>
        <w:rPr>
          <w:rFonts w:ascii="宋体" w:hAnsi="宋体"/>
          <w:sz w:val="24"/>
          <w:szCs w:val="21"/>
          <w:highlight w:val="none"/>
        </w:rPr>
        <w:t xml:space="preserve">附件6</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特定资格要求的证明文件（如果本项目对投标人</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法人授权书（格式见附件</w:t>
      </w:r>
      <w:r>
        <w:rPr>
          <w:rFonts w:ascii="宋体" w:hAnsi="宋体"/>
          <w:sz w:val="24"/>
          <w:szCs w:val="21"/>
          <w:highlight w:val="none"/>
        </w:rPr>
        <w:t xml:space="preserve">7</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投标函（格式见附件</w:t>
      </w:r>
      <w:r>
        <w:rPr>
          <w:rFonts w:ascii="宋体" w:hAnsi="宋体"/>
          <w:sz w:val="24"/>
          <w:szCs w:val="21"/>
          <w:highlight w:val="none"/>
        </w:rPr>
        <w:t xml:space="preserve">8</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10.</w:t>
      </w:r>
      <w:r>
        <w:rPr>
          <w:rFonts w:hint="eastAsia" w:ascii="宋体" w:hAnsi="宋体"/>
          <w:sz w:val="24"/>
          <w:szCs w:val="21"/>
          <w:highlight w:val="none"/>
        </w:rPr>
        <w:t xml:space="preserve">中小微企业声明函（如果本项目</w:t>
      </w:r>
      <w:r>
        <w:rPr>
          <w:rFonts w:ascii="宋体" w:hAnsi="宋体"/>
          <w:sz w:val="24"/>
          <w:szCs w:val="21"/>
          <w:highlight w:val="none"/>
        </w:rPr>
        <w:t xml:space="preserve">专门面向中小微型企业采购，则必须提供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残疾人福利性单位声明函（如果本项目</w:t>
      </w:r>
      <w:r>
        <w:rPr>
          <w:rFonts w:ascii="宋体" w:hAnsi="宋体"/>
          <w:sz w:val="24"/>
          <w:szCs w:val="21"/>
          <w:highlight w:val="none"/>
        </w:rPr>
        <w:t xml:space="preserve">专门面向中小微型企业采购，</w:t>
      </w:r>
      <w:r>
        <w:rPr>
          <w:rFonts w:hint="eastAsia" w:ascii="宋体" w:hAnsi="宋体"/>
          <w:sz w:val="24"/>
          <w:szCs w:val="21"/>
          <w:highlight w:val="none"/>
        </w:rPr>
        <w:t xml:space="preserve">供应商为</w:t>
      </w:r>
      <w:r>
        <w:rPr>
          <w:rFonts w:ascii="宋体" w:hAnsi="宋体"/>
          <w:sz w:val="24"/>
          <w:szCs w:val="21"/>
          <w:highlight w:val="none"/>
        </w:rPr>
        <w:t xml:space="preserve">残疾人福利性单位并</w:t>
      </w:r>
      <w:r>
        <w:rPr>
          <w:rFonts w:hint="eastAsia" w:ascii="宋体" w:hAnsi="宋体"/>
          <w:sz w:val="24"/>
          <w:szCs w:val="21"/>
          <w:highlight w:val="none"/>
        </w:rPr>
        <w:t xml:space="preserve">提供本单位制造的货物，或者提供其他残疾人福利性单位制造的货物，</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2</w:t>
      </w:r>
      <w:r>
        <w:rPr>
          <w:rFonts w:hint="eastAsia" w:ascii="宋体" w:hAnsi="宋体"/>
          <w:sz w:val="24"/>
          <w:szCs w:val="21"/>
          <w:highlight w:val="none"/>
        </w:rPr>
        <w:t xml:space="preserve">.联合体协议（如果本项目接受联合体</w:t>
      </w:r>
      <w:r>
        <w:rPr>
          <w:rFonts w:ascii="宋体" w:hAnsi="宋体"/>
          <w:sz w:val="24"/>
          <w:szCs w:val="21"/>
          <w:highlight w:val="none"/>
        </w:rPr>
        <w:t xml:space="preserve">参加投标，</w:t>
      </w:r>
      <w:r>
        <w:rPr>
          <w:rFonts w:hint="eastAsia" w:ascii="宋体" w:hAnsi="宋体"/>
          <w:sz w:val="24"/>
          <w:szCs w:val="21"/>
          <w:highlight w:val="none"/>
        </w:rPr>
        <w:t xml:space="preserve">投标人是联合体的，</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附件11</w:t>
      </w:r>
      <w:r>
        <w:rPr>
          <w:rFonts w:hint="eastAsia" w:ascii="宋体" w:hAnsi="宋体"/>
          <w:sz w:val="24"/>
          <w:szCs w:val="21"/>
          <w:highlight w:val="none"/>
        </w:rPr>
        <w:t xml:space="preserve">）</w:t>
      </w:r>
      <w:r/>
    </w:p>
    <w:p>
      <w:pPr>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w:t>
      </w:r>
      <w:r>
        <w:rPr>
          <w:rFonts w:ascii="宋体" w:hAnsi="宋体"/>
          <w:sz w:val="24"/>
          <w:szCs w:val="24"/>
          <w:highlight w:val="none"/>
        </w:rPr>
        <w:t xml:space="preserve">8</w:t>
      </w:r>
      <w:r>
        <w:rPr>
          <w:rFonts w:hint="eastAsia" w:ascii="宋体" w:hAnsi="宋体"/>
          <w:sz w:val="24"/>
          <w:szCs w:val="24"/>
          <w:highlight w:val="none"/>
        </w:rPr>
        <w:t xml:space="preserve">、9条投标人必须在投标文件</w:t>
      </w:r>
      <w:r/>
    </w:p>
    <w:p>
      <w:pPr>
        <w:spacing w:line="400" w:lineRule="exact"/>
        <w:rPr>
          <w:rFonts w:ascii="宋体" w:hAnsi="宋体"/>
          <w:sz w:val="24"/>
          <w:szCs w:val="24"/>
          <w:highlight w:val="none"/>
        </w:rPr>
      </w:pPr>
      <w:r>
        <w:rPr>
          <w:rFonts w:hint="eastAsia" w:ascii="宋体" w:hAnsi="宋体"/>
          <w:sz w:val="24"/>
          <w:szCs w:val="24"/>
          <w:highlight w:val="none"/>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，否则做无效投标处理。（格式见</w:t>
      </w:r>
      <w:r>
        <w:rPr>
          <w:rFonts w:ascii="宋体" w:hAnsi="宋体"/>
          <w:sz w:val="24"/>
          <w:szCs w:val="21"/>
          <w:highlight w:val="none"/>
        </w:rPr>
        <w:t xml:space="preserve">附件12</w:t>
      </w:r>
      <w:r>
        <w:rPr>
          <w:rFonts w:hint="eastAsia" w:ascii="宋体" w:hAnsi="宋体"/>
          <w:sz w:val="24"/>
          <w:szCs w:val="21"/>
          <w:highlight w:val="none"/>
        </w:rPr>
        <w:t xml:space="preserve">）</w:t>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3.关于符合本国产品标准的声明函（</w:t>
      </w:r>
      <w:r>
        <w:rPr>
          <w:rFonts w:hint="eastAsia" w:ascii="宋体" w:hAnsi="宋体" w:eastAsia="宋体" w:cs="Times New Roman"/>
          <w:sz w:val="24"/>
          <w:szCs w:val="21"/>
          <w:highlight w:val="none"/>
        </w:rPr>
        <w:t xml:space="preserve">格式见附件</w:t>
      </w:r>
      <w:r>
        <w:rPr>
          <w:rFonts w:hint="eastAsia" w:ascii="宋体" w:hAnsi="宋体" w:eastAsia="宋体" w:cs="Times New Roman"/>
          <w:sz w:val="24"/>
          <w:szCs w:val="21"/>
          <w:highlight w:val="none"/>
          <w:lang w:val="en-US" w:eastAsia="zh-CN"/>
        </w:rPr>
        <w:t xml:space="preserve">13）</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2"/>
        <w:spacing w:line="400" w:lineRule="exact"/>
        <w:rPr>
          <w:sz w:val="24"/>
          <w:szCs w:val="24"/>
          <w:highlight w:val="none"/>
        </w:rPr>
      </w:pPr>
      <w:r>
        <w:rPr>
          <w:rFonts w:hint="eastAsia" w:ascii="宋体" w:hAnsi="宋体"/>
          <w:sz w:val="24"/>
          <w:szCs w:val="24"/>
          <w:highlight w:val="none"/>
        </w:rPr>
        <w:t xml:space="preserve">项目名称：</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项目编号：                                   </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采购包号：</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ascii="宋体" w:hAnsi="宋体"/>
                <w:sz w:val="24"/>
                <w:szCs w:val="24"/>
                <w:highlight w:val="none"/>
              </w:rPr>
            </w:pPr>
            <w:r>
              <w:rPr>
                <w:rFonts w:hint="eastAsia" w:ascii="宋体" w:hAnsi="宋体"/>
                <w:sz w:val="24"/>
                <w:szCs w:val="24"/>
                <w:highlight w:val="none"/>
              </w:rPr>
              <w:t xml:space="preserve">投标总报价</w:t>
            </w:r>
            <w:r/>
          </w:p>
        </w:tc>
      </w:tr>
      <w:tr>
        <w:trPr>
          <w:cantSplit/>
          <w:trHeight w:val="612"/>
        </w:trPr>
        <w:tc>
          <w:tcPr>
            <w:gridSpan w:val="2"/>
            <w:tcW w:w="8886" w:type="dxa"/>
            <w:vAlign w:val="center"/>
            <w:textDirection w:val="lrTb"/>
            <w:noWrap/>
          </w:tcPr>
          <w:p>
            <w:pPr>
              <w:jc w:val="left"/>
              <w:spacing w:line="500" w:lineRule="exact"/>
              <w:rPr>
                <w:rFonts w:ascii="宋体" w:hAnsi="宋体"/>
                <w:sz w:val="24"/>
                <w:szCs w:val="21"/>
                <w:highlight w:val="none"/>
              </w:rPr>
            </w:pPr>
            <w:r>
              <w:rPr>
                <w:rFonts w:hint="eastAsia" w:ascii="宋体" w:hAnsi="宋体" w:cs="宋体"/>
                <w:sz w:val="24"/>
                <w:szCs w:val="24"/>
                <w:highlight w:val="none"/>
              </w:rPr>
              <w:t xml:space="preserve">小写：                             （人民币：元）</w:t>
            </w:r>
            <w:r/>
          </w:p>
        </w:tc>
      </w:tr>
    </w:tbl>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投标分项报价表（采购包号：***）</w:t>
      </w:r>
      <w:r/>
    </w:p>
    <w:tbl>
      <w:tblPr>
        <w:tblStyle w:val="722"/>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34"/>
        </w:trPr>
        <w:tc>
          <w:tcPr>
            <w:gridSpan w:val="10"/>
            <w:tcW w:w="9263" w:type="dxa"/>
            <w:vAlign w:val="top"/>
            <w:textDirection w:val="lrTb"/>
            <w:noWrap w:val="false"/>
          </w:tcPr>
          <w:p>
            <w:pPr>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lang w:val="en-US" w:eastAsia="zh-CN"/>
              </w:rPr>
              <w:t xml:space="preserve">                             </w:t>
            </w:r>
            <w:r/>
          </w:p>
        </w:tc>
      </w:tr>
      <w:tr>
        <w:trPr>
          <w:cantSplit/>
          <w:trHeight w:val="767"/>
        </w:trPr>
        <w:tc>
          <w:tcPr>
            <w:gridSpan w:val="10"/>
            <w:tcW w:w="9263" w:type="dxa"/>
            <w:vAlign w:val="top"/>
            <w:textDirection w:val="lrTb"/>
            <w:noWrap w:val="false"/>
          </w:tcPr>
          <w:p>
            <w:pPr>
              <w:pStyle w:val="738"/>
              <w:ind w:right="0"/>
              <w:keepLines w:val="0"/>
              <w:keepNext w:val="0"/>
              <w:pageBreakBefore w:val="0"/>
              <w:spacing w:before="0" w:beforeAutospacing="0" w:after="0" w:afterAutospacing="0" w:line="0" w:lineRule="atLeast"/>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提供的符合本国产品标准的产品成本之和占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color w:val="auto"/>
                <w:spacing w:val="0"/>
                <w:sz w:val="24"/>
                <w:szCs w:val="24"/>
                <w:highlight w:val="none"/>
              </w:rPr>
              <w:t xml:space="preserve">提供的全部产品成本之和的比例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i w:val="0"/>
                <w:iCs w:val="0"/>
                <w:caps w:val="0"/>
                <w:color w:val="auto"/>
                <w:spacing w:val="0"/>
                <w:sz w:val="24"/>
                <w:szCs w:val="24"/>
                <w:highlight w:val="none"/>
                <w:u w:val="single"/>
                <w:lang w:val="en-US" w:eastAsia="zh-CN"/>
              </w:rPr>
              <w:t xml:space="preserve">***</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hint="eastAsia" w:ascii="宋体" w:hAnsi="宋体" w:eastAsia="宋体"/>
          <w:sz w:val="24"/>
          <w:szCs w:val="21"/>
          <w:highlight w:val="none"/>
          <w:lang w:eastAsia="zh-CN"/>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w:t>
      </w:r>
      <w:r>
        <w:rPr>
          <w:rFonts w:hint="eastAsia" w:ascii="宋体" w:hAnsi="宋体" w:eastAsia="宋体" w:cs="Times New Roman"/>
          <w:sz w:val="24"/>
          <w:szCs w:val="21"/>
          <w:highlight w:val="none"/>
        </w:rPr>
        <w:t xml:space="preserve">“投标总报价”</w:t>
      </w:r>
      <w:r>
        <w:rPr>
          <w:rFonts w:hint="eastAsia" w:ascii="宋体" w:hAnsi="宋体" w:eastAsia="宋体" w:cs="Times New Roman"/>
          <w:sz w:val="24"/>
          <w:szCs w:val="21"/>
          <w:highlight w:val="none"/>
          <w:lang w:eastAsia="zh-CN"/>
        </w:rPr>
        <w:t xml:space="preserve">数额为各“分项总价”之和。</w:t>
      </w:r>
      <w:r/>
    </w:p>
    <w:p>
      <w:pPr>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hint="eastAsia" w:ascii="Times New Roman" w:hAnsi="Times New Roman"/>
          <w:szCs w:val="21"/>
          <w:highlight w:val="none"/>
        </w:rPr>
        <w:t xml:space="preserve">“</w:t>
      </w:r>
      <w:r>
        <w:rPr>
          <w:rFonts w:hint="eastAsia" w:ascii="宋体" w:hAnsi="宋体"/>
          <w:sz w:val="24"/>
          <w:szCs w:val="21"/>
          <w:highlight w:val="none"/>
        </w:rPr>
        <w:t xml:space="preserve">投标分项报价表</w:t>
      </w:r>
      <w:r>
        <w:rPr>
          <w:rFonts w:hint="eastAsia" w:ascii="Times New Roman" w:hAnsi="Times New Roman"/>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w:t>
      </w:r>
      <w:r>
        <w:rPr>
          <w:rFonts w:hint="eastAsia" w:ascii="宋体" w:hAnsi="宋体" w:eastAsia="宋体" w:cs="Times New Roman"/>
          <w:sz w:val="24"/>
          <w:szCs w:val="21"/>
          <w:highlight w:val="none"/>
          <w:lang w:eastAsia="zh-CN"/>
        </w:rPr>
        <w:t xml:space="preserve">本</w:t>
      </w:r>
      <w:r>
        <w:rPr>
          <w:rFonts w:hint="eastAsia" w:ascii="宋体" w:hAnsi="宋体" w:eastAsia="宋体" w:cs="Times New Roman"/>
          <w:sz w:val="24"/>
          <w:szCs w:val="21"/>
          <w:highlight w:val="none"/>
          <w:lang w:val="en-US" w:eastAsia="zh-CN"/>
        </w:rPr>
        <w:t xml:space="preserve">采购包中含有多种产品时，</w:t>
      </w:r>
      <w:r>
        <w:rPr>
          <w:rFonts w:hint="eastAsia" w:ascii="宋体" w:hAnsi="宋体" w:eastAsia="宋体" w:cs="Times New Roman"/>
          <w:sz w:val="24"/>
          <w:szCs w:val="21"/>
          <w:highlight w:val="none"/>
        </w:rPr>
        <w:t xml:space="preserve">供应商未填写本采购包中提供的符合本国产品标准的产品成本之和占该采购包提供的全部产品成本之和的比例数值的，或比</w:t>
      </w:r>
      <w:bookmarkStart w:id="195" w:name="_GoBack"/>
      <w:r/>
      <w:bookmarkEnd w:id="195"/>
      <w:r>
        <w:rPr>
          <w:rFonts w:hint="eastAsia" w:ascii="宋体" w:hAnsi="宋体" w:eastAsia="宋体" w:cs="Times New Roman"/>
          <w:sz w:val="24"/>
          <w:szCs w:val="21"/>
          <w:highlight w:val="none"/>
        </w:rPr>
        <w:t xml:space="preserve">例数值低于80%的，将不享受本国产品价格评审优惠。</w:t>
      </w:r>
      <w:r/>
    </w:p>
    <w:p>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.投标人需认真填写本报价表，尤其注意规格型号的准确填写。</w:t>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1.投标人需对招标文件技术要求中非实质性要求（未加斜体下划线部分或未加*号条款）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1.投标人需对招标文件商务要求中非实质性要求（未加斜体下划线部分或未加*号条款）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ascii="宋体" w:hAnsi="宋体"/>
          <w:b/>
          <w:sz w:val="24"/>
          <w:szCs w:val="21"/>
          <w:highlight w:val="none"/>
        </w:rPr>
      </w:pPr>
      <w:r>
        <w:rPr>
          <w:rFonts w:ascii="宋体" w:hAnsi="宋体"/>
          <w:b/>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p>
    <w:p>
      <w:pPr>
        <w:rPr>
          <w:rFonts w:ascii="宋体" w:hAnsi="宋体"/>
          <w:b/>
          <w:color w:val="000000"/>
          <w:sz w:val="24"/>
          <w:szCs w:val="21"/>
          <w:highlight w:val="none"/>
        </w:rPr>
      </w:pPr>
      <w:r>
        <w:rPr>
          <w:rFonts w:hint="eastAsia" w:ascii="宋体" w:hAnsi="宋体"/>
          <w:b/>
          <w:color w:val="000000"/>
          <w:sz w:val="24"/>
          <w:szCs w:val="21"/>
          <w:highlight w:val="none"/>
        </w:rPr>
        <w:t xml:space="preserve">面声明</w:t>
      </w:r>
      <w:r/>
    </w:p>
    <w:p>
      <w:pPr>
        <w:ind w:firstLine="480"/>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
    </w:p>
    <w:p>
      <w:pPr>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法人授权书</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p>
    <w:p>
      <w:pPr>
        <w:ind w:firstLine="1200"/>
        <w:spacing w:line="40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单位地址：</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      日期：</w:t>
      </w:r>
      <w:bookmarkStart w:id="192" w:name="_Hlt26955070"/>
      <w:r/>
      <w:bookmarkEnd w:id="192"/>
      <w:r/>
      <w:bookmarkStart w:id="193" w:name="_Hlt26671380"/>
      <w:r/>
      <w:bookmarkEnd w:id="193"/>
      <w:r/>
      <w:bookmarkStart w:id="194" w:name="_格式3__银行出具的资信证明"/>
      <w:r/>
      <w:bookmarkEnd w:id="194"/>
      <w:r/>
      <w:r/>
    </w:p>
    <w:p>
      <w:pPr>
        <w:ind w:firstLine="36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spacing w:line="560" w:lineRule="exact"/>
        <w:rPr>
          <w:rFonts w:ascii="宋体" w:hAnsi="宋体"/>
          <w:b/>
          <w:color w:val="ff0000"/>
          <w:sz w:val="24"/>
          <w:szCs w:val="21"/>
          <w:highlight w:val="none"/>
        </w:rPr>
      </w:pPr>
      <w:r>
        <w:rPr>
          <w:rFonts w:ascii="宋体" w:hAnsi="宋体"/>
          <w:b/>
          <w:color w:val="ff0000"/>
          <w:sz w:val="24"/>
          <w:szCs w:val="21"/>
          <w:highlight w:val="none"/>
        </w:rPr>
      </w:r>
      <w:r/>
    </w:p>
    <w:p>
      <w:pPr>
        <w:ind w:firstLine="240"/>
        <w:jc w:val="center"/>
        <w:spacing w:line="560" w:lineRule="exact"/>
        <w:rPr>
          <w:rFonts w:ascii="宋体" w:hAnsi="宋体"/>
          <w:b/>
          <w:sz w:val="24"/>
          <w:szCs w:val="21"/>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9</w:t>
      </w:r>
      <w:r>
        <w:rPr>
          <w:rFonts w:hint="eastAsia" w:ascii="宋体" w:hAnsi="宋体"/>
          <w:b/>
          <w:sz w:val="24"/>
          <w:szCs w:val="21"/>
          <w:highlight w:val="none"/>
        </w:rPr>
        <w:t xml:space="preserve">中小微企业声明函（货物类项目）（采购包号：**）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采购编号为JSZC</w:t>
      </w:r>
      <w:r>
        <w:rPr>
          <w:rFonts w:ascii="宋体" w:hAnsi="宋体"/>
          <w:sz w:val="24"/>
          <w:szCs w:val="24"/>
          <w:highlight w:val="none"/>
        </w:rPr>
        <w:t xml:space="preserve">-320000-</w:t>
      </w:r>
      <w:r>
        <w:rPr>
          <w:rFonts w:hint="eastAsia" w:ascii="宋体" w:hAnsi="宋体"/>
          <w:sz w:val="24"/>
          <w:szCs w:val="24"/>
          <w:highlight w:val="none"/>
          <w:u w:val="single"/>
        </w:rPr>
        <w:t xml:space="preserve">***</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ascii="宋体" w:hAnsi="宋体"/>
          <w:sz w:val="24"/>
          <w:szCs w:val="24"/>
          <w:highlight w:val="none"/>
        </w:rPr>
      </w:pPr>
      <w:r>
        <w:rPr>
          <w:rFonts w:ascii="宋体" w:hAnsi="宋体"/>
          <w:sz w:val="24"/>
          <w:szCs w:val="24"/>
          <w:highlight w:val="none"/>
        </w:rPr>
      </w:r>
      <w:r/>
    </w:p>
    <w:p>
      <w:pPr>
        <w:ind w:right="180" w:firstLine="360"/>
        <w:jc w:val="right"/>
        <w:spacing w:line="4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4800"/>
        <w:spacing w:line="400" w:lineRule="exact"/>
        <w:rPr>
          <w:rFonts w:ascii="宋体" w:hAnsi="宋体"/>
          <w:sz w:val="24"/>
          <w:szCs w:val="24"/>
          <w:highlight w:val="none"/>
        </w:rPr>
      </w:pPr>
      <w:r>
        <w:rPr>
          <w:rFonts w:hint="eastAsia" w:ascii="宋体" w:hAnsi="宋体"/>
          <w:sz w:val="24"/>
          <w:szCs w:val="24"/>
          <w:highlight w:val="none"/>
        </w:rPr>
        <w:t xml:space="preserve">日  期：</w:t>
      </w:r>
      <w:r/>
    </w:p>
    <w:p>
      <w:pPr>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残疾人福利性单位声明函（货物类项目）（采购包号：**）</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highlight w:val="none"/>
        </w:rPr>
        <w:t xml:space="preserve">JSZC-320000-</w:t>
      </w:r>
      <w:r>
        <w:rPr>
          <w:rFonts w:ascii="宋体" w:hAnsi="宋体"/>
          <w:sz w:val="24"/>
          <w:szCs w:val="21"/>
          <w:highlight w:val="none"/>
          <w:u w:val="single"/>
        </w:rPr>
        <w:t xml:space="preserve">****</w:t>
      </w:r>
      <w:r>
        <w:rPr>
          <w:rFonts w:hint="eastAsia" w:ascii="宋体" w:hAnsi="宋体"/>
          <w:sz w:val="24"/>
          <w:szCs w:val="21"/>
          <w:highlight w:val="none"/>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400" w:lineRule="exact"/>
        <w:rPr>
          <w:rFonts w:ascii="宋体" w:hAnsi="宋体"/>
          <w:sz w:val="24"/>
          <w:szCs w:val="21"/>
          <w:highlight w:val="none"/>
        </w:rPr>
      </w:pPr>
      <w:r>
        <w:rPr>
          <w:rFonts w:ascii="宋体" w:hAnsi="宋体"/>
          <w:sz w:val="24"/>
          <w:szCs w:val="21"/>
          <w:highlight w:val="none"/>
        </w:rPr>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59" w:firstLine="624"/>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宋体" w:hAnsi="宋体"/>
          <w:b/>
          <w:sz w:val="24"/>
          <w:szCs w:val="24"/>
          <w:highlight w:val="none"/>
        </w:rPr>
      </w:pPr>
      <w:r>
        <w:rPr>
          <w:rFonts w:ascii="宋体" w:hAnsi="宋体"/>
          <w:b/>
          <w:sz w:val="24"/>
          <w:szCs w:val="24"/>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 联合体协议（参考格式）（采购包号：**）</w:t>
      </w:r>
      <w:r/>
    </w:p>
    <w:p>
      <w:pPr>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560" w:lineRule="exact"/>
        <w:rPr>
          <w:rFonts w:ascii="宋体" w:hAnsi="宋体"/>
          <w:sz w:val="24"/>
          <w:szCs w:val="21"/>
          <w:highlight w:val="none"/>
        </w:rPr>
      </w:pPr>
      <w:r>
        <w:rPr>
          <w:rFonts w:ascii="宋体" w:hAnsi="宋体"/>
          <w:sz w:val="24"/>
          <w:szCs w:val="21"/>
          <w:highlight w:val="none"/>
        </w:rPr>
      </w:r>
      <w:r/>
    </w:p>
    <w:p>
      <w:pPr>
        <w:ind w:firstLine="3614"/>
        <w:jc w:val="both"/>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p>
    <w:p>
      <w:pPr>
        <w:ind w:firstLine="646"/>
        <w:spacing w:line="400" w:lineRule="exact"/>
        <w:rPr>
          <w:rFonts w:ascii="宋体" w:hAnsi="宋体"/>
          <w:sz w:val="24"/>
          <w:szCs w:val="21"/>
          <w:highlight w:val="none"/>
        </w:rPr>
      </w:pPr>
      <w:r>
        <w:rPr>
          <w:rFonts w:hint="eastAsia" w:ascii="宋体" w:hAnsi="宋体"/>
          <w:sz w:val="24"/>
          <w:szCs w:val="21"/>
          <w:highlight w:val="none"/>
        </w:rPr>
        <w:t xml:space="preserve">                     </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日期：</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实质性要求响应及偏离表（采购包号：**）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p>
        </w:tc>
        <w:tc>
          <w:tcPr>
            <w:tcW w:w="3317"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highlight w:val="none"/>
        </w:rPr>
      </w:pPr>
      <w:r>
        <w:rPr>
          <w:rFonts w:ascii="宋体" w:hAnsi="宋体"/>
          <w:color w:val="ff0000"/>
          <w:sz w:val="24"/>
          <w:szCs w:val="24"/>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bookmarkEnd w:id="180"/>
      <w:r/>
      <w:bookmarkEnd w:id="181"/>
      <w:r/>
      <w:bookmarkEnd w:id="191"/>
      <w:r/>
      <w:r/>
    </w:p>
    <w:p>
      <w:pPr>
        <w:rPr>
          <w:rFonts w:ascii="黑体" w:hAnsi="黑体" w:eastAsia="黑体"/>
          <w:b/>
          <w:color w:val="000000"/>
          <w:sz w:val="32"/>
          <w:szCs w:val="32"/>
          <w:highlight w:val="none"/>
        </w:rPr>
      </w:pPr>
      <w:r>
        <w:rPr>
          <w:rFonts w:ascii="黑体" w:hAnsi="黑体" w:eastAsia="黑体"/>
          <w:b/>
          <w:color w:val="000000"/>
          <w:sz w:val="32"/>
          <w:szCs w:val="32"/>
          <w:highlight w:val="none"/>
        </w:rPr>
        <w:br w:type="page" w:clear="all"/>
      </w:r>
      <w:r/>
    </w:p>
    <w:p>
      <w:pPr>
        <w:jc w:val="center"/>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关于符合本国产品标准的声明函（采购包号：**）</w:t>
      </w:r>
      <w:r/>
    </w:p>
    <w:p>
      <w:pPr>
        <w:pStyle w:val="738"/>
        <w:ind w:left="0" w:right="0" w:firstLine="42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4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4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38"/>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38"/>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38"/>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38"/>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8"/>
        <w:ind w:left="0" w:right="0" w:firstLine="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公司（单位）名称（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加盖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738"/>
        <w:ind w:left="0" w:right="0" w:firstLine="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738"/>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738"/>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38"/>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38"/>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38"/>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38"/>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738"/>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2"/>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质疑项目的编号：包号：</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p>
    <w:p>
      <w:pPr>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繁体">
    <w:panose1 w:val="020B0503020202020204"/>
  </w:font>
  <w:font w:name="汉仪书宋二S">
    <w:panose1 w:val="020B0503020202020204"/>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7"/>
        <w:rFonts w:ascii="宋体" w:hAnsi="宋体"/>
      </w:rPr>
      <w:framePr w:wrap="around" w:vAnchor="text" w:hAnchor="margin" w:xAlign="center" w:y="1"/>
    </w:pPr>
    <w:r>
      <w:rPr>
        <w:rFonts w:ascii="宋体" w:hAnsi="宋体"/>
      </w:rPr>
      <w:fldChar w:fldCharType="begin"/>
    </w:r>
    <w:r>
      <w:rPr>
        <w:rStyle w:val="997"/>
        <w:rFonts w:ascii="宋体" w:hAnsi="宋体"/>
      </w:rPr>
      <w:instrText xml:space="preserve">PAGE  </w:instrText>
    </w:r>
    <w:r>
      <w:rPr>
        <w:rFonts w:ascii="宋体" w:hAnsi="宋体"/>
      </w:rPr>
      <w:fldChar w:fldCharType="separate"/>
    </w:r>
    <w:r>
      <w:rPr>
        <w:rStyle w:val="997"/>
        <w:rFonts w:ascii="宋体" w:hAnsi="宋体"/>
      </w:rPr>
      <w:t xml:space="preserve">21</w:t>
    </w:r>
    <w:r>
      <w:rPr>
        <w:rFonts w:ascii="宋体" w:hAnsi="宋体"/>
      </w:rPr>
      <w:fldChar w:fldCharType="end"/>
    </w:r>
    <w:r/>
  </w:p>
  <w:p>
    <w:pPr>
      <w:pStyle w:val="969"/>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num w:numId="1">
    <w:abstractNumId w:val="10"/>
  </w:num>
  <w:num w:numId="2">
    <w:abstractNumId w:val="1"/>
  </w:num>
  <w:num w:numId="3">
    <w:abstractNumId w:val="4"/>
  </w:num>
  <w:num w:numId="4">
    <w:abstractNumId w:val="5"/>
  </w:num>
  <w:num w:numId="5">
    <w:abstractNumId w:val="3"/>
  </w:num>
  <w:num w:numId="6">
    <w:abstractNumId w:val="8"/>
  </w:num>
  <w:num w:numId="7">
    <w:abstractNumId w:val="0"/>
  </w:num>
  <w:num w:numId="8">
    <w:abstractNumId w:val="2"/>
  </w:num>
  <w:num w:numId="9">
    <w:abstractNumId w:val="6"/>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character" w:styleId="721" w:default="1">
    <w:name w:val="Default Paragraph Font"/>
    <w:uiPriority w:val="1"/>
    <w:semiHidden/>
    <w:unhideWhenUsed/>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20"/>
    <w:next w:val="720"/>
    <w:uiPriority w:val="39"/>
    <w:unhideWhenUsed/>
    <w:qFormat/>
    <w:pPr>
      <w:ind w:left="1701"/>
      <w:spacing w:after="57"/>
    </w:pPr>
  </w:style>
  <w:style w:type="paragraph" w:styleId="724">
    <w:name w:val="toc 5"/>
    <w:basedOn w:val="720"/>
    <w:next w:val="720"/>
    <w:uiPriority w:val="39"/>
    <w:unhideWhenUsed/>
    <w:qFormat/>
    <w:pPr>
      <w:ind w:left="1134"/>
      <w:spacing w:after="57"/>
    </w:pPr>
  </w:style>
  <w:style w:type="paragraph" w:styleId="725">
    <w:name w:val="toc 3"/>
    <w:basedOn w:val="720"/>
    <w:next w:val="720"/>
    <w:uiPriority w:val="39"/>
    <w:unhideWhenUsed/>
    <w:qFormat/>
    <w:pPr>
      <w:ind w:left="567"/>
      <w:spacing w:after="57"/>
    </w:pPr>
  </w:style>
  <w:style w:type="paragraph" w:styleId="726">
    <w:name w:val="toc 8"/>
    <w:basedOn w:val="720"/>
    <w:next w:val="720"/>
    <w:uiPriority w:val="39"/>
    <w:unhideWhenUsed/>
    <w:pPr>
      <w:ind w:left="1984"/>
      <w:spacing w:after="57"/>
    </w:pPr>
  </w:style>
  <w:style w:type="paragraph" w:styleId="727">
    <w:name w:val="endnote text"/>
    <w:basedOn w:val="720"/>
    <w:link w:val="920"/>
    <w:uiPriority w:val="99"/>
    <w:semiHidden/>
    <w:unhideWhenUsed/>
    <w:qFormat/>
    <w:rPr>
      <w:sz w:val="20"/>
    </w:rPr>
  </w:style>
  <w:style w:type="paragraph" w:styleId="728">
    <w:name w:val="Footer"/>
    <w:basedOn w:val="720"/>
    <w:link w:val="1051"/>
    <w:uiPriority w:val="99"/>
    <w:semiHidden/>
    <w:unhideWhenUsed/>
    <w:qFormat/>
    <w:pPr>
      <w:jc w:val="left"/>
      <w:tabs>
        <w:tab w:val="center" w:pos="4153" w:leader="none"/>
        <w:tab w:val="right" w:pos="8306" w:leader="none"/>
      </w:tabs>
    </w:pPr>
    <w:rPr>
      <w:sz w:val="18"/>
      <w:szCs w:val="18"/>
    </w:rPr>
  </w:style>
  <w:style w:type="paragraph" w:styleId="729">
    <w:name w:val="Header"/>
    <w:basedOn w:val="720"/>
    <w:link w:val="105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20"/>
    <w:next w:val="720"/>
    <w:uiPriority w:val="39"/>
    <w:unhideWhenUsed/>
    <w:qFormat/>
    <w:pPr>
      <w:spacing w:after="57"/>
    </w:pPr>
  </w:style>
  <w:style w:type="paragraph" w:styleId="731">
    <w:name w:val="toc 4"/>
    <w:basedOn w:val="720"/>
    <w:next w:val="720"/>
    <w:uiPriority w:val="39"/>
    <w:unhideWhenUsed/>
    <w:qFormat/>
    <w:pPr>
      <w:ind w:left="850"/>
      <w:spacing w:after="57"/>
    </w:pPr>
  </w:style>
  <w:style w:type="paragraph" w:styleId="732">
    <w:name w:val="Subtitle"/>
    <w:basedOn w:val="720"/>
    <w:next w:val="720"/>
    <w:link w:val="786"/>
    <w:uiPriority w:val="11"/>
    <w:qFormat/>
    <w:pPr>
      <w:spacing w:before="200" w:after="200"/>
    </w:pPr>
    <w:rPr>
      <w:sz w:val="24"/>
      <w:szCs w:val="24"/>
    </w:rPr>
  </w:style>
  <w:style w:type="paragraph" w:styleId="733">
    <w:name w:val="footnote text"/>
    <w:basedOn w:val="720"/>
    <w:link w:val="919"/>
    <w:uiPriority w:val="99"/>
    <w:semiHidden/>
    <w:unhideWhenUsed/>
    <w:qFormat/>
    <w:pPr>
      <w:spacing w:after="40"/>
    </w:pPr>
    <w:rPr>
      <w:sz w:val="18"/>
    </w:rPr>
  </w:style>
  <w:style w:type="paragraph" w:styleId="734">
    <w:name w:val="toc 6"/>
    <w:basedOn w:val="720"/>
    <w:next w:val="720"/>
    <w:uiPriority w:val="39"/>
    <w:unhideWhenUsed/>
    <w:qFormat/>
    <w:pPr>
      <w:ind w:left="1417"/>
      <w:spacing w:after="57"/>
    </w:pPr>
  </w:style>
  <w:style w:type="paragraph" w:styleId="735">
    <w:name w:val="table of figures"/>
    <w:basedOn w:val="720"/>
    <w:next w:val="720"/>
    <w:uiPriority w:val="99"/>
    <w:unhideWhenUsed/>
    <w:qFormat/>
  </w:style>
  <w:style w:type="paragraph" w:styleId="736">
    <w:name w:val="toc 2"/>
    <w:basedOn w:val="720"/>
    <w:next w:val="720"/>
    <w:uiPriority w:val="39"/>
    <w:unhideWhenUsed/>
    <w:qFormat/>
    <w:pPr>
      <w:ind w:left="283"/>
      <w:spacing w:after="57"/>
    </w:pPr>
  </w:style>
  <w:style w:type="paragraph" w:styleId="737">
    <w:name w:val="toc 9"/>
    <w:basedOn w:val="720"/>
    <w:next w:val="720"/>
    <w:uiPriority w:val="39"/>
    <w:unhideWhenUsed/>
    <w:qFormat/>
    <w:pPr>
      <w:ind w:left="2268"/>
      <w:spacing w:after="57"/>
    </w:pPr>
  </w:style>
  <w:style w:type="paragraph" w:styleId="738">
    <w:name w:val="Normal (Web)"/>
    <w:basedOn w:val="720"/>
    <w:uiPriority w:val="99"/>
    <w:pPr>
      <w:jc w:val="left"/>
      <w:spacing w:before="100" w:beforeAutospacing="1" w:after="100" w:afterAutospacing="1"/>
      <w:widowControl/>
    </w:pPr>
    <w:rPr>
      <w:rFonts w:ascii="宋体" w:hAnsi="宋体" w:eastAsia="宋体" w:cs="宋体"/>
      <w:sz w:val="24"/>
      <w:szCs w:val="24"/>
    </w:rPr>
  </w:style>
  <w:style w:type="paragraph" w:styleId="739">
    <w:name w:val="Title"/>
    <w:basedOn w:val="720"/>
    <w:next w:val="720"/>
    <w:link w:val="785"/>
    <w:uiPriority w:val="10"/>
    <w:qFormat/>
    <w:pPr>
      <w:contextualSpacing/>
      <w:spacing w:before="300" w:after="200"/>
    </w:pPr>
    <w:rPr>
      <w:sz w:val="48"/>
      <w:szCs w:val="48"/>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Emphasis"/>
    <w:basedOn w:val="721"/>
    <w:uiPriority w:val="0"/>
    <w:qFormat/>
    <w:rPr>
      <w:i/>
    </w:rPr>
  </w:style>
  <w:style w:type="character" w:styleId="743">
    <w:name w:val="Hyperlink"/>
    <w:uiPriority w:val="99"/>
    <w:unhideWhenUsed/>
    <w:qFormat/>
    <w:rPr>
      <w:color w:val="0000ff" w:themeColor="hyperlink"/>
      <w:u w:val="single"/>
    </w:rPr>
  </w:style>
  <w:style w:type="character" w:styleId="744">
    <w:name w:val="footnote reference"/>
    <w:uiPriority w:val="99"/>
    <w:unhideWhenUsed/>
    <w:qFormat/>
    <w:rPr>
      <w:vertAlign w:val="superscript"/>
    </w:rPr>
  </w:style>
  <w:style w:type="character" w:styleId="745" w:customStyle="1">
    <w:name w:val="Heading 1 Char"/>
    <w:basedOn w:val="721"/>
    <w:uiPriority w:val="9"/>
    <w:qFormat/>
    <w:rPr>
      <w:rFonts w:ascii="Arial" w:hAnsi="Arial" w:eastAsia="Arial" w:cs="Arial"/>
      <w:sz w:val="40"/>
      <w:szCs w:val="40"/>
    </w:rPr>
  </w:style>
  <w:style w:type="character" w:styleId="746" w:customStyle="1">
    <w:name w:val="Heading 2 Char"/>
    <w:basedOn w:val="721"/>
    <w:uiPriority w:val="9"/>
    <w:qFormat/>
    <w:rPr>
      <w:rFonts w:ascii="Arial" w:hAnsi="Arial" w:eastAsia="Arial" w:cs="Arial"/>
      <w:sz w:val="34"/>
    </w:rPr>
  </w:style>
  <w:style w:type="character" w:styleId="747" w:customStyle="1">
    <w:name w:val="Heading 3 Char"/>
    <w:basedOn w:val="721"/>
    <w:uiPriority w:val="9"/>
    <w:qFormat/>
    <w:rPr>
      <w:rFonts w:ascii="Arial" w:hAnsi="Arial" w:eastAsia="Arial" w:cs="Arial"/>
      <w:sz w:val="30"/>
      <w:szCs w:val="30"/>
    </w:rPr>
  </w:style>
  <w:style w:type="character" w:styleId="748" w:customStyle="1">
    <w:name w:val="Heading 4 Char"/>
    <w:basedOn w:val="721"/>
    <w:uiPriority w:val="9"/>
    <w:qFormat/>
    <w:rPr>
      <w:rFonts w:ascii="Arial" w:hAnsi="Arial" w:eastAsia="Arial" w:cs="Arial"/>
      <w:b/>
      <w:bCs/>
      <w:sz w:val="26"/>
      <w:szCs w:val="26"/>
    </w:rPr>
  </w:style>
  <w:style w:type="character" w:styleId="749" w:customStyle="1">
    <w:name w:val="Heading 5 Char"/>
    <w:basedOn w:val="721"/>
    <w:uiPriority w:val="9"/>
    <w:qFormat/>
    <w:rPr>
      <w:rFonts w:ascii="Arial" w:hAnsi="Arial" w:eastAsia="Arial" w:cs="Arial"/>
      <w:b/>
      <w:bCs/>
      <w:sz w:val="24"/>
      <w:szCs w:val="24"/>
    </w:rPr>
  </w:style>
  <w:style w:type="character" w:styleId="750" w:customStyle="1">
    <w:name w:val="Heading 6 Char"/>
    <w:basedOn w:val="721"/>
    <w:uiPriority w:val="9"/>
    <w:qFormat/>
    <w:rPr>
      <w:rFonts w:ascii="Arial" w:hAnsi="Arial" w:eastAsia="Arial" w:cs="Arial"/>
      <w:b/>
      <w:bCs/>
      <w:sz w:val="22"/>
      <w:szCs w:val="22"/>
    </w:rPr>
  </w:style>
  <w:style w:type="character" w:styleId="751" w:customStyle="1">
    <w:name w:val="Heading 7 Char"/>
    <w:basedOn w:val="721"/>
    <w:uiPriority w:val="9"/>
    <w:qFormat/>
    <w:rPr>
      <w:rFonts w:ascii="Arial" w:hAnsi="Arial" w:eastAsia="Arial" w:cs="Arial"/>
      <w:b/>
      <w:bCs/>
      <w:i/>
      <w:iCs/>
      <w:sz w:val="22"/>
      <w:szCs w:val="22"/>
    </w:rPr>
  </w:style>
  <w:style w:type="character" w:styleId="752" w:customStyle="1">
    <w:name w:val="Heading 8 Char"/>
    <w:basedOn w:val="721"/>
    <w:uiPriority w:val="9"/>
    <w:qFormat/>
    <w:rPr>
      <w:rFonts w:ascii="Arial" w:hAnsi="Arial" w:eastAsia="Arial" w:cs="Arial"/>
      <w:i/>
      <w:iCs/>
      <w:sz w:val="22"/>
      <w:szCs w:val="22"/>
    </w:rPr>
  </w:style>
  <w:style w:type="character" w:styleId="753" w:customStyle="1">
    <w:name w:val="Heading 9 Char"/>
    <w:basedOn w:val="721"/>
    <w:uiPriority w:val="9"/>
    <w:qFormat/>
    <w:rPr>
      <w:rFonts w:ascii="Arial" w:hAnsi="Arial" w:eastAsia="Arial" w:cs="Arial"/>
      <w:i/>
      <w:iCs/>
      <w:sz w:val="21"/>
      <w:szCs w:val="21"/>
    </w:rPr>
  </w:style>
  <w:style w:type="character" w:styleId="754" w:customStyle="1">
    <w:name w:val="Title Char"/>
    <w:basedOn w:val="721"/>
    <w:uiPriority w:val="10"/>
    <w:qFormat/>
    <w:rPr>
      <w:sz w:val="48"/>
      <w:szCs w:val="48"/>
    </w:rPr>
  </w:style>
  <w:style w:type="character" w:styleId="755" w:customStyle="1">
    <w:name w:val="Subtitle Char"/>
    <w:basedOn w:val="721"/>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721"/>
    <w:uiPriority w:val="99"/>
    <w:qFormat/>
  </w:style>
  <w:style w:type="character" w:styleId="759" w:customStyle="1">
    <w:name w:val="Caption Char"/>
    <w:uiPriority w:val="99"/>
    <w:qFormat/>
  </w:style>
  <w:style w:type="character" w:styleId="760" w:customStyle="1">
    <w:name w:val="Footnote Text Char"/>
    <w:uiPriority w:val="99"/>
    <w:rPr>
      <w:sz w:val="18"/>
    </w:rPr>
  </w:style>
  <w:style w:type="character" w:styleId="761" w:customStyle="1">
    <w:name w:val="Endnote Text Char"/>
    <w:uiPriority w:val="99"/>
    <w:rPr>
      <w:sz w:val="20"/>
    </w:rPr>
  </w:style>
  <w:style w:type="paragraph" w:styleId="762" w:customStyle="1">
    <w:name w:val="TOC Heading"/>
    <w:uiPriority w:val="39"/>
    <w:unhideWhenUsed/>
    <w:qFormat/>
    <w:rPr>
      <w:rFonts w:ascii="Times New Roman" w:hAnsi="Times New Roman" w:eastAsia="宋体" w:cs="Times New Roman"/>
      <w:lang w:val="en-US" w:eastAsia="zh-CN" w:bidi="ar-SA"/>
    </w:rPr>
  </w:style>
  <w:style w:type="paragraph" w:styleId="763" w:customStyle="1">
    <w:name w:val="Heading 1"/>
    <w:basedOn w:val="720"/>
    <w:next w:val="720"/>
    <w:link w:val="1045"/>
    <w:uiPriority w:val="9"/>
    <w:qFormat/>
    <w:pPr>
      <w:keepLines/>
      <w:keepNext/>
      <w:spacing w:before="480" w:after="200"/>
      <w:outlineLvl w:val="0"/>
    </w:pPr>
    <w:rPr>
      <w:rFonts w:ascii="Arial" w:hAnsi="Arial" w:eastAsia="Arial"/>
      <w:sz w:val="40"/>
      <w:szCs w:val="40"/>
    </w:rPr>
  </w:style>
  <w:style w:type="paragraph" w:styleId="764" w:customStyle="1">
    <w:name w:val="Heading 2"/>
    <w:basedOn w:val="720"/>
    <w:next w:val="720"/>
    <w:link w:val="775"/>
    <w:uiPriority w:val="9"/>
    <w:unhideWhenUsed/>
    <w:qFormat/>
    <w:pPr>
      <w:keepLines/>
      <w:keepNext/>
      <w:spacing w:before="360" w:after="200"/>
      <w:outlineLvl w:val="1"/>
    </w:pPr>
    <w:rPr>
      <w:rFonts w:ascii="Arial" w:hAnsi="Arial" w:eastAsia="Arial" w:cs="Arial"/>
      <w:sz w:val="34"/>
    </w:rPr>
  </w:style>
  <w:style w:type="paragraph" w:styleId="765" w:customStyle="1">
    <w:name w:val="Heading 3"/>
    <w:basedOn w:val="720"/>
    <w:next w:val="720"/>
    <w:link w:val="776"/>
    <w:uiPriority w:val="9"/>
    <w:unhideWhenUsed/>
    <w:qFormat/>
    <w:pPr>
      <w:keepLines/>
      <w:keepNext/>
      <w:spacing w:before="320" w:after="200"/>
      <w:outlineLvl w:val="2"/>
    </w:pPr>
    <w:rPr>
      <w:rFonts w:ascii="Arial" w:hAnsi="Arial" w:eastAsia="Arial" w:cs="Arial"/>
      <w:sz w:val="30"/>
      <w:szCs w:val="30"/>
    </w:rPr>
  </w:style>
  <w:style w:type="paragraph" w:styleId="766" w:customStyle="1">
    <w:name w:val="Heading 4"/>
    <w:basedOn w:val="720"/>
    <w:next w:val="720"/>
    <w:link w:val="777"/>
    <w:uiPriority w:val="9"/>
    <w:unhideWhenUsed/>
    <w:qFormat/>
    <w:pPr>
      <w:keepLines/>
      <w:keepNext/>
      <w:spacing w:before="320" w:after="200"/>
      <w:outlineLvl w:val="3"/>
    </w:pPr>
    <w:rPr>
      <w:rFonts w:ascii="Arial" w:hAnsi="Arial" w:eastAsia="Arial" w:cs="Arial"/>
      <w:b/>
      <w:bCs/>
      <w:sz w:val="26"/>
      <w:szCs w:val="26"/>
    </w:rPr>
  </w:style>
  <w:style w:type="paragraph" w:styleId="767" w:customStyle="1">
    <w:name w:val="Heading 5"/>
    <w:basedOn w:val="720"/>
    <w:next w:val="720"/>
    <w:link w:val="778"/>
    <w:uiPriority w:val="9"/>
    <w:unhideWhenUsed/>
    <w:qFormat/>
    <w:pPr>
      <w:keepLines/>
      <w:keepNext/>
      <w:spacing w:before="320" w:after="200"/>
      <w:outlineLvl w:val="4"/>
    </w:pPr>
    <w:rPr>
      <w:rFonts w:ascii="Arial" w:hAnsi="Arial" w:eastAsia="Arial" w:cs="Arial"/>
      <w:b/>
      <w:bCs/>
      <w:sz w:val="24"/>
      <w:szCs w:val="24"/>
    </w:rPr>
  </w:style>
  <w:style w:type="paragraph" w:styleId="768" w:customStyle="1">
    <w:name w:val="Heading 6"/>
    <w:basedOn w:val="720"/>
    <w:next w:val="720"/>
    <w:link w:val="779"/>
    <w:uiPriority w:val="9"/>
    <w:unhideWhenUsed/>
    <w:qFormat/>
    <w:pPr>
      <w:keepLines/>
      <w:keepNext/>
      <w:spacing w:before="320" w:after="200"/>
      <w:outlineLvl w:val="5"/>
    </w:pPr>
    <w:rPr>
      <w:rFonts w:ascii="Arial" w:hAnsi="Arial" w:eastAsia="Arial" w:cs="Arial"/>
      <w:b/>
      <w:bCs/>
      <w:sz w:val="22"/>
    </w:rPr>
  </w:style>
  <w:style w:type="paragraph" w:styleId="769" w:customStyle="1">
    <w:name w:val="Heading 7"/>
    <w:basedOn w:val="720"/>
    <w:next w:val="720"/>
    <w:link w:val="780"/>
    <w:uiPriority w:val="9"/>
    <w:unhideWhenUsed/>
    <w:qFormat/>
    <w:pPr>
      <w:keepLines/>
      <w:keepNext/>
      <w:spacing w:before="320" w:after="200"/>
      <w:outlineLvl w:val="6"/>
    </w:pPr>
    <w:rPr>
      <w:rFonts w:ascii="Arial" w:hAnsi="Arial" w:eastAsia="Arial" w:cs="Arial"/>
      <w:b/>
      <w:bCs/>
      <w:i/>
      <w:iCs/>
      <w:sz w:val="22"/>
    </w:rPr>
  </w:style>
  <w:style w:type="paragraph" w:styleId="770" w:customStyle="1">
    <w:name w:val="Heading 8"/>
    <w:basedOn w:val="720"/>
    <w:next w:val="720"/>
    <w:link w:val="781"/>
    <w:uiPriority w:val="9"/>
    <w:unhideWhenUsed/>
    <w:qFormat/>
    <w:pPr>
      <w:keepLines/>
      <w:keepNext/>
      <w:spacing w:before="320" w:after="200"/>
      <w:outlineLvl w:val="7"/>
    </w:pPr>
    <w:rPr>
      <w:rFonts w:ascii="Arial" w:hAnsi="Arial" w:eastAsia="Arial" w:cs="Arial"/>
      <w:i/>
      <w:iCs/>
      <w:sz w:val="22"/>
    </w:rPr>
  </w:style>
  <w:style w:type="paragraph" w:styleId="771" w:customStyle="1">
    <w:name w:val="Heading 9"/>
    <w:basedOn w:val="720"/>
    <w:next w:val="720"/>
    <w:link w:val="782"/>
    <w:uiPriority w:val="9"/>
    <w:unhideWhenUsed/>
    <w:qFormat/>
    <w:pPr>
      <w:keepLines/>
      <w:keepNext/>
      <w:spacing w:before="320" w:after="200"/>
      <w:outlineLvl w:val="8"/>
    </w:pPr>
    <w:rPr>
      <w:rFonts w:ascii="Arial" w:hAnsi="Arial" w:eastAsia="Arial" w:cs="Arial"/>
      <w:i/>
      <w:iCs/>
      <w:szCs w:val="21"/>
    </w:rPr>
  </w:style>
  <w:style w:type="paragraph" w:styleId="772" w:customStyle="1">
    <w:name w:val="Caption"/>
    <w:basedOn w:val="720"/>
    <w:next w:val="720"/>
    <w:uiPriority w:val="35"/>
    <w:semiHidden/>
    <w:unhideWhenUsed/>
    <w:qFormat/>
    <w:pPr>
      <w:spacing w:line="276" w:lineRule="auto"/>
    </w:pPr>
    <w:rPr>
      <w:b/>
      <w:bCs/>
      <w:color w:val="4f81bd" w:themeColor="accent1"/>
      <w:sz w:val="18"/>
      <w:szCs w:val="18"/>
    </w:rPr>
  </w:style>
  <w:style w:type="paragraph" w:styleId="773" w:customStyle="1">
    <w:name w:val="Footer"/>
    <w:basedOn w:val="720"/>
    <w:link w:val="793"/>
    <w:uiPriority w:val="99"/>
    <w:unhideWhenUsed/>
    <w:qFormat/>
    <w:pPr>
      <w:tabs>
        <w:tab w:val="center" w:pos="7143" w:leader="none"/>
        <w:tab w:val="right" w:pos="14287" w:leader="none"/>
      </w:tabs>
    </w:pPr>
  </w:style>
  <w:style w:type="paragraph" w:styleId="774" w:customStyle="1">
    <w:name w:val="Header"/>
    <w:basedOn w:val="720"/>
    <w:link w:val="791"/>
    <w:uiPriority w:val="99"/>
    <w:unhideWhenUsed/>
    <w:qFormat/>
    <w:pPr>
      <w:tabs>
        <w:tab w:val="center" w:pos="7143" w:leader="none"/>
        <w:tab w:val="right" w:pos="14287" w:leader="none"/>
      </w:tabs>
    </w:pPr>
  </w:style>
  <w:style w:type="character" w:styleId="775" w:customStyle="1">
    <w:name w:val="标题 2 Char1"/>
    <w:link w:val="764"/>
    <w:uiPriority w:val="9"/>
    <w:qFormat/>
    <w:rPr>
      <w:rFonts w:ascii="Arial" w:hAnsi="Arial" w:eastAsia="Arial" w:cs="Arial"/>
      <w:sz w:val="34"/>
    </w:rPr>
  </w:style>
  <w:style w:type="character" w:styleId="776" w:customStyle="1">
    <w:name w:val="标题 3 Char1"/>
    <w:link w:val="765"/>
    <w:uiPriority w:val="9"/>
    <w:qFormat/>
    <w:rPr>
      <w:rFonts w:ascii="Arial" w:hAnsi="Arial" w:eastAsia="Arial" w:cs="Arial"/>
      <w:sz w:val="30"/>
      <w:szCs w:val="30"/>
    </w:rPr>
  </w:style>
  <w:style w:type="character" w:styleId="777" w:customStyle="1">
    <w:name w:val="标题 4 Char1"/>
    <w:link w:val="766"/>
    <w:uiPriority w:val="9"/>
    <w:qFormat/>
    <w:rPr>
      <w:rFonts w:ascii="Arial" w:hAnsi="Arial" w:eastAsia="Arial" w:cs="Arial"/>
      <w:b/>
      <w:bCs/>
      <w:sz w:val="26"/>
      <w:szCs w:val="26"/>
    </w:rPr>
  </w:style>
  <w:style w:type="character" w:styleId="778" w:customStyle="1">
    <w:name w:val="标题 5 Char1"/>
    <w:link w:val="767"/>
    <w:uiPriority w:val="9"/>
    <w:qFormat/>
    <w:rPr>
      <w:rFonts w:ascii="Arial" w:hAnsi="Arial" w:eastAsia="Arial" w:cs="Arial"/>
      <w:b/>
      <w:bCs/>
      <w:sz w:val="24"/>
      <w:szCs w:val="24"/>
    </w:rPr>
  </w:style>
  <w:style w:type="character" w:styleId="779" w:customStyle="1">
    <w:name w:val="标题 6 Char1"/>
    <w:link w:val="768"/>
    <w:uiPriority w:val="9"/>
    <w:qFormat/>
    <w:rPr>
      <w:rFonts w:ascii="Arial" w:hAnsi="Arial" w:eastAsia="Arial" w:cs="Arial"/>
      <w:b/>
      <w:bCs/>
      <w:sz w:val="22"/>
      <w:szCs w:val="22"/>
    </w:rPr>
  </w:style>
  <w:style w:type="character" w:styleId="780" w:customStyle="1">
    <w:name w:val="标题 7 Char1"/>
    <w:link w:val="769"/>
    <w:uiPriority w:val="9"/>
    <w:qFormat/>
    <w:rPr>
      <w:rFonts w:ascii="Arial" w:hAnsi="Arial" w:eastAsia="Arial" w:cs="Arial"/>
      <w:b/>
      <w:bCs/>
      <w:i/>
      <w:iCs/>
      <w:sz w:val="22"/>
      <w:szCs w:val="22"/>
    </w:rPr>
  </w:style>
  <w:style w:type="character" w:styleId="781" w:customStyle="1">
    <w:name w:val="标题 8 Char1"/>
    <w:link w:val="770"/>
    <w:uiPriority w:val="9"/>
    <w:qFormat/>
    <w:rPr>
      <w:rFonts w:ascii="Arial" w:hAnsi="Arial" w:eastAsia="Arial" w:cs="Arial"/>
      <w:i/>
      <w:iCs/>
      <w:sz w:val="22"/>
      <w:szCs w:val="22"/>
    </w:rPr>
  </w:style>
  <w:style w:type="character" w:styleId="782" w:customStyle="1">
    <w:name w:val="标题 9 Char1"/>
    <w:link w:val="771"/>
    <w:uiPriority w:val="9"/>
    <w:qFormat/>
    <w:rPr>
      <w:rFonts w:ascii="Arial" w:hAnsi="Arial" w:eastAsia="Arial" w:cs="Arial"/>
      <w:i/>
      <w:iCs/>
      <w:sz w:val="21"/>
      <w:szCs w:val="21"/>
    </w:rPr>
  </w:style>
  <w:style w:type="paragraph" w:styleId="783">
    <w:name w:val="List Paragraph"/>
    <w:basedOn w:val="720"/>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Char1"/>
    <w:link w:val="739"/>
    <w:uiPriority w:val="10"/>
    <w:qFormat/>
    <w:rPr>
      <w:sz w:val="48"/>
      <w:szCs w:val="48"/>
    </w:rPr>
  </w:style>
  <w:style w:type="character" w:styleId="786" w:customStyle="1">
    <w:name w:val="副标题 Char"/>
    <w:link w:val="732"/>
    <w:uiPriority w:val="11"/>
    <w:qFormat/>
    <w:rPr>
      <w:sz w:val="24"/>
      <w:szCs w:val="24"/>
    </w:rPr>
  </w:style>
  <w:style w:type="paragraph" w:styleId="787">
    <w:name w:val="Quote"/>
    <w:basedOn w:val="720"/>
    <w:next w:val="720"/>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720"/>
    <w:next w:val="72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页眉 Char1"/>
    <w:link w:val="774"/>
    <w:uiPriority w:val="99"/>
    <w:qFormat/>
  </w:style>
  <w:style w:type="character" w:styleId="792" w:customStyle="1">
    <w:name w:val="Footer Char"/>
    <w:link w:val="773"/>
    <w:uiPriority w:val="99"/>
  </w:style>
  <w:style w:type="character" w:styleId="793" w:customStyle="1">
    <w:name w:val="页脚 Char1"/>
    <w:link w:val="773"/>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6"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7"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33"/>
    <w:uiPriority w:val="99"/>
    <w:qFormat/>
    <w:rPr>
      <w:sz w:val="18"/>
    </w:rPr>
  </w:style>
  <w:style w:type="character" w:styleId="920" w:customStyle="1">
    <w:name w:val="尾注文本 Char"/>
    <w:link w:val="727"/>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20"/>
    <w:next w:val="720"/>
    <w:link w:val="934"/>
    <w:uiPriority w:val="0"/>
    <w:qFormat/>
    <w:pPr>
      <w:jc w:val="center"/>
      <w:keepNext/>
      <w:outlineLvl w:val="0"/>
    </w:pPr>
    <w:rPr>
      <w:rFonts w:ascii="楷体_GB2312" w:eastAsia="楷体_GB2312"/>
      <w:sz w:val="28"/>
      <w:szCs w:val="28"/>
    </w:rPr>
  </w:style>
  <w:style w:type="paragraph" w:styleId="923" w:customStyle="1">
    <w:name w:val="标题 21"/>
    <w:basedOn w:val="720"/>
    <w:next w:val="924"/>
    <w:link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924" w:customStyle="1">
    <w:name w:val="正文缩进1"/>
    <w:basedOn w:val="720"/>
    <w:link w:val="936"/>
    <w:uiPriority w:val="0"/>
    <w:qFormat/>
    <w:pPr>
      <w:ind w:firstLine="420"/>
    </w:pPr>
    <w:rPr>
      <w:sz w:val="20"/>
      <w:szCs w:val="21"/>
    </w:rPr>
  </w:style>
  <w:style w:type="paragraph" w:styleId="925" w:customStyle="1">
    <w:name w:val="标题 31"/>
    <w:basedOn w:val="720"/>
    <w:next w:val="924"/>
    <w:link w:val="937"/>
    <w:uiPriority w:val="0"/>
    <w:qFormat/>
    <w:pPr>
      <w:keepLines/>
      <w:keepNext/>
      <w:spacing w:before="260" w:after="260" w:line="416" w:lineRule="auto"/>
      <w:outlineLvl w:val="2"/>
    </w:pPr>
    <w:rPr>
      <w:b/>
      <w:bCs/>
      <w:sz w:val="32"/>
      <w:szCs w:val="32"/>
    </w:rPr>
  </w:style>
  <w:style w:type="paragraph" w:styleId="926" w:customStyle="1">
    <w:name w:val="标题 411"/>
    <w:basedOn w:val="720"/>
    <w:next w:val="720"/>
    <w:link w:val="938"/>
    <w:uiPriority w:val="0"/>
    <w:qFormat/>
    <w:pPr>
      <w:keepLines/>
      <w:keepNext/>
      <w:spacing w:before="280" w:after="290" w:line="376" w:lineRule="auto"/>
      <w:outlineLvl w:val="3"/>
    </w:pPr>
    <w:rPr>
      <w:rFonts w:ascii="Arial" w:hAnsi="Arial" w:eastAsia="黑体"/>
      <w:b/>
      <w:bCs/>
      <w:sz w:val="28"/>
      <w:szCs w:val="28"/>
    </w:rPr>
  </w:style>
  <w:style w:type="paragraph" w:styleId="927" w:customStyle="1">
    <w:name w:val="标题 51"/>
    <w:basedOn w:val="720"/>
    <w:next w:val="924"/>
    <w:link w:val="939"/>
    <w:uiPriority w:val="0"/>
    <w:qFormat/>
    <w:pPr>
      <w:keepNext/>
      <w:outlineLvl w:val="4"/>
    </w:pPr>
    <w:rPr>
      <w:rFonts w:ascii="宋体"/>
      <w:color w:val="000000"/>
      <w:sz w:val="28"/>
      <w:szCs w:val="28"/>
    </w:rPr>
  </w:style>
  <w:style w:type="paragraph" w:styleId="928" w:customStyle="1">
    <w:name w:val="标题 61"/>
    <w:basedOn w:val="720"/>
    <w:next w:val="720"/>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720"/>
    <w:next w:val="720"/>
    <w:link w:val="941"/>
    <w:uiPriority w:val="0"/>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720"/>
    <w:next w:val="720"/>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720"/>
    <w:next w:val="720"/>
    <w:link w:val="94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32" w:customStyle="1">
    <w:name w:val="默认段落字体1"/>
    <w:uiPriority w:val="1"/>
    <w:unhideWhenUsed/>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1 Char"/>
    <w:link w:val="922"/>
    <w:uiPriority w:val="0"/>
    <w:qFormat/>
    <w:rPr>
      <w:rFonts w:ascii="楷体_GB2312" w:hAnsi="Times New Roman" w:eastAsia="楷体_GB2312" w:cs="Times New Roman"/>
      <w:sz w:val="28"/>
      <w:szCs w:val="28"/>
    </w:rPr>
  </w:style>
  <w:style w:type="character" w:styleId="935" w:customStyle="1">
    <w:name w:val="标题 2 Char"/>
    <w:link w:val="923"/>
    <w:uiPriority w:val="0"/>
    <w:qFormat/>
    <w:rPr>
      <w:rFonts w:ascii="Arial" w:hAnsi="Arial" w:eastAsia="幼圆" w:cs="Arial"/>
      <w:b/>
      <w:bCs/>
      <w:sz w:val="44"/>
      <w:szCs w:val="44"/>
    </w:rPr>
  </w:style>
  <w:style w:type="character" w:styleId="936" w:customStyle="1">
    <w:name w:val="正文缩进 Char"/>
    <w:link w:val="924"/>
    <w:uiPriority w:val="0"/>
    <w:qFormat/>
    <w:rPr>
      <w:szCs w:val="21"/>
    </w:rPr>
  </w:style>
  <w:style w:type="character" w:styleId="937" w:customStyle="1">
    <w:name w:val="标题 3 Char"/>
    <w:link w:val="925"/>
    <w:uiPriority w:val="0"/>
    <w:qFormat/>
    <w:rPr>
      <w:rFonts w:ascii="Times New Roman" w:hAnsi="Times New Roman" w:eastAsia="宋体" w:cs="Times New Roman"/>
      <w:b/>
      <w:bCs/>
      <w:sz w:val="32"/>
      <w:szCs w:val="32"/>
    </w:rPr>
  </w:style>
  <w:style w:type="character" w:styleId="938" w:customStyle="1">
    <w:name w:val="标题 4 Char"/>
    <w:link w:val="926"/>
    <w:uiPriority w:val="0"/>
    <w:qFormat/>
    <w:rPr>
      <w:rFonts w:ascii="Arial" w:hAnsi="Arial" w:eastAsia="黑体" w:cs="Arial"/>
      <w:b/>
      <w:bCs/>
      <w:sz w:val="28"/>
      <w:szCs w:val="28"/>
    </w:rPr>
  </w:style>
  <w:style w:type="character" w:styleId="939" w:customStyle="1">
    <w:name w:val="标题 5 Char"/>
    <w:link w:val="927"/>
    <w:uiPriority w:val="0"/>
    <w:qFormat/>
    <w:rPr>
      <w:rFonts w:ascii="宋体" w:hAnsi="Times New Roman" w:eastAsia="宋体" w:cs="Times New Roman"/>
      <w:color w:val="000000"/>
      <w:sz w:val="28"/>
      <w:szCs w:val="28"/>
    </w:rPr>
  </w:style>
  <w:style w:type="character" w:styleId="940" w:customStyle="1">
    <w:name w:val="标题 6 Char"/>
    <w:link w:val="928"/>
    <w:uiPriority w:val="0"/>
    <w:qFormat/>
    <w:rPr>
      <w:rFonts w:ascii="Arial" w:hAnsi="Arial" w:eastAsia="黑体" w:cs="Times New Roman"/>
      <w:b/>
      <w:bCs/>
      <w:sz w:val="24"/>
      <w:szCs w:val="24"/>
    </w:rPr>
  </w:style>
  <w:style w:type="character" w:styleId="941" w:customStyle="1">
    <w:name w:val="标题 7 Char"/>
    <w:link w:val="929"/>
    <w:uiPriority w:val="0"/>
    <w:qFormat/>
    <w:rPr>
      <w:rFonts w:ascii="Times New Roman" w:hAnsi="Times New Roman" w:eastAsia="宋体" w:cs="Times New Roman"/>
      <w:b/>
      <w:bCs/>
      <w:sz w:val="24"/>
      <w:szCs w:val="24"/>
    </w:rPr>
  </w:style>
  <w:style w:type="character" w:styleId="942" w:customStyle="1">
    <w:name w:val="标题 8 Char"/>
    <w:link w:val="930"/>
    <w:uiPriority w:val="0"/>
    <w:qFormat/>
    <w:rPr>
      <w:rFonts w:ascii="Arial" w:hAnsi="Arial" w:eastAsia="黑体" w:cs="Times New Roman"/>
      <w:sz w:val="24"/>
      <w:szCs w:val="24"/>
    </w:rPr>
  </w:style>
  <w:style w:type="character" w:styleId="943" w:customStyle="1">
    <w:name w:val="标题 9 Char"/>
    <w:link w:val="931"/>
    <w:uiPriority w:val="0"/>
    <w:qFormat/>
    <w:rPr>
      <w:rFonts w:ascii="Arial" w:hAnsi="Arial" w:eastAsia="黑体" w:cs="Times New Roman"/>
      <w:szCs w:val="21"/>
    </w:rPr>
  </w:style>
  <w:style w:type="paragraph" w:styleId="944" w:customStyle="1">
    <w:name w:val="列表 31"/>
    <w:basedOn w:val="720"/>
    <w:uiPriority w:val="0"/>
    <w:qFormat/>
    <w:pPr>
      <w:ind w:left="100" w:hanging="200"/>
    </w:pPr>
    <w:rPr>
      <w:szCs w:val="21"/>
    </w:rPr>
  </w:style>
  <w:style w:type="paragraph" w:styleId="945" w:customStyle="1">
    <w:name w:val="目录 71"/>
    <w:basedOn w:val="720"/>
    <w:next w:val="720"/>
    <w:uiPriority w:val="0"/>
    <w:semiHidden/>
    <w:pPr>
      <w:ind w:left="1260"/>
      <w:jc w:val="left"/>
    </w:pPr>
    <w:rPr>
      <w:szCs w:val="21"/>
    </w:rPr>
  </w:style>
  <w:style w:type="paragraph" w:styleId="946" w:customStyle="1">
    <w:name w:val="引文目录1"/>
    <w:basedOn w:val="720"/>
    <w:next w:val="720"/>
    <w:uiPriority w:val="99"/>
    <w:qFormat/>
    <w:pPr>
      <w:ind w:left="420" w:firstLine="200"/>
      <w:spacing w:line="360" w:lineRule="auto"/>
    </w:pPr>
    <w:rPr>
      <w:sz w:val="24"/>
      <w:szCs w:val="24"/>
    </w:rPr>
  </w:style>
  <w:style w:type="paragraph" w:styleId="947" w:customStyle="1">
    <w:name w:val="文档结构图1"/>
    <w:basedOn w:val="720"/>
    <w:link w:val="948"/>
    <w:uiPriority w:val="0"/>
    <w:semiHidden/>
    <w:qFormat/>
    <w:pPr>
      <w:shd w:val="clear" w:color="auto" w:fill="000080"/>
    </w:pPr>
    <w:rPr>
      <w:sz w:val="20"/>
      <w:szCs w:val="21"/>
    </w:rPr>
  </w:style>
  <w:style w:type="character" w:styleId="948" w:customStyle="1">
    <w:name w:val="文档结构图 Char"/>
    <w:link w:val="947"/>
    <w:uiPriority w:val="0"/>
    <w:semiHidden/>
    <w:qFormat/>
    <w:rPr>
      <w:rFonts w:ascii="Times New Roman" w:hAnsi="Times New Roman" w:eastAsia="宋体" w:cs="Times New Roman"/>
      <w:szCs w:val="21"/>
      <w:shd w:val="clear" w:color="auto" w:fill="000080"/>
    </w:rPr>
  </w:style>
  <w:style w:type="paragraph" w:styleId="949" w:customStyle="1">
    <w:name w:val="批注文字1"/>
    <w:basedOn w:val="720"/>
    <w:link w:val="950"/>
    <w:uiPriority w:val="99"/>
    <w:unhideWhenUsed/>
    <w:qFormat/>
    <w:pPr>
      <w:jc w:val="left"/>
    </w:pPr>
  </w:style>
  <w:style w:type="character" w:styleId="950" w:customStyle="1">
    <w:name w:val="批注文字 Char"/>
    <w:link w:val="949"/>
    <w:uiPriority w:val="99"/>
    <w:semiHidden/>
    <w:qFormat/>
  </w:style>
  <w:style w:type="paragraph" w:styleId="951" w:customStyle="1">
    <w:name w:val="正文文本 31"/>
    <w:basedOn w:val="720"/>
    <w:link w:val="952"/>
    <w:uiPriority w:val="0"/>
    <w:rPr>
      <w:rFonts w:ascii="仿宋_GB2312" w:hAnsi="Arial" w:eastAsia="仿宋_GB2312"/>
      <w:sz w:val="32"/>
      <w:szCs w:val="32"/>
    </w:rPr>
  </w:style>
  <w:style w:type="character" w:styleId="952" w:customStyle="1">
    <w:name w:val="正文文本 3 Char"/>
    <w:link w:val="951"/>
    <w:uiPriority w:val="0"/>
    <w:qFormat/>
    <w:rPr>
      <w:rFonts w:ascii="仿宋_GB2312" w:hAnsi="Arial" w:eastAsia="仿宋_GB2312" w:cs="Times New Roman"/>
      <w:sz w:val="32"/>
      <w:szCs w:val="32"/>
    </w:rPr>
  </w:style>
  <w:style w:type="paragraph" w:styleId="953" w:customStyle="1">
    <w:name w:val="正文文本11"/>
    <w:basedOn w:val="720"/>
    <w:link w:val="954"/>
    <w:uiPriority w:val="0"/>
    <w:qFormat/>
    <w:rPr>
      <w:rFonts w:ascii="楷体_GB2312" w:hAnsi="Arial" w:eastAsia="楷体_GB2312"/>
      <w:sz w:val="28"/>
      <w:szCs w:val="28"/>
    </w:rPr>
  </w:style>
  <w:style w:type="character" w:styleId="954" w:customStyle="1">
    <w:name w:val="正文文本 Char"/>
    <w:link w:val="953"/>
    <w:uiPriority w:val="0"/>
    <w:qFormat/>
    <w:rPr>
      <w:rFonts w:ascii="楷体_GB2312" w:hAnsi="Arial" w:eastAsia="楷体_GB2312" w:cs="Times New Roman"/>
      <w:sz w:val="28"/>
      <w:szCs w:val="28"/>
    </w:rPr>
  </w:style>
  <w:style w:type="paragraph" w:styleId="955" w:customStyle="1">
    <w:name w:val="正文文本缩进1"/>
    <w:basedOn w:val="720"/>
    <w:link w:val="956"/>
    <w:uiPriority w:val="99"/>
    <w:unhideWhenUsed/>
    <w:qFormat/>
    <w:pPr>
      <w:ind w:left="420"/>
      <w:spacing w:after="120"/>
    </w:pPr>
  </w:style>
  <w:style w:type="character" w:styleId="956" w:customStyle="1">
    <w:name w:val="正文文本缩进 Char"/>
    <w:link w:val="955"/>
    <w:uiPriority w:val="99"/>
    <w:semiHidden/>
    <w:qFormat/>
  </w:style>
  <w:style w:type="paragraph" w:styleId="957" w:customStyle="1">
    <w:name w:val="列表 21"/>
    <w:basedOn w:val="720"/>
    <w:uiPriority w:val="0"/>
    <w:pPr>
      <w:ind w:left="100" w:hanging="200"/>
    </w:pPr>
    <w:rPr>
      <w:szCs w:val="21"/>
    </w:rPr>
  </w:style>
  <w:style w:type="paragraph" w:styleId="958" w:customStyle="1">
    <w:name w:val="目录 51"/>
    <w:basedOn w:val="720"/>
    <w:next w:val="720"/>
    <w:uiPriority w:val="0"/>
    <w:semiHidden/>
    <w:qFormat/>
    <w:pPr>
      <w:ind w:left="840"/>
      <w:jc w:val="left"/>
    </w:pPr>
    <w:rPr>
      <w:szCs w:val="21"/>
    </w:rPr>
  </w:style>
  <w:style w:type="paragraph" w:styleId="959" w:customStyle="1">
    <w:name w:val="目录 31"/>
    <w:basedOn w:val="720"/>
    <w:next w:val="720"/>
    <w:uiPriority w:val="0"/>
    <w:semiHidden/>
    <w:qFormat/>
    <w:pPr>
      <w:ind w:left="420"/>
      <w:jc w:val="left"/>
    </w:pPr>
    <w:rPr>
      <w:i/>
      <w:iCs/>
      <w:szCs w:val="24"/>
    </w:rPr>
  </w:style>
  <w:style w:type="paragraph" w:styleId="960" w:customStyle="1">
    <w:name w:val="纯文本1"/>
    <w:basedOn w:val="720"/>
    <w:link w:val="961"/>
    <w:uiPriority w:val="0"/>
    <w:qFormat/>
    <w:rPr>
      <w:rFonts w:ascii="宋体" w:hAnsi="Courier New"/>
      <w:sz w:val="20"/>
      <w:szCs w:val="21"/>
    </w:rPr>
  </w:style>
  <w:style w:type="character" w:styleId="961" w:customStyle="1">
    <w:name w:val="纯文本 Char"/>
    <w:link w:val="960"/>
    <w:uiPriority w:val="0"/>
    <w:qFormat/>
    <w:rPr>
      <w:rFonts w:ascii="宋体" w:hAnsi="Courier New" w:eastAsia="宋体" w:cs="Courier New"/>
      <w:szCs w:val="21"/>
    </w:rPr>
  </w:style>
  <w:style w:type="paragraph" w:styleId="962" w:customStyle="1">
    <w:name w:val="目录 81"/>
    <w:basedOn w:val="720"/>
    <w:next w:val="720"/>
    <w:uiPriority w:val="0"/>
    <w:semiHidden/>
    <w:qFormat/>
    <w:pPr>
      <w:ind w:left="1470"/>
      <w:jc w:val="left"/>
    </w:pPr>
    <w:rPr>
      <w:szCs w:val="21"/>
    </w:rPr>
  </w:style>
  <w:style w:type="paragraph" w:styleId="963" w:customStyle="1">
    <w:name w:val="日期1"/>
    <w:basedOn w:val="720"/>
    <w:next w:val="720"/>
    <w:link w:val="964"/>
    <w:uiPriority w:val="0"/>
    <w:qFormat/>
    <w:rPr>
      <w:sz w:val="24"/>
      <w:szCs w:val="24"/>
    </w:rPr>
  </w:style>
  <w:style w:type="character" w:styleId="964" w:customStyle="1">
    <w:name w:val="日期 Char"/>
    <w:link w:val="963"/>
    <w:uiPriority w:val="0"/>
    <w:qFormat/>
    <w:rPr>
      <w:rFonts w:ascii="Times New Roman" w:hAnsi="Times New Roman" w:eastAsia="宋体" w:cs="Times New Roman"/>
      <w:sz w:val="24"/>
      <w:szCs w:val="24"/>
    </w:rPr>
  </w:style>
  <w:style w:type="paragraph" w:styleId="965" w:customStyle="1">
    <w:name w:val="正文文本缩进 21"/>
    <w:basedOn w:val="720"/>
    <w:link w:val="966"/>
    <w:uiPriority w:val="0"/>
    <w:qFormat/>
    <w:pPr>
      <w:ind w:left="630" w:firstLine="645"/>
    </w:pPr>
    <w:rPr>
      <w:rFonts w:ascii="Arial" w:hAnsi="Arial" w:eastAsia="仿宋_GB2312"/>
      <w:sz w:val="32"/>
      <w:szCs w:val="32"/>
    </w:rPr>
  </w:style>
  <w:style w:type="character" w:styleId="966" w:customStyle="1">
    <w:name w:val="正文文本缩进 2 Char"/>
    <w:link w:val="965"/>
    <w:uiPriority w:val="0"/>
    <w:qFormat/>
    <w:rPr>
      <w:rFonts w:ascii="Arial" w:hAnsi="Arial" w:eastAsia="仿宋_GB2312" w:cs="Arial"/>
      <w:sz w:val="32"/>
      <w:szCs w:val="32"/>
    </w:rPr>
  </w:style>
  <w:style w:type="paragraph" w:styleId="967" w:customStyle="1">
    <w:name w:val="批注框文本1"/>
    <w:basedOn w:val="720"/>
    <w:link w:val="968"/>
    <w:uiPriority w:val="0"/>
    <w:semiHidden/>
    <w:qFormat/>
    <w:rPr>
      <w:sz w:val="18"/>
      <w:szCs w:val="18"/>
    </w:rPr>
  </w:style>
  <w:style w:type="character" w:styleId="968" w:customStyle="1">
    <w:name w:val="批注框文本 Char"/>
    <w:link w:val="967"/>
    <w:uiPriority w:val="0"/>
    <w:semiHidden/>
    <w:qFormat/>
    <w:rPr>
      <w:rFonts w:ascii="Times New Roman" w:hAnsi="Times New Roman" w:eastAsia="宋体" w:cs="Times New Roman"/>
      <w:sz w:val="18"/>
      <w:szCs w:val="18"/>
    </w:rPr>
  </w:style>
  <w:style w:type="paragraph" w:styleId="969" w:customStyle="1">
    <w:name w:val="页脚1"/>
    <w:basedOn w:val="720"/>
    <w:link w:val="970"/>
    <w:uiPriority w:val="99"/>
    <w:qFormat/>
    <w:pPr>
      <w:jc w:val="left"/>
      <w:tabs>
        <w:tab w:val="center" w:pos="4153" w:leader="none"/>
        <w:tab w:val="right" w:pos="8306" w:leader="none"/>
      </w:tabs>
    </w:pPr>
    <w:rPr>
      <w:sz w:val="18"/>
      <w:szCs w:val="18"/>
    </w:rPr>
  </w:style>
  <w:style w:type="character" w:styleId="970" w:customStyle="1">
    <w:name w:val="页脚 Char"/>
    <w:link w:val="969"/>
    <w:uiPriority w:val="99"/>
    <w:qFormat/>
    <w:rPr>
      <w:rFonts w:ascii="Times New Roman" w:hAnsi="Times New Roman" w:eastAsia="宋体" w:cs="Times New Roman"/>
      <w:sz w:val="18"/>
      <w:szCs w:val="18"/>
    </w:rPr>
  </w:style>
  <w:style w:type="paragraph" w:styleId="971" w:customStyle="1">
    <w:name w:val="寄信人地址1"/>
    <w:basedOn w:val="720"/>
    <w:uiPriority w:val="99"/>
    <w:unhideWhenUsed/>
    <w:qFormat/>
    <w:rPr>
      <w:rFonts w:ascii="Cambria" w:hAnsi="Cambria"/>
    </w:rPr>
  </w:style>
  <w:style w:type="paragraph" w:styleId="972" w:customStyle="1">
    <w:name w:val="页眉1"/>
    <w:basedOn w:val="720"/>
    <w:link w:val="973"/>
    <w:uiPriority w:val="0"/>
    <w:qFormat/>
    <w:pPr>
      <w:jc w:val="center"/>
      <w:tabs>
        <w:tab w:val="center" w:pos="4153" w:leader="none"/>
        <w:tab w:val="right" w:pos="8306" w:leader="none"/>
      </w:tabs>
      <w:pBdr>
        <w:bottom w:val="single" w:color="000000" w:sz="6" w:space="1"/>
      </w:pBdr>
    </w:pPr>
    <w:rPr>
      <w:sz w:val="18"/>
      <w:szCs w:val="18"/>
    </w:rPr>
  </w:style>
  <w:style w:type="character" w:styleId="973" w:customStyle="1">
    <w:name w:val="页眉 Char"/>
    <w:link w:val="972"/>
    <w:uiPriority w:val="0"/>
    <w:qFormat/>
    <w:rPr>
      <w:rFonts w:ascii="Times New Roman" w:hAnsi="Times New Roman" w:eastAsia="宋体" w:cs="Times New Roman"/>
      <w:sz w:val="18"/>
      <w:szCs w:val="18"/>
    </w:rPr>
  </w:style>
  <w:style w:type="paragraph" w:styleId="974"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75" w:customStyle="1">
    <w:name w:val="目录 41"/>
    <w:basedOn w:val="720"/>
    <w:next w:val="720"/>
    <w:uiPriority w:val="0"/>
    <w:semiHidden/>
    <w:qFormat/>
    <w:pPr>
      <w:ind w:left="630"/>
      <w:jc w:val="left"/>
    </w:pPr>
    <w:rPr>
      <w:szCs w:val="21"/>
    </w:rPr>
  </w:style>
  <w:style w:type="paragraph" w:styleId="976" w:customStyle="1">
    <w:name w:val="列表1"/>
    <w:basedOn w:val="720"/>
    <w:uiPriority w:val="0"/>
    <w:qFormat/>
    <w:pPr>
      <w:ind w:left="200" w:hanging="200"/>
    </w:pPr>
    <w:rPr>
      <w:szCs w:val="21"/>
    </w:rPr>
  </w:style>
  <w:style w:type="paragraph" w:styleId="977" w:customStyle="1">
    <w:name w:val="目录 61"/>
    <w:basedOn w:val="720"/>
    <w:next w:val="720"/>
    <w:uiPriority w:val="0"/>
    <w:semiHidden/>
    <w:qFormat/>
    <w:pPr>
      <w:ind w:left="1050"/>
      <w:jc w:val="left"/>
    </w:pPr>
    <w:rPr>
      <w:szCs w:val="21"/>
    </w:rPr>
  </w:style>
  <w:style w:type="paragraph" w:styleId="978" w:customStyle="1">
    <w:name w:val="正文文本缩进 31"/>
    <w:basedOn w:val="720"/>
    <w:link w:val="979"/>
    <w:uiPriority w:val="0"/>
    <w:qFormat/>
    <w:pPr>
      <w:ind w:left="645" w:firstLine="645"/>
    </w:pPr>
    <w:rPr>
      <w:rFonts w:ascii="Arial" w:hAnsi="Arial" w:eastAsia="仿宋_GB2312"/>
      <w:color w:val="ffff00"/>
      <w:sz w:val="32"/>
      <w:szCs w:val="32"/>
    </w:rPr>
  </w:style>
  <w:style w:type="character" w:styleId="979" w:customStyle="1">
    <w:name w:val="正文文本缩进 3 Char"/>
    <w:link w:val="978"/>
    <w:uiPriority w:val="0"/>
    <w:qFormat/>
    <w:rPr>
      <w:rFonts w:ascii="Arial" w:hAnsi="Arial" w:eastAsia="仿宋_GB2312" w:cs="Arial"/>
      <w:color w:val="ffff00"/>
      <w:sz w:val="32"/>
      <w:szCs w:val="32"/>
    </w:rPr>
  </w:style>
  <w:style w:type="paragraph" w:styleId="980" w:customStyle="1">
    <w:name w:val="图表目录1"/>
    <w:basedOn w:val="720"/>
    <w:next w:val="720"/>
    <w:uiPriority w:val="0"/>
    <w:semiHidden/>
    <w:qFormat/>
    <w:pPr>
      <w:ind w:left="840" w:hanging="420"/>
    </w:pPr>
    <w:rPr>
      <w:szCs w:val="21"/>
    </w:rPr>
  </w:style>
  <w:style w:type="paragraph" w:styleId="981" w:customStyle="1">
    <w:name w:val="目录 21"/>
    <w:basedOn w:val="720"/>
    <w:next w:val="720"/>
    <w:uiPriority w:val="0"/>
    <w:semiHidden/>
    <w:qFormat/>
    <w:pPr>
      <w:ind w:left="210"/>
      <w:jc w:val="left"/>
    </w:pPr>
    <w:rPr>
      <w:smallCaps/>
      <w:szCs w:val="24"/>
    </w:rPr>
  </w:style>
  <w:style w:type="paragraph" w:styleId="982" w:customStyle="1">
    <w:name w:val="目录 91"/>
    <w:basedOn w:val="720"/>
    <w:next w:val="720"/>
    <w:uiPriority w:val="0"/>
    <w:semiHidden/>
    <w:qFormat/>
    <w:pPr>
      <w:ind w:left="1680"/>
      <w:jc w:val="left"/>
    </w:pPr>
    <w:rPr>
      <w:szCs w:val="21"/>
    </w:rPr>
  </w:style>
  <w:style w:type="paragraph" w:styleId="983" w:customStyle="1">
    <w:name w:val="正文文本 21"/>
    <w:basedOn w:val="720"/>
    <w:link w:val="984"/>
    <w:uiPriority w:val="0"/>
    <w:qFormat/>
    <w:pPr>
      <w:jc w:val="center"/>
      <w:widowControl/>
    </w:pPr>
    <w:rPr>
      <w:rFonts w:ascii="楷体_GB2312" w:eastAsia="楷体_GB2312"/>
      <w:sz w:val="28"/>
      <w:szCs w:val="28"/>
    </w:rPr>
  </w:style>
  <w:style w:type="character" w:styleId="984" w:customStyle="1">
    <w:name w:val="正文文本 2 Char"/>
    <w:link w:val="983"/>
    <w:uiPriority w:val="0"/>
    <w:qFormat/>
    <w:rPr>
      <w:rFonts w:ascii="楷体_GB2312" w:hAnsi="Times New Roman" w:eastAsia="楷体_GB2312" w:cs="Times New Roman"/>
      <w:sz w:val="28"/>
      <w:szCs w:val="28"/>
    </w:rPr>
  </w:style>
  <w:style w:type="paragraph" w:styleId="985"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86" w:customStyle="1">
    <w:name w:val="索引 11"/>
    <w:basedOn w:val="720"/>
    <w:next w:val="720"/>
    <w:uiPriority w:val="0"/>
    <w:semiHidden/>
    <w:qFormat/>
    <w:pPr>
      <w:spacing w:line="240" w:lineRule="atLeast"/>
    </w:pPr>
    <w:rPr>
      <w:b/>
      <w:bCs/>
      <w:szCs w:val="21"/>
    </w:rPr>
  </w:style>
  <w:style w:type="paragraph" w:styleId="987" w:customStyle="1">
    <w:name w:val="标题11"/>
    <w:basedOn w:val="720"/>
    <w:next w:val="720"/>
    <w:link w:val="988"/>
    <w:uiPriority w:val="10"/>
    <w:qFormat/>
    <w:pPr>
      <w:contextualSpacing/>
      <w:spacing w:before="300" w:after="200"/>
    </w:pPr>
    <w:rPr>
      <w:rFonts w:ascii="Calibri" w:hAnsi="Calibri"/>
      <w:sz w:val="48"/>
      <w:szCs w:val="48"/>
    </w:rPr>
  </w:style>
  <w:style w:type="character" w:styleId="988" w:customStyle="1">
    <w:name w:val="标题 Char"/>
    <w:link w:val="987"/>
    <w:uiPriority w:val="10"/>
    <w:qFormat/>
    <w:rPr>
      <w:rFonts w:ascii="Calibri" w:hAnsi="Calibri"/>
      <w:sz w:val="48"/>
      <w:szCs w:val="48"/>
    </w:rPr>
  </w:style>
  <w:style w:type="paragraph" w:styleId="989" w:customStyle="1">
    <w:name w:val="批注主题1"/>
    <w:basedOn w:val="949"/>
    <w:next w:val="949"/>
    <w:link w:val="990"/>
    <w:uiPriority w:val="0"/>
    <w:semiHidden/>
    <w:qFormat/>
    <w:rPr>
      <w:b/>
      <w:bCs/>
      <w:sz w:val="20"/>
      <w:szCs w:val="21"/>
    </w:rPr>
  </w:style>
  <w:style w:type="character" w:styleId="990" w:customStyle="1">
    <w:name w:val="批注主题 Char"/>
    <w:link w:val="989"/>
    <w:uiPriority w:val="0"/>
    <w:semiHidden/>
    <w:qFormat/>
    <w:rPr>
      <w:rFonts w:ascii="Times New Roman" w:hAnsi="Times New Roman" w:eastAsia="宋体" w:cs="Times New Roman"/>
      <w:b/>
      <w:bCs/>
      <w:szCs w:val="21"/>
    </w:rPr>
  </w:style>
  <w:style w:type="paragraph" w:styleId="991" w:customStyle="1">
    <w:name w:val="正文首行缩进1"/>
    <w:basedOn w:val="720"/>
    <w:link w:val="992"/>
    <w:uiPriority w:val="0"/>
    <w:qFormat/>
    <w:pPr>
      <w:ind w:firstLine="200"/>
      <w:spacing w:line="360" w:lineRule="auto"/>
    </w:pPr>
    <w:rPr>
      <w:rFonts w:ascii="仿宋_GB2312" w:eastAsia="仿宋_GB2312"/>
      <w:sz w:val="30"/>
      <w:szCs w:val="30"/>
    </w:rPr>
  </w:style>
  <w:style w:type="character" w:styleId="992" w:customStyle="1">
    <w:name w:val="正文首行缩进 Char"/>
    <w:link w:val="991"/>
    <w:uiPriority w:val="0"/>
    <w:qFormat/>
    <w:rPr>
      <w:rFonts w:ascii="仿宋_GB2312" w:hAnsi="Times New Roman" w:eastAsia="仿宋_GB2312" w:cs="Times New Roman"/>
      <w:sz w:val="30"/>
      <w:szCs w:val="30"/>
    </w:rPr>
  </w:style>
  <w:style w:type="paragraph" w:styleId="993" w:customStyle="1">
    <w:name w:val="正文首行缩进 21"/>
    <w:basedOn w:val="955"/>
    <w:link w:val="994"/>
    <w:uiPriority w:val="0"/>
    <w:qFormat/>
    <w:pPr>
      <w:ind w:left="0" w:firstLine="420"/>
      <w:spacing w:after="0" w:line="360" w:lineRule="auto"/>
    </w:pPr>
    <w:rPr>
      <w:rFonts w:ascii="宋体" w:hAnsi="宋体"/>
      <w:sz w:val="20"/>
      <w:szCs w:val="20"/>
    </w:rPr>
  </w:style>
  <w:style w:type="character" w:styleId="994" w:customStyle="1">
    <w:name w:val="正文首行缩进 2 Char"/>
    <w:link w:val="993"/>
    <w:uiPriority w:val="0"/>
    <w:qFormat/>
    <w:rPr>
      <w:rFonts w:ascii="宋体" w:hAnsi="宋体" w:eastAsia="宋体" w:cs="Times New Roman"/>
      <w:szCs w:val="20"/>
    </w:rPr>
  </w:style>
  <w:style w:type="table" w:styleId="995" w:customStyle="1">
    <w:name w:val="网格型1"/>
    <w:basedOn w:val="933"/>
    <w:uiPriority w:val="0"/>
    <w:qFormat/>
    <w:pPr>
      <w:jc w:val="both"/>
      <w:widowControl w:val="off"/>
    </w:pPr>
    <w:tblPr>
      <w:tblCellMar>
        <w:left w:w="0" w:type="dxa"/>
        <w:top w:w="0" w:type="dxa"/>
        <w:right w:w="0" w:type="dxa"/>
        <w:bottom w:w="0" w:type="dxa"/>
      </w:tblCellMar>
    </w:tblPr>
  </w:style>
  <w:style w:type="character" w:styleId="996" w:customStyle="1">
    <w:name w:val="要点1"/>
    <w:uiPriority w:val="0"/>
    <w:qFormat/>
    <w:rPr>
      <w:b/>
      <w:bCs/>
    </w:rPr>
  </w:style>
  <w:style w:type="character" w:styleId="997" w:customStyle="1">
    <w:name w:val="页码1"/>
    <w:uiPriority w:val="0"/>
    <w:qFormat/>
  </w:style>
  <w:style w:type="character" w:styleId="998" w:customStyle="1">
    <w:name w:val="已访问的超链接1"/>
    <w:uiPriority w:val="0"/>
    <w:qFormat/>
    <w:rPr>
      <w:color w:val="800080"/>
      <w:u w:val="single"/>
    </w:rPr>
  </w:style>
  <w:style w:type="character" w:styleId="999" w:customStyle="1">
    <w:name w:val="超链接1"/>
    <w:uiPriority w:val="0"/>
    <w:qFormat/>
    <w:rPr>
      <w:color w:val="0000ff"/>
      <w:u w:val="single"/>
    </w:rPr>
  </w:style>
  <w:style w:type="character" w:styleId="1000" w:customStyle="1">
    <w:name w:val="批注引用1"/>
    <w:uiPriority w:val="0"/>
    <w:semiHidden/>
    <w:qFormat/>
    <w:rPr>
      <w:sz w:val="21"/>
      <w:szCs w:val="21"/>
    </w:rPr>
  </w:style>
  <w:style w:type="character" w:styleId="1001" w:customStyle="1">
    <w:name w:val="font5 Char"/>
    <w:uiPriority w:val="0"/>
    <w:qFormat/>
    <w:rPr>
      <w:rFonts w:ascii="宋体" w:hAnsi="宋体" w:eastAsia="宋体"/>
      <w:sz w:val="28"/>
      <w:szCs w:val="28"/>
      <w:lang w:val="en-US" w:eastAsia="zh-CN" w:bidi="ar-SA"/>
    </w:rPr>
  </w:style>
  <w:style w:type="character" w:styleId="1002" w:customStyle="1">
    <w:name w:val="二级目录 Char"/>
    <w:link w:val="1003"/>
    <w:uiPriority w:val="0"/>
    <w:qFormat/>
    <w:rPr>
      <w:b/>
      <w:sz w:val="30"/>
      <w:szCs w:val="28"/>
    </w:rPr>
  </w:style>
  <w:style w:type="paragraph" w:styleId="1003" w:customStyle="1">
    <w:name w:val="二级目录"/>
    <w:next w:val="720"/>
    <w:link w:val="100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720"/>
    <w:link w:val="1004"/>
    <w:uiPriority w:val="0"/>
    <w:qFormat/>
    <w:pPr>
      <w:contextualSpacing/>
      <w:ind w:left="720"/>
      <w:jc w:val="left"/>
      <w:widowControl/>
    </w:pPr>
    <w:rPr>
      <w:rFonts w:ascii="Calibri" w:hAnsi="Calibri"/>
      <w:sz w:val="24"/>
      <w:szCs w:val="24"/>
      <w:lang w:eastAsia="en-US" w:bidi="en-US"/>
    </w:rPr>
  </w:style>
  <w:style w:type="paragraph" w:styleId="1006" w:customStyle="1">
    <w:name w:val="Body Text(ch)"/>
    <w:basedOn w:val="720"/>
    <w:next w:val="953"/>
    <w:uiPriority w:val="0"/>
    <w:qFormat/>
    <w:pPr>
      <w:spacing w:after="120"/>
    </w:pPr>
    <w:rPr>
      <w:rFonts w:ascii="宋体" w:hAnsi="Arial"/>
      <w:bCs/>
      <w:iCs/>
      <w:szCs w:val="24"/>
    </w:rPr>
  </w:style>
  <w:style w:type="paragraph" w:styleId="1007"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customStyle="1">
    <w:name w:val="Char"/>
    <w:basedOn w:val="720"/>
    <w:uiPriority w:val="0"/>
    <w:qFormat/>
    <w:pPr>
      <w:ind w:firstLine="200"/>
      <w:tabs>
        <w:tab w:val="left" w:pos="360" w:leader="none"/>
      </w:tabs>
    </w:pPr>
    <w:rPr>
      <w:sz w:val="28"/>
      <w:szCs w:val="30"/>
    </w:rPr>
  </w:style>
  <w:style w:type="paragraph" w:styleId="1010" w:customStyle="1">
    <w:name w:val="Char1"/>
    <w:basedOn w:val="947"/>
    <w:uiPriority w:val="0"/>
    <w:qFormat/>
    <w:rPr>
      <w:rFonts w:ascii="Tahoma" w:hAnsi="Tahoma"/>
      <w:sz w:val="24"/>
      <w:szCs w:val="24"/>
    </w:rPr>
  </w:style>
  <w:style w:type="paragraph" w:styleId="1011"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12" w:customStyle="1">
    <w:name w:val="table_lines"/>
    <w:basedOn w:val="720"/>
    <w:uiPriority w:val="0"/>
    <w:qFormat/>
    <w:pPr>
      <w:jc w:val="left"/>
      <w:widowControl/>
    </w:pPr>
    <w:rPr>
      <w:sz w:val="20"/>
      <w:szCs w:val="20"/>
      <w:lang w:val="de-DE" w:eastAsia="de-DE"/>
    </w:rPr>
  </w:style>
  <w:style w:type="paragraph" w:styleId="101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4"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15" w:customStyle="1">
    <w:name w:val="Char Char Char Char"/>
    <w:basedOn w:val="947"/>
    <w:uiPriority w:val="0"/>
    <w:qFormat/>
    <w:pPr>
      <w:spacing w:line="360" w:lineRule="auto"/>
    </w:pPr>
    <w:rPr>
      <w:rFonts w:ascii="Tahoma" w:hAnsi="Tahoma"/>
      <w:sz w:val="24"/>
      <w:szCs w:val="24"/>
    </w:rPr>
  </w:style>
  <w:style w:type="paragraph" w:styleId="1016" w:customStyle="1">
    <w:name w:val="列出段落2"/>
    <w:basedOn w:val="720"/>
    <w:uiPriority w:val="0"/>
    <w:qFormat/>
    <w:pPr>
      <w:contextualSpacing/>
      <w:ind w:left="720"/>
      <w:jc w:val="left"/>
      <w:widowControl/>
    </w:pPr>
    <w:rPr>
      <w:rFonts w:ascii="Calibri" w:hAnsi="Calibri"/>
      <w:sz w:val="24"/>
      <w:szCs w:val="24"/>
      <w:lang w:eastAsia="en-US" w:bidi="en-US"/>
    </w:rPr>
  </w:style>
  <w:style w:type="paragraph" w:styleId="1017" w:customStyle="1">
    <w:name w:val="4"/>
    <w:basedOn w:val="720"/>
    <w:next w:val="978"/>
    <w:uiPriority w:val="0"/>
    <w:qFormat/>
    <w:pPr>
      <w:ind w:firstLine="420"/>
      <w:spacing w:line="360" w:lineRule="auto"/>
    </w:pPr>
    <w:rPr>
      <w:color w:val="ff0000"/>
      <w:sz w:val="24"/>
      <w:szCs w:val="24"/>
    </w:rPr>
  </w:style>
  <w:style w:type="paragraph" w:styleId="1018"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720"/>
    <w:uiPriority w:val="0"/>
    <w:qFormat/>
    <w:pPr>
      <w:spacing w:line="360" w:lineRule="auto"/>
    </w:pPr>
    <w:rPr>
      <w:sz w:val="24"/>
      <w:szCs w:val="20"/>
    </w:rPr>
  </w:style>
  <w:style w:type="paragraph" w:styleId="1020" w:customStyle="1">
    <w:name w:val="样式1"/>
    <w:basedOn w:val="720"/>
    <w:uiPriority w:val="0"/>
    <w:qFormat/>
    <w:pPr>
      <w:numPr>
        <w:ilvl w:val="0"/>
        <w:numId w:val="3"/>
      </w:numPr>
    </w:pPr>
    <w:rPr>
      <w:rFonts w:ascii="宋体" w:hAnsi="宋体"/>
      <w:szCs w:val="21"/>
    </w:rPr>
  </w:style>
  <w:style w:type="paragraph" w:styleId="1021"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25"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28"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30"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
    <w:basedOn w:val="947"/>
    <w:uiPriority w:val="0"/>
    <w:qFormat/>
    <w:pPr>
      <w:spacing w:line="360" w:lineRule="auto"/>
    </w:pPr>
    <w:rPr>
      <w:rFonts w:ascii="Tahoma" w:hAnsi="Tahoma"/>
      <w:sz w:val="24"/>
      <w:szCs w:val="24"/>
    </w:rPr>
  </w:style>
  <w:style w:type="paragraph" w:styleId="1032" w:customStyle="1">
    <w:name w:val="table_1stline"/>
    <w:basedOn w:val="720"/>
    <w:uiPriority w:val="0"/>
    <w:qFormat/>
    <w:pPr>
      <w:jc w:val="left"/>
      <w:spacing w:before="120"/>
      <w:widowControl/>
    </w:pPr>
    <w:rPr>
      <w:bCs/>
      <w:sz w:val="20"/>
      <w:szCs w:val="20"/>
      <w:lang w:val="de-DE" w:eastAsia="de-DE"/>
    </w:rPr>
  </w:style>
  <w:style w:type="paragraph" w:styleId="1033"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修订1"/>
    <w:uiPriority w:val="99"/>
    <w:semiHidden/>
    <w:qFormat/>
    <w:rPr>
      <w:rFonts w:ascii="Times New Roman" w:hAnsi="Times New Roman" w:eastAsia="宋体" w:cs="Times New Roman"/>
      <w:sz w:val="21"/>
      <w:szCs w:val="21"/>
      <w:lang w:val="en-US" w:eastAsia="zh-CN" w:bidi="ar-SA"/>
    </w:rPr>
  </w:style>
  <w:style w:type="paragraph" w:styleId="103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38" w:customStyle="1">
    <w:name w:val="font81"/>
    <w:uiPriority w:val="0"/>
    <w:qFormat/>
    <w:rPr>
      <w:rFonts w:ascii="等线" w:hAnsi="等线" w:eastAsia="等线" w:cs="等线"/>
      <w:color w:val="000000"/>
      <w:sz w:val="18"/>
      <w:szCs w:val="18"/>
      <w:u w:val="none"/>
    </w:rPr>
  </w:style>
  <w:style w:type="character" w:styleId="1039" w:customStyle="1">
    <w:name w:val="font31"/>
    <w:uiPriority w:val="0"/>
    <w:qFormat/>
    <w:rPr>
      <w:rFonts w:hint="eastAsia" w:ascii="宋体" w:hAnsi="宋体" w:eastAsia="宋体" w:cs="宋体"/>
      <w:color w:val="000000"/>
      <w:sz w:val="18"/>
      <w:szCs w:val="18"/>
      <w:u w:val="none"/>
    </w:rPr>
  </w:style>
  <w:style w:type="character" w:styleId="1040" w:customStyle="1">
    <w:name w:val="font91"/>
    <w:uiPriority w:val="0"/>
    <w:qFormat/>
    <w:rPr>
      <w:rFonts w:hint="eastAsia" w:ascii="宋体" w:hAnsi="宋体" w:eastAsia="宋体" w:cs="宋体"/>
      <w:color w:val="000000"/>
      <w:sz w:val="16"/>
      <w:szCs w:val="16"/>
      <w:u w:val="none"/>
    </w:rPr>
  </w:style>
  <w:style w:type="character" w:styleId="1041" w:customStyle="1">
    <w:name w:val="font61"/>
    <w:uiPriority w:val="0"/>
    <w:qFormat/>
    <w:rPr>
      <w:rFonts w:hint="eastAsia" w:ascii="等线" w:hAnsi="等线" w:eastAsia="等线" w:cs="等线"/>
      <w:color w:val="000000"/>
      <w:sz w:val="16"/>
      <w:szCs w:val="16"/>
      <w:u w:val="none"/>
    </w:rPr>
  </w:style>
  <w:style w:type="paragraph" w:styleId="1042" w:customStyle="1">
    <w:name w:val="Table Text"/>
    <w:basedOn w:val="720"/>
    <w:uiPriority w:val="0"/>
    <w:semiHidden/>
    <w:qFormat/>
    <w:rPr>
      <w:rFonts w:ascii="宋体" w:hAnsi="宋体" w:cs="宋体"/>
      <w:sz w:val="24"/>
      <w:szCs w:val="24"/>
    </w:rPr>
  </w:style>
  <w:style w:type="table" w:styleId="1043" w:customStyle="1">
    <w:name w:val="Table Normal"/>
    <w:uiPriority w:val="0"/>
    <w:unhideWhenUsed/>
    <w:qFormat/>
    <w:tblPr>
      <w:tblCellMar>
        <w:left w:w="0" w:type="dxa"/>
        <w:top w:w="0" w:type="dxa"/>
        <w:right w:w="0" w:type="dxa"/>
        <w:bottom w:w="0" w:type="dxa"/>
      </w:tblCellMar>
    </w:tblPr>
  </w:style>
  <w:style w:type="paragraph" w:styleId="1044" w:customStyle="1">
    <w:name w:val="text"/>
    <w:basedOn w:val="720"/>
    <w:uiPriority w:val="0"/>
    <w:qFormat/>
    <w:pPr>
      <w:spacing w:before="100" w:beforeAutospacing="1" w:after="100" w:afterAutospacing="1"/>
    </w:pPr>
    <w:rPr>
      <w:rFonts w:ascii="宋体" w:hAnsi="宋体" w:cs="宋体"/>
      <w:color w:val="000000"/>
      <w:sz w:val="24"/>
      <w:szCs w:val="24"/>
    </w:rPr>
  </w:style>
  <w:style w:type="character" w:styleId="1045" w:customStyle="1">
    <w:name w:val="标题 1 Char1"/>
    <w:link w:val="763"/>
    <w:uiPriority w:val="9"/>
    <w:rPr>
      <w:rFonts w:ascii="Arial" w:hAnsi="Arial" w:eastAsia="Arial" w:cs="Arial"/>
      <w:sz w:val="40"/>
      <w:szCs w:val="40"/>
    </w:rPr>
  </w:style>
  <w:style w:type="paragraph" w:styleId="1046" w:customStyle="1">
    <w:name w:val="标题 41"/>
    <w:basedOn w:val="720"/>
    <w:next w:val="720"/>
    <w:uiPriority w:val="0"/>
    <w:qFormat/>
    <w:pPr>
      <w:keepLines/>
      <w:keepNext/>
      <w:spacing w:before="280" w:after="290" w:line="376" w:lineRule="auto"/>
      <w:outlineLvl w:val="3"/>
    </w:pPr>
    <w:rPr>
      <w:rFonts w:ascii="Arial" w:hAnsi="Arial" w:eastAsia="黑体" w:cs="Arial"/>
      <w:b/>
      <w:bCs/>
      <w:sz w:val="28"/>
      <w:szCs w:val="28"/>
    </w:rPr>
  </w:style>
  <w:style w:type="paragraph" w:styleId="1047" w:customStyle="1">
    <w:name w:val="正文文本1"/>
    <w:basedOn w:val="720"/>
    <w:uiPriority w:val="0"/>
    <w:qFormat/>
    <w:rPr>
      <w:rFonts w:ascii="楷体_GB2312" w:hAnsi="Arial" w:eastAsia="楷体_GB2312"/>
      <w:sz w:val="28"/>
      <w:szCs w:val="28"/>
    </w:rPr>
  </w:style>
  <w:style w:type="character" w:styleId="1048" w:customStyle="1">
    <w:name w:val="font21"/>
    <w:basedOn w:val="932"/>
    <w:uiPriority w:val="0"/>
    <w:qFormat/>
    <w:rPr>
      <w:rFonts w:hint="eastAsia" w:ascii="宋体" w:hAnsi="宋体" w:eastAsia="宋体" w:cs="宋体"/>
      <w:color w:val="000000"/>
      <w:sz w:val="18"/>
      <w:szCs w:val="18"/>
      <w:u w:val="none"/>
    </w:rPr>
  </w:style>
  <w:style w:type="character" w:styleId="1049" w:customStyle="1">
    <w:name w:val="font51"/>
    <w:basedOn w:val="932"/>
    <w:uiPriority w:val="0"/>
    <w:qFormat/>
    <w:rPr>
      <w:rFonts w:hint="eastAsia" w:ascii="宋体" w:hAnsi="宋体" w:eastAsia="宋体" w:cs="宋体"/>
      <w:b/>
      <w:color w:val="000000"/>
      <w:sz w:val="20"/>
      <w:szCs w:val="20"/>
      <w:u w:val="none"/>
    </w:rPr>
  </w:style>
  <w:style w:type="character" w:styleId="1050" w:customStyle="1">
    <w:name w:val="页眉 Char2"/>
    <w:basedOn w:val="721"/>
    <w:link w:val="729"/>
    <w:uiPriority w:val="99"/>
    <w:semiHidden/>
    <w:qFormat/>
    <w:rPr>
      <w:sz w:val="18"/>
      <w:szCs w:val="18"/>
    </w:rPr>
  </w:style>
  <w:style w:type="character" w:styleId="1051" w:customStyle="1">
    <w:name w:val="页脚 Char2"/>
    <w:basedOn w:val="721"/>
    <w:link w:val="728"/>
    <w:uiPriority w:val="99"/>
    <w:semiHidden/>
    <w:qFormat/>
    <w:rPr>
      <w:sz w:val="18"/>
      <w:szCs w:val="18"/>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19</cp:revision>
  <dcterms:created xsi:type="dcterms:W3CDTF">2023-03-16T02:13:00Z</dcterms:created>
  <dcterms:modified xsi:type="dcterms:W3CDTF">2026-02-10T05:22:05Z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B6B07C85540043098CE8401FC51CFF42_12</vt:lpwstr>
  </property>
</Properties>
</file>