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r/>
    </w:p>
    <w:p>
      <w:pPr>
        <w:pStyle w:val="99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r/>
    </w:p>
    <w:p>
      <w:pPr>
        <w:pStyle w:val="991"/>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p>
    <w:p>
      <w:pPr>
        <w:pStyle w:val="903"/>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JSZC-320200-JZCG-G2025-0191</w:t>
      </w:r>
      <w:r>
        <w:rPr>
          <w:color w:val="auto"/>
          <w:highlight w:val="none"/>
        </w:rPr>
      </w:r>
      <w:r/>
    </w:p>
    <w:p>
      <w:pPr>
        <w:pStyle w:val="90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无锡市生物医药产业大脑项目</w:t>
      </w:r>
      <w:r>
        <w:rPr>
          <w:color w:val="auto"/>
          <w:highlight w:val="none"/>
        </w:rPr>
      </w:r>
      <w:r/>
    </w:p>
    <w:p>
      <w:pPr>
        <w:pStyle w:val="90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无锡市科学技术局</w:t>
      </w:r>
      <w:r>
        <w:rPr>
          <w:color w:val="auto"/>
          <w:highlight w:val="none"/>
        </w:rPr>
      </w:r>
      <w:r/>
    </w:p>
    <w:p>
      <w:pPr>
        <w:pStyle w:val="903"/>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p>
    <w:p>
      <w:pPr>
        <w:pStyle w:val="991"/>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color w:val="auto"/>
          <w:highlight w:val="none"/>
        </w:rPr>
      </w:r>
      <w:r/>
    </w:p>
    <w:p>
      <w:pPr>
        <w:pStyle w:val="99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五</w:t>
      </w:r>
      <w:r>
        <w:rPr>
          <w:rFonts w:hint="eastAsia" w:ascii="黑体" w:hAnsi="华文中宋" w:eastAsia="黑体"/>
          <w:bCs/>
          <w:color w:val="auto"/>
          <w:sz w:val="32"/>
          <w:szCs w:val="32"/>
          <w:highlight w:val="none"/>
        </w:rPr>
        <w:t xml:space="preserve">年十二月</w:t>
      </w:r>
      <w:r>
        <w:rPr>
          <w:color w:val="auto"/>
          <w:highlight w:val="none"/>
        </w:rPr>
      </w:r>
      <w:r/>
    </w:p>
    <w:p>
      <w:pPr>
        <w:pStyle w:val="99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r/>
    </w:p>
    <w:p>
      <w:pPr>
        <w:pStyle w:val="903"/>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r/>
    </w:p>
    <w:p>
      <w:pPr>
        <w:pStyle w:val="90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r/>
    </w:p>
    <w:p>
      <w:pPr>
        <w:pStyle w:val="903"/>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r/>
    </w:p>
    <w:p>
      <w:pPr>
        <w:pStyle w:val="903"/>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无锡市科学技术局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无锡市生物医药产业大脑项目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JSZC-320200-JZCG-G2025-0191</w:t>
      </w:r>
      <w:r>
        <w:rPr>
          <w:rFonts w:hint="eastAsia" w:ascii="宋体" w:hAnsi="宋体"/>
          <w:color w:val="auto"/>
          <w:sz w:val="24"/>
          <w:szCs w:val="24"/>
          <w:highlight w:val="none"/>
        </w:rPr>
        <w:t xml:space="preserve">）进行公开招标采购，欢迎符合条件的供应商投标。</w:t>
      </w:r>
      <w:r>
        <w:rPr>
          <w:color w:val="auto"/>
          <w:highlight w:val="none"/>
        </w:rPr>
      </w:r>
      <w:r/>
    </w:p>
    <w:p>
      <w:pPr>
        <w:pStyle w:val="90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color w:val="auto"/>
          <w:highlight w:val="none"/>
        </w:rPr>
      </w:r>
      <w:r/>
    </w:p>
    <w:p>
      <w:pPr>
        <w:pStyle w:val="90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无锡市生物医药产业大脑项目</w:t>
      </w:r>
      <w:r>
        <w:rPr>
          <w:rFonts w:hint="eastAsia" w:ascii="宋体" w:hAnsi="宋体"/>
          <w:color w:val="auto"/>
          <w:sz w:val="24"/>
          <w:szCs w:val="24"/>
          <w:highlight w:val="none"/>
        </w:rPr>
        <w:t xml:space="preserve">采购项目的潜在投标人应在“江苏政府采购网”自</w:t>
      </w:r>
      <w:r>
        <w:rPr>
          <w:rFonts w:hint="eastAsia" w:ascii="宋体" w:hAnsi="宋体"/>
          <w:color w:val="auto"/>
          <w:sz w:val="24"/>
          <w:szCs w:val="24"/>
          <w:highlight w:val="none"/>
        </w:rPr>
        <w:t xml:space="preserve">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并于2026</w:t>
      </w:r>
      <w:r>
        <w:rPr>
          <w:rFonts w:hint="eastAsia" w:ascii="宋体" w:hAnsi="宋体"/>
          <w:color w:val="auto"/>
          <w:sz w:val="24"/>
          <w:szCs w:val="24"/>
          <w:highlight w:val="none"/>
        </w:rPr>
        <w:t xml:space="preserve">年2</w:t>
      </w:r>
      <w:r>
        <w:rPr>
          <w:rFonts w:hint="eastAsia" w:ascii="宋体" w:hAnsi="宋体"/>
          <w:color w:val="auto"/>
          <w:sz w:val="24"/>
          <w:szCs w:val="24"/>
          <w:highlight w:val="none"/>
        </w:rPr>
        <w:t xml:space="preserve">月11</w:t>
      </w:r>
      <w:r>
        <w:rPr>
          <w:rFonts w:hint="eastAsia" w:ascii="宋体" w:hAnsi="宋体"/>
          <w:color w:val="auto"/>
          <w:sz w:val="24"/>
          <w:szCs w:val="24"/>
          <w:highlight w:val="none"/>
        </w:rPr>
        <w:t xml:space="preserve">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color w:val="auto"/>
          <w:highlight w:val="none"/>
        </w:rPr>
      </w:r>
      <w:r/>
    </w:p>
    <w:p>
      <w:pPr>
        <w:pStyle w:val="906"/>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JSZC-320200-JZCG-G2025-0191</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无锡市生物医药产业大脑项目</w:t>
      </w:r>
      <w:r>
        <w:rPr>
          <w:color w:val="auto"/>
          <w:highlight w:val="none"/>
        </w:rPr>
      </w:r>
      <w:r/>
    </w:p>
    <w:p>
      <w:pPr>
        <w:pStyle w:val="903"/>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232.19</w:t>
      </w:r>
      <w:r>
        <w:rPr>
          <w:rFonts w:hint="eastAsia" w:ascii="宋体" w:hAnsi="宋体"/>
          <w:color w:val="auto"/>
          <w:sz w:val="24"/>
          <w:szCs w:val="24"/>
          <w:highlight w:val="none"/>
        </w:rPr>
        <w:t xml:space="preserve">万元</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232.19</w:t>
      </w:r>
      <w:r>
        <w:rPr>
          <w:rFonts w:hint="eastAsia" w:ascii="宋体" w:hAnsi="宋体"/>
          <w:color w:val="auto"/>
          <w:sz w:val="24"/>
          <w:szCs w:val="24"/>
          <w:highlight w:val="none"/>
        </w:rPr>
        <w:t xml:space="preserve">万元</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color w:val="auto"/>
          <w:highlight w:val="none"/>
        </w:rPr>
      </w:r>
      <w:r/>
    </w:p>
    <w:p>
      <w:pPr>
        <w:pStyle w:val="906"/>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p>
    <w:p>
      <w:pPr>
        <w:pStyle w:val="903"/>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color w:val="auto"/>
          <w:highlight w:val="none"/>
        </w:rPr>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p>
    <w:p>
      <w:pPr>
        <w:pStyle w:val="903"/>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r/>
    </w:p>
    <w:p>
      <w:pPr>
        <w:pStyle w:val="903"/>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color w:val="auto"/>
          <w:highlight w:val="none"/>
        </w:rPr>
      </w:r>
      <w:r/>
    </w:p>
    <w:p>
      <w:pPr>
        <w:pStyle w:val="903"/>
        <w:ind w:firstLine="540"/>
        <w:spacing w:line="500" w:lineRule="exact"/>
        <w:rPr>
          <w:rStyle w:val="980"/>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color w:val="auto"/>
          <w:highlight w:val="none"/>
        </w:rPr>
      </w:r>
      <w:r/>
    </w:p>
    <w:p>
      <w:pPr>
        <w:pStyle w:val="903"/>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color w:val="auto"/>
          <w:highlight w:val="none"/>
        </w:rPr>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月11</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r/>
    </w:p>
    <w:p>
      <w:pPr>
        <w:pStyle w:val="903"/>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color w:val="auto"/>
          <w:highlight w:val="none"/>
        </w:rPr>
      </w:r>
      <w:r/>
    </w:p>
    <w:p>
      <w:pPr>
        <w:pStyle w:val="906"/>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r/>
    </w:p>
    <w:p>
      <w:pPr>
        <w:pStyle w:val="903"/>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color w:val="auto"/>
          <w:highlight w:val="none"/>
        </w:rPr>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color w:val="auto"/>
          <w:highlight w:val="none"/>
        </w:rPr>
      </w:r>
      <w:r/>
    </w:p>
    <w:p>
      <w:pPr>
        <w:pStyle w:val="906"/>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无锡市科学技术局</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rPr>
        <w:t xml:space="preserve">观山路199号市民中心5号6楼</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r/>
    </w:p>
    <w:p>
      <w:pPr>
        <w:pStyle w:val="90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吴呈熹</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81821903</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吴呈熹</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81821903</w:t>
      </w:r>
      <w:r>
        <w:rPr>
          <w:color w:val="auto"/>
          <w:highlight w:val="none"/>
        </w:rPr>
      </w:r>
      <w:r/>
    </w:p>
    <w:p>
      <w:pPr>
        <w:pStyle w:val="90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color w:val="auto"/>
          <w:highlight w:val="none"/>
        </w:rPr>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highlight w:val="none"/>
        </w:rPr>
      </w:r>
      <w:r/>
    </w:p>
    <w:p>
      <w:pPr>
        <w:pStyle w:val="90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w:t>
      </w:r>
      <w:r>
        <w:rPr>
          <w:rFonts w:hint="eastAsia" w:ascii="宋体" w:hAnsi="宋体"/>
          <w:color w:val="auto"/>
          <w:sz w:val="24"/>
          <w:szCs w:val="24"/>
          <w:highlight w:val="none"/>
        </w:rPr>
        <w:t xml:space="preserve">一楼</w:t>
      </w:r>
      <w:r>
        <w:rPr>
          <w:rFonts w:ascii="宋体" w:hAnsi="宋体"/>
          <w:color w:val="auto"/>
          <w:sz w:val="24"/>
          <w:szCs w:val="24"/>
          <w:highlight w:val="none"/>
        </w:rPr>
        <w:t xml:space="preserve">），办理指南链接：http://jsxcmm.com/help/help.html。</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color w:val="auto"/>
          <w:highlight w:val="none"/>
        </w:rPr>
      </w:r>
      <w:r/>
    </w:p>
    <w:p>
      <w:pPr>
        <w:pStyle w:val="90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color w:val="auto"/>
          <w:highlight w:val="none"/>
        </w:rPr>
      </w:r>
      <w:r/>
    </w:p>
    <w:p>
      <w:pPr>
        <w:pStyle w:val="90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r/>
    </w:p>
    <w:p>
      <w:pPr>
        <w:pStyle w:val="903"/>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（三）有关本次采购的事项若存在变动或修改，敬请及时关注无锡市公共资源交易中心在“江苏政府采购网”发布的更正公告。</w:t>
      </w:r>
      <w:r>
        <w:rPr>
          <w:color w:val="auto"/>
          <w:highlight w:val="none"/>
        </w:rPr>
      </w:r>
      <w:r/>
    </w:p>
    <w:p>
      <w:pPr>
        <w:pStyle w:val="903"/>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rPr>
          <w:color w:val="auto"/>
          <w:highlight w:val="none"/>
        </w:rPr>
      </w:r>
      <w:r/>
    </w:p>
    <w:p>
      <w:pPr>
        <w:pStyle w:val="903"/>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w:t>
      </w:r>
      <w:r>
        <w:rPr>
          <w:rFonts w:hint="eastAsia" w:ascii="宋体" w:hAnsi="宋体"/>
          <w:bCs/>
          <w:color w:val="auto"/>
          <w:sz w:val="24"/>
          <w:szCs w:val="24"/>
          <w:highlight w:val="none"/>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color w:val="auto"/>
          <w:highlight w:val="none"/>
        </w:rPr>
      </w:r>
      <w:r/>
    </w:p>
    <w:p>
      <w:pPr>
        <w:pStyle w:val="903"/>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r/>
    </w:p>
    <w:p>
      <w:pPr>
        <w:pStyle w:val="903"/>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color w:val="auto"/>
          <w:highlight w:val="none"/>
        </w:rPr>
      </w:r>
      <w:r/>
    </w:p>
    <w:p>
      <w:pPr>
        <w:pStyle w:val="903"/>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color w:val="auto"/>
          <w:highlight w:val="none"/>
        </w:rPr>
      </w:r>
      <w:r/>
    </w:p>
    <w:p>
      <w:pPr>
        <w:pStyle w:val="903"/>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w:t>
      </w:r>
      <w:r>
        <w:rPr>
          <w:rFonts w:hint="eastAsia" w:ascii="宋体" w:hAnsi="宋体"/>
          <w:color w:val="auto"/>
          <w:sz w:val="24"/>
          <w:highlight w:val="none"/>
        </w:rPr>
        <w:t xml:space="preserve">，</w:t>
      </w:r>
      <w:r>
        <w:rPr>
          <w:rFonts w:hint="eastAsia" w:ascii="宋体" w:hAnsi="宋体"/>
          <w:color w:val="auto"/>
          <w:sz w:val="24"/>
          <w:highlight w:val="none"/>
        </w:rPr>
        <w:t xml:space="preserve">完整、正确填写投标函、承诺书</w:t>
      </w:r>
      <w:r>
        <w:rPr>
          <w:rFonts w:hint="eastAsia" w:ascii="宋体" w:hAnsi="宋体"/>
          <w:color w:val="auto"/>
          <w:sz w:val="24"/>
          <w:highlight w:val="none"/>
        </w:rPr>
        <w:t xml:space="preserve">；投标人应按照“苏采云”系统中的</w:t>
      </w:r>
      <w:r>
        <w:rPr>
          <w:rFonts w:hint="eastAsia" w:ascii="宋体" w:hAnsi="宋体"/>
          <w:color w:val="auto"/>
          <w:sz w:val="24"/>
          <w:highlight w:val="none"/>
        </w:rPr>
        <w:t xml:space="preserve">给定格式</w:t>
      </w:r>
      <w:r>
        <w:rPr>
          <w:rFonts w:hint="eastAsia" w:ascii="宋体" w:hAnsi="宋体"/>
          <w:color w:val="auto"/>
          <w:sz w:val="24"/>
          <w:highlight w:val="none"/>
        </w:rPr>
        <w:t xml:space="preserve">模块为准，完整、正确填写开标一览表</w:t>
      </w:r>
      <w:r>
        <w:rPr>
          <w:rFonts w:hint="eastAsia" w:ascii="宋体" w:hAnsi="宋体"/>
          <w:color w:val="auto"/>
          <w:sz w:val="24"/>
          <w:highlight w:val="none"/>
        </w:rPr>
        <w:t xml:space="preserve">。</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r/>
    </w:p>
    <w:p>
      <w:pPr>
        <w:pStyle w:val="903"/>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r/>
    </w:p>
    <w:p>
      <w:pPr>
        <w:pStyle w:val="1016"/>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color w:val="auto"/>
          <w:highlight w:val="none"/>
        </w:rPr>
      </w:r>
      <w:r/>
    </w:p>
    <w:p>
      <w:pPr>
        <w:pStyle w:val="903"/>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r/>
    </w:p>
    <w:p>
      <w:pPr>
        <w:pStyle w:val="903"/>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r/>
    </w:p>
    <w:p>
      <w:pPr>
        <w:pStyle w:val="903"/>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w:t>
      </w:r>
      <w:r>
        <w:rPr>
          <w:rFonts w:hint="eastAsia" w:ascii="宋体" w:hAnsi="宋体"/>
          <w:color w:val="auto"/>
          <w:sz w:val="24"/>
          <w:szCs w:val="24"/>
          <w:highlight w:val="none"/>
        </w:rPr>
        <w:t xml:space="preserve">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w:t>
      </w:r>
      <w:r>
        <w:rPr>
          <w:rFonts w:hint="eastAsia" w:ascii="宋体" w:hAnsi="宋体"/>
          <w:color w:val="auto"/>
          <w:sz w:val="24"/>
          <w:szCs w:val="24"/>
          <w:highlight w:val="none"/>
        </w:rPr>
        <w:t xml:space="preserve">候选人</w:t>
      </w:r>
      <w:r>
        <w:rPr>
          <w:rFonts w:hint="eastAsia" w:ascii="宋体" w:hAnsi="宋体"/>
          <w:color w:val="auto"/>
          <w:sz w:val="24"/>
          <w:szCs w:val="24"/>
          <w:highlight w:val="none"/>
        </w:rPr>
        <w:t xml:space="preserve">。</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r/>
    </w:p>
    <w:p>
      <w:pPr>
        <w:pStyle w:val="903"/>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color w:val="auto"/>
          <w:highlight w:val="none"/>
        </w:rPr>
      </w:r>
      <w:r/>
    </w:p>
    <w:p>
      <w:pPr>
        <w:pStyle w:val="903"/>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r/>
    </w:p>
    <w:p>
      <w:pPr>
        <w:pStyle w:val="903"/>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r/>
    </w:p>
    <w:p>
      <w:pPr>
        <w:pStyle w:val="903"/>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r/>
    </w:p>
    <w:p>
      <w:pPr>
        <w:pStyle w:val="90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color w:val="auto"/>
          <w:highlight w:val="none"/>
        </w:rPr>
      </w:r>
      <w:r/>
    </w:p>
    <w:p>
      <w:pPr>
        <w:pStyle w:val="90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color w:val="auto"/>
          <w:highlight w:val="none"/>
        </w:rPr>
      </w:r>
      <w:r/>
    </w:p>
    <w:p>
      <w:pPr>
        <w:pStyle w:val="90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r/>
    </w:p>
    <w:p>
      <w:pPr>
        <w:pStyle w:val="903"/>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color w:val="auto"/>
          <w:highlight w:val="none"/>
        </w:rPr>
      </w:r>
      <w:r/>
    </w:p>
    <w:p>
      <w:pPr>
        <w:pStyle w:val="903"/>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r/>
    </w:p>
    <w:p>
      <w:pPr>
        <w:pStyle w:val="903"/>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应当按照《关于推动解决政府采购异常低价问题相关工作的通知》（苏财购〔2025〕62号）要求，启动异常低价投标（响应）审查</w:t>
      </w:r>
      <w:r>
        <w:rPr>
          <w:rFonts w:hint="eastAsia" w:ascii="宋体" w:hAnsi="宋体"/>
          <w:bCs/>
          <w:color w:val="auto"/>
          <w:sz w:val="24"/>
          <w:szCs w:val="24"/>
          <w:highlight w:val="none"/>
        </w:rPr>
        <w:t xml:space="preserve">程序。</w:t>
      </w:r>
      <w:r>
        <w:rPr>
          <w:rFonts w:hint="eastAsia" w:ascii="宋体" w:hAnsi="宋体"/>
          <w:bCs/>
          <w:color w:val="auto"/>
          <w:sz w:val="24"/>
          <w:highlight w:val="none"/>
        </w:rPr>
        <w:t xml:space="preserve">出现</w:t>
      </w:r>
      <w:r>
        <w:rPr>
          <w:rFonts w:hint="eastAsia" w:ascii="宋体" w:hAnsi="宋体"/>
          <w:bCs/>
          <w:color w:val="auto"/>
          <w:sz w:val="24"/>
          <w:highlight w:val="none"/>
        </w:rPr>
        <w:t xml:space="preserve">招标</w:t>
      </w:r>
      <w:r>
        <w:rPr>
          <w:rFonts w:hint="eastAsia" w:ascii="宋体" w:hAnsi="宋体"/>
          <w:bCs/>
          <w:color w:val="auto"/>
          <w:sz w:val="24"/>
          <w:highlight w:val="none"/>
        </w:rPr>
        <w:t xml:space="preserve">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auto"/>
          <w:highlight w:val="none"/>
        </w:rPr>
      </w:r>
      <w:r/>
    </w:p>
    <w:p>
      <w:pPr>
        <w:pStyle w:val="903"/>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评标</w:t>
      </w:r>
      <w:r>
        <w:rPr>
          <w:rFonts w:hint="eastAsia" w:ascii="宋体" w:hAnsi="宋体"/>
          <w:bCs/>
          <w:color w:val="auto"/>
          <w:sz w:val="24"/>
          <w:szCs w:val="24"/>
          <w:highlight w:val="none"/>
        </w:rPr>
        <w:t xml:space="preserve">委员会启动异常低价投标（响应）审查的情形和具体要求，包括：</w:t>
      </w:r>
      <w:r>
        <w:rPr>
          <w:color w:val="auto"/>
          <w:highlight w:val="none"/>
        </w:rPr>
      </w:r>
      <w:r/>
    </w:p>
    <w:p>
      <w:pPr>
        <w:pStyle w:val="903"/>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）评审过程中出现下列情形之一的，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应当启动异常低价投标（响应）审查程序：</w:t>
      </w:r>
      <w:r>
        <w:rPr>
          <w:color w:val="auto"/>
          <w:highlight w:val="none"/>
        </w:rPr>
      </w:r>
      <w:r/>
    </w:p>
    <w:p>
      <w:pPr>
        <w:pStyle w:val="903"/>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rPr>
        <w:t xml:space="preserve">投标（响应）报价低于采购项目预算50%的，即投标（响应）报价&lt;采购项目预算×50%；</w:t>
      </w:r>
      <w:r>
        <w:rPr>
          <w:color w:val="auto"/>
          <w:highlight w:val="none"/>
        </w:rPr>
      </w:r>
      <w:r/>
    </w:p>
    <w:p>
      <w:pPr>
        <w:pStyle w:val="903"/>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rPr>
        <w:t xml:space="preserve">投标（响应）报价低于采购项目最高限价45%的，即投标（响应）报价&lt;采购项目最高限价×45%；</w:t>
      </w:r>
      <w:r>
        <w:rPr>
          <w:color w:val="auto"/>
          <w:highlight w:val="none"/>
        </w:rPr>
      </w:r>
      <w:r/>
    </w:p>
    <w:p>
      <w:pPr>
        <w:pStyle w:val="903"/>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认定的供应商报价过低、有可能影响产品质量或者不能诚信履约的其他情形。</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）启动异常低价投标（响应）审查后，</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应当要求相关供应商</w:t>
      </w:r>
      <w:r>
        <w:rPr>
          <w:rFonts w:hint="eastAsia" w:ascii="宋体" w:hAnsi="宋体"/>
          <w:bCs/>
          <w:color w:val="auto"/>
          <w:sz w:val="24"/>
          <w:szCs w:val="24"/>
          <w:highlight w:val="none"/>
        </w:rPr>
        <w:t xml:space="preserve">通过“苏采云”系统（</w:t>
      </w:r>
      <w:r>
        <w:rPr>
          <w:rFonts w:hint="eastAsia" w:ascii="宋体" w:hAnsi="宋体"/>
          <w:bCs/>
          <w:color w:val="auto"/>
          <w:sz w:val="24"/>
          <w:szCs w:val="24"/>
          <w:highlight w:val="none"/>
        </w:rPr>
        <w:t xml:space="preserve">或在评标现场</w:t>
      </w:r>
      <w:r>
        <w:rPr>
          <w:rFonts w:hint="eastAsia" w:ascii="宋体" w:hAnsi="宋体"/>
          <w:bCs/>
          <w:color w:val="auto"/>
          <w:sz w:val="24"/>
          <w:szCs w:val="24"/>
          <w:highlight w:val="none"/>
        </w:rPr>
        <w:t xml:space="preserve">）在给定的合理时间内</w:t>
      </w:r>
      <w:r>
        <w:rPr>
          <w:rFonts w:hint="eastAsia" w:ascii="宋体" w:hAnsi="宋体"/>
          <w:bCs/>
          <w:color w:val="auto"/>
          <w:sz w:val="24"/>
          <w:szCs w:val="24"/>
          <w:highlight w:val="none"/>
        </w:rPr>
        <w:t xml:space="preserve">，提供项目具体成本测算等与报价合理性相关的书面说明及相关证明材料，对投标（响应）价格作出解释，由</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应当将其作为无效投标（响应）处理。审查相关情况应当在评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rPr>
        <w:t xml:space="preserve">报告中进行记录。</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szCs w:val="24"/>
          <w:highlight w:val="none"/>
        </w:rPr>
        <w:t xml:space="preserve">。</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r/>
    </w:p>
    <w:p>
      <w:pPr>
        <w:pStyle w:val="903"/>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rFonts w:hint="eastAsia" w:ascii="宋体" w:hAnsi="宋体"/>
          <w:bCs/>
          <w:color w:val="auto"/>
          <w:sz w:val="24"/>
          <w:highlight w:val="none"/>
        </w:rPr>
        <w:t xml:space="preserve">。</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color w:val="auto"/>
          <w:highlight w:val="none"/>
        </w:rPr>
      </w:r>
      <w:r/>
    </w:p>
    <w:p>
      <w:pPr>
        <w:pStyle w:val="90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r/>
    </w:p>
    <w:p>
      <w:pPr>
        <w:pStyle w:val="90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交易中心将在“江苏政府采购网”发布中标公告，公告期限为1个工作日。</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r/>
    </w:p>
    <w:p>
      <w:pPr>
        <w:pStyle w:val="903"/>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color w:val="auto"/>
          <w:highlight w:val="none"/>
        </w:rPr>
      </w:r>
      <w:r/>
    </w:p>
    <w:p>
      <w:pPr>
        <w:pStyle w:val="90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r/>
    </w:p>
    <w:p>
      <w:pPr>
        <w:pStyle w:val="903"/>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r/>
    </w:p>
    <w:p>
      <w:pPr>
        <w:pStyle w:val="903"/>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r/>
    </w:p>
    <w:p>
      <w:pPr>
        <w:pStyle w:val="906"/>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r/>
    </w:p>
    <w:p>
      <w:pPr>
        <w:pStyle w:val="90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r/>
    </w:p>
    <w:p>
      <w:pPr>
        <w:pStyle w:val="903"/>
        <w:jc w:val="center"/>
        <w:spacing w:line="500" w:lineRule="exact"/>
        <w:tabs>
          <w:tab w:val="left" w:pos="1440" w:leader="none"/>
        </w:tabs>
        <w:rPr>
          <w:rFonts w:hint="eastAsia" w:ascii="黑体" w:hAnsi="黑体" w:eastAsia="黑体"/>
          <w:color w:val="auto"/>
          <w:sz w:val="36"/>
          <w:szCs w:val="36"/>
          <w:highlight w:val="none"/>
        </w:rPr>
        <w:outlineLvl w:val="0"/>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hAnsi="黑体" w:eastAsia="黑体"/>
          <w:color w:val="auto"/>
          <w:sz w:val="36"/>
          <w:szCs w:val="36"/>
          <w:highlight w:val="none"/>
        </w:rPr>
        <w:t xml:space="preserve">文本</w:t>
      </w:r>
      <w:r>
        <w:rPr>
          <w:color w:val="auto"/>
          <w:highlight w:val="none"/>
        </w:rPr>
      </w:r>
      <w:r/>
    </w:p>
    <w:p>
      <w:pPr>
        <w:pStyle w:val="903"/>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r/>
    </w:p>
    <w:p>
      <w:pPr>
        <w:pStyle w:val="903"/>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color w:val="auto"/>
          <w:highlight w:val="none"/>
        </w:rPr>
      </w:r>
      <w:r/>
    </w:p>
    <w:p>
      <w:pPr>
        <w:pStyle w:val="942"/>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r/>
    </w:p>
    <w:p>
      <w:pPr>
        <w:pStyle w:val="942"/>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r/>
    </w:p>
    <w:p>
      <w:pPr>
        <w:pStyle w:val="942"/>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color w:val="auto"/>
          <w:highlight w:val="none"/>
        </w:rPr>
      </w:r>
      <w:r/>
    </w:p>
    <w:p>
      <w:pPr>
        <w:pStyle w:val="942"/>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r/>
    </w:p>
    <w:p>
      <w:pPr>
        <w:pStyle w:val="942"/>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r/>
    </w:p>
    <w:p>
      <w:pPr>
        <w:pStyle w:val="942"/>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r/>
    </w:p>
    <w:p>
      <w:pPr>
        <w:pStyle w:val="942"/>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r/>
    </w:p>
    <w:p>
      <w:pPr>
        <w:pStyle w:val="942"/>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r/>
    </w:p>
    <w:p>
      <w:pPr>
        <w:pStyle w:val="942"/>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color w:val="auto"/>
          <w:highlight w:val="none"/>
        </w:rPr>
      </w:r>
      <w:r/>
    </w:p>
    <w:p>
      <w:pPr>
        <w:pStyle w:val="942"/>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color w:val="auto"/>
          <w:highlight w:val="none"/>
        </w:rPr>
      </w:r>
      <w:r/>
    </w:p>
    <w:p>
      <w:pPr>
        <w:pStyle w:val="942"/>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r/>
    </w:p>
    <w:p>
      <w:pPr>
        <w:pStyle w:val="942"/>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r/>
    </w:p>
    <w:p>
      <w:pPr>
        <w:pStyle w:val="942"/>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color w:val="auto"/>
          <w:highlight w:val="none"/>
        </w:rPr>
      </w:r>
      <w:r/>
    </w:p>
    <w:p>
      <w:pPr>
        <w:pStyle w:val="90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color w:val="auto"/>
          <w:highlight w:val="none"/>
        </w:rPr>
      </w:r>
      <w:r/>
    </w:p>
    <w:p>
      <w:pPr>
        <w:pStyle w:val="90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r/>
    </w:p>
    <w:p>
      <w:pPr>
        <w:pStyle w:val="90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color w:val="auto"/>
          <w:highlight w:val="none"/>
        </w:rPr>
      </w:r>
      <w:r/>
    </w:p>
    <w:p>
      <w:pPr>
        <w:pStyle w:val="903"/>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color w:val="auto"/>
          <w:highlight w:val="none"/>
        </w:rPr>
      </w:r>
      <w:r/>
    </w:p>
    <w:p>
      <w:pPr>
        <w:pStyle w:val="942"/>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r/>
    </w:p>
    <w:p>
      <w:pPr>
        <w:pStyle w:val="942"/>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w:t>
      </w:r>
      <w:r>
        <w:rPr>
          <w:rFonts w:hint="eastAsia" w:hAnsi="宋体" w:cs="Courier New"/>
          <w:bCs/>
          <w:color w:val="auto"/>
          <w:sz w:val="24"/>
          <w:szCs w:val="24"/>
          <w:highlight w:val="none"/>
        </w:rPr>
        <w:t xml:space="preserve">预付款支付时间：</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，预付款支付比例：</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w:t>
      </w:r>
      <w:r>
        <w:rPr>
          <w:rFonts w:hint="eastAsia" w:hAnsi="宋体" w:cs="Courier New"/>
          <w:bCs/>
          <w:color w:val="auto"/>
          <w:sz w:val="24"/>
          <w:szCs w:val="24"/>
          <w:highlight w:val="none"/>
        </w:rPr>
        <w:t xml:space="preserve">尾款支付时间：</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w:t>
      </w:r>
      <w:r>
        <w:rPr>
          <w:color w:val="auto"/>
          <w:highlight w:val="none"/>
        </w:rPr>
      </w:r>
      <w:r/>
    </w:p>
    <w:p>
      <w:pPr>
        <w:pStyle w:val="903"/>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auto"/>
          <w:highlight w:val="none"/>
        </w:rPr>
      </w:r>
      <w:r/>
    </w:p>
    <w:p>
      <w:pPr>
        <w:pStyle w:val="903"/>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color w:val="auto"/>
          <w:highlight w:val="none"/>
        </w:rPr>
      </w:r>
      <w:r/>
    </w:p>
    <w:p>
      <w:pPr>
        <w:pStyle w:val="903"/>
        <w:spacing w:line="400" w:lineRule="exact"/>
        <w:rPr>
          <w:rFonts w:hint="eastAsia" w:hAnsi="宋体"/>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color w:val="auto"/>
          <w:highlight w:val="none"/>
        </w:rPr>
      </w:r>
      <w:r/>
    </w:p>
    <w:p>
      <w:pPr>
        <w:pStyle w:val="90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color w:val="auto"/>
          <w:highlight w:val="none"/>
        </w:rPr>
      </w:r>
      <w:r/>
    </w:p>
    <w:p>
      <w:pPr>
        <w:pStyle w:val="903"/>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color w:val="auto"/>
          <w:highlight w:val="none"/>
        </w:rPr>
      </w:r>
      <w:r/>
    </w:p>
    <w:p>
      <w:pPr>
        <w:pStyle w:val="94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r/>
    </w:p>
    <w:p>
      <w:pPr>
        <w:pStyle w:val="94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w:t>
      </w:r>
      <w:r>
        <w:rPr>
          <w:rFonts w:hAnsi="宋体"/>
          <w:b/>
          <w:color w:val="auto"/>
          <w:sz w:val="24"/>
          <w:szCs w:val="24"/>
          <w:highlight w:val="none"/>
        </w:rPr>
        <w:t xml:space="preserve">其他</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r/>
    </w:p>
    <w:p>
      <w:pPr>
        <w:pStyle w:val="94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r/>
    </w:p>
    <w:p>
      <w:pPr>
        <w:pStyle w:val="942"/>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r/>
    </w:p>
    <w:p>
      <w:pPr>
        <w:pStyle w:val="942"/>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r/>
    </w:p>
    <w:p>
      <w:pPr>
        <w:pStyle w:val="942"/>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r/>
    </w:p>
    <w:p>
      <w:pPr>
        <w:pStyle w:val="942"/>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color w:val="auto"/>
          <w:highlight w:val="none"/>
        </w:rPr>
      </w:r>
      <w:r/>
    </w:p>
    <w:p>
      <w:pPr>
        <w:pStyle w:val="903"/>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highlight w:val="none"/>
        </w:rPr>
      </w:r>
      <w:r/>
    </w:p>
    <w:p>
      <w:pPr>
        <w:pStyle w:val="903"/>
        <w:ind w:firstLine="480"/>
        <w:jc w:val="center"/>
        <w:spacing w:line="400" w:lineRule="exact"/>
        <w:rPr>
          <w:rFonts w:hint="eastAsia" w:ascii="黑体" w:hAnsi="黑体" w:eastAsia="黑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color w:val="auto"/>
          <w:highlight w:val="none"/>
        </w:rPr>
      </w:r>
      <w:r/>
    </w:p>
    <w:p>
      <w:pPr>
        <w:pStyle w:val="903"/>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r/>
    </w:p>
    <w:p>
      <w:pPr>
        <w:pStyle w:val="903"/>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r/>
    </w:p>
    <w:p>
      <w:pPr>
        <w:pStyle w:val="903"/>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r/>
    </w:p>
    <w:p>
      <w:pPr>
        <w:pStyle w:val="903"/>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r/>
    </w:p>
    <w:p>
      <w:pPr>
        <w:pStyle w:val="90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rPr>
        <w:t xml:space="preserve">1.总体要求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本项目聚焦发现问题、分析问题、解决问题，实现赋能产业发展的“看、判、引、育”全流程。一是从区域产业底数着手，实时掌握产业动态；二是以产业链、创新链、资本链为抓手，深度研判全市生物医药产业发展的瓶颈机会；三是把握主导产业链强补畅固环节，着力提高招商成效，加速产业集聚发展；四是以企业服务为宗旨，指导各区（市）、园区分级分类跟进培育。</w:t>
      </w:r>
      <w:r>
        <w:rPr>
          <w:color w:val="auto"/>
          <w:highlight w:val="none"/>
        </w:rPr>
      </w:r>
      <w:r/>
    </w:p>
    <w:p>
      <w:pPr>
        <w:pStyle w:val="90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rPr>
        <w:t xml:space="preserve">2.建设内容</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面向无锡市生物医药产业，引入第三方产业公域数据，融合无锡市本地私域数据，构建区域产业数仓，围绕无锡市生物医药产业集群发展的重点目标及工作事项，以“摸家底-明方向-强招引-优培育”为主线，建设产业底数分析、产业链融合分析、产业招商、企业培育四大业务子系统，帮助科技局提升产业链运行状态实时监测、产业链瓶颈机会智能分析、产业链补链强链精准招商、优质企业培育精准施策的能力，显著提升产业创新、转型升级、招商引资和企业培育成效，提高产业链竞争力，加速推进高质量发展和现代化产业体系构建。</w:t>
      </w:r>
      <w:r>
        <w:rPr>
          <w:color w:val="auto"/>
          <w:highlight w:val="none"/>
        </w:rPr>
      </w:r>
      <w:r/>
    </w:p>
    <w:p>
      <w:pPr>
        <w:pStyle w:val="903"/>
        <w:ind w:firstLine="482"/>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3.详细功能需求</w:t>
      </w:r>
      <w:r>
        <w:rPr>
          <w:color w:val="auto"/>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75"/>
        <w:gridCol w:w="992"/>
        <w:gridCol w:w="992"/>
        <w:gridCol w:w="6510"/>
      </w:tblGrid>
      <w:tr>
        <w:trPr/>
        <w:tc>
          <w:tcPr>
            <w:shd w:val="clear" w:color="auto" w:fill="ffffff"/>
            <w:tcW w:w="675" w:type="dxa"/>
            <w:vAlign w:val="center"/>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一级功能</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二级功能</w:t>
            </w:r>
            <w:r>
              <w:rPr>
                <w:color w:val="auto"/>
                <w:highlight w:val="none"/>
              </w:rPr>
            </w:r>
            <w:r/>
          </w:p>
        </w:tc>
        <w:tc>
          <w:tcPr>
            <w:shd w:val="clear" w:color="auto" w:fill="ffffff"/>
            <w:tcW w:w="6510" w:type="dxa"/>
            <w:vAlign w:val="center"/>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模块简介</w:t>
            </w:r>
            <w:r>
              <w:rPr>
                <w:color w:val="auto"/>
                <w:highlight w:val="none"/>
              </w:rPr>
            </w:r>
            <w:r/>
          </w:p>
        </w:tc>
      </w:tr>
      <w:tr>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gridSpan w:val="2"/>
            <w:shd w:val="clear" w:color="auto" w:fill="ffffff"/>
            <w:tcW w:w="1984"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产业数仓</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围绕药品、医疗器械、关键装备与原辅料、产业服务和医疗服务五大主线，包含企业、产品等22个主题维度信息，覆盖药品(原料药、基因治疗、抗体药物、中成药、血液制品、蛋白药物、疫苗、中药饮片、干细胞治疗、化学制剂)，医疗器械(医用软件、康复器械、医疗机器人、医学影像、体外诊断、可穿戴医疗设备、中医器械、放疗器械、输血/透析、高值耗材、低值耗材)，医疗服务(医疗数字化、医疗美容)，CXO产业服务(CRO、CMO)。</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shd w:val="clear" w:color="auto" w:fill="ffffff"/>
            <w:tcW w:w="992" w:type="dxa"/>
            <w:vAlign w:val="center"/>
            <w:vMerge w:val="restart"/>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产业底数分析</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产业总览</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展示产业核心指标信息，通过详尽的指标体系，将采集的数据通过各种常见的图表形象化、直观化、具体化，实时反映产业运行的关键指标，围绕经济效益、经营主体、创新成果，勾勒区域产业发展的整体轮廓和发展态势。产业总览包含月度、季度产业监测报告并支持下载。</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经济效益</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对区域经济效益情况进行摸底，从产业营收、规上企业营收、利润总额、负债总额、上市企业总市值、资产总额等维度进行效益跟踪，可按单个维度从产业细分领域、年度变化、区县分布等角度进行细化分析，同时可对产业营收企业名单进行展示。</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经营主体</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对区域经营主体(企业)情况进行摸底，统计生物医药产业的企业数量、同比变化情况、企业数量各年度数值、企业数量各年度变化率及产业环节的企业数量在各区域的分布排序情况；另统计该产业下全部企业、规上企业、上市企业、超亿企业、国家级专精特新“小巨人”企业数量及名单列表，支持下钻查看企业档案详情及查询搜索。</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科技创新</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无锡市范围内，从专利、PCT专利、技术合同、R&amp;D投入、实验室的数量及增长梳理区域创新成果，详细展示各领域成果占比，并动态展示产业链上卡脖子事件、专利申请等最新舆情事件。</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发展质量</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总览无锡市生物医药产业的发展质量，并对园区详情构建画像，包括园区概况、招商政策、主导产业、园区服务、投资成本等维度进行细化分解。</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区域对标</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将对标城市的各项发展指标、各项产业产品占有率、相关产业补助政策的政策名称及补助金额及对标城市的对应产业名称与本区域进行横向对标，明确本区域与目标城市在产业发展上的对比情况，为制定发展策略提供数据支撑。</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底数查询</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面向无锡市范围，获取与生物医药产业相关的企业以及药品受理、药品临床试验、药品获批上市、器械、专利、资质认证等信息</w:t>
            </w: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rPr>
              <w:t xml:space="preserve">本项目具有社会动员能力，应</w:t>
            </w:r>
            <w:r>
              <w:rPr>
                <w:rFonts w:hint="eastAsia" w:ascii="宋体" w:hAnsi="宋体" w:cs="宋体"/>
                <w:color w:val="auto"/>
                <w:sz w:val="18"/>
                <w:szCs w:val="18"/>
                <w:highlight w:val="none"/>
              </w:rPr>
              <w:t xml:space="preserve">基于生成式人工智能技术和深度合成技术构建大模型，智能问答企业和产业底数。</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w:t>
            </w:r>
            <w:r>
              <w:rPr>
                <w:color w:val="auto"/>
                <w:highlight w:val="none"/>
              </w:rPr>
            </w:r>
            <w:r/>
          </w:p>
        </w:tc>
        <w:tc>
          <w:tcPr>
            <w:shd w:val="clear" w:color="auto" w:fill="ffffff"/>
            <w:tcW w:w="992" w:type="dxa"/>
            <w:vAlign w:val="center"/>
            <w:vMerge w:val="restart"/>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产业链融合分析</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产业链</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进行国内重点企业产业链环节关联，构建全国产业链全景图及区域产业现状图，通过图谱总览区域主导产业全国分布情况及区域聚集情况，对产业环节集聚度进行分析，同时拆解产业链各环节进行上下游、分析产业链各环节所处阶段，识别产业链缺失环节，为产业链招引和产业生态合作提供判断基础，支持产业发展趋势、产业动态舆情、链上企业角度查看产业链环节详情；</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创新链</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总览生物医药产业的专利申请数量、文献期刊数量、创新主体、国家重点实验室数量和产品标准方面产业的研发配套与成果并展示最新创新动态，同时对全部专利申请数量及文献发表数量进行年度变化趋势、细分领域产业分布和城市分布的统计，通过数量统计分别计算企业申请排名、创新主体申请排名和核心作者申请排名，为创新资源对接和产业孵化创新提供参考。</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资本链</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总览资本相关的核心经济指标（融资、并购、IPO）、热门领域排名、城市资本吸引力排名、资本动态及投资事件，以地图形式展示投资次数及投资金额，并按照产业链图谱将投融资事件与产业链细分领域关联，计算各产业链节点投融资事件数量、月环比增幅、该细分领域近期投资变化趋势，分析各产业链节点的投融资热度；建立产业投资机构及投资事件检索查询板块，支持全领域多级筛选（主投阶段、主投领域）。</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rPr>
                <w:color w:val="auto"/>
                <w:highlight w:val="none"/>
              </w:rPr>
            </w:r>
            <w:r/>
          </w:p>
        </w:tc>
        <w:tc>
          <w:tcPr>
            <w:shd w:val="clear" w:color="auto" w:fill="ffffff"/>
            <w:tcW w:w="992" w:type="dxa"/>
            <w:vAlign w:val="center"/>
            <w:vMerge w:val="restart"/>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产业招商</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招商总览</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根据工作人员的招商偏好，每日自动进行生物医药产业的优质企业推送；根据产业、地区等进行项目快速关注跟踪，对跟进企业进行快速的跟踪反馈，实现对企业招商机会和风险的快速了解；产业动态推送关注领域、区县，企业相关招商舆情及事件动态，包括跨区域互访、战略合作、产品发布、企业融资、企业风险等。</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13</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产业链招商</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以树状图的形式展示产业链图谱并实现企业精准落链。同时可根据企业选址概率模型推送目标产业环节上的全国优质企业，推荐企业列表支持根据价值评分、选址概率、区域匹配度进行排序，支持多维度查询企业及将感兴趣的企业进行关注。</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14</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企业查询</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提供优质企业的查询与筛选，可根据产业发展方向及招商人员偏好自主筛选潜在招商标的企业，可按企业投资实力、经营情况、成长性等数十个维度进行组合查询，精准锁定招商范围，企业名称支持关键字模糊搜索。</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15</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企业评估分析</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对目标企业的投资选址意向、企业价值及企业与区域的适配性进行评价，展示企业对外投资选址的信号指标、企业招引价值的评估指标及区域适配性详情，同时展示企业的基础信息、企业发展、企业风险、知识产权等基本信息。</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16</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color w:val="auto"/>
                <w:highlight w:val="none"/>
              </w:rPr>
            </w:pPr>
            <w:r>
              <w:rPr>
                <w:rFonts w:hint="eastAsia" w:ascii="宋体" w:hAnsi="宋体" w:cs="宋体"/>
                <w:color w:val="auto"/>
                <w:sz w:val="18"/>
                <w:szCs w:val="18"/>
                <w:highlight w:val="none"/>
              </w:rPr>
              <w:t xml:space="preserve">重点项目监测</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可将招商项目信息录入系统进行统一管理，包括项目基本信息、当前项目进度情况、特色园区信息（载体建设、在建面积）等信息，项目各阶段推进情况更新记录包括项目入库、项目洽谈、项目签约等。可对招商项目跟进情况进行添加、编辑、查找、删除等操作，相关人员可将项目各个阶段的跟进情况进行记录存档。从帮助项目顺利签约的角度，在项目入库后各环节进行催办，以确保招商果实能够在适合的时候顺利落地，对长期未跟进的项目进行手动、自动超时预警提醒。</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16</w:t>
            </w:r>
            <w:r>
              <w:rPr>
                <w:color w:val="auto"/>
                <w:highlight w:val="none"/>
              </w:rPr>
            </w:r>
            <w:r/>
          </w:p>
        </w:tc>
        <w:tc>
          <w:tcPr>
            <w:shd w:val="clear" w:color="auto" w:fill="ffffff"/>
            <w:tcW w:w="992" w:type="dxa"/>
            <w:vAlign w:val="center"/>
            <w:vMerge w:val="restart"/>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企业培育</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优企识别</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通过企业上规识别等模型识别已上规或达标、已达标未上规或未认定、临规或临达标、待培育等规上企业、专精特新企业及上市企业，通过企业拐点模型预测未来企业达标事件、认定时间及上市时间；督办人员对长期未跟进的已达标企业、临近达标企业发起督办任务并填写督办内容，执行人员可对督办任务进行跟进记录的增删改查，并可变更认定状态，支持查看目标企业的过往跟进记录、督办记录。</w:t>
            </w:r>
            <w:r>
              <w:rPr>
                <w:color w:val="auto"/>
                <w:highlight w:val="none"/>
              </w:rPr>
            </w:r>
            <w:r/>
          </w:p>
        </w:tc>
      </w:tr>
      <w:tr>
        <w:trPr>
          <w:cantSplit/>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17</w:t>
            </w:r>
            <w:r>
              <w:rPr>
                <w:color w:val="auto"/>
                <w:highlight w:val="none"/>
              </w:rPr>
            </w:r>
            <w:r/>
          </w:p>
        </w:tc>
        <w:tc>
          <w:tcPr>
            <w:shd w:val="clear" w:color="auto" w:fill="ffffff"/>
            <w:tcW w:w="992" w:type="dxa"/>
            <w:vAlign w:val="center"/>
            <w:vMerge w:val="continue"/>
            <w:textDirection w:val="lrTb"/>
            <w:noWrap w:val="false"/>
          </w:tcPr>
          <w:p>
            <w:pPr>
              <w:pStyle w:val="903"/>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外迁监测</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根据企业注册地址变更统计企业流出情况，按月度统计企业流动变化统计数值，并通过地图展示企业迁出地区，对迁出地进行占比分析排名。同时，从企业所属细分领域、营收和资质进行统计分析。</w:t>
            </w:r>
            <w:r>
              <w:rPr>
                <w:color w:val="auto"/>
                <w:highlight w:val="none"/>
              </w:rPr>
            </w:r>
            <w:r/>
          </w:p>
        </w:tc>
      </w:tr>
      <w:tr>
        <w:trPr/>
        <w:tc>
          <w:tcPr>
            <w:shd w:val="clear" w:color="auto" w:fill="ffffff"/>
            <w:tcW w:w="675"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18</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用户中心</w:t>
            </w:r>
            <w:r>
              <w:rPr>
                <w:color w:val="auto"/>
                <w:highlight w:val="none"/>
              </w:rPr>
            </w:r>
            <w:r/>
          </w:p>
        </w:tc>
        <w:tc>
          <w:tcPr>
            <w:shd w:val="clear" w:color="auto" w:fill="ffffff"/>
            <w:tcW w:w="992" w:type="dxa"/>
            <w:vAlign w:val="center"/>
            <w:textDirection w:val="lrTb"/>
            <w:noWrap w:val="false"/>
          </w:tcPr>
          <w:p>
            <w:pPr>
              <w:pStyle w:val="90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用户中心</w:t>
            </w:r>
            <w:r>
              <w:rPr>
                <w:color w:val="auto"/>
                <w:highlight w:val="none"/>
              </w:rPr>
            </w:r>
            <w:r/>
          </w:p>
        </w:tc>
        <w:tc>
          <w:tcPr>
            <w:shd w:val="clear" w:color="auto" w:fill="ffffff"/>
            <w:tcW w:w="6510" w:type="dxa"/>
            <w:vAlign w:val="center"/>
            <w:textDirection w:val="lrTb"/>
            <w:noWrap w:val="false"/>
          </w:tcPr>
          <w:p>
            <w:pPr>
              <w:pStyle w:val="903"/>
              <w:rPr>
                <w:rFonts w:ascii="宋体" w:hAnsi="宋体" w:cs="宋体"/>
                <w:color w:val="auto"/>
                <w:sz w:val="18"/>
                <w:szCs w:val="18"/>
                <w:highlight w:val="none"/>
              </w:rPr>
            </w:pPr>
            <w:r>
              <w:rPr>
                <w:rFonts w:hint="eastAsia" w:ascii="宋体" w:hAnsi="宋体" w:cs="宋体"/>
                <w:color w:val="auto"/>
                <w:sz w:val="18"/>
                <w:szCs w:val="18"/>
                <w:highlight w:val="none"/>
              </w:rPr>
              <w:t xml:space="preserve">包括用户管理、角色管理、部门管理、菜单管理、字典配置等。</w:t>
            </w:r>
            <w:r>
              <w:rPr>
                <w:color w:val="auto"/>
                <w:highlight w:val="none"/>
              </w:rPr>
            </w:r>
            <w:r/>
          </w:p>
        </w:tc>
      </w:tr>
    </w:tbl>
    <w:p>
      <w:pPr>
        <w:pStyle w:val="90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4.项目要求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4.1  </w:t>
      </w:r>
      <w:r>
        <w:rPr>
          <w:rFonts w:hint="eastAsia" w:ascii="宋体" w:hAnsi="宋体"/>
          <w:bCs/>
          <w:color w:val="auto"/>
          <w:sz w:val="24"/>
          <w:szCs w:val="24"/>
          <w:highlight w:val="none"/>
          <w:lang w:val="en-US"/>
        </w:rPr>
        <w:t xml:space="preserve">系统设计原则</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1.1</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符合国际、国家标准和规范。</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（1）</w:t>
      </w:r>
      <w:r>
        <w:rPr>
          <w:rFonts w:hint="eastAsia" w:ascii="宋体" w:hAnsi="宋体"/>
          <w:bCs/>
          <w:color w:val="auto"/>
          <w:sz w:val="24"/>
          <w:szCs w:val="24"/>
          <w:highlight w:val="none"/>
          <w:lang w:val="en-US"/>
        </w:rPr>
        <w:t xml:space="preserve">系统设计应具备先进性、可靠性、实用性和经济性；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（2）</w:t>
      </w:r>
      <w:r>
        <w:rPr>
          <w:rFonts w:hint="eastAsia" w:ascii="宋体" w:hAnsi="宋体"/>
          <w:bCs/>
          <w:color w:val="auto"/>
          <w:sz w:val="24"/>
          <w:szCs w:val="24"/>
          <w:highlight w:val="none"/>
          <w:lang w:val="en-US"/>
        </w:rPr>
        <w:t xml:space="preserve">技术架构应具备可拓展性，满足系统各期建设和未来发展需要；</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（3）</w:t>
      </w:r>
      <w:r>
        <w:rPr>
          <w:rFonts w:hint="eastAsia" w:ascii="宋体" w:hAnsi="宋体"/>
          <w:bCs/>
          <w:color w:val="auto"/>
          <w:sz w:val="24"/>
          <w:szCs w:val="24"/>
          <w:highlight w:val="none"/>
          <w:lang w:val="en-US"/>
        </w:rPr>
        <w:t xml:space="preserve">系统设计需要充分考虑安全性，确保系统使用和数据安全；</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系统设计应体现标准化和开放性、灵活性和兼容性。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1.2</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系统功能设计应满足良好的用户体验，操作方便快捷、人性化。</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1.3</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系统技术路线采用J2EE技术、基于“平台+应用”和微服务架构、支持灵活的分级管理。</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2</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系统架构分层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按照基础设施层、数据层、应用层、展示层等设计系统总体架构。</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4.3  </w:t>
      </w:r>
      <w:r>
        <w:rPr>
          <w:rFonts w:hint="eastAsia" w:ascii="宋体" w:hAnsi="宋体"/>
          <w:bCs/>
          <w:color w:val="auto"/>
          <w:sz w:val="24"/>
          <w:szCs w:val="24"/>
          <w:highlight w:val="none"/>
          <w:lang w:val="en-US"/>
        </w:rPr>
        <w:t xml:space="preserve">系统安全性要求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结合系统安全风险分析，需要达到网络与信息安全目标的等级保护二级的要求，以实现系统可靠、安全地运行。</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4.4  </w:t>
      </w:r>
      <w:r>
        <w:rPr>
          <w:rFonts w:hint="eastAsia" w:ascii="宋体" w:hAnsi="宋体"/>
          <w:bCs/>
          <w:color w:val="auto"/>
          <w:sz w:val="24"/>
          <w:szCs w:val="24"/>
          <w:highlight w:val="none"/>
          <w:lang w:val="en-US"/>
        </w:rPr>
        <w:t xml:space="preserve">系统性能要求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4.1</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稳定性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（1）</w:t>
      </w:r>
      <w:r>
        <w:rPr>
          <w:rFonts w:hint="eastAsia" w:ascii="宋体" w:hAnsi="宋体"/>
          <w:bCs/>
          <w:color w:val="auto"/>
          <w:sz w:val="24"/>
          <w:szCs w:val="24"/>
          <w:highlight w:val="none"/>
          <w:lang w:val="en-US"/>
        </w:rPr>
        <w:t xml:space="preserve">系统建成后，应确保运行顺畅稳定，能够提供7×24小时连续运行；</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（2）</w:t>
      </w:r>
      <w:r>
        <w:rPr>
          <w:rFonts w:hint="eastAsia" w:ascii="宋体" w:hAnsi="宋体"/>
          <w:bCs/>
          <w:color w:val="auto"/>
          <w:sz w:val="24"/>
          <w:szCs w:val="24"/>
          <w:highlight w:val="none"/>
          <w:lang w:val="en-US"/>
        </w:rPr>
        <w:t xml:space="preserve">平均年故障时间应&lt;1天，平均故障修复时间应&lt;4小时。</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4.2</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访问速度</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（1）</w:t>
      </w:r>
      <w:r>
        <w:rPr>
          <w:rFonts w:hint="eastAsia" w:ascii="宋体" w:hAnsi="宋体"/>
          <w:bCs/>
          <w:color w:val="auto"/>
          <w:sz w:val="24"/>
          <w:szCs w:val="24"/>
          <w:highlight w:val="none"/>
          <w:lang w:val="en-US"/>
        </w:rPr>
        <w:t xml:space="preserve">在正常带宽下，普通内容浏览打开时间&lt;4秒；</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（2）</w:t>
      </w:r>
      <w:r>
        <w:rPr>
          <w:rFonts w:hint="eastAsia" w:ascii="宋体" w:hAnsi="宋体"/>
          <w:bCs/>
          <w:color w:val="auto"/>
          <w:sz w:val="24"/>
          <w:szCs w:val="24"/>
          <w:highlight w:val="none"/>
          <w:lang w:val="en-US"/>
        </w:rPr>
        <w:t xml:space="preserve">对大数据量查询的响应时间应小于6秒。</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4.3</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系统容量</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（1）</w:t>
      </w:r>
      <w:r>
        <w:rPr>
          <w:rFonts w:hint="eastAsia" w:ascii="宋体" w:hAnsi="宋体"/>
          <w:bCs/>
          <w:color w:val="auto"/>
          <w:sz w:val="24"/>
          <w:szCs w:val="24"/>
          <w:highlight w:val="none"/>
          <w:lang w:val="en-US"/>
        </w:rPr>
        <w:t xml:space="preserve">系统容量应充分考虑未来至少3年发展要求，并具有可扩展性。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4.5  </w:t>
      </w:r>
      <w:r>
        <w:rPr>
          <w:rFonts w:hint="eastAsia" w:ascii="宋体" w:hAnsi="宋体"/>
          <w:bCs/>
          <w:color w:val="auto"/>
          <w:sz w:val="24"/>
          <w:szCs w:val="24"/>
          <w:highlight w:val="none"/>
          <w:lang w:val="en-US"/>
        </w:rPr>
        <w:t xml:space="preserve">易用性与美观性要求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5.1</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系统设计要将用户体验作为设计重心，提高易用性，提升使用效率；</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5.2</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页面中信息数据的展示要清晰、直观，形式上符合最新设计趋势，具有较高的美观性；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5.3</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系统设计充分考虑品牌形象，与图形、配色等设计关联，体现整体感。</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6</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数据实施和治理</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数据治理范围覆盖规范标准体系、信息资源规划、数据库设计、数据治理体系、数据治理原则、数据治理流程、数据治理内容等主要方面，确保数据的准确性、一致性、可用性和安全性，提供多维度的生物医药产业相关数据治理方案，便于支撑产业大脑监测、分析、招引、培育等应用场景。</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4.</w:t>
      </w:r>
      <w:r>
        <w:rPr>
          <w:rFonts w:hint="eastAsia" w:ascii="宋体" w:hAnsi="宋体"/>
          <w:bCs/>
          <w:color w:val="auto"/>
          <w:sz w:val="24"/>
          <w:szCs w:val="24"/>
          <w:highlight w:val="none"/>
          <w:lang w:val="en-US"/>
        </w:rPr>
        <w:t xml:space="preserve">7</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算法模型要求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项目应具备基于全国企业画像、产业链图谱的产业运行分析模型、产业链分析模型、企业分析模型、产业智能招商模型、空间分析模型、人物分析模型、标签分析模型等算法模型，支撑系统应用。</w:t>
      </w:r>
      <w:r>
        <w:rPr>
          <w:color w:val="auto"/>
          <w:highlight w:val="none"/>
        </w:rPr>
      </w:r>
      <w:r/>
    </w:p>
    <w:p>
      <w:pPr>
        <w:pStyle w:val="90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5.项目实施要求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w:t>
      </w:r>
      <w:r>
        <w:rPr>
          <w:rFonts w:hint="eastAsia" w:ascii="宋体" w:hAnsi="宋体"/>
          <w:bCs/>
          <w:color w:val="auto"/>
          <w:sz w:val="24"/>
          <w:szCs w:val="24"/>
          <w:highlight w:val="none"/>
        </w:rPr>
        <w:t xml:space="preserve">项目实施计划</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应按照项目建设计划要求，编制项目详细实施计划，明确各阶段工作内容、完成时间和交付的主要成果。</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项目组织管理要求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2.1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应充分考虑满足项目的建设要求，提出完整的项目管理实施方案。</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2.2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应提供实施项目的人员配置管理计划，包括组织结构、项目负责人、组成人员及分工职责，以满足项目建设内容和时间需要。</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2.3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须提供项目的详细工作日程表和人员配备方案，明确工作地点、起止时间，项目负责人及主要人员应与投标</w:t>
      </w:r>
      <w:r>
        <w:rPr>
          <w:rFonts w:hint="eastAsia" w:ascii="宋体" w:hAnsi="宋体"/>
          <w:bCs/>
          <w:color w:val="auto"/>
          <w:sz w:val="24"/>
          <w:szCs w:val="24"/>
          <w:highlight w:val="none"/>
        </w:rPr>
        <w:t xml:space="preserve">文件</w:t>
      </w:r>
      <w:r>
        <w:rPr>
          <w:rFonts w:hint="eastAsia" w:ascii="宋体" w:hAnsi="宋体"/>
          <w:bCs/>
          <w:color w:val="auto"/>
          <w:sz w:val="24"/>
          <w:szCs w:val="24"/>
          <w:highlight w:val="none"/>
        </w:rPr>
        <w:t xml:space="preserve">一致，并经</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审核、批准。</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2.4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在建设期内，由</w:t>
      </w:r>
      <w:r>
        <w:rPr>
          <w:rFonts w:hint="eastAsia" w:ascii="宋体" w:hAnsi="宋体"/>
          <w:bCs/>
          <w:color w:val="auto"/>
          <w:sz w:val="24"/>
          <w:szCs w:val="24"/>
          <w:highlight w:val="none"/>
        </w:rPr>
        <w:t xml:space="preserve">项目负责人</w:t>
      </w:r>
      <w:r>
        <w:rPr>
          <w:rFonts w:hint="eastAsia" w:ascii="宋体" w:hAnsi="宋体"/>
          <w:bCs/>
          <w:color w:val="auto"/>
          <w:sz w:val="24"/>
          <w:szCs w:val="24"/>
          <w:highlight w:val="none"/>
        </w:rPr>
        <w:t xml:space="preserve">负责现场处理问题或交流情况的整体协调工作。本项目的</w:t>
      </w:r>
      <w:r>
        <w:rPr>
          <w:rFonts w:hint="eastAsia" w:ascii="宋体" w:hAnsi="宋体"/>
          <w:bCs/>
          <w:color w:val="auto"/>
          <w:sz w:val="24"/>
          <w:szCs w:val="24"/>
          <w:highlight w:val="none"/>
        </w:rPr>
        <w:t xml:space="preserve">项目负责人</w:t>
      </w:r>
      <w:r>
        <w:rPr>
          <w:rFonts w:hint="eastAsia" w:ascii="宋体" w:hAnsi="宋体"/>
          <w:bCs/>
          <w:color w:val="auto"/>
          <w:sz w:val="24"/>
          <w:szCs w:val="24"/>
          <w:highlight w:val="none"/>
        </w:rPr>
        <w:t xml:space="preserve">必须具体负责项目的实施，项目建设过程中一旦出现重大问题，项目经理应及时赶到现场并处理事务。</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质量管理要求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3.1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应按软件质量管理体系规范要求，针对项目实施过程及交付结果进行质量规划、管理、控制。</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3.2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须提交正式的质量计划，明确质量控制点、控制内容、质量要求、检查记录要求，并经招标人审核、批准。</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3.3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在项目实施过程中应开展质量保证活动，所提交的进度报告应包括质量报告内容，对质量问题制定改进措施并有效执行。</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项目团队要求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中标人为本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配备</w:t>
      </w:r>
      <w:r>
        <w:rPr>
          <w:rFonts w:hint="eastAsia" w:ascii="宋体" w:hAnsi="宋体"/>
          <w:bCs/>
          <w:color w:val="auto"/>
          <w:sz w:val="24"/>
          <w:szCs w:val="24"/>
          <w:highlight w:val="none"/>
        </w:rPr>
        <w:t xml:space="preserve">团队人员不少于5人，具有软件开发或相关专业领域、具有丰富大数据平台项目开发和服务经验的专业人员领衔，具备良好的职业素养。</w:t>
      </w:r>
      <w:r>
        <w:rPr>
          <w:rFonts w:hint="eastAsia" w:ascii="宋体" w:hAnsi="宋体"/>
          <w:bCs/>
          <w:color w:val="auto"/>
          <w:sz w:val="24"/>
          <w:szCs w:val="24"/>
          <w:highlight w:val="none"/>
        </w:rPr>
        <w:t xml:space="preserve">未经采购人允许，中标人不得随意更换项目团队人员。</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5.5  </w:t>
      </w:r>
      <w:r>
        <w:rPr>
          <w:rFonts w:hint="eastAsia" w:ascii="宋体" w:hAnsi="宋体"/>
          <w:bCs/>
          <w:color w:val="auto"/>
          <w:sz w:val="24"/>
          <w:szCs w:val="24"/>
          <w:highlight w:val="none"/>
        </w:rPr>
        <w:t xml:space="preserve">项目实施周期及实施地点</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实施周期：</w:t>
      </w:r>
      <w:r>
        <w:rPr>
          <w:rFonts w:hint="eastAsia" w:ascii="宋体" w:hAnsi="宋体"/>
          <w:bCs/>
          <w:color w:val="auto"/>
          <w:sz w:val="24"/>
          <w:szCs w:val="24"/>
          <w:highlight w:val="none"/>
        </w:rPr>
        <w:t xml:space="preserve">自合同签订生效之日起6个月内完成项目建设并完成交付验收工作。</w:t>
      </w:r>
      <w:r>
        <w:rPr>
          <w:rFonts w:hint="eastAsia" w:ascii="宋体" w:hAnsi="宋体"/>
          <w:bCs/>
          <w:color w:val="auto"/>
          <w:sz w:val="24"/>
          <w:szCs w:val="24"/>
          <w:highlight w:val="none"/>
        </w:rPr>
        <w:t xml:space="preserve">终验合格后提供不少于3年运维期。</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实施地点：按采购人要求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验收要求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本项目应根据建设计划确定的时间点，并根据合同完成分阶段鉴定或验收。验收内容与方式包括：</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验收依据：招标文件、中标人编制的系统建设方案、系统建设期间中标人与</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共同确定的需求规格说明书和界面原型等；</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验收方式：本项目验收将由采购人组织进行，具体方式包括文档审查、系统测试等。</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果交付：在项目实施过程中，中标人应按照相关要求形成并交付全面详尽的软件开发项目文档（包括需求分析说明书、详细设计说明书、数据库设计说明书、测试计划、测试报告、维护手册、用户操作手册、项目总结报告等），确保文档资料的一致性和完整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培训要求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对采购人系统管理人员和业务人员提供现场培训服务，以保证采购人完全掌握应用系统的各项功能，能够胜任系统的全部运行、操作、维护以及故障分析处理等日常工作。</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应向采购人</w:t>
      </w:r>
      <w:r>
        <w:rPr>
          <w:rFonts w:hint="eastAsia" w:ascii="宋体" w:hAnsi="宋体"/>
          <w:bCs/>
          <w:color w:val="auto"/>
          <w:sz w:val="24"/>
          <w:szCs w:val="24"/>
          <w:highlight w:val="none"/>
        </w:rPr>
        <w:t xml:space="preserve">提供全面、详细的培训方案。培训方案至少包括如下内容：培训计划、培训内容、培训方式等。</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售后服务要求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（1）中标人应为所投项目提供专业化服务，运维服务期为3年，服务期自项目终验合格之日起计算。期间应提供升级等技术服务和支持，保障系统正常运行</w:t>
      </w:r>
      <w:r>
        <w:rPr>
          <w:rFonts w:hint="eastAsia" w:ascii="宋体" w:hAnsi="宋体"/>
          <w:bCs/>
          <w:color w:val="auto"/>
          <w:sz w:val="24"/>
          <w:szCs w:val="24"/>
          <w:highlight w:val="none"/>
        </w:rPr>
        <w:t xml:space="preserve">，相关费用应包含在报价中</w:t>
      </w:r>
      <w:r>
        <w:rPr>
          <w:rFonts w:hint="eastAsia" w:ascii="宋体" w:hAnsi="宋体"/>
          <w:bCs/>
          <w:color w:val="auto"/>
          <w:sz w:val="24"/>
          <w:szCs w:val="24"/>
          <w:highlight w:val="none"/>
        </w:rPr>
        <w:t xml:space="preserve">。服务内容包括：第三方及互联网数据的及时更新、数据治理服务、不限定时间技术服务、现场开发技术服务、故障排除、每日巡检服务、技术升级服务等。在服务期内，中标人应按照采购人的要求对变更或新增的业务需求进行修改和完善。</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（2）中标人需</w:t>
      </w:r>
      <w:r>
        <w:rPr>
          <w:rFonts w:hint="eastAsia" w:ascii="宋体" w:hAnsi="宋体"/>
          <w:bCs/>
          <w:color w:val="auto"/>
          <w:sz w:val="24"/>
          <w:szCs w:val="24"/>
          <w:highlight w:val="none"/>
        </w:rPr>
        <w:t xml:space="preserve">有完善的</w:t>
      </w:r>
      <w:r>
        <w:rPr>
          <w:rFonts w:hint="eastAsia" w:ascii="宋体" w:hAnsi="宋体"/>
          <w:bCs/>
          <w:color w:val="auto"/>
          <w:sz w:val="24"/>
          <w:szCs w:val="24"/>
          <w:highlight w:val="none"/>
        </w:rPr>
        <w:t xml:space="preserve">售后服务方案，包括服务方式、服务范围、故障响应、应急保障及技术力量保障等方面的内容。服务期内需保证7*24小时服务，在接到用户故障报告后响应时间不超过1小时，修复时间不超过4小时。</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9</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知识产权要求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本项目对知识产权有明确要求，在本项目进行过程中，所产生的所有与本项目相关的，无论以任何载体形式出现的工作成果，其委托开发的软件设计知识产权归属采购人所有。 </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10</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其他要求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应严格落实相关开放性、兼容性标准和规范要求，按合同约定提供服务，</w:t>
      </w:r>
      <w:r>
        <w:rPr>
          <w:rFonts w:hint="eastAsia" w:ascii="宋体" w:hAnsi="宋体"/>
          <w:bCs/>
          <w:color w:val="auto"/>
          <w:sz w:val="24"/>
          <w:szCs w:val="24"/>
          <w:highlight w:val="none"/>
        </w:rPr>
        <w:t xml:space="preserve">在系统运行过程中，不得在合同约定之外以任何名义向相关服务对象收取费用。</w:t>
      </w:r>
      <w:r>
        <w:rPr>
          <w:color w:val="auto"/>
          <w:highlight w:val="none"/>
        </w:rPr>
      </w:r>
      <w:r/>
    </w:p>
    <w:p>
      <w:pPr>
        <w:pStyle w:val="90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6.验收要求</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验收方式：系统首次上线试运行后，</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组织专家按技术及服务要求对系统进行初验（包括文档审查、系统测试等），出具验收报告，初验后对系统进行完善再试运行两个月，最后</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组织专家对系统终验（包括文档审查、系统测试等），出具验收报告。</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内容：招标文件、中标人编制的系统建设方案、系统建设期间中标人与招标方共同确定的需求规格说明书和界面原型等；在项目实施过程中，中标人应按照相关要求形成并交付全面详尽的软件开发项目文档（包括需求分析说明书、详细设计说明书、数据库设计说明书、测试计划、测试报告、维护手册、用户操作手册、项目总结报告等），确保文档资料的一致性和完整性。</w:t>
      </w:r>
      <w:r>
        <w:rPr>
          <w:color w:val="auto"/>
          <w:highlight w:val="none"/>
        </w:rPr>
      </w:r>
      <w:r/>
    </w:p>
    <w:p>
      <w:pPr>
        <w:pStyle w:val="90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p>
      <w:pPr>
        <w:pStyle w:val="903"/>
        <w:ind w:firstLine="480"/>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color w:val="auto"/>
          <w:highlight w:val="none"/>
        </w:rPr>
      </w:r>
      <w:r/>
    </w:p>
    <w:p>
      <w:pPr>
        <w:pStyle w:val="90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color w:val="auto"/>
          <w:highlight w:val="none"/>
        </w:rPr>
      </w:r>
      <w:r/>
    </w:p>
    <w:p>
      <w:pPr>
        <w:pStyle w:val="90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w:t>
      </w:r>
      <w:r>
        <w:rPr>
          <w:rFonts w:hint="eastAsia" w:ascii="宋体" w:hAnsi="宋体"/>
          <w:bCs/>
          <w:color w:val="auto"/>
          <w:sz w:val="24"/>
          <w:szCs w:val="24"/>
          <w:highlight w:val="none"/>
        </w:rPr>
        <w:t xml:space="preserve">价范围。</w:t>
      </w:r>
      <w:r>
        <w:rPr>
          <w:color w:val="auto"/>
          <w:highlight w:val="none"/>
        </w:rPr>
      </w:r>
      <w:r/>
    </w:p>
    <w:p>
      <w:pPr>
        <w:pStyle w:val="903"/>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auto"/>
          <w:highlight w:val="none"/>
        </w:rPr>
      </w:r>
      <w:r/>
    </w:p>
    <w:p>
      <w:pPr>
        <w:pStyle w:val="90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自合同签订生效之日起6个月内完成项目建设并完成交付验收工作。</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自项目终验验收合格之日起三年。</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自合同签订生效后5个工作日内支付合同总款项的30%；按项目开发周期完成项目并按照要求交付成果，且初验通过后的5个工作日内支付合同总款项的50%；系统稳定运行三个月，且终验合格后的5个工作日内，支付合同总款项的20%。</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中标供应商按签约合同价的</w:t>
      </w: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olor w:val="auto"/>
          <w:sz w:val="24"/>
          <w:szCs w:val="24"/>
          <w:highlight w:val="none"/>
        </w:rPr>
        <w:t xml:space="preserve">向采购人缴纳履约保证金；</w:t>
      </w:r>
      <w:r>
        <w:rPr>
          <w:rFonts w:hint="eastAsia" w:ascii="宋体"/>
          <w:bCs/>
          <w:color w:val="auto"/>
          <w:sz w:val="24"/>
          <w:szCs w:val="24"/>
          <w:highlight w:val="none"/>
        </w:rPr>
        <w:t xml:space="preserve">中标供应商也可采用电子履约保函（保险）形式提供履约担保,具体操作可登录江苏政府采购网的保险保函模块进行办理。</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r/>
    </w:p>
    <w:p>
      <w:pPr>
        <w:pStyle w:val="90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auto"/>
          <w:highlight w:val="none"/>
        </w:rPr>
      </w:r>
      <w:r/>
    </w:p>
    <w:p>
      <w:pPr>
        <w:pStyle w:val="903"/>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color w:val="auto"/>
          <w:highlight w:val="none"/>
        </w:rPr>
      </w:r>
      <w:r/>
    </w:p>
    <w:p>
      <w:pPr>
        <w:pStyle w:val="90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color w:val="auto"/>
          <w:highlight w:val="none"/>
        </w:rPr>
      </w:r>
      <w:r/>
    </w:p>
    <w:p>
      <w:pPr>
        <w:pStyle w:val="90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color w:val="auto"/>
          <w:highlight w:val="none"/>
        </w:rPr>
      </w:r>
      <w:r/>
    </w:p>
    <w:p>
      <w:pPr>
        <w:pStyle w:val="90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color w:val="auto"/>
          <w:highlight w:val="none"/>
        </w:rPr>
      </w:r>
      <w:r/>
    </w:p>
    <w:p>
      <w:pPr>
        <w:pStyle w:val="90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auto"/>
          <w:highlight w:val="none"/>
        </w:rPr>
      </w:r>
      <w:r/>
    </w:p>
    <w:p>
      <w:pPr>
        <w:pStyle w:val="90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3" w:name="OLE_LINK1"/>
      <w:r>
        <w:rPr>
          <w:color w:val="auto"/>
          <w:highlight w:val="none"/>
        </w:rPr>
      </w:r>
      <w:bookmarkStart w:id="194" w:name="OLE_LINK2"/>
      <w:r>
        <w:rPr>
          <w:rFonts w:hint="eastAsia" w:ascii="宋体"/>
          <w:bCs/>
          <w:color w:val="auto"/>
          <w:sz w:val="24"/>
          <w:szCs w:val="24"/>
          <w:highlight w:val="none"/>
        </w:rPr>
        <w:t xml:space="preserve">《保障中小企业款项支付条例》（中华人民共和国国务院令第802号）</w:t>
      </w:r>
      <w:bookmarkEnd w:id="193"/>
      <w:r>
        <w:rPr>
          <w:color w:val="auto"/>
          <w:highlight w:val="none"/>
        </w:rPr>
      </w:r>
      <w:bookmarkEnd w:id="194"/>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rPr>
          <w:color w:val="auto"/>
          <w:highlight w:val="none"/>
        </w:rPr>
      </w:r>
      <w:r/>
    </w:p>
    <w:p>
      <w:pPr>
        <w:pStyle w:val="90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根据《关于推动解决政府采购异常低价问题相关工作的通知》（苏财购〔2025〕62号）要求，</w:t>
      </w:r>
      <w:r>
        <w:rPr>
          <w:rFonts w:hint="eastAsia" w:ascii="宋体"/>
          <w:bCs/>
          <w:color w:val="auto"/>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rPr>
          <w:color w:val="auto"/>
          <w:highlight w:val="none"/>
        </w:rPr>
      </w:r>
      <w:r/>
    </w:p>
    <w:p>
      <w:pPr>
        <w:pStyle w:val="90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r>
      <w:r>
        <w:rPr>
          <w:color w:val="auto"/>
          <w:highlight w:val="none"/>
        </w:rPr>
      </w:r>
      <w:r/>
    </w:p>
    <w:p>
      <w:pPr>
        <w:pStyle w:val="903"/>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5" w:name="_Toc120614281"/>
      <w:r>
        <w:rPr>
          <w:rFonts w:hint="eastAsia" w:ascii="黑体" w:hAnsi="黑体" w:eastAsia="黑体"/>
          <w:color w:val="auto"/>
          <w:sz w:val="36"/>
          <w:szCs w:val="36"/>
          <w:highlight w:val="none"/>
        </w:rPr>
        <w:t xml:space="preserve">第五章  评标方法与评标标准</w:t>
      </w:r>
      <w:r>
        <w:rPr>
          <w:color w:val="auto"/>
          <w:highlight w:val="none"/>
        </w:rPr>
      </w:r>
      <w:r/>
    </w:p>
    <w:p>
      <w:pPr>
        <w:pStyle w:val="99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r/>
    </w:p>
    <w:p>
      <w:pPr>
        <w:pStyle w:val="991"/>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r/>
    </w:p>
    <w:p>
      <w:pPr>
        <w:pStyle w:val="991"/>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r/>
    </w:p>
    <w:p>
      <w:pPr>
        <w:pStyle w:val="991"/>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color w:val="auto"/>
          <w:highlight w:val="none"/>
        </w:rPr>
      </w:r>
      <w:r/>
    </w:p>
    <w:p>
      <w:pPr>
        <w:pStyle w:val="99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r/>
    </w:p>
    <w:p>
      <w:pPr>
        <w:pStyle w:val="991"/>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r/>
    </w:p>
    <w:p>
      <w:pPr>
        <w:pStyle w:val="99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r/>
    </w:p>
    <w:p>
      <w:pPr>
        <w:pStyle w:val="903"/>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r/>
    </w:p>
    <w:p>
      <w:pPr>
        <w:pStyle w:val="90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color w:val="auto"/>
          <w:highlight w:val="none"/>
        </w:rPr>
      </w:r>
      <w:r/>
    </w:p>
    <w:p>
      <w:pPr>
        <w:pStyle w:val="90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auto"/>
          <w:highlight w:val="none"/>
        </w:rPr>
      </w:r>
      <w:r/>
    </w:p>
    <w:p>
      <w:pPr>
        <w:pStyle w:val="90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auto"/>
          <w:highlight w:val="none"/>
        </w:rPr>
      </w:r>
      <w:r/>
    </w:p>
    <w:p>
      <w:pPr>
        <w:pStyle w:val="90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r/>
    </w:p>
    <w:p>
      <w:pPr>
        <w:pStyle w:val="90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color w:val="auto"/>
          <w:highlight w:val="none"/>
        </w:rPr>
      </w:r>
      <w:r/>
    </w:p>
    <w:p>
      <w:pPr>
        <w:pStyle w:val="90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color w:val="auto"/>
          <w:highlight w:val="none"/>
        </w:rPr>
      </w:r>
      <w:r/>
    </w:p>
    <w:p>
      <w:pPr>
        <w:pStyle w:val="903"/>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r/>
    </w:p>
    <w:p>
      <w:pPr>
        <w:pStyle w:val="991"/>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color w:val="auto"/>
          <w:highlight w:val="none"/>
        </w:rPr>
      </w:r>
      <w:r/>
    </w:p>
    <w:p>
      <w:pPr>
        <w:pStyle w:val="90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10</w:t>
      </w:r>
      <w:r>
        <w:rPr>
          <w:rFonts w:hint="eastAsia" w:ascii="宋体" w:hAnsi="宋体"/>
          <w:b/>
          <w:bCs/>
          <w:color w:val="auto"/>
          <w:sz w:val="24"/>
          <w:szCs w:val="24"/>
          <w:highlight w:val="none"/>
        </w:rPr>
        <w:t xml:space="preserve">分）：</w:t>
      </w:r>
      <w:r>
        <w:rPr>
          <w:color w:val="auto"/>
          <w:highlight w:val="none"/>
        </w:rPr>
      </w:r>
      <w:r/>
    </w:p>
    <w:p>
      <w:pPr>
        <w:pStyle w:val="90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auto"/>
          <w:highlight w:val="none"/>
        </w:rPr>
      </w:r>
      <w:r/>
    </w:p>
    <w:p>
      <w:pPr>
        <w:pStyle w:val="90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color w:val="auto"/>
          <w:highlight w:val="none"/>
        </w:rPr>
      </w:r>
      <w:r/>
    </w:p>
    <w:p>
      <w:pPr>
        <w:pStyle w:val="90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color w:val="auto"/>
          <w:highlight w:val="none"/>
        </w:rPr>
      </w:r>
      <w:r/>
    </w:p>
    <w:p>
      <w:pPr>
        <w:pStyle w:val="90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项目人员配置情况（4</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项目负责人（1分）：投标人为本项目配备项目负责人一名，该</w:t>
      </w:r>
      <w:r>
        <w:rPr>
          <w:rFonts w:hint="eastAsia" w:ascii="宋体" w:hAnsi="宋体"/>
          <w:color w:val="auto"/>
          <w:sz w:val="24"/>
          <w:highlight w:val="none"/>
        </w:rPr>
        <w:t xml:space="preserve">项目负责人</w:t>
      </w:r>
      <w:r>
        <w:rPr>
          <w:rFonts w:hint="eastAsia" w:ascii="宋体" w:hAnsi="宋体"/>
          <w:color w:val="auto"/>
          <w:sz w:val="24"/>
          <w:highlight w:val="none"/>
        </w:rPr>
        <w:t xml:space="preserve">具有软件类相关专业的高级工程师职称证书的得1分；须提供相应有效证书证明材料。</w:t>
      </w:r>
      <w:r>
        <w:rPr>
          <w:color w:val="auto"/>
          <w:highlight w:val="none"/>
        </w:rPr>
      </w:r>
      <w:r/>
    </w:p>
    <w:p>
      <w:pPr>
        <w:ind w:firstLine="480"/>
        <w:spacing w:line="500" w:lineRule="exact"/>
        <w:rPr>
          <w:rFonts w:hint="eastAsia" w:ascii="宋体" w:hAnsi="宋体"/>
          <w:color w:val="000000" w:themeColor="text1"/>
          <w:sz w:val="24"/>
          <w:szCs w:val="24"/>
          <w:highlight w:val="none"/>
        </w:rPr>
      </w:pPr>
      <w:r>
        <w:rPr>
          <w:color w:val="000000" w:themeColor="text1"/>
          <w:highlight w:val="none"/>
        </w:rPr>
      </w:r>
      <w:r>
        <w:rPr>
          <w:rFonts w:ascii="SimSun" w:hAnsi="SimSun" w:eastAsia="SimSun" w:cs="SimSun"/>
          <w:color w:val="000000" w:themeColor="text1"/>
          <w:sz w:val="24"/>
        </w:rPr>
        <w:t xml:space="preserve">2.2  </w:t>
      </w:r>
      <w:r>
        <w:rPr>
          <w:rFonts w:ascii="SimSun" w:hAnsi="SimSun" w:eastAsia="SimSun" w:cs="SimSun"/>
          <w:color w:val="000000" w:themeColor="text1"/>
          <w:sz w:val="24"/>
        </w:rPr>
        <w:t xml:space="preserve">项目成员（3分）：除项目负责人外，项目成员：具有系统分析师证书、信息系统项目管理师证书的，每提供一个证书的得1分，最高2分；须提供相应有效证书证明材料，同一个人提供多种证书的可以重复得分，提供同一种证书的也可以重复得分。具有系统集成项目管理工程师证书、软件设计师证书、数据库系统工程师证书的，每提供一个证书得0.5分，最高1分；须提供相应有效证书证明材料，同一个人提供多种证书的可以重复得分，提供同一种证书的也可以重复得分。本项满分共3分。</w:t>
      </w:r>
      <w:r>
        <w:rPr>
          <w:color w:val="000000" w:themeColor="text1"/>
          <w:highlight w:val="none"/>
        </w:rPr>
      </w:r>
      <w:r>
        <w:rPr>
          <w:color w:val="000000" w:themeColor="text1"/>
        </w:rPr>
      </w:r>
    </w:p>
    <w:p>
      <w:pPr>
        <w:pStyle w:val="90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投标人综合情况（12</w:t>
      </w:r>
      <w:r>
        <w:rPr>
          <w:rFonts w:hint="eastAsia" w:ascii="宋体" w:hAnsi="宋体"/>
          <w:b/>
          <w:bCs/>
          <w:color w:val="auto"/>
          <w:sz w:val="24"/>
          <w:szCs w:val="24"/>
          <w:highlight w:val="none"/>
        </w:rPr>
        <w:t xml:space="preserve">分）：</w:t>
      </w:r>
      <w:r>
        <w:rPr>
          <w:color w:val="auto"/>
          <w:highlight w:val="none"/>
        </w:rPr>
      </w:r>
      <w:r/>
    </w:p>
    <w:p>
      <w:pPr>
        <w:pStyle w:val="90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3.1  </w:t>
      </w:r>
      <w:r>
        <w:rPr>
          <w:rFonts w:ascii="SimSun" w:hAnsi="SimSun" w:eastAsia="SimSun" w:cs="SimSun"/>
          <w:color w:val="000000" w:themeColor="text1"/>
          <w:sz w:val="24"/>
        </w:rPr>
        <w:t xml:space="preserve">业绩（6分）：投标人自2022年1月1日以来（以合同签订日期为准）具有与本项目类似项目案例的，每有一个得2分，最高6分；须提供相应有效合同扫描件。</w:t>
      </w:r>
      <w:r>
        <w:rPr>
          <w:color w:val="000000" w:themeColor="text1"/>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体系认证（</w:t>
      </w:r>
      <w:r>
        <w:rPr>
          <w:rFonts w:hint="eastAsia" w:ascii="宋体" w:hAnsi="宋体"/>
          <w:color w:val="auto"/>
          <w:sz w:val="24"/>
          <w:highlight w:val="none"/>
        </w:rPr>
        <w:t xml:space="preserve">1分</w:t>
      </w:r>
      <w:r>
        <w:rPr>
          <w:rFonts w:hint="eastAsia" w:ascii="宋体" w:hAnsi="宋体"/>
          <w:color w:val="auto"/>
          <w:sz w:val="24"/>
          <w:highlight w:val="none"/>
        </w:rPr>
        <w:t xml:space="preserve">）：投标人具有有效的质量管理体系认证</w:t>
      </w:r>
      <w:r>
        <w:rPr>
          <w:rFonts w:hint="eastAsia" w:ascii="宋体" w:hAnsi="宋体"/>
          <w:color w:val="auto"/>
          <w:sz w:val="24"/>
          <w:highlight w:val="none"/>
        </w:rPr>
        <w:t xml:space="preserve">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；须提供有效的体系认证证书扫描件，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3.3  </w:t>
      </w:r>
      <w:r>
        <w:rPr>
          <w:rFonts w:hint="eastAsia" w:ascii="宋体" w:hAnsi="宋体"/>
          <w:color w:val="auto"/>
          <w:sz w:val="24"/>
          <w:highlight w:val="none"/>
        </w:rPr>
        <w:t xml:space="preserve">技术能力（5分）：投标人采用的生成式人工智能技术或深度合成技术能满足项目功能，能够提供同类智能问答应用产品页面截图的得2分，在此基础上，如投标人还能够提供已完成的同类项目证明材料（检测报告证明或验收报告证明或用户证明）的再得3分。本项满分共5分。</w:t>
      </w:r>
      <w:r>
        <w:rPr>
          <w:color w:val="auto"/>
          <w:highlight w:val="none"/>
        </w:rPr>
      </w:r>
      <w:r/>
    </w:p>
    <w:p>
      <w:pPr>
        <w:pStyle w:val="903"/>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color w:val="auto"/>
          <w:sz w:val="24"/>
          <w:szCs w:val="24"/>
          <w:highlight w:val="none"/>
        </w:rPr>
      </w:pPr>
      <w:r>
        <w:rPr>
          <w:rFonts w:hint="eastAsia" w:ascii="宋体" w:hAnsi="宋体"/>
          <w:b/>
          <w:bCs/>
          <w:color w:val="auto"/>
          <w:sz w:val="24"/>
          <w:szCs w:val="24"/>
          <w:highlight w:val="none"/>
        </w:rPr>
        <w:t xml:space="preserve">演示（</w:t>
      </w:r>
      <w:r>
        <w:rPr>
          <w:rFonts w:hint="eastAsia" w:ascii="宋体" w:hAnsi="宋体"/>
          <w:b/>
          <w:bCs/>
          <w:color w:val="auto"/>
          <w:sz w:val="24"/>
          <w:szCs w:val="24"/>
          <w:highlight w:val="none"/>
        </w:rPr>
        <w:t xml:space="preserve">15</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w:t>
      </w:r>
      <w:r>
        <w:rPr>
          <w:rFonts w:hint="eastAsia" w:ascii="宋体" w:hAnsi="宋体"/>
          <w:bCs/>
          <w:color w:val="auto"/>
          <w:sz w:val="24"/>
          <w:szCs w:val="24"/>
          <w:highlight w:val="none"/>
        </w:rPr>
        <w:t xml:space="preserve">未按要求进行演示或</w:t>
      </w:r>
      <w:r>
        <w:rPr>
          <w:rFonts w:hint="eastAsia" w:ascii="宋体" w:hAnsi="宋体"/>
          <w:bCs/>
          <w:color w:val="auto"/>
          <w:sz w:val="24"/>
          <w:szCs w:val="24"/>
          <w:highlight w:val="none"/>
        </w:rPr>
        <w:t xml:space="preserve">未提供演示视频的不得分。</w:t>
      </w:r>
      <w:r>
        <w:rPr>
          <w:rFonts w:hint="eastAsia" w:ascii="宋体" w:hAnsi="宋体"/>
          <w:bCs/>
          <w:color w:val="auto"/>
          <w:sz w:val="24"/>
          <w:szCs w:val="24"/>
          <w:highlight w:val="none"/>
        </w:rPr>
        <w:t xml:space="preserve">演示得分点如下。</w:t>
      </w:r>
      <w:r>
        <w:rPr>
          <w:color w:val="auto"/>
          <w:highlight w:val="none"/>
        </w:rPr>
      </w:r>
      <w:r/>
    </w:p>
    <w:p>
      <w:pPr>
        <w:pStyle w:val="903"/>
        <w:numPr>
          <w:ilvl w:val="0"/>
          <w:numId w:val="21"/>
        </w:numPr>
        <w:spacing w:line="500" w:lineRule="exact"/>
        <w:rPr>
          <w:rFonts w:hint="eastAsia" w:ascii="宋体" w:hAnsi="宋体"/>
          <w:color w:val="auto"/>
          <w:sz w:val="24"/>
          <w:highlight w:val="none"/>
        </w:rPr>
      </w:pPr>
      <w:r>
        <w:rPr>
          <w:rFonts w:hint="eastAsia" w:ascii="宋体" w:hAnsi="宋体"/>
          <w:color w:val="auto"/>
          <w:sz w:val="24"/>
          <w:highlight w:val="none"/>
        </w:rPr>
        <w:t xml:space="preserve">演示产业链融合分析系统类似功能</w:t>
      </w:r>
      <w:r>
        <w:rPr>
          <w:color w:val="auto"/>
          <w:highlight w:val="none"/>
        </w:rPr>
      </w:r>
      <w:r/>
    </w:p>
    <w:p>
      <w:pPr>
        <w:pStyle w:val="90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 </w:t>
      </w:r>
      <w:r>
        <w:rPr>
          <w:rFonts w:ascii="SimSun" w:hAnsi="SimSun" w:eastAsia="SimSun" w:cs="SimSun"/>
          <w:color w:val="000000" w:themeColor="text1"/>
          <w:sz w:val="24"/>
        </w:rPr>
        <w:t xml:space="preserve">产业链图谱（2.5分）：构建对生物医药产业相关产业要素能精准落链上、中、下游全景画像，展示产业链各环节节点。本项全部按要求进行演示的得2.5分，未按要求进行演示或演示功能点不全或未进行演示的，均不得分。</w:t>
      </w:r>
      <w:r>
        <w:rPr>
          <w:color w:val="000000" w:themeColor="text1"/>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  </w:t>
      </w:r>
      <w:r>
        <w:rPr>
          <w:rFonts w:hint="eastAsia" w:ascii="宋体" w:hAnsi="宋体"/>
          <w:color w:val="auto"/>
          <w:sz w:val="24"/>
          <w:highlight w:val="none"/>
        </w:rPr>
        <w:t xml:space="preserve">产业链节点联动</w:t>
      </w:r>
      <w:r>
        <w:rPr>
          <w:rFonts w:hint="eastAsia" w:ascii="宋体" w:hAnsi="宋体"/>
          <w:color w:val="auto"/>
          <w:sz w:val="24"/>
          <w:highlight w:val="none"/>
        </w:rPr>
        <w:t xml:space="preserve">（2.5分）</w:t>
      </w:r>
      <w:r>
        <w:rPr>
          <w:rFonts w:hint="eastAsia" w:ascii="宋体" w:hAnsi="宋体"/>
          <w:color w:val="auto"/>
          <w:sz w:val="24"/>
          <w:highlight w:val="none"/>
        </w:rPr>
        <w:t xml:space="preserve">：支持全景画像中任意产业节点与企业、资金等相关产业要素落链情况进行联动</w:t>
      </w:r>
      <w:r>
        <w:rPr>
          <w:rFonts w:hint="eastAsia" w:ascii="宋体" w:hAnsi="宋体"/>
          <w:color w:val="auto"/>
          <w:sz w:val="24"/>
          <w:highlight w:val="none"/>
        </w:rPr>
        <w:t xml:space="preserve">。</w:t>
      </w:r>
      <w:r>
        <w:rPr>
          <w:rFonts w:hint="eastAsia" w:ascii="宋体" w:hAnsi="宋体"/>
          <w:color w:val="auto"/>
          <w:sz w:val="24"/>
          <w:highlight w:val="none"/>
        </w:rPr>
        <w:t xml:space="preserve">本项全部按要求进行演示的得</w:t>
      </w:r>
      <w:r>
        <w:rPr>
          <w:rFonts w:hint="eastAsia" w:ascii="宋体" w:hAnsi="宋体"/>
          <w:color w:val="auto"/>
          <w:sz w:val="24"/>
          <w:highlight w:val="none"/>
        </w:rPr>
        <w:t xml:space="preserve">2.5</w:t>
      </w:r>
      <w:r>
        <w:rPr>
          <w:rFonts w:hint="eastAsia" w:ascii="宋体" w:hAnsi="宋体"/>
          <w:color w:val="auto"/>
          <w:sz w:val="24"/>
          <w:highlight w:val="none"/>
        </w:rPr>
        <w:t xml:space="preserve">分，未按要求进行演示或演示功能点不全或未进行演示的，均不得分。</w:t>
      </w:r>
      <w:r>
        <w:rPr>
          <w:color w:val="auto"/>
          <w:highlight w:val="none"/>
        </w:rPr>
      </w:r>
      <w:r/>
    </w:p>
    <w:p>
      <w:pPr>
        <w:pStyle w:val="903"/>
        <w:numPr>
          <w:ilvl w:val="0"/>
          <w:numId w:val="21"/>
        </w:numPr>
        <w:spacing w:line="500" w:lineRule="exact"/>
        <w:rPr>
          <w:rFonts w:hint="eastAsia" w:ascii="宋体" w:hAnsi="宋体"/>
          <w:color w:val="auto"/>
          <w:sz w:val="24"/>
          <w:highlight w:val="none"/>
        </w:rPr>
      </w:pPr>
      <w:r>
        <w:rPr>
          <w:rFonts w:hint="eastAsia" w:ascii="宋体" w:hAnsi="宋体"/>
          <w:color w:val="auto"/>
          <w:sz w:val="24"/>
          <w:highlight w:val="none"/>
        </w:rPr>
        <w:t xml:space="preserve">演示产业招商</w:t>
      </w:r>
      <w:r>
        <w:rPr>
          <w:rFonts w:hint="eastAsia" w:ascii="宋体" w:hAnsi="宋体"/>
          <w:color w:val="auto"/>
          <w:sz w:val="24"/>
          <w:highlight w:val="none"/>
        </w:rPr>
        <w:t xml:space="preserve">系统</w:t>
      </w:r>
      <w:r>
        <w:rPr>
          <w:rFonts w:hint="eastAsia" w:ascii="宋体" w:hAnsi="宋体"/>
          <w:color w:val="auto"/>
          <w:sz w:val="24"/>
          <w:highlight w:val="none"/>
        </w:rPr>
        <w:t xml:space="preserve">类似功能</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rPr>
        <w:t xml:space="preserve">3</w:t>
      </w:r>
      <w:r>
        <w:rPr>
          <w:rFonts w:hint="eastAsia" w:ascii="宋体" w:hAnsi="宋体"/>
          <w:color w:val="auto"/>
          <w:sz w:val="24"/>
          <w:highlight w:val="none"/>
        </w:rPr>
        <w:t xml:space="preserve">  </w:t>
      </w:r>
      <w:r>
        <w:rPr>
          <w:rFonts w:hint="eastAsia" w:ascii="宋体" w:hAnsi="宋体"/>
          <w:color w:val="auto"/>
          <w:sz w:val="24"/>
          <w:highlight w:val="none"/>
        </w:rPr>
        <w:t xml:space="preserve">招商系统</w:t>
      </w:r>
      <w:r>
        <w:rPr>
          <w:rFonts w:hint="eastAsia" w:ascii="宋体" w:hAnsi="宋体"/>
          <w:color w:val="auto"/>
          <w:sz w:val="24"/>
          <w:highlight w:val="none"/>
        </w:rPr>
        <w:t xml:space="preserve">功能</w:t>
      </w:r>
      <w:r>
        <w:rPr>
          <w:rFonts w:hint="eastAsia" w:ascii="宋体" w:hAnsi="宋体"/>
          <w:color w:val="auto"/>
          <w:sz w:val="24"/>
          <w:highlight w:val="none"/>
        </w:rPr>
        <w:t xml:space="preserve">（3分）：围绕着生物医药产业链，通过企业经营、产品动态、市场舆情等维度指标，构建智能算法模型，推荐招引企业清单，实现产业招商有针对性地强链、补链、延链,得3分。本项全部按要求进行演示的得3分，未按要求进行演示或演示功能点不全或未进行演示的，均不得分。</w:t>
      </w:r>
      <w:r>
        <w:rPr>
          <w:color w:val="auto"/>
          <w:highlight w:val="none"/>
        </w:rPr>
      </w:r>
      <w:r/>
    </w:p>
    <w:p>
      <w:pPr>
        <w:pStyle w:val="903"/>
        <w:numPr>
          <w:ilvl w:val="0"/>
          <w:numId w:val="21"/>
        </w:numPr>
        <w:spacing w:line="500" w:lineRule="exact"/>
        <w:rPr>
          <w:rFonts w:hint="eastAsia" w:ascii="宋体" w:hAnsi="宋体"/>
          <w:color w:val="auto"/>
          <w:sz w:val="24"/>
          <w:highlight w:val="none"/>
        </w:rPr>
      </w:pPr>
      <w:r>
        <w:rPr>
          <w:rFonts w:hint="eastAsia" w:ascii="宋体" w:hAnsi="宋体"/>
          <w:color w:val="auto"/>
          <w:sz w:val="24"/>
          <w:highlight w:val="none"/>
        </w:rPr>
        <w:t xml:space="preserve">演示产业底数查询相关功能</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4.4  企业底数（3.5分）：</w:t>
      </w:r>
      <w:r>
        <w:rPr>
          <w:rFonts w:hint="eastAsia" w:ascii="宋体" w:hAnsi="宋体"/>
          <w:color w:val="auto"/>
          <w:sz w:val="24"/>
          <w:highlight w:val="none"/>
        </w:rPr>
        <w:t xml:space="preserve">通过大模型智能问答回答生物医药产业企业基础信息（所在注册地址、注册资本等工商信息）、股东信息、经营信息、投融资信息、专利信息和舆情信息</w:t>
      </w:r>
      <w:r>
        <w:rPr>
          <w:rFonts w:hint="eastAsia" w:ascii="宋体" w:hAnsi="宋体"/>
          <w:color w:val="auto"/>
          <w:sz w:val="24"/>
          <w:highlight w:val="none"/>
        </w:rPr>
        <w:t xml:space="preserve">。本项全部按要求进行演示的得3.5分，未按要求进行演示或演示功能点不全或未进行演示的，均不得分。</w:t>
      </w:r>
      <w:r>
        <w:rPr>
          <w:color w:val="auto"/>
          <w:highlight w:val="none"/>
        </w:rPr>
      </w:r>
      <w:r/>
    </w:p>
    <w:p>
      <w:pPr>
        <w:pStyle w:val="90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4.5  产业底数（3.5分）：</w:t>
      </w:r>
      <w:r>
        <w:rPr>
          <w:rFonts w:hint="eastAsia" w:ascii="宋体" w:hAnsi="宋体"/>
          <w:color w:val="auto"/>
          <w:sz w:val="24"/>
          <w:highlight w:val="none"/>
        </w:rPr>
        <w:t xml:space="preserve">通过大模型智能问答生成区域生物医药产业发展报告（包含产业发展现状、机遇、挑战和建议），内容以数据、图表、文字综合方式输出。</w:t>
      </w:r>
      <w:r>
        <w:rPr>
          <w:rFonts w:hint="eastAsia" w:ascii="宋体" w:hAnsi="宋体"/>
          <w:color w:val="auto"/>
          <w:sz w:val="24"/>
          <w:highlight w:val="none"/>
        </w:rPr>
        <w:t xml:space="preserve">本项全部按要求进行演示的得3.5分，未按要求进行演示或演示功能点不全或未进行演示的，均不得分。</w:t>
      </w:r>
      <w:r>
        <w:rPr>
          <w:color w:val="auto"/>
          <w:highlight w:val="none"/>
        </w:rPr>
      </w:r>
      <w:r/>
    </w:p>
    <w:p>
      <w:pPr>
        <w:pStyle w:val="90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项目方案（59</w:t>
      </w:r>
      <w:r>
        <w:rPr>
          <w:rFonts w:hint="eastAsia" w:ascii="宋体" w:hAnsi="宋体"/>
          <w:b/>
          <w:bCs/>
          <w:color w:val="auto"/>
          <w:sz w:val="24"/>
          <w:szCs w:val="24"/>
          <w:highlight w:val="none"/>
        </w:rPr>
        <w:t xml:space="preserve">分</w:t>
      </w:r>
      <w:r>
        <w:rPr>
          <w:rFonts w:ascii="宋体" w:hAnsi="宋体"/>
          <w:b/>
          <w:bCs/>
          <w:color w:val="auto"/>
          <w:sz w:val="24"/>
          <w:szCs w:val="24"/>
          <w:highlight w:val="none"/>
        </w:rPr>
        <w:t xml:space="preserve">）：无方案不得分。</w:t>
      </w:r>
      <w:r>
        <w:rPr>
          <w:color w:val="auto"/>
          <w:highlight w:val="none"/>
        </w:rPr>
      </w:r>
      <w:r/>
    </w:p>
    <w:p>
      <w:pPr>
        <w:pStyle w:val="903"/>
        <w:ind w:firstLine="480"/>
        <w:spacing w:line="500" w:lineRule="exact"/>
        <w:tabs>
          <w:tab w:val="left" w:pos="52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5.1  </w:t>
      </w:r>
      <w:r>
        <w:rPr>
          <w:rFonts w:ascii="SimSun" w:hAnsi="SimSun" w:eastAsia="SimSun" w:cs="SimSun"/>
          <w:color w:val="000000" w:themeColor="text1"/>
          <w:sz w:val="24"/>
        </w:rPr>
        <w:t xml:space="preserve">总体建设方案（9分）：方案内容包括：①项目现状及重难点；②需求及必要性分析。根据方案情况综合给分。</w:t>
      </w:r>
      <w:r>
        <w:rPr>
          <w:color w:val="000000" w:themeColor="text1"/>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方案清晰、合理、详细、全面、针对性强、可行性强，且2项内容方案均齐全的，得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方案较清晰、较合理、较详细、较全面、针对性较强、可行性较强，能够提供2项内容方案的，得8</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方案清晰度、合理性、详细性、全面性、针对性、可行性均一般，能够提供1-2项内容方案的，得7</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方案内容基本满足要求，能够提供1-2项内容方案的，得6</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5.2  算法模型方案（</w:t>
      </w:r>
      <w:r>
        <w:rPr>
          <w:rFonts w:hint="eastAsia" w:ascii="宋体" w:hAnsi="宋体"/>
          <w:color w:val="auto"/>
          <w:sz w:val="24"/>
          <w:highlight w:val="none"/>
        </w:rPr>
        <w:t xml:space="preserve">10</w:t>
      </w:r>
      <w:r>
        <w:rPr>
          <w:rFonts w:hint="eastAsia" w:ascii="宋体" w:hAnsi="宋体"/>
          <w:color w:val="auto"/>
          <w:sz w:val="24"/>
          <w:highlight w:val="none"/>
        </w:rPr>
        <w:t xml:space="preserve">分）：</w:t>
      </w:r>
      <w:r>
        <w:rPr>
          <w:rFonts w:hint="eastAsia" w:ascii="宋体" w:hAnsi="宋体"/>
          <w:color w:val="auto"/>
          <w:sz w:val="24"/>
          <w:highlight w:val="none"/>
        </w:rPr>
        <w:t xml:space="preserve">方案内容包括：①</w:t>
      </w:r>
      <w:r>
        <w:rPr>
          <w:rFonts w:hint="eastAsia" w:ascii="宋体" w:hAnsi="宋体"/>
          <w:color w:val="auto"/>
          <w:sz w:val="24"/>
          <w:highlight w:val="none"/>
        </w:rPr>
        <w:t xml:space="preserve">产业运行分析模型</w:t>
      </w:r>
      <w:r>
        <w:rPr>
          <w:rFonts w:hint="eastAsia" w:ascii="宋体" w:hAnsi="宋体"/>
          <w:color w:val="auto"/>
          <w:sz w:val="24"/>
          <w:highlight w:val="none"/>
        </w:rPr>
        <w:t xml:space="preserve">；②</w:t>
      </w:r>
      <w:r>
        <w:rPr>
          <w:rFonts w:hint="eastAsia" w:ascii="宋体" w:hAnsi="宋体"/>
          <w:color w:val="auto"/>
          <w:sz w:val="24"/>
          <w:highlight w:val="none"/>
        </w:rPr>
        <w:t xml:space="preserve">产业链分析模型</w:t>
      </w:r>
      <w:r>
        <w:rPr>
          <w:rFonts w:hint="eastAsia" w:ascii="宋体" w:hAnsi="宋体"/>
          <w:color w:val="auto"/>
          <w:sz w:val="24"/>
          <w:highlight w:val="none"/>
        </w:rPr>
        <w:t xml:space="preserve">；③</w:t>
      </w:r>
      <w:r>
        <w:rPr>
          <w:rFonts w:hint="eastAsia" w:ascii="宋体" w:hAnsi="宋体"/>
          <w:color w:val="auto"/>
          <w:sz w:val="24"/>
          <w:highlight w:val="none"/>
        </w:rPr>
        <w:t xml:space="preserve">企业分析模型</w:t>
      </w:r>
      <w:r>
        <w:rPr>
          <w:rFonts w:hint="eastAsia" w:ascii="宋体" w:hAnsi="宋体"/>
          <w:color w:val="auto"/>
          <w:sz w:val="24"/>
          <w:highlight w:val="none"/>
        </w:rPr>
        <w:t xml:space="preserve">；④</w:t>
      </w:r>
      <w:r>
        <w:rPr>
          <w:rFonts w:hint="eastAsia" w:ascii="宋体" w:hAnsi="宋体"/>
          <w:color w:val="auto"/>
          <w:sz w:val="24"/>
          <w:highlight w:val="none"/>
        </w:rPr>
        <w:t xml:space="preserve">产业智能招商模型</w:t>
      </w:r>
      <w:r>
        <w:rPr>
          <w:rFonts w:hint="eastAsia" w:ascii="宋体" w:hAnsi="宋体"/>
          <w:color w:val="auto"/>
          <w:sz w:val="24"/>
          <w:highlight w:val="none"/>
        </w:rPr>
        <w:t xml:space="preserve">；⑤</w:t>
      </w:r>
      <w:r>
        <w:rPr>
          <w:rFonts w:hint="eastAsia" w:ascii="宋体" w:hAnsi="宋体"/>
          <w:color w:val="auto"/>
          <w:sz w:val="24"/>
          <w:highlight w:val="none"/>
        </w:rPr>
        <w:t xml:space="preserve">空间分析模型</w:t>
      </w:r>
      <w:r>
        <w:rPr>
          <w:rFonts w:hint="eastAsia" w:ascii="宋体" w:hAnsi="宋体"/>
          <w:color w:val="auto"/>
          <w:sz w:val="24"/>
          <w:highlight w:val="none"/>
        </w:rPr>
        <w:t xml:space="preserve">；⑥</w:t>
      </w:r>
      <w:r>
        <w:rPr>
          <w:rFonts w:hint="eastAsia" w:ascii="宋体" w:hAnsi="宋体"/>
          <w:color w:val="auto"/>
          <w:sz w:val="24"/>
          <w:highlight w:val="none"/>
        </w:rPr>
        <w:t xml:space="preserve">人物分析模型</w:t>
      </w:r>
      <w:r>
        <w:rPr>
          <w:rFonts w:hint="eastAsia" w:ascii="宋体" w:hAnsi="宋体"/>
          <w:color w:val="auto"/>
          <w:sz w:val="24"/>
          <w:highlight w:val="none"/>
        </w:rPr>
        <w:t xml:space="preserve">；⑦</w:t>
      </w:r>
      <w:r>
        <w:rPr>
          <w:rFonts w:hint="eastAsia" w:ascii="宋体" w:hAnsi="宋体"/>
          <w:color w:val="auto"/>
          <w:sz w:val="24"/>
          <w:highlight w:val="none"/>
        </w:rPr>
        <w:t xml:space="preserve">标签分析模型等算法模型</w:t>
      </w:r>
      <w:r>
        <w:rPr>
          <w:rFonts w:hint="eastAsia" w:ascii="宋体" w:hAnsi="宋体"/>
          <w:color w:val="auto"/>
          <w:sz w:val="24"/>
          <w:highlight w:val="none"/>
        </w:rPr>
        <w:t xml:space="preserve">。根据方案情况综合给分。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方案清晰、合理、详细、全面、针对性强、可行性强，且7项内容方案均齐全的，</w:t>
      </w:r>
      <w:r>
        <w:rPr>
          <w:rFonts w:hint="eastAsia" w:ascii="宋体" w:hAnsi="宋体"/>
          <w:color w:val="auto"/>
          <w:sz w:val="24"/>
          <w:highlight w:val="none"/>
        </w:rPr>
        <w:t xml:space="preserve">得</w:t>
      </w:r>
      <w:r>
        <w:rPr>
          <w:rFonts w:hint="eastAsia" w:ascii="宋体" w:hAnsi="宋体"/>
          <w:color w:val="auto"/>
          <w:sz w:val="24"/>
          <w:highlight w:val="none"/>
        </w:rPr>
        <w:t xml:space="preserve">10</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5</w:t>
      </w:r>
      <w:r>
        <w:rPr>
          <w:rFonts w:hint="eastAsia" w:ascii="宋体" w:hAnsi="宋体"/>
          <w:color w:val="auto"/>
          <w:sz w:val="24"/>
          <w:highlight w:val="none"/>
        </w:rPr>
        <w:t xml:space="preserve">-7</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w:t>
      </w:r>
      <w:r>
        <w:rPr>
          <w:rFonts w:hint="eastAsia" w:ascii="宋体" w:hAnsi="宋体"/>
          <w:color w:val="auto"/>
          <w:sz w:val="24"/>
          <w:highlight w:val="none"/>
        </w:rPr>
        <w:t xml:space="preserve">4</w:t>
      </w:r>
      <w:r>
        <w:rPr>
          <w:rFonts w:hint="eastAsia" w:ascii="宋体" w:hAnsi="宋体"/>
          <w:color w:val="auto"/>
          <w:sz w:val="24"/>
          <w:highlight w:val="none"/>
        </w:rPr>
        <w:t xml:space="preserve">-7</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w:t>
      </w:r>
      <w:r>
        <w:rPr>
          <w:rFonts w:hint="eastAsia" w:ascii="宋体" w:hAnsi="宋体"/>
          <w:color w:val="auto"/>
          <w:sz w:val="24"/>
          <w:highlight w:val="none"/>
        </w:rPr>
        <w:t xml:space="preserve">3</w:t>
      </w:r>
      <w:r>
        <w:rPr>
          <w:rFonts w:hint="eastAsia" w:ascii="宋体" w:hAnsi="宋体"/>
          <w:color w:val="auto"/>
          <w:sz w:val="24"/>
          <w:highlight w:val="none"/>
        </w:rPr>
        <w:t xml:space="preserve">-7</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方案内容不足</w:t>
      </w:r>
      <w:r>
        <w:rPr>
          <w:rFonts w:hint="eastAsia" w:ascii="宋体" w:hAnsi="宋体"/>
          <w:color w:val="auto"/>
          <w:sz w:val="24"/>
          <w:highlight w:val="none"/>
        </w:rPr>
        <w:t xml:space="preserve">3</w:t>
      </w:r>
      <w:r>
        <w:rPr>
          <w:rFonts w:hint="eastAsia" w:ascii="宋体" w:hAnsi="宋体"/>
          <w:color w:val="auto"/>
          <w:sz w:val="24"/>
          <w:highlight w:val="none"/>
        </w:rPr>
        <w:t xml:space="preserve">项或</w:t>
      </w: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5.3  </w:t>
      </w:r>
      <w:r>
        <w:rPr>
          <w:rFonts w:hint="eastAsia" w:ascii="宋体" w:hAnsi="宋体"/>
          <w:color w:val="auto"/>
          <w:sz w:val="24"/>
          <w:highlight w:val="none"/>
        </w:rPr>
        <w:t xml:space="preserve">数据设计方案（13分）：方案内容包括：①基础数据，包括股东信息、经营信息、投融资信息、专利信息等企业信息，以及药品申报与临床试验、器械注册与备案指标等创新成果信息。②从数据主题域维度、数据更新频率、数据类型等角度进行分析，包含产业现状与趋势、产业政策、产业链数据、产业载体等。根据方案情况综合给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2</w:t>
      </w:r>
      <w:r>
        <w:rPr>
          <w:rFonts w:hint="eastAsia" w:ascii="宋体" w:hAnsi="宋体"/>
          <w:color w:val="auto"/>
          <w:sz w:val="24"/>
          <w:highlight w:val="none"/>
        </w:rPr>
        <w:t xml:space="preserve">项内容方案均齐全的，得13</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11</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w:t>
      </w:r>
      <w:r>
        <w:rPr>
          <w:rFonts w:hint="eastAsia" w:ascii="宋体" w:hAnsi="宋体"/>
          <w:color w:val="auto"/>
          <w:sz w:val="24"/>
          <w:highlight w:val="none"/>
        </w:rPr>
        <w:t xml:space="preserve">1-2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w:t>
      </w:r>
      <w:r>
        <w:rPr>
          <w:rFonts w:hint="eastAsia" w:ascii="宋体" w:hAnsi="宋体"/>
          <w:color w:val="auto"/>
          <w:sz w:val="24"/>
          <w:highlight w:val="none"/>
        </w:rPr>
        <w:t xml:space="preserve">1-2</w:t>
      </w:r>
      <w:r>
        <w:rPr>
          <w:rFonts w:hint="eastAsia" w:ascii="宋体" w:hAnsi="宋体"/>
          <w:color w:val="auto"/>
          <w:sz w:val="24"/>
          <w:highlight w:val="none"/>
        </w:rPr>
        <w:t xml:space="preserve">项内容方案的，得7</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5.4  安全方案（</w:t>
      </w:r>
      <w:r>
        <w:rPr>
          <w:rFonts w:hint="eastAsia" w:ascii="宋体" w:hAnsi="宋体"/>
          <w:color w:val="auto"/>
          <w:sz w:val="24"/>
          <w:highlight w:val="none"/>
        </w:rPr>
        <w:t xml:space="preserve">9</w:t>
      </w:r>
      <w:r>
        <w:rPr>
          <w:rFonts w:hint="eastAsia" w:ascii="宋体" w:hAnsi="宋体"/>
          <w:color w:val="auto"/>
          <w:sz w:val="24"/>
          <w:highlight w:val="none"/>
        </w:rPr>
        <w:t xml:space="preserve">分）：方案内容包括：①网络与主机安全；②应用系统安全；③数据安全；④账号安全。根据方案情况综合给分。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方案清晰、合理、详细、全面、针对性强、可行性强，且4项内容方案均齐全的，得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方案较清晰、较合理、较详细、较全面、针对性较强、可行性较强，能够提供3-4项内容方案的，得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方案清晰度、合理性、详细性、全面性、针对性、可行性均一般，能够提供2-4项内容方案的，得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方案内容基本满足要求，能够提供1-4项内容方案的，得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5.5  项目实施及管理方案（</w:t>
      </w:r>
      <w:r>
        <w:rPr>
          <w:rFonts w:hint="eastAsia" w:ascii="宋体" w:hAnsi="宋体"/>
          <w:color w:val="auto"/>
          <w:sz w:val="24"/>
          <w:highlight w:val="none"/>
        </w:rPr>
        <w:t xml:space="preserve">9</w:t>
      </w:r>
      <w:r>
        <w:rPr>
          <w:rFonts w:hint="eastAsia" w:ascii="宋体" w:hAnsi="宋体"/>
          <w:color w:val="auto"/>
          <w:sz w:val="24"/>
          <w:highlight w:val="none"/>
        </w:rPr>
        <w:t xml:space="preserve">分）：方案内容包括：①项目实施及管理方案；②进度计划安排；③组织管理、质量管理、进度管理措施。</w:t>
      </w:r>
      <w:r>
        <w:rPr>
          <w:rFonts w:hint="eastAsia" w:ascii="宋体" w:hAnsi="宋体"/>
          <w:color w:val="auto"/>
          <w:sz w:val="24"/>
          <w:highlight w:val="none"/>
        </w:rPr>
        <w:t xml:space="preserve">根据方案情况综合给分。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方案清晰度、合理性、详细性、全面性、针对性、可行性均一般，能够提供2-3项内容方案的，得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方案内容基本满足要求，能够提供1-3项内容方案的，得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5.6  培训及售后服务方案（</w:t>
      </w:r>
      <w:r>
        <w:rPr>
          <w:rFonts w:hint="eastAsia" w:ascii="宋体" w:hAnsi="宋体"/>
          <w:color w:val="auto"/>
          <w:sz w:val="24"/>
          <w:highlight w:val="none"/>
        </w:rPr>
        <w:t xml:space="preserve">9</w:t>
      </w:r>
      <w:r>
        <w:rPr>
          <w:rFonts w:hint="eastAsia" w:ascii="宋体" w:hAnsi="宋体"/>
          <w:color w:val="auto"/>
          <w:sz w:val="24"/>
          <w:highlight w:val="none"/>
        </w:rPr>
        <w:t xml:space="preserve">分）：方案内容包括：①培训方案；②售后服务方案；③管理措施方案；④运维服务方案。根据方案情况综合给分。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3-4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w:t>
      </w:r>
      <w:r>
        <w:rPr>
          <w:rFonts w:hint="eastAsia" w:ascii="宋体" w:hAnsi="宋体"/>
          <w:color w:val="auto"/>
          <w:sz w:val="24"/>
          <w:highlight w:val="none"/>
        </w:rPr>
        <w:t xml:space="preserve">2-</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w:t>
      </w:r>
      <w:r>
        <w:rPr>
          <w:rFonts w:hint="eastAsia" w:ascii="宋体" w:hAnsi="宋体"/>
          <w:color w:val="auto"/>
          <w:sz w:val="24"/>
          <w:highlight w:val="none"/>
        </w:rPr>
        <w:t xml:space="preserve">1-</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r/>
    </w:p>
    <w:p>
      <w:pPr>
        <w:pStyle w:val="903"/>
        <w:ind w:firstLine="480"/>
        <w:spacing w:line="500" w:lineRule="exact"/>
        <w:tabs>
          <w:tab w:val="left" w:pos="525" w:leader="none"/>
        </w:tabs>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903"/>
        <w:ind w:firstLine="480"/>
        <w:spacing w:line="500" w:lineRule="exact"/>
        <w:tabs>
          <w:tab w:val="left" w:pos="525" w:leader="none"/>
        </w:tabs>
        <w:rPr>
          <w:rFonts w:ascii="宋体" w:hAnsi="宋体"/>
          <w:color w:val="auto"/>
          <w:sz w:val="24"/>
          <w:highlight w:val="none"/>
        </w:rPr>
      </w:pPr>
      <w:r>
        <w:rPr>
          <w:rFonts w:ascii="宋体" w:hAnsi="宋体"/>
          <w:color w:val="auto"/>
          <w:sz w:val="24"/>
          <w:highlight w:val="none"/>
        </w:rPr>
      </w:r>
      <w:r>
        <w:rPr>
          <w:color w:val="auto"/>
          <w:highlight w:val="none"/>
        </w:rPr>
      </w:r>
      <w:r/>
    </w:p>
    <w:p>
      <w:pPr>
        <w:pStyle w:val="991"/>
        <w:jc w:val="center"/>
        <w:spacing w:before="0" w:after="0" w:line="500" w:lineRule="exact"/>
        <w:rPr>
          <w:rFonts w:hint="eastAsia" w:ascii="黑体" w:hAnsi="黑体" w:eastAsia="黑体"/>
          <w:color w:val="auto"/>
          <w:sz w:val="36"/>
          <w:szCs w:val="36"/>
          <w:highlight w:val="none"/>
        </w:rPr>
      </w:pPr>
      <w:r>
        <w:rPr>
          <w:rFonts w:ascii="宋体" w:hAnsi="宋体"/>
          <w:color w:val="auto"/>
          <w:highlight w:val="none"/>
        </w:rPr>
        <w:br w:type="page" w:clear="all"/>
      </w:r>
      <w:r>
        <w:rPr>
          <w:rFonts w:hint="eastAsia" w:ascii="黑体" w:hAnsi="黑体" w:eastAsia="黑体"/>
          <w:color w:val="auto"/>
          <w:sz w:val="36"/>
          <w:szCs w:val="36"/>
          <w:highlight w:val="none"/>
        </w:rPr>
        <w:t xml:space="preserve">第六章  </w:t>
      </w:r>
      <w:bookmarkEnd w:id="191"/>
      <w:r>
        <w:rPr>
          <w:color w:val="auto"/>
          <w:highlight w:val="none"/>
        </w:rPr>
      </w:r>
      <w:bookmarkEnd w:id="192"/>
      <w:r>
        <w:rPr>
          <w:color w:val="auto"/>
          <w:highlight w:val="none"/>
        </w:rPr>
      </w:r>
      <w:bookmarkEnd w:id="195"/>
      <w:r>
        <w:rPr>
          <w:rFonts w:hint="eastAsia" w:ascii="黑体" w:hAnsi="黑体" w:eastAsia="黑体"/>
          <w:color w:val="auto"/>
          <w:sz w:val="36"/>
          <w:szCs w:val="36"/>
          <w:highlight w:val="none"/>
        </w:rPr>
        <w:t xml:space="preserve">投标文件内容与格式</w:t>
      </w:r>
      <w:r>
        <w:rPr>
          <w:color w:val="auto"/>
          <w:highlight w:val="none"/>
        </w:rPr>
      </w:r>
      <w:r/>
    </w:p>
    <w:p>
      <w:pPr>
        <w:pStyle w:val="991"/>
        <w:ind w:firstLine="602"/>
        <w:spacing w:before="0" w:after="0" w:line="500" w:lineRule="exact"/>
        <w:rPr>
          <w:rFonts w:hint="eastAsia" w:cs="Arial"/>
          <w:b/>
          <w:color w:val="auto"/>
          <w:sz w:val="30"/>
          <w:szCs w:val="30"/>
          <w:highlight w:val="none"/>
        </w:rPr>
      </w:pPr>
      <w:r>
        <w:rPr>
          <w:color w:val="auto"/>
          <w:highlight w:val="none"/>
        </w:rPr>
      </w:r>
      <w:bookmarkStart w:id="196" w:name="_Hlt26955039"/>
      <w:r>
        <w:rPr>
          <w:color w:val="auto"/>
          <w:highlight w:val="none"/>
        </w:rPr>
      </w:r>
      <w:bookmarkEnd w:id="196"/>
      <w:r>
        <w:rPr>
          <w:color w:val="auto"/>
          <w:highlight w:val="none"/>
        </w:rPr>
      </w:r>
      <w:bookmarkStart w:id="197" w:name="_Toc49090576"/>
      <w:r>
        <w:rPr>
          <w:color w:val="auto"/>
          <w:highlight w:val="none"/>
        </w:rPr>
      </w:r>
      <w:bookmarkStart w:id="198" w:name="_Toc120614282"/>
      <w:r>
        <w:rPr>
          <w:color w:val="auto"/>
          <w:highlight w:val="none"/>
        </w:rPr>
      </w:r>
      <w:bookmarkStart w:id="199" w:name="_Toc26554094"/>
      <w:r>
        <w:rPr>
          <w:color w:val="auto"/>
          <w:highlight w:val="none"/>
        </w:rPr>
      </w:r>
      <w:bookmarkStart w:id="200" w:name="_Hlt26671244"/>
      <w:r>
        <w:rPr>
          <w:color w:val="auto"/>
          <w:highlight w:val="none"/>
        </w:rPr>
      </w:r>
      <w:bookmarkEnd w:id="200"/>
      <w:r>
        <w:rPr>
          <w:rFonts w:hint="eastAsia" w:cs="Arial"/>
          <w:b/>
          <w:color w:val="auto"/>
          <w:sz w:val="30"/>
          <w:szCs w:val="30"/>
          <w:highlight w:val="none"/>
        </w:rPr>
        <w:t xml:space="preserve">第一部分  投标文件内容</w:t>
      </w:r>
      <w:r>
        <w:rPr>
          <w:color w:val="auto"/>
          <w:highlight w:val="none"/>
        </w:rPr>
      </w:r>
      <w:r/>
    </w:p>
    <w:p>
      <w:pPr>
        <w:pStyle w:val="99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color w:val="auto"/>
          <w:highlight w:val="none"/>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r/>
          </w:p>
        </w:tc>
        <w:tc>
          <w:tcPr>
            <w:tcW w:w="6104" w:type="dxa"/>
            <w:vAlign w:val="center"/>
            <w:textDirection w:val="lrTb"/>
            <w:noWrap w:val="false"/>
          </w:tcPr>
          <w:p>
            <w:pPr>
              <w:pStyle w:val="99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r/>
          </w:p>
        </w:tc>
        <w:tc>
          <w:tcPr>
            <w:tcW w:w="2449" w:type="dxa"/>
            <w:vAlign w:val="center"/>
            <w:textDirection w:val="lrTb"/>
            <w:noWrap w:val="false"/>
          </w:tcPr>
          <w:p>
            <w:pPr>
              <w:pStyle w:val="99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r/>
          </w:p>
        </w:tc>
      </w:tr>
      <w:tr>
        <w:trPr>
          <w:cantSplit/>
          <w:trHeight w:val="1335"/>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r/>
          </w:p>
        </w:tc>
        <w:tc>
          <w:tcPr>
            <w:tcW w:w="2449" w:type="dxa"/>
            <w:vAlign w:val="center"/>
            <w:vMerge w:val="restart"/>
            <w:textDirection w:val="lrTb"/>
            <w:noWrap w:val="false"/>
          </w:tcPr>
          <w:p>
            <w:pPr>
              <w:pStyle w:val="99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color w:val="auto"/>
                <w:highlight w:val="none"/>
              </w:rPr>
            </w:r>
            <w:r/>
          </w:p>
        </w:tc>
      </w:tr>
      <w:tr>
        <w:trPr>
          <w:cantSplit/>
          <w:trHeight w:val="812"/>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r/>
          </w:p>
        </w:tc>
        <w:tc>
          <w:tcPr>
            <w:tcW w:w="2449" w:type="dxa"/>
            <w:vAlign w:val="center"/>
            <w:vMerge w:val="continue"/>
            <w:textDirection w:val="lrTb"/>
            <w:noWrap w:val="false"/>
          </w:tcPr>
          <w:p>
            <w:pPr>
              <w:pStyle w:val="99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0"/>
                <w:rFonts w:hint="eastAsia" w:ascii="宋体" w:hAnsi="宋体" w:cs="宋体"/>
                <w:color w:val="auto"/>
                <w:sz w:val="24"/>
                <w:szCs w:val="24"/>
                <w:highlight w:val="none"/>
              </w:rPr>
              <w:t xml:space="preserve">。</w:t>
            </w:r>
            <w:r>
              <w:rPr>
                <w:color w:val="auto"/>
                <w:highlight w:val="none"/>
              </w:rPr>
            </w:r>
            <w:r/>
          </w:p>
        </w:tc>
        <w:tc>
          <w:tcPr>
            <w:tcW w:w="2449" w:type="dxa"/>
            <w:vAlign w:val="center"/>
            <w:vMerge w:val="continue"/>
            <w:textDirection w:val="lrTb"/>
            <w:noWrap w:val="false"/>
          </w:tcPr>
          <w:p>
            <w:pPr>
              <w:pStyle w:val="99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r/>
          </w:p>
        </w:tc>
        <w:tc>
          <w:tcPr>
            <w:tcW w:w="2449" w:type="dxa"/>
            <w:vAlign w:val="center"/>
            <w:vMerge w:val="continue"/>
            <w:textDirection w:val="lrTb"/>
            <w:noWrap w:val="false"/>
          </w:tcPr>
          <w:p>
            <w:pPr>
              <w:pStyle w:val="99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r/>
          </w:p>
        </w:tc>
        <w:tc>
          <w:tcPr>
            <w:tcW w:w="2449" w:type="dxa"/>
            <w:vAlign w:val="center"/>
            <w:vMerge w:val="continue"/>
            <w:textDirection w:val="lrTb"/>
            <w:noWrap w:val="false"/>
          </w:tcPr>
          <w:p>
            <w:pPr>
              <w:pStyle w:val="99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r/>
          </w:p>
        </w:tc>
        <w:tc>
          <w:tcPr>
            <w:tcBorders>
              <w:bottom w:val="single" w:color="000000" w:sz="4" w:space="0"/>
            </w:tcBorders>
            <w:tcW w:w="6104" w:type="dxa"/>
            <w:vAlign w:val="center"/>
            <w:textDirection w:val="lrTb"/>
            <w:noWrap w:val="false"/>
          </w:tcPr>
          <w:p>
            <w:pPr>
              <w:pStyle w:val="99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r/>
          </w:p>
        </w:tc>
        <w:tc>
          <w:tcPr>
            <w:tcW w:w="2449" w:type="dxa"/>
            <w:vAlign w:val="center"/>
            <w:vMerge w:val="continue"/>
            <w:textDirection w:val="lrTb"/>
            <w:noWrap w:val="false"/>
          </w:tcPr>
          <w:p>
            <w:pPr>
              <w:pStyle w:val="99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r/>
          </w:p>
        </w:tc>
        <w:tc>
          <w:tcPr>
            <w:tcW w:w="6104" w:type="dxa"/>
            <w:vAlign w:val="center"/>
            <w:textDirection w:val="lrTb"/>
            <w:noWrap w:val="false"/>
          </w:tcPr>
          <w:p>
            <w:pPr>
              <w:pStyle w:val="99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color w:val="auto"/>
                <w:highlight w:val="none"/>
              </w:rPr>
            </w:r>
            <w:r/>
          </w:p>
        </w:tc>
        <w:tc>
          <w:tcPr>
            <w:tcW w:w="2449" w:type="dxa"/>
            <w:vAlign w:val="center"/>
            <w:textDirection w:val="lrTb"/>
            <w:noWrap w:val="false"/>
          </w:tcPr>
          <w:p>
            <w:pPr>
              <w:pStyle w:val="99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color w:val="auto"/>
                <w:highlight w:val="none"/>
              </w:rPr>
            </w:r>
            <w:r/>
          </w:p>
        </w:tc>
      </w:tr>
      <w:tr>
        <w:trPr>
          <w:trHeight w:val="726"/>
        </w:trPr>
        <w:tc>
          <w:tcPr>
            <w:tcW w:w="719" w:type="dxa"/>
            <w:vAlign w:val="center"/>
            <w:textDirection w:val="lrTb"/>
            <w:noWrap w:val="false"/>
          </w:tcPr>
          <w:p>
            <w:pPr>
              <w:pStyle w:val="99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color w:val="auto"/>
                <w:highlight w:val="none"/>
              </w:rPr>
            </w:r>
            <w:r/>
          </w:p>
        </w:tc>
        <w:tc>
          <w:tcPr>
            <w:tcW w:w="6104" w:type="dxa"/>
            <w:vAlign w:val="center"/>
            <w:textDirection w:val="lrTb"/>
            <w:noWrap w:val="false"/>
          </w:tcPr>
          <w:p>
            <w:pPr>
              <w:pStyle w:val="99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color w:val="auto"/>
                <w:highlight w:val="none"/>
              </w:rPr>
            </w:r>
            <w:r/>
          </w:p>
        </w:tc>
        <w:tc>
          <w:tcPr>
            <w:tcW w:w="2449" w:type="dxa"/>
            <w:vAlign w:val="center"/>
            <w:textDirection w:val="lrTb"/>
            <w:noWrap w:val="false"/>
          </w:tcPr>
          <w:p>
            <w:pPr>
              <w:pStyle w:val="99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color w:val="auto"/>
                <w:highlight w:val="none"/>
              </w:rPr>
            </w:r>
            <w:r/>
          </w:p>
        </w:tc>
      </w:tr>
      <w:tr>
        <w:trPr>
          <w:trHeight w:val="632"/>
        </w:trPr>
        <w:tc>
          <w:tcPr>
            <w:tcW w:w="719" w:type="dxa"/>
            <w:vAlign w:val="center"/>
            <w:textDirection w:val="lrTb"/>
            <w:noWrap w:val="false"/>
          </w:tcPr>
          <w:p>
            <w:pPr>
              <w:pStyle w:val="99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r/>
          </w:p>
        </w:tc>
        <w:tc>
          <w:tcPr>
            <w:gridSpan w:val="2"/>
            <w:tcW w:w="8553" w:type="dxa"/>
            <w:vAlign w:val="center"/>
            <w:textDirection w:val="lrTb"/>
            <w:noWrap w:val="false"/>
          </w:tcPr>
          <w:p>
            <w:pPr>
              <w:pStyle w:val="99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color w:val="auto"/>
                <w:highlight w:val="none"/>
              </w:rPr>
            </w:r>
            <w:r/>
          </w:p>
        </w:tc>
      </w:tr>
    </w:tbl>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r/>
    </w:p>
    <w:p>
      <w:pPr>
        <w:pStyle w:val="903"/>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r/>
    </w:p>
    <w:p>
      <w:pPr>
        <w:pStyle w:val="90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auto"/>
          <w:highlight w:val="none"/>
        </w:rPr>
      </w:r>
      <w:r/>
    </w:p>
    <w:p>
      <w:pPr>
        <w:pStyle w:val="90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r/>
    </w:p>
    <w:p>
      <w:pPr>
        <w:pStyle w:val="90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r/>
    </w:p>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color w:val="auto"/>
          <w:highlight w:val="none"/>
        </w:rPr>
      </w:r>
      <w:r/>
    </w:p>
    <w:p>
      <w:pPr>
        <w:pStyle w:val="903"/>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color w:val="auto"/>
          <w:highlight w:val="none"/>
        </w:rPr>
      </w:r>
      <w:r/>
    </w:p>
    <w:p>
      <w:pPr>
        <w:pStyle w:val="903"/>
        <w:rPr>
          <w:b/>
          <w:color w:val="auto"/>
          <w:sz w:val="28"/>
          <w:szCs w:val="28"/>
          <w:highlight w:val="none"/>
        </w:rPr>
      </w:pPr>
      <w:r>
        <w:rPr>
          <w:rFonts w:hint="eastAsia"/>
          <w:b/>
          <w:color w:val="auto"/>
          <w:sz w:val="28"/>
          <w:szCs w:val="28"/>
          <w:highlight w:val="none"/>
        </w:rPr>
        <w:t xml:space="preserve">（一）符合性证明文件</w:t>
      </w:r>
      <w:r>
        <w:rPr>
          <w:color w:val="auto"/>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r/>
          </w:p>
        </w:tc>
        <w:tc>
          <w:tcPr>
            <w:tcW w:w="6095" w:type="dxa"/>
            <w:vAlign w:val="center"/>
            <w:textDirection w:val="lrTb"/>
            <w:noWrap w:val="false"/>
          </w:tcPr>
          <w:p>
            <w:pPr>
              <w:pStyle w:val="99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r/>
          </w:p>
        </w:tc>
        <w:tc>
          <w:tcPr>
            <w:tcW w:w="1979" w:type="dxa"/>
            <w:vAlign w:val="center"/>
            <w:textDirection w:val="lrTb"/>
            <w:noWrap w:val="false"/>
          </w:tcPr>
          <w:p>
            <w:pPr>
              <w:pStyle w:val="99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r/>
          </w:p>
        </w:tc>
        <w:tc>
          <w:tcPr>
            <w:tcW w:w="1979" w:type="dxa"/>
            <w:vAlign w:val="center"/>
            <w:vMerge w:val="restart"/>
            <w:textDirection w:val="lrTb"/>
            <w:noWrap w:val="false"/>
          </w:tcPr>
          <w:p>
            <w:pPr>
              <w:pStyle w:val="99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r/>
          </w:p>
        </w:tc>
        <w:tc>
          <w:tcPr>
            <w:tcW w:w="1979" w:type="dxa"/>
            <w:vAlign w:val="center"/>
            <w:vMerge w:val="continue"/>
            <w:textDirection w:val="lrTb"/>
            <w:noWrap w:val="false"/>
          </w:tcPr>
          <w:p>
            <w:pPr>
              <w:pStyle w:val="99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w:t>
            </w:r>
            <w:r>
              <w:rPr>
                <w:rFonts w:hint="eastAsia" w:ascii="宋体" w:hAnsi="宋体"/>
                <w:color w:val="auto"/>
                <w:highlight w:val="none"/>
              </w:rPr>
              <w:t xml:space="preserve">给定格式</w:t>
            </w:r>
            <w:r>
              <w:rPr>
                <w:rFonts w:hint="eastAsia" w:ascii="宋体" w:hAnsi="宋体"/>
                <w:color w:val="auto"/>
                <w:highlight w:val="none"/>
              </w:rPr>
              <w:t xml:space="preserve">）</w:t>
            </w:r>
            <w:r>
              <w:rPr>
                <w:color w:val="auto"/>
                <w:highlight w:val="none"/>
              </w:rPr>
            </w:r>
            <w:r/>
          </w:p>
        </w:tc>
        <w:tc>
          <w:tcPr>
            <w:tcW w:w="1979" w:type="dxa"/>
            <w:vAlign w:val="center"/>
            <w:vMerge w:val="restart"/>
            <w:textDirection w:val="lrTb"/>
            <w:noWrap w:val="false"/>
          </w:tcPr>
          <w:p>
            <w:pPr>
              <w:pStyle w:val="99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color w:val="auto"/>
                <w:highlight w:val="none"/>
              </w:rPr>
            </w:r>
            <w:r/>
          </w:p>
        </w:tc>
        <w:tc>
          <w:tcPr>
            <w:tcW w:w="1979" w:type="dxa"/>
            <w:vAlign w:val="center"/>
            <w:vMerge w:val="continue"/>
            <w:textDirection w:val="lrTb"/>
            <w:noWrap w:val="false"/>
          </w:tcPr>
          <w:p>
            <w:pPr>
              <w:pStyle w:val="99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color w:val="auto"/>
                <w:highlight w:val="none"/>
              </w:rPr>
            </w:r>
            <w:r/>
          </w:p>
        </w:tc>
        <w:tc>
          <w:tcPr>
            <w:tcW w:w="1979" w:type="dxa"/>
            <w:vAlign w:val="center"/>
            <w:vMerge w:val="restart"/>
            <w:textDirection w:val="lrTb"/>
            <w:noWrap w:val="false"/>
          </w:tcPr>
          <w:p>
            <w:pPr>
              <w:pStyle w:val="99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r/>
          </w:p>
        </w:tc>
      </w:tr>
      <w:tr>
        <w:trPr>
          <w:cantSplit/>
          <w:trHeight w:val="567"/>
        </w:trPr>
        <w:tc>
          <w:tcPr>
            <w:tcW w:w="823" w:type="dxa"/>
            <w:vAlign w:val="center"/>
            <w:textDirection w:val="lrTb"/>
            <w:noWrap w:val="false"/>
          </w:tcPr>
          <w:p>
            <w:pPr>
              <w:pStyle w:val="99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r/>
          </w:p>
        </w:tc>
        <w:tc>
          <w:tcPr>
            <w:tcW w:w="6095" w:type="dxa"/>
            <w:vAlign w:val="center"/>
            <w:textDirection w:val="lrTb"/>
            <w:noWrap w:val="false"/>
          </w:tcPr>
          <w:p>
            <w:pPr>
              <w:pStyle w:val="99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r/>
          </w:p>
        </w:tc>
        <w:tc>
          <w:tcPr>
            <w:tcW w:w="1979" w:type="dxa"/>
            <w:vAlign w:val="center"/>
            <w:vMerge w:val="continue"/>
            <w:textDirection w:val="lrTb"/>
            <w:noWrap w:val="false"/>
          </w:tcPr>
          <w:p>
            <w:pPr>
              <w:pStyle w:val="991"/>
              <w:ind w:firstLine="0"/>
              <w:jc w:val="center"/>
              <w:spacing w:before="0" w:after="0" w:line="240" w:lineRule="auto"/>
              <w:rPr>
                <w:rFonts w:hint="eastAsia" w:cs="Arial"/>
              </w:rPr>
            </w:pPr>
            <w:r>
              <w:rPr>
                <w:rFonts w:hint="eastAsia" w:cs="Arial"/>
              </w:rPr>
            </w:r>
            <w:r/>
          </w:p>
        </w:tc>
      </w:tr>
    </w:tbl>
    <w:p>
      <w:pPr>
        <w:pStyle w:val="90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r/>
    </w:p>
    <w:p>
      <w:pPr>
        <w:pStyle w:val="903"/>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r/>
    </w:p>
    <w:p>
      <w:pPr>
        <w:pStyle w:val="903"/>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color w:val="auto"/>
          <w:highlight w:val="none"/>
        </w:rPr>
      </w:r>
      <w:r/>
    </w:p>
    <w:p>
      <w:pPr>
        <w:pStyle w:val="903"/>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color w:val="auto"/>
          <w:highlight w:val="none"/>
        </w:rPr>
      </w:r>
      <w:r/>
    </w:p>
    <w:p>
      <w:pPr>
        <w:pStyle w:val="903"/>
        <w:rPr>
          <w:rFonts w:hint="eastAsia"/>
          <w:b/>
          <w:color w:val="auto"/>
          <w:sz w:val="28"/>
          <w:szCs w:val="28"/>
          <w:highlight w:val="none"/>
        </w:rPr>
      </w:pPr>
      <w:r>
        <w:rPr>
          <w:rFonts w:hint="eastAsia"/>
          <w:b/>
          <w:color w:val="auto"/>
          <w:sz w:val="28"/>
          <w:szCs w:val="28"/>
          <w:highlight w:val="none"/>
        </w:rPr>
      </w:r>
      <w:r>
        <w:rPr>
          <w:color w:val="auto"/>
          <w:highlight w:val="none"/>
        </w:rPr>
      </w:r>
      <w:r/>
    </w:p>
    <w:p>
      <w:pPr>
        <w:pStyle w:val="903"/>
        <w:rPr>
          <w:rFonts w:hint="eastAsia"/>
          <w:b/>
          <w:color w:val="auto"/>
          <w:sz w:val="28"/>
          <w:szCs w:val="28"/>
          <w:highlight w:val="none"/>
        </w:rPr>
      </w:pPr>
      <w:r>
        <w:rPr>
          <w:rFonts w:hint="eastAsia"/>
          <w:b/>
          <w:color w:val="auto"/>
          <w:sz w:val="28"/>
          <w:szCs w:val="28"/>
          <w:highlight w:val="none"/>
        </w:rPr>
        <w:t xml:space="preserve">（二）其他证明文件</w:t>
      </w:r>
      <w:r>
        <w:rPr>
          <w:color w:val="auto"/>
          <w:highlight w:val="none"/>
        </w:rPr>
      </w:r>
      <w:r/>
    </w:p>
    <w:p>
      <w:pPr>
        <w:pStyle w:val="903"/>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r/>
    </w:p>
    <w:p>
      <w:pPr>
        <w:pStyle w:val="903"/>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r/>
    </w:p>
    <w:p>
      <w:pPr>
        <w:pStyle w:val="903"/>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r/>
    </w:p>
    <w:p>
      <w:pPr>
        <w:pStyle w:val="99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p>
    <w:p>
      <w:pPr>
        <w:pStyle w:val="90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JSZC-320200-JZCG-G2025-0191</w:t>
      </w:r>
      <w:r>
        <w:rPr>
          <w:color w:val="auto"/>
          <w:highlight w:val="none"/>
        </w:rPr>
      </w:r>
      <w:r/>
    </w:p>
    <w:p>
      <w:pPr>
        <w:pStyle w:val="90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无锡市生物医药产业大脑项目</w:t>
      </w:r>
      <w:r>
        <w:rPr>
          <w:color w:val="auto"/>
          <w:highlight w:val="none"/>
        </w:rPr>
      </w:r>
      <w:r/>
    </w:p>
    <w:p>
      <w:pPr>
        <w:pStyle w:val="90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r/>
    </w:p>
    <w:p>
      <w:pPr>
        <w:pStyle w:val="90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color w:val="auto"/>
          <w:highlight w:val="none"/>
        </w:rPr>
      </w:r>
      <w:r/>
    </w:p>
    <w:p>
      <w:pPr>
        <w:pStyle w:val="903"/>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color w:val="auto"/>
          <w:highlight w:val="none"/>
        </w:rPr>
      </w:r>
      <w:r/>
    </w:p>
    <w:p>
      <w:pPr>
        <w:pStyle w:val="903"/>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color w:val="auto"/>
          <w:highlight w:val="none"/>
        </w:rPr>
      </w:r>
      <w:r/>
    </w:p>
    <w:p>
      <w:pPr>
        <w:pStyle w:val="989"/>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JSZC-320200-JZCG-G2025-0191</w:t>
      </w:r>
      <w:r>
        <w:rPr>
          <w:rFonts w:hint="eastAsia" w:ascii="宋体" w:hAnsi="宋体"/>
          <w:bCs/>
          <w:color w:val="auto"/>
          <w:sz w:val="24"/>
          <w:szCs w:val="24"/>
          <w:highlight w:val="none"/>
        </w:rPr>
        <w:t xml:space="preserve">项目，兹授权：</w:t>
      </w:r>
      <w:r>
        <w:rPr>
          <w:color w:val="auto"/>
          <w:highlight w:val="none"/>
        </w:rPr>
      </w:r>
      <w:r/>
    </w:p>
    <w:p>
      <w:pPr>
        <w:pStyle w:val="989"/>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p>
    <w:p>
      <w:pPr>
        <w:pStyle w:val="989"/>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p>
    <w:p>
      <w:pPr>
        <w:pStyle w:val="989"/>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r/>
    </w:p>
    <w:p>
      <w:pPr>
        <w:pStyle w:val="989"/>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r/>
    </w:p>
    <w:p>
      <w:pPr>
        <w:pStyle w:val="989"/>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r/>
    </w:p>
    <w:p>
      <w:pPr>
        <w:pStyle w:val="989"/>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color w:val="auto"/>
          <w:highlight w:val="none"/>
        </w:rPr>
      </w:r>
      <w:r/>
    </w:p>
    <w:p>
      <w:pPr>
        <w:pStyle w:val="989"/>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color w:val="auto"/>
          <w:highlight w:val="none"/>
        </w:rPr>
      </w:r>
      <w:r/>
    </w:p>
    <w:p>
      <w:pPr>
        <w:pStyle w:val="989"/>
        <w:ind w:firstLine="0"/>
        <w:rPr>
          <w:rFonts w:hint="eastAsia"/>
          <w:color w:val="auto"/>
          <w:sz w:val="24"/>
          <w:szCs w:val="24"/>
          <w:highlight w:val="none"/>
        </w:rPr>
      </w:pPr>
      <w:r>
        <w:rPr>
          <w:rFonts w:hint="eastAsia" w:ascii="宋体" w:hAnsi="宋体" w:cs="宋体"/>
          <w:b/>
          <w:color w:val="auto"/>
          <w:szCs w:val="28"/>
          <w:highlight w:val="none"/>
          <w:u w:val="single"/>
        </w:rPr>
        <w:t xml:space="preserve">投标</w:t>
      </w:r>
      <w:r>
        <w:rPr>
          <w:rFonts w:hint="eastAsia" w:ascii="宋体" w:hAnsi="宋体" w:cs="宋体"/>
          <w:b/>
          <w:color w:val="auto"/>
          <w:szCs w:val="28"/>
          <w:highlight w:val="none"/>
          <w:u w:val="single"/>
        </w:rPr>
        <w:t xml:space="preserve">文件中</w:t>
      </w:r>
      <w:r>
        <w:rPr>
          <w:rFonts w:hint="eastAsia" w:ascii="宋体" w:hAnsi="宋体" w:cs="宋体"/>
          <w:b/>
          <w:color w:val="auto"/>
          <w:szCs w:val="28"/>
          <w:highlight w:val="none"/>
          <w:u w:val="single"/>
        </w:rPr>
        <w:t xml:space="preserve">须提供本授权委托书中的</w:t>
      </w:r>
      <w:r>
        <w:rPr>
          <w:rFonts w:hint="eastAsia" w:ascii="宋体" w:hAnsi="宋体" w:cs="宋体"/>
          <w:b/>
          <w:color w:val="auto"/>
          <w:szCs w:val="28"/>
          <w:highlight w:val="none"/>
          <w:u w:val="single"/>
        </w:rPr>
        <w:t xml:space="preserve">被授权人</w:t>
      </w:r>
      <w:r>
        <w:rPr>
          <w:rFonts w:hint="eastAsia" w:ascii="宋体" w:hAnsi="宋体" w:cs="宋体"/>
          <w:b/>
          <w:color w:val="auto"/>
          <w:szCs w:val="28"/>
          <w:highlight w:val="none"/>
          <w:u w:val="single"/>
        </w:rPr>
        <w:t xml:space="preserve">有效</w:t>
      </w:r>
      <w:r>
        <w:rPr>
          <w:rFonts w:hint="eastAsia" w:ascii="宋体" w:hAnsi="宋体" w:cs="宋体"/>
          <w:b/>
          <w:color w:val="auto"/>
          <w:szCs w:val="28"/>
          <w:highlight w:val="none"/>
          <w:u w:val="single"/>
        </w:rPr>
        <w:t xml:space="preserve">身份证</w:t>
      </w:r>
      <w:r>
        <w:rPr>
          <w:rFonts w:hint="eastAsia" w:ascii="宋体" w:hAnsi="宋体" w:cs="宋体"/>
          <w:b/>
          <w:color w:val="auto"/>
          <w:szCs w:val="28"/>
          <w:highlight w:val="none"/>
          <w:u w:val="single"/>
        </w:rPr>
        <w:t xml:space="preserve">复印件；如被授权人为法定代表人（或以下说明所述的单位负责人）时</w:t>
      </w:r>
      <w:r>
        <w:rPr>
          <w:rFonts w:hint="eastAsia" w:ascii="宋体" w:hAnsi="宋体" w:cs="宋体"/>
          <w:b/>
          <w:color w:val="auto"/>
          <w:szCs w:val="28"/>
          <w:highlight w:val="none"/>
          <w:u w:val="single"/>
        </w:rPr>
        <w:t xml:space="preserve">，</w:t>
      </w:r>
      <w:r>
        <w:rPr>
          <w:rFonts w:hint="eastAsia" w:ascii="宋体" w:hAnsi="宋体" w:cs="宋体"/>
          <w:b/>
          <w:color w:val="auto"/>
          <w:szCs w:val="28"/>
          <w:highlight w:val="none"/>
          <w:u w:val="single"/>
        </w:rPr>
        <w:t xml:space="preserve">则提供法定代表人（或以下说明所述的单位负责人）有效身份证复印件。</w:t>
      </w:r>
      <w:r>
        <w:rPr>
          <w:color w:val="auto"/>
          <w:highlight w:val="none"/>
        </w:rPr>
      </w:r>
      <w:r/>
    </w:p>
    <w:p>
      <w:pPr>
        <w:pStyle w:val="989"/>
        <w:ind w:firstLine="0"/>
        <w:rPr>
          <w:rFonts w:hint="eastAsia"/>
          <w:color w:val="auto"/>
          <w:sz w:val="21"/>
          <w:szCs w:val="21"/>
          <w:highlight w:val="none"/>
        </w:rPr>
      </w:pPr>
      <w:r>
        <w:rPr>
          <w:rFonts w:hint="eastAsia"/>
          <w:color w:val="auto"/>
          <w:sz w:val="21"/>
          <w:szCs w:val="21"/>
          <w:highlight w:val="none"/>
        </w:rPr>
      </w:r>
      <w:r>
        <w:rPr>
          <w:color w:val="auto"/>
          <w:highlight w:val="none"/>
        </w:rPr>
      </w:r>
      <w:r/>
    </w:p>
    <w:p>
      <w:pPr>
        <w:pStyle w:val="989"/>
        <w:ind w:firstLine="0"/>
        <w:spacing w:line="360" w:lineRule="auto"/>
        <w:rPr>
          <w:rFonts w:hint="eastAsia"/>
          <w:color w:val="auto"/>
          <w:sz w:val="21"/>
          <w:szCs w:val="21"/>
          <w:highlight w:val="none"/>
        </w:rPr>
      </w:pPr>
      <w:r>
        <w:rPr>
          <w:rFonts w:hint="eastAsia"/>
          <w:color w:val="auto"/>
          <w:sz w:val="21"/>
          <w:szCs w:val="21"/>
          <w:highlight w:val="none"/>
        </w:rPr>
        <w:t xml:space="preserve">说明：</w:t>
      </w:r>
      <w:r>
        <w:rPr>
          <w:color w:val="auto"/>
          <w:highlight w:val="none"/>
        </w:rPr>
      </w:r>
      <w:r/>
    </w:p>
    <w:p>
      <w:pPr>
        <w:pStyle w:val="989"/>
        <w:numPr>
          <w:ilvl w:val="0"/>
          <w:numId w:val="12"/>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rPr>
          <w:color w:val="auto"/>
          <w:highlight w:val="none"/>
        </w:rPr>
      </w:r>
      <w:r/>
    </w:p>
    <w:p>
      <w:pPr>
        <w:pStyle w:val="989"/>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w:t>
      </w:r>
      <w:r>
        <w:rPr>
          <w:rFonts w:hint="eastAsia" w:ascii="宋体" w:hAnsi="宋体"/>
          <w:color w:val="auto"/>
          <w:sz w:val="21"/>
          <w:szCs w:val="21"/>
          <w:highlight w:val="none"/>
        </w:rPr>
        <w:t xml:space="preserve">被授权人</w:t>
      </w:r>
      <w:r>
        <w:rPr>
          <w:rFonts w:hint="eastAsia" w:ascii="宋体" w:hAnsi="宋体"/>
          <w:color w:val="auto"/>
          <w:sz w:val="21"/>
          <w:szCs w:val="21"/>
          <w:highlight w:val="none"/>
        </w:rPr>
        <w:t xml:space="preserve">相关内容</w:t>
      </w:r>
      <w:r>
        <w:rPr>
          <w:rFonts w:hint="eastAsia" w:ascii="宋体" w:hAnsi="宋体"/>
          <w:color w:val="auto"/>
          <w:sz w:val="21"/>
          <w:szCs w:val="21"/>
          <w:highlight w:val="none"/>
        </w:rPr>
        <w:t xml:space="preserve">填报为</w:t>
      </w:r>
      <w:r>
        <w:rPr>
          <w:rFonts w:hint="eastAsia" w:ascii="宋体" w:hAnsi="宋体"/>
          <w:color w:val="auto"/>
          <w:sz w:val="21"/>
          <w:szCs w:val="21"/>
          <w:highlight w:val="none"/>
        </w:rPr>
        <w:t xml:space="preserve">法定代表人（或上述情况的单位负责人）</w:t>
      </w:r>
      <w:r>
        <w:rPr>
          <w:rFonts w:hint="eastAsia" w:ascii="宋体" w:hAnsi="宋体"/>
          <w:color w:val="auto"/>
          <w:sz w:val="21"/>
          <w:szCs w:val="21"/>
          <w:highlight w:val="none"/>
        </w:rPr>
        <w:t xml:space="preserve">信息</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被授权人签字或盖章</w:t>
      </w:r>
      <w:r>
        <w:rPr>
          <w:rFonts w:hint="eastAsia" w:ascii="宋体" w:hAnsi="宋体"/>
          <w:color w:val="auto"/>
          <w:sz w:val="21"/>
          <w:szCs w:val="21"/>
          <w:highlight w:val="none"/>
        </w:rPr>
        <w:t xml:space="preserve">”处可不用再重复签字或盖章</w:t>
      </w:r>
      <w:r>
        <w:rPr>
          <w:rFonts w:hint="eastAsia" w:ascii="宋体" w:hAnsi="宋体"/>
          <w:color w:val="auto"/>
          <w:sz w:val="21"/>
          <w:szCs w:val="21"/>
          <w:highlight w:val="none"/>
        </w:rPr>
        <w:t xml:space="preserve">。</w:t>
      </w:r>
      <w:r>
        <w:rPr>
          <w:color w:val="auto"/>
          <w:highlight w:val="none"/>
        </w:rPr>
      </w:r>
      <w:r/>
    </w:p>
    <w:p>
      <w:pPr>
        <w:pStyle w:val="989"/>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color w:val="auto"/>
          <w:highlight w:val="none"/>
        </w:rPr>
      </w:r>
      <w:r/>
    </w:p>
    <w:p>
      <w:pPr>
        <w:pStyle w:val="989"/>
        <w:numPr>
          <w:ilvl w:val="0"/>
          <w:numId w:val="12"/>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1"/>
          <w:szCs w:val="21"/>
          <w:highlight w:val="none"/>
        </w:rPr>
        <w:t xml:space="preserve">其他</w:t>
      </w:r>
      <w:r>
        <w:rPr>
          <w:rFonts w:hint="eastAsia" w:ascii="宋体" w:hAnsi="宋体"/>
          <w:bCs/>
          <w:color w:val="auto"/>
          <w:sz w:val="21"/>
          <w:szCs w:val="21"/>
          <w:highlight w:val="none"/>
        </w:rPr>
        <w:t xml:space="preserve">可在中国大陆有效居留的许可证明。</w:t>
      </w:r>
      <w:r>
        <w:rPr>
          <w:color w:val="auto"/>
          <w:highlight w:val="none"/>
        </w:rPr>
      </w:r>
      <w:r/>
    </w:p>
    <w:p>
      <w:pPr>
        <w:pStyle w:val="989"/>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r/>
    </w:p>
    <w:p>
      <w:pPr>
        <w:pStyle w:val="903"/>
        <w:jc w:val="center"/>
        <w:rPr>
          <w:rFonts w:ascii="黑体" w:eastAsia="黑体"/>
          <w:bCs/>
          <w:color w:val="auto"/>
          <w:sz w:val="28"/>
          <w:szCs w:val="28"/>
          <w:highlight w:val="none"/>
        </w:rPr>
        <w:outlineLvl w:val="0"/>
      </w:pPr>
      <w:r>
        <w:rPr>
          <w:color w:val="auto"/>
          <w:highlight w:val="none"/>
        </w:rPr>
      </w:r>
      <w:bookmarkStart w:id="201" w:name="报价方关于资格的声明函（格式）"/>
      <w:r>
        <w:rPr>
          <w:color w:val="auto"/>
          <w:highlight w:val="none"/>
        </w:rPr>
      </w:r>
      <w:bookmarkEnd w:id="201"/>
      <w:r>
        <w:rPr>
          <w:rFonts w:hint="eastAsia" w:ascii="黑体" w:eastAsia="黑体"/>
          <w:bCs/>
          <w:color w:val="auto"/>
          <w:sz w:val="28"/>
          <w:szCs w:val="28"/>
          <w:highlight w:val="none"/>
        </w:rPr>
        <w:t xml:space="preserve">资格声明函</w:t>
      </w:r>
      <w:r>
        <w:rPr>
          <w:color w:val="auto"/>
          <w:highlight w:val="none"/>
        </w:rPr>
      </w:r>
      <w:r/>
    </w:p>
    <w:p>
      <w:pPr>
        <w:pStyle w:val="903"/>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r/>
    </w:p>
    <w:p>
      <w:pPr>
        <w:pStyle w:val="90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color w:val="auto"/>
          <w:highlight w:val="none"/>
        </w:rPr>
      </w:r>
      <w:r/>
    </w:p>
    <w:p>
      <w:pPr>
        <w:pStyle w:val="90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JSZC-320200-JZCG-G2025-0191</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color w:val="auto"/>
          <w:highlight w:val="none"/>
        </w:rPr>
      </w:r>
      <w:r/>
    </w:p>
    <w:p>
      <w:pPr>
        <w:pStyle w:val="90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r/>
    </w:p>
    <w:p>
      <w:pPr>
        <w:pStyle w:val="90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r/>
    </w:p>
    <w:p>
      <w:pPr>
        <w:pStyle w:val="90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r/>
    </w:p>
    <w:p>
      <w:pPr>
        <w:pStyle w:val="903"/>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color w:val="auto"/>
          <w:highlight w:val="none"/>
        </w:rPr>
      </w:r>
      <w:r/>
    </w:p>
    <w:p>
      <w:pPr>
        <w:pStyle w:val="903"/>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r/>
    </w:p>
    <w:p>
      <w:pPr>
        <w:pStyle w:val="90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p>
    <w:p>
      <w:pPr>
        <w:pStyle w:val="903"/>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r/>
    </w:p>
    <w:p>
      <w:pPr>
        <w:pStyle w:val="903"/>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r/>
    </w:p>
    <w:p>
      <w:pPr>
        <w:pStyle w:val="90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r/>
    </w:p>
    <w:p>
      <w:pPr>
        <w:pStyle w:val="90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r/>
    </w:p>
    <w:p>
      <w:pPr>
        <w:pStyle w:val="90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r/>
    </w:p>
    <w:p>
      <w:pPr>
        <w:pStyle w:val="90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r/>
    </w:p>
    <w:p>
      <w:pPr>
        <w:pStyle w:val="90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r/>
    </w:p>
    <w:p>
      <w:pPr>
        <w:pStyle w:val="90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color w:val="auto"/>
          <w:highlight w:val="none"/>
        </w:rPr>
      </w:r>
      <w:r/>
    </w:p>
    <w:p>
      <w:pPr>
        <w:pStyle w:val="90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highlight w:val="none"/>
        </w:rPr>
      </w:r>
      <w:r/>
    </w:p>
    <w:p>
      <w:pPr>
        <w:pStyle w:val="903"/>
        <w:ind w:firstLine="420"/>
        <w:spacing w:line="360" w:lineRule="auto"/>
        <w:rPr>
          <w:rFonts w:hint="eastAsia"/>
          <w:color w:val="auto"/>
          <w:highlight w:val="none"/>
        </w:rPr>
      </w:pPr>
      <w:r>
        <w:rPr>
          <w:rFonts w:hint="eastAsia"/>
          <w:color w:val="auto"/>
          <w:highlight w:val="none"/>
        </w:rPr>
      </w:r>
      <w:r>
        <w:rPr>
          <w:color w:val="auto"/>
          <w:highlight w:val="none"/>
        </w:rPr>
      </w:r>
      <w:r/>
    </w:p>
    <w:p>
      <w:pPr>
        <w:pStyle w:val="903"/>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r/>
    </w:p>
    <w:p>
      <w:pPr>
        <w:pStyle w:val="903"/>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r/>
    </w:p>
    <w:p>
      <w:pPr>
        <w:pStyle w:val="903"/>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r/>
    </w:p>
    <w:p>
      <w:pPr>
        <w:pStyle w:val="903"/>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r/>
    </w:p>
    <w:p>
      <w:pPr>
        <w:pStyle w:val="903"/>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r/>
    </w:p>
    <w:p>
      <w:pPr>
        <w:pStyle w:val="903"/>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color w:val="auto"/>
          <w:highlight w:val="none"/>
        </w:rPr>
      </w:r>
      <w:r/>
    </w:p>
    <w:p>
      <w:pPr>
        <w:pStyle w:val="903"/>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p>
    <w:p>
      <w:pPr>
        <w:pStyle w:val="90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pStyle w:val="90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color w:val="auto"/>
          <w:highlight w:val="none"/>
        </w:rPr>
      </w:r>
      <w:r/>
    </w:p>
    <w:p>
      <w:pPr>
        <w:pStyle w:val="90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p>
    <w:p>
      <w:pPr>
        <w:pStyle w:val="90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p>
    <w:p>
      <w:pPr>
        <w:pStyle w:val="90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color w:val="auto"/>
          <w:highlight w:val="none"/>
        </w:rPr>
      </w:r>
      <w:r/>
    </w:p>
    <w:p>
      <w:pPr>
        <w:pStyle w:val="90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highlight w:val="none"/>
        </w:rPr>
      </w:r>
      <w:r/>
    </w:p>
    <w:p>
      <w:pPr>
        <w:pStyle w:val="903"/>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r/>
    </w:p>
    <w:p>
      <w:pPr>
        <w:pStyle w:val="90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r/>
    </w:p>
    <w:p>
      <w:pPr>
        <w:pStyle w:val="903"/>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color w:val="auto"/>
          <w:highlight w:val="none"/>
        </w:rPr>
      </w:r>
      <w:r/>
    </w:p>
    <w:p>
      <w:pPr>
        <w:pStyle w:val="903"/>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color w:val="auto"/>
          <w:highlight w:val="none"/>
        </w:rPr>
      </w:r>
      <w:r/>
    </w:p>
    <w:p>
      <w:pPr>
        <w:pStyle w:val="903"/>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r/>
    </w:p>
    <w:p>
      <w:pPr>
        <w:pStyle w:val="90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JSZC-320200-JZCG-G2025-0191</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color w:val="auto"/>
          <w:highlight w:val="none"/>
        </w:rPr>
      </w:r>
      <w:r/>
    </w:p>
    <w:p>
      <w:pPr>
        <w:pStyle w:val="903"/>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8"/>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color w:val="auto"/>
          <w:highlight w:val="none"/>
        </w:rPr>
      </w:r>
      <w:r/>
    </w:p>
    <w:p>
      <w:pPr>
        <w:pStyle w:val="90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auto"/>
          <w:highlight w:val="none"/>
        </w:rPr>
      </w:r>
      <w:r/>
    </w:p>
    <w:p>
      <w:pPr>
        <w:pStyle w:val="903"/>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r/>
    </w:p>
    <w:p>
      <w:pPr>
        <w:pStyle w:val="90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color w:val="auto"/>
          <w:highlight w:val="none"/>
        </w:rPr>
      </w:r>
      <w:r/>
    </w:p>
    <w:p>
      <w:pPr>
        <w:pStyle w:val="903"/>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r/>
    </w:p>
    <w:p>
      <w:pPr>
        <w:pStyle w:val="903"/>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p>
    <w:p>
      <w:pPr>
        <w:pStyle w:val="903"/>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r/>
    </w:p>
    <w:p>
      <w:pPr>
        <w:pStyle w:val="903"/>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r/>
    </w:p>
    <w:p>
      <w:pPr>
        <w:pStyle w:val="903"/>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JSZC-320200-JZCG-G2025-0191</w:t>
      </w:r>
      <w:r>
        <w:rPr>
          <w:rFonts w:hint="eastAsia" w:ascii="宋体" w:hAnsi="宋体"/>
          <w:color w:val="auto"/>
          <w:sz w:val="24"/>
          <w:szCs w:val="24"/>
          <w:highlight w:val="none"/>
        </w:rPr>
        <w:t xml:space="preserve">在此承诺：</w:t>
      </w:r>
      <w:r>
        <w:rPr>
          <w:color w:val="auto"/>
          <w:highlight w:val="none"/>
        </w:rPr>
      </w:r>
      <w:r/>
    </w:p>
    <w:p>
      <w:pPr>
        <w:pStyle w:val="903"/>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color w:val="auto"/>
          <w:highlight w:val="none"/>
        </w:rPr>
      </w:r>
      <w:r/>
    </w:p>
    <w:p>
      <w:pPr>
        <w:pStyle w:val="90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r/>
    </w:p>
    <w:p>
      <w:pPr>
        <w:pStyle w:val="903"/>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r/>
    </w:p>
    <w:p>
      <w:pPr>
        <w:pStyle w:val="90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color w:val="auto"/>
          <w:highlight w:val="none"/>
        </w:rPr>
      </w:r>
      <w:r/>
    </w:p>
    <w:p>
      <w:pPr>
        <w:pStyle w:val="903"/>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color w:val="auto"/>
          <w:highlight w:val="none"/>
        </w:rPr>
      </w:r>
      <w:r/>
    </w:p>
    <w:p>
      <w:pPr>
        <w:pStyle w:val="90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r/>
    </w:p>
    <w:p>
      <w:pPr>
        <w:pStyle w:val="903"/>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color w:val="auto"/>
          <w:highlight w:val="none"/>
        </w:rPr>
      </w:r>
      <w:r/>
    </w:p>
    <w:p>
      <w:pPr>
        <w:pStyle w:val="90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r/>
    </w:p>
    <w:p>
      <w:pPr>
        <w:pStyle w:val="903"/>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color w:val="auto"/>
          <w:highlight w:val="none"/>
        </w:rPr>
      </w:r>
      <w:r/>
    </w:p>
    <w:p>
      <w:pPr>
        <w:pStyle w:val="903"/>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p>
    <w:p>
      <w:pPr>
        <w:pStyle w:val="903"/>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p>
    <w:p>
      <w:pPr>
        <w:pStyle w:val="903"/>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r/>
    </w:p>
    <w:p>
      <w:pPr>
        <w:pStyle w:val="903"/>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r/>
    </w:p>
    <w:p>
      <w:pPr>
        <w:pStyle w:val="903"/>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color w:val="auto"/>
          <w:highlight w:val="none"/>
        </w:rPr>
      </w:r>
      <w:r/>
    </w:p>
    <w:p>
      <w:pPr>
        <w:pStyle w:val="903"/>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p>
    <w:p>
      <w:pPr>
        <w:pStyle w:val="903"/>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rPr>
          <w:color w:val="auto"/>
          <w:highlight w:val="none"/>
        </w:rPr>
      </w:r>
      <w:r/>
    </w:p>
    <w:p>
      <w:pPr>
        <w:pStyle w:val="903"/>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p>
    <w:p>
      <w:pPr>
        <w:pStyle w:val="903"/>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JSZC-320200-JZCG-G2025-0191</w:t>
      </w:r>
      <w:r>
        <w:rPr>
          <w:color w:val="auto"/>
          <w:highlight w:val="none"/>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color w:val="auto"/>
                <w:highlight w:val="none"/>
              </w:rPr>
            </w:r>
            <w:r/>
          </w:p>
        </w:tc>
        <w:tc>
          <w:tcPr>
            <w:tcW w:w="3188" w:type="dxa"/>
            <w:vAlign w:val="center"/>
            <w:textDirection w:val="lrTb"/>
            <w:noWrap w:val="false"/>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color w:val="auto"/>
                <w:highlight w:val="none"/>
              </w:rPr>
            </w:r>
            <w:r/>
          </w:p>
        </w:tc>
      </w:tr>
      <w:tr>
        <w:trPr>
          <w:cantSplit/>
          <w:trHeight w:val="1630"/>
        </w:trPr>
        <w:tc>
          <w:tcPr>
            <w:tcW w:w="5697" w:type="dxa"/>
            <w:vAlign w:val="center"/>
            <w:textDirection w:val="lrTb"/>
            <w:noWrap w:val="false"/>
          </w:tcPr>
          <w:p>
            <w:pPr>
              <w:pStyle w:val="1017"/>
              <w:jc w:val="center"/>
              <w:spacing w:line="400" w:lineRule="exact"/>
              <w:rPr>
                <w:rFonts w:hAnsi="宋体"/>
                <w:bCs/>
                <w:color w:val="auto"/>
                <w:szCs w:val="24"/>
                <w:highlight w:val="none"/>
              </w:rPr>
            </w:pPr>
            <w:r>
              <w:rPr>
                <w:rFonts w:hint="eastAsia" w:hAnsi="宋体"/>
                <w:bCs/>
                <w:color w:val="auto"/>
                <w:szCs w:val="24"/>
                <w:highlight w:val="none"/>
              </w:rPr>
              <w:t xml:space="preserve">无锡市生物医药产业大脑项目</w:t>
            </w:r>
            <w:r>
              <w:rPr>
                <w:color w:val="auto"/>
                <w:highlight w:val="none"/>
              </w:rPr>
            </w:r>
            <w:r/>
          </w:p>
        </w:tc>
        <w:tc>
          <w:tcPr>
            <w:tcW w:w="3188" w:type="dxa"/>
            <w:vAlign w:val="center"/>
            <w:textDirection w:val="lrTb"/>
            <w:noWrap w:val="false"/>
          </w:tcPr>
          <w:p>
            <w:pPr>
              <w:pStyle w:val="1017"/>
              <w:jc w:val="center"/>
              <w:rPr>
                <w:rFonts w:hAnsi="宋体"/>
                <w:b/>
                <w:color w:val="auto"/>
                <w:szCs w:val="24"/>
                <w:highlight w:val="none"/>
              </w:rPr>
            </w:pPr>
            <w:r>
              <w:rPr>
                <w:rFonts w:hAnsi="宋体"/>
                <w:b/>
                <w:color w:val="auto"/>
                <w:szCs w:val="24"/>
                <w:highlight w:val="none"/>
              </w:rPr>
            </w:r>
            <w:r>
              <w:rPr>
                <w:color w:val="auto"/>
                <w:highlight w:val="none"/>
              </w:rPr>
            </w:r>
            <w:r/>
          </w:p>
        </w:tc>
      </w:tr>
      <w:tr>
        <w:trPr>
          <w:cantSplit/>
          <w:trHeight w:val="780"/>
        </w:trPr>
        <w:tc>
          <w:tcPr>
            <w:gridSpan w:val="2"/>
            <w:tcW w:w="8885" w:type="dxa"/>
            <w:vAlign w:val="center"/>
            <w:textDirection w:val="lrTb"/>
            <w:noWrap w:val="false"/>
          </w:tcPr>
          <w:p>
            <w:pPr>
              <w:pStyle w:val="903"/>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rPr>
                <w:color w:val="auto"/>
                <w:highlight w:val="none"/>
              </w:rPr>
            </w:r>
            <w:r/>
          </w:p>
        </w:tc>
      </w:tr>
    </w:tbl>
    <w:p>
      <w:pPr>
        <w:pStyle w:val="90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p>
    <w:p>
      <w:pPr>
        <w:pStyle w:val="90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p>
    <w:p>
      <w:pPr>
        <w:pStyle w:val="90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p>
    <w:p>
      <w:pPr>
        <w:pStyle w:val="90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w:t>
      </w:r>
      <w:r>
        <w:rPr>
          <w:rFonts w:hint="eastAsia" w:ascii="黑体" w:eastAsia="黑体"/>
          <w:bCs/>
          <w:color w:val="auto"/>
          <w:sz w:val="24"/>
          <w:szCs w:val="24"/>
          <w:highlight w:val="none"/>
        </w:rPr>
        <w:t xml:space="preserve">因</w:t>
      </w:r>
      <w:r>
        <w:rPr>
          <w:rFonts w:hint="eastAsia" w:ascii="黑体" w:eastAsia="黑体"/>
          <w:bCs/>
          <w:color w:val="auto"/>
          <w:sz w:val="24"/>
          <w:szCs w:val="24"/>
          <w:highlight w:val="none"/>
        </w:rPr>
        <w:t xml:space="preserve">“苏采云”系统</w:t>
      </w:r>
      <w:r>
        <w:rPr>
          <w:rFonts w:hint="eastAsia" w:ascii="黑体" w:eastAsia="黑体"/>
          <w:bCs/>
          <w:color w:val="auto"/>
          <w:sz w:val="24"/>
          <w:szCs w:val="24"/>
          <w:highlight w:val="none"/>
        </w:rPr>
        <w:t xml:space="preserve">自带</w:t>
      </w:r>
      <w:r>
        <w:rPr>
          <w:rFonts w:hint="eastAsia" w:ascii="黑体" w:eastAsia="黑体"/>
          <w:bCs/>
          <w:color w:val="auto"/>
          <w:sz w:val="24"/>
          <w:szCs w:val="24"/>
          <w:highlight w:val="none"/>
        </w:rPr>
        <w:t xml:space="preserve">“开标一览表”模块，</w:t>
      </w:r>
      <w:r>
        <w:rPr>
          <w:rFonts w:hint="eastAsia" w:ascii="黑体" w:eastAsia="黑体"/>
          <w:bCs/>
          <w:color w:val="auto"/>
          <w:sz w:val="24"/>
          <w:szCs w:val="24"/>
          <w:highlight w:val="none"/>
        </w:rPr>
        <w:t xml:space="preserve">投标人</w:t>
      </w:r>
      <w:r>
        <w:rPr>
          <w:rFonts w:hint="eastAsia" w:ascii="黑体" w:eastAsia="黑体"/>
          <w:bCs/>
          <w:color w:val="auto"/>
          <w:sz w:val="24"/>
          <w:szCs w:val="24"/>
          <w:highlight w:val="none"/>
        </w:rPr>
        <w:t xml:space="preserve">须按“苏采云”系统中给定</w:t>
      </w:r>
      <w:r>
        <w:rPr>
          <w:rFonts w:hint="eastAsia" w:ascii="黑体" w:eastAsia="黑体"/>
          <w:bCs/>
          <w:color w:val="auto"/>
          <w:sz w:val="24"/>
          <w:szCs w:val="24"/>
          <w:highlight w:val="none"/>
        </w:rPr>
        <w:t xml:space="preserve">的</w:t>
      </w:r>
      <w:r>
        <w:rPr>
          <w:rFonts w:hint="eastAsia" w:ascii="黑体" w:eastAsia="黑体"/>
          <w:bCs/>
          <w:color w:val="auto"/>
          <w:sz w:val="24"/>
          <w:szCs w:val="24"/>
          <w:highlight w:val="none"/>
        </w:rPr>
        <w:t xml:space="preserve">模块</w:t>
      </w:r>
      <w:r>
        <w:rPr>
          <w:rFonts w:hint="eastAsia" w:ascii="黑体" w:eastAsia="黑体"/>
          <w:bCs/>
          <w:color w:val="auto"/>
          <w:sz w:val="24"/>
          <w:szCs w:val="24"/>
          <w:highlight w:val="none"/>
        </w:rPr>
        <w:t xml:space="preserve">格式</w:t>
      </w:r>
      <w:r>
        <w:rPr>
          <w:rFonts w:hint="eastAsia" w:ascii="黑体" w:eastAsia="黑体"/>
          <w:bCs/>
          <w:color w:val="auto"/>
          <w:sz w:val="24"/>
          <w:szCs w:val="24"/>
          <w:highlight w:val="none"/>
        </w:rPr>
        <w:t xml:space="preserve">，完整、正确地进行填报（具体位置为“基本目录”</w:t>
      </w:r>
      <w:r>
        <w:rPr>
          <w:rFonts w:hint="eastAsia" w:ascii="黑体" w:eastAsia="黑体"/>
          <w:bCs/>
          <w:color w:val="auto"/>
          <w:sz w:val="24"/>
          <w:szCs w:val="24"/>
          <w:highlight w:val="none"/>
        </w:rPr>
        <w:t xml:space="preserve">——“开标一览表”</w:t>
      </w:r>
      <w:r>
        <w:rPr>
          <w:rFonts w:hint="eastAsia" w:ascii="黑体" w:eastAsia="黑体"/>
          <w:bCs/>
          <w:color w:val="auto"/>
          <w:sz w:val="24"/>
          <w:szCs w:val="24"/>
          <w:highlight w:val="none"/>
        </w:rPr>
        <w:t xml:space="preserve">）</w:t>
      </w:r>
      <w:r>
        <w:rPr>
          <w:rFonts w:hint="eastAsia" w:ascii="黑体" w:eastAsia="黑体"/>
          <w:bCs/>
          <w:color w:val="auto"/>
          <w:sz w:val="24"/>
          <w:szCs w:val="24"/>
          <w:highlight w:val="none"/>
        </w:rPr>
        <w:t xml:space="preserve">，此处</w:t>
      </w:r>
      <w:r>
        <w:rPr>
          <w:rFonts w:hint="eastAsia" w:ascii="黑体" w:eastAsia="黑体"/>
          <w:bCs/>
          <w:color w:val="auto"/>
          <w:sz w:val="24"/>
          <w:szCs w:val="24"/>
          <w:highlight w:val="none"/>
        </w:rPr>
        <w:t xml:space="preserve">可不用再重复填报</w:t>
      </w:r>
      <w:r>
        <w:rPr>
          <w:rFonts w:hint="eastAsia" w:ascii="黑体" w:eastAsia="黑体"/>
          <w:bCs/>
          <w:color w:val="auto"/>
          <w:sz w:val="24"/>
          <w:szCs w:val="24"/>
          <w:highlight w:val="none"/>
        </w:rPr>
        <w:t xml:space="preserve">。投标人的“开标一览表”及</w:t>
      </w:r>
      <w:r>
        <w:rPr>
          <w:rFonts w:hint="eastAsia" w:ascii="黑体" w:eastAsia="黑体"/>
          <w:bCs/>
          <w:color w:val="auto"/>
          <w:sz w:val="24"/>
          <w:szCs w:val="24"/>
          <w:highlight w:val="none"/>
        </w:rPr>
        <w:t xml:space="preserve">表</w:t>
      </w:r>
      <w:r>
        <w:rPr>
          <w:rFonts w:hint="eastAsia" w:ascii="黑体" w:eastAsia="黑体"/>
          <w:bCs/>
          <w:color w:val="auto"/>
          <w:sz w:val="24"/>
          <w:szCs w:val="24"/>
          <w:highlight w:val="none"/>
        </w:rPr>
        <w:t xml:space="preserve">中所填</w:t>
      </w:r>
      <w:r>
        <w:rPr>
          <w:rFonts w:hint="eastAsia" w:ascii="黑体" w:eastAsia="黑体"/>
          <w:bCs/>
          <w:color w:val="auto"/>
          <w:sz w:val="24"/>
          <w:szCs w:val="24"/>
          <w:highlight w:val="none"/>
        </w:rPr>
        <w:t xml:space="preserve">的投标</w:t>
      </w:r>
      <w:r>
        <w:rPr>
          <w:rFonts w:hint="eastAsia" w:ascii="黑体" w:eastAsia="黑体"/>
          <w:bCs/>
          <w:color w:val="auto"/>
          <w:sz w:val="24"/>
          <w:szCs w:val="24"/>
          <w:highlight w:val="none"/>
        </w:rPr>
        <w:t xml:space="preserve">报价均将</w:t>
      </w:r>
      <w:r>
        <w:rPr>
          <w:rFonts w:hint="eastAsia" w:ascii="黑体" w:eastAsia="黑体"/>
          <w:bCs/>
          <w:color w:val="auto"/>
          <w:sz w:val="24"/>
          <w:szCs w:val="24"/>
          <w:highlight w:val="none"/>
        </w:rPr>
        <w:t xml:space="preserve">以</w:t>
      </w:r>
      <w:r>
        <w:rPr>
          <w:rFonts w:hint="eastAsia" w:ascii="黑体" w:eastAsia="黑体"/>
          <w:bCs/>
          <w:color w:val="auto"/>
          <w:sz w:val="24"/>
          <w:szCs w:val="24"/>
          <w:highlight w:val="none"/>
        </w:rPr>
        <w:t xml:space="preserve">投标人在“苏采云”系统</w:t>
      </w:r>
      <w:r>
        <w:rPr>
          <w:rFonts w:hint="eastAsia" w:ascii="黑体" w:eastAsia="黑体"/>
          <w:bCs/>
          <w:color w:val="auto"/>
          <w:sz w:val="24"/>
          <w:szCs w:val="24"/>
          <w:highlight w:val="none"/>
        </w:rPr>
        <w:t xml:space="preserve">自带的</w:t>
      </w:r>
      <w:r>
        <w:rPr>
          <w:rFonts w:hint="eastAsia" w:ascii="黑体" w:eastAsia="黑体"/>
          <w:bCs/>
          <w:color w:val="auto"/>
          <w:sz w:val="24"/>
          <w:szCs w:val="24"/>
          <w:highlight w:val="none"/>
        </w:rPr>
        <w:t xml:space="preserve">模块格式中填报的为准。</w:t>
      </w:r>
      <w:r>
        <w:rPr>
          <w:color w:val="auto"/>
          <w:highlight w:val="none"/>
        </w:rPr>
      </w:r>
      <w:r/>
    </w:p>
    <w:p>
      <w:pPr>
        <w:pStyle w:val="903"/>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r/>
    </w:p>
    <w:p>
      <w:pPr>
        <w:pStyle w:val="90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r/>
    </w:p>
    <w:p>
      <w:pPr>
        <w:pStyle w:val="903"/>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color w:val="auto"/>
          <w:highlight w:val="none"/>
        </w:rPr>
      </w:r>
      <w:r/>
    </w:p>
    <w:p>
      <w:pPr>
        <w:pStyle w:val="90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JSZC-320200-JZCG-G2025-0191</w:t>
      </w:r>
      <w:r>
        <w:rPr>
          <w:color w:val="auto"/>
          <w:highlight w:val="none"/>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3"/>
              <w:jc w:val="center"/>
              <w:spacing w:before="5"/>
              <w:rPr>
                <w:color w:val="auto"/>
                <w:sz w:val="18"/>
                <w:highlight w:val="none"/>
              </w:rPr>
            </w:pPr>
            <w:r>
              <w:rPr>
                <w:rFonts w:hint="eastAsia"/>
                <w:color w:val="auto"/>
                <w:sz w:val="18"/>
                <w:highlight w:val="none"/>
              </w:rPr>
              <w:t xml:space="preserve">序号</w:t>
            </w:r>
            <w:r>
              <w:rPr>
                <w:color w:val="auto"/>
                <w:highlight w:val="none"/>
              </w:rPr>
            </w:r>
            <w:r/>
          </w:p>
        </w:tc>
        <w:tc>
          <w:tcPr>
            <w:tcMar>
              <w:left w:w="15" w:type="dxa"/>
              <w:top w:w="15" w:type="dxa"/>
              <w:right w:w="15" w:type="dxa"/>
              <w:bottom w:w="0" w:type="dxa"/>
            </w:tcMar>
            <w:tcW w:w="4930" w:type="dxa"/>
            <w:vAlign w:val="center"/>
            <w:textDirection w:val="lrTb"/>
            <w:noWrap/>
          </w:tcPr>
          <w:p>
            <w:pPr>
              <w:pStyle w:val="903"/>
              <w:jc w:val="center"/>
              <w:spacing w:before="5"/>
              <w:rPr>
                <w:color w:val="auto"/>
                <w:sz w:val="18"/>
                <w:highlight w:val="none"/>
              </w:rPr>
            </w:pPr>
            <w:r>
              <w:rPr>
                <w:color w:val="auto"/>
                <w:sz w:val="18"/>
                <w:highlight w:val="none"/>
              </w:rPr>
              <w:t xml:space="preserve">服务内容</w:t>
            </w:r>
            <w:r>
              <w:rPr>
                <w:color w:val="auto"/>
                <w:highlight w:val="none"/>
              </w:rPr>
            </w:r>
            <w:r/>
          </w:p>
        </w:tc>
        <w:tc>
          <w:tcPr>
            <w:tcW w:w="851" w:type="dxa"/>
            <w:vAlign w:val="center"/>
            <w:textDirection w:val="lrTb"/>
            <w:noWrap w:val="false"/>
          </w:tcPr>
          <w:p>
            <w:pPr>
              <w:pStyle w:val="903"/>
              <w:jc w:val="center"/>
              <w:spacing w:before="5"/>
              <w:rPr>
                <w:color w:val="auto"/>
                <w:sz w:val="18"/>
                <w:highlight w:val="none"/>
              </w:rPr>
            </w:pPr>
            <w:r>
              <w:rPr>
                <w:rFonts w:hint="eastAsia"/>
                <w:color w:val="auto"/>
                <w:sz w:val="18"/>
                <w:highlight w:val="none"/>
              </w:rPr>
              <w:t xml:space="preserve">数量</w:t>
            </w:r>
            <w:r>
              <w:rPr>
                <w:color w:val="auto"/>
                <w:highlight w:val="none"/>
              </w:rPr>
            </w:r>
            <w:r/>
          </w:p>
        </w:tc>
        <w:tc>
          <w:tcPr>
            <w:tcMar>
              <w:left w:w="15" w:type="dxa"/>
              <w:top w:w="15" w:type="dxa"/>
              <w:right w:w="15" w:type="dxa"/>
              <w:bottom w:w="0" w:type="dxa"/>
            </w:tcMar>
            <w:tcW w:w="850" w:type="dxa"/>
            <w:vAlign w:val="center"/>
            <w:textDirection w:val="lrTb"/>
            <w:noWrap/>
          </w:tcPr>
          <w:p>
            <w:pPr>
              <w:pStyle w:val="903"/>
              <w:jc w:val="center"/>
              <w:spacing w:before="5"/>
              <w:rPr>
                <w:color w:val="auto"/>
                <w:sz w:val="18"/>
                <w:highlight w:val="none"/>
              </w:rPr>
            </w:pPr>
            <w:r>
              <w:rPr>
                <w:rFonts w:hint="eastAsia"/>
                <w:color w:val="auto"/>
                <w:sz w:val="18"/>
                <w:highlight w:val="none"/>
              </w:rPr>
              <w:t xml:space="preserve">单位</w:t>
            </w:r>
            <w:r>
              <w:rPr>
                <w:color w:val="auto"/>
                <w:highlight w:val="none"/>
              </w:rPr>
            </w:r>
            <w:r/>
          </w:p>
        </w:tc>
        <w:tc>
          <w:tcPr>
            <w:tcW w:w="1134" w:type="dxa"/>
            <w:vAlign w:val="center"/>
            <w:textDirection w:val="lrTb"/>
            <w:noWrap w:val="false"/>
          </w:tcPr>
          <w:p>
            <w:pPr>
              <w:pStyle w:val="903"/>
              <w:jc w:val="center"/>
              <w:spacing w:before="5"/>
              <w:rPr>
                <w:color w:val="auto"/>
                <w:sz w:val="18"/>
                <w:highlight w:val="none"/>
              </w:rPr>
            </w:pPr>
            <w:r>
              <w:rPr>
                <w:rFonts w:hint="eastAsia"/>
                <w:color w:val="auto"/>
                <w:sz w:val="18"/>
                <w:highlight w:val="none"/>
              </w:rPr>
              <w:t xml:space="preserve">单报价</w:t>
            </w:r>
            <w:r>
              <w:rPr>
                <w:color w:val="auto"/>
                <w:highlight w:val="none"/>
              </w:rPr>
            </w:r>
            <w:r/>
          </w:p>
        </w:tc>
        <w:tc>
          <w:tcPr>
            <w:tcW w:w="1276" w:type="dxa"/>
            <w:vAlign w:val="center"/>
            <w:textDirection w:val="lrTb"/>
            <w:noWrap w:val="false"/>
          </w:tcPr>
          <w:p>
            <w:pPr>
              <w:pStyle w:val="903"/>
              <w:jc w:val="center"/>
              <w:spacing w:before="5"/>
              <w:rPr>
                <w:color w:val="auto"/>
                <w:sz w:val="18"/>
                <w:highlight w:val="none"/>
              </w:rPr>
            </w:pPr>
            <w:r>
              <w:rPr>
                <w:rFonts w:hint="eastAsia"/>
                <w:color w:val="auto"/>
                <w:sz w:val="18"/>
                <w:highlight w:val="none"/>
              </w:rPr>
              <w:t xml:space="preserve">分项总报价</w:t>
            </w:r>
            <w:r>
              <w:rPr>
                <w:color w:val="auto"/>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5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color w:val="auto"/>
                <w:highlight w:val="none"/>
              </w:rPr>
            </w:r>
            <w:r/>
          </w:p>
        </w:tc>
        <w:tc>
          <w:tcPr>
            <w:tcMar>
              <w:left w:w="15" w:type="dxa"/>
              <w:top w:w="15" w:type="dxa"/>
              <w:right w:w="15" w:type="dxa"/>
              <w:bottom w:w="0" w:type="dxa"/>
            </w:tcMar>
            <w:tcW w:w="4930" w:type="dxa"/>
            <w:vAlign w:val="center"/>
            <w:textDirection w:val="lrTb"/>
            <w:noWrap/>
          </w:tcPr>
          <w:p>
            <w:pPr>
              <w:pStyle w:val="90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p>
        </w:tc>
        <w:tc>
          <w:tcPr>
            <w:tcW w:w="851"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Mar>
              <w:left w:w="15" w:type="dxa"/>
              <w:top w:w="15" w:type="dxa"/>
              <w:right w:w="15" w:type="dxa"/>
              <w:bottom w:w="0" w:type="dxa"/>
            </w:tcMar>
            <w:tcW w:w="850" w:type="dxa"/>
            <w:vAlign w:val="center"/>
            <w:textDirection w:val="lrTb"/>
            <w:noWrap/>
          </w:tcPr>
          <w:p>
            <w:pPr>
              <w:pStyle w:val="90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p>
        </w:tc>
        <w:tc>
          <w:tcPr>
            <w:tcW w:w="1134"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W w:w="1276"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903"/>
              <w:jc w:val="center"/>
              <w:rPr>
                <w:rFonts w:ascii="宋体"/>
                <w:color w:val="auto"/>
                <w:sz w:val="18"/>
                <w:highlight w:val="none"/>
              </w:rPr>
            </w:pPr>
            <w:r>
              <w:rPr>
                <w:rFonts w:hint="eastAsia" w:ascii="宋体"/>
                <w:color w:val="auto"/>
                <w:sz w:val="18"/>
                <w:highlight w:val="none"/>
              </w:rPr>
              <w:t xml:space="preserve">2</w:t>
            </w:r>
            <w:r>
              <w:rPr>
                <w:color w:val="auto"/>
                <w:highlight w:val="none"/>
              </w:rPr>
            </w:r>
            <w:r/>
          </w:p>
        </w:tc>
        <w:tc>
          <w:tcPr>
            <w:tcMar>
              <w:left w:w="15" w:type="dxa"/>
              <w:top w:w="15" w:type="dxa"/>
              <w:right w:w="15" w:type="dxa"/>
              <w:bottom w:w="0" w:type="dxa"/>
            </w:tcMar>
            <w:tcW w:w="4930" w:type="dxa"/>
            <w:vAlign w:val="center"/>
            <w:textDirection w:val="lrTb"/>
            <w:noWrap/>
          </w:tcPr>
          <w:p>
            <w:pPr>
              <w:pStyle w:val="90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p>
        </w:tc>
        <w:tc>
          <w:tcPr>
            <w:tcW w:w="851"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Mar>
              <w:left w:w="15" w:type="dxa"/>
              <w:top w:w="15" w:type="dxa"/>
              <w:right w:w="15" w:type="dxa"/>
              <w:bottom w:w="0" w:type="dxa"/>
            </w:tcMar>
            <w:tcW w:w="850" w:type="dxa"/>
            <w:vAlign w:val="center"/>
            <w:textDirection w:val="lrTb"/>
            <w:noWrap/>
          </w:tcPr>
          <w:p>
            <w:pPr>
              <w:pStyle w:val="90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p>
        </w:tc>
        <w:tc>
          <w:tcPr>
            <w:tcW w:w="1134"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W w:w="1276"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903"/>
              <w:jc w:val="center"/>
              <w:rPr>
                <w:rFonts w:ascii="宋体"/>
                <w:color w:val="auto"/>
                <w:sz w:val="18"/>
                <w:highlight w:val="none"/>
              </w:rPr>
            </w:pPr>
            <w:r>
              <w:rPr>
                <w:rFonts w:ascii="宋体"/>
                <w:color w:val="auto"/>
                <w:sz w:val="18"/>
                <w:highlight w:val="none"/>
              </w:rPr>
            </w:r>
            <w:r>
              <w:rPr>
                <w:color w:val="auto"/>
                <w:highlight w:val="none"/>
              </w:rPr>
            </w:r>
            <w:r/>
          </w:p>
        </w:tc>
        <w:tc>
          <w:tcPr>
            <w:tcMar>
              <w:left w:w="15" w:type="dxa"/>
              <w:top w:w="15" w:type="dxa"/>
              <w:right w:w="15" w:type="dxa"/>
              <w:bottom w:w="0" w:type="dxa"/>
            </w:tcMar>
            <w:tcW w:w="4930" w:type="dxa"/>
            <w:vAlign w:val="center"/>
            <w:textDirection w:val="lrTb"/>
            <w:noWrap/>
          </w:tcPr>
          <w:p>
            <w:pPr>
              <w:pStyle w:val="903"/>
              <w:jc w:val="center"/>
              <w:rPr>
                <w:rFonts w:hint="eastAsia" w:ascii="黑体" w:eastAsia="黑体"/>
                <w:b/>
                <w:bCs/>
                <w:color w:val="auto"/>
                <w:highlight w:val="none"/>
              </w:rPr>
            </w:pPr>
            <w:r>
              <w:rPr>
                <w:rFonts w:ascii="黑体" w:eastAsia="黑体"/>
                <w:b/>
                <w:bCs/>
                <w:color w:val="auto"/>
                <w:highlight w:val="none"/>
              </w:rPr>
              <w:t xml:space="preserve">……</w:t>
            </w:r>
            <w:r>
              <w:rPr>
                <w:color w:val="auto"/>
                <w:highlight w:val="none"/>
              </w:rPr>
            </w:r>
            <w:r/>
          </w:p>
        </w:tc>
        <w:tc>
          <w:tcPr>
            <w:tcW w:w="851"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Mar>
              <w:left w:w="15" w:type="dxa"/>
              <w:top w:w="15" w:type="dxa"/>
              <w:right w:w="15" w:type="dxa"/>
              <w:bottom w:w="0" w:type="dxa"/>
            </w:tcMar>
            <w:tcW w:w="850" w:type="dxa"/>
            <w:vAlign w:val="center"/>
            <w:textDirection w:val="lrTb"/>
            <w:noWrap/>
          </w:tcPr>
          <w:p>
            <w:pPr>
              <w:pStyle w:val="903"/>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r/>
          </w:p>
        </w:tc>
        <w:tc>
          <w:tcPr>
            <w:tcW w:w="1134"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c>
          <w:tcPr>
            <w:tcW w:w="1276" w:type="dxa"/>
            <w:vAlign w:val="center"/>
            <w:textDirection w:val="lrTb"/>
            <w:noWrap w:val="false"/>
          </w:tcPr>
          <w:p>
            <w:pPr>
              <w:pStyle w:val="90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p>
        </w:tc>
      </w:tr>
    </w:tbl>
    <w:p>
      <w:pPr>
        <w:pStyle w:val="903"/>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color w:val="auto"/>
          <w:highlight w:val="none"/>
        </w:rPr>
      </w:r>
      <w:r/>
    </w:p>
    <w:p>
      <w:pPr>
        <w:pStyle w:val="903"/>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r/>
    </w:p>
    <w:p>
      <w:pPr>
        <w:pStyle w:val="903"/>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auto"/>
          <w:highlight w:val="none"/>
        </w:rPr>
      </w:r>
      <w:r/>
    </w:p>
    <w:p>
      <w:pPr>
        <w:pStyle w:val="903"/>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color w:val="auto"/>
          <w:highlight w:val="none"/>
        </w:rPr>
      </w:r>
      <w:r/>
    </w:p>
    <w:p>
      <w:pPr>
        <w:pStyle w:val="903"/>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color w:val="auto"/>
          <w:highlight w:val="none"/>
        </w:rPr>
      </w:r>
      <w:r/>
    </w:p>
    <w:p>
      <w:pPr>
        <w:pStyle w:val="903"/>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197"/>
      <w:r>
        <w:rPr>
          <w:color w:val="auto"/>
          <w:highlight w:val="none"/>
        </w:rPr>
      </w:r>
      <w:bookmarkEnd w:id="198"/>
      <w:r>
        <w:rPr>
          <w:color w:val="auto"/>
          <w:highlight w:val="none"/>
        </w:rPr>
      </w:r>
      <w:bookmarkEnd w:id="199"/>
      <w:r>
        <w:rPr>
          <w:color w:val="auto"/>
          <w:highlight w:val="none"/>
        </w:rPr>
      </w:r>
      <w:bookmarkStart w:id="202"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r/>
    </w:p>
    <w:p>
      <w:pPr>
        <w:pStyle w:val="903"/>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p>
    <w:p>
      <w:pPr>
        <w:pStyle w:val="903"/>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color w:val="auto"/>
          <w:highlight w:val="none"/>
        </w:rPr>
      </w:r>
      <w:r/>
    </w:p>
    <w:p>
      <w:pPr>
        <w:pStyle w:val="90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p>
    <w:p>
      <w:pPr>
        <w:pStyle w:val="90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p>
    <w:p>
      <w:pPr>
        <w:pStyle w:val="90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JSZC-320200-JZCG-G2025-0191</w:t>
      </w:r>
      <w:r>
        <w:rPr>
          <w:color w:val="auto"/>
          <w:highlight w:val="none"/>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3"/>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3"/>
              <w:jc w:val="center"/>
              <w:rPr>
                <w:rFonts w:ascii="宋体"/>
                <w:bCs/>
                <w:color w:val="auto"/>
                <w:highlight w:val="none"/>
              </w:rPr>
            </w:pPr>
            <w:r>
              <w:rPr>
                <w:rFonts w:ascii="宋体"/>
                <w:bCs/>
                <w:color w:val="auto"/>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3"/>
              <w:rPr>
                <w:rFonts w:ascii="宋体"/>
                <w:bCs/>
                <w:color w:val="auto"/>
                <w:highlight w:val="none"/>
              </w:rPr>
            </w:pPr>
            <w:r>
              <w:rPr>
                <w:rFonts w:ascii="宋体"/>
                <w:bCs/>
                <w:color w:val="auto"/>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3"/>
              <w:jc w:val="center"/>
              <w:rPr>
                <w:rFonts w:ascii="宋体"/>
                <w:bCs/>
                <w:color w:val="auto"/>
                <w:highlight w:val="none"/>
              </w:rPr>
            </w:pPr>
            <w:r>
              <w:rPr>
                <w:rFonts w:ascii="宋体"/>
                <w:bCs/>
                <w:color w:val="auto"/>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3"/>
              <w:jc w:val="center"/>
              <w:rPr>
                <w:rFonts w:ascii="宋体"/>
                <w:bCs/>
                <w:color w:val="auto"/>
                <w:highlight w:val="none"/>
              </w:rPr>
            </w:pPr>
            <w:r>
              <w:rPr>
                <w:rFonts w:ascii="宋体"/>
                <w:bCs/>
                <w:color w:val="auto"/>
                <w:highlight w:val="none"/>
              </w:rPr>
            </w:r>
            <w:r>
              <w:rPr>
                <w:color w:val="auto"/>
                <w:highlight w:val="none"/>
              </w:rPr>
            </w:r>
            <w:r/>
          </w:p>
        </w:tc>
      </w:tr>
    </w:tbl>
    <w:p>
      <w:pPr>
        <w:pStyle w:val="903"/>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p>
    <w:p>
      <w:pPr>
        <w:pStyle w:val="903"/>
        <w:rPr>
          <w:rFonts w:ascii="宋体"/>
          <w:bCs/>
          <w:color w:val="auto"/>
          <w:sz w:val="30"/>
          <w:highlight w:val="none"/>
        </w:rPr>
      </w:pPr>
      <w:r>
        <w:rPr>
          <w:rFonts w:ascii="宋体"/>
          <w:bCs/>
          <w:color w:val="auto"/>
          <w:sz w:val="30"/>
          <w:highlight w:val="none"/>
        </w:rPr>
      </w:r>
      <w:r>
        <w:rPr>
          <w:color w:val="auto"/>
          <w:highlight w:val="none"/>
        </w:rPr>
      </w:r>
      <w:r/>
    </w:p>
    <w:p>
      <w:pPr>
        <w:pStyle w:val="903"/>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color w:val="auto"/>
          <w:highlight w:val="none"/>
        </w:rPr>
      </w:r>
      <w:r/>
    </w:p>
    <w:p>
      <w:pPr>
        <w:pStyle w:val="903"/>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color w:val="auto"/>
          <w:highlight w:val="none"/>
        </w:rPr>
      </w:r>
      <w:r/>
    </w:p>
    <w:p>
      <w:pPr>
        <w:pStyle w:val="90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02"/>
      <w:r>
        <w:rPr>
          <w:color w:val="auto"/>
          <w:highlight w:val="none"/>
        </w:rPr>
      </w:r>
      <w:bookmarkStart w:id="203" w:name="_Hlt26671374"/>
      <w:r>
        <w:rPr>
          <w:color w:val="auto"/>
          <w:highlight w:val="none"/>
        </w:rPr>
      </w:r>
      <w:bookmarkEnd w:id="203"/>
      <w:r>
        <w:rPr>
          <w:color w:val="auto"/>
          <w:highlight w:val="none"/>
        </w:rPr>
      </w:r>
      <w:bookmarkStart w:id="204" w:name="_格式2__法定代表人授权书"/>
      <w:r>
        <w:rPr>
          <w:color w:val="auto"/>
          <w:highlight w:val="none"/>
        </w:rPr>
      </w:r>
      <w:bookmarkEnd w:id="204"/>
      <w:r>
        <w:rPr>
          <w:color w:val="auto"/>
          <w:highlight w:val="none"/>
        </w:rPr>
      </w:r>
      <w:bookmarkStart w:id="205" w:name="_Hlt26955066"/>
      <w:r>
        <w:rPr>
          <w:color w:val="auto"/>
          <w:highlight w:val="none"/>
        </w:rPr>
      </w:r>
      <w:bookmarkEnd w:id="205"/>
      <w:r>
        <w:rPr>
          <w:color w:val="auto"/>
          <w:highlight w:val="none"/>
        </w:rPr>
      </w:r>
      <w:bookmarkStart w:id="206" w:name="_Hlt26609389"/>
      <w:r>
        <w:rPr>
          <w:color w:val="auto"/>
          <w:highlight w:val="none"/>
        </w:rPr>
      </w:r>
      <w:bookmarkEnd w:id="206"/>
      <w:r>
        <w:rPr>
          <w:color w:val="auto"/>
          <w:highlight w:val="none"/>
        </w:rPr>
      </w:r>
      <w:r/>
    </w:p>
    <w:p>
      <w:pPr>
        <w:pStyle w:val="90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r/>
    </w:p>
    <w:p>
      <w:pPr>
        <w:pStyle w:val="903"/>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r/>
    </w:p>
    <w:p>
      <w:pPr>
        <w:pStyle w:val="903"/>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color w:val="auto"/>
          <w:highlight w:val="none"/>
        </w:rPr>
      </w:r>
      <w:r/>
    </w:p>
    <w:p>
      <w:pPr>
        <w:pStyle w:val="903"/>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p>
    <w:p>
      <w:pPr>
        <w:pStyle w:val="903"/>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r/>
    </w:p>
    <w:p>
      <w:pPr>
        <w:pStyle w:val="903"/>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p>
    <w:p>
      <w:pPr>
        <w:pStyle w:val="903"/>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JSZC-320200-JZCG-G2025-0191</w:t>
      </w:r>
      <w:r>
        <w:rPr>
          <w:color w:val="auto"/>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3"/>
              <w:jc w:val="center"/>
              <w:rPr>
                <w:b/>
                <w:color w:val="auto"/>
                <w:sz w:val="24"/>
                <w:highlight w:val="none"/>
              </w:rPr>
            </w:pPr>
            <w:r>
              <w:rPr>
                <w:rFonts w:hint="eastAsia"/>
                <w:b/>
                <w:color w:val="auto"/>
                <w:sz w:val="24"/>
                <w:highlight w:val="none"/>
              </w:rPr>
              <w:t xml:space="preserve">序号</w:t>
            </w:r>
            <w:r>
              <w:rPr>
                <w:color w:val="auto"/>
                <w:highlight w:val="none"/>
              </w:rPr>
            </w:r>
            <w:r/>
          </w:p>
        </w:tc>
        <w:tc>
          <w:tcPr>
            <w:tcW w:w="1476" w:type="dxa"/>
            <w:vAlign w:val="center"/>
            <w:textDirection w:val="lrTb"/>
            <w:noWrap w:val="false"/>
          </w:tcPr>
          <w:p>
            <w:pPr>
              <w:pStyle w:val="903"/>
              <w:jc w:val="center"/>
              <w:rPr>
                <w:b/>
                <w:color w:val="auto"/>
                <w:sz w:val="24"/>
                <w:highlight w:val="none"/>
              </w:rPr>
            </w:pPr>
            <w:r>
              <w:rPr>
                <w:rFonts w:hint="eastAsia"/>
                <w:b/>
                <w:color w:val="auto"/>
                <w:sz w:val="24"/>
                <w:highlight w:val="none"/>
              </w:rPr>
              <w:t xml:space="preserve">姓名</w:t>
            </w:r>
            <w:r>
              <w:rPr>
                <w:color w:val="auto"/>
                <w:highlight w:val="none"/>
              </w:rPr>
            </w:r>
            <w:r/>
          </w:p>
        </w:tc>
        <w:tc>
          <w:tcPr>
            <w:tcW w:w="720" w:type="dxa"/>
            <w:vAlign w:val="center"/>
            <w:textDirection w:val="lrTb"/>
            <w:noWrap w:val="false"/>
          </w:tcPr>
          <w:p>
            <w:pPr>
              <w:pStyle w:val="903"/>
              <w:jc w:val="center"/>
              <w:rPr>
                <w:b/>
                <w:color w:val="auto"/>
                <w:sz w:val="24"/>
                <w:highlight w:val="none"/>
              </w:rPr>
            </w:pPr>
            <w:r>
              <w:rPr>
                <w:rFonts w:hint="eastAsia"/>
                <w:b/>
                <w:color w:val="auto"/>
                <w:sz w:val="24"/>
                <w:highlight w:val="none"/>
              </w:rPr>
              <w:t xml:space="preserve">年龄</w:t>
            </w:r>
            <w:r>
              <w:rPr>
                <w:color w:val="auto"/>
                <w:highlight w:val="none"/>
              </w:rPr>
            </w:r>
            <w:r/>
          </w:p>
        </w:tc>
        <w:tc>
          <w:tcPr>
            <w:tcW w:w="2520" w:type="dxa"/>
            <w:vAlign w:val="center"/>
            <w:textDirection w:val="lrTb"/>
            <w:noWrap w:val="false"/>
          </w:tcPr>
          <w:p>
            <w:pPr>
              <w:pStyle w:val="903"/>
              <w:jc w:val="center"/>
              <w:rPr>
                <w:b/>
                <w:color w:val="auto"/>
                <w:sz w:val="24"/>
                <w:highlight w:val="none"/>
              </w:rPr>
            </w:pPr>
            <w:r>
              <w:rPr>
                <w:rFonts w:hint="eastAsia"/>
                <w:b/>
                <w:color w:val="auto"/>
                <w:sz w:val="24"/>
                <w:highlight w:val="none"/>
              </w:rPr>
              <w:t xml:space="preserve">本项目职责</w:t>
            </w:r>
            <w:r>
              <w:rPr>
                <w:color w:val="auto"/>
                <w:highlight w:val="none"/>
              </w:rPr>
            </w:r>
            <w:r/>
          </w:p>
        </w:tc>
        <w:tc>
          <w:tcPr>
            <w:tcW w:w="3274" w:type="dxa"/>
            <w:vAlign w:val="center"/>
            <w:textDirection w:val="lrTb"/>
            <w:noWrap w:val="false"/>
          </w:tcPr>
          <w:p>
            <w:pPr>
              <w:pStyle w:val="903"/>
              <w:jc w:val="center"/>
              <w:rPr>
                <w:b/>
                <w:color w:val="auto"/>
                <w:sz w:val="24"/>
                <w:highlight w:val="none"/>
              </w:rPr>
            </w:pPr>
            <w:r>
              <w:rPr>
                <w:rFonts w:hint="eastAsia"/>
                <w:b/>
                <w:color w:val="auto"/>
                <w:sz w:val="24"/>
                <w:highlight w:val="none"/>
              </w:rPr>
              <w:t xml:space="preserve">人员证书名称</w:t>
            </w:r>
            <w:r>
              <w:rPr>
                <w:color w:val="auto"/>
                <w:highlight w:val="none"/>
              </w:rPr>
            </w:r>
            <w:r/>
          </w:p>
        </w:tc>
      </w:tr>
      <w:tr>
        <w:trPr>
          <w:trHeight w:val="680"/>
        </w:trPr>
        <w:tc>
          <w:tcPr>
            <w:tcW w:w="70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1476"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7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25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327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r>
      <w:tr>
        <w:trPr>
          <w:trHeight w:val="680"/>
        </w:trPr>
        <w:tc>
          <w:tcPr>
            <w:tcW w:w="70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1476"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7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25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327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r>
      <w:tr>
        <w:trPr>
          <w:trHeight w:val="680"/>
        </w:trPr>
        <w:tc>
          <w:tcPr>
            <w:tcW w:w="70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1476"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7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25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327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r>
      <w:tr>
        <w:trPr>
          <w:trHeight w:val="680"/>
        </w:trPr>
        <w:tc>
          <w:tcPr>
            <w:tcW w:w="70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1476"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7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25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327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r>
      <w:tr>
        <w:trPr>
          <w:trHeight w:val="680"/>
        </w:trPr>
        <w:tc>
          <w:tcPr>
            <w:tcW w:w="70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1476"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7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2520"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c>
          <w:tcPr>
            <w:tcW w:w="3274" w:type="dxa"/>
            <w:vAlign w:val="top"/>
            <w:textDirection w:val="lrTb"/>
            <w:noWrap w:val="false"/>
          </w:tcPr>
          <w:p>
            <w:pPr>
              <w:pStyle w:val="90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p>
        </w:tc>
      </w:tr>
    </w:tbl>
    <w:p>
      <w:pPr>
        <w:pStyle w:val="903"/>
        <w:rPr>
          <w:b/>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p>
    <w:p>
      <w:pPr>
        <w:pStyle w:val="903"/>
        <w:rPr>
          <w:rFonts w:hint="eastAsia" w:ascii="宋体" w:hAnsi="宋体"/>
          <w:bCs/>
          <w:color w:val="auto"/>
          <w:highlight w:val="none"/>
        </w:rPr>
      </w:pPr>
      <w:r>
        <w:rPr>
          <w:rFonts w:hint="eastAsia" w:ascii="宋体" w:hAnsi="宋体"/>
          <w:bCs/>
          <w:color w:val="auto"/>
          <w:highlight w:val="none"/>
        </w:rPr>
      </w:r>
      <w:r>
        <w:rPr>
          <w:color w:val="auto"/>
          <w:highlight w:val="none"/>
        </w:rPr>
      </w:r>
      <w:r/>
    </w:p>
    <w:p>
      <w:pPr>
        <w:pStyle w:val="903"/>
        <w:rPr>
          <w:rFonts w:ascii="宋体" w:hAnsi="宋体"/>
          <w:bCs/>
          <w:color w:val="auto"/>
          <w:highlight w:val="none"/>
        </w:rPr>
      </w:pPr>
      <w:r>
        <w:rPr>
          <w:rFonts w:hint="eastAsia" w:ascii="宋体" w:hAnsi="宋体"/>
          <w:bCs/>
          <w:color w:val="auto"/>
          <w:highlight w:val="none"/>
        </w:rPr>
        <w:t xml:space="preserve">注：1. 表格不够可自行延长。</w:t>
      </w:r>
      <w:r>
        <w:rPr>
          <w:color w:val="auto"/>
          <w:highlight w:val="none"/>
        </w:rPr>
      </w:r>
      <w:r/>
    </w:p>
    <w:p>
      <w:pPr>
        <w:pStyle w:val="903"/>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Fonts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５６</w:t>
    </w:r>
    <w:r>
      <w:rPr>
        <w:rFonts w:ascii="宋体" w:hAnsi="宋体"/>
      </w:rPr>
      <w:fldChar w:fldCharType="end"/>
    </w:r>
    <w:r>
      <w:rPr>
        <w:rStyle w:val="976"/>
        <w:rFonts w:ascii="宋体" w:hAnsi="宋体"/>
      </w:rPr>
    </w:r>
    <w:r/>
  </w:p>
  <w:p>
    <w:pPr>
      <w:pStyle w:val="95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3"/>
        <w:ind w:left="1080" w:hanging="1080"/>
        <w:tabs>
          <w:tab w:val="num" w:pos="1080" w:leader="none"/>
        </w:tabs>
      </w:pPr>
      <w:rPr>
        <w:rFonts w:hint="eastAsia" w:cs="Times New Roman"/>
      </w:rPr>
    </w:lvl>
    <w:lvl w:ilvl="1">
      <w:start w:val="1"/>
      <w:numFmt w:val="decimal"/>
      <w:isLgl w:val="false"/>
      <w:suff w:val="tab"/>
      <w:lvlText w:val="%2."/>
      <w:lvlJc w:val="left"/>
      <w:pPr>
        <w:pStyle w:val="90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3"/>
        <w:ind w:left="1260" w:hanging="420"/>
        <w:tabs>
          <w:tab w:val="num" w:pos="1260" w:leader="none"/>
        </w:tabs>
      </w:pPr>
      <w:rPr>
        <w:rFonts w:cs="Times New Roman"/>
      </w:rPr>
    </w:lvl>
    <w:lvl w:ilvl="3">
      <w:start w:val="1"/>
      <w:numFmt w:val="decimal"/>
      <w:isLgl w:val="false"/>
      <w:suff w:val="tab"/>
      <w:lvlText w:val="%4."/>
      <w:lvlJc w:val="left"/>
      <w:pPr>
        <w:pStyle w:val="903"/>
        <w:ind w:left="1680" w:hanging="420"/>
        <w:tabs>
          <w:tab w:val="num" w:pos="1680" w:leader="none"/>
        </w:tabs>
      </w:pPr>
      <w:rPr>
        <w:rFonts w:cs="Times New Roman"/>
      </w:rPr>
    </w:lvl>
    <w:lvl w:ilvl="4">
      <w:start w:val="1"/>
      <w:numFmt w:val="lowerLetter"/>
      <w:isLgl w:val="false"/>
      <w:suff w:val="tab"/>
      <w:lvlText w:val="%5)"/>
      <w:lvlJc w:val="left"/>
      <w:pPr>
        <w:pStyle w:val="903"/>
        <w:ind w:left="2100" w:hanging="420"/>
        <w:tabs>
          <w:tab w:val="num" w:pos="2100" w:leader="none"/>
        </w:tabs>
      </w:pPr>
      <w:rPr>
        <w:rFonts w:cs="Times New Roman"/>
      </w:rPr>
    </w:lvl>
    <w:lvl w:ilvl="5">
      <w:start w:val="1"/>
      <w:numFmt w:val="lowerRoman"/>
      <w:isLgl w:val="false"/>
      <w:suff w:val="tab"/>
      <w:lvlText w:val="%6."/>
      <w:lvlJc w:val="right"/>
      <w:pPr>
        <w:pStyle w:val="903"/>
        <w:ind w:left="2520" w:hanging="420"/>
        <w:tabs>
          <w:tab w:val="num" w:pos="2520" w:leader="none"/>
        </w:tabs>
      </w:pPr>
      <w:rPr>
        <w:rFonts w:cs="Times New Roman"/>
      </w:rPr>
    </w:lvl>
    <w:lvl w:ilvl="6">
      <w:start w:val="1"/>
      <w:numFmt w:val="decimal"/>
      <w:isLgl w:val="false"/>
      <w:suff w:val="tab"/>
      <w:lvlText w:val="%7."/>
      <w:lvlJc w:val="left"/>
      <w:pPr>
        <w:pStyle w:val="903"/>
        <w:ind w:left="2940" w:hanging="420"/>
        <w:tabs>
          <w:tab w:val="num" w:pos="2940" w:leader="none"/>
        </w:tabs>
      </w:pPr>
      <w:rPr>
        <w:rFonts w:cs="Times New Roman"/>
      </w:rPr>
    </w:lvl>
    <w:lvl w:ilvl="7">
      <w:start w:val="1"/>
      <w:numFmt w:val="lowerLetter"/>
      <w:isLgl w:val="false"/>
      <w:suff w:val="tab"/>
      <w:lvlText w:val="%8)"/>
      <w:lvlJc w:val="left"/>
      <w:pPr>
        <w:pStyle w:val="903"/>
        <w:ind w:left="3360" w:hanging="420"/>
        <w:tabs>
          <w:tab w:val="num" w:pos="3360" w:leader="none"/>
        </w:tabs>
      </w:pPr>
      <w:rPr>
        <w:rFonts w:cs="Times New Roman"/>
      </w:rPr>
    </w:lvl>
    <w:lvl w:ilvl="8">
      <w:start w:val="1"/>
      <w:numFmt w:val="lowerRoman"/>
      <w:isLgl w:val="false"/>
      <w:suff w:val="tab"/>
      <w:lvlText w:val="%9."/>
      <w:lvlJc w:val="right"/>
      <w:pPr>
        <w:pStyle w:val="90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3"/>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3"/>
        <w:ind w:left="1080" w:hanging="1080"/>
        <w:tabs>
          <w:tab w:val="num" w:pos="1080" w:leader="none"/>
        </w:tabs>
      </w:pPr>
      <w:rPr>
        <w:rFonts w:hint="eastAsia" w:cs="Times New Roman"/>
      </w:rPr>
    </w:lvl>
    <w:lvl w:ilvl="1">
      <w:start w:val="1"/>
      <w:numFmt w:val="decimal"/>
      <w:isLgl w:val="false"/>
      <w:suff w:val="tab"/>
      <w:lvlText w:val="%2."/>
      <w:lvlJc w:val="left"/>
      <w:pPr>
        <w:pStyle w:val="90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3"/>
        <w:ind w:left="1260" w:hanging="420"/>
        <w:tabs>
          <w:tab w:val="num" w:pos="1260" w:leader="none"/>
        </w:tabs>
      </w:pPr>
      <w:rPr>
        <w:rFonts w:cs="Times New Roman"/>
      </w:rPr>
    </w:lvl>
    <w:lvl w:ilvl="3">
      <w:start w:val="1"/>
      <w:numFmt w:val="decimal"/>
      <w:isLgl w:val="false"/>
      <w:suff w:val="tab"/>
      <w:lvlText w:val="%4."/>
      <w:lvlJc w:val="left"/>
      <w:pPr>
        <w:pStyle w:val="903"/>
        <w:ind w:left="1680" w:hanging="420"/>
        <w:tabs>
          <w:tab w:val="num" w:pos="1680" w:leader="none"/>
        </w:tabs>
      </w:pPr>
      <w:rPr>
        <w:rFonts w:cs="Times New Roman"/>
      </w:rPr>
    </w:lvl>
    <w:lvl w:ilvl="4">
      <w:start w:val="1"/>
      <w:numFmt w:val="lowerLetter"/>
      <w:isLgl w:val="false"/>
      <w:suff w:val="tab"/>
      <w:lvlText w:val="%5)"/>
      <w:lvlJc w:val="left"/>
      <w:pPr>
        <w:pStyle w:val="903"/>
        <w:ind w:left="2100" w:hanging="420"/>
        <w:tabs>
          <w:tab w:val="num" w:pos="2100" w:leader="none"/>
        </w:tabs>
      </w:pPr>
      <w:rPr>
        <w:rFonts w:cs="Times New Roman"/>
      </w:rPr>
    </w:lvl>
    <w:lvl w:ilvl="5">
      <w:start w:val="1"/>
      <w:numFmt w:val="lowerRoman"/>
      <w:isLgl w:val="false"/>
      <w:suff w:val="tab"/>
      <w:lvlText w:val="%6."/>
      <w:lvlJc w:val="right"/>
      <w:pPr>
        <w:pStyle w:val="903"/>
        <w:ind w:left="2520" w:hanging="420"/>
        <w:tabs>
          <w:tab w:val="num" w:pos="2520" w:leader="none"/>
        </w:tabs>
      </w:pPr>
      <w:rPr>
        <w:rFonts w:cs="Times New Roman"/>
      </w:rPr>
    </w:lvl>
    <w:lvl w:ilvl="6">
      <w:start w:val="1"/>
      <w:numFmt w:val="decimal"/>
      <w:isLgl w:val="false"/>
      <w:suff w:val="tab"/>
      <w:lvlText w:val="%7."/>
      <w:lvlJc w:val="left"/>
      <w:pPr>
        <w:pStyle w:val="903"/>
        <w:ind w:left="2940" w:hanging="420"/>
        <w:tabs>
          <w:tab w:val="num" w:pos="2940" w:leader="none"/>
        </w:tabs>
      </w:pPr>
      <w:rPr>
        <w:rFonts w:cs="Times New Roman"/>
      </w:rPr>
    </w:lvl>
    <w:lvl w:ilvl="7">
      <w:start w:val="1"/>
      <w:numFmt w:val="lowerLetter"/>
      <w:isLgl w:val="false"/>
      <w:suff w:val="tab"/>
      <w:lvlText w:val="%8)"/>
      <w:lvlJc w:val="left"/>
      <w:pPr>
        <w:pStyle w:val="903"/>
        <w:ind w:left="3360" w:hanging="420"/>
        <w:tabs>
          <w:tab w:val="num" w:pos="3360" w:leader="none"/>
        </w:tabs>
      </w:pPr>
      <w:rPr>
        <w:rFonts w:cs="Times New Roman"/>
      </w:rPr>
    </w:lvl>
    <w:lvl w:ilvl="8">
      <w:start w:val="1"/>
      <w:numFmt w:val="lowerRoman"/>
      <w:isLgl w:val="false"/>
      <w:suff w:val="tab"/>
      <w:lvlText w:val="%9."/>
      <w:lvlJc w:val="right"/>
      <w:pPr>
        <w:pStyle w:val="903"/>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3"/>
        <w:ind w:left="1505" w:hanging="945"/>
        <w:tabs>
          <w:tab w:val="num" w:pos="1505" w:leader="none"/>
        </w:tabs>
      </w:pPr>
      <w:rPr>
        <w:rFonts w:hint="eastAsia"/>
      </w:rPr>
    </w:lvl>
    <w:lvl w:ilvl="1">
      <w:start w:val="1"/>
      <w:numFmt w:val="decimal"/>
      <w:isLgl w:val="false"/>
      <w:suff w:val="tab"/>
      <w:lvlText w:val="%2、"/>
      <w:lvlJc w:val="left"/>
      <w:pPr>
        <w:pStyle w:val="903"/>
        <w:ind w:left="1340" w:hanging="360"/>
        <w:tabs>
          <w:tab w:val="num" w:pos="1340" w:leader="none"/>
        </w:tabs>
      </w:pPr>
      <w:rPr>
        <w:rFonts w:hint="eastAsia"/>
      </w:rPr>
    </w:lvl>
    <w:lvl w:ilvl="2">
      <w:start w:val="1"/>
      <w:numFmt w:val="japaneseCounting"/>
      <w:isLgl w:val="false"/>
      <w:suff w:val="tab"/>
      <w:lvlText w:val="%3、"/>
      <w:lvlJc w:val="left"/>
      <w:pPr>
        <w:pStyle w:val="903"/>
        <w:ind w:left="1820" w:hanging="420"/>
        <w:tabs>
          <w:tab w:val="num" w:pos="1820" w:leader="none"/>
        </w:tabs>
      </w:pPr>
      <w:rPr>
        <w:rFonts w:hint="eastAsia"/>
      </w:rPr>
    </w:lvl>
    <w:lvl w:ilvl="3">
      <w:start w:val="1"/>
      <w:numFmt w:val="decimal"/>
      <w:isLgl w:val="false"/>
      <w:suff w:val="tab"/>
      <w:lvlText w:val="%4."/>
      <w:lvlJc w:val="left"/>
      <w:pPr>
        <w:pStyle w:val="903"/>
        <w:ind w:left="2240" w:hanging="420"/>
        <w:tabs>
          <w:tab w:val="num" w:pos="2240" w:leader="none"/>
        </w:tabs>
      </w:pPr>
    </w:lvl>
    <w:lvl w:ilvl="4">
      <w:start w:val="1"/>
      <w:numFmt w:val="lowerLetter"/>
      <w:isLgl w:val="false"/>
      <w:suff w:val="tab"/>
      <w:lvlText w:val="%5)"/>
      <w:lvlJc w:val="left"/>
      <w:pPr>
        <w:pStyle w:val="903"/>
        <w:ind w:left="2660" w:hanging="420"/>
        <w:tabs>
          <w:tab w:val="num" w:pos="2660" w:leader="none"/>
        </w:tabs>
      </w:pPr>
    </w:lvl>
    <w:lvl w:ilvl="5">
      <w:start w:val="1"/>
      <w:numFmt w:val="lowerRoman"/>
      <w:isLgl w:val="false"/>
      <w:suff w:val="tab"/>
      <w:lvlText w:val="%6."/>
      <w:lvlJc w:val="right"/>
      <w:pPr>
        <w:pStyle w:val="903"/>
        <w:ind w:left="3080" w:hanging="420"/>
        <w:tabs>
          <w:tab w:val="num" w:pos="3080" w:leader="none"/>
        </w:tabs>
      </w:pPr>
    </w:lvl>
    <w:lvl w:ilvl="6">
      <w:start w:val="1"/>
      <w:numFmt w:val="decimal"/>
      <w:isLgl w:val="false"/>
      <w:suff w:val="tab"/>
      <w:lvlText w:val="%7."/>
      <w:lvlJc w:val="left"/>
      <w:pPr>
        <w:pStyle w:val="903"/>
        <w:ind w:left="3500" w:hanging="420"/>
        <w:tabs>
          <w:tab w:val="num" w:pos="3500" w:leader="none"/>
        </w:tabs>
      </w:pPr>
    </w:lvl>
    <w:lvl w:ilvl="7">
      <w:start w:val="1"/>
      <w:numFmt w:val="lowerLetter"/>
      <w:isLgl w:val="false"/>
      <w:suff w:val="tab"/>
      <w:lvlText w:val="%8)"/>
      <w:lvlJc w:val="left"/>
      <w:pPr>
        <w:pStyle w:val="903"/>
        <w:ind w:left="3920" w:hanging="420"/>
        <w:tabs>
          <w:tab w:val="num" w:pos="3920" w:leader="none"/>
        </w:tabs>
      </w:pPr>
    </w:lvl>
    <w:lvl w:ilvl="8">
      <w:start w:val="1"/>
      <w:numFmt w:val="lowerRoman"/>
      <w:isLgl w:val="false"/>
      <w:suff w:val="tab"/>
      <w:lvlText w:val="%9."/>
      <w:lvlJc w:val="right"/>
      <w:pPr>
        <w:pStyle w:val="903"/>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3"/>
        <w:ind w:left="1239" w:hanging="720"/>
      </w:pPr>
      <w:rPr>
        <w:rFonts w:hAnsi="宋体"/>
      </w:rPr>
    </w:lvl>
    <w:lvl w:ilvl="1">
      <w:start w:val="1"/>
      <w:numFmt w:val="lowerLetter"/>
      <w:isLgl w:val="false"/>
      <w:suff w:val="tab"/>
      <w:lvlText w:val="%2)"/>
      <w:lvlJc w:val="left"/>
      <w:pPr>
        <w:pStyle w:val="903"/>
        <w:ind w:left="1359" w:hanging="420"/>
      </w:pPr>
    </w:lvl>
    <w:lvl w:ilvl="2">
      <w:start w:val="1"/>
      <w:numFmt w:val="lowerRoman"/>
      <w:isLgl w:val="false"/>
      <w:suff w:val="tab"/>
      <w:lvlText w:val="%3."/>
      <w:lvlJc w:val="right"/>
      <w:pPr>
        <w:pStyle w:val="903"/>
        <w:ind w:left="1779" w:hanging="420"/>
      </w:pPr>
    </w:lvl>
    <w:lvl w:ilvl="3">
      <w:start w:val="1"/>
      <w:numFmt w:val="decimal"/>
      <w:isLgl w:val="false"/>
      <w:suff w:val="tab"/>
      <w:lvlText w:val="%4."/>
      <w:lvlJc w:val="left"/>
      <w:pPr>
        <w:pStyle w:val="903"/>
        <w:ind w:left="2199" w:hanging="420"/>
      </w:pPr>
    </w:lvl>
    <w:lvl w:ilvl="4">
      <w:start w:val="1"/>
      <w:numFmt w:val="lowerLetter"/>
      <w:isLgl w:val="false"/>
      <w:suff w:val="tab"/>
      <w:lvlText w:val="%5)"/>
      <w:lvlJc w:val="left"/>
      <w:pPr>
        <w:pStyle w:val="903"/>
        <w:ind w:left="2619" w:hanging="420"/>
      </w:pPr>
    </w:lvl>
    <w:lvl w:ilvl="5">
      <w:start w:val="1"/>
      <w:numFmt w:val="lowerRoman"/>
      <w:isLgl w:val="false"/>
      <w:suff w:val="tab"/>
      <w:lvlText w:val="%6."/>
      <w:lvlJc w:val="right"/>
      <w:pPr>
        <w:pStyle w:val="903"/>
        <w:ind w:left="3039" w:hanging="420"/>
      </w:pPr>
    </w:lvl>
    <w:lvl w:ilvl="6">
      <w:start w:val="1"/>
      <w:numFmt w:val="decimal"/>
      <w:isLgl w:val="false"/>
      <w:suff w:val="tab"/>
      <w:lvlText w:val="%7."/>
      <w:lvlJc w:val="left"/>
      <w:pPr>
        <w:pStyle w:val="903"/>
        <w:ind w:left="3459" w:hanging="420"/>
      </w:pPr>
    </w:lvl>
    <w:lvl w:ilvl="7">
      <w:start w:val="1"/>
      <w:numFmt w:val="lowerLetter"/>
      <w:isLgl w:val="false"/>
      <w:suff w:val="tab"/>
      <w:lvlText w:val="%8)"/>
      <w:lvlJc w:val="left"/>
      <w:pPr>
        <w:pStyle w:val="903"/>
        <w:ind w:left="3879" w:hanging="420"/>
      </w:pPr>
    </w:lvl>
    <w:lvl w:ilvl="8">
      <w:start w:val="1"/>
      <w:numFmt w:val="lowerRoman"/>
      <w:isLgl w:val="false"/>
      <w:suff w:val="tab"/>
      <w:lvlText w:val="%9."/>
      <w:lvlJc w:val="right"/>
      <w:pPr>
        <w:pStyle w:val="903"/>
        <w:ind w:left="4299" w:hanging="420"/>
      </w:pPr>
    </w:lvl>
  </w:abstractNum>
  <w:abstractNum w:abstractNumId="10">
    <w:multiLevelType w:val="hybridMultilevel"/>
    <w:lvl w:ilvl="0">
      <w:start w:val="1"/>
      <w:numFmt w:val="decimal"/>
      <w:pStyle w:val="1000"/>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3"/>
        <w:ind w:left="1080" w:hanging="1080"/>
        <w:tabs>
          <w:tab w:val="num" w:pos="1080" w:leader="none"/>
        </w:tabs>
      </w:pPr>
      <w:rPr>
        <w:rFonts w:hint="eastAsia" w:cs="Times New Roman"/>
      </w:rPr>
    </w:lvl>
    <w:lvl w:ilvl="1">
      <w:start w:val="1"/>
      <w:numFmt w:val="decimal"/>
      <w:isLgl w:val="false"/>
      <w:suff w:val="tab"/>
      <w:lvlText w:val="%2."/>
      <w:lvlJc w:val="left"/>
      <w:pPr>
        <w:pStyle w:val="90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3"/>
        <w:ind w:left="1260" w:hanging="420"/>
        <w:tabs>
          <w:tab w:val="num" w:pos="1260" w:leader="none"/>
        </w:tabs>
      </w:pPr>
      <w:rPr>
        <w:rFonts w:cs="Times New Roman"/>
      </w:rPr>
    </w:lvl>
    <w:lvl w:ilvl="3">
      <w:start w:val="1"/>
      <w:numFmt w:val="decimal"/>
      <w:isLgl w:val="false"/>
      <w:suff w:val="tab"/>
      <w:lvlText w:val="%4."/>
      <w:lvlJc w:val="left"/>
      <w:pPr>
        <w:pStyle w:val="903"/>
        <w:ind w:left="1680" w:hanging="420"/>
        <w:tabs>
          <w:tab w:val="num" w:pos="1680" w:leader="none"/>
        </w:tabs>
      </w:pPr>
      <w:rPr>
        <w:rFonts w:cs="Times New Roman"/>
      </w:rPr>
    </w:lvl>
    <w:lvl w:ilvl="4">
      <w:start w:val="1"/>
      <w:numFmt w:val="lowerLetter"/>
      <w:isLgl w:val="false"/>
      <w:suff w:val="tab"/>
      <w:lvlText w:val="%5)"/>
      <w:lvlJc w:val="left"/>
      <w:pPr>
        <w:pStyle w:val="903"/>
        <w:ind w:left="2100" w:hanging="420"/>
        <w:tabs>
          <w:tab w:val="num" w:pos="2100" w:leader="none"/>
        </w:tabs>
      </w:pPr>
      <w:rPr>
        <w:rFonts w:cs="Times New Roman"/>
      </w:rPr>
    </w:lvl>
    <w:lvl w:ilvl="5">
      <w:start w:val="1"/>
      <w:numFmt w:val="lowerRoman"/>
      <w:isLgl w:val="false"/>
      <w:suff w:val="tab"/>
      <w:lvlText w:val="%6."/>
      <w:lvlJc w:val="right"/>
      <w:pPr>
        <w:pStyle w:val="903"/>
        <w:ind w:left="2520" w:hanging="420"/>
        <w:tabs>
          <w:tab w:val="num" w:pos="2520" w:leader="none"/>
        </w:tabs>
      </w:pPr>
      <w:rPr>
        <w:rFonts w:cs="Times New Roman"/>
      </w:rPr>
    </w:lvl>
    <w:lvl w:ilvl="6">
      <w:start w:val="1"/>
      <w:numFmt w:val="decimal"/>
      <w:isLgl w:val="false"/>
      <w:suff w:val="tab"/>
      <w:lvlText w:val="%7."/>
      <w:lvlJc w:val="left"/>
      <w:pPr>
        <w:pStyle w:val="903"/>
        <w:ind w:left="2940" w:hanging="420"/>
        <w:tabs>
          <w:tab w:val="num" w:pos="2940" w:leader="none"/>
        </w:tabs>
      </w:pPr>
      <w:rPr>
        <w:rFonts w:cs="Times New Roman"/>
      </w:rPr>
    </w:lvl>
    <w:lvl w:ilvl="7">
      <w:start w:val="1"/>
      <w:numFmt w:val="lowerLetter"/>
      <w:isLgl w:val="false"/>
      <w:suff w:val="tab"/>
      <w:lvlText w:val="%8)"/>
      <w:lvlJc w:val="left"/>
      <w:pPr>
        <w:pStyle w:val="903"/>
        <w:ind w:left="3360" w:hanging="420"/>
        <w:tabs>
          <w:tab w:val="num" w:pos="3360" w:leader="none"/>
        </w:tabs>
      </w:pPr>
      <w:rPr>
        <w:rFonts w:cs="Times New Roman"/>
      </w:rPr>
    </w:lvl>
    <w:lvl w:ilvl="8">
      <w:start w:val="1"/>
      <w:numFmt w:val="lowerRoman"/>
      <w:isLgl w:val="false"/>
      <w:suff w:val="tab"/>
      <w:lvlText w:val="%9."/>
      <w:lvlJc w:val="right"/>
      <w:pPr>
        <w:pStyle w:val="903"/>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4">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3"/>
        <w:ind w:left="840" w:hanging="420"/>
        <w:tabs>
          <w:tab w:val="num" w:pos="840" w:leader="none"/>
        </w:tabs>
      </w:pPr>
      <w:rPr>
        <w:rFonts w:cs="Times New Roman"/>
      </w:rPr>
    </w:lvl>
    <w:lvl w:ilvl="2">
      <w:start w:val="10"/>
      <w:numFmt w:val="decimal"/>
      <w:isLgl w:val="false"/>
      <w:suff w:val="tab"/>
      <w:lvlText w:val="%3."/>
      <w:lvlJc w:val="left"/>
      <w:pPr>
        <w:pStyle w:val="903"/>
        <w:ind w:left="1200" w:hanging="360"/>
        <w:tabs>
          <w:tab w:val="num" w:pos="1200" w:leader="none"/>
        </w:tabs>
      </w:pPr>
      <w:rPr>
        <w:rFonts w:cs="Times New Roman"/>
      </w:rPr>
    </w:lvl>
    <w:lvl w:ilvl="3">
      <w:start w:val="1"/>
      <w:numFmt w:val="decimal"/>
      <w:isLgl w:val="false"/>
      <w:suff w:val="tab"/>
      <w:lvlText w:val="%4."/>
      <w:lvlJc w:val="left"/>
      <w:pPr>
        <w:pStyle w:val="903"/>
        <w:ind w:left="1680" w:hanging="420"/>
        <w:tabs>
          <w:tab w:val="num" w:pos="1680" w:leader="none"/>
        </w:tabs>
      </w:pPr>
      <w:rPr>
        <w:rFonts w:cs="Times New Roman"/>
      </w:rPr>
    </w:lvl>
    <w:lvl w:ilvl="4">
      <w:start w:val="1"/>
      <w:numFmt w:val="lowerLetter"/>
      <w:isLgl w:val="false"/>
      <w:suff w:val="tab"/>
      <w:lvlText w:val="%5)"/>
      <w:lvlJc w:val="left"/>
      <w:pPr>
        <w:pStyle w:val="903"/>
        <w:ind w:left="2100" w:hanging="420"/>
        <w:tabs>
          <w:tab w:val="num" w:pos="2100" w:leader="none"/>
        </w:tabs>
      </w:pPr>
      <w:rPr>
        <w:rFonts w:cs="Times New Roman"/>
      </w:rPr>
    </w:lvl>
    <w:lvl w:ilvl="5">
      <w:start w:val="1"/>
      <w:numFmt w:val="lowerRoman"/>
      <w:isLgl w:val="false"/>
      <w:suff w:val="tab"/>
      <w:lvlText w:val="%6."/>
      <w:lvlJc w:val="right"/>
      <w:pPr>
        <w:pStyle w:val="903"/>
        <w:ind w:left="2520" w:hanging="420"/>
        <w:tabs>
          <w:tab w:val="num" w:pos="2520" w:leader="none"/>
        </w:tabs>
      </w:pPr>
      <w:rPr>
        <w:rFonts w:cs="Times New Roman"/>
      </w:rPr>
    </w:lvl>
    <w:lvl w:ilvl="6">
      <w:start w:val="1"/>
      <w:numFmt w:val="decimal"/>
      <w:isLgl w:val="false"/>
      <w:suff w:val="tab"/>
      <w:lvlText w:val="%7."/>
      <w:lvlJc w:val="left"/>
      <w:pPr>
        <w:pStyle w:val="903"/>
        <w:ind w:left="2940" w:hanging="420"/>
        <w:tabs>
          <w:tab w:val="num" w:pos="2940" w:leader="none"/>
        </w:tabs>
      </w:pPr>
      <w:rPr>
        <w:rFonts w:cs="Times New Roman"/>
      </w:rPr>
    </w:lvl>
    <w:lvl w:ilvl="7">
      <w:start w:val="1"/>
      <w:numFmt w:val="lowerLetter"/>
      <w:isLgl w:val="false"/>
      <w:suff w:val="tab"/>
      <w:lvlText w:val="%8)"/>
      <w:lvlJc w:val="left"/>
      <w:pPr>
        <w:pStyle w:val="903"/>
        <w:ind w:left="3360" w:hanging="420"/>
        <w:tabs>
          <w:tab w:val="num" w:pos="3360" w:leader="none"/>
        </w:tabs>
      </w:pPr>
      <w:rPr>
        <w:rFonts w:cs="Times New Roman"/>
      </w:rPr>
    </w:lvl>
    <w:lvl w:ilvl="8">
      <w:start w:val="1"/>
      <w:numFmt w:val="lowerRoman"/>
      <w:isLgl w:val="false"/>
      <w:suff w:val="tab"/>
      <w:lvlText w:val="%9."/>
      <w:lvlJc w:val="right"/>
      <w:pPr>
        <w:pStyle w:val="903"/>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3"/>
        <w:ind w:left="720" w:hanging="720"/>
        <w:tabs>
          <w:tab w:val="num" w:pos="720" w:leader="none"/>
        </w:tabs>
      </w:pPr>
      <w:rPr>
        <w:rFonts w:hint="eastAsia" w:cs="Times New Roman"/>
      </w:rPr>
    </w:lvl>
    <w:lvl w:ilvl="1">
      <w:start w:val="2"/>
      <w:numFmt w:val="decimal"/>
      <w:isLgl w:val="false"/>
      <w:suff w:val="tab"/>
      <w:lvlText w:val="%2."/>
      <w:lvlJc w:val="left"/>
      <w:pPr>
        <w:pStyle w:val="903"/>
        <w:ind w:left="1770" w:hanging="360"/>
        <w:tabs>
          <w:tab w:val="num" w:pos="1770" w:leader="none"/>
        </w:tabs>
      </w:pPr>
      <w:rPr>
        <w:rFonts w:cs="Times New Roman"/>
      </w:rPr>
    </w:lvl>
    <w:lvl w:ilvl="2">
      <w:start w:val="1"/>
      <w:numFmt w:val="lowerRoman"/>
      <w:isLgl w:val="false"/>
      <w:suff w:val="tab"/>
      <w:lvlText w:val="%3."/>
      <w:lvlJc w:val="right"/>
      <w:pPr>
        <w:pStyle w:val="903"/>
        <w:ind w:left="2250" w:hanging="420"/>
        <w:tabs>
          <w:tab w:val="num" w:pos="2250" w:leader="none"/>
        </w:tabs>
      </w:pPr>
      <w:rPr>
        <w:rFonts w:cs="Times New Roman"/>
      </w:rPr>
    </w:lvl>
    <w:lvl w:ilvl="3">
      <w:start w:val="1"/>
      <w:numFmt w:val="decimal"/>
      <w:isLgl w:val="false"/>
      <w:suff w:val="tab"/>
      <w:lvlText w:val="%4."/>
      <w:lvlJc w:val="left"/>
      <w:pPr>
        <w:pStyle w:val="903"/>
        <w:ind w:left="2670" w:hanging="420"/>
        <w:tabs>
          <w:tab w:val="num" w:pos="2670" w:leader="none"/>
        </w:tabs>
      </w:pPr>
      <w:rPr>
        <w:rFonts w:cs="Times New Roman"/>
      </w:rPr>
    </w:lvl>
    <w:lvl w:ilvl="4">
      <w:start w:val="1"/>
      <w:numFmt w:val="lowerLetter"/>
      <w:isLgl w:val="false"/>
      <w:suff w:val="tab"/>
      <w:lvlText w:val="%5)"/>
      <w:lvlJc w:val="left"/>
      <w:pPr>
        <w:pStyle w:val="903"/>
        <w:ind w:left="3090" w:hanging="420"/>
        <w:tabs>
          <w:tab w:val="num" w:pos="3090" w:leader="none"/>
        </w:tabs>
      </w:pPr>
      <w:rPr>
        <w:rFonts w:cs="Times New Roman"/>
      </w:rPr>
    </w:lvl>
    <w:lvl w:ilvl="5">
      <w:start w:val="1"/>
      <w:numFmt w:val="lowerRoman"/>
      <w:isLgl w:val="false"/>
      <w:suff w:val="tab"/>
      <w:lvlText w:val="%6."/>
      <w:lvlJc w:val="right"/>
      <w:pPr>
        <w:pStyle w:val="903"/>
        <w:ind w:left="3510" w:hanging="420"/>
        <w:tabs>
          <w:tab w:val="num" w:pos="3510" w:leader="none"/>
        </w:tabs>
      </w:pPr>
      <w:rPr>
        <w:rFonts w:cs="Times New Roman"/>
      </w:rPr>
    </w:lvl>
    <w:lvl w:ilvl="6">
      <w:start w:val="1"/>
      <w:numFmt w:val="decimal"/>
      <w:isLgl w:val="false"/>
      <w:suff w:val="tab"/>
      <w:lvlText w:val="%7."/>
      <w:lvlJc w:val="left"/>
      <w:pPr>
        <w:pStyle w:val="903"/>
        <w:ind w:left="3930" w:hanging="420"/>
        <w:tabs>
          <w:tab w:val="num" w:pos="3930" w:leader="none"/>
        </w:tabs>
      </w:pPr>
      <w:rPr>
        <w:rFonts w:cs="Times New Roman"/>
      </w:rPr>
    </w:lvl>
    <w:lvl w:ilvl="7">
      <w:start w:val="1"/>
      <w:numFmt w:val="lowerLetter"/>
      <w:isLgl w:val="false"/>
      <w:suff w:val="tab"/>
      <w:lvlText w:val="%8)"/>
      <w:lvlJc w:val="left"/>
      <w:pPr>
        <w:pStyle w:val="903"/>
        <w:ind w:left="4350" w:hanging="420"/>
        <w:tabs>
          <w:tab w:val="num" w:pos="4350" w:leader="none"/>
        </w:tabs>
      </w:pPr>
      <w:rPr>
        <w:rFonts w:cs="Times New Roman"/>
      </w:rPr>
    </w:lvl>
    <w:lvl w:ilvl="8">
      <w:start w:val="1"/>
      <w:numFmt w:val="lowerRoman"/>
      <w:isLgl w:val="false"/>
      <w:suff w:val="tab"/>
      <w:lvlText w:val="%9."/>
      <w:lvlJc w:val="right"/>
      <w:pPr>
        <w:pStyle w:val="903"/>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3"/>
        <w:ind w:left="510" w:hanging="360"/>
        <w:tabs>
          <w:tab w:val="num" w:pos="510" w:leader="none"/>
        </w:tabs>
      </w:pPr>
      <w:rPr>
        <w:rFonts w:hint="eastAsia" w:cs="Times New Roman"/>
      </w:rPr>
    </w:lvl>
    <w:lvl w:ilvl="1">
      <w:start w:val="1"/>
      <w:numFmt w:val="decimal"/>
      <w:isLgl w:val="false"/>
      <w:suff w:val="tab"/>
      <w:lvlText w:val="%2．"/>
      <w:lvlJc w:val="left"/>
      <w:pPr>
        <w:pStyle w:val="903"/>
        <w:ind w:left="1290" w:hanging="720"/>
        <w:tabs>
          <w:tab w:val="num" w:pos="1290" w:leader="none"/>
        </w:tabs>
      </w:pPr>
      <w:rPr>
        <w:rFonts w:hint="eastAsia" w:cs="Times New Roman"/>
      </w:rPr>
    </w:lvl>
    <w:lvl w:ilvl="2">
      <w:start w:val="3"/>
      <w:numFmt w:val="decimal"/>
      <w:isLgl w:val="false"/>
      <w:suff w:val="tab"/>
      <w:lvlText w:val="（%3）"/>
      <w:lvlJc w:val="left"/>
      <w:pPr>
        <w:pStyle w:val="903"/>
        <w:ind w:left="1140" w:hanging="720"/>
        <w:tabs>
          <w:tab w:val="num" w:pos="1140" w:leader="none"/>
        </w:tabs>
      </w:pPr>
      <w:rPr>
        <w:rFonts w:hint="eastAsia" w:cs="Times New Roman"/>
      </w:rPr>
    </w:lvl>
    <w:lvl w:ilvl="3">
      <w:start w:val="1"/>
      <w:numFmt w:val="decimal"/>
      <w:isLgl w:val="false"/>
      <w:suff w:val="tab"/>
      <w:lvlText w:val="（%4）"/>
      <w:lvlJc w:val="left"/>
      <w:pPr>
        <w:pStyle w:val="9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3"/>
        <w:ind w:left="2250" w:hanging="420"/>
        <w:tabs>
          <w:tab w:val="num" w:pos="2250" w:leader="none"/>
        </w:tabs>
      </w:pPr>
      <w:rPr>
        <w:rFonts w:hint="eastAsia"/>
        <w:b/>
        <w:lang w:val="en-US"/>
      </w:rPr>
    </w:lvl>
    <w:lvl w:ilvl="5">
      <w:start w:val="10"/>
      <w:numFmt w:val="japaneseCounting"/>
      <w:isLgl w:val="false"/>
      <w:suff w:val="tab"/>
      <w:lvlText w:val="（%6）"/>
      <w:lvlJc w:val="left"/>
      <w:pPr>
        <w:pStyle w:val="903"/>
        <w:ind w:left="2970" w:hanging="720"/>
      </w:pPr>
      <w:rPr>
        <w:rFonts w:cs="Times New Roman"/>
      </w:rPr>
    </w:lvl>
    <w:lvl w:ilvl="6">
      <w:start w:val="1"/>
      <w:numFmt w:val="decimal"/>
      <w:isLgl w:val="false"/>
      <w:suff w:val="tab"/>
      <w:lvlText w:val="（%7）"/>
      <w:lvlJc w:val="left"/>
      <w:pPr>
        <w:pStyle w:val="90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3"/>
        <w:ind w:left="3510" w:hanging="420"/>
        <w:tabs>
          <w:tab w:val="num" w:pos="3510" w:leader="none"/>
        </w:tabs>
      </w:pPr>
      <w:rPr>
        <w:rFonts w:cs="Times New Roman"/>
      </w:rPr>
    </w:lvl>
    <w:lvl w:ilvl="8">
      <w:start w:val="1"/>
      <w:numFmt w:val="lowerRoman"/>
      <w:isLgl w:val="false"/>
      <w:suff w:val="tab"/>
      <w:lvlText w:val="%9."/>
      <w:lvlJc w:val="right"/>
      <w:pPr>
        <w:pStyle w:val="903"/>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pStyle w:val="903"/>
        <w:ind w:left="900" w:hanging="420"/>
      </w:pPr>
      <w:rPr>
        <w:rFonts w:ascii="Wingdings" w:hAnsi="Wingdings"/>
      </w:rPr>
    </w:lvl>
    <w:lvl w:ilvl="1">
      <w:start w:val="1"/>
      <w:numFmt w:val="bullet"/>
      <w:isLgl w:val="false"/>
      <w:suff w:val="tab"/>
      <w:lvlText w:val=""/>
      <w:lvlJc w:val="left"/>
      <w:pPr>
        <w:pStyle w:val="903"/>
        <w:ind w:left="1320" w:hanging="420"/>
      </w:pPr>
      <w:rPr>
        <w:rFonts w:ascii="Wingdings" w:hAnsi="Wingdings"/>
      </w:rPr>
    </w:lvl>
    <w:lvl w:ilvl="2">
      <w:start w:val="1"/>
      <w:numFmt w:val="bullet"/>
      <w:isLgl w:val="false"/>
      <w:suff w:val="tab"/>
      <w:lvlText w:val=""/>
      <w:lvlJc w:val="left"/>
      <w:pPr>
        <w:pStyle w:val="903"/>
        <w:ind w:left="1740" w:hanging="420"/>
      </w:pPr>
      <w:rPr>
        <w:rFonts w:ascii="Wingdings" w:hAnsi="Wingdings"/>
      </w:rPr>
    </w:lvl>
    <w:lvl w:ilvl="3">
      <w:start w:val="1"/>
      <w:numFmt w:val="bullet"/>
      <w:isLgl w:val="false"/>
      <w:suff w:val="tab"/>
      <w:lvlText w:val=""/>
      <w:lvlJc w:val="left"/>
      <w:pPr>
        <w:pStyle w:val="903"/>
        <w:ind w:left="2160" w:hanging="420"/>
      </w:pPr>
      <w:rPr>
        <w:rFonts w:ascii="Wingdings" w:hAnsi="Wingdings"/>
      </w:rPr>
    </w:lvl>
    <w:lvl w:ilvl="4">
      <w:start w:val="1"/>
      <w:numFmt w:val="bullet"/>
      <w:isLgl w:val="false"/>
      <w:suff w:val="tab"/>
      <w:lvlText w:val=""/>
      <w:lvlJc w:val="left"/>
      <w:pPr>
        <w:pStyle w:val="903"/>
        <w:ind w:left="2580" w:hanging="420"/>
      </w:pPr>
      <w:rPr>
        <w:rFonts w:ascii="Wingdings" w:hAnsi="Wingdings"/>
      </w:rPr>
    </w:lvl>
    <w:lvl w:ilvl="5">
      <w:start w:val="1"/>
      <w:numFmt w:val="bullet"/>
      <w:isLgl w:val="false"/>
      <w:suff w:val="tab"/>
      <w:lvlText w:val=""/>
      <w:lvlJc w:val="left"/>
      <w:pPr>
        <w:pStyle w:val="903"/>
        <w:ind w:left="3000" w:hanging="420"/>
      </w:pPr>
      <w:rPr>
        <w:rFonts w:ascii="Wingdings" w:hAnsi="Wingdings"/>
      </w:rPr>
    </w:lvl>
    <w:lvl w:ilvl="6">
      <w:start w:val="1"/>
      <w:numFmt w:val="bullet"/>
      <w:isLgl w:val="false"/>
      <w:suff w:val="tab"/>
      <w:lvlText w:val=""/>
      <w:lvlJc w:val="left"/>
      <w:pPr>
        <w:pStyle w:val="903"/>
        <w:ind w:left="3420" w:hanging="420"/>
      </w:pPr>
      <w:rPr>
        <w:rFonts w:ascii="Wingdings" w:hAnsi="Wingdings"/>
      </w:rPr>
    </w:lvl>
    <w:lvl w:ilvl="7">
      <w:start w:val="1"/>
      <w:numFmt w:val="bullet"/>
      <w:isLgl w:val="false"/>
      <w:suff w:val="tab"/>
      <w:lvlText w:val=""/>
      <w:lvlJc w:val="left"/>
      <w:pPr>
        <w:pStyle w:val="903"/>
        <w:ind w:left="3840" w:hanging="420"/>
      </w:pPr>
      <w:rPr>
        <w:rFonts w:ascii="Wingdings" w:hAnsi="Wingdings"/>
      </w:rPr>
    </w:lvl>
    <w:lvl w:ilvl="8">
      <w:start w:val="1"/>
      <w:numFmt w:val="bullet"/>
      <w:isLgl w:val="false"/>
      <w:suff w:val="tab"/>
      <w:lvlText w:val=""/>
      <w:lvlJc w:val="left"/>
      <w:pPr>
        <w:pStyle w:val="903"/>
        <w:ind w:left="4260" w:hanging="420"/>
      </w:pPr>
      <w:rPr>
        <w:rFonts w:ascii="Wingdings" w:hAnsi="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rFonts w:ascii="Times New Roman" w:hAnsi="Times New Roman"/>
      <w:sz w:val="21"/>
      <w:szCs w:val="21"/>
      <w:lang w:val="en-US" w:eastAsia="zh-CN" w:bidi="ar-SA"/>
    </w:rPr>
  </w:style>
  <w:style w:type="paragraph" w:styleId="904">
    <w:name w:val="标题 1"/>
    <w:basedOn w:val="903"/>
    <w:next w:val="903"/>
    <w:link w:val="916"/>
    <w:qFormat/>
    <w:pPr>
      <w:jc w:val="center"/>
      <w:keepNext/>
      <w:outlineLvl w:val="0"/>
    </w:pPr>
    <w:rPr>
      <w:rFonts w:ascii="楷体_GB2312" w:eastAsia="楷体_GB2312"/>
      <w:sz w:val="28"/>
      <w:szCs w:val="28"/>
      <w:lang w:val="en-US" w:eastAsia="en-US"/>
    </w:rPr>
  </w:style>
  <w:style w:type="paragraph" w:styleId="905">
    <w:name w:val="标题 2"/>
    <w:basedOn w:val="903"/>
    <w:next w:val="918"/>
    <w:link w:val="91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6">
    <w:name w:val="标题 3"/>
    <w:basedOn w:val="903"/>
    <w:next w:val="918"/>
    <w:link w:val="920"/>
    <w:qFormat/>
    <w:pPr>
      <w:keepLines/>
      <w:keepNext/>
      <w:spacing w:before="260" w:after="260" w:line="416" w:lineRule="auto"/>
      <w:outlineLvl w:val="2"/>
    </w:pPr>
    <w:rPr>
      <w:b/>
      <w:bCs/>
      <w:sz w:val="32"/>
      <w:szCs w:val="32"/>
      <w:lang w:val="en-US" w:eastAsia="en-US"/>
    </w:rPr>
  </w:style>
  <w:style w:type="paragraph" w:styleId="907">
    <w:name w:val="标题 4"/>
    <w:basedOn w:val="903"/>
    <w:next w:val="918"/>
    <w:link w:val="921"/>
    <w:qFormat/>
    <w:pPr>
      <w:keepLines/>
      <w:keepNext/>
      <w:spacing w:before="280" w:after="290" w:line="376" w:lineRule="auto"/>
      <w:outlineLvl w:val="3"/>
    </w:pPr>
    <w:rPr>
      <w:rFonts w:ascii="Arial" w:hAnsi="Arial" w:eastAsia="黑体"/>
      <w:b/>
      <w:bCs/>
      <w:sz w:val="28"/>
      <w:szCs w:val="28"/>
      <w:lang w:val="en-US" w:eastAsia="en-US"/>
    </w:rPr>
  </w:style>
  <w:style w:type="paragraph" w:styleId="908">
    <w:name w:val="标题 5"/>
    <w:basedOn w:val="903"/>
    <w:next w:val="918"/>
    <w:link w:val="922"/>
    <w:qFormat/>
    <w:pPr>
      <w:keepNext/>
      <w:outlineLvl w:val="4"/>
    </w:pPr>
    <w:rPr>
      <w:rFonts w:ascii="宋体"/>
      <w:color w:val="000000"/>
      <w:sz w:val="28"/>
      <w:szCs w:val="28"/>
      <w:lang w:val="en-US" w:eastAsia="en-US"/>
    </w:rPr>
  </w:style>
  <w:style w:type="paragraph" w:styleId="909">
    <w:name w:val="标题 6"/>
    <w:basedOn w:val="903"/>
    <w:next w:val="903"/>
    <w:link w:val="92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0">
    <w:name w:val="标题 7"/>
    <w:basedOn w:val="903"/>
    <w:next w:val="903"/>
    <w:link w:val="924"/>
    <w:qFormat/>
    <w:pPr>
      <w:numPr>
        <w:ilvl w:val="6"/>
        <w:numId w:val="1"/>
      </w:numPr>
      <w:keepLines/>
      <w:keepNext/>
      <w:spacing w:before="240" w:after="64" w:line="320" w:lineRule="auto"/>
      <w:outlineLvl w:val="6"/>
    </w:pPr>
    <w:rPr>
      <w:b/>
      <w:bCs/>
      <w:sz w:val="24"/>
      <w:szCs w:val="24"/>
      <w:lang w:val="en-US" w:eastAsia="en-US"/>
    </w:rPr>
  </w:style>
  <w:style w:type="paragraph" w:styleId="911">
    <w:name w:val="标题 8"/>
    <w:basedOn w:val="903"/>
    <w:next w:val="903"/>
    <w:link w:val="92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2">
    <w:name w:val="标题 9"/>
    <w:basedOn w:val="903"/>
    <w:next w:val="903"/>
    <w:link w:val="92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numbering" w:styleId="915">
    <w:name w:val="无列表"/>
    <w:next w:val="915"/>
    <w:link w:val="903"/>
    <w:uiPriority w:val="99"/>
    <w:semiHidden/>
    <w:unhideWhenUsed/>
  </w:style>
  <w:style w:type="character" w:styleId="916">
    <w:name w:val="标题 1 Char"/>
    <w:next w:val="916"/>
    <w:link w:val="904"/>
    <w:rPr>
      <w:rFonts w:ascii="楷体_GB2312" w:hAnsi="Times New Roman" w:eastAsia="楷体_GB2312" w:cs="Times New Roman"/>
      <w:sz w:val="28"/>
      <w:szCs w:val="28"/>
    </w:rPr>
  </w:style>
  <w:style w:type="character" w:styleId="917">
    <w:name w:val="标题 2 Char"/>
    <w:next w:val="917"/>
    <w:link w:val="905"/>
    <w:rPr>
      <w:rFonts w:ascii="Arial" w:hAnsi="Arial" w:eastAsia="幼圆" w:cs="Arial"/>
      <w:b/>
      <w:bCs/>
      <w:sz w:val="44"/>
      <w:szCs w:val="44"/>
    </w:rPr>
  </w:style>
  <w:style w:type="paragraph" w:styleId="918">
    <w:name w:val="正文缩进"/>
    <w:basedOn w:val="903"/>
    <w:next w:val="918"/>
    <w:link w:val="919"/>
    <w:pPr>
      <w:ind w:firstLine="420"/>
    </w:pPr>
    <w:rPr>
      <w:sz w:val="20"/>
      <w:lang w:val="en-US" w:eastAsia="en-US"/>
    </w:rPr>
  </w:style>
  <w:style w:type="character" w:styleId="919">
    <w:name w:val="正文缩进 Char"/>
    <w:next w:val="919"/>
    <w:link w:val="918"/>
    <w:rPr>
      <w:rFonts w:ascii="Times New Roman" w:hAnsi="Times New Roman" w:eastAsia="宋体" w:cs="Times New Roman"/>
      <w:szCs w:val="21"/>
    </w:rPr>
  </w:style>
  <w:style w:type="character" w:styleId="920">
    <w:name w:val="标题 3 Char"/>
    <w:next w:val="920"/>
    <w:link w:val="906"/>
    <w:rPr>
      <w:rFonts w:ascii="Times New Roman" w:hAnsi="Times New Roman" w:eastAsia="宋体" w:cs="Times New Roman"/>
      <w:b/>
      <w:bCs/>
      <w:sz w:val="32"/>
      <w:szCs w:val="32"/>
    </w:rPr>
  </w:style>
  <w:style w:type="character" w:styleId="921">
    <w:name w:val="标题 4 Char"/>
    <w:next w:val="921"/>
    <w:link w:val="907"/>
    <w:rPr>
      <w:rFonts w:ascii="Arial" w:hAnsi="Arial" w:eastAsia="黑体" w:cs="Arial"/>
      <w:b/>
      <w:bCs/>
      <w:sz w:val="28"/>
      <w:szCs w:val="28"/>
    </w:rPr>
  </w:style>
  <w:style w:type="character" w:styleId="922">
    <w:name w:val="标题 5 Char"/>
    <w:next w:val="922"/>
    <w:link w:val="908"/>
    <w:rPr>
      <w:rFonts w:ascii="宋体" w:hAnsi="Times New Roman" w:eastAsia="宋体" w:cs="Times New Roman"/>
      <w:color w:val="000000"/>
      <w:sz w:val="28"/>
      <w:szCs w:val="28"/>
    </w:rPr>
  </w:style>
  <w:style w:type="character" w:styleId="923">
    <w:name w:val="标题 6 Char"/>
    <w:next w:val="923"/>
    <w:link w:val="909"/>
    <w:rPr>
      <w:rFonts w:ascii="Arial" w:hAnsi="Arial" w:eastAsia="黑体" w:cs="Times New Roman"/>
      <w:b/>
      <w:bCs/>
      <w:sz w:val="24"/>
      <w:szCs w:val="24"/>
    </w:rPr>
  </w:style>
  <w:style w:type="character" w:styleId="924">
    <w:name w:val="标题 7 Char"/>
    <w:next w:val="924"/>
    <w:link w:val="910"/>
    <w:rPr>
      <w:rFonts w:ascii="Times New Roman" w:hAnsi="Times New Roman" w:eastAsia="宋体" w:cs="Times New Roman"/>
      <w:b/>
      <w:bCs/>
      <w:sz w:val="24"/>
      <w:szCs w:val="24"/>
    </w:rPr>
  </w:style>
  <w:style w:type="character" w:styleId="925">
    <w:name w:val="标题 8 Char"/>
    <w:next w:val="925"/>
    <w:link w:val="911"/>
    <w:rPr>
      <w:rFonts w:ascii="Arial" w:hAnsi="Arial" w:eastAsia="黑体" w:cs="Times New Roman"/>
      <w:sz w:val="24"/>
      <w:szCs w:val="24"/>
    </w:rPr>
  </w:style>
  <w:style w:type="character" w:styleId="926">
    <w:name w:val="标题 9 Char"/>
    <w:next w:val="926"/>
    <w:link w:val="912"/>
    <w:rPr>
      <w:rFonts w:ascii="Arial" w:hAnsi="Arial" w:eastAsia="黑体" w:cs="Times New Roman"/>
      <w:szCs w:val="21"/>
    </w:rPr>
  </w:style>
  <w:style w:type="paragraph" w:styleId="927">
    <w:name w:val="列表 3"/>
    <w:basedOn w:val="903"/>
    <w:next w:val="927"/>
    <w:link w:val="903"/>
    <w:pPr>
      <w:ind w:left="100" w:hanging="200"/>
    </w:pPr>
  </w:style>
  <w:style w:type="paragraph" w:styleId="928">
    <w:name w:val="目录 7"/>
    <w:basedOn w:val="903"/>
    <w:next w:val="903"/>
    <w:link w:val="903"/>
    <w:semiHidden/>
    <w:pPr>
      <w:ind w:left="1260"/>
      <w:jc w:val="left"/>
    </w:pPr>
  </w:style>
  <w:style w:type="paragraph" w:styleId="929">
    <w:name w:val="文档结构图"/>
    <w:basedOn w:val="903"/>
    <w:next w:val="929"/>
    <w:link w:val="930"/>
    <w:semiHidden/>
    <w:pPr>
      <w:shd w:val="clear" w:color="auto" w:fill="000080"/>
    </w:pPr>
    <w:rPr>
      <w:sz w:val="20"/>
      <w:lang w:val="en-US" w:eastAsia="en-US"/>
    </w:rPr>
  </w:style>
  <w:style w:type="character" w:styleId="930">
    <w:name w:val="文档结构图 Char"/>
    <w:next w:val="930"/>
    <w:link w:val="929"/>
    <w:semiHidden/>
    <w:rPr>
      <w:rFonts w:ascii="Times New Roman" w:hAnsi="Times New Roman" w:eastAsia="宋体" w:cs="Times New Roman"/>
      <w:szCs w:val="21"/>
      <w:shd w:val="clear" w:color="auto" w:fill="000080"/>
    </w:rPr>
  </w:style>
  <w:style w:type="paragraph" w:styleId="931">
    <w:name w:val="批注文字"/>
    <w:basedOn w:val="903"/>
    <w:next w:val="931"/>
    <w:link w:val="932"/>
    <w:semiHidden/>
    <w:pPr>
      <w:jc w:val="left"/>
    </w:pPr>
    <w:rPr>
      <w:sz w:val="20"/>
      <w:lang w:val="en-US" w:eastAsia="en-US"/>
    </w:rPr>
  </w:style>
  <w:style w:type="character" w:styleId="932">
    <w:name w:val="批注文字 Char"/>
    <w:next w:val="932"/>
    <w:link w:val="931"/>
    <w:semiHidden/>
    <w:rPr>
      <w:rFonts w:ascii="Times New Roman" w:hAnsi="Times New Roman" w:eastAsia="宋体" w:cs="Times New Roman"/>
      <w:szCs w:val="21"/>
    </w:rPr>
  </w:style>
  <w:style w:type="paragraph" w:styleId="933">
    <w:name w:val="正文文本 3"/>
    <w:basedOn w:val="903"/>
    <w:next w:val="933"/>
    <w:link w:val="934"/>
    <w:rPr>
      <w:rFonts w:ascii="仿宋_GB2312" w:hAnsi="Arial" w:eastAsia="仿宋_GB2312"/>
      <w:sz w:val="32"/>
      <w:szCs w:val="32"/>
      <w:lang w:val="en-US" w:eastAsia="en-US"/>
    </w:rPr>
  </w:style>
  <w:style w:type="character" w:styleId="934">
    <w:name w:val="正文文本 3 Char"/>
    <w:next w:val="934"/>
    <w:link w:val="933"/>
    <w:rPr>
      <w:rFonts w:ascii="仿宋_GB2312" w:hAnsi="Arial" w:eastAsia="仿宋_GB2312" w:cs="Times New Roman"/>
      <w:sz w:val="32"/>
      <w:szCs w:val="32"/>
    </w:rPr>
  </w:style>
  <w:style w:type="paragraph" w:styleId="935">
    <w:name w:val="正文文本"/>
    <w:basedOn w:val="903"/>
    <w:next w:val="935"/>
    <w:link w:val="936"/>
    <w:rPr>
      <w:rFonts w:ascii="楷体_GB2312" w:hAnsi="Arial" w:eastAsia="楷体_GB2312"/>
      <w:sz w:val="28"/>
      <w:szCs w:val="28"/>
      <w:lang w:val="en-US" w:eastAsia="en-US"/>
    </w:rPr>
  </w:style>
  <w:style w:type="character" w:styleId="936">
    <w:name w:val="正文文本 Char"/>
    <w:next w:val="936"/>
    <w:link w:val="935"/>
    <w:rPr>
      <w:rFonts w:ascii="楷体_GB2312" w:hAnsi="Arial" w:eastAsia="楷体_GB2312" w:cs="Times New Roman"/>
      <w:sz w:val="28"/>
      <w:szCs w:val="28"/>
    </w:rPr>
  </w:style>
  <w:style w:type="paragraph" w:styleId="937">
    <w:name w:val="正文文本缩进"/>
    <w:basedOn w:val="903"/>
    <w:next w:val="937"/>
    <w:link w:val="938"/>
    <w:pPr>
      <w:ind w:firstLine="645"/>
    </w:pPr>
    <w:rPr>
      <w:rFonts w:ascii="楷体_GB2312" w:eastAsia="楷体_GB2312"/>
      <w:sz w:val="32"/>
      <w:szCs w:val="32"/>
      <w:lang w:val="en-US" w:eastAsia="en-US"/>
    </w:rPr>
  </w:style>
  <w:style w:type="character" w:styleId="938">
    <w:name w:val="正文文本缩进 Char"/>
    <w:next w:val="938"/>
    <w:link w:val="937"/>
    <w:rPr>
      <w:rFonts w:ascii="楷体_GB2312" w:hAnsi="Times New Roman" w:eastAsia="楷体_GB2312" w:cs="Times New Roman"/>
      <w:sz w:val="32"/>
      <w:szCs w:val="32"/>
    </w:rPr>
  </w:style>
  <w:style w:type="paragraph" w:styleId="939">
    <w:name w:val="列表 2"/>
    <w:basedOn w:val="903"/>
    <w:next w:val="939"/>
    <w:link w:val="903"/>
    <w:pPr>
      <w:ind w:left="100" w:hanging="200"/>
    </w:pPr>
  </w:style>
  <w:style w:type="paragraph" w:styleId="940">
    <w:name w:val="目录 5"/>
    <w:basedOn w:val="903"/>
    <w:next w:val="903"/>
    <w:link w:val="903"/>
    <w:semiHidden/>
    <w:pPr>
      <w:ind w:left="840"/>
      <w:jc w:val="left"/>
    </w:pPr>
  </w:style>
  <w:style w:type="paragraph" w:styleId="941">
    <w:name w:val="目录 3"/>
    <w:basedOn w:val="903"/>
    <w:next w:val="903"/>
    <w:link w:val="903"/>
    <w:semiHidden/>
    <w:pPr>
      <w:ind w:left="420"/>
      <w:jc w:val="left"/>
    </w:pPr>
    <w:rPr>
      <w:i/>
      <w:iCs/>
      <w:szCs w:val="24"/>
    </w:rPr>
  </w:style>
  <w:style w:type="paragraph" w:styleId="942">
    <w:name w:val="纯文本"/>
    <w:basedOn w:val="903"/>
    <w:next w:val="942"/>
    <w:link w:val="943"/>
    <w:rPr>
      <w:rFonts w:ascii="宋体" w:hAnsi="Courier New"/>
      <w:sz w:val="20"/>
      <w:lang w:val="en-US" w:eastAsia="en-US"/>
    </w:rPr>
  </w:style>
  <w:style w:type="character" w:styleId="943">
    <w:name w:val="纯文本 Char"/>
    <w:next w:val="943"/>
    <w:link w:val="942"/>
    <w:rPr>
      <w:rFonts w:ascii="宋体" w:hAnsi="Courier New" w:eastAsia="宋体" w:cs="Courier New"/>
      <w:szCs w:val="21"/>
    </w:rPr>
  </w:style>
  <w:style w:type="paragraph" w:styleId="944">
    <w:name w:val="目录 8"/>
    <w:basedOn w:val="903"/>
    <w:next w:val="903"/>
    <w:link w:val="903"/>
    <w:semiHidden/>
    <w:pPr>
      <w:ind w:left="1470"/>
      <w:jc w:val="left"/>
    </w:pPr>
  </w:style>
  <w:style w:type="paragraph" w:styleId="945">
    <w:name w:val="日期"/>
    <w:basedOn w:val="903"/>
    <w:next w:val="903"/>
    <w:link w:val="946"/>
    <w:rPr>
      <w:sz w:val="24"/>
      <w:szCs w:val="24"/>
      <w:lang w:val="en-US" w:eastAsia="en-US"/>
    </w:rPr>
  </w:style>
  <w:style w:type="character" w:styleId="946">
    <w:name w:val="日期 Char"/>
    <w:next w:val="946"/>
    <w:link w:val="945"/>
    <w:rPr>
      <w:rFonts w:ascii="Times New Roman" w:hAnsi="Times New Roman" w:eastAsia="宋体" w:cs="Times New Roman"/>
      <w:sz w:val="24"/>
      <w:szCs w:val="24"/>
    </w:rPr>
  </w:style>
  <w:style w:type="paragraph" w:styleId="947">
    <w:name w:val="正文文本缩进 2"/>
    <w:basedOn w:val="903"/>
    <w:next w:val="947"/>
    <w:link w:val="948"/>
    <w:pPr>
      <w:ind w:left="630" w:firstLine="645"/>
    </w:pPr>
    <w:rPr>
      <w:rFonts w:ascii="Arial" w:hAnsi="Arial" w:eastAsia="仿宋_GB2312"/>
      <w:sz w:val="32"/>
      <w:szCs w:val="32"/>
      <w:lang w:val="en-US" w:eastAsia="en-US"/>
    </w:rPr>
  </w:style>
  <w:style w:type="character" w:styleId="948">
    <w:name w:val="正文文本缩进 2 Char"/>
    <w:next w:val="948"/>
    <w:link w:val="947"/>
    <w:rPr>
      <w:rFonts w:ascii="Arial" w:hAnsi="Arial" w:eastAsia="仿宋_GB2312" w:cs="Arial"/>
      <w:sz w:val="32"/>
      <w:szCs w:val="32"/>
    </w:rPr>
  </w:style>
  <w:style w:type="paragraph" w:styleId="949">
    <w:name w:val="批注框文本"/>
    <w:basedOn w:val="903"/>
    <w:next w:val="949"/>
    <w:link w:val="950"/>
    <w:semiHidden/>
    <w:rPr>
      <w:sz w:val="18"/>
      <w:szCs w:val="18"/>
      <w:lang w:val="en-US" w:eastAsia="en-US"/>
    </w:rPr>
  </w:style>
  <w:style w:type="character" w:styleId="950">
    <w:name w:val="批注框文本 Char"/>
    <w:next w:val="950"/>
    <w:link w:val="949"/>
    <w:semiHidden/>
    <w:rPr>
      <w:rFonts w:ascii="Times New Roman" w:hAnsi="Times New Roman" w:eastAsia="宋体" w:cs="Times New Roman"/>
      <w:sz w:val="18"/>
      <w:szCs w:val="18"/>
    </w:rPr>
  </w:style>
  <w:style w:type="paragraph" w:styleId="951">
    <w:name w:val="页脚"/>
    <w:basedOn w:val="903"/>
    <w:next w:val="951"/>
    <w:link w:val="952"/>
    <w:pPr>
      <w:jc w:val="left"/>
      <w:tabs>
        <w:tab w:val="center" w:pos="4153" w:leader="none"/>
        <w:tab w:val="right" w:pos="8306" w:leader="none"/>
      </w:tabs>
    </w:pPr>
    <w:rPr>
      <w:sz w:val="18"/>
      <w:szCs w:val="18"/>
      <w:lang w:val="en-US" w:eastAsia="en-US"/>
    </w:rPr>
  </w:style>
  <w:style w:type="character" w:styleId="952">
    <w:name w:val="页脚 Char"/>
    <w:next w:val="952"/>
    <w:link w:val="951"/>
    <w:rPr>
      <w:rFonts w:ascii="Times New Roman" w:hAnsi="Times New Roman" w:eastAsia="宋体" w:cs="Times New Roman"/>
      <w:sz w:val="18"/>
      <w:szCs w:val="18"/>
    </w:rPr>
  </w:style>
  <w:style w:type="paragraph" w:styleId="953">
    <w:name w:val="页眉"/>
    <w:basedOn w:val="903"/>
    <w:next w:val="953"/>
    <w:link w:val="95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4">
    <w:name w:val="页眉 Char"/>
    <w:next w:val="954"/>
    <w:link w:val="953"/>
    <w:uiPriority w:val="99"/>
    <w:qFormat/>
    <w:rPr>
      <w:rFonts w:ascii="Times New Roman" w:hAnsi="Times New Roman" w:eastAsia="宋体" w:cs="Times New Roman"/>
      <w:sz w:val="18"/>
      <w:szCs w:val="18"/>
    </w:rPr>
  </w:style>
  <w:style w:type="paragraph" w:styleId="955">
    <w:name w:val="目录 1"/>
    <w:basedOn w:val="903"/>
    <w:next w:val="903"/>
    <w:link w:val="903"/>
    <w:semiHidden/>
    <w:pPr>
      <w:jc w:val="left"/>
      <w:spacing w:before="120" w:after="120" w:line="400" w:lineRule="exact"/>
      <w:tabs>
        <w:tab w:val="right" w:pos="8720" w:leader="dot"/>
      </w:tabs>
    </w:pPr>
    <w:rPr>
      <w:rFonts w:ascii="宋体" w:hAnsi="宋体"/>
      <w:caps/>
      <w:sz w:val="24"/>
      <w:szCs w:val="24"/>
    </w:rPr>
  </w:style>
  <w:style w:type="paragraph" w:styleId="956">
    <w:name w:val="目录 4"/>
    <w:basedOn w:val="903"/>
    <w:next w:val="903"/>
    <w:link w:val="903"/>
    <w:semiHidden/>
    <w:pPr>
      <w:ind w:left="630"/>
      <w:jc w:val="left"/>
    </w:pPr>
  </w:style>
  <w:style w:type="paragraph" w:styleId="957">
    <w:name w:val="列表"/>
    <w:basedOn w:val="903"/>
    <w:next w:val="957"/>
    <w:link w:val="903"/>
    <w:pPr>
      <w:ind w:left="200" w:hanging="200"/>
    </w:pPr>
  </w:style>
  <w:style w:type="paragraph" w:styleId="958">
    <w:name w:val="目录 6"/>
    <w:basedOn w:val="903"/>
    <w:next w:val="903"/>
    <w:link w:val="903"/>
    <w:semiHidden/>
    <w:pPr>
      <w:ind w:left="1050"/>
      <w:jc w:val="left"/>
    </w:pPr>
  </w:style>
  <w:style w:type="paragraph" w:styleId="959">
    <w:name w:val="正文文本缩进 3"/>
    <w:basedOn w:val="903"/>
    <w:next w:val="959"/>
    <w:link w:val="960"/>
    <w:pPr>
      <w:ind w:left="645" w:firstLine="645"/>
    </w:pPr>
    <w:rPr>
      <w:rFonts w:ascii="Arial" w:hAnsi="Arial" w:eastAsia="仿宋_GB2312"/>
      <w:color w:val="ffff00"/>
      <w:sz w:val="32"/>
      <w:szCs w:val="32"/>
      <w:lang w:val="en-US" w:eastAsia="en-US"/>
    </w:rPr>
  </w:style>
  <w:style w:type="character" w:styleId="960">
    <w:name w:val="正文文本缩进 3 Char"/>
    <w:next w:val="960"/>
    <w:link w:val="959"/>
    <w:rPr>
      <w:rFonts w:ascii="Arial" w:hAnsi="Arial" w:eastAsia="仿宋_GB2312" w:cs="Arial"/>
      <w:color w:val="ffff00"/>
      <w:sz w:val="32"/>
      <w:szCs w:val="32"/>
    </w:rPr>
  </w:style>
  <w:style w:type="paragraph" w:styleId="961">
    <w:name w:val="图表目录"/>
    <w:basedOn w:val="903"/>
    <w:next w:val="903"/>
    <w:link w:val="903"/>
    <w:semiHidden/>
    <w:pPr>
      <w:ind w:left="840" w:hanging="420"/>
    </w:pPr>
  </w:style>
  <w:style w:type="paragraph" w:styleId="962">
    <w:name w:val="目录 2"/>
    <w:basedOn w:val="903"/>
    <w:next w:val="903"/>
    <w:link w:val="903"/>
    <w:semiHidden/>
    <w:pPr>
      <w:ind w:left="210"/>
      <w:jc w:val="left"/>
    </w:pPr>
    <w:rPr>
      <w:smallCaps/>
      <w:szCs w:val="24"/>
    </w:rPr>
  </w:style>
  <w:style w:type="paragraph" w:styleId="963">
    <w:name w:val="目录 9"/>
    <w:basedOn w:val="903"/>
    <w:next w:val="903"/>
    <w:link w:val="903"/>
    <w:semiHidden/>
    <w:pPr>
      <w:ind w:left="1680"/>
      <w:jc w:val="left"/>
    </w:pPr>
  </w:style>
  <w:style w:type="paragraph" w:styleId="964">
    <w:name w:val="正文文本 2"/>
    <w:basedOn w:val="903"/>
    <w:next w:val="964"/>
    <w:link w:val="965"/>
    <w:pPr>
      <w:jc w:val="center"/>
      <w:widowControl/>
    </w:pPr>
    <w:rPr>
      <w:rFonts w:ascii="楷体_GB2312" w:eastAsia="楷体_GB2312"/>
      <w:sz w:val="28"/>
      <w:szCs w:val="28"/>
      <w:lang w:val="en-US" w:eastAsia="en-US"/>
    </w:rPr>
  </w:style>
  <w:style w:type="character" w:styleId="965">
    <w:name w:val="正文文本 2 Char"/>
    <w:next w:val="965"/>
    <w:link w:val="964"/>
    <w:rPr>
      <w:rFonts w:ascii="楷体_GB2312" w:hAnsi="Times New Roman" w:eastAsia="楷体_GB2312" w:cs="Times New Roman"/>
      <w:sz w:val="28"/>
      <w:szCs w:val="28"/>
    </w:rPr>
  </w:style>
  <w:style w:type="paragraph" w:styleId="966">
    <w:name w:val="普通(网站)"/>
    <w:basedOn w:val="903"/>
    <w:next w:val="966"/>
    <w:link w:val="903"/>
    <w:uiPriority w:val="99"/>
    <w:pPr>
      <w:jc w:val="left"/>
      <w:spacing w:before="100" w:beforeAutospacing="1" w:after="100" w:afterAutospacing="1"/>
      <w:widowControl/>
    </w:pPr>
    <w:rPr>
      <w:rFonts w:ascii="宋体" w:hAnsi="宋体" w:cs="宋体"/>
      <w:sz w:val="24"/>
      <w:szCs w:val="24"/>
    </w:rPr>
  </w:style>
  <w:style w:type="paragraph" w:styleId="967">
    <w:name w:val="索引 1"/>
    <w:basedOn w:val="903"/>
    <w:next w:val="903"/>
    <w:link w:val="903"/>
    <w:semiHidden/>
    <w:pPr>
      <w:spacing w:line="240" w:lineRule="atLeast"/>
    </w:pPr>
    <w:rPr>
      <w:b/>
      <w:bCs/>
    </w:rPr>
  </w:style>
  <w:style w:type="paragraph" w:styleId="968">
    <w:name w:val="批注主题"/>
    <w:basedOn w:val="931"/>
    <w:next w:val="931"/>
    <w:link w:val="969"/>
    <w:semiHidden/>
    <w:rPr>
      <w:b/>
      <w:bCs/>
    </w:rPr>
  </w:style>
  <w:style w:type="character" w:styleId="969">
    <w:name w:val="批注主题 Char"/>
    <w:next w:val="969"/>
    <w:link w:val="968"/>
    <w:semiHidden/>
    <w:rPr>
      <w:rFonts w:ascii="Times New Roman" w:hAnsi="Times New Roman" w:eastAsia="宋体" w:cs="Times New Roman"/>
      <w:b/>
      <w:bCs/>
      <w:szCs w:val="21"/>
    </w:rPr>
  </w:style>
  <w:style w:type="paragraph" w:styleId="970">
    <w:name w:val="正文首行缩进"/>
    <w:basedOn w:val="903"/>
    <w:next w:val="970"/>
    <w:link w:val="971"/>
    <w:pPr>
      <w:ind w:firstLine="200"/>
      <w:spacing w:line="360" w:lineRule="auto"/>
    </w:pPr>
    <w:rPr>
      <w:rFonts w:ascii="仿宋_GB2312" w:eastAsia="仿宋_GB2312"/>
      <w:sz w:val="30"/>
      <w:szCs w:val="30"/>
      <w:lang w:val="en-US" w:eastAsia="en-US"/>
    </w:rPr>
  </w:style>
  <w:style w:type="character" w:styleId="971">
    <w:name w:val="正文首行缩进 Char"/>
    <w:next w:val="971"/>
    <w:link w:val="970"/>
    <w:rPr>
      <w:rFonts w:ascii="仿宋_GB2312" w:hAnsi="Times New Roman" w:eastAsia="仿宋_GB2312" w:cs="Times New Roman"/>
      <w:sz w:val="30"/>
      <w:szCs w:val="30"/>
    </w:rPr>
  </w:style>
  <w:style w:type="paragraph" w:styleId="972">
    <w:name w:val="正文首行缩进 2"/>
    <w:basedOn w:val="937"/>
    <w:next w:val="972"/>
    <w:link w:val="973"/>
    <w:pPr>
      <w:ind w:firstLine="420"/>
      <w:spacing w:line="360" w:lineRule="auto"/>
    </w:pPr>
    <w:rPr>
      <w:rFonts w:ascii="宋体" w:hAnsi="宋体" w:eastAsia="宋体"/>
      <w:szCs w:val="20"/>
    </w:rPr>
  </w:style>
  <w:style w:type="character" w:styleId="973">
    <w:name w:val="正文首行缩进 2 Char"/>
    <w:next w:val="973"/>
    <w:link w:val="972"/>
    <w:rPr>
      <w:rFonts w:ascii="宋体" w:hAnsi="宋体" w:eastAsia="宋体" w:cs="Times New Roman"/>
      <w:sz w:val="32"/>
      <w:szCs w:val="20"/>
    </w:rPr>
  </w:style>
  <w:style w:type="table" w:styleId="974">
    <w:name w:val="网格型"/>
    <w:basedOn w:val="914"/>
    <w:next w:val="974"/>
    <w:link w:val="903"/>
    <w:uiPriority w:val="59"/>
    <w:qFormat/>
    <w:pPr>
      <w:jc w:val="both"/>
      <w:widowControl w:val="off"/>
    </w:pPr>
    <w:rPr>
      <w:rFonts w:ascii="Times New Roman" w:hAnsi="Times New Roman" w:eastAsia="宋体" w:cs="Times New Roman"/>
      <w:sz w:val="20"/>
      <w:szCs w:val="20"/>
    </w:rPr>
    <w:tblPr/>
  </w:style>
  <w:style w:type="character" w:styleId="975">
    <w:name w:val="要点"/>
    <w:next w:val="975"/>
    <w:link w:val="903"/>
    <w:qFormat/>
    <w:rPr>
      <w:b/>
      <w:bCs/>
    </w:rPr>
  </w:style>
  <w:style w:type="character" w:styleId="976">
    <w:name w:val="页码"/>
    <w:next w:val="976"/>
    <w:link w:val="903"/>
  </w:style>
  <w:style w:type="character" w:styleId="977">
    <w:name w:val="已访问的超链接"/>
    <w:next w:val="977"/>
    <w:link w:val="903"/>
    <w:rPr>
      <w:color w:val="800080"/>
      <w:u w:val="single"/>
    </w:rPr>
  </w:style>
  <w:style w:type="character" w:styleId="978">
    <w:name w:val="HTML 打字机"/>
    <w:next w:val="978"/>
    <w:link w:val="903"/>
    <w:uiPriority w:val="99"/>
    <w:rPr>
      <w:rFonts w:ascii="宋体" w:hAnsi="宋体" w:eastAsia="宋体" w:cs="宋体"/>
      <w:sz w:val="24"/>
      <w:szCs w:val="24"/>
    </w:rPr>
  </w:style>
  <w:style w:type="character" w:styleId="979">
    <w:name w:val="超链接"/>
    <w:next w:val="979"/>
    <w:link w:val="903"/>
    <w:rPr>
      <w:color w:val="0000ff"/>
      <w:u w:val="single"/>
    </w:rPr>
  </w:style>
  <w:style w:type="character" w:styleId="980">
    <w:name w:val="批注引用"/>
    <w:next w:val="980"/>
    <w:link w:val="903"/>
    <w:semiHidden/>
    <w:rPr>
      <w:sz w:val="21"/>
      <w:szCs w:val="21"/>
    </w:rPr>
  </w:style>
  <w:style w:type="character" w:styleId="981">
    <w:name w:val="font5 Char"/>
    <w:next w:val="981"/>
    <w:link w:val="903"/>
    <w:rPr>
      <w:rFonts w:ascii="宋体" w:hAnsi="宋体" w:eastAsia="宋体"/>
      <w:sz w:val="28"/>
      <w:szCs w:val="28"/>
      <w:lang w:val="en-US" w:eastAsia="zh-CN" w:bidi="ar-SA"/>
    </w:rPr>
  </w:style>
  <w:style w:type="character" w:styleId="982">
    <w:name w:val="二级目录 Char"/>
    <w:next w:val="982"/>
    <w:link w:val="983"/>
    <w:rPr>
      <w:b/>
      <w:sz w:val="30"/>
      <w:szCs w:val="28"/>
      <w:lang w:val="en-US" w:eastAsia="zh-CN" w:bidi="ar-SA"/>
    </w:rPr>
  </w:style>
  <w:style w:type="paragraph" w:styleId="983">
    <w:name w:val="二级目录"/>
    <w:next w:val="903"/>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3"/>
    <w:next w:val="985"/>
    <w:link w:val="984"/>
    <w:qFormat/>
    <w:pPr>
      <w:contextualSpacing/>
      <w:ind w:left="720"/>
      <w:jc w:val="left"/>
      <w:widowControl/>
    </w:pPr>
    <w:rPr>
      <w:rFonts w:ascii="Calibri" w:hAnsi="Calibri"/>
      <w:sz w:val="24"/>
      <w:szCs w:val="24"/>
      <w:lang w:val="en-US" w:eastAsia="en-US" w:bidi="en-US"/>
    </w:rPr>
  </w:style>
  <w:style w:type="paragraph" w:styleId="986">
    <w:name w:val="Body Text(ch)"/>
    <w:basedOn w:val="903"/>
    <w:next w:val="935"/>
    <w:link w:val="903"/>
    <w:pPr>
      <w:spacing w:after="120"/>
    </w:pPr>
    <w:rPr>
      <w:rFonts w:ascii="宋体" w:hAnsi="Arial"/>
      <w:bCs/>
      <w:iCs/>
      <w:szCs w:val="24"/>
    </w:rPr>
  </w:style>
  <w:style w:type="paragraph" w:styleId="987">
    <w:name w:val="xl27"/>
    <w:basedOn w:val="903"/>
    <w:next w:val="987"/>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6"/>
    <w:basedOn w:val="903"/>
    <w:next w:val="988"/>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name w:val="Char"/>
    <w:basedOn w:val="903"/>
    <w:next w:val="989"/>
    <w:link w:val="903"/>
    <w:pPr>
      <w:ind w:firstLine="200"/>
      <w:tabs>
        <w:tab w:val="left" w:pos="360" w:leader="none"/>
      </w:tabs>
    </w:pPr>
    <w:rPr>
      <w:sz w:val="28"/>
      <w:szCs w:val="30"/>
    </w:rPr>
  </w:style>
  <w:style w:type="paragraph" w:styleId="990">
    <w:name w:val=" Char"/>
    <w:basedOn w:val="929"/>
    <w:next w:val="990"/>
    <w:link w:val="903"/>
    <w:rPr>
      <w:rFonts w:ascii="Tahoma" w:hAnsi="Tahoma"/>
      <w:sz w:val="24"/>
      <w:szCs w:val="24"/>
    </w:rPr>
  </w:style>
  <w:style w:type="paragraph" w:styleId="991">
    <w:name w:val="普通正文"/>
    <w:basedOn w:val="903"/>
    <w:next w:val="991"/>
    <w:link w:val="903"/>
    <w:pPr>
      <w:ind w:firstLine="480"/>
      <w:jc w:val="left"/>
      <w:spacing w:before="120" w:after="120" w:line="360" w:lineRule="auto"/>
    </w:pPr>
    <w:rPr>
      <w:rFonts w:ascii="Arial" w:hAnsi="Arial"/>
      <w:sz w:val="24"/>
      <w:szCs w:val="24"/>
    </w:rPr>
  </w:style>
  <w:style w:type="paragraph" w:styleId="992">
    <w:name w:val="table_lines"/>
    <w:basedOn w:val="903"/>
    <w:next w:val="992"/>
    <w:link w:val="903"/>
    <w:pPr>
      <w:jc w:val="left"/>
      <w:widowControl/>
    </w:pPr>
    <w:rPr>
      <w:sz w:val="20"/>
      <w:szCs w:val="20"/>
      <w:lang w:val="de-DE" w:eastAsia="de-DE"/>
    </w:rPr>
  </w:style>
  <w:style w:type="paragraph" w:styleId="993">
    <w:name w:val="附录1"/>
    <w:next w:val="993"/>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4">
    <w:name w:val="font7"/>
    <w:basedOn w:val="903"/>
    <w:next w:val="994"/>
    <w:link w:val="903"/>
    <w:pPr>
      <w:jc w:val="left"/>
      <w:spacing w:before="100" w:beforeAutospacing="1" w:after="100" w:afterAutospacing="1"/>
      <w:widowControl/>
    </w:pPr>
    <w:rPr>
      <w:rFonts w:hint="eastAsia" w:ascii="宋体" w:hAnsi="宋体"/>
      <w:sz w:val="18"/>
      <w:szCs w:val="18"/>
    </w:rPr>
  </w:style>
  <w:style w:type="paragraph" w:styleId="995">
    <w:name w:val=" Char Char Char Char"/>
    <w:basedOn w:val="929"/>
    <w:next w:val="995"/>
    <w:link w:val="903"/>
    <w:pPr>
      <w:spacing w:line="360" w:lineRule="auto"/>
    </w:pPr>
    <w:rPr>
      <w:rFonts w:ascii="Tahoma" w:hAnsi="Tahoma"/>
      <w:sz w:val="24"/>
      <w:szCs w:val="24"/>
    </w:rPr>
  </w:style>
  <w:style w:type="paragraph" w:styleId="996">
    <w:name w:val="列出段落"/>
    <w:basedOn w:val="903"/>
    <w:next w:val="996"/>
    <w:link w:val="903"/>
    <w:uiPriority w:val="99"/>
    <w:qFormat/>
    <w:pPr>
      <w:contextualSpacing/>
      <w:ind w:left="720"/>
      <w:jc w:val="left"/>
      <w:widowControl/>
    </w:pPr>
    <w:rPr>
      <w:rFonts w:ascii="Calibri" w:hAnsi="Calibri"/>
      <w:sz w:val="24"/>
      <w:szCs w:val="24"/>
      <w:lang w:eastAsia="en-US" w:bidi="en-US"/>
    </w:rPr>
  </w:style>
  <w:style w:type="paragraph" w:styleId="997">
    <w:name w:val="4"/>
    <w:basedOn w:val="903"/>
    <w:next w:val="959"/>
    <w:link w:val="903"/>
    <w:pPr>
      <w:ind w:firstLine="420"/>
      <w:spacing w:line="360" w:lineRule="auto"/>
    </w:pPr>
    <w:rPr>
      <w:color w:val="ff0000"/>
      <w:sz w:val="24"/>
      <w:szCs w:val="24"/>
    </w:rPr>
  </w:style>
  <w:style w:type="paragraph" w:styleId="998">
    <w:name w:val="普通 (Web)"/>
    <w:basedOn w:val="903"/>
    <w:next w:val="998"/>
    <w:link w:val="903"/>
    <w:pPr>
      <w:jc w:val="left"/>
      <w:spacing w:before="100" w:beforeAutospacing="1" w:after="100" w:afterAutospacing="1"/>
      <w:widowControl/>
    </w:pPr>
    <w:rPr>
      <w:rFonts w:ascii="宋体" w:hAnsi="宋体"/>
      <w:sz w:val="24"/>
      <w:szCs w:val="24"/>
    </w:rPr>
  </w:style>
  <w:style w:type="paragraph" w:styleId="999">
    <w:name w:val=" Char Char Char Char Char Char Char Char Char Char"/>
    <w:basedOn w:val="903"/>
    <w:next w:val="999"/>
    <w:link w:val="903"/>
    <w:pPr>
      <w:spacing w:line="360" w:lineRule="auto"/>
    </w:pPr>
    <w:rPr>
      <w:sz w:val="24"/>
      <w:szCs w:val="20"/>
    </w:rPr>
  </w:style>
  <w:style w:type="paragraph" w:styleId="1000">
    <w:name w:val="样式1"/>
    <w:basedOn w:val="903"/>
    <w:next w:val="1000"/>
    <w:link w:val="903"/>
    <w:pPr>
      <w:numPr>
        <w:ilvl w:val="0"/>
        <w:numId w:val="3"/>
      </w:numPr>
      <w:tabs>
        <w:tab w:val="left" w:pos="709" w:leader="none"/>
      </w:tabs>
    </w:pPr>
    <w:rPr>
      <w:rFonts w:ascii="宋体" w:hAnsi="宋体"/>
    </w:rPr>
  </w:style>
  <w:style w:type="paragraph" w:styleId="1001">
    <w:name w:val="font6"/>
    <w:basedOn w:val="903"/>
    <w:next w:val="1001"/>
    <w:link w:val="903"/>
    <w:pPr>
      <w:jc w:val="left"/>
      <w:spacing w:before="100" w:beforeAutospacing="1" w:after="100" w:afterAutospacing="1"/>
      <w:widowControl/>
    </w:pPr>
    <w:rPr>
      <w:rFonts w:hint="eastAsia" w:ascii="宋体" w:hAnsi="宋体"/>
      <w:sz w:val="28"/>
      <w:szCs w:val="28"/>
      <w:u w:val="single"/>
    </w:rPr>
  </w:style>
  <w:style w:type="paragraph" w:styleId="1002">
    <w:name w:val="xl25"/>
    <w:basedOn w:val="903"/>
    <w:next w:val="1002"/>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name w:val="图标"/>
    <w:basedOn w:val="903"/>
    <w:next w:val="903"/>
    <w:link w:val="90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name w:val="标题3"/>
    <w:basedOn w:val="903"/>
    <w:next w:val="903"/>
    <w:link w:val="903"/>
    <w:pPr>
      <w:ind w:firstLine="624"/>
      <w:spacing w:line="590" w:lineRule="atLeast"/>
    </w:pPr>
    <w:rPr>
      <w:rFonts w:ascii="方正黑体_GBK" w:eastAsia="方正黑体_GBK"/>
      <w:sz w:val="32"/>
      <w:szCs w:val="32"/>
    </w:rPr>
  </w:style>
  <w:style w:type="paragraph" w:styleId="1005">
    <w:name w:val="xl24"/>
    <w:basedOn w:val="903"/>
    <w:next w:val="1005"/>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xl29"/>
    <w:basedOn w:val="903"/>
    <w:next w:val="1006"/>
    <w:link w:val="9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name w:val="Char Char Char Char Char Char Char Char"/>
    <w:basedOn w:val="903"/>
    <w:next w:val="1007"/>
    <w:link w:val="903"/>
    <w:pPr>
      <w:jc w:val="left"/>
      <w:spacing w:after="160" w:line="240" w:lineRule="exact"/>
      <w:widowControl/>
    </w:pPr>
    <w:rPr>
      <w:rFonts w:ascii="Verdana" w:hAnsi="Verdana"/>
      <w:sz w:val="20"/>
      <w:szCs w:val="20"/>
      <w:lang w:eastAsia="en-US"/>
    </w:rPr>
  </w:style>
  <w:style w:type="paragraph" w:styleId="1008">
    <w:name w:val="xl28"/>
    <w:basedOn w:val="903"/>
    <w:next w:val="1008"/>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name w:val=" Char Char Char Char Char Char Char Char"/>
    <w:basedOn w:val="903"/>
    <w:next w:val="1009"/>
    <w:link w:val="903"/>
    <w:pPr>
      <w:jc w:val="left"/>
      <w:spacing w:after="160" w:line="240" w:lineRule="exact"/>
      <w:widowControl/>
    </w:pPr>
    <w:rPr>
      <w:rFonts w:ascii="Verdana" w:hAnsi="Verdana"/>
      <w:sz w:val="20"/>
      <w:szCs w:val="20"/>
      <w:lang w:eastAsia="en-US"/>
    </w:rPr>
  </w:style>
  <w:style w:type="paragraph" w:styleId="1010">
    <w:name w:val="xl30"/>
    <w:basedOn w:val="903"/>
    <w:next w:val="1010"/>
    <w:link w:val="903"/>
    <w:pPr>
      <w:jc w:val="center"/>
      <w:spacing w:before="100" w:beforeAutospacing="1" w:after="100" w:afterAutospacing="1"/>
      <w:widowControl/>
    </w:pPr>
    <w:rPr>
      <w:rFonts w:ascii="宋体" w:hAnsi="宋体"/>
      <w:b/>
      <w:bCs/>
      <w:sz w:val="36"/>
      <w:szCs w:val="36"/>
    </w:rPr>
  </w:style>
  <w:style w:type="paragraph" w:styleId="1011">
    <w:name w:val="Char Char Char Char"/>
    <w:basedOn w:val="929"/>
    <w:next w:val="1011"/>
    <w:link w:val="903"/>
    <w:pPr>
      <w:spacing w:line="360" w:lineRule="auto"/>
    </w:pPr>
    <w:rPr>
      <w:rFonts w:ascii="Tahoma" w:hAnsi="Tahoma"/>
      <w:sz w:val="24"/>
      <w:szCs w:val="24"/>
    </w:rPr>
  </w:style>
  <w:style w:type="paragraph" w:styleId="1012">
    <w:name w:val="table_1stline"/>
    <w:basedOn w:val="903"/>
    <w:next w:val="1012"/>
    <w:link w:val="903"/>
    <w:pPr>
      <w:jc w:val="left"/>
      <w:spacing w:before="120"/>
      <w:widowControl/>
    </w:pPr>
    <w:rPr>
      <w:bCs/>
      <w:sz w:val="20"/>
      <w:szCs w:val="20"/>
      <w:lang w:val="de-DE" w:eastAsia="de-DE"/>
    </w:rPr>
  </w:style>
  <w:style w:type="paragraph" w:styleId="1013">
    <w:name w:val="font5"/>
    <w:basedOn w:val="903"/>
    <w:next w:val="1013"/>
    <w:link w:val="903"/>
    <w:pPr>
      <w:jc w:val="left"/>
      <w:spacing w:before="100" w:beforeAutospacing="1" w:after="100" w:afterAutospacing="1"/>
      <w:widowControl/>
    </w:pPr>
    <w:rPr>
      <w:rFonts w:hint="eastAsia" w:ascii="宋体" w:hAnsi="宋体"/>
      <w:sz w:val="28"/>
      <w:szCs w:val="28"/>
    </w:rPr>
  </w:style>
  <w:style w:type="paragraph" w:styleId="1014">
    <w:name w:val="标题1"/>
    <w:basedOn w:val="903"/>
    <w:next w:val="903"/>
    <w:link w:val="90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name w:val="修订"/>
    <w:next w:val="1015"/>
    <w:link w:val="903"/>
    <w:uiPriority w:val="99"/>
    <w:semiHidden/>
    <w:rPr>
      <w:rFonts w:ascii="Times New Roman" w:hAnsi="Times New Roman"/>
      <w:sz w:val="21"/>
      <w:szCs w:val="21"/>
      <w:lang w:val="en-US" w:eastAsia="zh-CN" w:bidi="ar-SA"/>
    </w:rPr>
  </w:style>
  <w:style w:type="paragraph" w:styleId="1016">
    <w:name w:val="无间隔"/>
    <w:next w:val="1016"/>
    <w:link w:val="903"/>
    <w:uiPriority w:val="99"/>
    <w:qFormat/>
    <w:pPr>
      <w:jc w:val="both"/>
      <w:widowControl w:val="off"/>
    </w:pPr>
    <w:rPr>
      <w:rFonts w:ascii="Times New Roman" w:hAnsi="Times New Roman"/>
      <w:sz w:val="21"/>
      <w:szCs w:val="21"/>
      <w:lang w:val="en-US" w:eastAsia="zh-CN" w:bidi="ar-SA"/>
    </w:rPr>
  </w:style>
  <w:style w:type="paragraph" w:styleId="1017">
    <w:name w:val="普通文字"/>
    <w:basedOn w:val="903"/>
    <w:next w:val="903"/>
    <w:link w:val="903"/>
    <w:uiPriority w:val="99"/>
    <w:rPr>
      <w:rFonts w:ascii="宋体" w:hAnsi="Times New Roman" w:eastAsia="宋体" w:cs="Times New Roman"/>
      <w:sz w:val="24"/>
      <w:szCs w:val="20"/>
      <w:u w:val="none"/>
    </w:rPr>
  </w:style>
  <w:style w:type="paragraph" w:styleId="1018">
    <w:name w:val="目录 111"/>
    <w:basedOn w:val="903"/>
    <w:next w:val="903"/>
    <w:link w:val="903"/>
    <w:uiPriority w:val="39"/>
    <w:unhideWhenUsed/>
    <w:qFormat/>
    <w:pPr>
      <w:jc w:val="left"/>
      <w:spacing w:after="100" w:line="259" w:lineRule="auto"/>
      <w:widowControl/>
    </w:pPr>
    <w:rPr>
      <w:rFonts w:ascii="Calibri" w:hAnsi="Calibri" w:eastAsia="宋体"/>
      <w:sz w:val="22"/>
      <w:szCs w:val="22"/>
    </w:rPr>
  </w:style>
  <w:style w:type="paragraph" w:styleId="1019">
    <w:name w:val="HTML 预设格式"/>
    <w:basedOn w:val="903"/>
    <w:next w:val="1019"/>
    <w:link w:val="1020"/>
    <w:uiPriority w:val="99"/>
    <w:semiHidden/>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20">
    <w:name w:val="HTML 预设格式 Char"/>
    <w:basedOn w:val="913"/>
    <w:next w:val="1020"/>
    <w:link w:val="1019"/>
    <w:uiPriority w:val="99"/>
    <w:semiHidden/>
    <w:rPr>
      <w:rFonts w:ascii="宋体" w:hAnsi="宋体" w:cs="宋体"/>
      <w:sz w:val="24"/>
      <w:szCs w:val="24"/>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698</cp:revision>
  <dcterms:created xsi:type="dcterms:W3CDTF">2023-03-16T02:16:00Z</dcterms:created>
  <dcterms:modified xsi:type="dcterms:W3CDTF">2026-01-19T06:41:00Z</dcterms:modified>
  <cp:version>786432</cp:version>
</cp:coreProperties>
</file>