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82"/>
        <w:rPr>
          <w:rFonts w:hint="eastAsia"/>
        </w:rPr>
      </w:pPr>
      <w:r>
        <w:rPr>
          <w:rFonts w:hint="eastAsia"/>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960"/>
        <w:jc w:val="both"/>
        <w:spacing w:before="120" w:after="120" w:line="360" w:lineRule="auto"/>
        <w:rPr>
          <w:rFonts w:hint="eastAsia" w:ascii="Arial" w:hAnsi="Arial"/>
          <w:b/>
          <w:bCs/>
          <w:color w:val="auto"/>
          <w:sz w:val="32"/>
          <w:szCs w:val="24"/>
        </w:rPr>
      </w:pPr>
      <w:r>
        <w:rPr>
          <w:rFonts w:hint="eastAsia" w:ascii="Arial" w:hAnsi="Arial"/>
          <w:b/>
          <w:bCs/>
          <w:color w:val="auto"/>
          <w:sz w:val="32"/>
          <w:szCs w:val="24"/>
        </w:rPr>
        <w:t xml:space="preserve">项目名称：南通市海门区自然资源和规划综合服务中心采购征地报批服务项目</w:t>
      </w:r>
      <w:r/>
    </w:p>
    <w:p>
      <w:pPr>
        <w:ind w:firstLine="960"/>
        <w:spacing w:before="120" w:after="120" w:line="360" w:lineRule="auto"/>
        <w:rPr>
          <w:rFonts w:hint="eastAsia" w:ascii="宋体" w:hAnsi="宋体" w:eastAsia="宋体" w:cs="宋体"/>
          <w:b/>
          <w:bCs/>
          <w:color w:val="auto"/>
          <w:sz w:val="32"/>
          <w:szCs w:val="24"/>
        </w:rPr>
      </w:pPr>
      <w:r>
        <w:rPr>
          <w:rFonts w:hint="eastAsia" w:ascii="Arial" w:hAnsi="Arial"/>
          <w:b/>
          <w:bCs/>
          <w:color w:val="auto"/>
          <w:sz w:val="32"/>
          <w:szCs w:val="24"/>
        </w:rPr>
        <w:t xml:space="preserve">项目编号：</w:t>
      </w:r>
      <w:r>
        <w:rPr>
          <w:rFonts w:hint="eastAsia" w:ascii="宋体" w:hAnsi="宋体" w:eastAsia="宋体" w:cs="宋体"/>
          <w:b/>
          <w:bCs/>
          <w:color w:val="auto"/>
          <w:sz w:val="32"/>
          <w:szCs w:val="24"/>
        </w:rPr>
        <w:t xml:space="preserve">JSZC-320614-JZCG-G2026-0009</w:t>
      </w:r>
      <w:r/>
    </w:p>
    <w:p>
      <w:pPr>
        <w:pStyle w:val="698"/>
        <w:rPr>
          <w:rFonts w:hint="eastAsia"/>
        </w:rPr>
      </w:pPr>
      <w:r>
        <w:rPr>
          <w:rFonts w:hint="eastAsia"/>
        </w:rPr>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2026</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lang w:val="en-US" w:eastAsia="zh-CN"/>
        </w:rPr>
        <w:t xml:space="preserve">2</w:t>
      </w:r>
      <w:r>
        <w:rPr>
          <w:rFonts w:hint="eastAsia" w:ascii="宋体" w:hAnsi="宋体" w:eastAsia="宋体" w:cs="宋体"/>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0"/>
        </w:numPr>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p>
    <w:p>
      <w:pPr>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p>
    <w:p>
      <w:pPr>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p>
    <w:p>
      <w:pPr>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p>
    <w:p>
      <w:pPr>
        <w:numPr>
          <w:ilvl w:val="0"/>
          <w:numId w:val="0"/>
        </w:numPr>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bookmarkStart w:id="153" w:name="_GoBack"/>
      <w:r/>
      <w:bookmarkEnd w:id="153"/>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697"/>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33"/>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项目概况</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南通市海门区自然资源和规划综合服务中心采购征地报批服务项目JSZC-320614-JZCG-G2026-0009</w:t>
            </w:r>
            <w:r>
              <w:rPr>
                <w:rFonts w:hint="eastAsia" w:ascii="宋体" w:hAnsi="宋体" w:eastAsia="宋体" w:cs="宋体"/>
                <w:color w:val="0000ff"/>
                <w:sz w:val="28"/>
                <w:szCs w:val="28"/>
                <w:shd w:val="clear" w:color="auto" w:fill="auto"/>
              </w:rPr>
              <w:t xml:space="preserve"> </w:t>
            </w:r>
            <w:r>
              <w:rPr>
                <w:rFonts w:hint="eastAsia" w:ascii="宋体" w:hAnsi="宋体" w:eastAsia="宋体" w:cs="宋体"/>
                <w:sz w:val="28"/>
                <w:szCs w:val="28"/>
                <w:shd w:val="clear" w:color="auto" w:fill="auto"/>
              </w:rPr>
              <w:t xml:space="preserve">招标项目的潜在投标人应在江苏政府采购网 获取招标文件，并于2026-</w:t>
            </w:r>
            <w:r>
              <w:rPr>
                <w:rFonts w:hint="eastAsia" w:cs="宋体"/>
                <w:sz w:val="28"/>
                <w:szCs w:val="28"/>
                <w:shd w:val="clear" w:color="auto" w:fill="auto"/>
                <w:lang w:val="en-US" w:eastAsia="zh-CN"/>
              </w:rPr>
              <w:t xml:space="preserve">03</w:t>
            </w:r>
            <w:r>
              <w:rPr>
                <w:rFonts w:hint="eastAsia" w:ascii="宋体" w:hAnsi="宋体" w:eastAsia="宋体" w:cs="宋体"/>
                <w:sz w:val="28"/>
                <w:szCs w:val="28"/>
                <w:shd w:val="clear" w:color="auto" w:fill="auto"/>
              </w:rPr>
              <w:t xml:space="preserve">-</w:t>
            </w:r>
            <w:r>
              <w:rPr>
                <w:rFonts w:hint="eastAsia" w:ascii="宋体" w:hAnsi="宋体" w:eastAsia="宋体" w:cs="宋体"/>
                <w:sz w:val="28"/>
                <w:szCs w:val="28"/>
                <w:shd w:val="clear" w:color="auto" w:fill="auto"/>
                <w:lang w:val="en-US" w:eastAsia="zh-CN"/>
              </w:rPr>
              <w:t xml:space="preserve">19</w:t>
            </w:r>
            <w:r>
              <w:rPr>
                <w:rFonts w:hint="eastAsia" w:ascii="宋体" w:hAnsi="宋体" w:eastAsia="宋体" w:cs="宋体"/>
                <w:sz w:val="28"/>
                <w:szCs w:val="28"/>
                <w:shd w:val="clear" w:color="auto" w:fill="auto"/>
              </w:rPr>
              <w:t xml:space="preserve"> 09:00 （北京时间）前递交投标文件。</w:t>
            </w:r>
            <w:r/>
          </w:p>
        </w:tc>
      </w:tr>
    </w:tbl>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lang w:val="en-US" w:eastAsia="zh-CN"/>
        </w:rPr>
        <w:t xml:space="preserve">一、</w:t>
      </w:r>
      <w:r>
        <w:rPr>
          <w:rFonts w:hint="eastAsia" w:ascii="宋体" w:hAnsi="宋体" w:eastAsia="宋体" w:cs="宋体"/>
          <w:b/>
          <w:bCs/>
          <w:sz w:val="28"/>
          <w:szCs w:val="28"/>
          <w:shd w:val="clear" w:color="auto" w:fill="auto"/>
        </w:rPr>
        <w:t xml:space="preserve">项目基本情况</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项目编</w:t>
      </w:r>
      <w:r>
        <w:rPr>
          <w:rFonts w:hint="eastAsia" w:ascii="宋体" w:hAnsi="宋体" w:eastAsia="宋体" w:cs="宋体"/>
          <w:color w:val="auto"/>
          <w:sz w:val="28"/>
          <w:szCs w:val="28"/>
          <w:shd w:val="clear" w:color="auto" w:fill="auto"/>
        </w:rPr>
        <w:t xml:space="preserve">号：JSZC-320614-JZCG-G2026-0009 </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项目名称：</w:t>
      </w:r>
      <w:r>
        <w:rPr>
          <w:rFonts w:hint="eastAsia" w:ascii="宋体" w:hAnsi="宋体" w:cs="宋体"/>
          <w:color w:val="auto"/>
          <w:sz w:val="28"/>
          <w:szCs w:val="28"/>
        </w:rPr>
        <w:t xml:space="preserve">南通市海门区自然资源和规划综合服务中心采购征地报批服务项目</w:t>
      </w:r>
      <w:r>
        <w:rPr>
          <w:rFonts w:hint="eastAsia" w:ascii="宋体" w:hAnsi="宋体" w:eastAsia="宋体" w:cs="宋体"/>
          <w:color w:val="auto"/>
          <w:sz w:val="28"/>
          <w:szCs w:val="28"/>
          <w:shd w:val="clear" w:color="auto" w:fill="auto"/>
        </w:rPr>
        <w:t xml:space="preserve"> </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000000" w:sz="0" w:space="0"/>
        </w:pBdr>
        <w:suppressLineNumbers w:val="0"/>
      </w:pPr>
      <w:r>
        <w:rPr>
          <w:rFonts w:hint="eastAsia" w:ascii="宋体" w:hAnsi="宋体" w:eastAsia="宋体" w:cs="宋体"/>
          <w:color w:val="auto"/>
          <w:sz w:val="28"/>
          <w:szCs w:val="28"/>
          <w:shd w:val="clear" w:color="auto" w:fill="auto"/>
          <w:lang w:eastAsia="zh-CN"/>
        </w:rPr>
        <w:t xml:space="preserve">采购方式：公开招标</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预算金额：</w:t>
      </w:r>
      <w:r>
        <w:rPr>
          <w:rFonts w:hint="eastAsia" w:ascii="宋体" w:hAnsi="宋体" w:eastAsia="宋体" w:cs="宋体"/>
          <w:color w:val="auto"/>
          <w:sz w:val="28"/>
          <w:szCs w:val="28"/>
          <w:shd w:val="clear" w:color="auto" w:fill="auto"/>
          <w:lang w:val="en-US" w:eastAsia="zh-CN"/>
        </w:rPr>
        <w:t xml:space="preserve">132</w:t>
      </w:r>
      <w:r>
        <w:rPr>
          <w:rFonts w:hint="eastAsia" w:ascii="宋体" w:hAnsi="宋体" w:eastAsia="宋体" w:cs="宋体"/>
          <w:color w:val="auto"/>
          <w:sz w:val="28"/>
          <w:szCs w:val="28"/>
          <w:shd w:val="clear" w:color="auto" w:fill="auto"/>
        </w:rPr>
        <w:t xml:space="preserve">万元 </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最高限价（如有）：</w:t>
      </w:r>
      <w:r>
        <w:rPr>
          <w:rFonts w:hint="eastAsia" w:ascii="宋体" w:hAnsi="宋体" w:eastAsia="宋体" w:cs="宋体"/>
          <w:color w:val="auto"/>
          <w:sz w:val="28"/>
          <w:szCs w:val="28"/>
          <w:shd w:val="clear" w:color="auto" w:fill="auto"/>
          <w:lang w:val="en-US" w:eastAsia="zh-CN"/>
        </w:rPr>
        <w:t xml:space="preserve">3</w:t>
      </w:r>
      <w:r>
        <w:rPr>
          <w:rFonts w:hint="eastAsia" w:ascii="宋体" w:hAnsi="宋体" w:eastAsia="宋体" w:cs="宋体"/>
          <w:color w:val="auto"/>
          <w:sz w:val="28"/>
          <w:szCs w:val="28"/>
          <w:shd w:val="clear" w:color="auto" w:fill="auto"/>
        </w:rPr>
        <w:t xml:space="preserve">30元/亩（涉及国有土地转用的挂钩批次按照中标价的50%支付；单独选址建设项目因面积小，单个项目达不到5万元的，按照5万元计算；单个批次因面积小，达不到3万元的，按照3万元计算）。</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pBdr>
          <w:left w:val="none" w:color="000000" w:sz="0" w:space="0"/>
        </w:pBdr>
        <w:suppressLineNumbers w:val="0"/>
      </w:pPr>
      <w:r>
        <w:rPr>
          <w:rFonts w:hint="eastAsia" w:ascii="宋体" w:hAnsi="宋体" w:eastAsia="宋体" w:cs="宋体"/>
          <w:b/>
          <w:bCs/>
          <w:color w:val="auto"/>
          <w:sz w:val="28"/>
          <w:szCs w:val="28"/>
          <w:shd w:val="clear" w:color="auto" w:fill="auto"/>
        </w:rPr>
        <w:t xml:space="preserve">注：开标一览表请填报单价。 </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采购需求：详见采购文件</w:t>
      </w:r>
      <w:r>
        <w:rPr>
          <w:rFonts w:hint="eastAsia" w:ascii="宋体" w:hAnsi="宋体" w:eastAsia="宋体" w:cs="宋体"/>
          <w:sz w:val="28"/>
          <w:szCs w:val="28"/>
          <w:shd w:val="clear" w:color="auto" w:fill="auto"/>
          <w:lang w:eastAsia="zh-CN"/>
        </w:rPr>
        <w:t xml:space="preserve">。</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color w:val="000000"/>
          <w:sz w:val="28"/>
          <w:szCs w:val="28"/>
        </w:rPr>
        <w:t xml:space="preserve">详见采购需求</w:t>
      </w:r>
      <w:r>
        <w:rPr>
          <w:rFonts w:hint="eastAsia" w:ascii="宋体" w:hAnsi="宋体" w:eastAsia="宋体" w:cs="宋体"/>
          <w:color w:val="000000"/>
          <w:sz w:val="28"/>
          <w:szCs w:val="28"/>
          <w:lang w:eastAsia="zh-CN"/>
        </w:rPr>
        <w:t xml:space="preserve">。</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本项目（是/否）接受联合体投标：否</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二、申请人的资格要求：</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3</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w:t>
      </w:r>
      <w:r>
        <w:rPr>
          <w:rFonts w:hint="eastAsia" w:ascii="宋体" w:hAnsi="宋体" w:eastAsia="宋体" w:cs="宋体"/>
          <w:b w:val="0"/>
          <w:bCs w:val="0"/>
          <w:color w:val="000000"/>
          <w:sz w:val="28"/>
          <w:szCs w:val="28"/>
          <w:shd w:val="clear" w:color="auto" w:fill="auto"/>
        </w:rPr>
        <w:t xml:space="preserve">策需满足的资格要求：</w:t>
      </w:r>
      <w:r>
        <w:rPr>
          <w:rFonts w:hint="eastAsia" w:cs="宋体"/>
          <w:color w:val="000000"/>
          <w:sz w:val="28"/>
          <w:szCs w:val="28"/>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33"/>
        <w:ind w:firstLine="560"/>
        <w:jc w:val="left"/>
        <w:keepLines w:val="0"/>
        <w:keepNext w:val="0"/>
        <w:pageBreakBefore w:val="0"/>
        <w:spacing w:before="0" w:beforeAutospacing="0" w:after="0" w:afterAutospacing="0" w:line="360" w:lineRule="auto"/>
        <w:widowControl/>
        <w:rPr>
          <w:rFonts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2.投标人须同时具备城乡规划(国土空间规划)编制乙级和测绘乙级及以上资质（提供有效期内的资质证书扫描件）。项目负责人、技术负责人需满足土地管理或规划中级以上职称。</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三、获取招标文件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w:t>
      </w:r>
      <w:r>
        <w:rPr>
          <w:rFonts w:hint="eastAsia" w:ascii="宋体" w:hAnsi="宋体" w:cs="宋体"/>
          <w:sz w:val="28"/>
          <w:szCs w:val="28"/>
          <w:shd w:val="clear" w:color="auto" w:fill="auto"/>
          <w:lang w:val="en-US" w:eastAsia="zh-CN" w:bidi="ar"/>
        </w:rPr>
        <w:t xml:space="preserve">02</w:t>
      </w:r>
      <w:r>
        <w:rPr>
          <w:rFonts w:hint="eastAsia" w:ascii="宋体" w:hAnsi="宋体" w:eastAsia="宋体" w:cs="宋体"/>
          <w:sz w:val="28"/>
          <w:szCs w:val="28"/>
          <w:shd w:val="clear" w:color="auto" w:fill="auto"/>
          <w:lang w:val="en-US" w:eastAsia="zh-CN" w:bidi="ar"/>
        </w:rPr>
        <w:t xml:space="preserve">-27至2026-</w:t>
      </w:r>
      <w:r>
        <w:rPr>
          <w:rFonts w:hint="eastAsia" w:ascii="宋体" w:hAnsi="宋体" w:cs="宋体"/>
          <w:sz w:val="28"/>
          <w:szCs w:val="28"/>
          <w:shd w:val="clear" w:color="auto" w:fill="auto"/>
          <w:lang w:val="en-US" w:eastAsia="zh-CN" w:bidi="ar"/>
        </w:rPr>
        <w:t xml:space="preserve">03</w:t>
      </w:r>
      <w:r>
        <w:rPr>
          <w:rFonts w:hint="eastAsia" w:ascii="宋体" w:hAnsi="宋体" w:eastAsia="宋体" w:cs="宋体"/>
          <w:sz w:val="28"/>
          <w:szCs w:val="28"/>
          <w:shd w:val="clear" w:color="auto" w:fill="auto"/>
          <w:lang w:val="en-US" w:eastAsia="zh-CN" w:bidi="ar"/>
        </w:rPr>
        <w:t xml:space="preserve">-04，每天上午00:00-12:00,下午12:00-23:59 （北京时间，法定节假日除外） </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四、提交投标文件截止时间、开标时间和地点</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2026-</w:t>
      </w:r>
      <w:r>
        <w:rPr>
          <w:rFonts w:hint="eastAsia" w:cs="宋体"/>
          <w:sz w:val="28"/>
          <w:szCs w:val="28"/>
          <w:shd w:val="clear" w:color="auto" w:fill="auto"/>
          <w:lang w:val="en-US" w:eastAsia="zh-CN"/>
        </w:rPr>
        <w:t xml:space="preserve">03</w:t>
      </w:r>
      <w:r>
        <w:rPr>
          <w:rFonts w:hint="eastAsia" w:ascii="宋体" w:hAnsi="宋体" w:eastAsia="宋体" w:cs="宋体"/>
          <w:sz w:val="28"/>
          <w:szCs w:val="28"/>
          <w:shd w:val="clear" w:color="auto" w:fill="auto"/>
        </w:rPr>
        <w:t xml:space="preserve">-</w:t>
      </w:r>
      <w:r>
        <w:rPr>
          <w:rFonts w:hint="eastAsia" w:ascii="宋体" w:hAnsi="宋体" w:eastAsia="宋体" w:cs="宋体"/>
          <w:sz w:val="28"/>
          <w:szCs w:val="28"/>
          <w:shd w:val="clear" w:color="auto" w:fill="auto"/>
          <w:lang w:val="en-US" w:eastAsia="zh-CN"/>
        </w:rPr>
        <w:t xml:space="preserve">19</w:t>
      </w:r>
      <w:r>
        <w:rPr>
          <w:rFonts w:hint="eastAsia" w:ascii="宋体" w:hAnsi="宋体" w:eastAsia="宋体" w:cs="宋体"/>
          <w:sz w:val="28"/>
          <w:szCs w:val="28"/>
          <w:shd w:val="clear" w:color="auto" w:fill="auto"/>
        </w:rPr>
        <w:t xml:space="preserve"> 09:00 （北京时间）</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Fonts w:hint="eastAsia" w:ascii="宋体" w:hAnsi="宋体" w:eastAsia="宋体" w:cs="宋体"/>
          <w:b/>
          <w:bCs/>
          <w:color w:val="auto"/>
          <w:sz w:val="28"/>
          <w:szCs w:val="28"/>
          <w:shd w:val="clear" w:color="auto" w:fill="auto"/>
        </w:rPr>
        <w:t xml:space="preserve">七、对本次招标提出询问，请按以下方式联系。</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1.采购人信息 </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单位名称：南通市海门区自然资源和规划综合服务中心</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单位地址：南通市海门区长江南路398号</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联系人：王先生</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联系电话：15962920610</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2.采购代理机构信息（如有）</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p>
    <w:p>
      <w:pPr>
        <w:pStyle w:val="93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p>
    <w:p>
      <w:pPr>
        <w:pStyle w:val="933"/>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ind w:firstLine="880"/>
        <w:jc w:val="center"/>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20823274"/>
      <w:r/>
      <w:bookmarkStart w:id="8" w:name="_Toc513029202"/>
      <w:r/>
      <w:bookmarkStart w:id="9" w:name="_Toc16938518"/>
      <w:r/>
      <w:bookmarkStart w:id="10" w:name="_Toc120614213"/>
      <w:r>
        <w:rPr>
          <w:rFonts w:hint="eastAsia" w:ascii="黑体" w:hAnsi="Arial" w:eastAsia="黑体" w:cs="Arial"/>
          <w:b/>
          <w:bCs/>
          <w:color w:val="000000"/>
          <w:sz w:val="44"/>
          <w:szCs w:val="44"/>
        </w:rPr>
        <w:t xml:space="preserve">投标人须知</w:t>
      </w:r>
      <w:bookmarkEnd w:id="7"/>
      <w:r/>
      <w:bookmarkEnd w:id="8"/>
      <w:r/>
      <w:bookmarkEnd w:id="9"/>
      <w:r/>
      <w:bookmarkEnd w:id="10"/>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 w:name="_Toc20823275"/>
      <w:r/>
      <w:bookmarkStart w:id="12" w:name="_Toc513029203"/>
      <w:r/>
      <w:bookmarkStart w:id="13" w:name="_Toc120614214"/>
      <w:r/>
      <w:bookmarkStart w:id="14" w:name="_Toc16938519"/>
      <w:r>
        <w:rPr>
          <w:rFonts w:hint="eastAsia" w:ascii="宋体" w:hAnsi="宋体" w:eastAsia="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16938520"/>
      <w:r/>
      <w:bookmarkStart w:id="18" w:name="_Toc513029204"/>
      <w:r/>
      <w:bookmarkStart w:id="19" w:name="_Toc20823276"/>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16"/>
      <w:r>
        <w:rPr>
          <w:rFonts w:hint="eastAsia" w:ascii="宋体" w:hAnsi="宋体" w:eastAsia="宋体" w:cs="宋体"/>
          <w:color w:val="000000"/>
          <w:sz w:val="24"/>
          <w:szCs w:val="24"/>
        </w:rPr>
        <w:t xml:space="preserve">、招标方式</w:t>
      </w:r>
      <w:bookmarkEnd w:id="17"/>
      <w:r/>
      <w:bookmarkEnd w:id="18"/>
      <w:r/>
      <w:bookmarkEnd w:id="1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0" w:name="_Toc16938521"/>
      <w:r/>
      <w:bookmarkStart w:id="21" w:name="_Toc513029205"/>
      <w:r/>
      <w:bookmarkStart w:id="22" w:name="_Toc20823277"/>
      <w:r>
        <w:rPr>
          <w:rFonts w:hint="eastAsia" w:ascii="宋体" w:hAnsi="宋体" w:eastAsia="宋体" w:cs="宋体"/>
          <w:color w:val="000000"/>
          <w:sz w:val="24"/>
          <w:szCs w:val="24"/>
        </w:rPr>
        <w:t xml:space="preserve">2、合格的投标人</w:t>
      </w:r>
      <w:bookmarkEnd w:id="20"/>
      <w:r/>
      <w:bookmarkEnd w:id="21"/>
      <w:r/>
      <w:bookmarkEnd w:id="22"/>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3" w:name="_Toc16938522"/>
      <w:r/>
      <w:bookmarkStart w:id="24" w:name="_Toc20823278"/>
      <w:r/>
      <w:bookmarkStart w:id="25" w:name="_Toc513029206"/>
      <w:r>
        <w:rPr>
          <w:rFonts w:hint="eastAsia" w:ascii="宋体" w:hAnsi="宋体" w:eastAsia="宋体" w:cs="宋体"/>
          <w:color w:val="000000"/>
          <w:sz w:val="24"/>
          <w:szCs w:val="24"/>
        </w:rPr>
        <w:t xml:space="preserve">3、适用法律</w:t>
      </w:r>
      <w:bookmarkEnd w:id="23"/>
      <w:r/>
      <w:bookmarkEnd w:id="24"/>
      <w:r/>
      <w:bookmarkEnd w:id="25"/>
      <w:r>
        <w:rPr>
          <w:rFonts w:hint="eastAsia" w:ascii="宋体" w:hAnsi="宋体" w:eastAsia="宋体" w:cs="宋体"/>
          <w:color w:val="000000"/>
          <w:sz w:val="24"/>
          <w:szCs w:val="24"/>
        </w:rPr>
        <w:t xml:space="preserve">和标准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6" w:name="_Toc462564067"/>
      <w:r/>
      <w:bookmarkStart w:id="27" w:name="_Toc16938523"/>
      <w:r/>
      <w:bookmarkStart w:id="28" w:name="_Toc513029207"/>
      <w:r/>
      <w:bookmarkStart w:id="29" w:name="_Toc20823279"/>
      <w:r>
        <w:rPr>
          <w:rFonts w:hint="eastAsia" w:ascii="宋体" w:hAnsi="宋体" w:eastAsia="宋体" w:cs="宋体"/>
          <w:color w:val="000000"/>
          <w:sz w:val="24"/>
          <w:szCs w:val="24"/>
        </w:rPr>
        <w:t xml:space="preserve">4、投标费用</w:t>
      </w:r>
      <w:bookmarkEnd w:id="26"/>
      <w:r/>
      <w:bookmarkEnd w:id="27"/>
      <w:r/>
      <w:bookmarkEnd w:id="28"/>
      <w:r/>
      <w:bookmarkEnd w:id="2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 投标人应自行承担所有与参加投标有关的费用，无论投标过程中的做法和结果如何，</w:t>
      </w:r>
      <w:r>
        <w:rPr>
          <w:rFonts w:hint="eastAsia" w:ascii="宋体" w:hAnsi="宋体" w:eastAsia="宋体" w:cs="宋体"/>
          <w:color w:val="000000"/>
          <w:sz w:val="24"/>
          <w:szCs w:val="24"/>
          <w:lang w:eastAsia="zh-CN"/>
        </w:rPr>
        <w:t xml:space="preserve">南通市海门区公共资源交易中心</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eastAsia="zh-CN"/>
        </w:rPr>
        <w:t xml:space="preserve">交易</w:t>
      </w:r>
      <w:r>
        <w:rPr>
          <w:rFonts w:hint="eastAsia" w:ascii="宋体" w:hAnsi="宋体" w:eastAsia="宋体" w:cs="宋体"/>
          <w:color w:val="000000"/>
          <w:sz w:val="24"/>
          <w:szCs w:val="24"/>
        </w:rPr>
        <w:t xml:space="preserve">中心）在任何情况下均无义务和责任承担这些费用。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4.2本次招标</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和采购人不收取标书工本费与中标服务费。</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val="0"/>
          <w:bCs w:val="0"/>
          <w:color w:val="000000"/>
          <w:sz w:val="24"/>
          <w:szCs w:val="24"/>
        </w:rPr>
        <w:t xml:space="preserve">5、</w:t>
      </w:r>
      <w:r>
        <w:rPr>
          <w:rFonts w:hint="eastAsia" w:ascii="宋体" w:hAnsi="宋体" w:eastAsia="宋体" w:cs="宋体"/>
          <w:color w:val="000000"/>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投标人一旦参加本项目采购活动，即被认为接受了本招标文件的规定和约束。</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0" w:name="_Toc513029209"/>
      <w:r/>
      <w:bookmarkStart w:id="31" w:name="_Toc20823281"/>
      <w:r/>
      <w:bookmarkStart w:id="32" w:name="_Toc16938525"/>
      <w:r/>
      <w:bookmarkStart w:id="33" w:name="_Toc120614215"/>
      <w:r>
        <w:rPr>
          <w:rFonts w:hint="eastAsia" w:ascii="宋体" w:hAnsi="宋体" w:eastAsia="宋体" w:cs="宋体"/>
          <w:b/>
          <w:bCs/>
          <w:color w:val="000000"/>
          <w:sz w:val="24"/>
          <w:szCs w:val="24"/>
        </w:rPr>
        <w:t xml:space="preserve">二、招标文件</w:t>
      </w:r>
      <w:bookmarkEnd w:id="30"/>
      <w:r/>
      <w:bookmarkEnd w:id="31"/>
      <w:r/>
      <w:bookmarkEnd w:id="32"/>
      <w:r/>
      <w:bookmarkEnd w:id="3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4" w:name="_Toc513029210"/>
      <w:r/>
      <w:bookmarkStart w:id="35" w:name="_Toc16938526"/>
      <w:r/>
      <w:bookmarkStart w:id="36" w:name="_Toc20823282"/>
      <w:r>
        <w:rPr>
          <w:rFonts w:hint="eastAsia" w:ascii="宋体" w:hAnsi="宋体" w:eastAsia="宋体" w:cs="宋体"/>
          <w:color w:val="000000"/>
          <w:sz w:val="24"/>
          <w:szCs w:val="24"/>
        </w:rPr>
        <w:t xml:space="preserve">6、招标文件构成</w:t>
      </w:r>
      <w:bookmarkEnd w:id="34"/>
      <w:r/>
      <w:bookmarkEnd w:id="35"/>
      <w:r/>
      <w:bookmarkEnd w:id="3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7" w:name="_Toc20823284"/>
      <w:r/>
      <w:bookmarkStart w:id="38" w:name="_Toc462564071"/>
      <w:r/>
      <w:bookmarkStart w:id="39" w:name="_Toc16938528"/>
      <w:r/>
      <w:bookmarkStart w:id="40" w:name="_Toc513029212"/>
      <w:r>
        <w:rPr>
          <w:rFonts w:hint="eastAsia" w:ascii="宋体" w:hAnsi="宋体" w:eastAsia="宋体" w:cs="宋体"/>
          <w:color w:val="000000"/>
          <w:sz w:val="24"/>
          <w:szCs w:val="24"/>
        </w:rPr>
        <w:t xml:space="preserve">7、招标文件的修改</w:t>
      </w:r>
      <w:bookmarkEnd w:id="37"/>
      <w:r/>
      <w:bookmarkEnd w:id="38"/>
      <w:r/>
      <w:bookmarkEnd w:id="39"/>
      <w:r/>
      <w:bookmarkEnd w:id="40"/>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1" w:name="_Toc120614216"/>
      <w:r/>
      <w:bookmarkStart w:id="42" w:name="_Toc462564072"/>
      <w:r/>
      <w:bookmarkStart w:id="43" w:name="_Toc513029213"/>
      <w:r/>
      <w:bookmarkStart w:id="44" w:name="_Toc16938529"/>
      <w:r/>
      <w:bookmarkStart w:id="45" w:name="_Toc20823285"/>
      <w:r>
        <w:rPr>
          <w:rFonts w:hint="eastAsia" w:ascii="宋体" w:hAnsi="宋体" w:eastAsia="宋体" w:cs="宋体"/>
          <w:b/>
          <w:bCs/>
          <w:color w:val="000000"/>
          <w:sz w:val="24"/>
          <w:szCs w:val="24"/>
        </w:rPr>
        <w:t xml:space="preserve">三、投标文件的编制</w:t>
      </w:r>
      <w:bookmarkEnd w:id="41"/>
      <w:r/>
      <w:bookmarkEnd w:id="42"/>
      <w:r/>
      <w:bookmarkEnd w:id="43"/>
      <w:r/>
      <w:bookmarkEnd w:id="44"/>
      <w:r/>
      <w:bookmarkEnd w:id="45"/>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46" w:name="_Toc20823286"/>
      <w:r/>
      <w:bookmarkStart w:id="47" w:name="_Toc16938530"/>
      <w:r/>
      <w:bookmarkStart w:id="48" w:name="_Toc513029214"/>
      <w:r/>
      <w:bookmarkStart w:id="49" w:name="_Toc462564073"/>
      <w:r>
        <w:rPr>
          <w:rFonts w:hint="eastAsia" w:ascii="宋体" w:hAnsi="宋体" w:eastAsia="宋体" w:cs="宋体"/>
          <w:color w:val="000000"/>
          <w:sz w:val="24"/>
          <w:szCs w:val="24"/>
        </w:rPr>
        <w:t xml:space="preserve">8、投标文件的语言及度量衡单位</w:t>
      </w:r>
      <w:bookmarkEnd w:id="46"/>
      <w:r/>
      <w:bookmarkEnd w:id="47"/>
      <w:r/>
      <w:bookmarkEnd w:id="48"/>
      <w:r/>
      <w:bookmarkEnd w:id="4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0" w:name="_Toc513029215"/>
      <w:r/>
      <w:bookmarkStart w:id="51" w:name="_Toc20823287"/>
      <w:r/>
      <w:bookmarkStart w:id="52" w:name="_Toc16938531"/>
      <w:r/>
      <w:bookmarkStart w:id="53" w:name="_Toc462564074"/>
      <w:r>
        <w:rPr>
          <w:rFonts w:hint="eastAsia" w:ascii="宋体" w:hAnsi="宋体" w:eastAsia="宋体" w:cs="宋体"/>
          <w:color w:val="000000"/>
          <w:sz w:val="24"/>
          <w:szCs w:val="24"/>
        </w:rPr>
        <w:t xml:space="preserve">9、投标文件构成</w:t>
      </w:r>
      <w:bookmarkEnd w:id="50"/>
      <w:r/>
      <w:bookmarkEnd w:id="51"/>
      <w:r/>
      <w:bookmarkEnd w:id="52"/>
      <w:r/>
      <w:bookmarkEnd w:id="53"/>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4" w:name="_Hlt26954838"/>
      <w:r/>
      <w:bookmarkEnd w:id="54"/>
      <w:r/>
      <w:bookmarkStart w:id="55" w:name="_Hlt26670360"/>
      <w:r/>
      <w:bookmarkEnd w:id="55"/>
      <w:r/>
      <w:bookmarkStart w:id="56" w:name="_Hlt26668975"/>
      <w:r/>
      <w:bookmarkEnd w:id="56"/>
      <w:r/>
      <w:bookmarkStart w:id="57" w:name="_Toc49090509"/>
      <w:r/>
      <w:bookmarkStart w:id="58" w:name="_Toc14577357"/>
      <w:r/>
      <w:bookmarkStart w:id="59" w:name="_Toc513029219"/>
      <w:r/>
      <w:bookmarkStart w:id="60" w:name="_Toc14577354"/>
      <w:r/>
      <w:bookmarkStart w:id="61" w:name="_Toc49090507"/>
      <w:r/>
      <w:bookmarkStart w:id="62" w:name="_Toc513029216"/>
      <w:r/>
      <w:bookmarkStart w:id="63" w:name="_Toc49090508"/>
      <w:r/>
      <w:bookmarkStart w:id="64" w:name="_Toc14577355"/>
      <w:r>
        <w:rPr>
          <w:rFonts w:hint="eastAsia" w:ascii="宋体" w:hAnsi="宋体" w:eastAsia="宋体" w:cs="宋体"/>
          <w:color w:val="000000"/>
          <w:sz w:val="24"/>
          <w:szCs w:val="24"/>
        </w:rPr>
        <w:t xml:space="preserve">10、证明投标人及投标标的符合招标文件规定的文件</w:t>
      </w:r>
      <w:bookmarkEnd w:id="57"/>
      <w:r/>
      <w:bookmarkEnd w:id="58"/>
      <w:r/>
      <w:bookmarkEnd w:id="59"/>
      <w:r/>
      <w:bookmarkEnd w:id="60"/>
      <w:r/>
      <w:bookmarkEnd w:id="61"/>
      <w:r/>
      <w:bookmarkEnd w:id="62"/>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63"/>
      <w:r/>
      <w:bookmarkEnd w:id="6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65" w:name="_Hlt26954840"/>
      <w:r/>
      <w:bookmarkEnd w:id="65"/>
      <w:r>
        <w:rPr>
          <w:rFonts w:hint="eastAsia" w:ascii="宋体" w:hAnsi="宋体" w:eastAsia="宋体" w:cs="宋体"/>
          <w:sz w:val="24"/>
          <w:szCs w:val="24"/>
        </w:rPr>
        <w:t xml:space="preserve">标人按照招标文件规定格式填报投标分项报价表</w:t>
      </w:r>
      <w:bookmarkStart w:id="66" w:name="_Hlt26670399"/>
      <w:r/>
      <w:bookmarkEnd w:id="66"/>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67" w:name="_Hlt26954848"/>
      <w:r/>
      <w:bookmarkEnd w:id="67"/>
      <w:r/>
      <w:bookmarkStart w:id="68" w:name="_Hlt26954846"/>
      <w:r/>
      <w:bookmarkEnd w:id="68"/>
      <w:r/>
      <w:bookmarkStart w:id="69" w:name="_Hlt26670486"/>
      <w:r/>
      <w:bookmarkEnd w:id="69"/>
      <w:r/>
      <w:bookmarkStart w:id="70" w:name="_Hlt26670482"/>
      <w:r/>
      <w:bookmarkEnd w:id="70"/>
      <w:r/>
      <w:bookmarkStart w:id="71" w:name="_Hlt26954731"/>
      <w:r/>
      <w:bookmarkEnd w:id="71"/>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2" w:name="_Toc14577359"/>
      <w:r/>
      <w:bookmarkStart w:id="73" w:name="_Toc49090510"/>
      <w:r>
        <w:rPr>
          <w:rFonts w:hint="eastAsia" w:ascii="宋体" w:hAnsi="宋体" w:eastAsia="宋体" w:cs="宋体"/>
          <w:color w:val="000000"/>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2"/>
      <w:r/>
      <w:bookmarkEnd w:id="7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4" w:name="_Toc14577360"/>
      <w:r/>
      <w:bookmarkStart w:id="75" w:name="_Toc49090511"/>
      <w:r>
        <w:rPr>
          <w:rFonts w:hint="eastAsia" w:ascii="宋体" w:hAnsi="宋体" w:eastAsia="宋体" w:cs="宋体"/>
          <w:color w:val="000000"/>
          <w:sz w:val="24"/>
          <w:szCs w:val="24"/>
        </w:rPr>
        <w:t xml:space="preserve">15、投标有效期</w:t>
      </w:r>
      <w:bookmarkEnd w:id="74"/>
      <w:r/>
      <w:bookmarkEnd w:id="7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的这一要求而放弃投标，同意延长投标有效期的投标人既不能要求也不允许修改其投标文件。</w:t>
      </w:r>
      <w:r>
        <w:rPr>
          <w:rFonts w:hint="eastAsia" w:ascii="宋体" w:hAnsi="宋体" w:eastAsia="宋体" w:cs="宋体"/>
          <w:color w:val="000000"/>
          <w:sz w:val="24"/>
          <w:szCs w:val="24"/>
        </w:rPr>
        <w:t xml:space="preserve">受投标有效期约束的所有权利与义务均延长至新的有效期</w:t>
      </w:r>
      <w:r>
        <w:rPr>
          <w:rFonts w:hint="eastAsia" w:ascii="宋体" w:hAnsi="宋体" w:eastAsia="宋体" w:cs="宋体"/>
          <w:bCs/>
          <w:color w:val="000000"/>
          <w:sz w:val="24"/>
          <w:szCs w:val="24"/>
        </w:rPr>
        <w:t xml:space="preserve">。</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76" w:name="_Hlt26954739"/>
      <w:r/>
      <w:bookmarkEnd w:id="76"/>
      <w:r/>
      <w:bookmarkStart w:id="77" w:name="_Hlt26954852"/>
      <w:r/>
      <w:bookmarkEnd w:id="77"/>
      <w:r/>
      <w:bookmarkStart w:id="78" w:name="_Toc513029224"/>
      <w:r/>
      <w:bookmarkStart w:id="79" w:name="_Toc16938540"/>
      <w:r/>
      <w:bookmarkStart w:id="80" w:name="_Toc20823296"/>
      <w:r/>
      <w:bookmarkStart w:id="81" w:name="_Toc120614217"/>
      <w:r>
        <w:rPr>
          <w:rFonts w:hint="eastAsia" w:ascii="宋体" w:hAnsi="宋体" w:eastAsia="宋体" w:cs="宋体"/>
          <w:b/>
          <w:bCs/>
          <w:color w:val="000000"/>
          <w:sz w:val="24"/>
          <w:szCs w:val="24"/>
        </w:rPr>
        <w:t xml:space="preserve">四、投标文件的递交</w:t>
      </w:r>
      <w:bookmarkEnd w:id="78"/>
      <w:r/>
      <w:bookmarkEnd w:id="79"/>
      <w:r/>
      <w:bookmarkEnd w:id="80"/>
      <w:r/>
      <w:bookmarkEnd w:id="81"/>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2" w:name="_Toc20823297"/>
      <w:r/>
      <w:bookmarkStart w:id="83" w:name="_Toc16938541"/>
      <w:r/>
      <w:bookmarkStart w:id="84" w:name="_Toc462564084"/>
      <w:r/>
      <w:bookmarkStart w:id="85" w:name="_Toc513029225"/>
      <w:r>
        <w:rPr>
          <w:rFonts w:hint="eastAsia" w:ascii="宋体" w:hAnsi="宋体" w:eastAsia="宋体" w:cs="宋体"/>
          <w:color w:val="000000"/>
          <w:sz w:val="24"/>
          <w:szCs w:val="24"/>
        </w:rPr>
        <w:t xml:space="preserve">17、电子投标文件</w:t>
      </w:r>
      <w:bookmarkEnd w:id="82"/>
      <w:r/>
      <w:bookmarkEnd w:id="83"/>
      <w:r/>
      <w:bookmarkEnd w:id="84"/>
      <w:r/>
      <w:bookmarkEnd w:id="85"/>
      <w:r>
        <w:rPr>
          <w:rFonts w:hint="eastAsia" w:ascii="宋体" w:hAnsi="宋体" w:eastAsia="宋体" w:cs="宋体"/>
          <w:color w:val="000000"/>
          <w:sz w:val="24"/>
          <w:szCs w:val="24"/>
        </w:rPr>
        <w:t xml:space="preserve">的递交</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17.1投标人应当按照《操作手册》规定，在投标截止时间前制作并上传电子投标文件。</w:t>
      </w:r>
      <w:bookmarkStart w:id="86" w:name="_Toc20823298"/>
      <w:r/>
      <w:bookmarkStart w:id="87" w:name="_Toc513029226"/>
      <w:r/>
      <w:bookmarkStart w:id="88" w:name="_Toc16938542"/>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86"/>
      <w:r/>
      <w:bookmarkEnd w:id="87"/>
      <w:r/>
      <w:bookmarkEnd w:id="88"/>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9" w:name="_Toc16938543"/>
      <w:r/>
      <w:bookmarkStart w:id="90" w:name="_Toc513029227"/>
      <w:r/>
      <w:bookmarkStart w:id="91" w:name="_Toc20823299"/>
      <w:r>
        <w:rPr>
          <w:rFonts w:hint="eastAsia" w:ascii="宋体" w:hAnsi="宋体" w:eastAsia="宋体" w:cs="宋体"/>
          <w:color w:val="000000"/>
          <w:sz w:val="24"/>
          <w:szCs w:val="24"/>
        </w:rPr>
        <w:t xml:space="preserve">19、投标文件</w:t>
      </w:r>
      <w:bookmarkEnd w:id="89"/>
      <w:r/>
      <w:bookmarkEnd w:id="90"/>
      <w:r/>
      <w:bookmarkEnd w:id="91"/>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2" w:name="_Toc513029228"/>
      <w:r/>
      <w:bookmarkStart w:id="93" w:name="_Toc16938544"/>
      <w:r/>
      <w:bookmarkStart w:id="94" w:name="_Toc20823300"/>
      <w:r>
        <w:rPr>
          <w:rFonts w:hint="eastAsia" w:ascii="宋体" w:hAnsi="宋体" w:eastAsia="宋体" w:cs="宋体"/>
          <w:color w:val="000000"/>
          <w:sz w:val="24"/>
          <w:szCs w:val="24"/>
        </w:rPr>
        <w:t xml:space="preserve">20、投标文件的撤回和修改</w:t>
      </w:r>
      <w:bookmarkEnd w:id="92"/>
      <w:r/>
      <w:bookmarkEnd w:id="93"/>
      <w:r/>
      <w:bookmarkEnd w:id="9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95" w:name="_Toc20823301"/>
      <w:r/>
      <w:bookmarkStart w:id="96" w:name="_Toc120614218"/>
      <w:r/>
      <w:bookmarkStart w:id="97" w:name="_Toc16938545"/>
      <w:r/>
      <w:bookmarkStart w:id="98" w:name="_Toc513029229"/>
      <w:r>
        <w:rPr>
          <w:rFonts w:hint="eastAsia" w:ascii="宋体" w:hAnsi="宋体" w:eastAsia="宋体" w:cs="宋体"/>
          <w:b/>
          <w:bCs/>
          <w:color w:val="000000"/>
          <w:sz w:val="24"/>
          <w:szCs w:val="24"/>
        </w:rPr>
        <w:t xml:space="preserve">五、开标与评标</w:t>
      </w:r>
      <w:bookmarkEnd w:id="95"/>
      <w:r/>
      <w:bookmarkEnd w:id="96"/>
      <w:r/>
      <w:bookmarkEnd w:id="97"/>
      <w:r/>
      <w:bookmarkEnd w:id="98"/>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9" w:name="_Toc513029230"/>
      <w:r/>
      <w:bookmarkStart w:id="100" w:name="_Toc20823302"/>
      <w:r/>
      <w:bookmarkStart w:id="101" w:name="_Toc16938546"/>
      <w:r>
        <w:rPr>
          <w:rFonts w:hint="eastAsia" w:ascii="宋体" w:hAnsi="宋体" w:eastAsia="宋体" w:cs="宋体"/>
          <w:color w:val="000000"/>
          <w:sz w:val="24"/>
          <w:szCs w:val="24"/>
        </w:rPr>
        <w:t xml:space="preserve">21、开标</w:t>
      </w:r>
      <w:bookmarkEnd w:id="99"/>
      <w:r/>
      <w:bookmarkEnd w:id="100"/>
      <w:r/>
      <w:bookmarkEnd w:id="101"/>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2" w:name="_Toc513029231"/>
      <w:r/>
      <w:bookmarkStart w:id="103" w:name="_Toc20823303"/>
      <w:r/>
      <w:bookmarkStart w:id="104" w:name="_Toc16938547"/>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02"/>
      <w:r/>
      <w:bookmarkEnd w:id="103"/>
      <w:r/>
      <w:bookmarkEnd w:id="104"/>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5" w:name="_Toc513029232"/>
      <w:r/>
      <w:bookmarkStart w:id="106" w:name="_Toc16938548"/>
      <w:r/>
      <w:bookmarkStart w:id="107" w:name="_Toc20823304"/>
      <w:r>
        <w:rPr>
          <w:rFonts w:hint="eastAsia" w:ascii="宋体" w:hAnsi="宋体" w:eastAsia="宋体" w:cs="宋体"/>
          <w:color w:val="000000"/>
          <w:sz w:val="24"/>
          <w:szCs w:val="24"/>
        </w:rPr>
        <w:t xml:space="preserve">24、投标文件的澄清</w:t>
      </w:r>
      <w:bookmarkEnd w:id="105"/>
      <w:r/>
      <w:bookmarkEnd w:id="106"/>
      <w:r/>
      <w:bookmarkEnd w:id="107"/>
      <w:r/>
      <w:r/>
    </w:p>
    <w:p>
      <w:pPr>
        <w:ind w:left="0" w:firstLine="480"/>
        <w:pageBreakBefore w:val="0"/>
        <w:spacing w:line="360" w:lineRule="auto"/>
        <w:widowControl w:val="off"/>
        <w:rPr>
          <w:rFonts w:hint="eastAsia" w:ascii="宋体" w:hAnsi="宋体" w:eastAsia="宋体" w:cs="宋体"/>
          <w:color w:val="000000"/>
          <w:sz w:val="24"/>
          <w:szCs w:val="24"/>
        </w:rPr>
      </w:pPr>
      <w:r/>
      <w:bookmarkStart w:id="108" w:name="_Toc513029233"/>
      <w:r/>
      <w:bookmarkStart w:id="109" w:name="_Toc20823305"/>
      <w:r/>
      <w:bookmarkStart w:id="110" w:name="_Toc16938549"/>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08"/>
      <w:r/>
      <w:bookmarkEnd w:id="109"/>
      <w:r/>
      <w:bookmarkEnd w:id="110"/>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11" w:name="_Toc20823306"/>
      <w:r/>
      <w:bookmarkStart w:id="112" w:name="_Toc513029234"/>
      <w:r/>
      <w:bookmarkStart w:id="113" w:name="_Toc16938550"/>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投标（响应）报价低于采购项目最高限价45%的，即投标（响应）报价&lt;采购项目最高限价×45%；</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基于专业判断，认为供应商报价过低，有可能影响产品质量或者不能诚信履约的其他情形。</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hint="default"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hint="default"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应当将其作为无效投标（响应）处理。</w:t>
      </w:r>
      <w:r/>
    </w:p>
    <w:p>
      <w:pPr>
        <w:ind w:left="0" w:firstLine="480"/>
        <w:pageBreakBefore w:val="0"/>
        <w:spacing w:line="360" w:lineRule="auto"/>
        <w:widowControl w:val="off"/>
        <w:rPr>
          <w:rFonts w:hint="default" w:ascii="宋体" w:hAnsi="宋体" w:eastAsia="宋体" w:cs="宋体"/>
          <w:sz w:val="24"/>
          <w:szCs w:val="24"/>
        </w:rPr>
      </w:pPr>
      <w:r>
        <w:rPr>
          <w:rFonts w:hint="default"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有关互联网浏览、查询历史一并归档。</w:t>
      </w:r>
      <w:r/>
    </w:p>
    <w:p>
      <w:pPr>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1"/>
      <w:r/>
      <w:bookmarkEnd w:id="112"/>
      <w:r/>
      <w:bookmarkEnd w:id="113"/>
      <w:r>
        <w:rPr>
          <w:rFonts w:hint="eastAsia" w:ascii="宋体" w:hAnsi="宋体" w:eastAsia="宋体" w:cs="宋体"/>
          <w:sz w:val="24"/>
          <w:szCs w:val="24"/>
        </w:rPr>
        <w:t xml:space="preserve">无效投标条款和废标条款</w:t>
      </w:r>
      <w:r/>
    </w:p>
    <w:p>
      <w:pPr>
        <w:ind w:left="0" w:firstLine="480"/>
        <w:pageBreakBefore w:val="0"/>
        <w:spacing w:line="360" w:lineRule="auto"/>
        <w:widowControl w:val="off"/>
        <w:rPr>
          <w:rFonts w:hint="eastAsia" w:ascii="宋体" w:hAnsi="宋体" w:eastAsia="宋体" w:cs="宋体"/>
          <w:bCs/>
          <w:sz w:val="24"/>
          <w:szCs w:val="24"/>
        </w:rPr>
      </w:pPr>
      <w:r/>
      <w:bookmarkStart w:id="114" w:name="_Toc513029235"/>
      <w:r/>
      <w:bookmarkStart w:id="115" w:name="_Toc16938551"/>
      <w:r/>
      <w:bookmarkStart w:id="116" w:name="_Toc20823307"/>
      <w:r>
        <w:rPr>
          <w:rFonts w:hint="eastAsia" w:ascii="宋体" w:hAnsi="宋体" w:eastAsia="宋体" w:cs="宋体"/>
          <w:bCs/>
          <w:sz w:val="24"/>
          <w:szCs w:val="24"/>
        </w:rPr>
        <w:t xml:space="preserve">26.1无效投标条款</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26.1.12 投标文件未按照招标文件要求加盖CA电子公章的。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26.1.13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26.1.14其他法律、法规及本招标文件规定的属无效投标的情形。</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26.2.1符合专业条件的供应商或者对招标文件作实质响应的供应商不足三家的。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7" w:name="_Toc120614219"/>
      <w:r>
        <w:rPr>
          <w:rFonts w:hint="eastAsia" w:ascii="宋体" w:hAnsi="宋体" w:eastAsia="宋体" w:cs="宋体"/>
          <w:b/>
          <w:bCs/>
          <w:color w:val="000000"/>
          <w:sz w:val="24"/>
          <w:szCs w:val="24"/>
        </w:rPr>
        <w:t xml:space="preserve">六、</w:t>
      </w:r>
      <w:bookmarkEnd w:id="114"/>
      <w:r/>
      <w:bookmarkEnd w:id="115"/>
      <w:r/>
      <w:bookmarkEnd w:id="116"/>
      <w:r>
        <w:rPr>
          <w:rFonts w:hint="eastAsia" w:ascii="宋体" w:hAnsi="宋体" w:eastAsia="宋体" w:cs="宋体"/>
          <w:b/>
          <w:bCs/>
          <w:color w:val="000000"/>
          <w:sz w:val="24"/>
          <w:szCs w:val="24"/>
        </w:rPr>
        <w:t xml:space="preserve">定标</w:t>
      </w:r>
      <w:bookmarkEnd w:id="117"/>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18" w:name="_Toc513029238"/>
      <w:r/>
      <w:bookmarkStart w:id="119" w:name="_Toc16938554"/>
      <w:r/>
      <w:bookmarkStart w:id="120" w:name="_Toc20823310"/>
      <w:r>
        <w:rPr>
          <w:rFonts w:hint="eastAsia" w:ascii="宋体" w:hAnsi="宋体" w:eastAsia="宋体" w:cs="宋体"/>
          <w:bCs/>
          <w:color w:val="000000"/>
          <w:sz w:val="24"/>
          <w:szCs w:val="24"/>
        </w:rPr>
        <w:t xml:space="preserve">27、</w:t>
      </w:r>
      <w:bookmarkEnd w:id="118"/>
      <w:r>
        <w:rPr>
          <w:rFonts w:hint="eastAsia" w:ascii="宋体" w:hAnsi="宋体" w:eastAsia="宋体" w:cs="宋体"/>
          <w:bCs/>
          <w:color w:val="000000"/>
          <w:sz w:val="24"/>
          <w:szCs w:val="24"/>
        </w:rPr>
        <w:t xml:space="preserve">确定</w:t>
      </w:r>
      <w:bookmarkEnd w:id="119"/>
      <w:r/>
      <w:bookmarkEnd w:id="120"/>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21" w:name="_Toc200451960"/>
      <w:r>
        <w:rPr>
          <w:rFonts w:hint="eastAsia" w:ascii="宋体" w:hAnsi="宋体" w:eastAsia="宋体" w:cs="宋体"/>
          <w:color w:val="000000"/>
          <w:sz w:val="24"/>
          <w:szCs w:val="24"/>
        </w:rPr>
        <w:t xml:space="preserve">27.5 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p>
    <w:p>
      <w:pPr>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28.2.2对采购过程提出质疑的，为各采购程序环节结束之日；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28.2.3对中标或者成交结果提出质疑的，为中标或者成交结果公告期限届满之日。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pageBreakBefore w:val="0"/>
        <w:spacing w:line="360" w:lineRule="auto"/>
        <w:widowControl w:val="off"/>
        <w:rPr>
          <w:rFonts w:hint="eastAsia" w:ascii="宋体" w:hAnsi="宋体" w:eastAsia="宋体" w:cs="宋体"/>
          <w:sz w:val="24"/>
          <w:szCs w:val="24"/>
        </w:rPr>
      </w:pPr>
      <w:r/>
      <w:bookmarkStart w:id="122" w:name="_Toc120614220"/>
      <w:r/>
      <w:bookmarkStart w:id="123" w:name="_Toc20823308"/>
      <w:r/>
      <w:bookmarkStart w:id="124" w:name="_Toc513029236"/>
      <w:r/>
      <w:bookmarkStart w:id="125" w:name="_Toc16938552"/>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2"/>
      <w:r/>
      <w:bookmarkEnd w:id="123"/>
      <w:r/>
      <w:bookmarkEnd w:id="124"/>
      <w:r/>
      <w:bookmarkEnd w:id="125"/>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6" w:name="_Toc16938553"/>
      <w:r/>
      <w:bookmarkStart w:id="127" w:name="_Toc20823309"/>
      <w:r/>
      <w:bookmarkStart w:id="128" w:name="_Toc513029237"/>
      <w:r>
        <w:rPr>
          <w:rFonts w:hint="eastAsia" w:ascii="宋体" w:hAnsi="宋体" w:eastAsia="宋体" w:cs="宋体"/>
          <w:bCs/>
          <w:color w:val="000000"/>
          <w:sz w:val="24"/>
          <w:szCs w:val="24"/>
        </w:rPr>
        <w:t xml:space="preserve">30、签订合同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26"/>
      <w:r/>
      <w:bookmarkEnd w:id="127"/>
      <w:r/>
      <w:bookmarkEnd w:id="128"/>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9" w:name="_Toc513029242"/>
      <w:r/>
      <w:bookmarkStart w:id="130" w:name="_Toc16938558"/>
      <w:r/>
      <w:bookmarkStart w:id="131" w:name="_Toc20823314"/>
      <w:r/>
      <w:bookmarkStart w:id="132" w:name="_Toc479757207"/>
      <w:r/>
      <w:bookmarkStart w:id="133" w:name="_Toc120614221"/>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color w:val="000000"/>
          <w:szCs w:val="21"/>
        </w:rPr>
      </w:pPr>
      <w:r>
        <w:rPr>
          <w:rFonts w:hint="eastAsia"/>
          <w:color w:val="000000"/>
          <w:szCs w:val="21"/>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bookmarkEnd w:id="129"/>
      <w:r/>
      <w:bookmarkEnd w:id="130"/>
      <w:r/>
      <w:bookmarkEnd w:id="131"/>
      <w:r/>
      <w:bookmarkEnd w:id="132"/>
      <w:r/>
      <w:bookmarkEnd w:id="133"/>
      <w:r/>
      <w:r/>
    </w:p>
    <w:p>
      <w:pPr>
        <w:jc w:val="center"/>
        <w:keepLines/>
        <w:keepNext/>
        <w:spacing w:before="260" w:after="260" w:line="416" w:lineRule="auto"/>
        <w:rPr>
          <w:rFonts w:hint="eastAsia" w:ascii="黑体" w:hAnsi="Arial" w:eastAsia="黑体" w:cs="Arial"/>
          <w:b/>
          <w:bCs/>
          <w:color w:val="000000"/>
          <w:sz w:val="44"/>
          <w:szCs w:val="44"/>
        </w:rPr>
        <w:outlineLvl w:val="1"/>
      </w:pPr>
      <w:r/>
      <w:bookmarkStart w:id="134" w:name="_Toc16938559"/>
      <w:r/>
      <w:bookmarkStart w:id="135" w:name="_Toc20823315"/>
      <w:r/>
      <w:bookmarkStart w:id="136" w:name="_Toc3995"/>
      <w:r/>
      <w:bookmarkStart w:id="137" w:name="_Toc513029243"/>
      <w:r/>
      <w:bookmarkStart w:id="138" w:name="_Hlt16619350"/>
      <w:r/>
      <w:bookmarkStart w:id="139" w:name="_Toc120614244"/>
      <w:r/>
      <w:bookmarkStart w:id="140" w:name="_Toc20823346"/>
      <w:r/>
      <w:bookmarkStart w:id="141" w:name="_Toc16938590"/>
      <w:r/>
      <w:bookmarkStart w:id="142" w:name="_Toc462564139"/>
      <w:r/>
      <w:bookmarkStart w:id="143" w:name="_Toc479757211"/>
      <w:r>
        <w:rPr>
          <w:rFonts w:hint="eastAsia" w:ascii="黑体" w:hAnsi="Arial" w:eastAsia="黑体" w:cs="Arial"/>
          <w:b/>
          <w:bCs/>
          <w:color w:val="000000"/>
          <w:sz w:val="44"/>
          <w:szCs w:val="44"/>
          <w:lang w:val="en-US" w:eastAsia="zh-CN"/>
        </w:rPr>
        <w:br w:type="page" w:clear="all"/>
      </w:r>
      <w:r>
        <w:rPr>
          <w:rFonts w:hint="eastAsia" w:ascii="黑体" w:hAnsi="Arial" w:eastAsia="黑体" w:cs="Arial"/>
          <w:b/>
          <w:bCs/>
          <w:color w:val="000000"/>
          <w:sz w:val="44"/>
          <w:szCs w:val="44"/>
          <w:lang w:val="en-US" w:eastAsia="zh-CN"/>
        </w:rPr>
        <w:t xml:space="preserve">第三章 </w:t>
      </w:r>
      <w:r>
        <w:rPr>
          <w:rFonts w:hint="eastAsia" w:ascii="黑体" w:hAnsi="Arial" w:eastAsia="黑体" w:cs="Arial"/>
          <w:b/>
          <w:bCs/>
          <w:color w:val="000000"/>
          <w:sz w:val="44"/>
          <w:szCs w:val="44"/>
        </w:rPr>
        <w:t xml:space="preserve">合同文本</w:t>
      </w:r>
      <w:bookmarkEnd w:id="134"/>
      <w:r/>
      <w:bookmarkEnd w:id="135"/>
      <w:r/>
      <w:bookmarkEnd w:id="136"/>
      <w:r/>
      <w:bookmarkEnd w:id="137"/>
      <w:r/>
      <w:r/>
    </w:p>
    <w:p>
      <w:pPr>
        <w:ind w:right="38"/>
        <w:jc w:val="center"/>
        <w:spacing w:before="13"/>
        <w:rPr>
          <w:b/>
          <w:color w:val="auto"/>
          <w:sz w:val="24"/>
        </w:rPr>
      </w:pPr>
      <w:r>
        <w:rPr>
          <w:rFonts w:hint="eastAsia" w:ascii="宋体" w:hAnsi="宋体" w:cs="宋体"/>
          <w:b/>
          <w:color w:val="auto"/>
          <w:sz w:val="24"/>
          <w:lang w:bidi="ar"/>
        </w:rPr>
        <w:t xml:space="preserve">服务合同文本</w:t>
      </w:r>
      <w:r/>
    </w:p>
    <w:p>
      <w:pPr>
        <w:ind w:right="38"/>
        <w:jc w:val="center"/>
        <w:spacing w:before="13"/>
        <w:rPr>
          <w:b/>
          <w:color w:val="auto"/>
          <w:sz w:val="24"/>
        </w:rPr>
      </w:pPr>
      <w:r>
        <w:rPr>
          <w:b/>
          <w:color w:val="auto"/>
          <w:sz w:val="24"/>
        </w:rPr>
      </w:r>
      <w:r/>
    </w:p>
    <w:p>
      <w:pPr>
        <w:ind w:firstLine="482"/>
        <w:jc w:val="left"/>
        <w:spacing w:before="218" w:line="360" w:lineRule="auto"/>
        <w:tabs>
          <w:tab w:val="left" w:pos="5260" w:leader="none"/>
          <w:tab w:val="left" w:pos="8621" w:leader="none"/>
        </w:tabs>
        <w:rPr>
          <w:color w:val="auto"/>
          <w:sz w:val="24"/>
        </w:rPr>
      </w:pPr>
      <w:r>
        <w:rPr>
          <w:rFonts w:hint="eastAsia" w:ascii="宋体" w:hAnsi="宋体" w:cs="宋体"/>
          <w:b/>
          <w:color w:val="auto"/>
          <w:sz w:val="24"/>
          <w:lang w:bidi="ar"/>
        </w:rPr>
        <w:t xml:space="preserve">甲方(需方)：</w:t>
      </w:r>
      <w:r>
        <w:rPr>
          <w:rFonts w:hint="eastAsia" w:ascii="宋体" w:hAnsi="宋体" w:cs="宋体"/>
          <w:b/>
          <w:bCs/>
          <w:color w:val="auto"/>
          <w:sz w:val="24"/>
          <w:u w:val="single"/>
          <w:lang w:bidi="ar"/>
        </w:rPr>
        <w:t xml:space="preserve"> 南通市海门区自然资源和规划综合服务中心</w:t>
      </w:r>
      <w:r>
        <w:rPr>
          <w:rFonts w:hint="eastAsia" w:ascii="宋体" w:hAnsi="宋体" w:cs="宋体"/>
          <w:b/>
          <w:color w:val="auto"/>
          <w:sz w:val="24"/>
          <w:u w:val="single"/>
          <w:lang w:bidi="ar"/>
        </w:rPr>
        <w:t xml:space="preserve"> </w:t>
      </w:r>
      <w:r>
        <w:rPr>
          <w:rFonts w:hint="eastAsia" w:ascii="宋体" w:hAnsi="宋体" w:cs="宋体"/>
          <w:color w:val="auto"/>
          <w:sz w:val="24"/>
          <w:lang w:bidi="ar"/>
        </w:rPr>
        <w:t xml:space="preserve">签订地点：</w:t>
      </w:r>
      <w:r>
        <w:rPr>
          <w:rFonts w:hint="eastAsia" w:ascii="宋体" w:hAnsi="宋体" w:cs="宋体"/>
          <w:color w:val="auto"/>
          <w:sz w:val="24"/>
          <w:u w:val="single"/>
          <w:lang w:bidi="ar"/>
        </w:rPr>
        <w:t xml:space="preserve">南通市海门区</w:t>
      </w:r>
      <w:r/>
    </w:p>
    <w:p>
      <w:pPr>
        <w:ind w:firstLine="482"/>
        <w:jc w:val="left"/>
        <w:spacing w:before="74" w:line="360" w:lineRule="auto"/>
        <w:tabs>
          <w:tab w:val="left" w:pos="5260" w:leader="none"/>
          <w:tab w:val="left" w:pos="6946" w:leader="none"/>
          <w:tab w:val="left" w:pos="8146" w:leader="none"/>
        </w:tabs>
        <w:rPr>
          <w:color w:val="auto"/>
          <w:sz w:val="24"/>
        </w:rPr>
      </w:pPr>
      <w:r>
        <w:rPr>
          <w:rFonts w:hint="eastAsia" w:ascii="宋体" w:hAnsi="宋体" w:cs="宋体"/>
          <w:b/>
          <w:color w:val="auto"/>
          <w:sz w:val="24"/>
          <w:lang w:bidi="ar"/>
        </w:rPr>
        <w:t xml:space="preserve">乙方(供方)：</w:t>
      </w:r>
      <w:r>
        <w:rPr>
          <w:rFonts w:hint="eastAsia" w:ascii="宋体" w:hAnsi="宋体" w:cs="宋体"/>
          <w:b/>
          <w:color w:val="auto"/>
          <w:sz w:val="24"/>
          <w:u w:val="single"/>
          <w:lang w:bidi="ar"/>
        </w:rPr>
        <w:t xml:space="preserve"> </w:t>
      </w:r>
      <w:r>
        <w:rPr>
          <w:rFonts w:hint="eastAsia" w:ascii="宋体" w:hAnsi="宋体" w:cs="宋体"/>
          <w:b/>
          <w:bCs/>
          <w:color w:val="auto"/>
          <w:sz w:val="24"/>
          <w:u w:val="single"/>
          <w:lang w:bidi="ar"/>
        </w:rPr>
        <w:t xml:space="preserve">                </w:t>
      </w:r>
      <w:r>
        <w:rPr>
          <w:rFonts w:hint="eastAsia" w:ascii="宋体" w:hAnsi="宋体" w:cs="宋体"/>
          <w:b/>
          <w:color w:val="auto"/>
          <w:sz w:val="24"/>
          <w:u w:val="single"/>
          <w:lang w:bidi="ar"/>
        </w:rPr>
        <w:t xml:space="preserve"> </w:t>
      </w:r>
      <w:r>
        <w:rPr>
          <w:rFonts w:hint="eastAsia" w:ascii="宋体" w:hAnsi="宋体" w:cs="宋体"/>
          <w:color w:val="auto"/>
          <w:sz w:val="24"/>
          <w:lang w:bidi="ar"/>
        </w:rPr>
        <w:t xml:space="preserve">签订时间： </w:t>
      </w:r>
      <w:r>
        <w:rPr>
          <w:rFonts w:hint="eastAsia" w:ascii="宋体" w:hAnsi="宋体" w:cs="宋体"/>
          <w:color w:val="auto"/>
          <w:sz w:val="24"/>
          <w:u w:val="single"/>
          <w:lang w:bidi="ar"/>
        </w:rPr>
        <w:t xml:space="preserve">202</w:t>
      </w:r>
      <w:r>
        <w:rPr>
          <w:rFonts w:hint="eastAsia" w:ascii="宋体" w:hAnsi="宋体" w:cs="宋体"/>
          <w:color w:val="auto"/>
          <w:sz w:val="24"/>
          <w:u w:val="single"/>
          <w:lang w:val="en-US" w:eastAsia="zh-CN" w:bidi="ar"/>
        </w:rPr>
        <w:t xml:space="preserve">6</w:t>
      </w:r>
      <w:r>
        <w:rPr>
          <w:rFonts w:hint="eastAsia" w:ascii="宋体" w:hAnsi="宋体" w:cs="宋体"/>
          <w:color w:val="auto"/>
          <w:sz w:val="24"/>
          <w:u w:val="single"/>
          <w:lang w:bidi="ar"/>
        </w:rPr>
        <w:t xml:space="preserve">年</w:t>
      </w:r>
      <w:r>
        <w:rPr>
          <w:rFonts w:hint="eastAsia" w:ascii="宋体" w:hAnsi="宋体" w:cs="宋体"/>
          <w:color w:val="auto"/>
          <w:sz w:val="24"/>
          <w:u w:val="single"/>
          <w:lang w:bidi="ar"/>
        </w:rPr>
        <w:tab/>
      </w:r>
      <w:r>
        <w:rPr>
          <w:rFonts w:hint="eastAsia" w:ascii="宋体" w:hAnsi="宋体" w:cs="宋体"/>
          <w:color w:val="auto"/>
          <w:sz w:val="24"/>
          <w:u w:val="single"/>
          <w:lang w:bidi="ar"/>
        </w:rPr>
        <w:t xml:space="preserve"> 月</w:t>
      </w:r>
      <w:r>
        <w:rPr>
          <w:rFonts w:hint="eastAsia" w:ascii="宋体" w:hAnsi="宋体" w:cs="宋体"/>
          <w:color w:val="auto"/>
          <w:sz w:val="24"/>
          <w:u w:val="single"/>
          <w:lang w:bidi="ar"/>
        </w:rPr>
        <w:tab/>
      </w:r>
      <w:r>
        <w:rPr>
          <w:rFonts w:hint="eastAsia" w:ascii="宋体" w:hAnsi="宋体" w:cs="宋体"/>
          <w:color w:val="auto"/>
          <w:sz w:val="24"/>
          <w:u w:val="single"/>
          <w:lang w:bidi="ar"/>
        </w:rPr>
        <w:t xml:space="preserve">  日</w:t>
      </w:r>
      <w:r/>
    </w:p>
    <w:p>
      <w:pPr>
        <w:pStyle w:val="984"/>
        <w:spacing w:before="7" w:beforeAutospacing="0" w:after="0" w:afterAutospacing="0" w:line="360" w:lineRule="auto"/>
        <w:widowControl w:val="off"/>
        <w:rPr>
          <w:color w:val="auto"/>
        </w:rPr>
      </w:pPr>
      <w:r>
        <w:rPr>
          <w:color w:val="auto"/>
        </w:rPr>
      </w:r>
      <w:r/>
    </w:p>
    <w:p>
      <w:pPr>
        <w:ind w:firstLine="480"/>
        <w:jc w:val="left"/>
        <w:spacing w:line="360" w:lineRule="auto"/>
        <w:rPr>
          <w:color w:val="auto"/>
          <w:sz w:val="24"/>
        </w:rPr>
      </w:pPr>
      <w:r>
        <w:rPr>
          <w:rFonts w:hint="eastAsia" w:ascii="宋体" w:hAnsi="宋体" w:cs="宋体"/>
          <w:color w:val="auto"/>
          <w:sz w:val="24"/>
          <w:lang w:bidi="ar"/>
        </w:rPr>
        <w:t xml:space="preserve">根据南通市海门区公共资源交易中心招标结果、采购单位“招标文件”的要求及供应商投标文件的承诺，供需双方本着平等、自愿和诚实信用的原则,订立如下供需合同：</w:t>
      </w:r>
      <w:r/>
    </w:p>
    <w:p>
      <w:pPr>
        <w:ind w:firstLine="482"/>
        <w:jc w:val="left"/>
        <w:spacing w:line="360" w:lineRule="auto"/>
        <w:tabs>
          <w:tab w:val="left" w:pos="8950" w:leader="none"/>
        </w:tabs>
        <w:rPr>
          <w:b/>
          <w:color w:val="auto"/>
          <w:sz w:val="24"/>
        </w:rPr>
      </w:pPr>
      <w:r>
        <w:rPr>
          <w:rFonts w:hint="eastAsia" w:ascii="宋体" w:hAnsi="宋体" w:cs="宋体"/>
          <w:b/>
          <w:color w:val="auto"/>
          <w:sz w:val="24"/>
          <w:lang w:bidi="ar"/>
        </w:rPr>
        <w:t xml:space="preserve">一、项目名称：</w:t>
      </w:r>
      <w:r>
        <w:rPr>
          <w:rFonts w:hint="eastAsia" w:ascii="宋体" w:hAnsi="宋体" w:cs="宋体"/>
          <w:b/>
          <w:bCs/>
          <w:color w:val="auto"/>
          <w:sz w:val="24"/>
          <w:u w:val="single"/>
          <w:lang w:bidi="ar"/>
        </w:rPr>
        <w:t xml:space="preserve"> 南通市海门区自然资源和规划综合服务中心采购征地报批技术服务项目。</w:t>
      </w:r>
      <w:r/>
    </w:p>
    <w:p>
      <w:pPr>
        <w:ind w:firstLine="482"/>
        <w:jc w:val="left"/>
        <w:spacing w:line="360" w:lineRule="auto"/>
        <w:rPr>
          <w:b/>
          <w:color w:val="auto"/>
          <w:sz w:val="24"/>
        </w:rPr>
      </w:pPr>
      <w:r>
        <w:rPr>
          <w:rFonts w:hint="eastAsia" w:ascii="宋体" w:hAnsi="宋体" w:cs="宋体"/>
          <w:b/>
          <w:color w:val="auto"/>
          <w:sz w:val="24"/>
          <w:lang w:bidi="ar"/>
        </w:rPr>
        <w:t xml:space="preserve">二、服务内容</w:t>
      </w:r>
      <w:r/>
    </w:p>
    <w:p>
      <w:pPr>
        <w:ind w:firstLine="480"/>
        <w:jc w:val="left"/>
        <w:spacing w:line="360" w:lineRule="auto"/>
        <w:rPr>
          <w:color w:val="auto"/>
          <w:sz w:val="24"/>
        </w:rPr>
      </w:pPr>
      <w:r>
        <w:rPr>
          <w:rFonts w:hint="eastAsia" w:ascii="宋体" w:hAnsi="宋体" w:cs="宋体"/>
          <w:color w:val="auto"/>
          <w:sz w:val="24"/>
          <w:lang w:bidi="ar"/>
        </w:rPr>
        <w:t xml:space="preserve">根据土地报批需要和要求，编制建设项目“一方案三信息”（农转用方案、地类认</w:t>
      </w:r>
      <w:r>
        <w:rPr>
          <w:rFonts w:hint="eastAsia" w:ascii="宋体" w:hAnsi="宋体" w:cs="宋体"/>
          <w:color w:val="auto"/>
          <w:sz w:val="24"/>
          <w:lang w:bidi="ar"/>
        </w:rPr>
        <w:t xml:space="preserve">定基本信息、土地征收信息、报件基本信息）等征地报批资料, 协助开展审查用地条件、征地报批前公告、告知、确认和听证程序等工作。批次用地报批服务组卷材料经县（区）级审核后，上报南通市自然资源和规划局和南通市人民政府审核批准（中心城区批次报省自然资源厅和省政府审核批准，面积超过70公顷或耕地超过35公顷的批次需报有批准权的自然资源部门和政府部门批准），单独选址建设项目用地报批上报省自然资源厅、省人民政府审核报批（项目超过70公顷的，报自然资源部批准）。跨年度报批项目，以南通市局、省厅收件时间所在年度结算服务费用。</w:t>
      </w:r>
      <w:r/>
    </w:p>
    <w:p>
      <w:pPr>
        <w:ind w:firstLine="480"/>
        <w:jc w:val="left"/>
        <w:spacing w:line="360" w:lineRule="auto"/>
        <w:rPr>
          <w:color w:val="auto"/>
          <w:sz w:val="24"/>
        </w:rPr>
      </w:pPr>
      <w:r>
        <w:rPr>
          <w:rFonts w:hint="eastAsia" w:ascii="宋体" w:hAnsi="宋体" w:cs="宋体"/>
          <w:color w:val="auto"/>
          <w:sz w:val="24"/>
          <w:lang w:bidi="ar"/>
        </w:rPr>
        <w:t xml:space="preserve">（1）数据整理分析：勘测定界成果校核，征地地块数据整理分析，输入一张图系统。</w:t>
      </w:r>
      <w:r/>
    </w:p>
    <w:p>
      <w:pPr>
        <w:ind w:firstLine="480"/>
        <w:jc w:val="left"/>
        <w:spacing w:line="360" w:lineRule="auto"/>
        <w:rPr>
          <w:color w:val="auto"/>
          <w:sz w:val="24"/>
        </w:rPr>
      </w:pPr>
      <w:r>
        <w:rPr>
          <w:rFonts w:hint="eastAsia" w:ascii="宋体" w:hAnsi="宋体" w:cs="宋体"/>
          <w:color w:val="auto"/>
          <w:sz w:val="24"/>
          <w:lang w:bidi="ar"/>
        </w:rPr>
        <w:t xml:space="preserve">（2）报批材料收集与编制：包括征地报批相关材料收集，地块的土地利用总体规划、林地、湿地、基本农田、自然保护区、生态管控区、重复征地等审查，电子报件材料制作，“一方案三信息”编写，补偿费用核算，审查报告代拟，征地信息公开、土地征收诉讼、行政复议材料收集等。</w:t>
      </w:r>
      <w:r/>
    </w:p>
    <w:p>
      <w:pPr>
        <w:ind w:firstLine="480"/>
        <w:jc w:val="left"/>
        <w:spacing w:line="360" w:lineRule="auto"/>
        <w:rPr>
          <w:color w:val="auto"/>
          <w:sz w:val="24"/>
        </w:rPr>
      </w:pPr>
      <w:r>
        <w:rPr>
          <w:rFonts w:hint="eastAsia" w:ascii="宋体" w:hAnsi="宋体" w:cs="宋体"/>
          <w:color w:val="auto"/>
          <w:sz w:val="24"/>
          <w:lang w:bidi="ar"/>
        </w:rPr>
        <w:t xml:space="preserve">（3）市、省逐级组卷上报，配合审查，取得建设用地批文。</w:t>
      </w:r>
      <w:r/>
    </w:p>
    <w:p>
      <w:pPr>
        <w:ind w:firstLine="480"/>
        <w:jc w:val="left"/>
        <w:spacing w:line="360" w:lineRule="auto"/>
        <w:rPr>
          <w:color w:val="auto"/>
          <w:sz w:val="24"/>
        </w:rPr>
      </w:pPr>
      <w:r>
        <w:rPr>
          <w:rFonts w:hint="eastAsia" w:ascii="宋体" w:hAnsi="宋体" w:cs="宋体"/>
          <w:color w:val="auto"/>
          <w:sz w:val="24"/>
          <w:lang w:bidi="ar"/>
        </w:rPr>
        <w:t xml:space="preserve">（4）批复后及时联系省厅完成备案；做好材料的整理和归档，实时更新已征地报批图层。</w:t>
      </w:r>
      <w:r/>
    </w:p>
    <w:p>
      <w:pPr>
        <w:ind w:firstLine="480"/>
        <w:jc w:val="left"/>
        <w:spacing w:line="360" w:lineRule="auto"/>
        <w:rPr>
          <w:color w:val="auto"/>
          <w:sz w:val="24"/>
        </w:rPr>
      </w:pPr>
      <w:r>
        <w:rPr>
          <w:rFonts w:hint="eastAsia" w:ascii="宋体" w:hAnsi="宋体" w:cs="宋体"/>
          <w:color w:val="auto"/>
          <w:sz w:val="24"/>
          <w:lang w:bidi="ar"/>
        </w:rPr>
        <w:t xml:space="preserve">（5）其他：根据报批需求完成其他相关工作。</w:t>
      </w:r>
      <w:r/>
    </w:p>
    <w:p>
      <w:pPr>
        <w:ind w:firstLine="482"/>
        <w:jc w:val="left"/>
        <w:spacing w:line="360" w:lineRule="auto"/>
        <w:rPr>
          <w:b/>
          <w:color w:val="auto"/>
          <w:sz w:val="24"/>
        </w:rPr>
      </w:pPr>
      <w:r>
        <w:rPr>
          <w:rFonts w:hint="eastAsia" w:ascii="宋体" w:hAnsi="宋体" w:cs="宋体"/>
          <w:b/>
          <w:color w:val="auto"/>
          <w:sz w:val="24"/>
          <w:lang w:bidi="ar"/>
        </w:rPr>
        <w:t xml:space="preserve">三、合同金额 </w:t>
      </w:r>
      <w:r/>
    </w:p>
    <w:p>
      <w:pPr>
        <w:pStyle w:val="984"/>
        <w:ind w:firstLine="480"/>
        <w:spacing w:before="0" w:beforeAutospacing="0" w:after="0" w:afterAutospacing="0" w:line="360" w:lineRule="auto"/>
        <w:widowControl w:val="off"/>
        <w:rPr>
          <w:color w:val="auto"/>
        </w:rPr>
      </w:pPr>
      <w:r>
        <w:rPr>
          <w:rFonts w:hint="eastAsia" w:cs="宋体"/>
          <w:color w:val="auto"/>
          <w:lang w:bidi="ar"/>
        </w:rPr>
        <w:t xml:space="preserve">本合同服务费用为：单价金额为人民币</w:t>
      </w:r>
      <w:r>
        <w:rPr>
          <w:rFonts w:hint="eastAsia" w:cs="宋体"/>
          <w:color w:val="auto"/>
          <w:u w:val="single"/>
          <w:lang w:bidi="ar"/>
        </w:rPr>
        <w:t xml:space="preserve">      </w:t>
      </w:r>
      <w:r>
        <w:rPr>
          <w:rFonts w:hint="eastAsia" w:cs="宋体"/>
          <w:color w:val="auto"/>
          <w:lang w:bidi="ar"/>
        </w:rPr>
        <w:t xml:space="preserve">，¥</w:t>
      </w:r>
      <w:r>
        <w:rPr>
          <w:rFonts w:hint="eastAsia" w:cs="宋体"/>
          <w:color w:val="auto"/>
          <w:u w:val="single"/>
          <w:lang w:bidi="ar"/>
        </w:rPr>
        <w:t xml:space="preserve">      元/亩</w:t>
      </w:r>
      <w:r>
        <w:rPr>
          <w:rFonts w:hint="eastAsia" w:cs="宋体"/>
          <w:color w:val="auto"/>
          <w:lang w:bidi="ar"/>
        </w:rPr>
        <w:t xml:space="preserve">，暂定</w:t>
      </w:r>
      <w:r>
        <w:rPr>
          <w:rFonts w:hint="eastAsia" w:cs="宋体"/>
          <w:color w:val="auto"/>
          <w:u w:val="single"/>
          <w:lang w:bidi="ar"/>
        </w:rPr>
        <w:t xml:space="preserve"> </w:t>
      </w:r>
      <w:r>
        <w:rPr>
          <w:rFonts w:hint="eastAsia" w:cs="宋体"/>
          <w:color w:val="auto"/>
          <w:u w:val="single"/>
          <w:lang w:val="en-US" w:eastAsia="zh-CN" w:bidi="ar"/>
        </w:rPr>
        <w:t xml:space="preserve">4000</w:t>
      </w:r>
      <w:r>
        <w:rPr>
          <w:rFonts w:hint="eastAsia" w:cs="宋体"/>
          <w:color w:val="auto"/>
          <w:u w:val="single"/>
          <w:lang w:bidi="ar"/>
        </w:rPr>
        <w:t xml:space="preserve">亩</w:t>
      </w:r>
      <w:r>
        <w:rPr>
          <w:rFonts w:hint="eastAsia" w:cs="宋体"/>
          <w:color w:val="auto"/>
          <w:lang w:bidi="ar"/>
        </w:rPr>
        <w:t xml:space="preserve">（不含202</w:t>
      </w:r>
      <w:r>
        <w:rPr>
          <w:rFonts w:hint="eastAsia" w:cs="宋体"/>
          <w:color w:val="auto"/>
          <w:lang w:val="en-US" w:eastAsia="zh-CN" w:bidi="ar"/>
        </w:rPr>
        <w:t xml:space="preserve">5</w:t>
      </w:r>
      <w:r>
        <w:rPr>
          <w:rFonts w:hint="eastAsia" w:cs="宋体"/>
          <w:color w:val="auto"/>
          <w:lang w:bidi="ar"/>
        </w:rPr>
        <w:t xml:space="preserve">年结转项目，最终以实际中标单价乘以报批批次面积结算），总服务费用达到</w:t>
      </w:r>
      <w:r>
        <w:rPr>
          <w:rFonts w:hint="eastAsia" w:cs="宋体"/>
          <w:color w:val="auto"/>
          <w:lang w:val="en-US" w:eastAsia="zh-CN" w:bidi="ar"/>
        </w:rPr>
        <w:t xml:space="preserve">132</w:t>
      </w:r>
      <w:r>
        <w:rPr>
          <w:rFonts w:hint="eastAsia" w:cs="宋体"/>
          <w:color w:val="auto"/>
          <w:lang w:bidi="ar"/>
        </w:rPr>
        <w:t xml:space="preserve">万元时合同自动终止。（涉及国有土地转用的挂钩批次按照中标价的50%支付；单独选址建设项目因面积小，单个项目达不到5万元的，按照5万元计算；单个批次因面积小，达不到3万元的，按照3万元计算）。</w:t>
      </w:r>
      <w:r/>
    </w:p>
    <w:p>
      <w:pPr>
        <w:ind w:firstLine="482"/>
        <w:jc w:val="left"/>
        <w:spacing w:line="360" w:lineRule="auto"/>
        <w:rPr>
          <w:b/>
          <w:color w:val="auto"/>
          <w:sz w:val="24"/>
        </w:rPr>
      </w:pPr>
      <w:r>
        <w:rPr>
          <w:rFonts w:hint="eastAsia" w:ascii="宋体" w:hAnsi="宋体" w:cs="宋体"/>
          <w:b/>
          <w:color w:val="auto"/>
          <w:sz w:val="24"/>
          <w:lang w:bidi="ar"/>
        </w:rPr>
        <w:t xml:space="preserve">四、技术资料</w:t>
      </w:r>
      <w:r/>
    </w:p>
    <w:p>
      <w:pPr>
        <w:pStyle w:val="985"/>
        <w:ind w:left="0" w:firstLine="480"/>
        <w:spacing w:line="360" w:lineRule="auto"/>
        <w:widowControl/>
        <w:tabs>
          <w:tab w:val="left" w:pos="983" w:leader="none"/>
        </w:tabs>
        <w:rPr>
          <w:color w:val="auto"/>
          <w:sz w:val="24"/>
          <w:szCs w:val="24"/>
        </w:rPr>
      </w:pPr>
      <w:r>
        <w:rPr>
          <w:color w:val="auto"/>
          <w:sz w:val="24"/>
          <w:szCs w:val="24"/>
        </w:rPr>
        <w:t xml:space="preserve">1.乙方应按采购（招标）文件规定的时间向甲方提供有关技术资料。</w:t>
      </w:r>
      <w:r/>
    </w:p>
    <w:p>
      <w:pPr>
        <w:pStyle w:val="985"/>
        <w:ind w:left="0" w:firstLine="472"/>
        <w:jc w:val="both"/>
        <w:spacing w:line="360" w:lineRule="auto"/>
        <w:widowControl/>
        <w:tabs>
          <w:tab w:val="left" w:pos="995" w:leader="none"/>
        </w:tabs>
        <w:rPr>
          <w:color w:val="auto"/>
          <w:sz w:val="24"/>
          <w:szCs w:val="24"/>
        </w:rPr>
      </w:pPr>
      <w:r>
        <w:rPr>
          <w:color w:val="auto"/>
          <w:spacing w:val="-2"/>
          <w:sz w:val="24"/>
          <w:szCs w:val="24"/>
        </w:rPr>
        <w:t xml:space="preserve">2.没有甲方事先书面同意，乙方不得将由甲方提供的有关合同或任何合同条文、规格、计</w:t>
      </w:r>
      <w:r>
        <w:rPr>
          <w:color w:val="auto"/>
          <w:spacing w:val="-3"/>
          <w:sz w:val="24"/>
          <w:szCs w:val="24"/>
        </w:rPr>
        <w:t xml:space="preserve">划、图纸、样品或资料提供给与履行本合同无关的任何其他人。即使向履行本合同有关的人员</w:t>
      </w:r>
      <w:r>
        <w:rPr>
          <w:color w:val="auto"/>
          <w:sz w:val="24"/>
          <w:szCs w:val="24"/>
        </w:rPr>
        <w:t xml:space="preserve">提供，也应注意保密并限于履行合同的必需范围。</w:t>
      </w:r>
      <w:r/>
    </w:p>
    <w:p>
      <w:pPr>
        <w:ind w:firstLine="482"/>
        <w:jc w:val="left"/>
        <w:spacing w:line="360" w:lineRule="auto"/>
        <w:rPr>
          <w:b/>
          <w:color w:val="auto"/>
          <w:sz w:val="24"/>
        </w:rPr>
      </w:pPr>
      <w:r>
        <w:rPr>
          <w:rFonts w:hint="eastAsia" w:ascii="宋体" w:hAnsi="宋体" w:cs="宋体"/>
          <w:b/>
          <w:color w:val="auto"/>
          <w:sz w:val="24"/>
          <w:lang w:bidi="ar"/>
        </w:rPr>
        <w:t xml:space="preserve">五、知识产权</w:t>
      </w:r>
      <w:r/>
    </w:p>
    <w:p>
      <w:pPr>
        <w:ind w:left="480" w:firstLine="480"/>
        <w:jc w:val="left"/>
        <w:spacing w:line="360" w:lineRule="auto"/>
        <w:rPr>
          <w:color w:val="auto"/>
          <w:sz w:val="24"/>
        </w:rPr>
      </w:pPr>
      <w:r>
        <w:rPr>
          <w:rFonts w:hint="eastAsia" w:ascii="宋体" w:hAnsi="宋体" w:cs="宋体"/>
          <w:color w:val="auto"/>
          <w:sz w:val="24"/>
          <w:lang w:bidi="ar"/>
        </w:rPr>
        <w:t xml:space="preserve">乙方应保证提供服务过程中不会侵犯任何第三方的知识产权。</w:t>
      </w:r>
      <w:r/>
    </w:p>
    <w:p>
      <w:pPr>
        <w:ind w:firstLine="482"/>
        <w:jc w:val="left"/>
        <w:spacing w:line="360" w:lineRule="auto"/>
        <w:rPr>
          <w:b/>
          <w:color w:val="auto"/>
          <w:sz w:val="24"/>
        </w:rPr>
      </w:pPr>
      <w:r>
        <w:rPr>
          <w:rFonts w:hint="eastAsia" w:ascii="宋体" w:hAnsi="宋体" w:cs="宋体"/>
          <w:b/>
          <w:color w:val="auto"/>
          <w:sz w:val="24"/>
          <w:lang w:bidi="ar"/>
        </w:rPr>
        <w:t xml:space="preserve">六、转包或分包</w:t>
      </w:r>
      <w:r/>
    </w:p>
    <w:p>
      <w:pPr>
        <w:pStyle w:val="985"/>
        <w:ind w:left="0" w:firstLine="480"/>
        <w:spacing w:line="360" w:lineRule="auto"/>
        <w:widowControl/>
        <w:tabs>
          <w:tab w:val="left" w:pos="1114" w:leader="none"/>
        </w:tabs>
        <w:rPr>
          <w:color w:val="auto"/>
          <w:sz w:val="24"/>
          <w:szCs w:val="24"/>
        </w:rPr>
      </w:pPr>
      <w:r>
        <w:rPr>
          <w:color w:val="auto"/>
          <w:sz w:val="24"/>
          <w:szCs w:val="24"/>
        </w:rPr>
        <w:t xml:space="preserve">1.本合同范围的服务，应由乙方直接供应，不得转让他人供应；</w:t>
      </w:r>
      <w:r/>
    </w:p>
    <w:p>
      <w:pPr>
        <w:pStyle w:val="985"/>
        <w:ind w:left="0" w:firstLine="480"/>
        <w:spacing w:line="360" w:lineRule="auto"/>
        <w:widowControl/>
        <w:tabs>
          <w:tab w:val="left" w:pos="1119" w:leader="none"/>
        </w:tabs>
        <w:rPr>
          <w:color w:val="auto"/>
          <w:sz w:val="24"/>
          <w:szCs w:val="24"/>
        </w:rPr>
      </w:pPr>
      <w:r>
        <w:rPr>
          <w:color w:val="auto"/>
          <w:sz w:val="24"/>
          <w:szCs w:val="24"/>
        </w:rPr>
        <w:t xml:space="preserve">2.除非得到甲方的书面同意，乙方不得将本合同范围的服务全部或部分分包给他人供应；</w:t>
      </w:r>
      <w:r/>
    </w:p>
    <w:p>
      <w:pPr>
        <w:pStyle w:val="985"/>
        <w:ind w:left="0" w:firstLine="456"/>
        <w:spacing w:line="360" w:lineRule="auto"/>
        <w:widowControl/>
        <w:tabs>
          <w:tab w:val="left" w:pos="1114" w:leader="none"/>
        </w:tabs>
        <w:rPr>
          <w:color w:val="auto"/>
          <w:sz w:val="24"/>
          <w:szCs w:val="24"/>
        </w:rPr>
      </w:pPr>
      <w:r>
        <w:rPr>
          <w:color w:val="auto"/>
          <w:spacing w:val="-6"/>
          <w:sz w:val="24"/>
          <w:szCs w:val="24"/>
        </w:rPr>
        <w:t xml:space="preserve">3.如有转让和未经甲方同意的分包行为，甲方有权解除合同，没收履约保证金并追究乙</w:t>
      </w:r>
      <w:r>
        <w:rPr>
          <w:color w:val="auto"/>
          <w:sz w:val="24"/>
          <w:szCs w:val="24"/>
        </w:rPr>
        <w:t xml:space="preserve">方的违约责任。</w:t>
      </w:r>
      <w:r/>
    </w:p>
    <w:p>
      <w:pPr>
        <w:ind w:firstLine="482"/>
        <w:jc w:val="left"/>
        <w:spacing w:line="360" w:lineRule="auto"/>
        <w:rPr>
          <w:b/>
          <w:color w:val="auto"/>
          <w:sz w:val="24"/>
        </w:rPr>
      </w:pPr>
      <w:r>
        <w:rPr>
          <w:rFonts w:hint="eastAsia" w:ascii="宋体" w:hAnsi="宋体" w:cs="宋体"/>
          <w:b/>
          <w:color w:val="auto"/>
          <w:sz w:val="24"/>
          <w:lang w:bidi="ar"/>
        </w:rPr>
        <w:t xml:space="preserve">七、服务质量保证期</w:t>
      </w:r>
      <w:r/>
    </w:p>
    <w:p>
      <w:pPr>
        <w:ind w:firstLine="480"/>
        <w:jc w:val="left"/>
        <w:spacing w:line="360" w:lineRule="auto"/>
        <w:rPr>
          <w:color w:val="auto"/>
          <w:sz w:val="24"/>
        </w:rPr>
      </w:pPr>
      <w:r>
        <w:rPr>
          <w:rFonts w:hint="eastAsia" w:ascii="宋体" w:hAnsi="宋体" w:cs="宋体"/>
          <w:color w:val="auto"/>
          <w:sz w:val="24"/>
          <w:lang w:bidi="ar"/>
        </w:rPr>
        <w:t xml:space="preserve">服务质量保证期</w:t>
      </w:r>
      <w:r>
        <w:rPr>
          <w:rFonts w:hint="eastAsia" w:ascii="宋体" w:hAnsi="宋体" w:cs="宋体"/>
          <w:color w:val="auto"/>
          <w:sz w:val="24"/>
          <w:u w:val="single"/>
          <w:lang w:bidi="ar"/>
        </w:rPr>
        <w:t xml:space="preserve">1</w:t>
      </w:r>
      <w:r>
        <w:rPr>
          <w:rFonts w:hint="eastAsia" w:ascii="宋体" w:hAnsi="宋体" w:cs="宋体"/>
          <w:color w:val="auto"/>
          <w:sz w:val="24"/>
          <w:lang w:bidi="ar"/>
        </w:rPr>
        <w:t xml:space="preserve">年。（自验收合格之日起计）</w:t>
      </w:r>
      <w:r/>
    </w:p>
    <w:p>
      <w:pPr>
        <w:ind w:firstLine="482"/>
        <w:jc w:val="left"/>
        <w:spacing w:line="360" w:lineRule="auto"/>
        <w:rPr>
          <w:b/>
          <w:color w:val="auto"/>
          <w:sz w:val="24"/>
        </w:rPr>
      </w:pPr>
      <w:r>
        <w:rPr>
          <w:rFonts w:hint="eastAsia" w:ascii="宋体" w:hAnsi="宋体" w:cs="宋体"/>
          <w:b/>
          <w:color w:val="auto"/>
          <w:sz w:val="24"/>
          <w:lang w:bidi="ar"/>
        </w:rPr>
        <w:t xml:space="preserve">八、合同履行时间、履行方式及履行地点</w:t>
      </w:r>
      <w:r/>
    </w:p>
    <w:p>
      <w:pPr>
        <w:ind w:firstLine="480"/>
        <w:jc w:val="left"/>
        <w:keepLines w:val="0"/>
        <w:keepNext w:val="0"/>
        <w:pageBreakBefore w:val="0"/>
        <w:spacing w:line="500" w:lineRule="exact"/>
        <w:tabs>
          <w:tab w:val="left" w:pos="720" w:leader="none"/>
        </w:tabs>
        <w:rPr>
          <w:rFonts w:hint="eastAsia" w:eastAsia="宋体"/>
          <w:color w:val="auto"/>
          <w:sz w:val="24"/>
          <w:szCs w:val="24"/>
          <w:lang w:eastAsia="zh-CN"/>
        </w:rPr>
      </w:pPr>
      <w:r>
        <w:rPr>
          <w:color w:val="auto"/>
          <w:sz w:val="24"/>
          <w:szCs w:val="24"/>
        </w:rPr>
        <w:t xml:space="preserve">1.履行时间：签订合同后至202</w:t>
      </w:r>
      <w:r>
        <w:rPr>
          <w:rFonts w:hint="eastAsia"/>
          <w:color w:val="auto"/>
          <w:sz w:val="24"/>
          <w:szCs w:val="24"/>
          <w:lang w:val="en-US" w:eastAsia="zh-CN"/>
        </w:rPr>
        <w:t xml:space="preserve">6</w:t>
      </w:r>
      <w:r>
        <w:rPr>
          <w:color w:val="auto"/>
          <w:sz w:val="24"/>
          <w:szCs w:val="24"/>
        </w:rPr>
        <w:t xml:space="preserve">年12月31日</w:t>
      </w:r>
      <w:r>
        <w:rPr>
          <w:rFonts w:hint="eastAsia"/>
          <w:color w:val="auto"/>
          <w:sz w:val="24"/>
          <w:szCs w:val="24"/>
          <w:lang w:eastAsia="zh-CN"/>
        </w:rPr>
        <w:t xml:space="preserve">。</w:t>
      </w:r>
      <w:r/>
    </w:p>
    <w:p>
      <w:pPr>
        <w:pStyle w:val="985"/>
        <w:ind w:left="0" w:firstLine="480"/>
        <w:spacing w:line="360" w:lineRule="auto"/>
        <w:widowControl/>
        <w:tabs>
          <w:tab w:val="left" w:pos="1114" w:leader="none"/>
        </w:tabs>
        <w:rPr>
          <w:color w:val="auto"/>
          <w:sz w:val="24"/>
          <w:szCs w:val="24"/>
        </w:rPr>
      </w:pPr>
      <w:r>
        <w:rPr>
          <w:color w:val="auto"/>
          <w:sz w:val="24"/>
          <w:szCs w:val="24"/>
        </w:rPr>
        <w:t xml:space="preserve">2.履行方式：完成报批项目服务内容，最终取得部省市级征转用地批文。</w:t>
      </w:r>
      <w:r/>
    </w:p>
    <w:p>
      <w:pPr>
        <w:pStyle w:val="985"/>
        <w:ind w:left="0" w:firstLine="480"/>
        <w:spacing w:line="360" w:lineRule="auto"/>
        <w:widowControl/>
        <w:tabs>
          <w:tab w:val="left" w:pos="1114" w:leader="none"/>
        </w:tabs>
        <w:rPr>
          <w:color w:val="auto"/>
          <w:sz w:val="24"/>
          <w:szCs w:val="24"/>
        </w:rPr>
      </w:pPr>
      <w:r>
        <w:rPr>
          <w:color w:val="auto"/>
          <w:sz w:val="24"/>
          <w:szCs w:val="24"/>
        </w:rPr>
        <w:t xml:space="preserve">3.履行地点：南通市海门区</w:t>
      </w:r>
      <w:r/>
    </w:p>
    <w:p>
      <w:pPr>
        <w:ind w:firstLine="482"/>
        <w:jc w:val="left"/>
        <w:spacing w:line="360" w:lineRule="auto"/>
        <w:rPr>
          <w:color w:val="auto"/>
          <w:sz w:val="24"/>
        </w:rPr>
      </w:pPr>
      <w:r>
        <w:rPr>
          <w:rFonts w:hint="eastAsia" w:ascii="宋体" w:hAnsi="宋体" w:cs="宋体"/>
          <w:b/>
          <w:color w:val="auto"/>
          <w:sz w:val="24"/>
          <w:lang w:bidi="ar"/>
        </w:rPr>
        <w:t xml:space="preserve">九、验收：</w:t>
      </w:r>
      <w:r>
        <w:rPr>
          <w:rFonts w:hint="eastAsia" w:ascii="宋体" w:hAnsi="宋体" w:cs="宋体"/>
          <w:color w:val="auto"/>
          <w:sz w:val="24"/>
          <w:lang w:bidi="ar"/>
        </w:rPr>
        <w:t xml:space="preserve">以完成报批项目服务内容，最终取得部省市级征转用地批文为准。</w:t>
      </w:r>
      <w:r/>
    </w:p>
    <w:p>
      <w:pPr>
        <w:ind w:firstLine="482"/>
        <w:jc w:val="left"/>
        <w:spacing w:line="360" w:lineRule="auto"/>
        <w:rPr>
          <w:b/>
          <w:color w:val="auto"/>
          <w:sz w:val="24"/>
        </w:rPr>
      </w:pPr>
      <w:r>
        <w:rPr>
          <w:rFonts w:hint="eastAsia" w:ascii="宋体" w:hAnsi="宋体" w:cs="宋体"/>
          <w:b/>
          <w:color w:val="auto"/>
          <w:sz w:val="24"/>
          <w:lang w:bidi="ar"/>
        </w:rPr>
        <w:t xml:space="preserve">十、款项支付</w:t>
      </w:r>
      <w:r/>
    </w:p>
    <w:p>
      <w:pPr>
        <w:ind w:firstLine="440"/>
        <w:jc w:val="left"/>
        <w:spacing w:line="360" w:lineRule="auto"/>
        <w:rPr>
          <w:color w:val="auto"/>
          <w:sz w:val="24"/>
          <w:u w:val="single"/>
        </w:rPr>
      </w:pPr>
      <w:r>
        <w:rPr>
          <w:rFonts w:hint="eastAsia" w:ascii="宋体" w:hAnsi="宋体" w:cs="宋体"/>
          <w:color w:val="auto"/>
          <w:spacing w:val="-10"/>
          <w:sz w:val="24"/>
          <w:lang w:bidi="ar"/>
        </w:rPr>
        <w:t xml:space="preserve">付款方式：</w:t>
      </w:r>
      <w:r>
        <w:rPr>
          <w:rFonts w:hint="eastAsia" w:ascii="宋体" w:hAnsi="宋体" w:cs="宋体"/>
          <w:color w:val="auto"/>
          <w:sz w:val="24"/>
          <w:lang w:bidi="ar"/>
        </w:rPr>
        <w:t xml:space="preserve">汇总年度内取得征地批文总面积后一次性支付。</w:t>
      </w:r>
      <w:r/>
    </w:p>
    <w:p>
      <w:pPr>
        <w:ind w:firstLine="482"/>
        <w:jc w:val="left"/>
        <w:spacing w:line="360" w:lineRule="auto"/>
        <w:rPr>
          <w:b/>
          <w:color w:val="auto"/>
          <w:sz w:val="24"/>
        </w:rPr>
      </w:pPr>
      <w:r>
        <w:rPr>
          <w:rFonts w:hint="eastAsia" w:ascii="宋体" w:hAnsi="宋体" w:cs="宋体"/>
          <w:b/>
          <w:color w:val="auto"/>
          <w:sz w:val="24"/>
          <w:lang w:bidi="ar"/>
        </w:rPr>
        <w:t xml:space="preserve">十一、税费</w:t>
      </w:r>
      <w:r/>
    </w:p>
    <w:p>
      <w:pPr>
        <w:ind w:firstLine="480"/>
        <w:jc w:val="left"/>
        <w:spacing w:line="360" w:lineRule="auto"/>
        <w:rPr>
          <w:color w:val="auto"/>
          <w:sz w:val="24"/>
        </w:rPr>
      </w:pPr>
      <w:r>
        <w:rPr>
          <w:rFonts w:hint="eastAsia" w:ascii="宋体" w:hAnsi="宋体" w:cs="宋体"/>
          <w:color w:val="auto"/>
          <w:sz w:val="24"/>
          <w:lang w:bidi="ar"/>
        </w:rPr>
        <w:t xml:space="preserve">本合同执行中相关的一切税费均由乙方负担。</w:t>
      </w:r>
      <w:r/>
    </w:p>
    <w:p>
      <w:pPr>
        <w:ind w:firstLine="482"/>
        <w:jc w:val="left"/>
        <w:spacing w:line="360" w:lineRule="auto"/>
        <w:rPr>
          <w:b/>
          <w:color w:val="auto"/>
          <w:sz w:val="24"/>
        </w:rPr>
      </w:pPr>
      <w:r>
        <w:rPr>
          <w:rFonts w:hint="eastAsia" w:ascii="宋体" w:hAnsi="宋体" w:cs="宋体"/>
          <w:b/>
          <w:color w:val="auto"/>
          <w:sz w:val="24"/>
          <w:lang w:bidi="ar"/>
        </w:rPr>
        <w:t xml:space="preserve">十二、质量保证及后续服务</w:t>
      </w:r>
      <w:r/>
    </w:p>
    <w:p>
      <w:pPr>
        <w:pStyle w:val="985"/>
        <w:ind w:left="0" w:firstLine="480"/>
        <w:spacing w:line="360" w:lineRule="auto"/>
        <w:widowControl/>
        <w:tabs>
          <w:tab w:val="left" w:pos="1445" w:leader="none"/>
        </w:tabs>
        <w:rPr>
          <w:color w:val="auto"/>
          <w:sz w:val="24"/>
          <w:szCs w:val="24"/>
        </w:rPr>
      </w:pPr>
      <w:r>
        <w:rPr>
          <w:color w:val="auto"/>
          <w:sz w:val="24"/>
          <w:szCs w:val="24"/>
        </w:rPr>
        <w:t xml:space="preserve">1.乙方应按采购（招标）文件规定向甲方提供服务。乙方需至少派4名工作人员（土地管理、测绘、城乡规划</w:t>
      </w:r>
      <w:r>
        <w:rPr>
          <w:rFonts w:hint="eastAsia" w:ascii="宋体" w:hAnsi="宋体" w:eastAsia="宋体" w:cs="宋体"/>
          <w:color w:val="auto"/>
          <w:sz w:val="24"/>
          <w:szCs w:val="24"/>
          <w:lang w:val="en-US" w:eastAsia="zh-CN"/>
        </w:rPr>
        <w:t xml:space="preserve">、咨询等专业</w:t>
      </w:r>
      <w:r>
        <w:rPr>
          <w:color w:val="auto"/>
          <w:sz w:val="24"/>
          <w:szCs w:val="24"/>
        </w:rPr>
        <w:t xml:space="preserve">）服务，须至少安排2名工作人员常驻，并参与甲方所在单位的考勤，若违约，招标人有权解除合同。</w:t>
      </w:r>
      <w:r/>
    </w:p>
    <w:p>
      <w:pPr>
        <w:pStyle w:val="985"/>
        <w:ind w:left="0" w:firstLine="464"/>
        <w:spacing w:line="360" w:lineRule="auto"/>
        <w:widowControl/>
        <w:tabs>
          <w:tab w:val="left" w:pos="1126" w:leader="none"/>
        </w:tabs>
        <w:rPr>
          <w:color w:val="auto"/>
          <w:sz w:val="24"/>
          <w:szCs w:val="24"/>
        </w:rPr>
      </w:pPr>
      <w:r>
        <w:rPr>
          <w:color w:val="auto"/>
          <w:spacing w:val="-4"/>
          <w:sz w:val="24"/>
          <w:szCs w:val="24"/>
        </w:rPr>
        <w:t xml:space="preserve">2.乙方提供的服务成果在服务质量保证期内发生故障，乙方应负责免费提供后续服务。</w:t>
      </w:r>
      <w:r>
        <w:rPr>
          <w:color w:val="auto"/>
          <w:sz w:val="24"/>
          <w:szCs w:val="24"/>
        </w:rPr>
        <w:t xml:space="preserve">对达不到要求者，根据实际情况，经双方协商，可按以下办法处理：</w:t>
      </w:r>
      <w:r/>
    </w:p>
    <w:p>
      <w:pPr>
        <w:pStyle w:val="985"/>
        <w:ind w:left="0" w:firstLine="480"/>
        <w:spacing w:line="360" w:lineRule="auto"/>
        <w:widowControl/>
        <w:tabs>
          <w:tab w:val="left" w:pos="1295" w:leader="none"/>
        </w:tabs>
        <w:rPr>
          <w:color w:val="auto"/>
          <w:sz w:val="24"/>
          <w:szCs w:val="24"/>
        </w:rPr>
      </w:pPr>
      <w:r>
        <w:rPr>
          <w:color w:val="auto"/>
          <w:sz w:val="24"/>
          <w:szCs w:val="24"/>
        </w:rPr>
        <w:t xml:space="preserve">（1）重做：由乙方承担所发生的全部费用。</w:t>
      </w:r>
      <w:r/>
    </w:p>
    <w:p>
      <w:pPr>
        <w:pStyle w:val="985"/>
        <w:ind w:left="0" w:firstLine="480"/>
        <w:spacing w:line="360" w:lineRule="auto"/>
        <w:widowControl/>
        <w:tabs>
          <w:tab w:val="left" w:pos="1295" w:leader="none"/>
        </w:tabs>
        <w:rPr>
          <w:color w:val="auto"/>
          <w:sz w:val="24"/>
          <w:szCs w:val="24"/>
        </w:rPr>
      </w:pPr>
      <w:r>
        <w:rPr>
          <w:color w:val="auto"/>
          <w:sz w:val="24"/>
          <w:szCs w:val="24"/>
        </w:rPr>
        <w:t xml:space="preserve">（2）贬值处理：由甲乙双方合议定价。</w:t>
      </w:r>
      <w:r/>
    </w:p>
    <w:p>
      <w:pPr>
        <w:pStyle w:val="985"/>
        <w:ind w:left="0" w:firstLine="480"/>
        <w:spacing w:line="360" w:lineRule="auto"/>
        <w:widowControl/>
        <w:tabs>
          <w:tab w:val="left" w:pos="1295" w:leader="none"/>
        </w:tabs>
        <w:rPr>
          <w:color w:val="auto"/>
          <w:sz w:val="24"/>
          <w:szCs w:val="24"/>
        </w:rPr>
      </w:pPr>
      <w:r>
        <w:rPr>
          <w:color w:val="auto"/>
          <w:sz w:val="24"/>
          <w:szCs w:val="24"/>
        </w:rPr>
        <w:t xml:space="preserve">（3）解除合同并由乙方赔偿损失。</w:t>
      </w:r>
      <w:r/>
    </w:p>
    <w:p>
      <w:pPr>
        <w:pStyle w:val="985"/>
        <w:ind w:left="0" w:firstLine="480"/>
        <w:spacing w:line="360" w:lineRule="auto"/>
        <w:widowControl/>
        <w:tabs>
          <w:tab w:val="left" w:pos="1295" w:leader="none"/>
        </w:tabs>
        <w:rPr>
          <w:color w:val="auto"/>
          <w:sz w:val="24"/>
          <w:szCs w:val="24"/>
        </w:rPr>
      </w:pPr>
      <w:r>
        <w:rPr>
          <w:color w:val="auto"/>
          <w:sz w:val="24"/>
          <w:szCs w:val="24"/>
        </w:rPr>
        <w:t xml:space="preserve">（4）其他：/。</w:t>
      </w:r>
      <w:r/>
    </w:p>
    <w:p>
      <w:pPr>
        <w:pStyle w:val="985"/>
        <w:ind w:left="0" w:firstLine="480"/>
        <w:spacing w:line="360" w:lineRule="auto"/>
        <w:widowControl/>
        <w:tabs>
          <w:tab w:val="left" w:pos="1234" w:leader="none"/>
        </w:tabs>
        <w:rPr>
          <w:color w:val="auto"/>
          <w:sz w:val="24"/>
          <w:szCs w:val="24"/>
        </w:rPr>
      </w:pPr>
      <w:r>
        <w:rPr>
          <w:color w:val="auto"/>
          <w:sz w:val="24"/>
          <w:szCs w:val="24"/>
        </w:rPr>
        <w:t xml:space="preserve">3.如在使用过程中发生问题，乙方在接到甲方通知后在</w:t>
      </w:r>
      <w:r>
        <w:rPr>
          <w:color w:val="auto"/>
          <w:sz w:val="24"/>
          <w:szCs w:val="24"/>
          <w:u w:val="single"/>
        </w:rPr>
        <w:t xml:space="preserve">12</w:t>
      </w:r>
      <w:r>
        <w:rPr>
          <w:color w:val="auto"/>
          <w:spacing w:val="-2"/>
          <w:sz w:val="24"/>
          <w:szCs w:val="24"/>
        </w:rPr>
        <w:t xml:space="preserve">小时内到达甲方现场，并予</w:t>
      </w:r>
      <w:r>
        <w:rPr>
          <w:color w:val="auto"/>
          <w:sz w:val="24"/>
          <w:szCs w:val="24"/>
        </w:rPr>
        <w:t xml:space="preserve">以解决。</w:t>
      </w:r>
      <w:r/>
    </w:p>
    <w:p>
      <w:pPr>
        <w:pStyle w:val="985"/>
        <w:ind w:left="0" w:firstLine="480"/>
        <w:spacing w:line="360" w:lineRule="auto"/>
        <w:widowControl/>
        <w:tabs>
          <w:tab w:val="left" w:pos="1234" w:leader="none"/>
        </w:tabs>
        <w:rPr>
          <w:color w:val="auto"/>
          <w:sz w:val="24"/>
          <w:szCs w:val="24"/>
        </w:rPr>
      </w:pPr>
      <w:r>
        <w:rPr>
          <w:color w:val="auto"/>
          <w:sz w:val="24"/>
          <w:szCs w:val="24"/>
        </w:rPr>
        <w:t xml:space="preserve">4.在服务质量保证期内，乙方应对出现的质量及安全问题负责处理解决并承担一切费用。</w:t>
      </w:r>
      <w:r/>
    </w:p>
    <w:p>
      <w:pPr>
        <w:ind w:firstLine="482"/>
        <w:jc w:val="left"/>
        <w:spacing w:line="360" w:lineRule="auto"/>
        <w:rPr>
          <w:b/>
          <w:color w:val="auto"/>
          <w:sz w:val="24"/>
        </w:rPr>
      </w:pPr>
      <w:r>
        <w:rPr>
          <w:rFonts w:hint="eastAsia" w:ascii="宋体" w:hAnsi="宋体" w:cs="宋体"/>
          <w:b/>
          <w:color w:val="auto"/>
          <w:sz w:val="24"/>
          <w:lang w:bidi="ar"/>
        </w:rPr>
        <w:t xml:space="preserve">十三、违约责任</w:t>
      </w:r>
      <w:r/>
    </w:p>
    <w:p>
      <w:pPr>
        <w:pStyle w:val="985"/>
        <w:ind w:left="0" w:firstLine="480"/>
        <w:jc w:val="both"/>
        <w:spacing w:line="360" w:lineRule="auto"/>
        <w:widowControl/>
        <w:tabs>
          <w:tab w:val="left" w:pos="1115" w:leader="none"/>
        </w:tabs>
        <w:rPr>
          <w:color w:val="auto"/>
          <w:sz w:val="24"/>
          <w:szCs w:val="24"/>
        </w:rPr>
      </w:pPr>
      <w:r>
        <w:rPr>
          <w:color w:val="auto"/>
          <w:sz w:val="24"/>
          <w:szCs w:val="24"/>
        </w:rPr>
        <w:t xml:space="preserve">1.补偿安置公告发布后 40日（单独选址项目50天）内，乙方要督促属地区镇完成签字、人员评定等工作，完成组卷，无特殊原因未在规定时间内完成的，扣除该批次 10% 报批费用；组卷报批后须 20 日</w:t>
      </w:r>
      <w:r>
        <w:rPr>
          <w:color w:val="auto"/>
          <w:spacing w:val="-5"/>
          <w:sz w:val="24"/>
          <w:szCs w:val="24"/>
        </w:rPr>
        <w:t xml:space="preserve">内取得征地批文</w:t>
      </w:r>
      <w:r>
        <w:rPr>
          <w:color w:val="auto"/>
          <w:sz w:val="24"/>
          <w:szCs w:val="24"/>
        </w:rPr>
        <w:t xml:space="preserve">（其中：报省的批次或项目组卷报批后30天内取得征地批文）</w:t>
      </w:r>
      <w:r>
        <w:rPr>
          <w:color w:val="auto"/>
          <w:spacing w:val="-5"/>
          <w:sz w:val="24"/>
          <w:szCs w:val="24"/>
        </w:rPr>
        <w:t xml:space="preserve">，未在规定时间内取得批文的，扣减该批次 </w:t>
      </w:r>
      <w:r>
        <w:rPr>
          <w:color w:val="auto"/>
          <w:sz w:val="24"/>
          <w:szCs w:val="24"/>
        </w:rPr>
        <w:t xml:space="preserve">20%</w:t>
      </w:r>
      <w:r>
        <w:rPr>
          <w:color w:val="auto"/>
          <w:spacing w:val="-2"/>
          <w:sz w:val="24"/>
          <w:szCs w:val="24"/>
        </w:rPr>
        <w:t xml:space="preserve">报批费用</w:t>
      </w:r>
      <w:r>
        <w:rPr>
          <w:color w:val="auto"/>
          <w:sz w:val="24"/>
          <w:szCs w:val="24"/>
        </w:rPr>
        <w:t xml:space="preserve">（客观原因除外</w:t>
      </w:r>
      <w:r>
        <w:rPr>
          <w:color w:val="auto"/>
          <w:spacing w:val="-8"/>
          <w:sz w:val="24"/>
          <w:szCs w:val="24"/>
        </w:rPr>
        <w:t xml:space="preserve">）</w:t>
      </w:r>
      <w:r>
        <w:rPr>
          <w:color w:val="auto"/>
          <w:spacing w:val="-15"/>
          <w:sz w:val="24"/>
          <w:szCs w:val="24"/>
        </w:rPr>
        <w:t xml:space="preserve">。</w:t>
      </w:r>
      <w:r/>
    </w:p>
    <w:p>
      <w:pPr>
        <w:pStyle w:val="985"/>
        <w:ind w:left="0" w:firstLine="480"/>
        <w:jc w:val="both"/>
        <w:spacing w:line="360" w:lineRule="auto"/>
        <w:widowControl/>
        <w:tabs>
          <w:tab w:val="left" w:pos="1115" w:leader="none"/>
        </w:tabs>
        <w:rPr>
          <w:color w:val="auto"/>
          <w:sz w:val="24"/>
          <w:szCs w:val="24"/>
        </w:rPr>
      </w:pPr>
      <w:r>
        <w:rPr>
          <w:color w:val="auto"/>
          <w:sz w:val="24"/>
          <w:szCs w:val="24"/>
        </w:rPr>
        <w:t xml:space="preserve">2.甲方委托报件的项目，</w:t>
      </w:r>
      <w:r>
        <w:rPr>
          <w:rFonts w:hint="eastAsia"/>
          <w:color w:val="auto"/>
          <w:sz w:val="24"/>
          <w:szCs w:val="24"/>
          <w:lang w:val="en-US" w:eastAsia="zh-CN"/>
        </w:rPr>
        <w:t xml:space="preserve">乙方每个批次（项目）如出现第一次补正的，扣除该批次费用2000元，出现二次补正的扣除5000元，如有</w:t>
      </w:r>
      <w:r>
        <w:rPr>
          <w:rFonts w:hint="eastAsia"/>
          <w:color w:val="auto"/>
          <w:sz w:val="24"/>
          <w:szCs w:val="24"/>
        </w:rPr>
        <w:t xml:space="preserve">退件</w:t>
      </w:r>
      <w:r>
        <w:rPr>
          <w:rFonts w:hint="eastAsia"/>
          <w:color w:val="auto"/>
          <w:sz w:val="24"/>
          <w:szCs w:val="24"/>
          <w:lang w:val="en-US" w:eastAsia="zh-CN"/>
        </w:rPr>
        <w:t xml:space="preserve">的，在年度报批总费用中扣除20000元。</w:t>
      </w:r>
      <w:r>
        <w:rPr>
          <w:rFonts w:hint="eastAsia"/>
          <w:color w:val="auto"/>
          <w:sz w:val="24"/>
          <w:szCs w:val="24"/>
        </w:rPr>
        <w:t xml:space="preserve">（由于</w:t>
      </w:r>
      <w:r>
        <w:rPr>
          <w:rFonts w:hint="eastAsia"/>
          <w:color w:val="auto"/>
          <w:sz w:val="24"/>
          <w:szCs w:val="24"/>
          <w:lang w:val="en-US" w:eastAsia="zh-CN"/>
        </w:rPr>
        <w:t xml:space="preserve">报批政策临时调整</w:t>
      </w:r>
      <w:r>
        <w:rPr>
          <w:rFonts w:hint="eastAsia"/>
          <w:color w:val="auto"/>
          <w:sz w:val="24"/>
          <w:szCs w:val="24"/>
        </w:rPr>
        <w:t xml:space="preserve">等原因引起的除外）。</w:t>
      </w:r>
      <w:r/>
    </w:p>
    <w:p>
      <w:pPr>
        <w:ind w:firstLine="482"/>
        <w:jc w:val="left"/>
        <w:spacing w:line="360" w:lineRule="auto"/>
        <w:rPr>
          <w:b/>
          <w:color w:val="auto"/>
          <w:sz w:val="24"/>
        </w:rPr>
      </w:pPr>
      <w:r>
        <w:rPr>
          <w:rFonts w:hint="eastAsia" w:ascii="宋体" w:hAnsi="宋体" w:cs="宋体"/>
          <w:b/>
          <w:color w:val="auto"/>
          <w:sz w:val="24"/>
          <w:lang w:bidi="ar"/>
        </w:rPr>
        <w:t xml:space="preserve">十四、合同纠纷处理</w:t>
      </w:r>
      <w:r/>
    </w:p>
    <w:p>
      <w:pPr>
        <w:ind w:firstLine="480"/>
        <w:jc w:val="left"/>
        <w:spacing w:line="360" w:lineRule="auto"/>
        <w:rPr>
          <w:b/>
          <w:color w:val="auto"/>
          <w:sz w:val="24"/>
        </w:rPr>
      </w:pPr>
      <w:r>
        <w:rPr>
          <w:rFonts w:hint="eastAsia" w:ascii="宋体" w:hAnsi="宋体" w:cs="宋体"/>
          <w:color w:val="auto"/>
          <w:sz w:val="24"/>
          <w:lang w:bidi="ar"/>
        </w:rPr>
        <w:t xml:space="preserve">本合同在履行过程中发生争议的, 由双方当事人协商解决，若未能达成一致意见，可通过甲方所在地人民法院解决。</w:t>
      </w:r>
      <w:r/>
    </w:p>
    <w:p>
      <w:pPr>
        <w:ind w:firstLine="482"/>
        <w:jc w:val="left"/>
        <w:spacing w:line="360" w:lineRule="auto"/>
        <w:rPr>
          <w:b/>
          <w:color w:val="auto"/>
          <w:sz w:val="24"/>
        </w:rPr>
      </w:pPr>
      <w:r>
        <w:rPr>
          <w:rFonts w:hint="eastAsia" w:ascii="宋体" w:hAnsi="宋体" w:cs="宋体"/>
          <w:b/>
          <w:color w:val="auto"/>
          <w:sz w:val="24"/>
          <w:lang w:bidi="ar"/>
        </w:rPr>
        <w:t xml:space="preserve">十五、组成本合同的文件包括：</w:t>
      </w:r>
      <w:r/>
    </w:p>
    <w:p>
      <w:pPr>
        <w:ind w:firstLine="480"/>
        <w:jc w:val="left"/>
        <w:spacing w:line="360" w:lineRule="auto"/>
        <w:rPr>
          <w:color w:val="auto"/>
          <w:sz w:val="24"/>
        </w:rPr>
      </w:pPr>
      <w:r>
        <w:rPr>
          <w:rFonts w:hint="eastAsia" w:ascii="宋体" w:hAnsi="宋体" w:cs="宋体"/>
          <w:color w:val="auto"/>
          <w:sz w:val="24"/>
          <w:lang w:bidi="ar"/>
        </w:rPr>
        <w:t xml:space="preserve">1.本合同条款；</w:t>
      </w:r>
      <w:r/>
    </w:p>
    <w:p>
      <w:pPr>
        <w:ind w:firstLine="476"/>
        <w:jc w:val="left"/>
        <w:spacing w:line="360" w:lineRule="auto"/>
        <w:rPr>
          <w:color w:val="auto"/>
          <w:sz w:val="24"/>
        </w:rPr>
      </w:pPr>
      <w:r>
        <w:rPr>
          <w:rFonts w:hint="eastAsia" w:ascii="宋体" w:hAnsi="宋体" w:cs="宋体"/>
          <w:color w:val="auto"/>
          <w:spacing w:val="-1"/>
          <w:sz w:val="24"/>
          <w:lang w:bidi="ar"/>
        </w:rPr>
        <w:t xml:space="preserve">2.本项目的政府采购</w:t>
      </w:r>
      <w:r>
        <w:rPr>
          <w:rFonts w:hint="eastAsia" w:ascii="宋体" w:hAnsi="宋体" w:cs="宋体"/>
          <w:color w:val="auto"/>
          <w:sz w:val="24"/>
          <w:lang w:bidi="ar"/>
        </w:rPr>
        <w:t xml:space="preserve">（招标）文件和供方应标（投标）文件；</w:t>
      </w:r>
      <w:r/>
    </w:p>
    <w:p>
      <w:pPr>
        <w:ind w:firstLine="476"/>
        <w:jc w:val="left"/>
        <w:spacing w:line="360" w:lineRule="auto"/>
        <w:rPr>
          <w:color w:val="auto"/>
          <w:sz w:val="24"/>
        </w:rPr>
      </w:pPr>
      <w:r>
        <w:rPr>
          <w:rFonts w:hint="eastAsia" w:ascii="宋体" w:hAnsi="宋体" w:cs="宋体"/>
          <w:color w:val="auto"/>
          <w:spacing w:val="-1"/>
          <w:sz w:val="24"/>
          <w:lang w:bidi="ar"/>
        </w:rPr>
        <w:t xml:space="preserve">3.本项目在采购过程中供需双方签署的全部文字和图片资料；</w:t>
      </w:r>
      <w:r/>
    </w:p>
    <w:p>
      <w:pPr>
        <w:ind w:firstLine="480"/>
        <w:jc w:val="left"/>
        <w:spacing w:line="360" w:lineRule="auto"/>
        <w:rPr>
          <w:color w:val="auto"/>
          <w:sz w:val="24"/>
        </w:rPr>
      </w:pPr>
      <w:r>
        <w:rPr>
          <w:rFonts w:hint="eastAsia" w:ascii="宋体" w:hAnsi="宋体" w:cs="宋体"/>
          <w:color w:val="auto"/>
          <w:sz w:val="24"/>
          <w:lang w:bidi="ar"/>
        </w:rPr>
        <w:t xml:space="preserve">4.甲乙双方其它按规定约定事宜。</w:t>
      </w:r>
      <w:r/>
    </w:p>
    <w:p>
      <w:pPr>
        <w:ind w:firstLine="482"/>
        <w:jc w:val="left"/>
        <w:spacing w:line="360" w:lineRule="auto"/>
        <w:rPr>
          <w:b/>
          <w:color w:val="auto"/>
          <w:sz w:val="24"/>
        </w:rPr>
      </w:pPr>
      <w:r>
        <w:rPr>
          <w:rFonts w:hint="eastAsia" w:ascii="宋体" w:hAnsi="宋体" w:cs="宋体"/>
          <w:b/>
          <w:color w:val="auto"/>
          <w:sz w:val="24"/>
          <w:lang w:bidi="ar"/>
        </w:rPr>
        <w:t xml:space="preserve">十六、本合同内容如有冲突，以政府采购（招标）文件为准。</w:t>
      </w:r>
      <w:r/>
    </w:p>
    <w:p>
      <w:pPr>
        <w:ind w:firstLine="482"/>
        <w:jc w:val="left"/>
        <w:spacing w:line="360" w:lineRule="auto"/>
        <w:rPr>
          <w:b/>
          <w:color w:val="auto"/>
          <w:sz w:val="24"/>
        </w:rPr>
      </w:pPr>
      <w:r>
        <w:rPr>
          <w:rFonts w:hint="eastAsia" w:ascii="宋体" w:hAnsi="宋体" w:cs="宋体"/>
          <w:b/>
          <w:color w:val="auto"/>
          <w:sz w:val="24"/>
          <w:lang w:bidi="ar"/>
        </w:rPr>
        <w:t xml:space="preserve">十七、合同生效：</w:t>
      </w:r>
      <w:r>
        <w:rPr>
          <w:rFonts w:hint="eastAsia" w:ascii="宋体" w:hAnsi="宋体" w:cs="宋体"/>
          <w:color w:val="auto"/>
          <w:sz w:val="24"/>
          <w:lang w:bidi="ar"/>
        </w:rPr>
        <w:t xml:space="preserve">本合同由甲乙双方签字盖章后生效。</w:t>
      </w:r>
      <w:r>
        <w:rPr>
          <w:rFonts w:hint="eastAsia" w:ascii="宋体" w:hAnsi="宋体" w:cs="宋体"/>
          <w:b/>
          <w:color w:val="auto"/>
          <w:sz w:val="24"/>
          <w:lang w:bidi="ar"/>
        </w:rPr>
        <w:t xml:space="preserve">（多页合同甲乙双方必须加盖骑缝公章）</w:t>
      </w:r>
      <w:r/>
    </w:p>
    <w:p>
      <w:pPr>
        <w:pStyle w:val="984"/>
        <w:spacing w:before="7" w:beforeAutospacing="0" w:after="0" w:afterAutospacing="0"/>
        <w:widowControl w:val="off"/>
        <w:rPr>
          <w:b/>
          <w:color w:val="auto"/>
        </w:rPr>
      </w:pPr>
      <w:r>
        <w:rPr>
          <w:b/>
          <w:color w:val="auto"/>
        </w:rPr>
      </w:r>
      <w:r/>
    </w:p>
    <w:p>
      <w:pPr>
        <w:pStyle w:val="984"/>
        <w:spacing w:before="7" w:beforeAutospacing="0" w:after="0" w:afterAutospacing="0"/>
        <w:widowControl w:val="off"/>
        <w:rPr>
          <w:b/>
          <w:color w:val="auto"/>
        </w:rPr>
      </w:pPr>
      <w:r>
        <w:rPr>
          <w:b/>
          <w:color w:val="auto"/>
        </w:rPr>
      </w:r>
      <w:r/>
    </w:p>
    <w:p>
      <w:pPr>
        <w:ind w:left="753"/>
        <w:jc w:val="left"/>
        <w:tabs>
          <w:tab w:val="left" w:pos="5608" w:leader="none"/>
        </w:tabs>
        <w:rPr>
          <w:color w:val="auto"/>
          <w:sz w:val="24"/>
        </w:rPr>
      </w:pPr>
      <w:r>
        <w:rPr>
          <w:rFonts w:hint="eastAsia" w:ascii="宋体" w:hAnsi="宋体" w:cs="宋体"/>
          <w:color w:val="auto"/>
          <w:sz w:val="24"/>
          <w:lang w:bidi="ar"/>
        </w:rPr>
        <w:t xml:space="preserve">甲方（需方）（盖章）：</w:t>
      </w:r>
      <w:r>
        <w:rPr>
          <w:rFonts w:hint="eastAsia" w:ascii="宋体" w:hAnsi="宋体" w:cs="宋体"/>
          <w:color w:val="auto"/>
          <w:sz w:val="24"/>
          <w:u w:val="single"/>
          <w:lang w:bidi="ar"/>
        </w:rPr>
        <w:t xml:space="preserve"> 南通市海门区自然资源和规划综合服务中心</w:t>
      </w:r>
      <w:r>
        <w:rPr>
          <w:rFonts w:hint="eastAsia" w:ascii="宋体" w:hAnsi="宋体" w:cs="宋体"/>
          <w:color w:val="auto"/>
          <w:sz w:val="24"/>
          <w:lang w:bidi="ar"/>
        </w:rPr>
        <w:t xml:space="preserve">（盖章）</w:t>
      </w:r>
      <w:r/>
    </w:p>
    <w:p>
      <w:pPr>
        <w:ind w:left="753"/>
        <w:jc w:val="left"/>
        <w:spacing w:before="66"/>
        <w:rPr>
          <w:color w:val="auto"/>
          <w:sz w:val="24"/>
        </w:rPr>
      </w:pPr>
      <w:r>
        <w:rPr>
          <w:rFonts w:hint="eastAsia" w:ascii="宋体" w:hAnsi="宋体" w:cs="宋体"/>
          <w:color w:val="auto"/>
          <w:sz w:val="24"/>
          <w:lang w:bidi="ar"/>
        </w:rPr>
        <w:t xml:space="preserve">地址：</w:t>
      </w:r>
      <w:r>
        <w:rPr>
          <w:rFonts w:hint="eastAsia" w:ascii="宋体" w:hAnsi="宋体" w:cs="宋体"/>
          <w:color w:val="auto"/>
          <w:sz w:val="24"/>
          <w:u w:val="single"/>
          <w:lang w:bidi="ar"/>
        </w:rPr>
        <w:t xml:space="preserve">南通市海门区长江南路 398 号</w:t>
      </w:r>
      <w:r/>
    </w:p>
    <w:p>
      <w:pPr>
        <w:ind w:left="753"/>
        <w:jc w:val="left"/>
        <w:spacing w:before="75"/>
        <w:tabs>
          <w:tab w:val="left" w:pos="5008" w:leader="none"/>
        </w:tabs>
        <w:rPr>
          <w:color w:val="auto"/>
          <w:sz w:val="24"/>
        </w:rPr>
      </w:pPr>
      <w:r>
        <w:rPr>
          <w:rFonts w:hint="eastAsia" w:ascii="宋体" w:hAnsi="宋体" w:cs="宋体"/>
          <w:color w:val="auto"/>
          <w:sz w:val="24"/>
          <w:lang w:bidi="ar"/>
        </w:rPr>
        <w:t xml:space="preserve">法定（授权）代表人：</w:t>
      </w:r>
      <w:r>
        <w:rPr>
          <w:rFonts w:hint="eastAsia" w:ascii="宋体" w:hAnsi="宋体" w:cs="宋体"/>
          <w:color w:val="auto"/>
          <w:sz w:val="24"/>
          <w:u w:val="single"/>
          <w:lang w:bidi="ar"/>
        </w:rPr>
        <w:t xml:space="preserve"> </w:t>
      </w:r>
      <w:r>
        <w:rPr>
          <w:rFonts w:hint="eastAsia" w:ascii="宋体" w:hAnsi="宋体" w:cs="宋体"/>
          <w:color w:val="auto"/>
          <w:sz w:val="24"/>
          <w:u w:val="single"/>
          <w:lang w:bidi="ar"/>
        </w:rPr>
        <w:tab/>
      </w:r>
      <w:r>
        <w:rPr>
          <w:rFonts w:hint="eastAsia" w:ascii="宋体" w:hAnsi="宋体" w:cs="宋体"/>
          <w:color w:val="auto"/>
          <w:sz w:val="24"/>
          <w:u w:val="single"/>
          <w:lang w:bidi="ar"/>
        </w:rPr>
        <w:t xml:space="preserve">  </w:t>
      </w:r>
      <w:r/>
    </w:p>
    <w:p>
      <w:pPr>
        <w:ind w:left="753"/>
        <w:jc w:val="left"/>
        <w:spacing w:before="67"/>
        <w:tabs>
          <w:tab w:val="left" w:pos="3093" w:leader="none"/>
          <w:tab w:val="left" w:pos="3573" w:leader="none"/>
        </w:tabs>
        <w:rPr>
          <w:color w:val="auto"/>
          <w:sz w:val="24"/>
        </w:rPr>
      </w:pPr>
      <w:r>
        <w:rPr>
          <w:rFonts w:hint="eastAsia" w:ascii="宋体" w:hAnsi="宋体" w:cs="宋体"/>
          <w:color w:val="auto"/>
          <w:sz w:val="24"/>
          <w:lang w:bidi="ar"/>
        </w:rPr>
        <w:t xml:space="preserve">签约日期：</w:t>
      </w:r>
      <w:r>
        <w:rPr>
          <w:rFonts w:hint="eastAsia" w:ascii="宋体" w:hAnsi="宋体" w:cs="宋体"/>
          <w:color w:val="auto"/>
          <w:sz w:val="24"/>
          <w:u w:val="single"/>
          <w:lang w:bidi="ar"/>
        </w:rPr>
        <w:t xml:space="preserve">202</w:t>
      </w:r>
      <w:r>
        <w:rPr>
          <w:rFonts w:hint="eastAsia" w:ascii="宋体" w:hAnsi="宋体" w:cs="宋体"/>
          <w:color w:val="auto"/>
          <w:sz w:val="24"/>
          <w:u w:val="single"/>
          <w:lang w:val="en-US" w:eastAsia="zh-CN" w:bidi="ar"/>
        </w:rPr>
        <w:t xml:space="preserve">6</w:t>
      </w:r>
      <w:r>
        <w:rPr>
          <w:rFonts w:hint="eastAsia" w:ascii="宋体" w:hAnsi="宋体" w:cs="宋体"/>
          <w:color w:val="auto"/>
          <w:sz w:val="24"/>
          <w:u w:val="single"/>
          <w:lang w:bidi="ar"/>
        </w:rPr>
        <w:t xml:space="preserve">年</w:t>
      </w:r>
      <w:r>
        <w:rPr>
          <w:rFonts w:hint="eastAsia" w:ascii="宋体" w:hAnsi="宋体" w:cs="宋体"/>
          <w:color w:val="auto"/>
          <w:sz w:val="24"/>
          <w:u w:val="single"/>
          <w:lang w:bidi="ar"/>
        </w:rPr>
        <w:tab/>
      </w:r>
      <w:r>
        <w:rPr>
          <w:rFonts w:hint="eastAsia" w:ascii="宋体" w:hAnsi="宋体" w:cs="宋体"/>
          <w:color w:val="auto"/>
          <w:sz w:val="24"/>
          <w:u w:val="single"/>
          <w:lang w:bidi="ar"/>
        </w:rPr>
        <w:t xml:space="preserve">  月   </w:t>
      </w:r>
      <w:r>
        <w:rPr>
          <w:rFonts w:hint="eastAsia" w:ascii="宋体" w:hAnsi="宋体" w:cs="宋体"/>
          <w:color w:val="auto"/>
          <w:sz w:val="24"/>
          <w:u w:val="single"/>
          <w:lang w:bidi="ar"/>
        </w:rPr>
        <w:tab/>
      </w:r>
      <w:r>
        <w:rPr>
          <w:rFonts w:hint="eastAsia" w:ascii="宋体" w:hAnsi="宋体" w:cs="宋体"/>
          <w:color w:val="auto"/>
          <w:sz w:val="24"/>
          <w:u w:val="single"/>
          <w:lang w:bidi="ar"/>
        </w:rPr>
        <w:t xml:space="preserve">日</w:t>
      </w:r>
      <w:r/>
    </w:p>
    <w:p>
      <w:pPr>
        <w:pStyle w:val="984"/>
        <w:spacing w:before="0" w:beforeAutospacing="0" w:after="0" w:afterAutospacing="0"/>
        <w:widowControl w:val="off"/>
        <w:rPr>
          <w:color w:val="auto"/>
        </w:rPr>
      </w:pPr>
      <w:r>
        <w:rPr>
          <w:color w:val="auto"/>
        </w:rPr>
      </w:r>
      <w:r/>
    </w:p>
    <w:p>
      <w:pPr>
        <w:pStyle w:val="984"/>
        <w:spacing w:before="0" w:beforeAutospacing="0" w:after="0" w:afterAutospacing="0"/>
        <w:widowControl w:val="off"/>
        <w:rPr>
          <w:color w:val="auto"/>
        </w:rPr>
      </w:pPr>
      <w:r>
        <w:rPr>
          <w:color w:val="auto"/>
        </w:rPr>
      </w:r>
      <w:r/>
    </w:p>
    <w:p>
      <w:pPr>
        <w:ind w:left="753"/>
        <w:jc w:val="left"/>
        <w:spacing w:before="220"/>
        <w:tabs>
          <w:tab w:val="left" w:pos="5608" w:leader="none"/>
        </w:tabs>
        <w:rPr>
          <w:color w:val="auto"/>
          <w:sz w:val="24"/>
        </w:rPr>
      </w:pPr>
      <w:r>
        <w:rPr>
          <w:rFonts w:hint="eastAsia" w:ascii="宋体" w:hAnsi="宋体" w:cs="宋体"/>
          <w:color w:val="auto"/>
          <w:sz w:val="24"/>
          <w:lang w:bidi="ar"/>
        </w:rPr>
        <w:t xml:space="preserve">乙方（供方）（盖章）：</w:t>
      </w:r>
      <w:r>
        <w:rPr>
          <w:rFonts w:hint="eastAsia" w:ascii="宋体" w:hAnsi="宋体" w:cs="宋体"/>
          <w:color w:val="auto"/>
          <w:sz w:val="24"/>
          <w:u w:val="single"/>
          <w:lang w:bidi="ar"/>
        </w:rPr>
        <w:t xml:space="preserve">                   </w:t>
      </w:r>
      <w:r>
        <w:rPr>
          <w:rFonts w:hint="eastAsia" w:ascii="宋体" w:hAnsi="宋体" w:cs="宋体"/>
          <w:color w:val="auto"/>
          <w:sz w:val="24"/>
          <w:u w:val="single"/>
          <w:lang w:bidi="ar"/>
        </w:rPr>
        <w:tab/>
      </w:r>
      <w:r>
        <w:rPr>
          <w:rFonts w:hint="eastAsia" w:ascii="宋体" w:hAnsi="宋体" w:cs="宋体"/>
          <w:color w:val="auto"/>
          <w:sz w:val="24"/>
          <w:lang w:bidi="ar"/>
        </w:rPr>
        <w:t xml:space="preserve">（盖章）</w:t>
      </w:r>
      <w:r/>
    </w:p>
    <w:p>
      <w:pPr>
        <w:ind w:left="753"/>
        <w:jc w:val="left"/>
        <w:spacing w:before="74"/>
        <w:tabs>
          <w:tab w:val="left" w:pos="5728" w:leader="none"/>
        </w:tabs>
        <w:rPr>
          <w:color w:val="auto"/>
          <w:sz w:val="24"/>
        </w:rPr>
      </w:pPr>
      <w:r>
        <w:rPr>
          <w:rFonts w:hint="eastAsia" w:ascii="宋体" w:hAnsi="宋体" w:cs="宋体"/>
          <w:color w:val="auto"/>
          <w:spacing w:val="-1"/>
          <w:sz w:val="24"/>
          <w:lang w:bidi="ar"/>
        </w:rPr>
        <w:t xml:space="preserve">地</w:t>
      </w:r>
      <w:r>
        <w:rPr>
          <w:rFonts w:hint="eastAsia" w:ascii="宋体" w:hAnsi="宋体" w:cs="宋体"/>
          <w:color w:val="auto"/>
          <w:sz w:val="24"/>
          <w:lang w:bidi="ar"/>
        </w:rPr>
        <w:t xml:space="preserve">址：</w:t>
      </w:r>
      <w:r>
        <w:rPr>
          <w:rFonts w:hint="eastAsia" w:ascii="宋体" w:hAnsi="宋体" w:cs="宋体"/>
          <w:color w:val="auto"/>
          <w:sz w:val="24"/>
          <w:u w:val="single"/>
          <w:lang w:bidi="ar"/>
        </w:rPr>
        <w:t xml:space="preserve">                                   </w:t>
      </w:r>
      <w:r/>
    </w:p>
    <w:p>
      <w:pPr>
        <w:ind w:left="753"/>
        <w:jc w:val="left"/>
        <w:spacing w:before="74"/>
        <w:tabs>
          <w:tab w:val="left" w:pos="4648" w:leader="none"/>
        </w:tabs>
        <w:rPr>
          <w:color w:val="auto"/>
          <w:sz w:val="24"/>
        </w:rPr>
      </w:pPr>
      <w:r>
        <w:rPr>
          <w:rFonts w:hint="eastAsia" w:ascii="宋体" w:hAnsi="宋体" w:cs="宋体"/>
          <w:color w:val="auto"/>
          <w:sz w:val="24"/>
          <w:lang w:bidi="ar"/>
        </w:rPr>
        <w:t xml:space="preserve">法定（授权）代表人：</w:t>
      </w:r>
      <w:r>
        <w:rPr>
          <w:rFonts w:hint="eastAsia" w:ascii="宋体" w:hAnsi="宋体" w:cs="宋体"/>
          <w:color w:val="auto"/>
          <w:sz w:val="24"/>
          <w:u w:val="single"/>
          <w:lang w:bidi="ar"/>
        </w:rPr>
        <w:t xml:space="preserve"> </w:t>
      </w:r>
      <w:r>
        <w:rPr>
          <w:rFonts w:hint="eastAsia" w:ascii="宋体" w:hAnsi="宋体" w:cs="宋体"/>
          <w:color w:val="auto"/>
          <w:sz w:val="24"/>
          <w:u w:val="single"/>
          <w:lang w:bidi="ar"/>
        </w:rPr>
        <w:tab/>
      </w:r>
      <w:r>
        <w:rPr>
          <w:rFonts w:hint="eastAsia" w:ascii="宋体" w:hAnsi="宋体" w:cs="宋体"/>
          <w:color w:val="auto"/>
          <w:sz w:val="24"/>
          <w:u w:val="single"/>
          <w:lang w:bidi="ar"/>
        </w:rPr>
        <w:t xml:space="preserve">        </w:t>
      </w:r>
      <w:r/>
    </w:p>
    <w:p>
      <w:pPr>
        <w:ind w:left="753"/>
        <w:jc w:val="left"/>
        <w:spacing w:before="74"/>
        <w:tabs>
          <w:tab w:val="left" w:pos="4768" w:leader="none"/>
        </w:tabs>
        <w:rPr>
          <w:color w:val="auto"/>
          <w:sz w:val="24"/>
        </w:rPr>
      </w:pPr>
      <w:r>
        <w:rPr>
          <w:rFonts w:hint="eastAsia" w:ascii="宋体" w:hAnsi="宋体" w:cs="宋体"/>
          <w:color w:val="auto"/>
          <w:spacing w:val="-1"/>
          <w:sz w:val="24"/>
          <w:lang w:bidi="ar"/>
        </w:rPr>
        <w:t xml:space="preserve">开</w:t>
      </w:r>
      <w:r>
        <w:rPr>
          <w:rFonts w:hint="eastAsia" w:ascii="宋体" w:hAnsi="宋体" w:cs="宋体"/>
          <w:color w:val="auto"/>
          <w:sz w:val="24"/>
          <w:lang w:bidi="ar"/>
        </w:rPr>
        <w:t xml:space="preserve">户银行：</w:t>
      </w:r>
      <w:r>
        <w:rPr>
          <w:rFonts w:hint="eastAsia" w:ascii="宋体" w:hAnsi="宋体" w:cs="宋体"/>
          <w:color w:val="auto"/>
          <w:sz w:val="24"/>
          <w:u w:val="single"/>
          <w:lang w:bidi="ar"/>
        </w:rPr>
        <w:t xml:space="preserve">                                        </w:t>
      </w:r>
      <w:r/>
    </w:p>
    <w:p>
      <w:pPr>
        <w:ind w:left="753"/>
        <w:jc w:val="left"/>
        <w:spacing w:before="74"/>
        <w:tabs>
          <w:tab w:val="left" w:pos="5008" w:leader="none"/>
        </w:tabs>
        <w:rPr>
          <w:color w:val="auto"/>
          <w:sz w:val="24"/>
        </w:rPr>
      </w:pPr>
      <w:r>
        <w:rPr>
          <w:rFonts w:hint="eastAsia" w:ascii="宋体" w:hAnsi="宋体" w:cs="宋体"/>
          <w:color w:val="auto"/>
          <w:spacing w:val="-1"/>
          <w:sz w:val="24"/>
          <w:lang w:bidi="ar"/>
        </w:rPr>
        <w:t xml:space="preserve">账</w:t>
      </w:r>
      <w:r>
        <w:rPr>
          <w:rFonts w:hint="eastAsia" w:ascii="宋体" w:hAnsi="宋体" w:cs="宋体"/>
          <w:color w:val="auto"/>
          <w:sz w:val="24"/>
          <w:lang w:bidi="ar"/>
        </w:rPr>
        <w:t xml:space="preserve">号：</w:t>
      </w:r>
      <w:r>
        <w:rPr>
          <w:rFonts w:hint="eastAsia" w:ascii="宋体" w:hAnsi="宋体" w:cs="宋体"/>
          <w:color w:val="auto"/>
          <w:sz w:val="24"/>
          <w:u w:val="single"/>
          <w:lang w:bidi="ar"/>
        </w:rPr>
        <w:t xml:space="preserve">                                           </w:t>
      </w:r>
      <w:r/>
    </w:p>
    <w:p>
      <w:pPr>
        <w:ind w:left="753"/>
        <w:jc w:val="left"/>
        <w:spacing w:before="66"/>
        <w:tabs>
          <w:tab w:val="left" w:pos="3093" w:leader="none"/>
        </w:tabs>
        <w:rPr>
          <w:color w:val="auto"/>
          <w:sz w:val="24"/>
        </w:rPr>
      </w:pPr>
      <w:r>
        <w:rPr>
          <w:rFonts w:hint="eastAsia" w:ascii="宋体" w:hAnsi="宋体" w:cs="宋体"/>
          <w:color w:val="auto"/>
          <w:sz w:val="24"/>
          <w:lang w:bidi="ar"/>
        </w:rPr>
        <w:t xml:space="preserve">签约日期：</w:t>
      </w:r>
      <w:r>
        <w:rPr>
          <w:rFonts w:hint="eastAsia" w:ascii="宋体" w:hAnsi="宋体" w:cs="宋体"/>
          <w:color w:val="auto"/>
          <w:sz w:val="24"/>
          <w:u w:val="single"/>
          <w:lang w:bidi="ar"/>
        </w:rPr>
        <w:t xml:space="preserve">202</w:t>
      </w:r>
      <w:r>
        <w:rPr>
          <w:rFonts w:hint="eastAsia" w:ascii="宋体" w:hAnsi="宋体" w:cs="宋体"/>
          <w:color w:val="auto"/>
          <w:sz w:val="24"/>
          <w:u w:val="single"/>
          <w:lang w:val="en-US" w:eastAsia="zh-CN" w:bidi="ar"/>
        </w:rPr>
        <w:t xml:space="preserve">6</w:t>
      </w:r>
      <w:r>
        <w:rPr>
          <w:rFonts w:hint="eastAsia" w:ascii="宋体" w:hAnsi="宋体" w:cs="宋体"/>
          <w:color w:val="auto"/>
          <w:sz w:val="24"/>
          <w:u w:val="single"/>
          <w:lang w:bidi="ar"/>
        </w:rPr>
        <w:t xml:space="preserve">年   月</w:t>
      </w:r>
      <w:r>
        <w:rPr>
          <w:rFonts w:hint="eastAsia" w:ascii="宋体" w:hAnsi="宋体" w:cs="宋体"/>
          <w:color w:val="auto"/>
          <w:sz w:val="24"/>
          <w:u w:val="single"/>
          <w:lang w:bidi="ar"/>
        </w:rPr>
        <w:tab/>
      </w:r>
      <w:r>
        <w:rPr>
          <w:rFonts w:hint="eastAsia" w:ascii="宋体" w:hAnsi="宋体" w:cs="宋体"/>
          <w:color w:val="auto"/>
          <w:sz w:val="24"/>
          <w:u w:val="single"/>
          <w:lang w:bidi="ar"/>
        </w:rPr>
        <w:t xml:space="preserve">   日</w:t>
      </w:r>
      <w:r/>
    </w:p>
    <w:p>
      <w:pPr>
        <w:pStyle w:val="883"/>
        <w:jc w:val="center"/>
        <w:rPr>
          <w:rFonts w:ascii="宋体" w:hAnsi="宋体" w:eastAsia="宋体" w:cs="宋体"/>
          <w:b/>
          <w:bCs/>
          <w:color w:val="0000ff"/>
          <w:spacing w:val="-20"/>
          <w:sz w:val="32"/>
          <w:szCs w:val="32"/>
        </w:rPr>
      </w:pPr>
      <w:r>
        <w:rPr>
          <w:rFonts w:ascii="宋体" w:hAnsi="宋体" w:eastAsia="宋体" w:cs="宋体"/>
          <w:b/>
          <w:bCs/>
          <w:color w:val="0000ff"/>
          <w:spacing w:val="-20"/>
          <w:sz w:val="32"/>
          <w:szCs w:val="32"/>
        </w:rPr>
      </w:r>
      <w:r/>
    </w:p>
    <w:p>
      <w:pPr>
        <w:pStyle w:val="883"/>
        <w:jc w:val="center"/>
        <w:rPr>
          <w:rFonts w:ascii="宋体" w:hAnsi="宋体" w:eastAsia="宋体" w:cs="宋体"/>
          <w:b/>
          <w:bCs/>
          <w:color w:val="0000ff"/>
          <w:spacing w:val="-20"/>
          <w:sz w:val="32"/>
          <w:szCs w:val="32"/>
        </w:rPr>
      </w:pPr>
      <w:r>
        <w:rPr>
          <w:rFonts w:ascii="宋体" w:hAnsi="宋体" w:eastAsia="宋体" w:cs="宋体"/>
          <w:b/>
          <w:bCs/>
          <w:color w:val="0000ff"/>
          <w:spacing w:val="-20"/>
          <w:sz w:val="32"/>
          <w:szCs w:val="32"/>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ff"/>
          <w:sz w:val="44"/>
          <w:szCs w:val="21"/>
        </w:rPr>
        <w:br w:type="page" w:clear="all"/>
      </w: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
    </w:p>
    <w:p>
      <w:pPr>
        <w:spacing w:line="0" w:lineRule="atLeast"/>
        <w:rPr>
          <w:rFonts w:ascii="宋体" w:hAnsi="宋体"/>
          <w:color w:val="000000"/>
          <w:sz w:val="24"/>
          <w:szCs w:val="24"/>
        </w:rPr>
      </w:pPr>
      <w:r/>
      <w:bookmarkStart w:id="144" w:name="_Toc49090575"/>
      <w:r/>
      <w:bookmarkStart w:id="145" w:name="_Toc26554093"/>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4221"/>
        <w:gridCol w:w="2357"/>
      </w:tblGrid>
      <w:tr>
        <w:trPr>
          <w:cantSplit/>
          <w:jc w:val="center"/>
        </w:trPr>
        <w:tc>
          <w:tcPr>
            <w:tcW w:w="107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422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tcW w:w="235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cantSplit/>
          <w:jc w:val="center"/>
          <w:trHeight w:val="291"/>
        </w:trPr>
        <w:tc>
          <w:tcPr>
            <w:tcW w:w="1070"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221"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征地报批服务</w:t>
            </w:r>
            <w:r/>
          </w:p>
        </w:tc>
        <w:tc>
          <w:tcPr>
            <w:tcW w:w="2357" w:type="dxa"/>
            <w:vAlign w:val="top"/>
            <w:textDirection w:val="lrTb"/>
            <w:noWrap w:val="false"/>
          </w:tcPr>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其他未列明行业</w:t>
            </w:r>
            <w:r/>
          </w:p>
        </w:tc>
      </w:tr>
    </w:tbl>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二</w:t>
      </w:r>
      <w:r>
        <w:rPr>
          <w:rFonts w:hint="eastAsia" w:ascii="宋体" w:hAnsi="宋体" w:eastAsia="宋体" w:cs="宋体"/>
          <w:b/>
          <w:color w:val="000000"/>
          <w:sz w:val="24"/>
          <w:szCs w:val="24"/>
        </w:rPr>
        <w:t xml:space="preserve">、技术要求</w:t>
      </w:r>
      <w:r/>
    </w:p>
    <w:p>
      <w:pPr>
        <w:ind w:firstLine="480"/>
        <w:pageBreakBefore w:val="0"/>
        <w:spacing w:line="360" w:lineRule="auto"/>
        <w:widowControl w:val="off"/>
        <w:rPr>
          <w:rFonts w:hint="eastAsia" w:ascii="宋体" w:hAnsi="宋体" w:eastAsia="宋体" w:cs="宋体"/>
          <w:i/>
          <w:color w:val="auto"/>
          <w:sz w:val="24"/>
          <w:szCs w:val="24"/>
          <w:u w:val="single"/>
        </w:rPr>
      </w:pPr>
      <w:r>
        <w:rPr>
          <w:rFonts w:hint="eastAsia" w:ascii="宋体" w:hAnsi="宋体" w:eastAsia="宋体" w:cs="宋体"/>
          <w:bCs/>
          <w:color w:val="auto"/>
          <w:sz w:val="24"/>
          <w:szCs w:val="24"/>
        </w:rPr>
        <w:t xml:space="preserve">技术要求是指对采购标的功能和质量要求，包括性能、材料、结构、外观、安全，或者服务内容和标准等。其中</w:t>
      </w:r>
      <w:r>
        <w:rPr>
          <w:rFonts w:hint="eastAsia" w:ascii="宋体" w:hAnsi="宋体" w:eastAsia="宋体" w:cs="宋体"/>
          <w:b/>
          <w:bCs/>
          <w:i/>
          <w:color w:val="auto"/>
          <w:sz w:val="24"/>
          <w:szCs w:val="24"/>
          <w:u w:val="single"/>
        </w:rPr>
        <w:t xml:space="preserve">斜体且有下划线部分</w:t>
      </w:r>
      <w:r>
        <w:rPr>
          <w:rFonts w:hint="eastAsia" w:ascii="宋体" w:hAnsi="宋体" w:eastAsia="宋体" w:cs="宋体"/>
          <w:b/>
          <w:bCs/>
          <w:color w:val="auto"/>
          <w:sz w:val="24"/>
          <w:szCs w:val="24"/>
        </w:rPr>
        <w:t xml:space="preserve">或加*号条款为实质性要求。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1、主要工作内容 </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根据土地报批需要和要求，编制建设项目“一方案三信息”（农转用方案、地类认</w:t>
      </w:r>
      <w:r>
        <w:rPr>
          <w:rFonts w:hint="eastAsia" w:ascii="宋体" w:hAnsi="宋体" w:eastAsia="宋体" w:cs="宋体"/>
          <w:color w:val="auto"/>
          <w:sz w:val="24"/>
          <w:szCs w:val="24"/>
          <w:lang w:val="en-US" w:eastAsia="zh-CN"/>
        </w:rPr>
        <w:t xml:space="preserve">定基本信息、土地征收信息、报件基本信息）等征地报批资料, 协助开展审查用地条件、征地报批前公告、告知、确认和听证程序等工作。批次用地报批服务组卷材料经县（区）级审核后，上报南通市自然资源和规划局和南通市人民政府审核批准（中心城区批次报省自然资源厅和省政府审核批准，面积超过70公顷或耕地超过35公顷的批次需报有批准权的自然资源部门和政府部门批准），单独选址建设项目用地报批上报省自然资源厅、省人民政府审核报批（项目超过70公顷的，报自然资源部批准）。跨年度报批项目，以南通市局、省厅收件时间所在年度结算服务费用。</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2、成果形式 </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完成报批项目服务内容，最终取得部省市级征转用地批文。</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3、安全与保密 </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工作中涉及到的涉密和敏感图文资料、电子数据，项目中标单位应严格执行保密的相关规定，不得以任何方式向任何第三人披露、泄露或许可第三人使用。</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4、项目采购内容：</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本项目采购的服务须安排人员全程驻点南通市海门区自然资源和规划综合服务中心。</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采购内容包括：</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（1）数据整理分析：勘测定界成果校核，征地地块数据整理分析，输入一张图系统。</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报批材料收集与编制：包括征地报批相关材料收集，地块的土地利用总体规划、林地、湿地、基本农田、自然保护区、生态管控区、重复征地等审查，电子报件材料制作，“一方案三信息”编写，补偿费用核算，审查报告代拟，征地信息公开、土地征收诉讼、行政复议材料收集等。</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（3）市、省逐级组卷上报，配合审查，取得建设用地批文。</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（4）批复后及时联系省厅完成备案；做好材料的整理和归档，实时更新已征地报批图层。</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（5）其他：根据报批需求完成其他相关工作。</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5、相关要求和考核</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（1）中标人须依法依规开展征地报批工作，程序合法、依据充分、内容准确，符合省市县有关规定和要求；</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中标人根据招标人的进度要求，按期、保质、保量完成批次报批，按照省厅要求做好土地征收全过程记录。补偿安置公告发布后40天（单独选址项目50天）内，中标人要督促并配合属地区镇完成签字、人员评定等工作，完成组卷，无特殊原因未在规定时间内完成的，扣除该批次10%报批费用；组卷报批后须20天内取得征地批文（其中：报省的批次或项目组卷报批后30天内取得征地批文），未在规定时间内取得批文的，扣减该批次20%报批费用（客观原因除外）。</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（3）中标人每个批次（项目）如出现第一次补正的，扣除该批次费用2000元，出现二次补正的扣除5000元，如有退件的，扣除该批次费用20000元。（由于报批政策临时调整等原因引起的除外）。</w:t>
      </w:r>
      <w:r/>
    </w:p>
    <w:p>
      <w:pPr>
        <w:ind w:firstLine="480"/>
        <w:keepLines w:val="0"/>
        <w:keepNext w:val="0"/>
        <w:pageBreakBefore w:val="0"/>
        <w:spacing w:line="360" w:lineRule="auto"/>
        <w:widowControl w:val="off"/>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（4）本项目招标人与中标人签订合同后，前三个月为试用期，如中标单位服务不规范或达不到招标人要求，招标人有权单方面终止合同。三个月内的发生费用按实际结算。</w:t>
      </w:r>
      <w:r/>
    </w:p>
    <w:p>
      <w:pPr>
        <w:ind w:firstLine="480"/>
        <w:keepLines w:val="0"/>
        <w:keepNext w:val="0"/>
        <w:pageBreakBefore w:val="0"/>
        <w:spacing w:line="360" w:lineRule="auto"/>
        <w:widowControl w:val="off"/>
        <w:rPr>
          <w:rFonts w:hint="eastAsia" w:ascii="宋体" w:hAnsi="宋体" w:eastAsia="宋体" w:cs="宋体"/>
          <w:b/>
          <w:bCs/>
          <w:i/>
          <w:iCs/>
          <w:color w:val="auto"/>
          <w:sz w:val="24"/>
          <w:szCs w:val="24"/>
          <w:u w:val="single"/>
          <w:lang w:val="en-US" w:eastAsia="zh-CN"/>
        </w:rPr>
      </w:pPr>
      <w:r>
        <w:rPr>
          <w:rFonts w:hint="eastAsia" w:ascii="宋体" w:hAnsi="宋体" w:eastAsia="宋体" w:cs="宋体"/>
          <w:b/>
          <w:bCs/>
          <w:i/>
          <w:iCs/>
          <w:color w:val="auto"/>
          <w:sz w:val="24"/>
          <w:szCs w:val="24"/>
          <w:u w:val="single"/>
          <w:lang w:val="en-US" w:eastAsia="zh-CN"/>
        </w:rPr>
        <w:t xml:space="preserve">（5）本项目中标单位需至少派4名工作人员（土地管理、测绘、城乡规划、咨询等专业）服务，包含项目负责人1名、技术负责人1名，工作人员2名，其中：项目负责人、技术负责人需满足土地管理或规划中级以上职称。须至少安排2名工作人员常驻，并参与招标人所在单位的考勤，若违约，招标人有权立即解除合同。招标人只免费提供办公场所（不包含办公设备、办公耗材等）</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6、成果要求：符合南通市海门区自然资源和规划综合服务中心要求。</w:t>
      </w:r>
      <w:r/>
    </w:p>
    <w:p>
      <w:pPr>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三</w:t>
      </w:r>
      <w:r>
        <w:rPr>
          <w:rFonts w:hint="eastAsia" w:ascii="宋体" w:hAnsi="宋体" w:eastAsia="宋体" w:cs="宋体"/>
          <w:b/>
          <w:bCs/>
          <w:color w:val="auto"/>
          <w:sz w:val="24"/>
          <w:szCs w:val="24"/>
        </w:rPr>
        <w:t xml:space="preserve">、商务要求</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1.项目名称：南通市海门区自然资源和规划综合服务中心采购征地报批服务项目</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最高限价：最高限价330元/亩（涉及国有土地转用的挂钩批次按照中标价的50%支付；单独选址建设项目因面积小，单个项目达不到5万元的，按照5万元计算；单个批次因面积小，达不到3万元的，按照3万元计算）。最终报价超过最高限价的为无效投标。</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3.项目工作量：暂定4000亩（不含2025年结转项目，最终以实际中标单价乘以报批批次面积结算）</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4.项目地点：南通市海门区</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5.服务期：签订合同后至2026年12月31日。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6.付款方式：汇总年度内取得征地批文总面积后一次性支付。</w:t>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四</w:t>
      </w:r>
      <w:r>
        <w:rPr>
          <w:rFonts w:hint="eastAsia" w:ascii="宋体" w:hAnsi="宋体" w:eastAsia="宋体" w:cs="宋体"/>
          <w:b/>
          <w:color w:val="000000"/>
          <w:sz w:val="24"/>
          <w:szCs w:val="24"/>
        </w:rPr>
        <w:t xml:space="preserve">、其他要求</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项目属性:</w:t>
      </w:r>
      <w:r>
        <w:rPr>
          <w:rFonts w:hint="eastAsia" w:ascii="宋体" w:hAnsi="宋体" w:eastAsia="宋体" w:cs="宋体"/>
          <w:color w:val="000000"/>
          <w:sz w:val="24"/>
          <w:szCs w:val="24"/>
          <w:lang w:val="en-US" w:eastAsia="zh-CN"/>
        </w:rPr>
        <w:t xml:space="preserve">服务类</w:t>
      </w:r>
      <w:r>
        <w:rPr>
          <w:rFonts w:hint="eastAsia" w:ascii="宋体" w:hAnsi="宋体" w:eastAsia="宋体" w:cs="宋体"/>
          <w:color w:val="000000"/>
          <w:sz w:val="24"/>
          <w:szCs w:val="24"/>
        </w:rPr>
        <w:t xml:space="preserve">项目。</w:t>
      </w:r>
      <w:r/>
    </w:p>
    <w:p>
      <w:pPr>
        <w:ind w:firstLine="480"/>
        <w:jc w:val="both"/>
        <w:pageBreakBefore w:val="0"/>
        <w:spacing w:line="360" w:lineRule="auto"/>
        <w:widowControl w:val="off"/>
        <w:rPr>
          <w:rFonts w:hint="eastAsia" w:ascii="宋体" w:hAnsi="宋体" w:eastAsia="宋体" w:cs="宋体"/>
          <w:color w:val="000000"/>
          <w:sz w:val="24"/>
          <w:szCs w:val="24"/>
          <w:lang w:val="en-US" w:eastAsia="zh-CN"/>
        </w:rPr>
      </w:pPr>
      <w:r/>
      <w:bookmarkStart w:id="146" w:name="_Toc120614281"/>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lang w:val="en-US" w:eastAsia="zh-CN"/>
        </w:rPr>
        <w:t xml:space="preserve">无。</w:t>
      </w:r>
      <w:r/>
    </w:p>
    <w:p>
      <w:pPr>
        <w:jc w:val="center"/>
        <w:pageBreakBefore w:val="0"/>
        <w:spacing w:line="360" w:lineRule="auto"/>
        <w:widowControl w:val="off"/>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w:t>
      </w:r>
      <w:r/>
    </w:p>
    <w:tbl>
      <w:tblPr>
        <w:tblStyle w:val="697"/>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161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p>
        </w:tc>
        <w:tc>
          <w:tcPr>
            <w:tcW w:w="6112"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14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1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6112"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ind w:firstLine="480"/>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政府采购政策功能落实</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专门面向中小企业采购的项目或者采购包，不再执行价格评审优惠的扶持政策。</w:t>
      </w:r>
      <w:r/>
    </w:p>
    <w:p>
      <w:pPr>
        <w:ind w:firstLine="480"/>
        <w:jc w:val="left"/>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评标方法与评</w:t>
      </w:r>
      <w:r>
        <w:rPr>
          <w:rFonts w:hint="eastAsia" w:ascii="宋体" w:hAnsi="宋体" w:eastAsia="宋体" w:cs="宋体"/>
          <w:b/>
          <w:color w:val="000000"/>
          <w:sz w:val="24"/>
          <w:szCs w:val="24"/>
          <w:lang w:eastAsia="zh-CN"/>
        </w:rPr>
        <w:t xml:space="preserve">审</w:t>
      </w:r>
      <w:r>
        <w:rPr>
          <w:rFonts w:hint="eastAsia" w:ascii="宋体" w:hAnsi="宋体" w:eastAsia="宋体" w:cs="宋体"/>
          <w:b/>
          <w:color w:val="000000"/>
          <w:sz w:val="24"/>
          <w:szCs w:val="24"/>
        </w:rPr>
        <w:t xml:space="preserve">标准</w:t>
      </w:r>
      <w:r/>
    </w:p>
    <w:p>
      <w:pPr>
        <w:ind w:firstLine="440"/>
        <w:spacing w:line="360" w:lineRule="auto"/>
        <w:rPr>
          <w:rFonts w:hint="eastAsia"/>
        </w:rPr>
      </w:pPr>
      <w:r>
        <w:rPr>
          <w:rFonts w:hint="eastAsia" w:ascii="宋体" w:hAnsi="宋体" w:cs="宋体"/>
          <w:b/>
          <w:bCs/>
          <w:color w:val="000000"/>
          <w:sz w:val="22"/>
          <w:szCs w:val="24"/>
        </w:rPr>
        <w:t xml:space="preserve">下</w:t>
      </w:r>
      <w:r>
        <w:rPr>
          <w:rFonts w:hint="eastAsia" w:ascii="宋体" w:hAnsi="宋体" w:cs="宋体"/>
          <w:b/>
          <w:bCs/>
          <w:color w:val="000000"/>
          <w:sz w:val="22"/>
          <w:szCs w:val="24"/>
          <w:highlight w:val="none"/>
        </w:rPr>
        <w:t xml:space="preserve">列</w:t>
      </w:r>
      <w:r>
        <w:rPr>
          <w:rFonts w:hint="eastAsia" w:ascii="宋体" w:hAnsi="宋体" w:cs="宋体"/>
          <w:b/>
          <w:bCs/>
          <w:color w:val="000000"/>
          <w:sz w:val="22"/>
          <w:szCs w:val="24"/>
          <w:highlight w:val="none"/>
          <w:lang w:eastAsia="zh-CN"/>
        </w:rPr>
        <w:t xml:space="preserve">序号（</w:t>
      </w:r>
      <w:r>
        <w:rPr>
          <w:rFonts w:hint="eastAsia" w:ascii="宋体" w:hAnsi="宋体" w:cs="宋体"/>
          <w:b/>
          <w:bCs/>
          <w:color w:val="000000"/>
          <w:sz w:val="22"/>
          <w:szCs w:val="24"/>
          <w:highlight w:val="none"/>
          <w:lang w:val="en-US" w:eastAsia="zh-CN"/>
        </w:rPr>
        <w:t xml:space="preserve">5-9</w:t>
      </w:r>
      <w:r>
        <w:rPr>
          <w:rFonts w:hint="eastAsia" w:ascii="宋体" w:hAnsi="宋体" w:cs="宋体"/>
          <w:b/>
          <w:bCs/>
          <w:color w:val="000000"/>
          <w:sz w:val="22"/>
          <w:szCs w:val="24"/>
          <w:highlight w:val="none"/>
        </w:rPr>
        <w:t xml:space="preserve">）评</w:t>
      </w:r>
      <w:r>
        <w:rPr>
          <w:rFonts w:hint="eastAsia" w:ascii="宋体" w:hAnsi="宋体" w:cs="宋体"/>
          <w:b/>
          <w:bCs/>
          <w:color w:val="000000"/>
          <w:sz w:val="22"/>
          <w:szCs w:val="24"/>
        </w:rPr>
        <w:t xml:space="preserve">分项属于暗标评审项，各投标人（供应商）提供评审材料（含样品）中不能出现投标人（供应商）的名称、标志、标记以及其它能够体现投标人（供应商）的信息，否则所有暗标评审项目均不得分。</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703"/>
        <w:gridCol w:w="833"/>
        <w:gridCol w:w="6291"/>
      </w:tblGrid>
      <w:tr>
        <w:trPr>
          <w:jc w:val="center"/>
        </w:trPr>
        <w:tc>
          <w:tcPr>
            <w:tcW w:w="772" w:type="dxa"/>
            <w:vAlign w:val="top"/>
            <w:textDirection w:val="lrTb"/>
            <w:noWrap w:val="false"/>
          </w:tcPr>
          <w:p>
            <w:pPr>
              <w:jc w:val="cente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序号</w:t>
            </w:r>
            <w:r/>
          </w:p>
        </w:tc>
        <w:tc>
          <w:tcPr>
            <w:tcW w:w="1703" w:type="dxa"/>
            <w:vAlign w:val="top"/>
            <w:textDirection w:val="lrTb"/>
            <w:noWrap w:val="false"/>
          </w:tcPr>
          <w:p>
            <w:pPr>
              <w:jc w:val="cente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评分项名称</w:t>
            </w:r>
            <w:r/>
          </w:p>
        </w:tc>
        <w:tc>
          <w:tcPr>
            <w:tcW w:w="833" w:type="dxa"/>
            <w:vAlign w:val="top"/>
            <w:textDirection w:val="lrTb"/>
            <w:noWrap w:val="false"/>
          </w:tcPr>
          <w:p>
            <w:pPr>
              <w:jc w:val="cente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分值</w:t>
            </w:r>
            <w:r/>
          </w:p>
        </w:tc>
        <w:tc>
          <w:tcPr>
            <w:tcW w:w="6291" w:type="dxa"/>
            <w:vAlign w:val="top"/>
            <w:textDirection w:val="lrTb"/>
            <w:noWrap w:val="false"/>
          </w:tcPr>
          <w:p>
            <w:pPr>
              <w:jc w:val="cente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评审标准</w:t>
            </w:r>
            <w:r/>
          </w:p>
        </w:tc>
      </w:tr>
      <w:tr>
        <w:trPr>
          <w:jc w:val="center"/>
        </w:trPr>
        <w:tc>
          <w:tcPr>
            <w:tcW w:w="772"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1</w:t>
            </w:r>
            <w:r/>
          </w:p>
        </w:tc>
        <w:tc>
          <w:tcPr>
            <w:tcW w:w="170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价格分</w:t>
            </w:r>
            <w:r/>
          </w:p>
        </w:tc>
        <w:tc>
          <w:tcPr>
            <w:tcW w:w="833" w:type="dxa"/>
            <w:vAlign w:val="center"/>
            <w:textDirection w:val="lrTb"/>
            <w:noWrap w:val="false"/>
          </w:tcPr>
          <w:p>
            <w:pPr>
              <w:jc w:val="center"/>
              <w:spacing w:line="360" w:lineRule="auto"/>
              <w:rPr>
                <w:rFonts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30</w:t>
            </w:r>
            <w:r/>
          </w:p>
        </w:tc>
        <w:tc>
          <w:tcPr>
            <w:tcW w:w="6291" w:type="dxa"/>
            <w:vAlign w:val="top"/>
            <w:textDirection w:val="lrTb"/>
            <w:noWrap w:val="false"/>
          </w:tcPr>
          <w:p>
            <w:pPr>
              <w:ind w:firstLine="424"/>
              <w:jc w:val="left"/>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Pr>
        <w:tc>
          <w:tcPr>
            <w:tcW w:w="772"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en-US" w:eastAsia="zh-CN"/>
              </w:rPr>
              <w:t xml:space="preserve">2</w:t>
            </w:r>
            <w:r/>
          </w:p>
        </w:tc>
        <w:tc>
          <w:tcPr>
            <w:tcW w:w="170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资信证明</w:t>
            </w:r>
            <w:r/>
          </w:p>
        </w:tc>
        <w:tc>
          <w:tcPr>
            <w:tcW w:w="833" w:type="dxa"/>
            <w:vAlign w:val="center"/>
            <w:textDirection w:val="lrTb"/>
            <w:noWrap w:val="false"/>
          </w:tcPr>
          <w:p>
            <w:pPr>
              <w:jc w:val="center"/>
              <w:spacing w:line="360" w:lineRule="auto"/>
              <w:rPr>
                <w:rFonts w:ascii="宋体" w:hAnsi="宋体" w:eastAsia="宋体" w:cs="宋体"/>
                <w:b w:val="0"/>
                <w:bCs w:val="0"/>
                <w:color w:val="auto"/>
                <w:sz w:val="21"/>
                <w:szCs w:val="21"/>
                <w:lang w:val="en-US"/>
              </w:rPr>
            </w:pPr>
            <w:r>
              <w:rPr>
                <w:rFonts w:hint="eastAsia" w:ascii="宋体" w:hAnsi="宋体" w:eastAsia="宋体" w:cs="宋体"/>
                <w:b w:val="0"/>
                <w:bCs w:val="0"/>
                <w:color w:val="auto"/>
                <w:sz w:val="21"/>
                <w:szCs w:val="21"/>
                <w:lang w:val="en-US" w:eastAsia="zh-CN"/>
              </w:rPr>
              <w:t xml:space="preserve">9</w:t>
            </w:r>
            <w:r/>
          </w:p>
        </w:tc>
        <w:tc>
          <w:tcPr>
            <w:tcW w:w="6291" w:type="dxa"/>
            <w:vAlign w:val="center"/>
            <w:textDirection w:val="lrTb"/>
            <w:noWrap w:val="false"/>
          </w:tcPr>
          <w:p>
            <w:pPr>
              <w:ind w:firstLine="424"/>
              <w:jc w:val="left"/>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投标人具有土地空间规划管理系统、规划用地审批管理系统、建设用地审查报批系统、土地利用规划管理系统、国土空间用途管制实施监测评估系统、土地勘测定界管理信息系统</w:t>
            </w:r>
            <w:r>
              <w:rPr>
                <w:rFonts w:hint="eastAsia" w:ascii="宋体" w:hAnsi="宋体" w:eastAsia="宋体" w:cs="宋体"/>
                <w:b w:val="0"/>
                <w:bCs w:val="0"/>
                <w:color w:val="auto"/>
                <w:sz w:val="21"/>
                <w:szCs w:val="21"/>
                <w:lang w:val="zh-CN" w:eastAsia="zh-CN"/>
              </w:rPr>
              <w:t xml:space="preserve">、</w:t>
            </w:r>
            <w:r>
              <w:rPr>
                <w:rFonts w:hint="eastAsia" w:ascii="宋体" w:hAnsi="宋体" w:eastAsia="宋体" w:cs="宋体"/>
                <w:b w:val="0"/>
                <w:bCs w:val="0"/>
                <w:color w:val="auto"/>
                <w:sz w:val="21"/>
                <w:szCs w:val="21"/>
                <w:lang w:val="en-US" w:eastAsia="zh-CN"/>
              </w:rPr>
              <w:t xml:space="preserve">使用林地可行性研究及占用林地报批系统、建设项目土地综合管理系统</w:t>
            </w:r>
            <w:r>
              <w:rPr>
                <w:rFonts w:hint="eastAsia" w:ascii="宋体" w:hAnsi="宋体" w:eastAsia="宋体" w:cs="宋体"/>
                <w:b w:val="0"/>
                <w:bCs w:val="0"/>
                <w:color w:val="auto"/>
                <w:sz w:val="21"/>
                <w:szCs w:val="21"/>
                <w:lang w:val="zh-CN"/>
              </w:rPr>
              <w:t xml:space="preserve">等类似软件著作权证书的，每项得</w:t>
            </w:r>
            <w:r>
              <w:rPr>
                <w:rFonts w:hint="eastAsia" w:ascii="宋体" w:hAnsi="宋体" w:eastAsia="宋体" w:cs="宋体"/>
                <w:b w:val="0"/>
                <w:bCs w:val="0"/>
                <w:color w:val="auto"/>
                <w:sz w:val="21"/>
                <w:szCs w:val="21"/>
                <w:lang w:val="en-US" w:eastAsia="zh-CN"/>
              </w:rPr>
              <w:t xml:space="preserve">1.5</w:t>
            </w:r>
            <w:r>
              <w:rPr>
                <w:rFonts w:hint="eastAsia" w:ascii="宋体" w:hAnsi="宋体" w:eastAsia="宋体" w:cs="宋体"/>
                <w:b w:val="0"/>
                <w:bCs w:val="0"/>
                <w:color w:val="auto"/>
                <w:sz w:val="21"/>
                <w:szCs w:val="21"/>
                <w:lang w:val="zh-CN"/>
              </w:rPr>
              <w:t xml:space="preserve">分，最多得</w:t>
            </w: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zh-CN"/>
              </w:rPr>
              <w:t xml:space="preserve">分。</w:t>
            </w:r>
            <w:r/>
          </w:p>
        </w:tc>
      </w:tr>
      <w:tr>
        <w:trPr>
          <w:jc w:val="center"/>
        </w:trPr>
        <w:tc>
          <w:tcPr>
            <w:tcW w:w="772"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en-US" w:eastAsia="zh-CN"/>
              </w:rPr>
              <w:t xml:space="preserve">3</w:t>
            </w:r>
            <w:r/>
          </w:p>
        </w:tc>
        <w:tc>
          <w:tcPr>
            <w:tcW w:w="170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人员组织</w:t>
            </w:r>
            <w:r/>
          </w:p>
        </w:tc>
        <w:tc>
          <w:tcPr>
            <w:tcW w:w="83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zh-CN"/>
              </w:rPr>
              <w:t xml:space="preserve">1</w:t>
            </w:r>
            <w:r>
              <w:rPr>
                <w:rFonts w:hint="eastAsia" w:ascii="宋体" w:hAnsi="宋体" w:eastAsia="宋体" w:cs="宋体"/>
                <w:b w:val="0"/>
                <w:bCs w:val="0"/>
                <w:color w:val="auto"/>
                <w:sz w:val="21"/>
                <w:szCs w:val="21"/>
                <w:lang w:val="en-US" w:eastAsia="zh-CN"/>
              </w:rPr>
              <w:t xml:space="preserve">6</w:t>
            </w:r>
            <w:r/>
          </w:p>
        </w:tc>
        <w:tc>
          <w:tcPr>
            <w:tcW w:w="6291" w:type="dxa"/>
            <w:vAlign w:val="center"/>
            <w:textDirection w:val="lrTb"/>
            <w:noWrap w:val="false"/>
          </w:tcPr>
          <w:p>
            <w:pPr>
              <w:ind w:firstLine="424"/>
              <w:jc w:val="left"/>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1.投标人拟派项目负责人具有土地管理或规划高级工程师职称的，得2分；</w:t>
            </w:r>
            <w:r/>
          </w:p>
          <w:p>
            <w:pPr>
              <w:ind w:firstLine="424"/>
              <w:jc w:val="left"/>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2.拟派项目负责人</w:t>
            </w:r>
            <w:r>
              <w:rPr>
                <w:rFonts w:hint="eastAsia" w:ascii="宋体" w:hAnsi="宋体" w:eastAsia="宋体" w:cs="宋体"/>
                <w:b w:val="0"/>
                <w:bCs w:val="0"/>
                <w:color w:val="auto"/>
                <w:sz w:val="21"/>
                <w:szCs w:val="21"/>
                <w:lang w:val="zh-CN" w:eastAsia="zh-CN"/>
              </w:rPr>
              <w:t xml:space="preserve">参与部级</w:t>
            </w:r>
            <w:r>
              <w:rPr>
                <w:rFonts w:hint="eastAsia" w:ascii="宋体" w:hAnsi="宋体" w:eastAsia="宋体" w:cs="宋体"/>
                <w:b w:val="0"/>
                <w:bCs w:val="0"/>
                <w:color w:val="auto"/>
                <w:sz w:val="21"/>
                <w:szCs w:val="21"/>
                <w:lang w:val="en-US" w:eastAsia="zh-CN"/>
              </w:rPr>
              <w:t xml:space="preserve">关于土地利用</w:t>
            </w:r>
            <w:r>
              <w:rPr>
                <w:rFonts w:hint="eastAsia" w:ascii="宋体" w:hAnsi="宋体" w:eastAsia="宋体" w:cs="宋体"/>
                <w:b w:val="0"/>
                <w:bCs w:val="0"/>
                <w:color w:val="auto"/>
                <w:sz w:val="21"/>
                <w:szCs w:val="21"/>
                <w:lang w:val="zh-CN" w:eastAsia="zh-CN"/>
              </w:rPr>
              <w:t xml:space="preserve">相关土地管理行业标准制订的，得</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zh-CN" w:eastAsia="zh-CN"/>
              </w:rPr>
              <w:t xml:space="preserve">分。（提供相关证明材料）</w:t>
            </w:r>
            <w:r/>
          </w:p>
          <w:p>
            <w:pPr>
              <w:ind w:firstLine="424"/>
              <w:jc w:val="left"/>
              <w:spacing w:line="360" w:lineRule="auto"/>
              <w:rPr>
                <w:rFonts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3.投标人拟派项目技术负责人具有土地管理或规划高级工程师职称的，得2分；同时具备注册城乡规划师，再得2分；</w:t>
            </w:r>
            <w:r/>
          </w:p>
          <w:p>
            <w:pPr>
              <w:ind w:firstLine="424"/>
              <w:jc w:val="left"/>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en-US" w:eastAsia="zh-CN"/>
              </w:rPr>
              <w:t xml:space="preserve">4.投标人拟派项目组成员中具有土地管理、测绘、规划、咨询中级或中级以上技术职称的，有1个得2分，最高得8分。</w:t>
            </w:r>
            <w:r/>
          </w:p>
          <w:p>
            <w:pPr>
              <w:ind w:firstLine="424"/>
              <w:jc w:val="left"/>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en-US" w:eastAsia="zh-CN"/>
              </w:rPr>
              <w:t xml:space="preserve">注：上述人员提供相关证书及投标人为其缴纳的投标截止时间前一个月的养老保险缴费证明；注册不到一个月的新公司可以不提供养老保险缴费证明。否则不得分。</w:t>
            </w:r>
            <w:r/>
          </w:p>
        </w:tc>
      </w:tr>
      <w:tr>
        <w:trPr>
          <w:jc w:val="center"/>
        </w:trPr>
        <w:tc>
          <w:tcPr>
            <w:tcW w:w="772" w:type="dxa"/>
            <w:vAlign w:val="center"/>
            <w:textDirection w:val="lrTb"/>
            <w:noWrap w:val="false"/>
          </w:tcPr>
          <w:p>
            <w:pPr>
              <w:jc w:val="center"/>
              <w:spacing w:line="360" w:lineRule="auto"/>
              <w:rPr>
                <w:rFonts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w:t>
            </w:r>
            <w:r/>
          </w:p>
        </w:tc>
        <w:tc>
          <w:tcPr>
            <w:tcW w:w="170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业绩</w:t>
            </w:r>
            <w:r/>
          </w:p>
        </w:tc>
        <w:tc>
          <w:tcPr>
            <w:tcW w:w="83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zh-CN"/>
              </w:rPr>
              <w:t xml:space="preserve">1</w:t>
            </w:r>
            <w:r>
              <w:rPr>
                <w:rFonts w:hint="eastAsia" w:ascii="宋体" w:hAnsi="宋体" w:eastAsia="宋体" w:cs="宋体"/>
                <w:b w:val="0"/>
                <w:bCs w:val="0"/>
                <w:color w:val="auto"/>
                <w:sz w:val="21"/>
                <w:szCs w:val="21"/>
                <w:lang w:val="en-US" w:eastAsia="zh-CN"/>
              </w:rPr>
              <w:t xml:space="preserve">5</w:t>
            </w:r>
            <w:r/>
          </w:p>
        </w:tc>
        <w:tc>
          <w:tcPr>
            <w:tcW w:w="6291" w:type="dxa"/>
            <w:vAlign w:val="center"/>
            <w:textDirection w:val="lrTb"/>
            <w:noWrap w:val="false"/>
          </w:tcPr>
          <w:p>
            <w:pPr>
              <w:ind w:firstLine="424"/>
              <w:jc w:val="left"/>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en-US" w:eastAsia="zh-CN"/>
              </w:rPr>
              <w:t xml:space="preserve">2023年1月1日以</w:t>
            </w:r>
            <w:r>
              <w:rPr>
                <w:rFonts w:hint="eastAsia" w:ascii="宋体" w:hAnsi="宋体" w:eastAsia="宋体" w:cs="宋体"/>
                <w:b w:val="0"/>
                <w:bCs w:val="0"/>
                <w:color w:val="auto"/>
                <w:sz w:val="21"/>
                <w:szCs w:val="21"/>
                <w:lang w:val="zh-CN"/>
              </w:rPr>
              <w:t xml:space="preserve">来，投标人承担过土地报批业绩的，有1个得3分，最多得</w:t>
            </w:r>
            <w:r>
              <w:rPr>
                <w:rFonts w:hint="eastAsia" w:ascii="宋体" w:hAnsi="宋体" w:eastAsia="宋体" w:cs="宋体"/>
                <w:b w:val="0"/>
                <w:bCs w:val="0"/>
                <w:color w:val="auto"/>
                <w:sz w:val="21"/>
                <w:szCs w:val="21"/>
                <w:lang w:val="en-US" w:eastAsia="zh-CN"/>
              </w:rPr>
              <w:t xml:space="preserve">15</w:t>
            </w:r>
            <w:r>
              <w:rPr>
                <w:rFonts w:hint="eastAsia" w:ascii="宋体" w:hAnsi="宋体" w:eastAsia="宋体" w:cs="宋体"/>
                <w:b w:val="0"/>
                <w:bCs w:val="0"/>
                <w:color w:val="auto"/>
                <w:sz w:val="21"/>
                <w:szCs w:val="21"/>
                <w:lang w:val="zh-CN"/>
              </w:rPr>
              <w:t xml:space="preserve">分。</w:t>
            </w:r>
            <w:r/>
          </w:p>
          <w:p>
            <w:pPr>
              <w:ind w:firstLine="424"/>
              <w:jc w:val="left"/>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所有案例同一地区（县市区）案例仅算一个，不重复计算，并提供合同</w:t>
            </w:r>
            <w:r>
              <w:rPr>
                <w:rFonts w:hint="eastAsia" w:ascii="宋体" w:hAnsi="宋体" w:eastAsia="宋体" w:cs="宋体"/>
                <w:b w:val="0"/>
                <w:bCs w:val="0"/>
                <w:color w:val="auto"/>
                <w:sz w:val="21"/>
                <w:szCs w:val="21"/>
                <w:lang w:val="zh-CN" w:eastAsia="zh-CN"/>
              </w:rPr>
              <w:t xml:space="preserve">扫描</w:t>
            </w:r>
            <w:r>
              <w:rPr>
                <w:rFonts w:hint="eastAsia" w:ascii="宋体" w:hAnsi="宋体" w:eastAsia="宋体" w:cs="宋体"/>
                <w:b w:val="0"/>
                <w:bCs w:val="0"/>
                <w:color w:val="auto"/>
                <w:sz w:val="21"/>
                <w:szCs w:val="21"/>
                <w:lang w:val="zh-CN"/>
              </w:rPr>
              <w:t xml:space="preserve">件，外包合同不计分。同时提供成功取得批文的证明材料（包括批文</w:t>
            </w:r>
            <w:r>
              <w:rPr>
                <w:rFonts w:hint="eastAsia" w:ascii="宋体" w:hAnsi="宋体" w:eastAsia="宋体" w:cs="宋体"/>
                <w:b w:val="0"/>
                <w:bCs w:val="0"/>
                <w:color w:val="auto"/>
                <w:sz w:val="21"/>
                <w:szCs w:val="21"/>
                <w:lang w:val="zh-CN" w:eastAsia="zh-CN"/>
              </w:rPr>
              <w:t xml:space="preserve">扫描</w:t>
            </w:r>
            <w:r>
              <w:rPr>
                <w:rFonts w:hint="eastAsia" w:ascii="宋体" w:hAnsi="宋体" w:eastAsia="宋体" w:cs="宋体"/>
                <w:b w:val="0"/>
                <w:bCs w:val="0"/>
                <w:color w:val="auto"/>
                <w:sz w:val="21"/>
                <w:szCs w:val="21"/>
                <w:lang w:val="zh-CN"/>
              </w:rPr>
              <w:t xml:space="preserve">件、</w:t>
            </w:r>
            <w:r>
              <w:rPr>
                <w:rFonts w:hint="eastAsia" w:ascii="宋体" w:hAnsi="宋体" w:eastAsia="宋体" w:cs="宋体"/>
                <w:b w:val="0"/>
                <w:bCs w:val="0"/>
                <w:color w:val="auto"/>
                <w:sz w:val="21"/>
                <w:szCs w:val="21"/>
                <w:lang w:val="en-US" w:eastAsia="zh-CN"/>
              </w:rPr>
              <w:t xml:space="preserve">报批合同</w:t>
            </w:r>
            <w:r>
              <w:rPr>
                <w:rFonts w:hint="eastAsia" w:ascii="宋体" w:hAnsi="宋体" w:eastAsia="宋体" w:cs="宋体"/>
                <w:b w:val="0"/>
                <w:bCs w:val="0"/>
                <w:color w:val="auto"/>
                <w:sz w:val="21"/>
                <w:szCs w:val="21"/>
                <w:lang w:val="zh-CN" w:eastAsia="zh-CN"/>
              </w:rPr>
              <w:t xml:space="preserve">扫描</w:t>
            </w:r>
            <w:r>
              <w:rPr>
                <w:rFonts w:hint="eastAsia" w:ascii="宋体" w:hAnsi="宋体" w:eastAsia="宋体" w:cs="宋体"/>
                <w:b w:val="0"/>
                <w:bCs w:val="0"/>
                <w:color w:val="auto"/>
                <w:sz w:val="21"/>
                <w:szCs w:val="21"/>
                <w:lang w:val="zh-CN"/>
              </w:rPr>
              <w:t xml:space="preserve">件</w:t>
            </w:r>
            <w:r>
              <w:rPr>
                <w:rFonts w:hint="eastAsia" w:ascii="宋体" w:hAnsi="宋体" w:eastAsia="宋体" w:cs="宋体"/>
                <w:b w:val="0"/>
                <w:bCs w:val="0"/>
                <w:color w:val="auto"/>
                <w:sz w:val="21"/>
                <w:szCs w:val="21"/>
                <w:lang w:val="en-US" w:eastAsia="zh-CN"/>
              </w:rPr>
              <w:t xml:space="preserve">等</w:t>
            </w:r>
            <w:r>
              <w:rPr>
                <w:rFonts w:hint="eastAsia" w:ascii="宋体" w:hAnsi="宋体" w:eastAsia="宋体" w:cs="宋体"/>
                <w:b w:val="0"/>
                <w:bCs w:val="0"/>
                <w:color w:val="auto"/>
                <w:sz w:val="21"/>
                <w:szCs w:val="21"/>
                <w:lang w:val="zh-CN"/>
              </w:rPr>
              <w:t xml:space="preserve">）。</w:t>
            </w:r>
            <w:r/>
          </w:p>
          <w:p>
            <w:pPr>
              <w:ind w:firstLine="424"/>
              <w:jc w:val="left"/>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注：提供项目的合同，外包合同无效（不提供则本项不得分）。</w:t>
            </w:r>
            <w:r/>
          </w:p>
        </w:tc>
      </w:tr>
      <w:tr>
        <w:trPr>
          <w:jc w:val="center"/>
          <w:trHeight w:val="2127"/>
        </w:trPr>
        <w:tc>
          <w:tcPr>
            <w:tcW w:w="772"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w:t>
            </w:r>
            <w:r/>
          </w:p>
        </w:tc>
        <w:tc>
          <w:tcPr>
            <w:tcW w:w="170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对招标项目的理解以及投标人的优势</w:t>
            </w:r>
            <w:r/>
          </w:p>
        </w:tc>
        <w:tc>
          <w:tcPr>
            <w:tcW w:w="83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w:t>
            </w:r>
            <w:r/>
          </w:p>
        </w:tc>
        <w:tc>
          <w:tcPr>
            <w:tcW w:w="6291" w:type="dxa"/>
            <w:vAlign w:val="center"/>
            <w:textDirection w:val="lrTb"/>
            <w:noWrap w:val="false"/>
          </w:tcPr>
          <w:p>
            <w:pPr>
              <w:ind w:firstLine="424"/>
              <w:jc w:val="left"/>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1</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zh-CN"/>
              </w:rPr>
              <w:t xml:space="preserve">根据对项目背景及现状的了解，论证形成较为准确的对项目编制内容及重点的基本判断。内容准确，判断精准的得</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zh-CN"/>
              </w:rPr>
              <w:t xml:space="preserve">分；内容较为准确，判断较为精准的</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val="zh-CN"/>
              </w:rPr>
              <w:t xml:space="preserve">分；内容欠缺，判断欠缺的得</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zh-CN"/>
              </w:rPr>
              <w:t xml:space="preserve">分；未提供不得分。</w:t>
            </w:r>
            <w:r/>
          </w:p>
        </w:tc>
      </w:tr>
      <w:tr>
        <w:trPr>
          <w:jc w:val="center"/>
        </w:trPr>
        <w:tc>
          <w:tcPr>
            <w:tcW w:w="772"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w:t>
            </w:r>
            <w:r/>
          </w:p>
        </w:tc>
        <w:tc>
          <w:tcPr>
            <w:tcW w:w="170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工作思路、工作方案，项目重难点的认识及对策措施</w:t>
            </w:r>
            <w:r/>
          </w:p>
        </w:tc>
        <w:tc>
          <w:tcPr>
            <w:tcW w:w="833" w:type="dxa"/>
            <w:vAlign w:val="center"/>
            <w:textDirection w:val="lrTb"/>
            <w:noWrap w:val="false"/>
          </w:tcPr>
          <w:p>
            <w:pPr>
              <w:jc w:val="center"/>
              <w:spacing w:line="360" w:lineRule="auto"/>
              <w:rPr>
                <w:rFonts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w:t>
            </w:r>
            <w:r/>
          </w:p>
        </w:tc>
        <w:tc>
          <w:tcPr>
            <w:tcW w:w="6291" w:type="dxa"/>
            <w:vAlign w:val="top"/>
            <w:textDirection w:val="lrTb"/>
            <w:noWrap w:val="false"/>
          </w:tcPr>
          <w:p>
            <w:pPr>
              <w:ind w:firstLine="424"/>
              <w:jc w:val="left"/>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1</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zh-CN"/>
              </w:rPr>
              <w:t xml:space="preserve">根据投标人的工作方案（包括永久基本农田工作方案、建设用地供应情况等）合理性及可行性、工作思路的完整性、可行性、可实施性等进行评定，工作方案合理性和可行性科学精准的得3分；工作方案合理性和可行较为科学精准的得2分；工作方案合理性和可行性欠缺的得1分；未提供不得分。</w:t>
            </w:r>
            <w:r/>
          </w:p>
          <w:p>
            <w:pPr>
              <w:ind w:firstLine="424"/>
              <w:jc w:val="left"/>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2</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zh-CN"/>
              </w:rPr>
              <w:t xml:space="preserve">对本项目的重难点分析认识、提出的对策措施等情况进行评定，重难点分析认识全面，提供的对策准确的得</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val="zh-CN"/>
              </w:rPr>
              <w:t xml:space="preserve">分；重难点分析认识较为全面，提供的对策较为准确的得</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zh-CN"/>
              </w:rPr>
              <w:t xml:space="preserve">分；重难点分析认识全面性，提供的对策准确性欠缺的得1分；未提供不得分。</w:t>
            </w:r>
            <w:r/>
          </w:p>
        </w:tc>
      </w:tr>
      <w:tr>
        <w:trPr>
          <w:jc w:val="center"/>
        </w:trPr>
        <w:tc>
          <w:tcPr>
            <w:tcW w:w="772"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7</w:t>
            </w:r>
            <w:r/>
          </w:p>
        </w:tc>
        <w:tc>
          <w:tcPr>
            <w:tcW w:w="170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组织管理体系的架构</w:t>
            </w:r>
            <w:r/>
          </w:p>
        </w:tc>
        <w:tc>
          <w:tcPr>
            <w:tcW w:w="83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w:t>
            </w:r>
            <w:r/>
          </w:p>
        </w:tc>
        <w:tc>
          <w:tcPr>
            <w:tcW w:w="6291" w:type="dxa"/>
            <w:vAlign w:val="top"/>
            <w:textDirection w:val="lrTb"/>
            <w:noWrap w:val="false"/>
          </w:tcPr>
          <w:p>
            <w:pPr>
              <w:ind w:firstLine="424"/>
              <w:jc w:val="left"/>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提供的组织管理体系的架构进行评定，组织管理体系架构清晰、完整的得</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zh-CN"/>
              </w:rPr>
              <w:t xml:space="preserve">分；组织管理体系架构较为清晰、较为完整的得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val="zh-CN"/>
              </w:rPr>
              <w:t xml:space="preserve">分；组织管理体系架构清晰、完整度欠缺的得</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zh-CN"/>
              </w:rPr>
              <w:t xml:space="preserve">分；未提供不得分。</w:t>
            </w:r>
            <w:r/>
          </w:p>
        </w:tc>
      </w:tr>
      <w:tr>
        <w:trPr>
          <w:jc w:val="center"/>
        </w:trPr>
        <w:tc>
          <w:tcPr>
            <w:tcW w:w="772"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8</w:t>
            </w:r>
            <w:r/>
          </w:p>
        </w:tc>
        <w:tc>
          <w:tcPr>
            <w:tcW w:w="170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工作进度、质量及保证措施</w:t>
            </w:r>
            <w:r/>
          </w:p>
        </w:tc>
        <w:tc>
          <w:tcPr>
            <w:tcW w:w="833" w:type="dxa"/>
            <w:vAlign w:val="center"/>
            <w:textDirection w:val="lrTb"/>
            <w:noWrap w:val="false"/>
          </w:tcPr>
          <w:p>
            <w:pPr>
              <w:jc w:val="center"/>
              <w:spacing w:line="360" w:lineRule="auto"/>
              <w:rPr>
                <w:rFonts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w:t>
            </w:r>
            <w:r/>
          </w:p>
        </w:tc>
        <w:tc>
          <w:tcPr>
            <w:tcW w:w="6291" w:type="dxa"/>
            <w:vAlign w:val="top"/>
            <w:textDirection w:val="lrTb"/>
            <w:noWrap w:val="false"/>
          </w:tcPr>
          <w:p>
            <w:pPr>
              <w:ind w:firstLine="424"/>
              <w:jc w:val="left"/>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从工作服务目标、进度安排、服务质量，以及进度、质量保证措施等方面进行评定，工作进度安排科学合理，质量保证措施全面合理</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zh-CN"/>
              </w:rPr>
              <w:t xml:space="preserve">分；工作进度安排较为科学合理，质量保证措施较为全面合理的得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val="zh-CN"/>
              </w:rPr>
              <w:t xml:space="preserve">分；工作进度安排科学合理性，质量保证措施全面合理性较差得</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zh-CN"/>
              </w:rPr>
              <w:t xml:space="preserve">分，未提供不得分。</w:t>
            </w:r>
            <w:r/>
          </w:p>
        </w:tc>
      </w:tr>
      <w:tr>
        <w:trPr>
          <w:jc w:val="center"/>
        </w:trPr>
        <w:tc>
          <w:tcPr>
            <w:tcW w:w="772" w:type="dxa"/>
            <w:vAlign w:val="center"/>
            <w:textDirection w:val="lrTb"/>
            <w:noWrap w:val="false"/>
          </w:tcPr>
          <w:p>
            <w:pPr>
              <w:jc w:val="center"/>
              <w:spacing w:line="360" w:lineRule="auto"/>
              <w:rPr>
                <w:rFonts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9</w:t>
            </w:r>
            <w:r/>
          </w:p>
        </w:tc>
        <w:tc>
          <w:tcPr>
            <w:tcW w:w="1703"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eastAsia="zh-CN" w:bidi="ar-SA"/>
              </w:rPr>
            </w:pPr>
            <w:r>
              <w:rPr>
                <w:rFonts w:hint="eastAsia" w:ascii="宋体" w:hAnsi="宋体" w:eastAsia="宋体" w:cs="宋体"/>
                <w:b w:val="0"/>
                <w:bCs w:val="0"/>
                <w:color w:val="auto"/>
                <w:sz w:val="21"/>
                <w:szCs w:val="21"/>
                <w:lang w:val="zh-CN"/>
              </w:rPr>
              <w:t xml:space="preserve">后续服务承诺</w:t>
            </w:r>
            <w:r/>
          </w:p>
        </w:tc>
        <w:tc>
          <w:tcPr>
            <w:tcW w:w="833" w:type="dxa"/>
            <w:vAlign w:val="center"/>
            <w:textDirection w:val="lrTb"/>
            <w:noWrap w:val="false"/>
          </w:tcPr>
          <w:p>
            <w:pPr>
              <w:jc w:val="center"/>
              <w:spacing w:line="360" w:lineRule="auto"/>
              <w:rPr>
                <w:rFonts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6</w:t>
            </w:r>
            <w:r/>
          </w:p>
        </w:tc>
        <w:tc>
          <w:tcPr>
            <w:tcW w:w="6291" w:type="dxa"/>
            <w:vAlign w:val="center"/>
            <w:textDirection w:val="lrTb"/>
            <w:noWrap w:val="false"/>
          </w:tcPr>
          <w:p>
            <w:pPr>
              <w:ind w:firstLine="424"/>
              <w:jc w:val="left"/>
              <w:spacing w:line="360" w:lineRule="auto"/>
              <w:rPr>
                <w:rFonts w:hint="eastAsia" w:ascii="宋体" w:hAnsi="宋体" w:eastAsia="宋体" w:cs="宋体"/>
                <w:b w:val="0"/>
                <w:bCs w:val="0"/>
                <w:color w:val="auto"/>
                <w:sz w:val="21"/>
                <w:szCs w:val="21"/>
                <w:lang w:val="zh-CN" w:eastAsia="zh-CN" w:bidi="ar-SA"/>
              </w:rPr>
            </w:pPr>
            <w:r>
              <w:rPr>
                <w:rFonts w:hint="eastAsia" w:ascii="宋体" w:hAnsi="宋体" w:eastAsia="宋体" w:cs="宋体"/>
                <w:b w:val="0"/>
                <w:bCs w:val="0"/>
                <w:color w:val="auto"/>
                <w:sz w:val="21"/>
                <w:szCs w:val="21"/>
                <w:lang w:val="zh-CN"/>
              </w:rPr>
              <w:t xml:space="preserve">根据投标人对本项目后续服务承诺等方面进行评定，后续服务承诺内容全面科学的得</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zh-CN"/>
              </w:rPr>
              <w:t xml:space="preserve">分，后续服务承诺内容较为全面科学的得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val="zh-CN"/>
              </w:rPr>
              <w:t xml:space="preserve">分，后续服务承诺内容全面科学性欠缺的得</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zh-CN"/>
              </w:rPr>
              <w:t xml:space="preserve">分，未提供不得分。</w:t>
            </w:r>
            <w:r/>
          </w:p>
        </w:tc>
      </w:tr>
    </w:tbl>
    <w:p>
      <w:pPr>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注：①请供应商制作投标文件的时保证图片、文字材料的完整、清晰可辨，任何原因导致评委看不清楚或无法查看，后果由供应商自负。</w:t>
      </w:r>
      <w:r/>
    </w:p>
    <w:p>
      <w:pPr>
        <w:ind w:firstLine="444"/>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2"/>
          <w:szCs w:val="28"/>
          <w:lang w:val="zh-CN"/>
        </w:rPr>
        <w:t xml:space="preserve">②供应商制作投标文件时所用的所有原件材料均须准备好中标公告结束后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4"/>
      <w:r/>
      <w:bookmarkEnd w:id="145"/>
      <w:r/>
      <w:bookmarkEnd w:id="146"/>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47" w:name="_Hlt26671244"/>
      <w:r/>
      <w:bookmarkEnd w:id="147"/>
      <w:r/>
      <w:bookmarkStart w:id="148" w:name="_Hlt26955039"/>
      <w:r/>
      <w:bookmarkEnd w:id="148"/>
      <w:r/>
      <w:bookmarkStart w:id="149" w:name="_Toc120614282"/>
      <w:r/>
      <w:bookmarkStart w:id="150" w:name="_Toc49090576"/>
      <w:r/>
      <w:bookmarkStart w:id="151"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p>
    <w:p>
      <w:pPr>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投标人符合《政府采购法》第二十二条规定条件的声明函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p>
    <w:p>
      <w:pPr>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eastAsia="zh-CN"/>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870"/>
        <w:jc w:val="center"/>
        <w:keepLines w:val="0"/>
        <w:keepNext w:val="0"/>
        <w:widowControl/>
        <w:rPr>
          <w:rFonts w:hint="eastAsia" w:ascii="宋体" w:hAnsi="宋体" w:eastAsia="宋体" w:cs="宋体"/>
          <w:sz w:val="32"/>
          <w:szCs w:val="32"/>
        </w:rPr>
        <w:suppressLineNumbers w:val="0"/>
      </w:pPr>
      <w:r>
        <w:rPr>
          <w:rStyle w:val="940"/>
          <w:rFonts w:hint="eastAsia" w:ascii="宋体" w:hAnsi="宋体" w:eastAsia="宋体" w:cs="宋体"/>
          <w:sz w:val="32"/>
          <w:szCs w:val="32"/>
        </w:rPr>
        <w:t xml:space="preserve">开标一览表</w:t>
      </w:r>
      <w:r/>
    </w:p>
    <w:p>
      <w:pPr>
        <w:pStyle w:val="933"/>
        <w:keepLines w:val="0"/>
        <w:keepNext w:val="0"/>
        <w:widowControl/>
        <w:suppressLineNumbers w:val="0"/>
      </w:pPr>
      <w:r>
        <w:t xml:space="preserve">项目编号：</w:t>
      </w:r>
      <w:r/>
    </w:p>
    <w:p>
      <w:pPr>
        <w:pStyle w:val="933"/>
        <w:keepLines w:val="0"/>
        <w:keepNext w:val="0"/>
        <w:widowControl/>
        <w:suppressLineNumbers w:val="0"/>
      </w:pPr>
      <w:r>
        <w:t xml:space="preserve">货币单位：人民币元</w:t>
      </w:r>
      <w:r/>
    </w:p>
    <w:p>
      <w:pPr>
        <w:pStyle w:val="933"/>
        <w:keepLines w:val="0"/>
        <w:keepNext w:val="0"/>
        <w:widowControl/>
        <w:suppressLineNumbers w:val="0"/>
      </w:pPr>
      <w:r>
        <w:t xml:space="preserve">投标人名称（公章）：</w:t>
      </w:r>
      <w:r/>
    </w:p>
    <w:tbl>
      <w:tblPr>
        <w:tblStyle w:val="697"/>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65"/>
      </w:tblGrid>
      <w:tr>
        <w:trPr>
          <w:tblCellSpacing w:w="15" w:type="dxa"/>
          <w:trHeight w:val="696"/>
        </w:trPr>
        <w:tc>
          <w:tcPr>
            <w:tcW w:w="3292" w:type="dxa"/>
            <w:vAlign w:val="center"/>
            <w:textDirection w:val="lrTb"/>
            <w:noWrap w:val="false"/>
          </w:tcPr>
          <w:p>
            <w:pPr>
              <w:pStyle w:val="933"/>
              <w:jc w:val="center"/>
              <w:keepLines w:val="0"/>
              <w:keepNext w:val="0"/>
              <w:widowControl/>
              <w:suppressLineNumbers w:val="0"/>
            </w:pPr>
            <w:r>
              <w:t xml:space="preserve">项目名称</w:t>
            </w:r>
            <w:r/>
          </w:p>
        </w:tc>
        <w:tc>
          <w:tcPr>
            <w:tcW w:w="2992" w:type="dxa"/>
            <w:vAlign w:val="center"/>
            <w:textDirection w:val="lrTb"/>
            <w:noWrap w:val="false"/>
          </w:tcPr>
          <w:p>
            <w:pPr>
              <w:pStyle w:val="933"/>
              <w:jc w:val="center"/>
              <w:keepLines w:val="0"/>
              <w:keepNext w:val="0"/>
              <w:widowControl/>
              <w:suppressLineNumbers w:val="0"/>
            </w:pPr>
            <w:r>
              <w:t xml:space="preserve">项目内容</w:t>
            </w:r>
            <w:r/>
          </w:p>
        </w:tc>
        <w:tc>
          <w:tcPr>
            <w:tcW w:w="3175" w:type="dxa"/>
            <w:vAlign w:val="center"/>
            <w:textDirection w:val="lrTb"/>
            <w:noWrap w:val="false"/>
          </w:tcPr>
          <w:p>
            <w:pPr>
              <w:pStyle w:val="933"/>
              <w:jc w:val="center"/>
              <w:keepLines w:val="0"/>
              <w:keepNext w:val="0"/>
              <w:widowControl/>
              <w:suppressLineNumbers w:val="0"/>
            </w:pPr>
            <w:r>
              <w:rPr>
                <w:rFonts w:hint="eastAsia"/>
                <w:lang w:eastAsia="zh-CN"/>
              </w:rPr>
              <w:t xml:space="preserve">单</w:t>
            </w:r>
            <w:r>
              <w:t xml:space="preserve">价（小写）</w:t>
            </w:r>
            <w:r/>
          </w:p>
        </w:tc>
      </w:tr>
      <w:tr>
        <w:trPr>
          <w:tblCellSpacing w:w="15" w:type="dxa"/>
          <w:trHeight w:val="648"/>
        </w:trPr>
        <w:tc>
          <w:tcPr>
            <w:tcW w:w="3292" w:type="dxa"/>
            <w:vAlign w:val="center"/>
            <w:textDirection w:val="lrTb"/>
            <w:noWrap w:val="false"/>
          </w:tcPr>
          <w:p>
            <w:pPr>
              <w:pStyle w:val="933"/>
              <w:jc w:val="center"/>
              <w:keepLines w:val="0"/>
              <w:keepNext w:val="0"/>
              <w:widowControl/>
              <w:suppressLineNumbers w:val="0"/>
            </w:pPr>
            <w:r/>
            <w:r/>
          </w:p>
        </w:tc>
        <w:tc>
          <w:tcPr>
            <w:tcW w:w="2992" w:type="dxa"/>
            <w:vAlign w:val="center"/>
            <w:textDirection w:val="lrTb"/>
            <w:noWrap w:val="false"/>
          </w:tcPr>
          <w:p>
            <w:pPr>
              <w:pStyle w:val="933"/>
              <w:jc w:val="center"/>
              <w:keepLines w:val="0"/>
              <w:keepNext w:val="0"/>
              <w:widowControl/>
              <w:suppressLineNumbers w:val="0"/>
            </w:pPr>
            <w:r>
              <w:t xml:space="preserve">详见投标文件</w:t>
            </w:r>
            <w:r/>
          </w:p>
        </w:tc>
        <w:tc>
          <w:tcPr>
            <w:tcW w:w="3175" w:type="dxa"/>
            <w:vAlign w:val="center"/>
            <w:textDirection w:val="lrTb"/>
            <w:noWrap w:val="false"/>
          </w:tcPr>
          <w:p>
            <w:pPr>
              <w:pStyle w:val="933"/>
              <w:jc w:val="center"/>
              <w:keepLines w:val="0"/>
              <w:keepNext w:val="0"/>
              <w:widowControl/>
              <w:suppressLineNumbers w:val="0"/>
            </w:pPr>
            <w:r>
              <w:rPr>
                <w:rFonts w:hint="eastAsia"/>
                <w:lang w:val="en-US" w:eastAsia="zh-CN"/>
              </w:rPr>
              <w:t xml:space="preserve">             </w:t>
            </w:r>
            <w:r>
              <w:t xml:space="preserve">元</w:t>
            </w:r>
            <w:r/>
          </w:p>
        </w:tc>
      </w:tr>
      <w:tr>
        <w:trPr>
          <w:tblCellSpacing w:w="15" w:type="dxa"/>
          <w:trHeight w:val="696"/>
        </w:trPr>
        <w:tc>
          <w:tcPr>
            <w:tcW w:w="3292" w:type="dxa"/>
            <w:vAlign w:val="center"/>
            <w:textDirection w:val="lrTb"/>
            <w:noWrap w:val="false"/>
          </w:tcPr>
          <w:p>
            <w:pPr>
              <w:pStyle w:val="933"/>
              <w:jc w:val="center"/>
              <w:keepLines w:val="0"/>
              <w:keepNext w:val="0"/>
              <w:widowControl/>
              <w:suppressLineNumbers w:val="0"/>
            </w:pPr>
            <w:r>
              <w:rPr>
                <w:rFonts w:hint="eastAsia"/>
                <w:lang w:eastAsia="zh-CN"/>
              </w:rPr>
              <w:t xml:space="preserve">单</w:t>
            </w:r>
            <w:r>
              <w:t xml:space="preserve">价（大写）：</w:t>
            </w:r>
            <w:r/>
          </w:p>
        </w:tc>
        <w:tc>
          <w:tcPr>
            <w:gridSpan w:val="2"/>
            <w:tcW w:w="6242" w:type="dxa"/>
            <w:vAlign w:val="center"/>
            <w:textDirection w:val="lrTb"/>
            <w:noWrap w:val="false"/>
          </w:tcPr>
          <w:p>
            <w:pPr>
              <w:pStyle w:val="933"/>
              <w:keepLines w:val="0"/>
              <w:keepNext w:val="0"/>
              <w:widowControl/>
              <w:suppressLineNumbers w:val="0"/>
            </w:pPr>
            <w:r>
              <w:t xml:space="preserve">金额大写 </w:t>
            </w:r>
            <w:r/>
          </w:p>
        </w:tc>
      </w:tr>
    </w:tbl>
    <w:p>
      <w:pPr>
        <w:pStyle w:val="933"/>
        <w:keepLines w:val="0"/>
        <w:keepNext w:val="0"/>
        <w:widowControl/>
        <w:suppressLineNumbers w:val="0"/>
      </w:pPr>
      <w: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883"/>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697"/>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83"/>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883"/>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883"/>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956"/>
        <w:spacing w:before="0" w:after="0"/>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956"/>
        <w:spacing w:before="0" w:after="0"/>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5</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p>
    <w:p>
      <w:pPr>
        <w:pStyle w:val="933"/>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lang w:bidi="zh-CN"/>
        </w:rPr>
        <w:pBdr>
          <w:left w:val="none" w:color="000000" w:sz="0" w:space="0"/>
        </w:pBdr>
        <w:suppressLineNumbers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val="en-US" w:eastAsia="zh-CN" w:bidi="zh-CN"/>
        </w:rPr>
        <w:t xml:space="preserve">南通市海门区自然资源和规划综合服务中心</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val="en-US" w:eastAsia="zh-CN" w:bidi="zh-CN"/>
        </w:rPr>
        <w:t xml:space="preserve">南通市海门区自然资源和规划综合服务中心采购征地报批服务项目</w:t>
      </w:r>
      <w:r>
        <w:rPr>
          <w:rFonts w:hint="eastAsia" w:ascii="宋体" w:hAnsi="宋体" w:eastAsia="宋体" w:cs="宋体"/>
          <w:sz w:val="28"/>
          <w:szCs w:val="28"/>
          <w:lang w:bidi="zh-CN"/>
        </w:rPr>
        <w:t xml:space="preserve">采购活动，服务全部由符合政策要求的中小企业承接。相关企业的具体情况如下：</w:t>
      </w:r>
      <w:r/>
    </w:p>
    <w:p>
      <w:pPr>
        <w:ind w:firstLine="560"/>
        <w:jc w:val="left"/>
        <w:keepLines w:val="0"/>
        <w:keepNext w:val="0"/>
        <w:pageBreakBefore w:val="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val="en-US" w:eastAsia="zh-CN" w:bidi="zh-CN"/>
        </w:rPr>
        <w:t xml:space="preserve">征地报批服务</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其他未列明行业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keepLines w:val="0"/>
        <w:keepNext w:val="0"/>
        <w:pageBreakBefore w:val="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pageBreakBefore w:val="0"/>
        <w:spacing w:line="36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p>
    <w:p>
      <w:pPr>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pageBreakBefore w:val="0"/>
        <w:spacing w:line="36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keepLines w:val="0"/>
        <w:keepNext w:val="0"/>
        <w:pageBreakBefore w:val="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keepLines w:val="0"/>
        <w:keepNext w:val="0"/>
        <w:pageBreakBefore w:val="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keepLines w:val="0"/>
        <w:keepNext w:val="0"/>
        <w:pageBreakBefore w:val="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jc w:val="both"/>
        <w:spacing w:line="300" w:lineRule="auto"/>
        <w:rPr>
          <w:rFonts w:hint="eastAsia" w:ascii="宋体" w:hAnsi="宋体" w:eastAsia="宋体"/>
          <w:b/>
          <w:sz w:val="24"/>
          <w:szCs w:val="24"/>
          <w:lang w:eastAsia="zh-CN"/>
        </w:rPr>
        <w:outlineLvl w:val="0"/>
      </w:pP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6</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883"/>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49"/>
      <w:r/>
      <w:bookmarkEnd w:id="150"/>
      <w:r/>
      <w:bookmarkEnd w:id="151"/>
      <w:r/>
      <w:bookmarkStart w:id="152" w:name="_Toc120614284"/>
      <w:r>
        <w:rPr>
          <w:rFonts w:hint="eastAsia" w:ascii="宋体" w:hAnsi="宋体" w:eastAsia="宋体" w:cs="宋体"/>
          <w:b/>
          <w:color w:val="000000"/>
          <w:sz w:val="24"/>
          <w:szCs w:val="24"/>
        </w:rPr>
        <w:t xml:space="preserve">附件</w:t>
      </w:r>
      <w:r>
        <w:rPr>
          <w:rFonts w:hint="eastAsia" w:ascii="宋体" w:hAnsi="宋体" w:eastAsia="宋体" w:cs="宋体"/>
          <w:b/>
          <w:color w:val="000000"/>
          <w:sz w:val="24"/>
          <w:szCs w:val="24"/>
          <w:lang w:val="en-US" w:eastAsia="zh-CN"/>
        </w:rPr>
        <w:t xml:space="preserve">9</w:t>
      </w:r>
      <w:r>
        <w:rPr>
          <w:rFonts w:hint="eastAsia" w:ascii="宋体" w:hAnsi="宋体" w:eastAsia="宋体" w:cs="宋体"/>
          <w:b/>
          <w:color w:val="000000"/>
          <w:sz w:val="24"/>
          <w:szCs w:val="24"/>
        </w:rPr>
        <w:t xml:space="preserve"> </w:t>
      </w:r>
      <w:bookmarkEnd w:id="142"/>
      <w:r/>
      <w:bookmarkEnd w:id="143"/>
      <w:r/>
      <w:bookmarkEnd w:id="152"/>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宋体" w:hAnsi="宋体" w:eastAsia="宋体" w:cs="宋体"/>
          <w:b/>
          <w:color w:val="000000"/>
          <w:sz w:val="24"/>
          <w:szCs w:val="24"/>
        </w:rPr>
        <w:t xml:space="preserve">附件</w:t>
      </w:r>
      <w:r>
        <w:rPr>
          <w:rFonts w:hint="eastAsia" w:ascii="宋体" w:hAnsi="宋体" w:eastAsia="宋体" w:cs="宋体"/>
          <w:b/>
          <w:color w:val="000000"/>
          <w:sz w:val="24"/>
          <w:szCs w:val="24"/>
          <w:lang w:val="en-US" w:eastAsia="zh-CN"/>
        </w:rPr>
        <w:t xml:space="preserve">10</w:t>
      </w:r>
      <w:r>
        <w:rPr>
          <w:rFonts w:hint="eastAsia" w:ascii="宋体" w:hAnsi="宋体" w:eastAsia="宋体" w:cs="宋体"/>
          <w:b/>
          <w:color w:val="000000"/>
          <w:sz w:val="24"/>
          <w:szCs w:val="24"/>
        </w:rPr>
        <w:t xml:space="preserve"> </w:t>
      </w:r>
      <w:r/>
    </w:p>
    <w:p>
      <w:pPr>
        <w:jc w:val="center"/>
        <w:keepLines w:val="0"/>
        <w:keepNext w:val="0"/>
        <w:pageBreakBefore w:val="0"/>
        <w:spacing w:line="360" w:lineRule="auto"/>
        <w:widowControl w:val="off"/>
        <w:rPr>
          <w:rFonts w:ascii="宋体" w:eastAsia="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882"/>
        <w:rPr>
          <w:rFonts w:hint="eastAsia" w:ascii="宋体" w:hAnsi="宋体" w:eastAsia="仿宋_GB2312" w:cs="宋体"/>
          <w:b/>
          <w:bCs/>
          <w:spacing w:val="-20"/>
          <w:sz w:val="32"/>
          <w:szCs w:val="32"/>
          <w:lang w:eastAsia="zh-CN"/>
        </w:rPr>
      </w:pPr>
      <w:r>
        <w:rPr>
          <w:rFonts w:hint="eastAsia" w:ascii="宋体" w:hAnsi="宋体" w:eastAsia="仿宋_GB2312" w:cs="宋体"/>
          <w:b/>
          <w:bCs/>
          <w:spacing w:val="-20"/>
          <w:sz w:val="32"/>
          <w:szCs w:val="32"/>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41"/>
        <w:rFonts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53</w:t>
    </w:r>
    <w:r>
      <w:rPr>
        <w:rFonts w:ascii="宋体" w:hAnsi="宋体"/>
      </w:rPr>
      <w:fldChar w:fldCharType="end"/>
    </w:r>
    <w:r/>
  </w:p>
  <w:p>
    <w:pPr>
      <w:pStyle w:val="91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p>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6"/>
      <w:isLgl w:val="false"/>
      <w:suff w:val="nothing"/>
      <w:lvlText w:val=""/>
      <w:lvlJc w:val="left"/>
      <w:pPr>
        <w:ind w:left="0" w:firstLine="0"/>
      </w:pPr>
      <w:rPr>
        <w:rFonts w:hint="eastAsia"/>
      </w:rPr>
    </w:lvl>
    <w:lvl w:ilvl="6">
      <w:start w:val="1"/>
      <w:numFmt w:val="decimal"/>
      <w:pStyle w:val="877"/>
      <w:isLgl w:val="false"/>
      <w:suff w:val="nothing"/>
      <w:lvlText w:val=""/>
      <w:lvlJc w:val="left"/>
      <w:pPr>
        <w:ind w:left="0" w:firstLine="0"/>
      </w:pPr>
      <w:rPr>
        <w:rFonts w:hint="eastAsia"/>
      </w:rPr>
    </w:lvl>
    <w:lvl w:ilvl="7">
      <w:start w:val="1"/>
      <w:numFmt w:val="decimal"/>
      <w:pStyle w:val="878"/>
      <w:isLgl w:val="false"/>
      <w:suff w:val="nothing"/>
      <w:lvlText w:val=""/>
      <w:lvlJc w:val="left"/>
      <w:pPr>
        <w:ind w:left="0" w:firstLine="0"/>
      </w:pPr>
      <w:rPr>
        <w:rFonts w:hint="eastAsia"/>
      </w:rPr>
    </w:lvl>
    <w:lvl w:ilvl="8">
      <w:start w:val="1"/>
      <w:numFmt w:val="decimal"/>
      <w:pStyle w:val="879"/>
      <w:isLgl w:val="false"/>
      <w:suff w:val="nothing"/>
      <w:lvlText w:val=""/>
      <w:lvlJc w:val="left"/>
      <w:pPr>
        <w:ind w:left="0" w:firstLine="0"/>
      </w:pPr>
      <w:rPr>
        <w:rFonts w:hint="eastAsia"/>
      </w:rPr>
    </w:lvl>
  </w:abstractNum>
  <w:abstractNum w:abstractNumId="2">
    <w:multiLevelType w:val="hybridMultilevel"/>
    <w:lvl w:ilvl="0">
      <w:start w:val="1"/>
      <w:numFmt w:val="decimal"/>
      <w:pStyle w:val="9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link w:val="94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6"/>
    <w:link w:val="722"/>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3"/>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4"/>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5"/>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7"/>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29"/>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30"/>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style>
  <w:style w:type="table" w:styleId="697" w:default="1">
    <w:name w:val="Normal Table"/>
    <w:uiPriority w:val="99"/>
    <w:semiHidden/>
    <w:unhideWhenUsed/>
    <w:tblPr>
      <w:tblCellMar>
        <w:left w:w="108" w:type="dxa"/>
        <w:top w:w="0" w:type="dxa"/>
        <w:right w:w="108" w:type="dxa"/>
        <w:bottom w:w="0" w:type="dxa"/>
      </w:tblCellMar>
    </w:tblPr>
  </w:style>
  <w:style w:type="paragraph" w:styleId="698" w:customStyle="1">
    <w:name w:val="正文首行缩进1"/>
    <w:basedOn w:val="699"/>
    <w:uiPriority w:val="0"/>
    <w:qFormat/>
    <w:pPr>
      <w:ind w:firstLine="200"/>
      <w:spacing w:line="360" w:lineRule="auto"/>
    </w:pPr>
    <w:rPr>
      <w:rFonts w:ascii="仿宋_GB2312" w:hAnsi="Times New Roman" w:eastAsia="仿宋_GB2312"/>
      <w:sz w:val="30"/>
      <w:szCs w:val="30"/>
    </w:rPr>
  </w:style>
  <w:style w:type="paragraph" w:styleId="699" w:customStyle="1">
    <w:name w:val="正文文本1"/>
    <w:basedOn w:val="700"/>
    <w:next w:val="686"/>
    <w:uiPriority w:val="99"/>
    <w:unhideWhenUsed/>
    <w:qFormat/>
    <w:rPr>
      <w:rFonts w:ascii="??_GB2312" w:hAnsi="??_GB2312"/>
      <w:sz w:val="28"/>
      <w:szCs w:val="28"/>
    </w:rPr>
  </w:style>
  <w:style w:type="paragraph" w:styleId="700" w:customStyle="1">
    <w:name w:val="正文11"/>
    <w:next w:val="699"/>
    <w:uiPriority w:val="0"/>
    <w:qFormat/>
    <w:pPr>
      <w:jc w:val="both"/>
      <w:widowControl w:val="off"/>
    </w:pPr>
    <w:rPr>
      <w:rFonts w:hint="default" w:ascii="Calibri" w:hAnsi="Calibri" w:eastAsia="宋体" w:cs="Times New Roman"/>
      <w:sz w:val="21"/>
      <w:szCs w:val="21"/>
      <w:lang w:val="en-US" w:eastAsia="zh-CN" w:bidi="ar-SA"/>
    </w:rPr>
  </w:style>
  <w:style w:type="paragraph" w:styleId="701">
    <w:name w:val="toc 7"/>
    <w:basedOn w:val="686"/>
    <w:next w:val="686"/>
    <w:uiPriority w:val="39"/>
    <w:unhideWhenUsed/>
    <w:qFormat/>
    <w:pPr>
      <w:ind w:left="1701" w:right="0" w:firstLine="0"/>
      <w:spacing w:after="57"/>
    </w:pPr>
  </w:style>
  <w:style w:type="paragraph" w:styleId="702">
    <w:name w:val="Caption"/>
    <w:basedOn w:val="686"/>
    <w:next w:val="686"/>
    <w:uiPriority w:val="35"/>
    <w:semiHidden/>
    <w:unhideWhenUsed/>
    <w:qFormat/>
    <w:pPr>
      <w:spacing w:line="276" w:lineRule="auto"/>
    </w:pPr>
    <w:rPr>
      <w:b/>
      <w:bCs/>
      <w:color w:val="4f81bd" w:themeColor="accent1"/>
      <w:sz w:val="18"/>
      <w:szCs w:val="18"/>
    </w:rPr>
  </w:style>
  <w:style w:type="paragraph" w:styleId="703">
    <w:name w:val="toc 5"/>
    <w:basedOn w:val="686"/>
    <w:next w:val="686"/>
    <w:uiPriority w:val="39"/>
    <w:unhideWhenUsed/>
    <w:qFormat/>
    <w:pPr>
      <w:ind w:left="1134" w:right="0" w:firstLine="0"/>
      <w:spacing w:after="57"/>
    </w:pPr>
  </w:style>
  <w:style w:type="paragraph" w:styleId="704">
    <w:name w:val="toc 3"/>
    <w:basedOn w:val="686"/>
    <w:next w:val="686"/>
    <w:uiPriority w:val="39"/>
    <w:unhideWhenUsed/>
    <w:pPr>
      <w:ind w:left="567" w:right="0" w:firstLine="0"/>
      <w:spacing w:after="57"/>
    </w:pPr>
  </w:style>
  <w:style w:type="paragraph" w:styleId="705">
    <w:name w:val="toc 8"/>
    <w:basedOn w:val="686"/>
    <w:next w:val="686"/>
    <w:uiPriority w:val="39"/>
    <w:unhideWhenUsed/>
    <w:pPr>
      <w:ind w:left="1984" w:right="0" w:firstLine="0"/>
      <w:spacing w:after="57"/>
    </w:pPr>
  </w:style>
  <w:style w:type="paragraph" w:styleId="706">
    <w:name w:val="endnote text"/>
    <w:basedOn w:val="686"/>
    <w:link w:val="868"/>
    <w:uiPriority w:val="99"/>
    <w:semiHidden/>
    <w:unhideWhenUsed/>
    <w:qFormat/>
    <w:pPr>
      <w:spacing w:after="0" w:line="240" w:lineRule="auto"/>
    </w:pPr>
    <w:rPr>
      <w:sz w:val="20"/>
    </w:rPr>
  </w:style>
  <w:style w:type="paragraph" w:styleId="707">
    <w:name w:val="Footer"/>
    <w:basedOn w:val="686"/>
    <w:link w:val="741"/>
    <w:uiPriority w:val="99"/>
    <w:unhideWhenUsed/>
    <w:pPr>
      <w:spacing w:after="0" w:line="240" w:lineRule="auto"/>
      <w:tabs>
        <w:tab w:val="center" w:pos="7143" w:leader="none"/>
        <w:tab w:val="right" w:pos="14287" w:leader="none"/>
      </w:tabs>
    </w:pPr>
  </w:style>
  <w:style w:type="paragraph" w:styleId="708">
    <w:name w:val="Header"/>
    <w:basedOn w:val="686"/>
    <w:link w:val="739"/>
    <w:uiPriority w:val="99"/>
    <w:unhideWhenUsed/>
    <w:qFormat/>
    <w:pPr>
      <w:spacing w:after="0" w:line="240" w:lineRule="auto"/>
      <w:tabs>
        <w:tab w:val="center" w:pos="7143" w:leader="none"/>
        <w:tab w:val="right" w:pos="14287" w:leader="none"/>
      </w:tabs>
    </w:pPr>
  </w:style>
  <w:style w:type="paragraph" w:styleId="709">
    <w:name w:val="toc 1"/>
    <w:basedOn w:val="686"/>
    <w:next w:val="686"/>
    <w:uiPriority w:val="39"/>
    <w:unhideWhenUsed/>
    <w:pPr>
      <w:ind w:left="0" w:right="0" w:firstLine="0"/>
      <w:spacing w:after="57"/>
    </w:pPr>
  </w:style>
  <w:style w:type="paragraph" w:styleId="710">
    <w:name w:val="toc 4"/>
    <w:basedOn w:val="686"/>
    <w:next w:val="686"/>
    <w:uiPriority w:val="39"/>
    <w:unhideWhenUsed/>
    <w:pPr>
      <w:ind w:left="850" w:right="0" w:firstLine="0"/>
      <w:spacing w:after="57"/>
    </w:pPr>
  </w:style>
  <w:style w:type="paragraph" w:styleId="711">
    <w:name w:val="Subtitle"/>
    <w:basedOn w:val="686"/>
    <w:next w:val="686"/>
    <w:link w:val="734"/>
    <w:uiPriority w:val="11"/>
    <w:qFormat/>
    <w:pPr>
      <w:spacing w:before="200" w:after="200"/>
    </w:pPr>
    <w:rPr>
      <w:sz w:val="24"/>
      <w:szCs w:val="24"/>
    </w:rPr>
  </w:style>
  <w:style w:type="paragraph" w:styleId="712">
    <w:name w:val="footnote text"/>
    <w:basedOn w:val="686"/>
    <w:link w:val="867"/>
    <w:uiPriority w:val="99"/>
    <w:semiHidden/>
    <w:unhideWhenUsed/>
    <w:pPr>
      <w:spacing w:after="40" w:line="240" w:lineRule="auto"/>
    </w:pPr>
    <w:rPr>
      <w:sz w:val="18"/>
    </w:rPr>
  </w:style>
  <w:style w:type="paragraph" w:styleId="713">
    <w:name w:val="toc 6"/>
    <w:basedOn w:val="686"/>
    <w:next w:val="686"/>
    <w:uiPriority w:val="39"/>
    <w:unhideWhenUsed/>
    <w:pPr>
      <w:ind w:left="1417" w:right="0" w:firstLine="0"/>
      <w:spacing w:after="57"/>
    </w:pPr>
  </w:style>
  <w:style w:type="paragraph" w:styleId="714">
    <w:name w:val="table of figures"/>
    <w:basedOn w:val="686"/>
    <w:next w:val="686"/>
    <w:uiPriority w:val="99"/>
    <w:unhideWhenUsed/>
    <w:qFormat/>
    <w:pPr>
      <w:spacing w:after="0" w:afterAutospacing="0"/>
    </w:pPr>
  </w:style>
  <w:style w:type="paragraph" w:styleId="715">
    <w:name w:val="toc 2"/>
    <w:basedOn w:val="686"/>
    <w:next w:val="686"/>
    <w:uiPriority w:val="39"/>
    <w:unhideWhenUsed/>
    <w:pPr>
      <w:ind w:left="283" w:right="0" w:firstLine="0"/>
      <w:spacing w:after="57"/>
    </w:pPr>
  </w:style>
  <w:style w:type="paragraph" w:styleId="716">
    <w:name w:val="toc 9"/>
    <w:basedOn w:val="686"/>
    <w:next w:val="686"/>
    <w:uiPriority w:val="39"/>
    <w:unhideWhenUsed/>
    <w:pPr>
      <w:ind w:left="2268" w:right="0" w:firstLine="0"/>
      <w:spacing w:after="57"/>
    </w:pPr>
  </w:style>
  <w:style w:type="paragraph" w:styleId="717">
    <w:name w:val="Title"/>
    <w:basedOn w:val="686"/>
    <w:next w:val="686"/>
    <w:link w:val="733"/>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rPr>
      <w:vertAlign w:val="superscript"/>
    </w:rPr>
  </w:style>
  <w:style w:type="character" w:styleId="720">
    <w:name w:val="Hyperlink"/>
    <w:uiPriority w:val="99"/>
    <w:unhideWhenUsed/>
    <w:rPr>
      <w:color w:val="0000ff" w:themeColor="hyperlink"/>
      <w:u w:val="single"/>
    </w:rPr>
  </w:style>
  <w:style w:type="character" w:styleId="721">
    <w:name w:val="footnote reference"/>
    <w:uiPriority w:val="99"/>
    <w:unhideWhenUsed/>
    <w:rPr>
      <w:vertAlign w:val="superscript"/>
    </w:rPr>
  </w:style>
  <w:style w:type="character" w:styleId="722" w:customStyle="1">
    <w:name w:val="Heading 1 Char"/>
    <w:link w:val="687"/>
    <w:uiPriority w:val="9"/>
    <w:qFormat/>
    <w:rPr>
      <w:rFonts w:ascii="Arial" w:hAnsi="Arial" w:eastAsia="Arial" w:cs="Arial"/>
      <w:sz w:val="40"/>
      <w:szCs w:val="40"/>
    </w:rPr>
  </w:style>
  <w:style w:type="character" w:styleId="723" w:customStyle="1">
    <w:name w:val="Heading 2 Char"/>
    <w:link w:val="688"/>
    <w:uiPriority w:val="9"/>
    <w:rPr>
      <w:rFonts w:ascii="Arial" w:hAnsi="Arial" w:eastAsia="Arial" w:cs="Arial"/>
      <w:sz w:val="34"/>
    </w:rPr>
  </w:style>
  <w:style w:type="character" w:styleId="724" w:customStyle="1">
    <w:name w:val="Heading 3 Char"/>
    <w:link w:val="689"/>
    <w:uiPriority w:val="9"/>
    <w:rPr>
      <w:rFonts w:ascii="Arial" w:hAnsi="Arial" w:eastAsia="Arial" w:cs="Arial"/>
      <w:sz w:val="30"/>
      <w:szCs w:val="30"/>
    </w:rPr>
  </w:style>
  <w:style w:type="character" w:styleId="725" w:customStyle="1">
    <w:name w:val="Heading 4 Char"/>
    <w:link w:val="690"/>
    <w:uiPriority w:val="9"/>
    <w:qFormat/>
    <w:rPr>
      <w:rFonts w:ascii="Arial" w:hAnsi="Arial" w:eastAsia="Arial" w:cs="Arial"/>
      <w:b/>
      <w:bCs/>
      <w:sz w:val="26"/>
      <w:szCs w:val="26"/>
    </w:rPr>
  </w:style>
  <w:style w:type="character" w:styleId="726" w:customStyle="1">
    <w:name w:val="Heading 5 Char"/>
    <w:link w:val="691"/>
    <w:uiPriority w:val="9"/>
    <w:rPr>
      <w:rFonts w:ascii="Arial" w:hAnsi="Arial" w:eastAsia="Arial" w:cs="Arial"/>
      <w:b/>
      <w:bCs/>
      <w:sz w:val="24"/>
      <w:szCs w:val="24"/>
    </w:rPr>
  </w:style>
  <w:style w:type="character" w:styleId="727" w:customStyle="1">
    <w:name w:val="Heading 6 Char"/>
    <w:link w:val="692"/>
    <w:uiPriority w:val="9"/>
    <w:rPr>
      <w:rFonts w:ascii="Arial" w:hAnsi="Arial" w:eastAsia="Arial" w:cs="Arial"/>
      <w:b/>
      <w:bCs/>
      <w:sz w:val="22"/>
      <w:szCs w:val="22"/>
    </w:rPr>
  </w:style>
  <w:style w:type="character" w:styleId="728" w:customStyle="1">
    <w:name w:val="Heading 7 Char"/>
    <w:link w:val="693"/>
    <w:uiPriority w:val="9"/>
    <w:qFormat/>
    <w:rPr>
      <w:rFonts w:ascii="Arial" w:hAnsi="Arial" w:eastAsia="Arial" w:cs="Arial"/>
      <w:b/>
      <w:bCs/>
      <w:i/>
      <w:iCs/>
      <w:sz w:val="22"/>
      <w:szCs w:val="22"/>
    </w:rPr>
  </w:style>
  <w:style w:type="character" w:styleId="729" w:customStyle="1">
    <w:name w:val="Heading 8 Char"/>
    <w:link w:val="694"/>
    <w:uiPriority w:val="9"/>
    <w:rPr>
      <w:rFonts w:ascii="Arial" w:hAnsi="Arial" w:eastAsia="Arial" w:cs="Arial"/>
      <w:i/>
      <w:iCs/>
      <w:sz w:val="22"/>
      <w:szCs w:val="22"/>
    </w:rPr>
  </w:style>
  <w:style w:type="character" w:styleId="730" w:customStyle="1">
    <w:name w:val="Heading 9 Char"/>
    <w:link w:val="695"/>
    <w:uiPriority w:val="9"/>
    <w:rPr>
      <w:rFonts w:ascii="Arial" w:hAnsi="Arial" w:eastAsia="Arial" w:cs="Arial"/>
      <w:i/>
      <w:iCs/>
      <w:sz w:val="21"/>
      <w:szCs w:val="21"/>
    </w:rPr>
  </w:style>
  <w:style w:type="paragraph" w:styleId="731">
    <w:name w:val="List Paragraph"/>
    <w:basedOn w:val="686"/>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link w:val="717"/>
    <w:uiPriority w:val="10"/>
    <w:rPr>
      <w:sz w:val="48"/>
      <w:szCs w:val="48"/>
    </w:rPr>
  </w:style>
  <w:style w:type="character" w:styleId="734" w:customStyle="1">
    <w:name w:val="Subtitle Char"/>
    <w:link w:val="711"/>
    <w:uiPriority w:val="11"/>
    <w:qFormat/>
    <w:rPr>
      <w:sz w:val="24"/>
      <w:szCs w:val="24"/>
    </w:rPr>
  </w:style>
  <w:style w:type="paragraph" w:styleId="735">
    <w:name w:val="Quote"/>
    <w:basedOn w:val="686"/>
    <w:next w:val="686"/>
    <w:link w:val="736"/>
    <w:uiPriority w:val="29"/>
    <w:qFormat/>
    <w:pPr>
      <w:ind w:left="720" w:right="720"/>
    </w:pPr>
    <w:rPr>
      <w:i/>
    </w:rPr>
  </w:style>
  <w:style w:type="character" w:styleId="736" w:customStyle="1">
    <w:name w:val="Quote Char"/>
    <w:link w:val="735"/>
    <w:uiPriority w:val="29"/>
    <w:rPr>
      <w:i/>
    </w:rPr>
  </w:style>
  <w:style w:type="paragraph" w:styleId="737">
    <w:name w:val="Intense Quote"/>
    <w:basedOn w:val="686"/>
    <w:next w:val="686"/>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rPr>
      <w:i/>
    </w:rPr>
  </w:style>
  <w:style w:type="character" w:styleId="739" w:customStyle="1">
    <w:name w:val="Header Char"/>
    <w:link w:val="708"/>
    <w:uiPriority w:val="99"/>
  </w:style>
  <w:style w:type="character" w:styleId="740" w:customStyle="1">
    <w:name w:val="Footer Char"/>
    <w:link w:val="707"/>
    <w:uiPriority w:val="99"/>
  </w:style>
  <w:style w:type="character" w:styleId="741" w:customStyle="1">
    <w:name w:val="Caption Char"/>
    <w:link w:val="707"/>
    <w:uiPriority w:val="99"/>
  </w:style>
  <w:style w:type="table" w:styleId="742"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4"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5"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6"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7"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8"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9"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0"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7"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8"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0"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1"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2"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3"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4"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5"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6"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7"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8"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9"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12"/>
    <w:uiPriority w:val="99"/>
    <w:rPr>
      <w:sz w:val="18"/>
    </w:rPr>
  </w:style>
  <w:style w:type="character" w:styleId="868" w:customStyle="1">
    <w:name w:val="Endnote Text Char"/>
    <w:link w:val="706"/>
    <w:uiPriority w:val="99"/>
    <w:rPr>
      <w:sz w:val="20"/>
    </w:rPr>
  </w:style>
  <w:style w:type="paragraph" w:styleId="869" w:customStyle="1">
    <w:name w:val="TOC Heading"/>
    <w:uiPriority w:val="39"/>
    <w:unhideWhenUsed/>
    <w:rPr>
      <w:rFonts w:hint="default" w:ascii="Times New Roman" w:hAnsi="Times New Roman" w:eastAsia="宋体" w:cs="Times New Roman"/>
    </w:rPr>
  </w:style>
  <w:style w:type="paragraph" w:styleId="870" w:customStyle="1">
    <w:name w:val="标题 11"/>
    <w:basedOn w:val="686"/>
    <w:next w:val="686"/>
    <w:link w:val="886"/>
    <w:uiPriority w:val="0"/>
    <w:qFormat/>
    <w:pPr>
      <w:jc w:val="center"/>
      <w:keepNext/>
      <w:outlineLvl w:val="0"/>
    </w:pPr>
    <w:rPr>
      <w:rFonts w:ascii="楷体_GB2312" w:hAnsi="Times New Roman" w:eastAsia="楷体_GB2312" w:cs="Times New Roman"/>
      <w:sz w:val="28"/>
      <w:szCs w:val="28"/>
    </w:rPr>
  </w:style>
  <w:style w:type="paragraph" w:styleId="871" w:customStyle="1">
    <w:name w:val="标题 21"/>
    <w:basedOn w:val="686"/>
    <w:next w:val="872"/>
    <w:link w:val="8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2" w:customStyle="1">
    <w:name w:val="正文缩进1"/>
    <w:basedOn w:val="686"/>
    <w:link w:val="888"/>
    <w:uiPriority w:val="0"/>
    <w:pPr>
      <w:ind w:firstLine="420"/>
    </w:pPr>
    <w:rPr>
      <w:szCs w:val="21"/>
    </w:rPr>
  </w:style>
  <w:style w:type="paragraph" w:styleId="873" w:customStyle="1">
    <w:name w:val="标题 31"/>
    <w:basedOn w:val="686"/>
    <w:next w:val="872"/>
    <w:link w:val="88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4" w:customStyle="1">
    <w:name w:val="标题 41"/>
    <w:basedOn w:val="686"/>
    <w:next w:val="872"/>
    <w:link w:val="890"/>
    <w:uiPriority w:val="0"/>
    <w:qFormat/>
    <w:pPr>
      <w:keepLines/>
      <w:keepNext/>
      <w:spacing w:before="280" w:after="290" w:line="376" w:lineRule="auto"/>
      <w:outlineLvl w:val="3"/>
    </w:pPr>
    <w:rPr>
      <w:rFonts w:ascii="Arial" w:hAnsi="Arial" w:eastAsia="黑体" w:cs="Arial"/>
      <w:b/>
      <w:bCs/>
      <w:sz w:val="28"/>
      <w:szCs w:val="28"/>
    </w:rPr>
  </w:style>
  <w:style w:type="paragraph" w:styleId="875" w:customStyle="1">
    <w:name w:val="标题 51"/>
    <w:basedOn w:val="686"/>
    <w:next w:val="872"/>
    <w:link w:val="891"/>
    <w:uiPriority w:val="0"/>
    <w:qFormat/>
    <w:pPr>
      <w:keepNext/>
      <w:outlineLvl w:val="4"/>
    </w:pPr>
    <w:rPr>
      <w:rFonts w:ascii="宋体" w:hAnsi="Times New Roman" w:eastAsia="宋体" w:cs="Times New Roman"/>
      <w:color w:val="000000"/>
      <w:sz w:val="28"/>
      <w:szCs w:val="28"/>
    </w:rPr>
  </w:style>
  <w:style w:type="paragraph" w:styleId="876" w:customStyle="1">
    <w:name w:val="标题 61"/>
    <w:basedOn w:val="686"/>
    <w:next w:val="686"/>
    <w:link w:val="89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7" w:customStyle="1">
    <w:name w:val="标题 71"/>
    <w:basedOn w:val="686"/>
    <w:next w:val="686"/>
    <w:link w:val="89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8" w:customStyle="1">
    <w:name w:val="标题 81"/>
    <w:basedOn w:val="686"/>
    <w:next w:val="686"/>
    <w:link w:val="89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9" w:customStyle="1">
    <w:name w:val="标题 91"/>
    <w:basedOn w:val="686"/>
    <w:next w:val="686"/>
    <w:link w:val="89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0" w:customStyle="1">
    <w:name w:val="默认段落字体1"/>
    <w:link w:val="686"/>
    <w:uiPriority w:val="1"/>
    <w:unhideWhenUsed/>
  </w:style>
  <w:style w:type="table" w:styleId="881" w:customStyle="1">
    <w:name w:val="普通表格1"/>
    <w:uiPriority w:val="99"/>
    <w:unhideWhenUsed/>
    <w:tblPr/>
  </w:style>
  <w:style w:type="paragraph" w:styleId="882" w:customStyle="1">
    <w:name w:val="正文首行缩进11"/>
    <w:basedOn w:val="883"/>
    <w:link w:val="885"/>
    <w:uiPriority w:val="0"/>
    <w:pPr>
      <w:ind w:firstLine="200"/>
      <w:spacing w:line="360" w:lineRule="auto"/>
    </w:pPr>
    <w:rPr>
      <w:rFonts w:ascii="仿宋_GB2312" w:hAnsi="Times New Roman" w:eastAsia="仿宋_GB2312" w:cs="Times New Roman"/>
      <w:sz w:val="30"/>
      <w:szCs w:val="30"/>
    </w:rPr>
  </w:style>
  <w:style w:type="paragraph" w:styleId="883" w:customStyle="1">
    <w:name w:val="正文文本11"/>
    <w:basedOn w:val="686"/>
    <w:next w:val="686"/>
    <w:link w:val="884"/>
    <w:uiPriority w:val="0"/>
    <w:rPr>
      <w:rFonts w:ascii="楷体_GB2312" w:hAnsi="Arial" w:eastAsia="楷体_GB2312" w:cs="Times New Roman"/>
      <w:sz w:val="28"/>
      <w:szCs w:val="28"/>
    </w:rPr>
  </w:style>
  <w:style w:type="character" w:styleId="884" w:customStyle="1">
    <w:name w:val="正文文本 字符"/>
    <w:link w:val="883"/>
    <w:uiPriority w:val="0"/>
    <w:rPr>
      <w:rFonts w:ascii="楷体_GB2312" w:hAnsi="Arial" w:eastAsia="楷体_GB2312" w:cs="Times New Roman"/>
      <w:sz w:val="28"/>
      <w:szCs w:val="28"/>
    </w:rPr>
  </w:style>
  <w:style w:type="character" w:styleId="885" w:customStyle="1">
    <w:name w:val="正文首行缩进 字符"/>
    <w:link w:val="882"/>
    <w:uiPriority w:val="0"/>
    <w:rPr>
      <w:rFonts w:ascii="仿宋_GB2312" w:hAnsi="Times New Roman" w:eastAsia="仿宋_GB2312" w:cs="Times New Roman"/>
      <w:sz w:val="30"/>
      <w:szCs w:val="30"/>
    </w:rPr>
  </w:style>
  <w:style w:type="character" w:styleId="886" w:customStyle="1">
    <w:name w:val="标题 1 字符"/>
    <w:link w:val="870"/>
    <w:uiPriority w:val="0"/>
    <w:rPr>
      <w:rFonts w:ascii="楷体_GB2312" w:hAnsi="Times New Roman" w:eastAsia="楷体_GB2312" w:cs="Times New Roman"/>
      <w:sz w:val="28"/>
      <w:szCs w:val="28"/>
    </w:rPr>
  </w:style>
  <w:style w:type="character" w:styleId="887" w:customStyle="1">
    <w:name w:val="标题 2 字符"/>
    <w:link w:val="871"/>
    <w:uiPriority w:val="0"/>
    <w:rPr>
      <w:rFonts w:ascii="Arial" w:hAnsi="Arial" w:eastAsia="幼圆" w:cs="Arial"/>
      <w:b/>
      <w:bCs/>
      <w:sz w:val="44"/>
      <w:szCs w:val="44"/>
    </w:rPr>
  </w:style>
  <w:style w:type="character" w:styleId="888" w:customStyle="1">
    <w:name w:val="正文缩进 字符"/>
    <w:link w:val="872"/>
    <w:uiPriority w:val="0"/>
    <w:qFormat/>
    <w:rPr>
      <w:szCs w:val="21"/>
    </w:rPr>
  </w:style>
  <w:style w:type="character" w:styleId="889" w:customStyle="1">
    <w:name w:val="标题 3 字符"/>
    <w:link w:val="873"/>
    <w:uiPriority w:val="0"/>
    <w:qFormat/>
    <w:rPr>
      <w:rFonts w:ascii="Times New Roman" w:hAnsi="Times New Roman" w:eastAsia="宋体" w:cs="Times New Roman"/>
      <w:b/>
      <w:bCs/>
      <w:sz w:val="32"/>
      <w:szCs w:val="32"/>
    </w:rPr>
  </w:style>
  <w:style w:type="character" w:styleId="890" w:customStyle="1">
    <w:name w:val="标题 4 字符"/>
    <w:link w:val="874"/>
    <w:uiPriority w:val="0"/>
    <w:qFormat/>
    <w:rPr>
      <w:rFonts w:ascii="Arial" w:hAnsi="Arial" w:eastAsia="黑体" w:cs="Arial"/>
      <w:b/>
      <w:bCs/>
      <w:sz w:val="28"/>
      <w:szCs w:val="28"/>
    </w:rPr>
  </w:style>
  <w:style w:type="character" w:styleId="891" w:customStyle="1">
    <w:name w:val="标题 5 字符"/>
    <w:link w:val="875"/>
    <w:uiPriority w:val="0"/>
    <w:qFormat/>
    <w:rPr>
      <w:rFonts w:ascii="宋体" w:hAnsi="Times New Roman" w:eastAsia="宋体" w:cs="Times New Roman"/>
      <w:color w:val="000000"/>
      <w:sz w:val="28"/>
      <w:szCs w:val="28"/>
    </w:rPr>
  </w:style>
  <w:style w:type="character" w:styleId="892" w:customStyle="1">
    <w:name w:val="标题 6 字符"/>
    <w:link w:val="876"/>
    <w:uiPriority w:val="0"/>
    <w:qFormat/>
    <w:rPr>
      <w:rFonts w:ascii="Arial" w:hAnsi="Arial" w:eastAsia="黑体" w:cs="Times New Roman"/>
      <w:b/>
      <w:bCs/>
      <w:sz w:val="24"/>
      <w:szCs w:val="24"/>
    </w:rPr>
  </w:style>
  <w:style w:type="character" w:styleId="893" w:customStyle="1">
    <w:name w:val="标题 7 字符"/>
    <w:link w:val="877"/>
    <w:uiPriority w:val="0"/>
    <w:qFormat/>
    <w:rPr>
      <w:rFonts w:ascii="Times New Roman" w:hAnsi="Times New Roman" w:eastAsia="宋体" w:cs="Times New Roman"/>
      <w:b/>
      <w:bCs/>
      <w:sz w:val="24"/>
      <w:szCs w:val="24"/>
    </w:rPr>
  </w:style>
  <w:style w:type="character" w:styleId="894" w:customStyle="1">
    <w:name w:val="标题 8 字符"/>
    <w:link w:val="878"/>
    <w:uiPriority w:val="0"/>
    <w:qFormat/>
    <w:rPr>
      <w:rFonts w:ascii="Arial" w:hAnsi="Arial" w:eastAsia="黑体" w:cs="Times New Roman"/>
      <w:sz w:val="24"/>
      <w:szCs w:val="24"/>
    </w:rPr>
  </w:style>
  <w:style w:type="character" w:styleId="895" w:customStyle="1">
    <w:name w:val="标题 9 字符"/>
    <w:link w:val="879"/>
    <w:uiPriority w:val="0"/>
    <w:qFormat/>
    <w:rPr>
      <w:rFonts w:ascii="Arial" w:hAnsi="Arial" w:eastAsia="黑体" w:cs="Times New Roman"/>
      <w:szCs w:val="21"/>
    </w:rPr>
  </w:style>
  <w:style w:type="paragraph" w:styleId="896" w:customStyle="1">
    <w:name w:val="列表 31"/>
    <w:basedOn w:val="686"/>
    <w:uiPriority w:val="0"/>
    <w:qFormat/>
    <w:pPr>
      <w:ind w:left="100" w:hanging="200"/>
    </w:pPr>
    <w:rPr>
      <w:rFonts w:ascii="Times New Roman" w:hAnsi="Times New Roman" w:eastAsia="宋体" w:cs="Times New Roman"/>
      <w:szCs w:val="21"/>
    </w:rPr>
  </w:style>
  <w:style w:type="paragraph" w:styleId="897" w:customStyle="1">
    <w:name w:val="目录 71"/>
    <w:basedOn w:val="686"/>
    <w:next w:val="686"/>
    <w:uiPriority w:val="0"/>
    <w:semiHidden/>
    <w:qFormat/>
    <w:pPr>
      <w:ind w:left="1260"/>
      <w:jc w:val="left"/>
    </w:pPr>
    <w:rPr>
      <w:rFonts w:ascii="Times New Roman" w:hAnsi="Times New Roman" w:eastAsia="宋体" w:cs="Times New Roman"/>
      <w:szCs w:val="21"/>
    </w:rPr>
  </w:style>
  <w:style w:type="paragraph" w:styleId="898" w:customStyle="1">
    <w:name w:val="文档结构图1"/>
    <w:basedOn w:val="686"/>
    <w:link w:val="899"/>
    <w:uiPriority w:val="0"/>
    <w:semiHidden/>
    <w:qFormat/>
    <w:pPr>
      <w:shd w:val="clear" w:color="auto" w:fill="000080"/>
    </w:pPr>
    <w:rPr>
      <w:rFonts w:ascii="Times New Roman" w:hAnsi="Times New Roman" w:eastAsia="宋体" w:cs="Times New Roman"/>
      <w:szCs w:val="21"/>
    </w:rPr>
  </w:style>
  <w:style w:type="character" w:styleId="899" w:customStyle="1">
    <w:name w:val="文档结构图 字符"/>
    <w:link w:val="898"/>
    <w:uiPriority w:val="0"/>
    <w:semiHidden/>
    <w:qFormat/>
    <w:rPr>
      <w:rFonts w:ascii="Times New Roman" w:hAnsi="Times New Roman" w:eastAsia="宋体" w:cs="Times New Roman"/>
      <w:szCs w:val="21"/>
      <w:shd w:val="clear" w:color="auto" w:fill="000080"/>
    </w:rPr>
  </w:style>
  <w:style w:type="paragraph" w:styleId="900" w:customStyle="1">
    <w:name w:val="批注文字1"/>
    <w:basedOn w:val="686"/>
    <w:link w:val="901"/>
    <w:uiPriority w:val="0"/>
    <w:unhideWhenUsed/>
    <w:qFormat/>
    <w:pPr>
      <w:jc w:val="left"/>
    </w:pPr>
  </w:style>
  <w:style w:type="character" w:styleId="901" w:customStyle="1">
    <w:name w:val="批注文字 字符"/>
    <w:link w:val="900"/>
    <w:uiPriority w:val="99"/>
    <w:semiHidden/>
    <w:qFormat/>
  </w:style>
  <w:style w:type="paragraph" w:styleId="902" w:customStyle="1">
    <w:name w:val="正文文本 31"/>
    <w:basedOn w:val="686"/>
    <w:link w:val="903"/>
    <w:uiPriority w:val="0"/>
    <w:qFormat/>
    <w:rPr>
      <w:rFonts w:ascii="仿宋_GB2312" w:hAnsi="Arial" w:eastAsia="仿宋_GB2312" w:cs="Times New Roman"/>
      <w:sz w:val="32"/>
      <w:szCs w:val="32"/>
    </w:rPr>
  </w:style>
  <w:style w:type="character" w:styleId="903" w:customStyle="1">
    <w:name w:val="正文文本 3 字符"/>
    <w:link w:val="902"/>
    <w:uiPriority w:val="0"/>
    <w:qFormat/>
    <w:rPr>
      <w:rFonts w:ascii="仿宋_GB2312" w:hAnsi="Arial" w:eastAsia="仿宋_GB2312" w:cs="Times New Roman"/>
      <w:sz w:val="32"/>
      <w:szCs w:val="32"/>
    </w:rPr>
  </w:style>
  <w:style w:type="paragraph" w:styleId="904" w:customStyle="1">
    <w:name w:val="正文文本缩进1"/>
    <w:basedOn w:val="686"/>
    <w:link w:val="905"/>
    <w:uiPriority w:val="0"/>
    <w:unhideWhenUsed/>
    <w:qFormat/>
    <w:pPr>
      <w:ind w:left="420"/>
      <w:spacing w:after="120"/>
    </w:pPr>
  </w:style>
  <w:style w:type="character" w:styleId="905" w:customStyle="1">
    <w:name w:val="正文文本缩进 字符"/>
    <w:link w:val="904"/>
    <w:uiPriority w:val="99"/>
    <w:semiHidden/>
    <w:qFormat/>
  </w:style>
  <w:style w:type="paragraph" w:styleId="906" w:customStyle="1">
    <w:name w:val="列表 21"/>
    <w:basedOn w:val="686"/>
    <w:uiPriority w:val="0"/>
    <w:qFormat/>
    <w:pPr>
      <w:ind w:left="100" w:hanging="200"/>
    </w:pPr>
    <w:rPr>
      <w:rFonts w:ascii="Times New Roman" w:hAnsi="Times New Roman" w:eastAsia="宋体" w:cs="Times New Roman"/>
      <w:szCs w:val="21"/>
    </w:rPr>
  </w:style>
  <w:style w:type="paragraph" w:styleId="907" w:customStyle="1">
    <w:name w:val="目录 51"/>
    <w:basedOn w:val="686"/>
    <w:next w:val="686"/>
    <w:uiPriority w:val="0"/>
    <w:semiHidden/>
    <w:qFormat/>
    <w:pPr>
      <w:ind w:left="840"/>
      <w:jc w:val="left"/>
    </w:pPr>
    <w:rPr>
      <w:rFonts w:ascii="Times New Roman" w:hAnsi="Times New Roman" w:eastAsia="宋体" w:cs="Times New Roman"/>
      <w:szCs w:val="21"/>
    </w:rPr>
  </w:style>
  <w:style w:type="paragraph" w:styleId="908" w:customStyle="1">
    <w:name w:val="目录 31"/>
    <w:basedOn w:val="686"/>
    <w:next w:val="686"/>
    <w:uiPriority w:val="0"/>
    <w:semiHidden/>
    <w:qFormat/>
    <w:pPr>
      <w:ind w:left="420"/>
      <w:jc w:val="left"/>
    </w:pPr>
    <w:rPr>
      <w:rFonts w:ascii="Times New Roman" w:hAnsi="Times New Roman" w:eastAsia="宋体" w:cs="Times New Roman"/>
      <w:i/>
      <w:iCs/>
      <w:szCs w:val="24"/>
    </w:rPr>
  </w:style>
  <w:style w:type="paragraph" w:styleId="909" w:customStyle="1">
    <w:name w:val="纯文本1"/>
    <w:basedOn w:val="686"/>
    <w:link w:val="910"/>
    <w:uiPriority w:val="0"/>
    <w:qFormat/>
    <w:rPr>
      <w:rFonts w:ascii="宋体" w:hAnsi="Courier New" w:eastAsia="宋体" w:cs="Courier New"/>
      <w:szCs w:val="21"/>
    </w:rPr>
  </w:style>
  <w:style w:type="character" w:styleId="910" w:customStyle="1">
    <w:name w:val="纯文本 字符"/>
    <w:link w:val="909"/>
    <w:uiPriority w:val="0"/>
    <w:qFormat/>
    <w:rPr>
      <w:rFonts w:ascii="宋体" w:hAnsi="Courier New" w:eastAsia="宋体" w:cs="Courier New"/>
      <w:szCs w:val="21"/>
    </w:rPr>
  </w:style>
  <w:style w:type="paragraph" w:styleId="911" w:customStyle="1">
    <w:name w:val="目录 81"/>
    <w:basedOn w:val="686"/>
    <w:next w:val="686"/>
    <w:uiPriority w:val="0"/>
    <w:semiHidden/>
    <w:qFormat/>
    <w:pPr>
      <w:ind w:left="1470"/>
      <w:jc w:val="left"/>
    </w:pPr>
    <w:rPr>
      <w:rFonts w:ascii="Times New Roman" w:hAnsi="Times New Roman" w:eastAsia="宋体" w:cs="Times New Roman"/>
      <w:szCs w:val="21"/>
    </w:rPr>
  </w:style>
  <w:style w:type="paragraph" w:styleId="912" w:customStyle="1">
    <w:name w:val="日期1"/>
    <w:basedOn w:val="686"/>
    <w:next w:val="686"/>
    <w:link w:val="913"/>
    <w:uiPriority w:val="0"/>
    <w:qFormat/>
    <w:rPr>
      <w:rFonts w:ascii="Times New Roman" w:hAnsi="Times New Roman" w:eastAsia="宋体" w:cs="Times New Roman"/>
      <w:sz w:val="24"/>
      <w:szCs w:val="24"/>
    </w:rPr>
  </w:style>
  <w:style w:type="character" w:styleId="913" w:customStyle="1">
    <w:name w:val="日期 字符"/>
    <w:link w:val="912"/>
    <w:uiPriority w:val="0"/>
    <w:qFormat/>
    <w:rPr>
      <w:rFonts w:ascii="Times New Roman" w:hAnsi="Times New Roman" w:eastAsia="宋体" w:cs="Times New Roman"/>
      <w:sz w:val="24"/>
      <w:szCs w:val="24"/>
    </w:rPr>
  </w:style>
  <w:style w:type="paragraph" w:styleId="914" w:customStyle="1">
    <w:name w:val="正文文本缩进 21"/>
    <w:basedOn w:val="686"/>
    <w:link w:val="915"/>
    <w:uiPriority w:val="0"/>
    <w:qFormat/>
    <w:pPr>
      <w:ind w:left="630" w:firstLine="645"/>
    </w:pPr>
    <w:rPr>
      <w:rFonts w:ascii="Arial" w:hAnsi="Arial" w:eastAsia="仿宋_GB2312" w:cs="Arial"/>
      <w:sz w:val="32"/>
      <w:szCs w:val="32"/>
    </w:rPr>
  </w:style>
  <w:style w:type="character" w:styleId="915" w:customStyle="1">
    <w:name w:val="正文文本缩进 2 字符"/>
    <w:link w:val="914"/>
    <w:uiPriority w:val="0"/>
    <w:qFormat/>
    <w:rPr>
      <w:rFonts w:ascii="Arial" w:hAnsi="Arial" w:eastAsia="仿宋_GB2312" w:cs="Arial"/>
      <w:sz w:val="32"/>
      <w:szCs w:val="32"/>
    </w:rPr>
  </w:style>
  <w:style w:type="paragraph" w:styleId="916" w:customStyle="1">
    <w:name w:val="批注框文本1"/>
    <w:basedOn w:val="686"/>
    <w:link w:val="917"/>
    <w:uiPriority w:val="0"/>
    <w:semiHidden/>
    <w:qFormat/>
    <w:rPr>
      <w:rFonts w:ascii="Times New Roman" w:hAnsi="Times New Roman" w:eastAsia="宋体" w:cs="Times New Roman"/>
      <w:sz w:val="18"/>
      <w:szCs w:val="18"/>
    </w:rPr>
  </w:style>
  <w:style w:type="character" w:styleId="917" w:customStyle="1">
    <w:name w:val="批注框文本 字符"/>
    <w:link w:val="916"/>
    <w:uiPriority w:val="0"/>
    <w:semiHidden/>
    <w:qFormat/>
    <w:rPr>
      <w:rFonts w:ascii="Times New Roman" w:hAnsi="Times New Roman" w:eastAsia="宋体" w:cs="Times New Roman"/>
      <w:sz w:val="18"/>
      <w:szCs w:val="18"/>
    </w:rPr>
  </w:style>
  <w:style w:type="paragraph" w:styleId="918" w:customStyle="1">
    <w:name w:val="页脚1"/>
    <w:basedOn w:val="686"/>
    <w:link w:val="919"/>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19" w:customStyle="1">
    <w:name w:val="页脚 字符"/>
    <w:link w:val="918"/>
    <w:uiPriority w:val="99"/>
    <w:qFormat/>
    <w:rPr>
      <w:rFonts w:ascii="Times New Roman" w:hAnsi="Times New Roman" w:eastAsia="宋体" w:cs="Times New Roman"/>
      <w:sz w:val="18"/>
      <w:szCs w:val="18"/>
    </w:rPr>
  </w:style>
  <w:style w:type="paragraph" w:styleId="920" w:customStyle="1">
    <w:name w:val="页眉1"/>
    <w:basedOn w:val="686"/>
    <w:link w:val="92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customStyle="1">
    <w:name w:val="页眉 字符"/>
    <w:link w:val="920"/>
    <w:uiPriority w:val="0"/>
    <w:qFormat/>
    <w:rPr>
      <w:rFonts w:ascii="Times New Roman" w:hAnsi="Times New Roman" w:eastAsia="宋体" w:cs="Times New Roman"/>
      <w:sz w:val="18"/>
      <w:szCs w:val="18"/>
    </w:rPr>
  </w:style>
  <w:style w:type="paragraph" w:styleId="922" w:customStyle="1">
    <w:name w:val="目录 11"/>
    <w:basedOn w:val="686"/>
    <w:next w:val="68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3" w:customStyle="1">
    <w:name w:val="目录 41"/>
    <w:basedOn w:val="686"/>
    <w:next w:val="686"/>
    <w:uiPriority w:val="0"/>
    <w:semiHidden/>
    <w:qFormat/>
    <w:pPr>
      <w:ind w:left="630"/>
      <w:jc w:val="left"/>
    </w:pPr>
    <w:rPr>
      <w:rFonts w:ascii="Times New Roman" w:hAnsi="Times New Roman" w:eastAsia="宋体" w:cs="Times New Roman"/>
      <w:szCs w:val="21"/>
    </w:rPr>
  </w:style>
  <w:style w:type="paragraph" w:styleId="924" w:customStyle="1">
    <w:name w:val="列表1"/>
    <w:basedOn w:val="686"/>
    <w:uiPriority w:val="0"/>
    <w:qFormat/>
    <w:pPr>
      <w:ind w:left="200" w:hanging="200"/>
    </w:pPr>
    <w:rPr>
      <w:rFonts w:ascii="Times New Roman" w:hAnsi="Times New Roman" w:eastAsia="宋体" w:cs="Times New Roman"/>
      <w:szCs w:val="21"/>
    </w:rPr>
  </w:style>
  <w:style w:type="paragraph" w:styleId="925" w:customStyle="1">
    <w:name w:val="目录 61"/>
    <w:basedOn w:val="686"/>
    <w:next w:val="686"/>
    <w:uiPriority w:val="0"/>
    <w:semiHidden/>
    <w:qFormat/>
    <w:pPr>
      <w:ind w:left="1050"/>
      <w:jc w:val="left"/>
    </w:pPr>
    <w:rPr>
      <w:rFonts w:ascii="Times New Roman" w:hAnsi="Times New Roman" w:eastAsia="宋体" w:cs="Times New Roman"/>
      <w:szCs w:val="21"/>
    </w:rPr>
  </w:style>
  <w:style w:type="paragraph" w:styleId="926" w:customStyle="1">
    <w:name w:val="正文文本缩进 31"/>
    <w:basedOn w:val="686"/>
    <w:link w:val="927"/>
    <w:uiPriority w:val="0"/>
    <w:qFormat/>
    <w:pPr>
      <w:ind w:left="645" w:firstLine="645"/>
    </w:pPr>
    <w:rPr>
      <w:rFonts w:ascii="Arial" w:hAnsi="Arial" w:eastAsia="仿宋_GB2312" w:cs="Arial"/>
      <w:color w:val="ffff00"/>
      <w:sz w:val="32"/>
      <w:szCs w:val="32"/>
    </w:rPr>
  </w:style>
  <w:style w:type="character" w:styleId="927" w:customStyle="1">
    <w:name w:val="正文文本缩进 3 字符"/>
    <w:link w:val="926"/>
    <w:uiPriority w:val="0"/>
    <w:qFormat/>
    <w:rPr>
      <w:rFonts w:ascii="Arial" w:hAnsi="Arial" w:eastAsia="仿宋_GB2312" w:cs="Arial"/>
      <w:color w:val="ffff00"/>
      <w:sz w:val="32"/>
      <w:szCs w:val="32"/>
    </w:rPr>
  </w:style>
  <w:style w:type="paragraph" w:styleId="928" w:customStyle="1">
    <w:name w:val="图表目录1"/>
    <w:basedOn w:val="686"/>
    <w:next w:val="686"/>
    <w:uiPriority w:val="0"/>
    <w:semiHidden/>
    <w:qFormat/>
    <w:pPr>
      <w:ind w:left="840" w:hanging="420"/>
    </w:pPr>
    <w:rPr>
      <w:rFonts w:ascii="Times New Roman" w:hAnsi="Times New Roman" w:eastAsia="宋体" w:cs="Times New Roman"/>
      <w:szCs w:val="21"/>
    </w:rPr>
  </w:style>
  <w:style w:type="paragraph" w:styleId="929" w:customStyle="1">
    <w:name w:val="目录 21"/>
    <w:basedOn w:val="686"/>
    <w:next w:val="686"/>
    <w:uiPriority w:val="0"/>
    <w:semiHidden/>
    <w:qFormat/>
    <w:pPr>
      <w:ind w:left="210"/>
      <w:jc w:val="left"/>
    </w:pPr>
    <w:rPr>
      <w:rFonts w:ascii="Times New Roman" w:hAnsi="Times New Roman" w:eastAsia="宋体" w:cs="Times New Roman"/>
      <w:smallCaps/>
      <w:szCs w:val="24"/>
    </w:rPr>
  </w:style>
  <w:style w:type="paragraph" w:styleId="930" w:customStyle="1">
    <w:name w:val="目录 91"/>
    <w:basedOn w:val="686"/>
    <w:next w:val="686"/>
    <w:uiPriority w:val="0"/>
    <w:semiHidden/>
    <w:qFormat/>
    <w:pPr>
      <w:ind w:left="1680"/>
      <w:jc w:val="left"/>
    </w:pPr>
    <w:rPr>
      <w:rFonts w:ascii="Times New Roman" w:hAnsi="Times New Roman" w:eastAsia="宋体" w:cs="Times New Roman"/>
      <w:szCs w:val="21"/>
    </w:rPr>
  </w:style>
  <w:style w:type="paragraph" w:styleId="931" w:customStyle="1">
    <w:name w:val="正文文本 21"/>
    <w:basedOn w:val="686"/>
    <w:link w:val="932"/>
    <w:uiPriority w:val="0"/>
    <w:qFormat/>
    <w:pPr>
      <w:jc w:val="center"/>
      <w:widowControl/>
    </w:pPr>
    <w:rPr>
      <w:rFonts w:ascii="楷体_GB2312" w:hAnsi="Times New Roman" w:eastAsia="楷体_GB2312" w:cs="Times New Roman"/>
      <w:sz w:val="28"/>
      <w:szCs w:val="28"/>
    </w:rPr>
  </w:style>
  <w:style w:type="character" w:styleId="932" w:customStyle="1">
    <w:name w:val="正文文本 2 字符"/>
    <w:link w:val="931"/>
    <w:uiPriority w:val="0"/>
    <w:qFormat/>
    <w:rPr>
      <w:rFonts w:ascii="楷体_GB2312" w:hAnsi="Times New Roman" w:eastAsia="楷体_GB2312" w:cs="Times New Roman"/>
      <w:sz w:val="28"/>
      <w:szCs w:val="28"/>
    </w:rPr>
  </w:style>
  <w:style w:type="paragraph" w:styleId="933" w:customStyle="1">
    <w:name w:val="普通(网站)11"/>
    <w:basedOn w:val="686"/>
    <w:uiPriority w:val="99"/>
    <w:qFormat/>
    <w:pPr>
      <w:jc w:val="left"/>
      <w:spacing w:before="100" w:beforeAutospacing="1" w:after="100" w:afterAutospacing="1"/>
      <w:widowControl/>
    </w:pPr>
    <w:rPr>
      <w:rFonts w:ascii="宋体" w:hAnsi="宋体" w:eastAsia="宋体" w:cs="宋体"/>
      <w:sz w:val="24"/>
      <w:szCs w:val="24"/>
    </w:rPr>
  </w:style>
  <w:style w:type="paragraph" w:styleId="934" w:customStyle="1">
    <w:name w:val="索引 11"/>
    <w:basedOn w:val="686"/>
    <w:next w:val="686"/>
    <w:uiPriority w:val="0"/>
    <w:semiHidden/>
    <w:qFormat/>
    <w:pPr>
      <w:spacing w:line="240" w:lineRule="atLeast"/>
    </w:pPr>
    <w:rPr>
      <w:rFonts w:ascii="Times New Roman" w:hAnsi="Times New Roman" w:eastAsia="宋体" w:cs="Times New Roman"/>
      <w:b/>
      <w:bCs/>
      <w:szCs w:val="21"/>
    </w:rPr>
  </w:style>
  <w:style w:type="paragraph" w:styleId="935" w:customStyle="1">
    <w:name w:val="批注主题1"/>
    <w:basedOn w:val="900"/>
    <w:next w:val="900"/>
    <w:link w:val="936"/>
    <w:uiPriority w:val="0"/>
    <w:semiHidden/>
    <w:qFormat/>
    <w:rPr>
      <w:rFonts w:ascii="Times New Roman" w:hAnsi="Times New Roman" w:eastAsia="宋体" w:cs="Times New Roman"/>
      <w:b/>
      <w:bCs/>
      <w:szCs w:val="21"/>
    </w:rPr>
  </w:style>
  <w:style w:type="character" w:styleId="936" w:customStyle="1">
    <w:name w:val="批注主题 字符"/>
    <w:link w:val="935"/>
    <w:uiPriority w:val="0"/>
    <w:semiHidden/>
    <w:qFormat/>
    <w:rPr>
      <w:rFonts w:ascii="Times New Roman" w:hAnsi="Times New Roman" w:eastAsia="宋体" w:cs="Times New Roman"/>
      <w:b/>
      <w:bCs/>
      <w:szCs w:val="21"/>
    </w:rPr>
  </w:style>
  <w:style w:type="paragraph" w:styleId="937" w:customStyle="1">
    <w:name w:val="正文首行缩进 21"/>
    <w:basedOn w:val="904"/>
    <w:link w:val="938"/>
    <w:uiPriority w:val="0"/>
    <w:qFormat/>
    <w:pPr>
      <w:ind w:left="0" w:firstLine="420"/>
      <w:spacing w:after="0" w:line="360" w:lineRule="auto"/>
    </w:pPr>
    <w:rPr>
      <w:rFonts w:ascii="宋体" w:hAnsi="宋体" w:eastAsia="宋体" w:cs="Times New Roman"/>
      <w:szCs w:val="20"/>
    </w:rPr>
  </w:style>
  <w:style w:type="character" w:styleId="938" w:customStyle="1">
    <w:name w:val="正文首行缩进 2 字符"/>
    <w:link w:val="937"/>
    <w:uiPriority w:val="0"/>
    <w:qFormat/>
    <w:rPr>
      <w:rFonts w:ascii="宋体" w:hAnsi="宋体" w:eastAsia="宋体" w:cs="Times New Roman"/>
      <w:szCs w:val="20"/>
    </w:rPr>
  </w:style>
  <w:style w:type="table" w:styleId="939" w:customStyle="1">
    <w:name w:val="网格型1"/>
    <w:basedOn w:val="881"/>
    <w:uiPriority w:val="0"/>
    <w:qFormat/>
    <w:pPr>
      <w:jc w:val="both"/>
      <w:widowControl w:val="off"/>
    </w:pPr>
    <w:rPr>
      <w:rFonts w:ascii="Times New Roman" w:hAnsi="Times New Roman" w:eastAsia="宋体" w:cs="Times New Roman"/>
      <w:sz w:val="20"/>
      <w:szCs w:val="20"/>
    </w:rPr>
    <w:tblPr/>
  </w:style>
  <w:style w:type="character" w:styleId="940" w:customStyle="1">
    <w:name w:val="要点1"/>
    <w:link w:val="686"/>
    <w:uiPriority w:val="0"/>
    <w:qFormat/>
    <w:rPr>
      <w:b/>
      <w:bCs/>
    </w:rPr>
  </w:style>
  <w:style w:type="character" w:styleId="941" w:customStyle="1">
    <w:name w:val="页码1"/>
    <w:link w:val="686"/>
    <w:uiPriority w:val="0"/>
    <w:qFormat/>
  </w:style>
  <w:style w:type="character" w:styleId="942" w:customStyle="1">
    <w:name w:val="已访问的超链接1"/>
    <w:link w:val="686"/>
    <w:uiPriority w:val="0"/>
    <w:qFormat/>
    <w:rPr>
      <w:color w:val="800080"/>
      <w:u w:val="single"/>
    </w:rPr>
  </w:style>
  <w:style w:type="character" w:styleId="943" w:customStyle="1">
    <w:name w:val="强调1"/>
    <w:link w:val="686"/>
    <w:uiPriority w:val="0"/>
    <w:qFormat/>
    <w:rPr>
      <w:i/>
    </w:rPr>
  </w:style>
  <w:style w:type="character" w:styleId="944" w:customStyle="1">
    <w:name w:val="超链接1"/>
    <w:link w:val="686"/>
    <w:uiPriority w:val="0"/>
    <w:qFormat/>
    <w:rPr>
      <w:color w:val="0000ff"/>
      <w:u w:val="single"/>
    </w:rPr>
  </w:style>
  <w:style w:type="character" w:styleId="945" w:customStyle="1">
    <w:name w:val="批注引用1"/>
    <w:link w:val="686"/>
    <w:uiPriority w:val="0"/>
    <w:semiHidden/>
    <w:qFormat/>
    <w:rPr>
      <w:sz w:val="21"/>
      <w:szCs w:val="21"/>
    </w:rPr>
  </w:style>
  <w:style w:type="character" w:styleId="946" w:customStyle="1">
    <w:name w:val="font5 Char"/>
    <w:link w:val="686"/>
    <w:uiPriority w:val="0"/>
    <w:qFormat/>
    <w:rPr>
      <w:rFonts w:ascii="宋体" w:hAnsi="宋体" w:eastAsia="宋体"/>
      <w:sz w:val="28"/>
      <w:szCs w:val="28"/>
      <w:lang w:val="en-US" w:eastAsia="zh-CN" w:bidi="ar-SA"/>
    </w:rPr>
  </w:style>
  <w:style w:type="character" w:styleId="947" w:customStyle="1">
    <w:name w:val="二级目录 Char"/>
    <w:link w:val="948"/>
    <w:uiPriority w:val="0"/>
    <w:qFormat/>
    <w:rPr>
      <w:b/>
      <w:sz w:val="30"/>
      <w:szCs w:val="28"/>
    </w:rPr>
  </w:style>
  <w:style w:type="paragraph" w:styleId="948" w:customStyle="1">
    <w:name w:val="二级目录"/>
    <w:next w:val="686"/>
    <w:link w:val="94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9" w:customStyle="1">
    <w:name w:val="列出段落 Char"/>
    <w:link w:val="950"/>
    <w:uiPriority w:val="0"/>
    <w:qFormat/>
    <w:rPr>
      <w:rFonts w:ascii="Calibri" w:hAnsi="Calibri"/>
      <w:sz w:val="24"/>
      <w:szCs w:val="24"/>
      <w:lang w:eastAsia="en-US" w:bidi="en-US"/>
    </w:rPr>
  </w:style>
  <w:style w:type="paragraph" w:styleId="950" w:customStyle="1">
    <w:name w:val="列出段落1"/>
    <w:basedOn w:val="686"/>
    <w:link w:val="949"/>
    <w:uiPriority w:val="0"/>
    <w:qFormat/>
    <w:pPr>
      <w:contextualSpacing/>
      <w:ind w:left="720"/>
      <w:jc w:val="left"/>
      <w:widowControl/>
    </w:pPr>
    <w:rPr>
      <w:rFonts w:ascii="Calibri" w:hAnsi="Calibri"/>
      <w:sz w:val="24"/>
      <w:szCs w:val="24"/>
      <w:lang w:eastAsia="en-US" w:bidi="en-US"/>
    </w:rPr>
  </w:style>
  <w:style w:type="paragraph" w:styleId="951" w:customStyle="1">
    <w:name w:val="Body Text(ch)"/>
    <w:basedOn w:val="686"/>
    <w:next w:val="883"/>
    <w:uiPriority w:val="0"/>
    <w:pPr>
      <w:spacing w:after="120"/>
    </w:pPr>
    <w:rPr>
      <w:rFonts w:ascii="宋体" w:hAnsi="Arial" w:eastAsia="宋体" w:cs="Times New Roman"/>
      <w:bCs/>
      <w:iCs/>
      <w:szCs w:val="24"/>
    </w:rPr>
  </w:style>
  <w:style w:type="paragraph" w:styleId="952" w:customStyle="1">
    <w:name w:val="xl27"/>
    <w:basedOn w:val="68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customStyle="1">
    <w:name w:val="xl26"/>
    <w:basedOn w:val="68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customStyle="1">
    <w:name w:val="Char"/>
    <w:basedOn w:val="686"/>
    <w:uiPriority w:val="0"/>
    <w:pPr>
      <w:ind w:firstLine="200"/>
      <w:tabs>
        <w:tab w:val="left" w:pos="360" w:leader="none"/>
      </w:tabs>
    </w:pPr>
    <w:rPr>
      <w:rFonts w:ascii="Times New Roman" w:hAnsi="Times New Roman" w:eastAsia="宋体" w:cs="Times New Roman"/>
      <w:sz w:val="28"/>
      <w:szCs w:val="30"/>
    </w:rPr>
  </w:style>
  <w:style w:type="paragraph" w:styleId="955" w:customStyle="1">
    <w:name w:val=" Char"/>
    <w:basedOn w:val="898"/>
    <w:uiPriority w:val="0"/>
    <w:rPr>
      <w:rFonts w:ascii="Tahoma" w:hAnsi="Tahoma"/>
      <w:sz w:val="24"/>
      <w:szCs w:val="24"/>
    </w:rPr>
  </w:style>
  <w:style w:type="paragraph" w:styleId="956" w:customStyle="1">
    <w:name w:val="普通正文"/>
    <w:basedOn w:val="957"/>
    <w:uiPriority w:val="0"/>
    <w:pPr>
      <w:ind w:firstLine="480"/>
      <w:jc w:val="left"/>
      <w:spacing w:before="120" w:after="120" w:line="360" w:lineRule="auto"/>
    </w:pPr>
    <w:rPr>
      <w:rFonts w:ascii="Arial" w:hAnsi="Arial" w:eastAsia="宋体" w:cs="Times New Roman"/>
      <w:sz w:val="24"/>
      <w:szCs w:val="24"/>
    </w:rPr>
  </w:style>
  <w:style w:type="paragraph" w:styleId="957"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58" w:customStyle="1">
    <w:name w:val="table_lines"/>
    <w:basedOn w:val="686"/>
    <w:uiPriority w:val="0"/>
    <w:pPr>
      <w:jc w:val="left"/>
      <w:widowControl/>
    </w:pPr>
    <w:rPr>
      <w:rFonts w:ascii="Times New Roman" w:hAnsi="Times New Roman" w:eastAsia="宋体" w:cs="Times New Roman"/>
      <w:sz w:val="20"/>
      <w:szCs w:val="20"/>
      <w:lang w:val="de-DE" w:eastAsia="de-DE"/>
    </w:rPr>
  </w:style>
  <w:style w:type="paragraph" w:styleId="959"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0" w:customStyle="1">
    <w:name w:val="font7"/>
    <w:basedOn w:val="686"/>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61" w:customStyle="1">
    <w:name w:val=" Char Char Char Char"/>
    <w:basedOn w:val="898"/>
    <w:uiPriority w:val="0"/>
    <w:pPr>
      <w:spacing w:line="360" w:lineRule="auto"/>
    </w:pPr>
    <w:rPr>
      <w:rFonts w:ascii="Tahoma" w:hAnsi="Tahoma"/>
      <w:sz w:val="24"/>
      <w:szCs w:val="24"/>
    </w:rPr>
  </w:style>
  <w:style w:type="paragraph" w:styleId="962" w:customStyle="1">
    <w:name w:val="列出段落"/>
    <w:basedOn w:val="686"/>
    <w:uiPriority w:val="0"/>
    <w:qFormat/>
    <w:pPr>
      <w:contextualSpacing/>
      <w:ind w:left="720"/>
      <w:jc w:val="left"/>
      <w:widowControl/>
    </w:pPr>
    <w:rPr>
      <w:rFonts w:ascii="Calibri" w:hAnsi="Calibri" w:eastAsia="宋体" w:cs="Times New Roman"/>
      <w:sz w:val="24"/>
      <w:szCs w:val="24"/>
      <w:lang w:eastAsia="en-US" w:bidi="en-US"/>
    </w:rPr>
  </w:style>
  <w:style w:type="paragraph" w:styleId="963" w:customStyle="1">
    <w:name w:val="4"/>
    <w:basedOn w:val="686"/>
    <w:next w:val="926"/>
    <w:uiPriority w:val="0"/>
    <w:pPr>
      <w:ind w:firstLine="420"/>
      <w:spacing w:line="360" w:lineRule="auto"/>
    </w:pPr>
    <w:rPr>
      <w:rFonts w:ascii="Times New Roman" w:hAnsi="Times New Roman" w:eastAsia="宋体" w:cs="Times New Roman"/>
      <w:color w:val="ff0000"/>
      <w:sz w:val="24"/>
      <w:szCs w:val="24"/>
    </w:rPr>
  </w:style>
  <w:style w:type="paragraph" w:styleId="964" w:customStyle="1">
    <w:name w:val="普通 (Web)"/>
    <w:basedOn w:val="686"/>
    <w:uiPriority w:val="0"/>
    <w:pPr>
      <w:jc w:val="left"/>
      <w:spacing w:before="100" w:beforeAutospacing="1" w:after="100" w:afterAutospacing="1"/>
      <w:widowControl/>
    </w:pPr>
    <w:rPr>
      <w:rFonts w:ascii="宋体" w:hAnsi="宋体" w:eastAsia="宋体" w:cs="Times New Roman"/>
      <w:sz w:val="24"/>
      <w:szCs w:val="24"/>
    </w:rPr>
  </w:style>
  <w:style w:type="paragraph" w:styleId="965" w:customStyle="1">
    <w:name w:val=" Char Char Char Char Char Char Char Char Char Char"/>
    <w:basedOn w:val="686"/>
    <w:uiPriority w:val="0"/>
    <w:pPr>
      <w:spacing w:line="360" w:lineRule="auto"/>
    </w:pPr>
    <w:rPr>
      <w:rFonts w:ascii="Times New Roman" w:hAnsi="Times New Roman" w:eastAsia="宋体" w:cs="Times New Roman"/>
      <w:sz w:val="24"/>
      <w:szCs w:val="20"/>
    </w:rPr>
  </w:style>
  <w:style w:type="paragraph" w:styleId="966" w:customStyle="1">
    <w:name w:val="样式1"/>
    <w:basedOn w:val="686"/>
    <w:uiPriority w:val="0"/>
    <w:pPr>
      <w:numPr>
        <w:ilvl w:val="0"/>
        <w:numId w:val="3"/>
      </w:numPr>
    </w:pPr>
    <w:rPr>
      <w:rFonts w:ascii="宋体" w:hAnsi="宋体" w:eastAsia="宋体" w:cs="Times New Roman"/>
      <w:szCs w:val="21"/>
    </w:rPr>
  </w:style>
  <w:style w:type="paragraph" w:styleId="967" w:customStyle="1">
    <w:name w:val="font6"/>
    <w:basedOn w:val="686"/>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68" w:customStyle="1">
    <w:name w:val="xl25"/>
    <w:basedOn w:val="686"/>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customStyle="1">
    <w:name w:val="图标"/>
    <w:basedOn w:val="686"/>
    <w:next w:val="686"/>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0" w:customStyle="1">
    <w:name w:val="标题3"/>
    <w:basedOn w:val="686"/>
    <w:next w:val="686"/>
    <w:uiPriority w:val="0"/>
    <w:pPr>
      <w:ind w:firstLine="624"/>
      <w:spacing w:line="590" w:lineRule="atLeast"/>
    </w:pPr>
    <w:rPr>
      <w:rFonts w:ascii="方正黑体_GBK" w:hAnsi="Times New Roman" w:eastAsia="方正黑体_GBK" w:cs="Times New Roman"/>
      <w:sz w:val="32"/>
      <w:szCs w:val="32"/>
    </w:rPr>
  </w:style>
  <w:style w:type="paragraph" w:styleId="971" w:customStyle="1">
    <w:name w:val="xl24"/>
    <w:basedOn w:val="68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customStyle="1">
    <w:name w:val="xl29"/>
    <w:basedOn w:val="686"/>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3" w:customStyle="1">
    <w:name w:val="Char Char Char Char Char Char Char Char"/>
    <w:basedOn w:val="686"/>
    <w:uiPriority w:val="0"/>
    <w:pPr>
      <w:jc w:val="left"/>
      <w:spacing w:after="160" w:line="240" w:lineRule="exact"/>
      <w:widowControl/>
    </w:pPr>
    <w:rPr>
      <w:rFonts w:ascii="Verdana" w:hAnsi="Verdana" w:eastAsia="宋体" w:cs="Times New Roman"/>
      <w:sz w:val="20"/>
      <w:szCs w:val="20"/>
      <w:lang w:eastAsia="en-US"/>
    </w:rPr>
  </w:style>
  <w:style w:type="paragraph" w:styleId="974" w:customStyle="1">
    <w:name w:val="xl28"/>
    <w:basedOn w:val="686"/>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5" w:customStyle="1">
    <w:name w:val=" Char Char Char Char Char Char Char Char"/>
    <w:basedOn w:val="686"/>
    <w:uiPriority w:val="0"/>
    <w:pPr>
      <w:jc w:val="left"/>
      <w:spacing w:after="160" w:line="240" w:lineRule="exact"/>
      <w:widowControl/>
    </w:pPr>
    <w:rPr>
      <w:rFonts w:ascii="Verdana" w:hAnsi="Verdana" w:eastAsia="宋体" w:cs="Times New Roman"/>
      <w:sz w:val="20"/>
      <w:szCs w:val="20"/>
      <w:lang w:eastAsia="en-US"/>
    </w:rPr>
  </w:style>
  <w:style w:type="paragraph" w:styleId="976" w:customStyle="1">
    <w:name w:val="xl30"/>
    <w:basedOn w:val="686"/>
    <w:uiPriority w:val="0"/>
    <w:pPr>
      <w:jc w:val="center"/>
      <w:spacing w:before="100" w:beforeAutospacing="1" w:after="100" w:afterAutospacing="1"/>
      <w:widowControl/>
    </w:pPr>
    <w:rPr>
      <w:rFonts w:ascii="宋体" w:hAnsi="宋体" w:eastAsia="宋体" w:cs="Times New Roman"/>
      <w:b/>
      <w:bCs/>
      <w:sz w:val="36"/>
      <w:szCs w:val="36"/>
    </w:rPr>
  </w:style>
  <w:style w:type="paragraph" w:styleId="977" w:customStyle="1">
    <w:name w:val="Char Char Char Char"/>
    <w:basedOn w:val="898"/>
    <w:uiPriority w:val="0"/>
    <w:pPr>
      <w:spacing w:line="360" w:lineRule="auto"/>
    </w:pPr>
    <w:rPr>
      <w:rFonts w:ascii="Tahoma" w:hAnsi="Tahoma"/>
      <w:sz w:val="24"/>
      <w:szCs w:val="24"/>
    </w:rPr>
  </w:style>
  <w:style w:type="paragraph" w:styleId="978" w:customStyle="1">
    <w:name w:val="table_1stline"/>
    <w:basedOn w:val="686"/>
    <w:uiPriority w:val="0"/>
    <w:pPr>
      <w:jc w:val="left"/>
      <w:spacing w:before="120"/>
      <w:widowControl/>
    </w:pPr>
    <w:rPr>
      <w:rFonts w:ascii="Times New Roman" w:hAnsi="Times New Roman" w:eastAsia="宋体" w:cs="Times New Roman"/>
      <w:bCs/>
      <w:sz w:val="20"/>
      <w:szCs w:val="20"/>
      <w:lang w:val="de-DE" w:eastAsia="de-DE"/>
    </w:rPr>
  </w:style>
  <w:style w:type="paragraph" w:styleId="979" w:customStyle="1">
    <w:name w:val="font5"/>
    <w:basedOn w:val="686"/>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80" w:customStyle="1">
    <w:name w:val="标题1"/>
    <w:basedOn w:val="686"/>
    <w:next w:val="686"/>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1" w:customStyle="1">
    <w:name w:val="修订"/>
    <w:uiPriority w:val="99"/>
    <w:semiHidden/>
    <w:rPr>
      <w:rFonts w:hint="default" w:ascii="Times New Roman" w:hAnsi="Times New Roman" w:eastAsia="宋体" w:cs="Times New Roman"/>
      <w:sz w:val="21"/>
      <w:szCs w:val="21"/>
      <w:lang w:val="en-US" w:eastAsia="zh-CN" w:bidi="ar-SA"/>
    </w:rPr>
  </w:style>
  <w:style w:type="paragraph" w:styleId="9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4" w:customStyle="1">
    <w:name w:val="普通(网站)1"/>
    <w:basedOn w:val="686"/>
    <w:uiPriority w:val="0"/>
    <w:qFormat/>
    <w:pPr>
      <w:jc w:val="left"/>
      <w:spacing w:before="100" w:beforeAutospacing="1" w:after="100" w:afterAutospacing="1"/>
      <w:widowControl/>
    </w:pPr>
    <w:rPr>
      <w:rFonts w:ascii="宋体" w:hAnsi="宋体"/>
      <w:color w:val="000000"/>
      <w:sz w:val="24"/>
    </w:rPr>
  </w:style>
  <w:style w:type="paragraph" w:styleId="985" w:customStyle="1">
    <w:name w:val="msolistparagraph"/>
    <w:basedOn w:val="686"/>
    <w:uiPriority w:val="0"/>
    <w:qFormat/>
    <w:pPr>
      <w:ind w:left="272" w:right="0" w:hanging="284"/>
      <w:jc w:val="left"/>
      <w:keepLines w:val="0"/>
      <w:keepNext w:val="0"/>
      <w:spacing w:before="0" w:beforeAutospacing="0" w:after="0" w:afterAutospacing="0"/>
      <w:widowControl w:val="off"/>
      <w:suppressLineNumbers w:val="0"/>
    </w:pPr>
    <w:rPr>
      <w:rFonts w:hint="eastAsia" w:ascii="宋体" w:hAnsi="宋体" w:eastAsia="宋体" w:cs="宋体"/>
      <w:sz w:val="22"/>
      <w:szCs w:val="22"/>
      <w:lang w:val="en-US" w:eastAsia="zh-CN" w:bidi="ar"/>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8</cp:revision>
  <dcterms:created xsi:type="dcterms:W3CDTF">2025-12-26T03:51:00Z</dcterms:created>
  <dcterms:modified xsi:type="dcterms:W3CDTF">2026-02-25T07:34:45Z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2052-12.1.0.24657</vt:lpwstr>
  </property>
  <property fmtid="{D5CDD505-2E9C-101B-9397-08002B2CF9AE}" pid="4" name="ICV">
    <vt:lpwstr>6415BAC47DF94B669FC576610FBE9B1F_12</vt:lpwstr>
  </property>
</Properties>
</file>