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76FF3E"/>
    <w:p w14:paraId="0C72E31A"/>
    <w:p w14:paraId="1F87EAB3">
      <w:pPr>
        <w:rPr>
          <w:b/>
          <w:sz w:val="96"/>
          <w:szCs w:val="96"/>
        </w:rPr>
      </w:pPr>
    </w:p>
    <w:p w14:paraId="6D263273">
      <w:pPr>
        <w:spacing w:before="120" w:after="120" w:line="360" w:lineRule="auto"/>
        <w:jc w:val="center"/>
        <w:rPr>
          <w:b/>
          <w:sz w:val="96"/>
          <w:szCs w:val="72"/>
        </w:rPr>
      </w:pPr>
      <w:r>
        <w:rPr>
          <w:rFonts w:ascii="Arial" w:hAnsi="Arial" w:cs="Arial"/>
          <w:b/>
          <w:bCs/>
          <w:color w:val="000000"/>
          <w:sz w:val="84"/>
          <w:szCs w:val="84"/>
        </w:rPr>
        <w:t>竞争性磋商文件</w:t>
      </w:r>
    </w:p>
    <w:p w14:paraId="5F8DE465"/>
    <w:p w14:paraId="074DE8D0"/>
    <w:p w14:paraId="0CB0BF1A"/>
    <w:p w14:paraId="0F4D906E"/>
    <w:p w14:paraId="6B3F95EE">
      <w:pPr>
        <w:rPr>
          <w:b/>
          <w:sz w:val="44"/>
          <w:szCs w:val="44"/>
        </w:rPr>
      </w:pPr>
    </w:p>
    <w:p w14:paraId="24FCE4E3">
      <w:pPr>
        <w:rPr>
          <w:b/>
          <w:sz w:val="44"/>
          <w:szCs w:val="44"/>
        </w:rPr>
      </w:pPr>
    </w:p>
    <w:p w14:paraId="381DB549">
      <w:pPr>
        <w:ind w:firstLine="1767"/>
        <w:rPr>
          <w:b/>
          <w:sz w:val="44"/>
          <w:szCs w:val="44"/>
        </w:rPr>
      </w:pPr>
    </w:p>
    <w:p w14:paraId="134EC746">
      <w:pPr>
        <w:ind w:firstLine="883" w:firstLineChars="200"/>
        <w:jc w:val="left"/>
        <w:rPr>
          <w:rFonts w:hint="eastAsia" w:eastAsia="宋体"/>
          <w:b/>
          <w:sz w:val="44"/>
          <w:szCs w:val="44"/>
          <w:lang w:eastAsia="zh-CN"/>
        </w:rPr>
      </w:pPr>
      <w:r>
        <w:rPr>
          <w:b/>
          <w:sz w:val="44"/>
          <w:szCs w:val="44"/>
        </w:rPr>
        <w:t>项目名称：</w:t>
      </w:r>
      <w:r>
        <w:rPr>
          <w:rFonts w:hint="eastAsia"/>
          <w:b/>
          <w:sz w:val="44"/>
          <w:szCs w:val="44"/>
          <w:lang w:eastAsia="zh-CN"/>
        </w:rPr>
        <w:t>常熟市地籍一张图编制项目（二期）</w:t>
      </w:r>
    </w:p>
    <w:p w14:paraId="0CB89826">
      <w:pPr>
        <w:ind w:firstLine="883" w:firstLineChars="200"/>
        <w:jc w:val="left"/>
        <w:rPr>
          <w:rFonts w:hint="eastAsia" w:eastAsia="宋体"/>
          <w:b/>
          <w:sz w:val="44"/>
          <w:szCs w:val="44"/>
          <w:lang w:eastAsia="zh-CN"/>
        </w:rPr>
      </w:pPr>
      <w:r>
        <w:rPr>
          <w:b/>
          <w:sz w:val="44"/>
          <w:szCs w:val="44"/>
        </w:rPr>
        <w:t>项目编号</w:t>
      </w:r>
      <w:r>
        <w:rPr>
          <w:rFonts w:hint="eastAsia"/>
          <w:b/>
          <w:sz w:val="44"/>
          <w:szCs w:val="44"/>
        </w:rPr>
        <w:t>：</w:t>
      </w:r>
      <w:r>
        <w:rPr>
          <w:rFonts w:hint="eastAsia"/>
          <w:b/>
          <w:sz w:val="44"/>
          <w:szCs w:val="44"/>
          <w:lang w:eastAsia="zh-CN"/>
        </w:rPr>
        <w:t>JSZC-320581-CSXC-C2026-0004</w:t>
      </w:r>
    </w:p>
    <w:p w14:paraId="39945006">
      <w:pPr>
        <w:ind w:firstLine="883" w:firstLineChars="200"/>
        <w:jc w:val="left"/>
        <w:rPr>
          <w:b/>
          <w:sz w:val="44"/>
          <w:szCs w:val="44"/>
        </w:rPr>
      </w:pPr>
      <w:r>
        <w:rPr>
          <w:b/>
          <w:sz w:val="44"/>
          <w:szCs w:val="44"/>
        </w:rPr>
        <w:t>项目属性：服务类项目</w:t>
      </w:r>
    </w:p>
    <w:p w14:paraId="282636B6">
      <w:pPr>
        <w:rPr>
          <w:b/>
          <w:sz w:val="44"/>
          <w:szCs w:val="44"/>
        </w:rPr>
      </w:pPr>
    </w:p>
    <w:p w14:paraId="4F9BE88B">
      <w:pPr>
        <w:rPr>
          <w:b/>
          <w:sz w:val="44"/>
          <w:szCs w:val="44"/>
        </w:rPr>
      </w:pPr>
    </w:p>
    <w:p w14:paraId="762491A3">
      <w:pPr>
        <w:rPr>
          <w:b/>
          <w:sz w:val="44"/>
          <w:szCs w:val="44"/>
        </w:rPr>
      </w:pPr>
    </w:p>
    <w:p w14:paraId="2F460193">
      <w:pPr>
        <w:rPr>
          <w:b/>
          <w:sz w:val="44"/>
          <w:szCs w:val="44"/>
        </w:rPr>
      </w:pPr>
    </w:p>
    <w:p w14:paraId="62121EF3">
      <w:pPr>
        <w:pStyle w:val="21"/>
      </w:pPr>
    </w:p>
    <w:p w14:paraId="767E323D"/>
    <w:p w14:paraId="01C88F75">
      <w:pPr>
        <w:jc w:val="center"/>
        <w:rPr>
          <w:b/>
          <w:sz w:val="44"/>
          <w:szCs w:val="44"/>
        </w:rPr>
      </w:pPr>
      <w:r>
        <w:rPr>
          <w:rFonts w:hint="eastAsia"/>
          <w:b/>
          <w:sz w:val="44"/>
          <w:szCs w:val="44"/>
        </w:rPr>
        <w:t>江苏协诚工程咨询有限公司</w:t>
      </w:r>
    </w:p>
    <w:p w14:paraId="1F8D841D">
      <w:pPr>
        <w:jc w:val="center"/>
        <w:rPr>
          <w:b/>
          <w:sz w:val="44"/>
          <w:szCs w:val="44"/>
        </w:rPr>
      </w:pPr>
      <w:r>
        <w:rPr>
          <w:rFonts w:hint="eastAsia"/>
          <w:b/>
          <w:sz w:val="44"/>
          <w:szCs w:val="44"/>
          <w:lang w:eastAsia="zh-CN"/>
        </w:rPr>
        <w:t>2026</w:t>
      </w:r>
      <w:r>
        <w:rPr>
          <w:rFonts w:hint="eastAsia"/>
          <w:b/>
          <w:sz w:val="44"/>
          <w:szCs w:val="44"/>
        </w:rPr>
        <w:t>年</w:t>
      </w:r>
      <w:r>
        <w:rPr>
          <w:rFonts w:hint="eastAsia"/>
          <w:b/>
          <w:sz w:val="44"/>
          <w:szCs w:val="44"/>
          <w:lang w:val="en-US" w:eastAsia="zh-CN"/>
        </w:rPr>
        <w:t>2</w:t>
      </w:r>
      <w:r>
        <w:rPr>
          <w:rFonts w:hint="eastAsia"/>
          <w:b/>
          <w:sz w:val="44"/>
          <w:szCs w:val="44"/>
        </w:rPr>
        <w:t>月</w:t>
      </w:r>
      <w:r>
        <w:rPr>
          <w:rFonts w:hint="eastAsia"/>
          <w:b/>
          <w:sz w:val="44"/>
          <w:szCs w:val="44"/>
          <w:lang w:val="en-US" w:eastAsia="zh-CN"/>
        </w:rPr>
        <w:t>6</w:t>
      </w:r>
      <w:bookmarkStart w:id="130" w:name="_GoBack"/>
      <w:bookmarkEnd w:id="130"/>
      <w:r>
        <w:rPr>
          <w:rFonts w:hint="eastAsia"/>
          <w:b/>
          <w:sz w:val="44"/>
          <w:szCs w:val="44"/>
        </w:rPr>
        <w:t>日</w:t>
      </w:r>
    </w:p>
    <w:p w14:paraId="6B637CF4">
      <w:pPr>
        <w:jc w:val="center"/>
        <w:rPr>
          <w:b/>
          <w:sz w:val="36"/>
          <w:szCs w:val="36"/>
        </w:rPr>
        <w:sectPr>
          <w:headerReference r:id="rId3" w:type="default"/>
          <w:footerReference r:id="rId4" w:type="default"/>
          <w:pgSz w:w="11907" w:h="16839"/>
          <w:pgMar w:top="1440" w:right="1077" w:bottom="1440" w:left="1077" w:header="0" w:footer="0" w:gutter="0"/>
          <w:pgNumType w:start="1"/>
          <w:cols w:space="720" w:num="1"/>
          <w:titlePg/>
          <w:docGrid w:linePitch="360" w:charSpace="0"/>
        </w:sectPr>
      </w:pPr>
    </w:p>
    <w:p w14:paraId="7CEC5325">
      <w:pPr>
        <w:jc w:val="center"/>
        <w:rPr>
          <w:b/>
          <w:sz w:val="36"/>
          <w:szCs w:val="36"/>
        </w:rPr>
      </w:pPr>
      <w:r>
        <w:rPr>
          <w:b/>
          <w:sz w:val="36"/>
          <w:szCs w:val="36"/>
        </w:rPr>
        <w:t>目   录</w:t>
      </w:r>
    </w:p>
    <w:p w14:paraId="4A6E54AB">
      <w:pPr>
        <w:pStyle w:val="36"/>
        <w:tabs>
          <w:tab w:val="right" w:leader="dot" w:pos="9753"/>
          <w:tab w:val="clear" w:pos="9450"/>
        </w:tabs>
      </w:pPr>
      <w:r>
        <w:fldChar w:fldCharType="begin"/>
      </w:r>
      <w:r>
        <w:instrText xml:space="preserve">TOC \o "1-3" \h \u </w:instrText>
      </w:r>
      <w:r>
        <w:fldChar w:fldCharType="separate"/>
      </w:r>
      <w:r>
        <w:fldChar w:fldCharType="begin"/>
      </w:r>
      <w:r>
        <w:instrText xml:space="preserve"> HYPERLINK \l _Toc18833 </w:instrText>
      </w:r>
      <w:r>
        <w:fldChar w:fldCharType="separate"/>
      </w:r>
      <w:r>
        <w:t>第一章</w:t>
      </w:r>
      <w:r>
        <w:rPr>
          <w:rFonts w:hint="eastAsia"/>
        </w:rPr>
        <w:t xml:space="preserve">  磋商</w:t>
      </w:r>
      <w:r>
        <w:t>邀请</w:t>
      </w:r>
      <w:r>
        <w:tab/>
      </w:r>
      <w:r>
        <w:fldChar w:fldCharType="begin"/>
      </w:r>
      <w:r>
        <w:instrText xml:space="preserve"> PAGEREF _Toc18833 \h </w:instrText>
      </w:r>
      <w:r>
        <w:fldChar w:fldCharType="separate"/>
      </w:r>
      <w:r>
        <w:t>2</w:t>
      </w:r>
      <w:r>
        <w:fldChar w:fldCharType="end"/>
      </w:r>
      <w:r>
        <w:fldChar w:fldCharType="end"/>
      </w:r>
    </w:p>
    <w:p w14:paraId="63F32004">
      <w:pPr>
        <w:pStyle w:val="36"/>
        <w:tabs>
          <w:tab w:val="right" w:leader="dot" w:pos="9753"/>
          <w:tab w:val="clear" w:pos="9450"/>
        </w:tabs>
      </w:pPr>
      <w:r>
        <w:fldChar w:fldCharType="begin"/>
      </w:r>
      <w:r>
        <w:instrText xml:space="preserve"> HYPERLINK \l _Toc32113 </w:instrText>
      </w:r>
      <w:r>
        <w:fldChar w:fldCharType="separate"/>
      </w:r>
      <w:r>
        <w:t xml:space="preserve">第二章  </w:t>
      </w:r>
      <w:r>
        <w:rPr>
          <w:rFonts w:hint="eastAsia"/>
        </w:rPr>
        <w:t>供应商</w:t>
      </w:r>
      <w:r>
        <w:t>须知</w:t>
      </w:r>
      <w:r>
        <w:tab/>
      </w:r>
      <w:r>
        <w:fldChar w:fldCharType="begin"/>
      </w:r>
      <w:r>
        <w:instrText xml:space="preserve"> PAGEREF _Toc32113 \h </w:instrText>
      </w:r>
      <w:r>
        <w:fldChar w:fldCharType="separate"/>
      </w:r>
      <w:r>
        <w:t>6</w:t>
      </w:r>
      <w:r>
        <w:fldChar w:fldCharType="end"/>
      </w:r>
      <w:r>
        <w:fldChar w:fldCharType="end"/>
      </w:r>
    </w:p>
    <w:p w14:paraId="2EDD8FD7">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_Toc10215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一、总则</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_Toc10215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474091FA">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_Toc496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二、磋商文件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_Toc496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6</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526EB7D7">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_Toc9351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三、响应文件的编制</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_Toc9351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59979B50">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_Toc13280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四、响应文件的递交</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_Toc13280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65DC5118">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_Toc17642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五、磋商与评审</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_Toc17642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5725AD55">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_Toc10046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六、成交</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_Toc10046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14</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562CC800">
      <w:pPr>
        <w:pStyle w:val="25"/>
        <w:tabs>
          <w:tab w:val="right" w:leader="dot" w:pos="9753"/>
        </w:tabs>
        <w:rPr>
          <w:rFonts w:hint="eastAsia" w:ascii="宋体" w:hAnsi="宋体" w:eastAsia="宋体" w:cs="宋体"/>
          <w:i w:val="0"/>
          <w:iCs w:val="0"/>
          <w:sz w:val="24"/>
          <w:szCs w:val="24"/>
        </w:rPr>
      </w:pP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HYPERLINK \l _Toc2015 </w:instrText>
      </w:r>
      <w:r>
        <w:rPr>
          <w:rFonts w:hint="eastAsia" w:ascii="宋体" w:hAnsi="宋体" w:eastAsia="宋体" w:cs="宋体"/>
          <w:i w:val="0"/>
          <w:iCs w:val="0"/>
          <w:sz w:val="24"/>
          <w:szCs w:val="24"/>
        </w:rPr>
        <w:fldChar w:fldCharType="separate"/>
      </w:r>
      <w:r>
        <w:rPr>
          <w:rFonts w:hint="eastAsia" w:ascii="宋体" w:hAnsi="宋体" w:eastAsia="宋体" w:cs="宋体"/>
          <w:bCs/>
          <w:i w:val="0"/>
          <w:iCs w:val="0"/>
          <w:sz w:val="24"/>
          <w:szCs w:val="24"/>
        </w:rPr>
        <w:t>七、授予合同</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_Toc2015 \h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15</w:t>
      </w:r>
      <w:r>
        <w:rPr>
          <w:rFonts w:hint="eastAsia" w:ascii="宋体" w:hAnsi="宋体" w:eastAsia="宋体" w:cs="宋体"/>
          <w:i w:val="0"/>
          <w:iCs w:val="0"/>
          <w:sz w:val="24"/>
          <w:szCs w:val="24"/>
        </w:rPr>
        <w:fldChar w:fldCharType="end"/>
      </w:r>
      <w:r>
        <w:rPr>
          <w:rFonts w:hint="eastAsia" w:ascii="宋体" w:hAnsi="宋体" w:eastAsia="宋体" w:cs="宋体"/>
          <w:i w:val="0"/>
          <w:iCs w:val="0"/>
          <w:sz w:val="24"/>
          <w:szCs w:val="24"/>
        </w:rPr>
        <w:fldChar w:fldCharType="end"/>
      </w:r>
    </w:p>
    <w:p w14:paraId="6ED46AA9">
      <w:pPr>
        <w:pStyle w:val="36"/>
        <w:tabs>
          <w:tab w:val="right" w:leader="dot" w:pos="9753"/>
          <w:tab w:val="clear" w:pos="9450"/>
        </w:tabs>
      </w:pPr>
      <w:r>
        <w:fldChar w:fldCharType="begin"/>
      </w:r>
      <w:r>
        <w:instrText xml:space="preserve"> HYPERLINK \l _Toc14167 </w:instrText>
      </w:r>
      <w:r>
        <w:fldChar w:fldCharType="separate"/>
      </w:r>
      <w:r>
        <w:rPr>
          <w:szCs w:val="36"/>
        </w:rPr>
        <w:t>第</w:t>
      </w:r>
      <w:r>
        <w:rPr>
          <w:rFonts w:hint="eastAsia"/>
          <w:szCs w:val="36"/>
        </w:rPr>
        <w:t>三</w:t>
      </w:r>
      <w:r>
        <w:rPr>
          <w:szCs w:val="36"/>
        </w:rPr>
        <w:t>章  合同</w:t>
      </w:r>
      <w:r>
        <w:rPr>
          <w:rFonts w:hint="eastAsia"/>
          <w:szCs w:val="36"/>
        </w:rPr>
        <w:t>文本</w:t>
      </w:r>
      <w:r>
        <w:tab/>
      </w:r>
      <w:r>
        <w:fldChar w:fldCharType="begin"/>
      </w:r>
      <w:r>
        <w:instrText xml:space="preserve"> PAGEREF _Toc14167 \h </w:instrText>
      </w:r>
      <w:r>
        <w:fldChar w:fldCharType="separate"/>
      </w:r>
      <w:r>
        <w:t>16</w:t>
      </w:r>
      <w:r>
        <w:fldChar w:fldCharType="end"/>
      </w:r>
      <w:r>
        <w:fldChar w:fldCharType="end"/>
      </w:r>
    </w:p>
    <w:p w14:paraId="0D89E534">
      <w:pPr>
        <w:pStyle w:val="36"/>
        <w:tabs>
          <w:tab w:val="right" w:leader="dot" w:pos="9753"/>
          <w:tab w:val="clear" w:pos="9450"/>
        </w:tabs>
      </w:pPr>
      <w:r>
        <w:fldChar w:fldCharType="begin"/>
      </w:r>
      <w:r>
        <w:instrText xml:space="preserve"> HYPERLINK \l _Toc15437 </w:instrText>
      </w:r>
      <w:r>
        <w:fldChar w:fldCharType="separate"/>
      </w:r>
      <w:r>
        <w:rPr>
          <w:szCs w:val="22"/>
        </w:rPr>
        <w:t xml:space="preserve">第四章  </w:t>
      </w:r>
      <w:r>
        <w:rPr>
          <w:rFonts w:hint="eastAsia"/>
          <w:szCs w:val="22"/>
        </w:rPr>
        <w:t>采购需求</w:t>
      </w:r>
      <w:r>
        <w:tab/>
      </w:r>
      <w:r>
        <w:fldChar w:fldCharType="begin"/>
      </w:r>
      <w:r>
        <w:instrText xml:space="preserve"> PAGEREF _Toc15437 \h </w:instrText>
      </w:r>
      <w:r>
        <w:fldChar w:fldCharType="separate"/>
      </w:r>
      <w:r>
        <w:t>22</w:t>
      </w:r>
      <w:r>
        <w:fldChar w:fldCharType="end"/>
      </w:r>
      <w:r>
        <w:fldChar w:fldCharType="end"/>
      </w:r>
    </w:p>
    <w:p w14:paraId="41351297">
      <w:pPr>
        <w:pStyle w:val="36"/>
        <w:tabs>
          <w:tab w:val="right" w:leader="dot" w:pos="9753"/>
          <w:tab w:val="clear" w:pos="9450"/>
        </w:tabs>
      </w:pPr>
      <w:r>
        <w:fldChar w:fldCharType="begin"/>
      </w:r>
      <w:r>
        <w:instrText xml:space="preserve"> HYPERLINK \l _Toc7422 </w:instrText>
      </w:r>
      <w:r>
        <w:fldChar w:fldCharType="separate"/>
      </w:r>
      <w:r>
        <w:rPr>
          <w:szCs w:val="22"/>
        </w:rPr>
        <w:t>第</w:t>
      </w:r>
      <w:r>
        <w:rPr>
          <w:rFonts w:hint="eastAsia"/>
          <w:szCs w:val="22"/>
        </w:rPr>
        <w:t>五</w:t>
      </w:r>
      <w:r>
        <w:rPr>
          <w:szCs w:val="22"/>
        </w:rPr>
        <w:t xml:space="preserve">章  </w:t>
      </w:r>
      <w:r>
        <w:rPr>
          <w:rFonts w:hint="eastAsia"/>
          <w:bCs/>
          <w:szCs w:val="22"/>
        </w:rPr>
        <w:t>评审方法与评审标准</w:t>
      </w:r>
      <w:r>
        <w:tab/>
      </w:r>
      <w:r>
        <w:fldChar w:fldCharType="begin"/>
      </w:r>
      <w:r>
        <w:instrText xml:space="preserve"> PAGEREF _Toc7422 \h </w:instrText>
      </w:r>
      <w:r>
        <w:fldChar w:fldCharType="separate"/>
      </w:r>
      <w:r>
        <w:t>29</w:t>
      </w:r>
      <w:r>
        <w:fldChar w:fldCharType="end"/>
      </w:r>
      <w:r>
        <w:fldChar w:fldCharType="end"/>
      </w:r>
    </w:p>
    <w:p w14:paraId="6B5C3ADE">
      <w:pPr>
        <w:pStyle w:val="36"/>
        <w:tabs>
          <w:tab w:val="right" w:leader="dot" w:pos="9753"/>
          <w:tab w:val="clear" w:pos="9450"/>
        </w:tabs>
      </w:pPr>
      <w:r>
        <w:fldChar w:fldCharType="begin"/>
      </w:r>
      <w:r>
        <w:instrText xml:space="preserve"> HYPERLINK \l _Toc28448 </w:instrText>
      </w:r>
      <w:r>
        <w:fldChar w:fldCharType="separate"/>
      </w:r>
      <w:r>
        <w:t>第</w:t>
      </w:r>
      <w:r>
        <w:rPr>
          <w:rFonts w:hint="eastAsia"/>
        </w:rPr>
        <w:t>六</w:t>
      </w:r>
      <w:r>
        <w:t xml:space="preserve">章  </w:t>
      </w:r>
      <w:r>
        <w:rPr>
          <w:rFonts w:hint="eastAsia"/>
        </w:rPr>
        <w:t>磋商响应</w:t>
      </w:r>
      <w:r>
        <w:t>文件格式</w:t>
      </w:r>
      <w:r>
        <w:tab/>
      </w:r>
      <w:r>
        <w:fldChar w:fldCharType="begin"/>
      </w:r>
      <w:r>
        <w:instrText xml:space="preserve"> PAGEREF _Toc28448 \h </w:instrText>
      </w:r>
      <w:r>
        <w:fldChar w:fldCharType="separate"/>
      </w:r>
      <w:r>
        <w:t>33</w:t>
      </w:r>
      <w:r>
        <w:fldChar w:fldCharType="end"/>
      </w:r>
      <w:r>
        <w:fldChar w:fldCharType="end"/>
      </w:r>
    </w:p>
    <w:p w14:paraId="6B8309F4">
      <w:pPr>
        <w:pStyle w:val="47"/>
        <w:tabs>
          <w:tab w:val="right" w:leader="dot" w:pos="9753"/>
          <w:tab w:val="clear" w:pos="9450"/>
        </w:tabs>
      </w:pPr>
      <w:r>
        <w:fldChar w:fldCharType="begin"/>
      </w:r>
      <w:r>
        <w:instrText xml:space="preserve"> HYPERLINK \l _Toc4940 </w:instrText>
      </w:r>
      <w:r>
        <w:fldChar w:fldCharType="separate"/>
      </w:r>
      <w:r>
        <w:rPr>
          <w:rFonts w:hint="eastAsia"/>
          <w:szCs w:val="24"/>
        </w:rPr>
        <w:t>附件1 报价一览表</w:t>
      </w:r>
      <w:r>
        <w:tab/>
      </w:r>
      <w:r>
        <w:fldChar w:fldCharType="begin"/>
      </w:r>
      <w:r>
        <w:instrText xml:space="preserve"> PAGEREF _Toc4940 \h </w:instrText>
      </w:r>
      <w:r>
        <w:fldChar w:fldCharType="separate"/>
      </w:r>
      <w:r>
        <w:t>36</w:t>
      </w:r>
      <w:r>
        <w:fldChar w:fldCharType="end"/>
      </w:r>
      <w:r>
        <w:fldChar w:fldCharType="end"/>
      </w:r>
    </w:p>
    <w:p w14:paraId="7C498B8A">
      <w:pPr>
        <w:pStyle w:val="47"/>
        <w:tabs>
          <w:tab w:val="right" w:leader="dot" w:pos="9753"/>
          <w:tab w:val="clear" w:pos="9450"/>
        </w:tabs>
      </w:pPr>
      <w:r>
        <w:fldChar w:fldCharType="begin"/>
      </w:r>
      <w:r>
        <w:instrText xml:space="preserve"> HYPERLINK \l _Toc12668 </w:instrText>
      </w:r>
      <w:r>
        <w:fldChar w:fldCharType="separate"/>
      </w:r>
      <w:r>
        <w:rPr>
          <w:rFonts w:hint="eastAsia" w:ascii="宋体" w:hAnsi="宋体"/>
          <w:szCs w:val="24"/>
        </w:rPr>
        <w:t>附件2 投入费用明细表</w:t>
      </w:r>
      <w:r>
        <w:tab/>
      </w:r>
      <w:r>
        <w:fldChar w:fldCharType="begin"/>
      </w:r>
      <w:r>
        <w:instrText xml:space="preserve"> PAGEREF _Toc12668 \h </w:instrText>
      </w:r>
      <w:r>
        <w:fldChar w:fldCharType="separate"/>
      </w:r>
      <w:r>
        <w:t>37</w:t>
      </w:r>
      <w:r>
        <w:fldChar w:fldCharType="end"/>
      </w:r>
      <w:r>
        <w:fldChar w:fldCharType="end"/>
      </w:r>
    </w:p>
    <w:p w14:paraId="397CDE62">
      <w:pPr>
        <w:pStyle w:val="47"/>
        <w:tabs>
          <w:tab w:val="right" w:leader="dot" w:pos="9753"/>
          <w:tab w:val="clear" w:pos="9450"/>
        </w:tabs>
      </w:pPr>
      <w:r>
        <w:fldChar w:fldCharType="begin"/>
      </w:r>
      <w:r>
        <w:instrText xml:space="preserve"> HYPERLINK \l _Toc26497 </w:instrText>
      </w:r>
      <w:r>
        <w:fldChar w:fldCharType="separate"/>
      </w:r>
      <w:r>
        <w:rPr>
          <w:rFonts w:hint="eastAsia"/>
          <w:szCs w:val="24"/>
        </w:rPr>
        <w:t>附件3</w:t>
      </w:r>
      <w:r>
        <w:rPr>
          <w:szCs w:val="24"/>
        </w:rPr>
        <w:t xml:space="preserve"> </w:t>
      </w:r>
      <w:r>
        <w:rPr>
          <w:rFonts w:hint="eastAsia"/>
          <w:szCs w:val="24"/>
        </w:rPr>
        <w:t>服务要求响应及偏离表</w:t>
      </w:r>
      <w:r>
        <w:tab/>
      </w:r>
      <w:r>
        <w:fldChar w:fldCharType="begin"/>
      </w:r>
      <w:r>
        <w:instrText xml:space="preserve"> PAGEREF _Toc26497 \h </w:instrText>
      </w:r>
      <w:r>
        <w:fldChar w:fldCharType="separate"/>
      </w:r>
      <w:r>
        <w:t>38</w:t>
      </w:r>
      <w:r>
        <w:fldChar w:fldCharType="end"/>
      </w:r>
      <w:r>
        <w:fldChar w:fldCharType="end"/>
      </w:r>
    </w:p>
    <w:p w14:paraId="6F4465E4">
      <w:pPr>
        <w:pStyle w:val="47"/>
        <w:tabs>
          <w:tab w:val="right" w:leader="dot" w:pos="9753"/>
          <w:tab w:val="clear" w:pos="9450"/>
        </w:tabs>
      </w:pPr>
      <w:r>
        <w:fldChar w:fldCharType="begin"/>
      </w:r>
      <w:r>
        <w:instrText xml:space="preserve"> HYPERLINK \l _Toc16809 </w:instrText>
      </w:r>
      <w:r>
        <w:fldChar w:fldCharType="separate"/>
      </w:r>
      <w:r>
        <w:rPr>
          <w:rFonts w:hint="eastAsia"/>
          <w:szCs w:val="24"/>
        </w:rPr>
        <w:t>附件4</w:t>
      </w:r>
      <w:r>
        <w:rPr>
          <w:szCs w:val="24"/>
        </w:rPr>
        <w:t xml:space="preserve"> </w:t>
      </w:r>
      <w:r>
        <w:rPr>
          <w:rFonts w:hint="eastAsia"/>
          <w:szCs w:val="24"/>
        </w:rPr>
        <w:t>商务要求响应及偏离表</w:t>
      </w:r>
      <w:r>
        <w:tab/>
      </w:r>
      <w:r>
        <w:fldChar w:fldCharType="begin"/>
      </w:r>
      <w:r>
        <w:instrText xml:space="preserve"> PAGEREF _Toc16809 \h </w:instrText>
      </w:r>
      <w:r>
        <w:fldChar w:fldCharType="separate"/>
      </w:r>
      <w:r>
        <w:t>39</w:t>
      </w:r>
      <w:r>
        <w:fldChar w:fldCharType="end"/>
      </w:r>
      <w:r>
        <w:fldChar w:fldCharType="end"/>
      </w:r>
    </w:p>
    <w:p w14:paraId="1C3B1372">
      <w:pPr>
        <w:pStyle w:val="47"/>
        <w:tabs>
          <w:tab w:val="right" w:leader="dot" w:pos="9753"/>
          <w:tab w:val="clear" w:pos="9450"/>
        </w:tabs>
      </w:pPr>
      <w:r>
        <w:fldChar w:fldCharType="begin"/>
      </w:r>
      <w:r>
        <w:instrText xml:space="preserve"> HYPERLINK \l _Toc29881 </w:instrText>
      </w:r>
      <w:r>
        <w:fldChar w:fldCharType="separate"/>
      </w:r>
      <w:r>
        <w:rPr>
          <w:rFonts w:hint="eastAsia"/>
          <w:szCs w:val="24"/>
        </w:rPr>
        <w:t>附件5 具备履行合同所必需的设备和专业技术能力的书面声明</w:t>
      </w:r>
      <w:r>
        <w:tab/>
      </w:r>
      <w:r>
        <w:fldChar w:fldCharType="begin"/>
      </w:r>
      <w:r>
        <w:instrText xml:space="preserve"> PAGEREF _Toc29881 \h </w:instrText>
      </w:r>
      <w:r>
        <w:fldChar w:fldCharType="separate"/>
      </w:r>
      <w:r>
        <w:t>40</w:t>
      </w:r>
      <w:r>
        <w:fldChar w:fldCharType="end"/>
      </w:r>
      <w:r>
        <w:fldChar w:fldCharType="end"/>
      </w:r>
    </w:p>
    <w:p w14:paraId="60CD71DA">
      <w:pPr>
        <w:pStyle w:val="47"/>
        <w:tabs>
          <w:tab w:val="right" w:leader="dot" w:pos="9753"/>
          <w:tab w:val="clear" w:pos="9450"/>
        </w:tabs>
      </w:pPr>
      <w:r>
        <w:fldChar w:fldCharType="begin"/>
      </w:r>
      <w:r>
        <w:instrText xml:space="preserve"> HYPERLINK \l _Toc13407 </w:instrText>
      </w:r>
      <w:r>
        <w:fldChar w:fldCharType="separate"/>
      </w:r>
      <w:r>
        <w:rPr>
          <w:rFonts w:hint="eastAsia"/>
          <w:szCs w:val="24"/>
        </w:rPr>
        <w:t>附件6</w:t>
      </w:r>
      <w:r>
        <w:rPr>
          <w:szCs w:val="24"/>
        </w:rPr>
        <w:t xml:space="preserve"> </w:t>
      </w:r>
      <w:r>
        <w:rPr>
          <w:rFonts w:hint="eastAsia"/>
          <w:szCs w:val="24"/>
        </w:rPr>
        <w:t>参加政府采购活动前 3 年内在经营活动中没有重大违法记录的书面声明</w:t>
      </w:r>
      <w:r>
        <w:tab/>
      </w:r>
      <w:r>
        <w:fldChar w:fldCharType="begin"/>
      </w:r>
      <w:r>
        <w:instrText xml:space="preserve"> PAGEREF _Toc13407 \h </w:instrText>
      </w:r>
      <w:r>
        <w:fldChar w:fldCharType="separate"/>
      </w:r>
      <w:r>
        <w:t>41</w:t>
      </w:r>
      <w:r>
        <w:fldChar w:fldCharType="end"/>
      </w:r>
      <w:r>
        <w:fldChar w:fldCharType="end"/>
      </w:r>
    </w:p>
    <w:p w14:paraId="14C13B9A">
      <w:pPr>
        <w:pStyle w:val="47"/>
        <w:tabs>
          <w:tab w:val="right" w:leader="dot" w:pos="9753"/>
          <w:tab w:val="clear" w:pos="9450"/>
        </w:tabs>
      </w:pPr>
      <w:r>
        <w:fldChar w:fldCharType="begin"/>
      </w:r>
      <w:r>
        <w:instrText xml:space="preserve"> HYPERLINK \l _Toc21146 </w:instrText>
      </w:r>
      <w:r>
        <w:fldChar w:fldCharType="separate"/>
      </w:r>
      <w:r>
        <w:rPr>
          <w:rFonts w:hint="eastAsia"/>
          <w:szCs w:val="24"/>
        </w:rPr>
        <w:t>附件7</w:t>
      </w:r>
      <w:r>
        <w:rPr>
          <w:szCs w:val="24"/>
        </w:rPr>
        <w:t xml:space="preserve"> </w:t>
      </w:r>
      <w:r>
        <w:rPr>
          <w:rFonts w:hint="eastAsia"/>
          <w:szCs w:val="24"/>
        </w:rPr>
        <w:t>法人授权书</w:t>
      </w:r>
      <w:r>
        <w:tab/>
      </w:r>
      <w:r>
        <w:fldChar w:fldCharType="begin"/>
      </w:r>
      <w:r>
        <w:instrText xml:space="preserve"> PAGEREF _Toc21146 \h </w:instrText>
      </w:r>
      <w:r>
        <w:fldChar w:fldCharType="separate"/>
      </w:r>
      <w:r>
        <w:t>42</w:t>
      </w:r>
      <w:r>
        <w:fldChar w:fldCharType="end"/>
      </w:r>
      <w:r>
        <w:fldChar w:fldCharType="end"/>
      </w:r>
    </w:p>
    <w:p w14:paraId="1E7F4552">
      <w:pPr>
        <w:pStyle w:val="47"/>
        <w:tabs>
          <w:tab w:val="right" w:leader="dot" w:pos="9753"/>
          <w:tab w:val="clear" w:pos="9450"/>
        </w:tabs>
      </w:pPr>
      <w:r>
        <w:fldChar w:fldCharType="begin"/>
      </w:r>
      <w:r>
        <w:instrText xml:space="preserve"> HYPERLINK \l _Toc26960 </w:instrText>
      </w:r>
      <w:r>
        <w:fldChar w:fldCharType="separate"/>
      </w:r>
      <w:r>
        <w:rPr>
          <w:rFonts w:hint="eastAsia"/>
          <w:szCs w:val="24"/>
        </w:rPr>
        <w:t>附件8 磋商响应</w:t>
      </w:r>
      <w:r>
        <w:rPr>
          <w:szCs w:val="24"/>
        </w:rPr>
        <w:t>函</w:t>
      </w:r>
      <w:r>
        <w:tab/>
      </w:r>
      <w:r>
        <w:fldChar w:fldCharType="begin"/>
      </w:r>
      <w:r>
        <w:instrText xml:space="preserve"> PAGEREF _Toc26960 \h </w:instrText>
      </w:r>
      <w:r>
        <w:fldChar w:fldCharType="separate"/>
      </w:r>
      <w:r>
        <w:t>43</w:t>
      </w:r>
      <w:r>
        <w:fldChar w:fldCharType="end"/>
      </w:r>
      <w:r>
        <w:fldChar w:fldCharType="end"/>
      </w:r>
    </w:p>
    <w:p w14:paraId="15E5EF76">
      <w:pPr>
        <w:pStyle w:val="47"/>
        <w:tabs>
          <w:tab w:val="right" w:leader="dot" w:pos="9753"/>
          <w:tab w:val="clear" w:pos="9450"/>
        </w:tabs>
      </w:pPr>
      <w:r>
        <w:fldChar w:fldCharType="begin"/>
      </w:r>
      <w:r>
        <w:instrText xml:space="preserve"> HYPERLINK \l _Toc30248 </w:instrText>
      </w:r>
      <w:r>
        <w:fldChar w:fldCharType="separate"/>
      </w:r>
      <w:r>
        <w:rPr>
          <w:rFonts w:hint="eastAsia"/>
          <w:szCs w:val="24"/>
        </w:rPr>
        <w:t>附件9 中小企业声明函</w:t>
      </w:r>
      <w:r>
        <w:tab/>
      </w:r>
      <w:r>
        <w:fldChar w:fldCharType="begin"/>
      </w:r>
      <w:r>
        <w:instrText xml:space="preserve"> PAGEREF _Toc30248 \h </w:instrText>
      </w:r>
      <w:r>
        <w:fldChar w:fldCharType="separate"/>
      </w:r>
      <w:r>
        <w:t>44</w:t>
      </w:r>
      <w:r>
        <w:fldChar w:fldCharType="end"/>
      </w:r>
      <w:r>
        <w:fldChar w:fldCharType="end"/>
      </w:r>
    </w:p>
    <w:p w14:paraId="06D6C9D1">
      <w:pPr>
        <w:pStyle w:val="47"/>
        <w:tabs>
          <w:tab w:val="right" w:leader="dot" w:pos="9753"/>
          <w:tab w:val="clear" w:pos="9450"/>
        </w:tabs>
      </w:pPr>
      <w:r>
        <w:fldChar w:fldCharType="begin"/>
      </w:r>
      <w:r>
        <w:instrText xml:space="preserve"> HYPERLINK \l _Toc11556 </w:instrText>
      </w:r>
      <w:r>
        <w:fldChar w:fldCharType="separate"/>
      </w:r>
      <w:r>
        <w:rPr>
          <w:rFonts w:hint="eastAsia"/>
          <w:szCs w:val="24"/>
        </w:rPr>
        <w:t>附件10 残疾人福利性单位声明函</w:t>
      </w:r>
      <w:r>
        <w:tab/>
      </w:r>
      <w:r>
        <w:fldChar w:fldCharType="begin"/>
      </w:r>
      <w:r>
        <w:instrText xml:space="preserve"> PAGEREF _Toc11556 \h </w:instrText>
      </w:r>
      <w:r>
        <w:fldChar w:fldCharType="separate"/>
      </w:r>
      <w:r>
        <w:t>45</w:t>
      </w:r>
      <w:r>
        <w:fldChar w:fldCharType="end"/>
      </w:r>
      <w:r>
        <w:fldChar w:fldCharType="end"/>
      </w:r>
    </w:p>
    <w:p w14:paraId="7D91557A">
      <w:pPr>
        <w:pStyle w:val="47"/>
        <w:tabs>
          <w:tab w:val="right" w:leader="dot" w:pos="9753"/>
          <w:tab w:val="clear" w:pos="9450"/>
        </w:tabs>
      </w:pPr>
      <w:r>
        <w:fldChar w:fldCharType="begin"/>
      </w:r>
      <w:r>
        <w:instrText xml:space="preserve"> HYPERLINK \l _Toc15956 </w:instrText>
      </w:r>
      <w:r>
        <w:fldChar w:fldCharType="separate"/>
      </w:r>
      <w:r>
        <w:rPr>
          <w:rFonts w:hint="eastAsia"/>
          <w:szCs w:val="24"/>
        </w:rPr>
        <w:t>附件11 实质性要求响应及偏离表</w:t>
      </w:r>
      <w:r>
        <w:tab/>
      </w:r>
      <w:r>
        <w:fldChar w:fldCharType="begin"/>
      </w:r>
      <w:r>
        <w:instrText xml:space="preserve"> PAGEREF _Toc15956 \h </w:instrText>
      </w:r>
      <w:r>
        <w:fldChar w:fldCharType="separate"/>
      </w:r>
      <w:r>
        <w:t>46</w:t>
      </w:r>
      <w:r>
        <w:fldChar w:fldCharType="end"/>
      </w:r>
      <w:r>
        <w:fldChar w:fldCharType="end"/>
      </w:r>
    </w:p>
    <w:p w14:paraId="5059EDBF">
      <w:pPr>
        <w:pStyle w:val="47"/>
        <w:tabs>
          <w:tab w:val="right" w:leader="dot" w:pos="9753"/>
          <w:tab w:val="clear" w:pos="9450"/>
        </w:tabs>
      </w:pPr>
      <w:r>
        <w:fldChar w:fldCharType="begin"/>
      </w:r>
      <w:r>
        <w:instrText xml:space="preserve"> HYPERLINK \l _Toc15434 </w:instrText>
      </w:r>
      <w:r>
        <w:fldChar w:fldCharType="separate"/>
      </w:r>
      <w:r>
        <w:rPr>
          <w:rFonts w:hint="eastAsia"/>
          <w:szCs w:val="24"/>
        </w:rPr>
        <w:t>附件12</w:t>
      </w:r>
      <w:r>
        <w:rPr>
          <w:szCs w:val="24"/>
        </w:rPr>
        <w:t xml:space="preserve"> </w:t>
      </w:r>
      <w:r>
        <w:rPr>
          <w:rFonts w:hint="eastAsia"/>
          <w:szCs w:val="24"/>
        </w:rPr>
        <w:t>项目实施方案</w:t>
      </w:r>
      <w:r>
        <w:tab/>
      </w:r>
      <w:r>
        <w:fldChar w:fldCharType="begin"/>
      </w:r>
      <w:r>
        <w:instrText xml:space="preserve"> PAGEREF _Toc15434 \h </w:instrText>
      </w:r>
      <w:r>
        <w:fldChar w:fldCharType="separate"/>
      </w:r>
      <w:r>
        <w:t>47</w:t>
      </w:r>
      <w:r>
        <w:fldChar w:fldCharType="end"/>
      </w:r>
      <w:r>
        <w:fldChar w:fldCharType="end"/>
      </w:r>
    </w:p>
    <w:p w14:paraId="4C043C0D">
      <w:pPr>
        <w:pStyle w:val="47"/>
        <w:tabs>
          <w:tab w:val="right" w:leader="dot" w:pos="9753"/>
          <w:tab w:val="clear" w:pos="9450"/>
        </w:tabs>
      </w:pPr>
      <w:r>
        <w:fldChar w:fldCharType="begin"/>
      </w:r>
      <w:r>
        <w:instrText xml:space="preserve"> HYPERLINK \l _Toc29197 </w:instrText>
      </w:r>
      <w:r>
        <w:fldChar w:fldCharType="separate"/>
      </w:r>
      <w:r>
        <w:rPr>
          <w:rFonts w:hint="eastAsia"/>
          <w:szCs w:val="24"/>
        </w:rPr>
        <w:t>附件13 项目组人员一览表</w:t>
      </w:r>
      <w:r>
        <w:tab/>
      </w:r>
      <w:r>
        <w:fldChar w:fldCharType="begin"/>
      </w:r>
      <w:r>
        <w:instrText xml:space="preserve"> PAGEREF _Toc29197 \h </w:instrText>
      </w:r>
      <w:r>
        <w:fldChar w:fldCharType="separate"/>
      </w:r>
      <w:r>
        <w:t>48</w:t>
      </w:r>
      <w:r>
        <w:fldChar w:fldCharType="end"/>
      </w:r>
      <w:r>
        <w:fldChar w:fldCharType="end"/>
      </w:r>
    </w:p>
    <w:p w14:paraId="1947EC0D">
      <w:pPr>
        <w:pStyle w:val="47"/>
        <w:tabs>
          <w:tab w:val="right" w:leader="dot" w:pos="9753"/>
          <w:tab w:val="clear" w:pos="9450"/>
        </w:tabs>
      </w:pPr>
      <w:r>
        <w:fldChar w:fldCharType="begin"/>
      </w:r>
      <w:r>
        <w:instrText xml:space="preserve"> HYPERLINK \l _Toc13632 </w:instrText>
      </w:r>
      <w:r>
        <w:fldChar w:fldCharType="separate"/>
      </w:r>
      <w:r>
        <w:rPr>
          <w:rFonts w:hint="eastAsia"/>
          <w:szCs w:val="24"/>
        </w:rPr>
        <w:t xml:space="preserve">附件14 </w:t>
      </w:r>
      <w:r>
        <w:rPr>
          <w:szCs w:val="24"/>
        </w:rPr>
        <w:t>业绩一览表</w:t>
      </w:r>
      <w:r>
        <w:tab/>
      </w:r>
      <w:r>
        <w:fldChar w:fldCharType="begin"/>
      </w:r>
      <w:r>
        <w:instrText xml:space="preserve"> PAGEREF _Toc13632 \h </w:instrText>
      </w:r>
      <w:r>
        <w:fldChar w:fldCharType="separate"/>
      </w:r>
      <w:r>
        <w:t>49</w:t>
      </w:r>
      <w:r>
        <w:fldChar w:fldCharType="end"/>
      </w:r>
      <w:r>
        <w:fldChar w:fldCharType="end"/>
      </w:r>
    </w:p>
    <w:p w14:paraId="09D87E2A">
      <w:pPr>
        <w:pStyle w:val="47"/>
        <w:tabs>
          <w:tab w:val="right" w:leader="dot" w:pos="9753"/>
          <w:tab w:val="clear" w:pos="9450"/>
        </w:tabs>
      </w:pPr>
      <w:r>
        <w:fldChar w:fldCharType="begin"/>
      </w:r>
      <w:r>
        <w:instrText xml:space="preserve"> HYPERLINK \l _Toc9184 </w:instrText>
      </w:r>
      <w:r>
        <w:fldChar w:fldCharType="separate"/>
      </w:r>
      <w:r>
        <w:rPr>
          <w:rFonts w:hint="eastAsia" w:ascii="Times New Roman" w:hAnsi="Times New Roman"/>
          <w:bCs/>
          <w:szCs w:val="28"/>
          <w:highlight w:val="none"/>
        </w:rPr>
        <w:t>附件</w:t>
      </w:r>
      <w:r>
        <w:rPr>
          <w:rFonts w:hint="eastAsia" w:ascii="Times New Roman" w:hAnsi="Times New Roman"/>
          <w:bCs/>
          <w:szCs w:val="28"/>
          <w:highlight w:val="none"/>
          <w:lang w:val="en-US" w:eastAsia="zh-CN"/>
        </w:rPr>
        <w:t>15</w:t>
      </w:r>
      <w:r>
        <w:rPr>
          <w:rFonts w:hint="eastAsia" w:ascii="Times New Roman" w:hAnsi="Times New Roman"/>
          <w:bCs/>
          <w:szCs w:val="28"/>
          <w:highlight w:val="none"/>
        </w:rPr>
        <w:t xml:space="preserve"> 联合体协议书</w:t>
      </w:r>
      <w:r>
        <w:tab/>
      </w:r>
      <w:r>
        <w:fldChar w:fldCharType="begin"/>
      </w:r>
      <w:r>
        <w:instrText xml:space="preserve"> PAGEREF _Toc9184 \h </w:instrText>
      </w:r>
      <w:r>
        <w:fldChar w:fldCharType="separate"/>
      </w:r>
      <w:r>
        <w:t>50</w:t>
      </w:r>
      <w:r>
        <w:fldChar w:fldCharType="end"/>
      </w:r>
      <w:r>
        <w:fldChar w:fldCharType="end"/>
      </w:r>
    </w:p>
    <w:p w14:paraId="4367034F">
      <w:pPr>
        <w:ind w:left="525"/>
      </w:pPr>
      <w:r>
        <w:fldChar w:fldCharType="end"/>
      </w:r>
    </w:p>
    <w:p w14:paraId="42F5FEF3">
      <w:pPr>
        <w:pStyle w:val="4"/>
      </w:pPr>
      <w:r>
        <w:rPr/>
        <w:br w:type="page" w:clear="all"/>
      </w:r>
      <w:bookmarkStart w:id="0" w:name="_Toc103080641"/>
      <w:bookmarkStart w:id="1" w:name="_Toc159312646"/>
      <w:bookmarkStart w:id="2" w:name="_Toc18833"/>
      <w:r>
        <w:t>第一章</w:t>
      </w:r>
      <w:r>
        <w:rPr>
          <w:rFonts w:hint="eastAsia"/>
        </w:rPr>
        <w:t xml:space="preserve">  磋商</w:t>
      </w:r>
      <w:r>
        <w:t>邀请</w:t>
      </w:r>
      <w:bookmarkEnd w:id="0"/>
      <w:bookmarkEnd w:id="1"/>
      <w:bookmarkEnd w:id="2"/>
    </w:p>
    <w:p w14:paraId="7963E807">
      <w:pPr>
        <w:widowControl/>
        <w:spacing w:line="440" w:lineRule="exact"/>
        <w:ind w:firstLine="720"/>
        <w:rPr>
          <w:sz w:val="24"/>
          <w:szCs w:val="24"/>
        </w:rPr>
      </w:pPr>
      <w:r>
        <w:rPr>
          <w:rFonts w:hint="eastAsia"/>
          <w:sz w:val="24"/>
          <w:szCs w:val="24"/>
        </w:rPr>
        <w:t>受常熟市自然资源和规划局的委托，</w:t>
      </w:r>
      <w:r>
        <w:rPr>
          <w:sz w:val="24"/>
          <w:szCs w:val="24"/>
        </w:rPr>
        <w:t>江苏协诚工程咨询有限公司</w:t>
      </w:r>
      <w:r>
        <w:rPr>
          <w:rFonts w:hint="eastAsia"/>
          <w:sz w:val="24"/>
          <w:szCs w:val="24"/>
        </w:rPr>
        <w:t>就</w:t>
      </w:r>
      <w:r>
        <w:rPr>
          <w:rFonts w:hint="eastAsia" w:cs="Segoe UI Symbol"/>
          <w:sz w:val="24"/>
          <w:szCs w:val="24"/>
          <w:lang w:eastAsia="zh-CN"/>
        </w:rPr>
        <w:t>常熟市地籍一张图编制项目（二期）</w:t>
      </w:r>
      <w:r>
        <w:rPr>
          <w:rFonts w:hint="eastAsia"/>
          <w:sz w:val="24"/>
          <w:szCs w:val="24"/>
        </w:rPr>
        <w:t>(</w:t>
      </w:r>
      <w:r>
        <w:rPr>
          <w:rFonts w:hint="eastAsia"/>
          <w:sz w:val="24"/>
          <w:szCs w:val="24"/>
          <w:lang w:eastAsia="zh-CN"/>
        </w:rPr>
        <w:t>JSZC-320581-CSXC-C2026-0004</w:t>
      </w:r>
      <w:r>
        <w:rPr>
          <w:rFonts w:hint="eastAsia"/>
          <w:sz w:val="24"/>
          <w:szCs w:val="24"/>
        </w:rPr>
        <w:t>)项目进行竞争性磋商采购，欢迎符合条件的供应商参加磋商。</w:t>
      </w:r>
    </w:p>
    <w:p w14:paraId="3A257A38">
      <w:pPr>
        <w:pBdr>
          <w:top w:val="single" w:color="auto" w:sz="4" w:space="1"/>
          <w:left w:val="single" w:color="auto" w:sz="4" w:space="0"/>
          <w:bottom w:val="single" w:color="auto" w:sz="4" w:space="1"/>
          <w:right w:val="single" w:color="auto" w:sz="4" w:space="4"/>
        </w:pBdr>
        <w:spacing w:line="440" w:lineRule="exact"/>
        <w:rPr>
          <w:b/>
          <w:sz w:val="24"/>
          <w:szCs w:val="24"/>
        </w:rPr>
      </w:pPr>
      <w:r>
        <w:rPr>
          <w:rFonts w:hint="eastAsia"/>
          <w:b/>
          <w:sz w:val="24"/>
          <w:szCs w:val="24"/>
        </w:rPr>
        <w:t>项目概况</w:t>
      </w:r>
    </w:p>
    <w:p w14:paraId="6AD07495">
      <w:pPr>
        <w:pBdr>
          <w:top w:val="single" w:color="auto" w:sz="4" w:space="1"/>
          <w:left w:val="single" w:color="auto" w:sz="4" w:space="0"/>
          <w:bottom w:val="single" w:color="auto" w:sz="4" w:space="1"/>
          <w:right w:val="single" w:color="auto" w:sz="4" w:space="4"/>
        </w:pBdr>
        <w:spacing w:line="440" w:lineRule="exact"/>
        <w:ind w:firstLine="480"/>
        <w:rPr>
          <w:sz w:val="24"/>
          <w:szCs w:val="24"/>
        </w:rPr>
      </w:pPr>
      <w:r>
        <w:rPr>
          <w:rFonts w:hint="eastAsia" w:cs="Segoe UI Symbol"/>
          <w:sz w:val="24"/>
          <w:szCs w:val="24"/>
          <w:u w:val="single"/>
          <w:lang w:eastAsia="zh-CN"/>
        </w:rPr>
        <w:t>常熟市地籍一张图编制项目（二期）</w:t>
      </w:r>
      <w:r>
        <w:rPr>
          <w:rFonts w:hint="eastAsia"/>
          <w:sz w:val="24"/>
          <w:szCs w:val="24"/>
        </w:rPr>
        <w:t>采购项目的潜在供应商应在“苏采云政府采购一体化平台”中参与项目获取采购文件，并于</w:t>
      </w:r>
      <w:r>
        <w:rPr>
          <w:rFonts w:hint="eastAsia"/>
          <w:sz w:val="24"/>
          <w:szCs w:val="24"/>
          <w:u w:val="single"/>
        </w:rPr>
        <w:t>202</w:t>
      </w:r>
      <w:r>
        <w:rPr>
          <w:rFonts w:hint="eastAsia"/>
          <w:sz w:val="24"/>
          <w:szCs w:val="24"/>
          <w:u w:val="single"/>
          <w:lang w:val="en-US" w:eastAsia="zh-CN"/>
        </w:rPr>
        <w:t>6</w:t>
      </w:r>
      <w:r>
        <w:rPr>
          <w:rFonts w:hint="eastAsia"/>
          <w:sz w:val="24"/>
          <w:szCs w:val="24"/>
          <w:u w:val="single"/>
        </w:rPr>
        <w:t>年</w:t>
      </w:r>
      <w:r>
        <w:rPr>
          <w:rFonts w:hint="eastAsia"/>
          <w:sz w:val="24"/>
          <w:u w:val="single"/>
          <w:lang w:val="en-US" w:eastAsia="zh-CN"/>
        </w:rPr>
        <w:t>2</w:t>
      </w:r>
      <w:r>
        <w:rPr>
          <w:sz w:val="24"/>
          <w:u w:val="single"/>
        </w:rPr>
        <w:t>月</w:t>
      </w:r>
      <w:r>
        <w:rPr>
          <w:rFonts w:hint="eastAsia"/>
          <w:sz w:val="24"/>
          <w:u w:val="single"/>
          <w:lang w:val="en-US" w:eastAsia="zh-CN"/>
        </w:rPr>
        <w:t>28</w:t>
      </w:r>
      <w:r>
        <w:rPr>
          <w:sz w:val="24"/>
          <w:u w:val="single"/>
        </w:rPr>
        <w:t>日</w:t>
      </w:r>
      <w:r>
        <w:rPr>
          <w:rFonts w:hint="eastAsia"/>
          <w:sz w:val="24"/>
          <w:szCs w:val="24"/>
          <w:u w:val="single"/>
          <w:lang w:val="en-US" w:eastAsia="zh-CN"/>
        </w:rPr>
        <w:t>9</w:t>
      </w:r>
      <w:r>
        <w:rPr>
          <w:rFonts w:hint="eastAsia"/>
          <w:sz w:val="24"/>
          <w:szCs w:val="24"/>
          <w:u w:val="single"/>
        </w:rPr>
        <w:t>点00分</w:t>
      </w:r>
      <w:r>
        <w:rPr>
          <w:rFonts w:hint="eastAsia"/>
          <w:sz w:val="24"/>
          <w:szCs w:val="24"/>
        </w:rPr>
        <w:t>（北京时间）前按规定提交响应</w:t>
      </w:r>
      <w:r>
        <w:rPr>
          <w:sz w:val="24"/>
          <w:szCs w:val="24"/>
        </w:rPr>
        <w:t>文件</w:t>
      </w:r>
      <w:r>
        <w:rPr>
          <w:rFonts w:hint="eastAsia"/>
          <w:sz w:val="24"/>
          <w:szCs w:val="24"/>
        </w:rPr>
        <w:t>。</w:t>
      </w:r>
    </w:p>
    <w:p w14:paraId="0D8BC419">
      <w:pPr>
        <w:spacing w:line="440" w:lineRule="exact"/>
        <w:rPr>
          <w:b/>
          <w:sz w:val="24"/>
          <w:szCs w:val="24"/>
        </w:rPr>
      </w:pPr>
      <w:r>
        <w:rPr>
          <w:b/>
          <w:sz w:val="24"/>
          <w:szCs w:val="24"/>
        </w:rPr>
        <w:t>一、项目</w:t>
      </w:r>
      <w:r>
        <w:rPr>
          <w:rFonts w:hint="eastAsia"/>
          <w:b/>
          <w:sz w:val="24"/>
          <w:szCs w:val="24"/>
        </w:rPr>
        <w:t>基本情况</w:t>
      </w:r>
    </w:p>
    <w:p w14:paraId="155E3DEE">
      <w:pPr>
        <w:spacing w:line="440" w:lineRule="exact"/>
        <w:ind w:firstLine="480"/>
        <w:rPr>
          <w:rFonts w:hint="eastAsia" w:eastAsia="宋体"/>
          <w:sz w:val="24"/>
          <w:szCs w:val="24"/>
          <w:lang w:eastAsia="zh-CN"/>
        </w:rPr>
      </w:pPr>
      <w:r>
        <w:rPr>
          <w:sz w:val="24"/>
          <w:szCs w:val="24"/>
        </w:rPr>
        <w:t>项目名称：</w:t>
      </w:r>
      <w:r>
        <w:rPr>
          <w:rFonts w:hint="eastAsia" w:cs="Segoe UI Symbol"/>
          <w:sz w:val="24"/>
          <w:szCs w:val="24"/>
          <w:lang w:eastAsia="zh-CN"/>
        </w:rPr>
        <w:t>常熟市地籍一张图编制项目（二期）</w:t>
      </w:r>
    </w:p>
    <w:p w14:paraId="7E4BD0BB">
      <w:pPr>
        <w:spacing w:line="440" w:lineRule="exact"/>
        <w:ind w:firstLine="480"/>
        <w:rPr>
          <w:rFonts w:hint="eastAsia" w:eastAsia="宋体"/>
          <w:sz w:val="24"/>
          <w:szCs w:val="24"/>
          <w:lang w:eastAsia="zh-CN"/>
        </w:rPr>
      </w:pPr>
      <w:r>
        <w:rPr>
          <w:sz w:val="24"/>
          <w:szCs w:val="24"/>
        </w:rPr>
        <w:t>项目编号：</w:t>
      </w:r>
      <w:r>
        <w:rPr>
          <w:rFonts w:hint="eastAsia"/>
          <w:sz w:val="24"/>
          <w:szCs w:val="24"/>
          <w:lang w:eastAsia="zh-CN"/>
        </w:rPr>
        <w:t>JSZC-320581-CSXC-C2026-0004</w:t>
      </w:r>
    </w:p>
    <w:p w14:paraId="67EF4DEB">
      <w:pPr>
        <w:spacing w:line="440" w:lineRule="exact"/>
        <w:ind w:firstLine="480"/>
        <w:rPr>
          <w:sz w:val="24"/>
          <w:szCs w:val="24"/>
        </w:rPr>
      </w:pPr>
      <w:r>
        <w:rPr>
          <w:rFonts w:hint="eastAsia"/>
          <w:sz w:val="24"/>
          <w:szCs w:val="24"/>
        </w:rPr>
        <w:t>采购方式：竞争性磋商</w:t>
      </w:r>
    </w:p>
    <w:p w14:paraId="3E7B9D64">
      <w:pPr>
        <w:spacing w:line="440" w:lineRule="exact"/>
        <w:ind w:firstLine="480"/>
        <w:rPr>
          <w:sz w:val="24"/>
          <w:szCs w:val="24"/>
        </w:rPr>
      </w:pPr>
      <w:r>
        <w:rPr>
          <w:rFonts w:hint="eastAsia"/>
          <w:sz w:val="24"/>
          <w:szCs w:val="24"/>
        </w:rPr>
        <w:t>预算金额：人民币</w:t>
      </w:r>
      <w:r>
        <w:rPr>
          <w:rFonts w:hint="eastAsia"/>
          <w:sz w:val="24"/>
          <w:szCs w:val="24"/>
          <w:lang w:val="en-US" w:eastAsia="zh-CN"/>
        </w:rPr>
        <w:t>1380000.0</w:t>
      </w:r>
      <w:r>
        <w:rPr>
          <w:rFonts w:hint="eastAsia"/>
          <w:sz w:val="24"/>
          <w:szCs w:val="24"/>
        </w:rPr>
        <w:t>0元整。</w:t>
      </w:r>
    </w:p>
    <w:p w14:paraId="65C71710">
      <w:pPr>
        <w:spacing w:line="440" w:lineRule="exact"/>
        <w:ind w:firstLine="480"/>
        <w:rPr>
          <w:sz w:val="24"/>
          <w:szCs w:val="24"/>
        </w:rPr>
      </w:pPr>
      <w:r>
        <w:rPr>
          <w:rFonts w:hint="eastAsia"/>
          <w:sz w:val="24"/>
          <w:szCs w:val="24"/>
        </w:rPr>
        <w:t>采购需求：常熟市自然资源和规划局所需的</w:t>
      </w:r>
      <w:r>
        <w:rPr>
          <w:rFonts w:hint="eastAsia"/>
          <w:sz w:val="24"/>
          <w:szCs w:val="24"/>
          <w:lang w:eastAsia="zh-CN"/>
        </w:rPr>
        <w:t>常熟市地籍一张图编制项目（二期）</w:t>
      </w:r>
      <w:r>
        <w:rPr>
          <w:rFonts w:hint="eastAsia"/>
          <w:sz w:val="24"/>
          <w:szCs w:val="24"/>
        </w:rPr>
        <w:t>服务。</w:t>
      </w:r>
    </w:p>
    <w:p w14:paraId="6034BF44">
      <w:pPr>
        <w:spacing w:line="440" w:lineRule="exact"/>
        <w:ind w:firstLine="480"/>
        <w:rPr>
          <w:rFonts w:hint="eastAsia" w:eastAsia="宋体"/>
          <w:sz w:val="24"/>
          <w:szCs w:val="24"/>
          <w:highlight w:val="none"/>
          <w:lang w:eastAsia="zh-CN"/>
        </w:rPr>
      </w:pPr>
      <w:r>
        <w:rPr>
          <w:rFonts w:hint="eastAsia"/>
          <w:sz w:val="24"/>
          <w:szCs w:val="24"/>
          <w:highlight w:val="none"/>
        </w:rPr>
        <w:t>合同履行期限：</w:t>
      </w:r>
      <w:r>
        <w:rPr>
          <w:rFonts w:hint="eastAsia"/>
          <w:sz w:val="24"/>
          <w:szCs w:val="24"/>
          <w:highlight w:val="none"/>
          <w:lang w:eastAsia="zh-CN"/>
        </w:rPr>
        <w:t>按照国家、省、苏州市要求完成已有的国有建设用地地籍数据成果汇交。2027年6月30日前完成全部项目内容。</w:t>
      </w:r>
    </w:p>
    <w:p w14:paraId="466C0052">
      <w:pPr>
        <w:spacing w:line="440" w:lineRule="exact"/>
        <w:ind w:firstLine="480"/>
        <w:rPr>
          <w:sz w:val="24"/>
          <w:szCs w:val="24"/>
          <w:highlight w:val="none"/>
        </w:rPr>
      </w:pPr>
      <w:r>
        <w:rPr>
          <w:rFonts w:hint="eastAsia"/>
          <w:sz w:val="24"/>
          <w:szCs w:val="24"/>
          <w:highlight w:val="none"/>
        </w:rPr>
        <w:t>本项目接受联合体投标。</w:t>
      </w:r>
    </w:p>
    <w:p w14:paraId="29453715">
      <w:pPr>
        <w:spacing w:line="440" w:lineRule="exact"/>
        <w:rPr>
          <w:b/>
          <w:sz w:val="24"/>
          <w:szCs w:val="24"/>
          <w:highlight w:val="none"/>
        </w:rPr>
      </w:pPr>
      <w:r>
        <w:rPr>
          <w:rFonts w:hint="eastAsia"/>
          <w:b/>
          <w:sz w:val="24"/>
          <w:szCs w:val="24"/>
          <w:highlight w:val="none"/>
        </w:rPr>
        <w:t>二</w:t>
      </w:r>
      <w:r>
        <w:rPr>
          <w:b/>
          <w:sz w:val="24"/>
          <w:szCs w:val="24"/>
          <w:highlight w:val="none"/>
        </w:rPr>
        <w:t>、</w:t>
      </w:r>
      <w:r>
        <w:rPr>
          <w:rFonts w:hint="eastAsia"/>
          <w:b/>
          <w:sz w:val="24"/>
          <w:szCs w:val="24"/>
          <w:highlight w:val="none"/>
        </w:rPr>
        <w:t>申请人的</w:t>
      </w:r>
      <w:r>
        <w:rPr>
          <w:b/>
          <w:sz w:val="24"/>
          <w:szCs w:val="24"/>
          <w:highlight w:val="none"/>
        </w:rPr>
        <w:t>资格要求</w:t>
      </w:r>
    </w:p>
    <w:p w14:paraId="220F63F5">
      <w:pPr>
        <w:spacing w:line="440" w:lineRule="exact"/>
        <w:ind w:firstLine="480"/>
        <w:rPr>
          <w:color w:val="333333"/>
          <w:sz w:val="24"/>
          <w:szCs w:val="24"/>
          <w:highlight w:val="none"/>
        </w:rPr>
      </w:pPr>
      <w:r>
        <w:rPr>
          <w:color w:val="333333"/>
          <w:sz w:val="24"/>
          <w:szCs w:val="24"/>
          <w:highlight w:val="none"/>
        </w:rPr>
        <w:t>1、</w:t>
      </w:r>
      <w:r>
        <w:rPr>
          <w:rFonts w:hint="eastAsia"/>
          <w:color w:val="333333"/>
          <w:sz w:val="24"/>
          <w:szCs w:val="24"/>
          <w:highlight w:val="none"/>
        </w:rPr>
        <w:t>满足《中华人民共和国政府采购法》第二十二条规定：</w:t>
      </w:r>
    </w:p>
    <w:p w14:paraId="3B736D7A">
      <w:pPr>
        <w:spacing w:line="440" w:lineRule="exact"/>
        <w:ind w:firstLine="480"/>
        <w:rPr>
          <w:color w:val="333333"/>
          <w:sz w:val="24"/>
          <w:szCs w:val="24"/>
          <w:highlight w:val="none"/>
        </w:rPr>
      </w:pPr>
      <w:r>
        <w:rPr>
          <w:rFonts w:hint="eastAsia"/>
          <w:color w:val="333333"/>
          <w:sz w:val="24"/>
          <w:szCs w:val="24"/>
          <w:highlight w:val="none"/>
        </w:rPr>
        <w:t>（1）</w:t>
      </w:r>
      <w:r>
        <w:rPr>
          <w:color w:val="333333"/>
          <w:sz w:val="24"/>
          <w:szCs w:val="24"/>
          <w:highlight w:val="none"/>
        </w:rPr>
        <w:t>具有独立承担民事责任的能力</w:t>
      </w:r>
      <w:r>
        <w:rPr>
          <w:rFonts w:hint="eastAsia"/>
          <w:color w:val="333333"/>
          <w:sz w:val="24"/>
          <w:szCs w:val="24"/>
          <w:highlight w:val="none"/>
        </w:rPr>
        <w:t>。</w:t>
      </w:r>
    </w:p>
    <w:p w14:paraId="6A54F4CA">
      <w:pPr>
        <w:spacing w:line="440" w:lineRule="exact"/>
        <w:ind w:firstLine="480"/>
        <w:rPr>
          <w:color w:val="333333"/>
          <w:sz w:val="24"/>
          <w:szCs w:val="24"/>
          <w:highlight w:val="none"/>
        </w:rPr>
      </w:pPr>
      <w:r>
        <w:rPr>
          <w:rFonts w:hint="eastAsia"/>
          <w:color w:val="333333"/>
          <w:sz w:val="24"/>
          <w:szCs w:val="24"/>
          <w:highlight w:val="none"/>
        </w:rPr>
        <w:t>（2）</w:t>
      </w:r>
      <w:r>
        <w:rPr>
          <w:color w:val="333333"/>
          <w:sz w:val="24"/>
          <w:szCs w:val="24"/>
          <w:highlight w:val="none"/>
        </w:rPr>
        <w:t>具有良好的商业信誉和健全的财务会计制度</w:t>
      </w:r>
      <w:r>
        <w:rPr>
          <w:rFonts w:hint="eastAsia"/>
          <w:color w:val="333333"/>
          <w:sz w:val="24"/>
          <w:szCs w:val="24"/>
          <w:highlight w:val="none"/>
        </w:rPr>
        <w:t>。</w:t>
      </w:r>
    </w:p>
    <w:p w14:paraId="72376A83">
      <w:pPr>
        <w:spacing w:line="440" w:lineRule="exact"/>
        <w:ind w:firstLine="480"/>
        <w:rPr>
          <w:color w:val="333333"/>
          <w:sz w:val="24"/>
          <w:szCs w:val="24"/>
          <w:highlight w:val="none"/>
        </w:rPr>
      </w:pPr>
      <w:r>
        <w:rPr>
          <w:rFonts w:hint="eastAsia"/>
          <w:color w:val="333333"/>
          <w:sz w:val="24"/>
          <w:szCs w:val="24"/>
          <w:highlight w:val="none"/>
        </w:rPr>
        <w:t>（3）</w:t>
      </w:r>
      <w:r>
        <w:rPr>
          <w:color w:val="333333"/>
          <w:sz w:val="24"/>
          <w:szCs w:val="24"/>
          <w:highlight w:val="none"/>
        </w:rPr>
        <w:t>具有履行合同所必需的设备和专业技术能力</w:t>
      </w:r>
      <w:r>
        <w:rPr>
          <w:rFonts w:hint="eastAsia"/>
          <w:color w:val="333333"/>
          <w:sz w:val="24"/>
          <w:szCs w:val="24"/>
          <w:highlight w:val="none"/>
        </w:rPr>
        <w:t>。</w:t>
      </w:r>
    </w:p>
    <w:p w14:paraId="41EF3E71">
      <w:pPr>
        <w:spacing w:line="440" w:lineRule="exact"/>
        <w:ind w:firstLine="480"/>
        <w:rPr>
          <w:color w:val="333333"/>
          <w:sz w:val="24"/>
          <w:szCs w:val="24"/>
          <w:highlight w:val="none"/>
        </w:rPr>
      </w:pPr>
      <w:r>
        <w:rPr>
          <w:rFonts w:hint="eastAsia"/>
          <w:color w:val="333333"/>
          <w:sz w:val="24"/>
          <w:szCs w:val="24"/>
          <w:highlight w:val="none"/>
        </w:rPr>
        <w:t>（4）</w:t>
      </w:r>
      <w:r>
        <w:rPr>
          <w:color w:val="333333"/>
          <w:sz w:val="24"/>
          <w:szCs w:val="24"/>
          <w:highlight w:val="none"/>
        </w:rPr>
        <w:t>有依法缴纳税收和社会保障资金的良好记录</w:t>
      </w:r>
      <w:r>
        <w:rPr>
          <w:rFonts w:hint="eastAsia"/>
          <w:color w:val="333333"/>
          <w:sz w:val="24"/>
          <w:szCs w:val="24"/>
          <w:highlight w:val="none"/>
        </w:rPr>
        <w:t>。</w:t>
      </w:r>
    </w:p>
    <w:p w14:paraId="53CA91E2">
      <w:pPr>
        <w:spacing w:line="440" w:lineRule="exact"/>
        <w:ind w:firstLine="480"/>
        <w:rPr>
          <w:color w:val="333333"/>
          <w:sz w:val="24"/>
          <w:szCs w:val="24"/>
          <w:highlight w:val="none"/>
        </w:rPr>
      </w:pPr>
      <w:r>
        <w:rPr>
          <w:rFonts w:hint="eastAsia"/>
          <w:color w:val="333333"/>
          <w:sz w:val="24"/>
          <w:szCs w:val="24"/>
          <w:highlight w:val="none"/>
        </w:rPr>
        <w:t>（5）</w:t>
      </w:r>
      <w:r>
        <w:rPr>
          <w:color w:val="333333"/>
          <w:sz w:val="24"/>
          <w:szCs w:val="24"/>
          <w:highlight w:val="none"/>
        </w:rPr>
        <w:t>参加采购活动</w:t>
      </w:r>
      <w:r>
        <w:rPr>
          <w:rFonts w:hint="eastAsia"/>
          <w:color w:val="333333"/>
          <w:sz w:val="24"/>
          <w:szCs w:val="24"/>
          <w:highlight w:val="none"/>
        </w:rPr>
        <w:t>前</w:t>
      </w:r>
      <w:r>
        <w:rPr>
          <w:color w:val="333333"/>
          <w:sz w:val="24"/>
          <w:szCs w:val="24"/>
          <w:highlight w:val="none"/>
        </w:rPr>
        <w:t>三年内，在经营活动中没有重大违法记录</w:t>
      </w:r>
      <w:r>
        <w:rPr>
          <w:rFonts w:hint="eastAsia"/>
          <w:color w:val="333333"/>
          <w:sz w:val="24"/>
          <w:szCs w:val="24"/>
          <w:highlight w:val="none"/>
        </w:rPr>
        <w:t>。</w:t>
      </w:r>
    </w:p>
    <w:p w14:paraId="3D125A43">
      <w:pPr>
        <w:spacing w:line="440" w:lineRule="exact"/>
        <w:ind w:firstLine="480" w:firstLineChars="200"/>
        <w:rPr>
          <w:b w:val="0"/>
          <w:bCs w:val="0"/>
          <w:sz w:val="24"/>
          <w:szCs w:val="24"/>
          <w:highlight w:val="none"/>
        </w:rPr>
      </w:pPr>
      <w:r>
        <w:rPr>
          <w:rFonts w:hint="eastAsia" w:cs="宋体"/>
          <w:sz w:val="24"/>
          <w:szCs w:val="24"/>
          <w:highlight w:val="none"/>
        </w:rPr>
        <w:t>2、</w:t>
      </w:r>
      <w:r>
        <w:rPr>
          <w:rFonts w:hint="eastAsia"/>
          <w:sz w:val="24"/>
          <w:szCs w:val="24"/>
          <w:highlight w:val="none"/>
        </w:rPr>
        <w:t>落实政府采购政策需满足的资格要求：</w:t>
      </w:r>
      <w:r>
        <w:rPr>
          <w:rFonts w:hint="eastAsia"/>
          <w:sz w:val="24"/>
          <w:szCs w:val="24"/>
          <w:highlight w:val="none"/>
          <w:lang w:val="en-US" w:eastAsia="zh-CN"/>
        </w:rPr>
        <w:t>无。</w:t>
      </w:r>
      <w:r>
        <w:rPr>
          <w:rFonts w:hint="eastAsia" w:asciiTheme="minorEastAsia" w:hAnsiTheme="minorEastAsia" w:eastAsiaTheme="minorEastAsia" w:cstheme="minorEastAsia"/>
          <w:b w:val="0"/>
          <w:bCs w:val="0"/>
          <w:sz w:val="24"/>
          <w:szCs w:val="24"/>
          <w:highlight w:val="none"/>
        </w:rPr>
        <w:t>本项目</w:t>
      </w:r>
      <w:r>
        <w:rPr>
          <w:rStyle w:val="58"/>
          <w:rFonts w:hint="eastAsia" w:asciiTheme="minorEastAsia" w:hAnsiTheme="minorEastAsia" w:eastAsiaTheme="minorEastAsia" w:cstheme="minorEastAsia"/>
          <w:b w:val="0"/>
          <w:bCs w:val="0"/>
          <w:color w:val="000000"/>
          <w:sz w:val="24"/>
          <w:szCs w:val="24"/>
          <w:highlight w:val="none"/>
          <w:shd w:val="clear" w:color="auto" w:fill="FFFFFF"/>
        </w:rPr>
        <w:t>所属行业为</w:t>
      </w:r>
      <w:r>
        <w:rPr>
          <w:rStyle w:val="58"/>
          <w:rFonts w:hint="eastAsia" w:asciiTheme="minorEastAsia" w:hAnsiTheme="minorEastAsia" w:cstheme="minorEastAsia"/>
          <w:b w:val="0"/>
          <w:bCs w:val="0"/>
          <w:color w:val="000000"/>
          <w:sz w:val="24"/>
          <w:szCs w:val="24"/>
          <w:highlight w:val="none"/>
          <w:shd w:val="clear" w:color="auto" w:fill="FFFFFF"/>
        </w:rPr>
        <w:t>其他未列明行业</w:t>
      </w:r>
      <w:r>
        <w:rPr>
          <w:rFonts w:hint="eastAsia" w:asciiTheme="minorEastAsia" w:hAnsiTheme="minorEastAsia" w:eastAsiaTheme="minorEastAsia" w:cstheme="minorEastAsia"/>
          <w:b w:val="0"/>
          <w:bCs w:val="0"/>
          <w:sz w:val="24"/>
          <w:szCs w:val="24"/>
          <w:highlight w:val="none"/>
        </w:rPr>
        <w:t>。</w:t>
      </w:r>
    </w:p>
    <w:p w14:paraId="7FA0EE66">
      <w:pPr>
        <w:spacing w:line="400" w:lineRule="exact"/>
        <w:ind w:firstLine="480"/>
        <w:rPr>
          <w:sz w:val="24"/>
          <w:szCs w:val="24"/>
          <w:highlight w:val="none"/>
        </w:rPr>
      </w:pPr>
      <w:r>
        <w:rPr>
          <w:rFonts w:hint="eastAsia"/>
          <w:sz w:val="24"/>
          <w:szCs w:val="24"/>
          <w:highlight w:val="none"/>
        </w:rPr>
        <w:t>3、本项目的特定资格要求：</w:t>
      </w:r>
      <w:r>
        <w:rPr>
          <w:rFonts w:hint="eastAsia" w:ascii="宋体" w:hAnsi="宋体"/>
          <w:b/>
          <w:bCs/>
          <w:color w:val="000000" w:themeColor="text1"/>
          <w:sz w:val="24"/>
          <w:highlight w:val="none"/>
          <w14:textFill>
            <w14:solidFill>
              <w14:schemeClr w14:val="tx1"/>
            </w14:solidFill>
          </w14:textFill>
        </w:rPr>
        <w:t>具有主管部门颁发的有效期范围内甲级测绘资质（业务范围包括界线与不动产测绘、地理信息系统工程）。</w:t>
      </w:r>
    </w:p>
    <w:p w14:paraId="642E9840">
      <w:pPr>
        <w:spacing w:line="400" w:lineRule="exact"/>
        <w:ind w:firstLine="480"/>
        <w:rPr>
          <w:sz w:val="24"/>
          <w:szCs w:val="24"/>
          <w:highlight w:val="none"/>
        </w:rPr>
      </w:pPr>
      <w:r>
        <w:rPr>
          <w:sz w:val="24"/>
          <w:szCs w:val="24"/>
          <w:highlight w:val="none"/>
        </w:rPr>
        <w:t>4、其他要求：</w:t>
      </w:r>
    </w:p>
    <w:p w14:paraId="65958565">
      <w:pPr>
        <w:spacing w:line="460" w:lineRule="exact"/>
        <w:ind w:firstLine="480"/>
        <w:rPr>
          <w:sz w:val="24"/>
          <w:szCs w:val="24"/>
        </w:rPr>
      </w:pPr>
      <w:r>
        <w:rPr>
          <w:sz w:val="24"/>
          <w:szCs w:val="24"/>
          <w:highlight w:val="none"/>
        </w:rPr>
        <w:t>（1）根据政府采购法及相关法规，</w:t>
      </w:r>
      <w:r>
        <w:rPr>
          <w:sz w:val="24"/>
          <w:szCs w:val="24"/>
        </w:rPr>
        <w:t>将对供应商进行信用查询。供应商被列入失信被执行人或重大税收违法案件当事人名单或政府采购严重违法失信行为记录名单，以及存在其他不符合《政府采购法》第二十二条规定条件的不良信用记录，拒绝其参与政府采购活动。</w:t>
      </w:r>
    </w:p>
    <w:p w14:paraId="2E264D1C">
      <w:pPr>
        <w:spacing w:line="460" w:lineRule="exact"/>
        <w:ind w:firstLine="480"/>
        <w:rPr>
          <w:color w:val="000000"/>
          <w:sz w:val="24"/>
          <w:szCs w:val="24"/>
        </w:rPr>
      </w:pPr>
      <w:r>
        <w:rPr>
          <w:sz w:val="24"/>
          <w:szCs w:val="24"/>
        </w:rPr>
        <w:t>（2）单位负责人为同一人或者存在直接控股、管理关系的不同供应商，不得参加同一合同项下的政府采购活动。</w:t>
      </w:r>
    </w:p>
    <w:p w14:paraId="5D80D236">
      <w:pPr>
        <w:spacing w:line="440" w:lineRule="exact"/>
        <w:rPr>
          <w:b/>
          <w:sz w:val="24"/>
          <w:szCs w:val="24"/>
        </w:rPr>
      </w:pPr>
      <w:r>
        <w:rPr>
          <w:rFonts w:hint="eastAsia"/>
          <w:b/>
          <w:sz w:val="24"/>
          <w:szCs w:val="24"/>
        </w:rPr>
        <w:t>三</w:t>
      </w:r>
      <w:r>
        <w:rPr>
          <w:b/>
          <w:sz w:val="24"/>
          <w:szCs w:val="24"/>
        </w:rPr>
        <w:t>、</w:t>
      </w:r>
      <w:r>
        <w:rPr>
          <w:rFonts w:hint="eastAsia"/>
          <w:b/>
          <w:sz w:val="24"/>
          <w:szCs w:val="24"/>
        </w:rPr>
        <w:t>获取采购文件</w:t>
      </w:r>
    </w:p>
    <w:p w14:paraId="5777E893">
      <w:pPr>
        <w:spacing w:line="440" w:lineRule="exact"/>
        <w:ind w:firstLine="480"/>
        <w:rPr>
          <w:sz w:val="24"/>
          <w:szCs w:val="24"/>
        </w:rPr>
      </w:pPr>
      <w:r>
        <w:rPr>
          <w:sz w:val="24"/>
          <w:szCs w:val="24"/>
        </w:rPr>
        <w:t>1</w:t>
      </w:r>
      <w:r>
        <w:rPr>
          <w:rFonts w:hint="eastAsia"/>
          <w:sz w:val="24"/>
          <w:szCs w:val="24"/>
        </w:rPr>
        <w:t>、时间：自招标文件公告发布之日起</w:t>
      </w:r>
      <w:r>
        <w:rPr>
          <w:rFonts w:hint="eastAsia"/>
          <w:sz w:val="24"/>
          <w:szCs w:val="24"/>
          <w:lang w:val="en-US" w:eastAsia="zh-CN"/>
        </w:rPr>
        <w:t>五个工作日</w:t>
      </w:r>
      <w:r>
        <w:rPr>
          <w:rFonts w:hint="eastAsia"/>
          <w:sz w:val="24"/>
          <w:szCs w:val="24"/>
        </w:rPr>
        <w:t>。</w:t>
      </w:r>
    </w:p>
    <w:p w14:paraId="0466BE0B">
      <w:pPr>
        <w:spacing w:line="440" w:lineRule="exact"/>
        <w:ind w:firstLine="480"/>
        <w:rPr>
          <w:sz w:val="24"/>
          <w:szCs w:val="24"/>
        </w:rPr>
      </w:pPr>
      <w:r>
        <w:rPr>
          <w:sz w:val="24"/>
          <w:szCs w:val="24"/>
        </w:rPr>
        <w:t>2</w:t>
      </w:r>
      <w:r>
        <w:rPr>
          <w:rFonts w:hint="eastAsia"/>
          <w:sz w:val="24"/>
          <w:szCs w:val="24"/>
        </w:rPr>
        <w:t>、方式：在“苏采云政府采购一体化平台”自行免费下载磋商文件。</w:t>
      </w:r>
    </w:p>
    <w:p w14:paraId="3DC794AF">
      <w:pPr>
        <w:spacing w:line="440" w:lineRule="exact"/>
        <w:ind w:firstLine="480"/>
        <w:rPr>
          <w:sz w:val="24"/>
          <w:szCs w:val="24"/>
        </w:rPr>
      </w:pPr>
      <w:r>
        <w:rPr>
          <w:rFonts w:hint="eastAsia"/>
          <w:sz w:val="24"/>
          <w:szCs w:val="24"/>
        </w:rPr>
        <w:t>（</w:t>
      </w:r>
      <w:r>
        <w:rPr>
          <w:sz w:val="24"/>
          <w:szCs w:val="24"/>
        </w:rPr>
        <w:t>1</w:t>
      </w:r>
      <w:r>
        <w:rPr>
          <w:rFonts w:hint="eastAsia"/>
          <w:sz w:val="24"/>
          <w:szCs w:val="24"/>
        </w:rPr>
        <w:t>）参与采购活动：供应商进入苏州市政府采购网，点击网站首页底部苏采云图标，插入</w:t>
      </w:r>
      <w:r>
        <w:rPr>
          <w:sz w:val="24"/>
          <w:szCs w:val="24"/>
        </w:rPr>
        <w:t>CA</w:t>
      </w:r>
      <w:r>
        <w:rPr>
          <w:rFonts w:hint="eastAsia"/>
          <w:sz w:val="24"/>
          <w:szCs w:val="24"/>
        </w:rPr>
        <w:t>证书登陆“苏采云”系统后选择具体项目，点击“我要参与”并签章提交《投标供应商确认函》，提交《投标供应商确认函》日期视同为依法获取磋商文件日期。对《投标供应商确认函》供应商应予打印保留。</w:t>
      </w:r>
    </w:p>
    <w:p w14:paraId="222A8C5A">
      <w:pPr>
        <w:spacing w:line="440" w:lineRule="exact"/>
        <w:ind w:firstLine="480"/>
        <w:rPr>
          <w:sz w:val="24"/>
          <w:szCs w:val="24"/>
        </w:rPr>
      </w:pPr>
      <w:r>
        <w:rPr>
          <w:rFonts w:hint="eastAsia"/>
          <w:sz w:val="24"/>
          <w:szCs w:val="24"/>
        </w:rPr>
        <w:t>（</w:t>
      </w:r>
      <w:r>
        <w:rPr>
          <w:sz w:val="24"/>
          <w:szCs w:val="24"/>
        </w:rPr>
        <w:t>2</w:t>
      </w:r>
      <w:r>
        <w:rPr>
          <w:rFonts w:hint="eastAsia"/>
          <w:sz w:val="24"/>
          <w:szCs w:val="24"/>
        </w:rPr>
        <w:t>）电子投标准备：供应商在“苏采云”系统中操作成功参与项目后，必须在“已参与项目”界面中下载电子磋商文件（后缀名为“</w:t>
      </w:r>
      <w:r>
        <w:rPr>
          <w:sz w:val="24"/>
          <w:szCs w:val="24"/>
        </w:rPr>
        <w:t>.kedt</w:t>
      </w:r>
      <w:r>
        <w:rPr>
          <w:rFonts w:hint="eastAsia"/>
          <w:sz w:val="24"/>
          <w:szCs w:val="24"/>
        </w:rPr>
        <w:t>”）并导入政府采购客户端工具后方可进行电子响应文件的制作和提交（具体详见《苏采云系统供应商操作手册》，网址链接</w:t>
      </w:r>
      <w:r>
        <w:rPr>
          <w:sz w:val="24"/>
          <w:szCs w:val="24"/>
        </w:rPr>
        <w:t>https://czju.suzhou.gov.cn/zfcg/html/content/20231220161910031.shtml</w:t>
      </w:r>
      <w:r>
        <w:rPr>
          <w:rFonts w:hint="eastAsia"/>
          <w:sz w:val="24"/>
          <w:szCs w:val="24"/>
        </w:rPr>
        <w:t>）。</w:t>
      </w:r>
    </w:p>
    <w:p w14:paraId="2D6154F3">
      <w:pPr>
        <w:spacing w:line="440" w:lineRule="exact"/>
        <w:rPr>
          <w:b/>
          <w:sz w:val="24"/>
          <w:szCs w:val="24"/>
        </w:rPr>
      </w:pPr>
      <w:r>
        <w:rPr>
          <w:rFonts w:hint="eastAsia"/>
          <w:b/>
          <w:sz w:val="24"/>
          <w:szCs w:val="24"/>
        </w:rPr>
        <w:t>四</w:t>
      </w:r>
      <w:r>
        <w:rPr>
          <w:b/>
          <w:sz w:val="24"/>
          <w:szCs w:val="24"/>
        </w:rPr>
        <w:t>、</w:t>
      </w:r>
      <w:r>
        <w:rPr>
          <w:rFonts w:hint="eastAsia"/>
          <w:b/>
          <w:sz w:val="24"/>
          <w:szCs w:val="21"/>
        </w:rPr>
        <w:t>响应文件提交</w:t>
      </w:r>
    </w:p>
    <w:p w14:paraId="4C77B576">
      <w:pPr>
        <w:spacing w:line="440" w:lineRule="exact"/>
        <w:ind w:firstLine="480"/>
        <w:rPr>
          <w:sz w:val="24"/>
          <w:szCs w:val="24"/>
        </w:rPr>
      </w:pPr>
      <w:r>
        <w:rPr>
          <w:rFonts w:hint="eastAsia"/>
          <w:sz w:val="24"/>
          <w:szCs w:val="24"/>
        </w:rPr>
        <w:t>1、截止</w:t>
      </w:r>
      <w:r>
        <w:rPr>
          <w:sz w:val="24"/>
          <w:szCs w:val="24"/>
        </w:rPr>
        <w:t>时间：</w:t>
      </w:r>
      <w:r>
        <w:rPr>
          <w:rFonts w:hint="eastAsia"/>
          <w:sz w:val="24"/>
          <w:szCs w:val="24"/>
          <w:lang w:val="en-US" w:eastAsia="zh-CN"/>
        </w:rPr>
        <w:t>2026</w:t>
      </w:r>
      <w:r>
        <w:rPr>
          <w:rFonts w:hint="eastAsia"/>
          <w:sz w:val="24"/>
          <w:szCs w:val="24"/>
        </w:rPr>
        <w:t>年</w:t>
      </w:r>
      <w:r>
        <w:rPr>
          <w:rFonts w:hint="eastAsia"/>
          <w:sz w:val="24"/>
          <w:szCs w:val="24"/>
          <w:lang w:val="en-US" w:eastAsia="zh-CN"/>
        </w:rPr>
        <w:t>2</w:t>
      </w:r>
      <w:r>
        <w:rPr>
          <w:rFonts w:hint="eastAsia"/>
          <w:sz w:val="24"/>
          <w:szCs w:val="24"/>
        </w:rPr>
        <w:t>月</w:t>
      </w:r>
      <w:r>
        <w:rPr>
          <w:rFonts w:hint="eastAsia"/>
          <w:sz w:val="24"/>
          <w:szCs w:val="24"/>
          <w:lang w:val="en-US" w:eastAsia="zh-CN"/>
        </w:rPr>
        <w:t>28</w:t>
      </w:r>
      <w:r>
        <w:rPr>
          <w:rFonts w:hint="eastAsia"/>
          <w:sz w:val="24"/>
          <w:szCs w:val="24"/>
        </w:rPr>
        <w:t>日</w:t>
      </w:r>
      <w:r>
        <w:rPr>
          <w:rFonts w:hint="eastAsia"/>
          <w:sz w:val="24"/>
          <w:szCs w:val="24"/>
          <w:lang w:val="en-US" w:eastAsia="zh-CN"/>
        </w:rPr>
        <w:t>9</w:t>
      </w:r>
      <w:r>
        <w:rPr>
          <w:rFonts w:hint="eastAsia"/>
          <w:sz w:val="24"/>
          <w:szCs w:val="24"/>
        </w:rPr>
        <w:t>点00分（北京时间）</w:t>
      </w:r>
    </w:p>
    <w:p w14:paraId="4BEC652E">
      <w:pPr>
        <w:spacing w:line="440" w:lineRule="exact"/>
        <w:ind w:firstLine="480"/>
        <w:rPr>
          <w:sz w:val="24"/>
          <w:szCs w:val="24"/>
        </w:rPr>
      </w:pPr>
      <w:r>
        <w:rPr>
          <w:sz w:val="24"/>
          <w:szCs w:val="24"/>
        </w:rPr>
        <w:t>2</w:t>
      </w:r>
      <w:r>
        <w:rPr>
          <w:rFonts w:hint="eastAsia"/>
          <w:sz w:val="24"/>
          <w:szCs w:val="24"/>
        </w:rPr>
        <w:t>、开标地点：苏采云系统网上开标大厅</w:t>
      </w:r>
    </w:p>
    <w:p w14:paraId="469751C0">
      <w:pPr>
        <w:spacing w:line="440" w:lineRule="exact"/>
        <w:ind w:firstLine="480"/>
        <w:rPr>
          <w:sz w:val="24"/>
          <w:szCs w:val="24"/>
        </w:rPr>
      </w:pPr>
      <w:r>
        <w:rPr>
          <w:sz w:val="24"/>
          <w:szCs w:val="24"/>
        </w:rPr>
        <w:t>3</w:t>
      </w:r>
      <w:r>
        <w:rPr>
          <w:rFonts w:hint="eastAsia"/>
          <w:sz w:val="24"/>
          <w:szCs w:val="24"/>
        </w:rPr>
        <w:t>、本项目采用电子化采购形式，供应商应当按照《苏采云系统供应商操作手册》规定，须在投标截止时间前制作并上传电子响应文件至“苏采云”系统，否则视为放弃参加该采购项目。供应商应充分考虑到网络环境、网络带宽等风险因素，如因供应商自身原因造成的电子响应文件上传不成功由供应商自行承担全部责任。</w:t>
      </w:r>
    </w:p>
    <w:p w14:paraId="042B4B7D">
      <w:pPr>
        <w:spacing w:line="440" w:lineRule="exact"/>
        <w:ind w:firstLine="480"/>
        <w:rPr>
          <w:sz w:val="24"/>
          <w:szCs w:val="24"/>
        </w:rPr>
      </w:pPr>
      <w:r>
        <w:rPr>
          <w:sz w:val="24"/>
          <w:szCs w:val="24"/>
        </w:rPr>
        <w:t>4</w:t>
      </w:r>
      <w:r>
        <w:rPr>
          <w:rFonts w:hint="eastAsia"/>
          <w:sz w:val="24"/>
          <w:szCs w:val="24"/>
        </w:rPr>
        <w:t>、本项目采用不见面开标，供应商登录“苏采云”系统在平台首页点击“开标大厅”，进入江苏省政府采购一体化不见面开标（采购）大厅，在今日项目列表，点击项目，进入不见面开标系统。</w:t>
      </w:r>
      <w:r>
        <w:rPr>
          <w:rFonts w:hint="eastAsia"/>
          <w:b/>
          <w:bCs/>
          <w:sz w:val="24"/>
          <w:szCs w:val="24"/>
        </w:rPr>
        <w:t>本项目为不见面磋商项目，开启阶段供应商在【供应商解密】环节必须使用CA证书解密电子响应文件，如在系统规定的解密时间内未能完成解密的视为放弃参与本项目。</w:t>
      </w:r>
    </w:p>
    <w:p w14:paraId="52D4C10D">
      <w:pPr>
        <w:spacing w:line="440" w:lineRule="exact"/>
        <w:ind w:firstLine="480"/>
        <w:rPr>
          <w:sz w:val="24"/>
          <w:szCs w:val="24"/>
        </w:rPr>
      </w:pPr>
      <w:r>
        <w:rPr>
          <w:rFonts w:hint="eastAsia"/>
          <w:sz w:val="24"/>
          <w:szCs w:val="24"/>
        </w:rPr>
        <w:t>请供应商确保电脑、系统及其他设备（视频输入输出设备等）无误，且开启直至项目结束始终保持系统在线状态。</w:t>
      </w:r>
    </w:p>
    <w:p w14:paraId="3DAA71DE">
      <w:pPr>
        <w:spacing w:line="440" w:lineRule="exact"/>
        <w:rPr>
          <w:b/>
          <w:bCs/>
          <w:sz w:val="24"/>
          <w:szCs w:val="21"/>
        </w:rPr>
      </w:pPr>
      <w:r>
        <w:rPr>
          <w:rFonts w:hint="eastAsia"/>
          <w:b/>
          <w:sz w:val="24"/>
          <w:szCs w:val="24"/>
        </w:rPr>
        <w:t>五</w:t>
      </w:r>
      <w:r>
        <w:rPr>
          <w:b/>
          <w:sz w:val="24"/>
          <w:szCs w:val="24"/>
        </w:rPr>
        <w:t>、</w:t>
      </w:r>
      <w:r>
        <w:rPr>
          <w:rFonts w:hint="eastAsia"/>
          <w:b/>
          <w:bCs/>
          <w:sz w:val="24"/>
          <w:szCs w:val="21"/>
        </w:rPr>
        <w:t>公告期限</w:t>
      </w:r>
    </w:p>
    <w:p w14:paraId="17268BAB">
      <w:pPr>
        <w:spacing w:line="440" w:lineRule="exact"/>
        <w:ind w:firstLine="480"/>
        <w:rPr>
          <w:sz w:val="24"/>
          <w:szCs w:val="24"/>
        </w:rPr>
      </w:pPr>
      <w:r>
        <w:rPr>
          <w:rFonts w:hint="eastAsia"/>
          <w:sz w:val="24"/>
          <w:szCs w:val="24"/>
        </w:rPr>
        <w:t>公告期限：</w:t>
      </w:r>
      <w:r>
        <w:rPr>
          <w:sz w:val="24"/>
          <w:szCs w:val="24"/>
        </w:rPr>
        <w:t>自本公告发布之日起</w:t>
      </w:r>
      <w:r>
        <w:rPr>
          <w:rFonts w:hint="eastAsia"/>
          <w:sz w:val="24"/>
          <w:szCs w:val="24"/>
        </w:rPr>
        <w:t>3</w:t>
      </w:r>
      <w:r>
        <w:rPr>
          <w:sz w:val="24"/>
          <w:szCs w:val="24"/>
        </w:rPr>
        <w:t>个工作日</w:t>
      </w:r>
    </w:p>
    <w:p w14:paraId="30077A44">
      <w:pPr>
        <w:spacing w:line="440" w:lineRule="exact"/>
        <w:rPr>
          <w:b/>
          <w:sz w:val="24"/>
          <w:szCs w:val="21"/>
        </w:rPr>
      </w:pPr>
      <w:r>
        <w:rPr>
          <w:rFonts w:hint="eastAsia"/>
          <w:b/>
          <w:sz w:val="24"/>
          <w:szCs w:val="24"/>
        </w:rPr>
        <w:t>六</w:t>
      </w:r>
      <w:r>
        <w:rPr>
          <w:b/>
          <w:sz w:val="24"/>
          <w:szCs w:val="24"/>
        </w:rPr>
        <w:t>、</w:t>
      </w:r>
      <w:r>
        <w:rPr>
          <w:b/>
          <w:sz w:val="24"/>
          <w:szCs w:val="21"/>
        </w:rPr>
        <w:t>其他</w:t>
      </w:r>
      <w:r>
        <w:rPr>
          <w:rFonts w:hint="eastAsia"/>
          <w:b/>
          <w:sz w:val="24"/>
          <w:szCs w:val="21"/>
        </w:rPr>
        <w:t>补充事宜</w:t>
      </w:r>
    </w:p>
    <w:p w14:paraId="10FAE681">
      <w:pPr>
        <w:shd w:val="clear" w:color="auto" w:fill="FFFFFF"/>
        <w:spacing w:line="440" w:lineRule="exact"/>
        <w:ind w:firstLine="480"/>
        <w:rPr>
          <w:sz w:val="24"/>
          <w:szCs w:val="22"/>
        </w:rPr>
      </w:pPr>
      <w:r>
        <w:rPr>
          <w:sz w:val="24"/>
          <w:szCs w:val="22"/>
        </w:rPr>
        <w:t>1</w:t>
      </w:r>
      <w:r>
        <w:rPr>
          <w:rFonts w:hint="eastAsia"/>
          <w:sz w:val="24"/>
          <w:szCs w:val="22"/>
        </w:rPr>
        <w:t>、根据省财政厅《关于更换全省政府采购交易系统</w:t>
      </w:r>
      <w:r>
        <w:rPr>
          <w:sz w:val="24"/>
          <w:szCs w:val="22"/>
        </w:rPr>
        <w:t>CA</w:t>
      </w:r>
      <w:r>
        <w:rPr>
          <w:rFonts w:hint="eastAsia"/>
          <w:sz w:val="24"/>
          <w:szCs w:val="22"/>
        </w:rPr>
        <w:t>数字证书和电子签章的通知》（苏财购〔</w:t>
      </w:r>
      <w:r>
        <w:rPr>
          <w:sz w:val="24"/>
          <w:szCs w:val="22"/>
        </w:rPr>
        <w:t>2023</w:t>
      </w:r>
      <w:r>
        <w:rPr>
          <w:rFonts w:hint="eastAsia"/>
          <w:sz w:val="24"/>
          <w:szCs w:val="22"/>
        </w:rPr>
        <w:t>〕</w:t>
      </w:r>
      <w:r>
        <w:rPr>
          <w:sz w:val="24"/>
          <w:szCs w:val="22"/>
        </w:rPr>
        <w:t>101</w:t>
      </w:r>
      <w:r>
        <w:rPr>
          <w:rFonts w:hint="eastAsia"/>
          <w:sz w:val="24"/>
          <w:szCs w:val="22"/>
        </w:rPr>
        <w:t>号），“苏采云”系统目前支持的CA数字证书、电子签章为江苏省电子政务证书认证中心</w:t>
      </w:r>
      <w:r>
        <w:rPr>
          <w:sz w:val="24"/>
          <w:szCs w:val="22"/>
        </w:rPr>
        <w:t>CA</w:t>
      </w:r>
      <w:r>
        <w:rPr>
          <w:rFonts w:hint="eastAsia"/>
          <w:sz w:val="24"/>
          <w:szCs w:val="22"/>
        </w:rPr>
        <w:t>和方正国际软件（北京）有限公司电子签章。供应商参与本项目采购活动需办理、使用上述</w:t>
      </w:r>
      <w:r>
        <w:rPr>
          <w:sz w:val="24"/>
          <w:szCs w:val="22"/>
        </w:rPr>
        <w:t>CA</w:t>
      </w:r>
      <w:r>
        <w:rPr>
          <w:rFonts w:hint="eastAsia"/>
          <w:sz w:val="24"/>
          <w:szCs w:val="22"/>
        </w:rPr>
        <w:t>证书和电子签章，具体办理方法请访问“苏采云”系统登录页面（</w:t>
      </w:r>
      <w:r>
        <w:rPr>
          <w:sz w:val="24"/>
          <w:szCs w:val="22"/>
        </w:rPr>
        <w:t>http://jszfcg.jscz.gov.cn/jszc/login</w:t>
      </w:r>
      <w:r>
        <w:rPr>
          <w:rFonts w:hint="eastAsia"/>
          <w:sz w:val="24"/>
          <w:szCs w:val="22"/>
        </w:rPr>
        <w:t>）点击“新</w:t>
      </w:r>
      <w:r>
        <w:rPr>
          <w:sz w:val="24"/>
          <w:szCs w:val="22"/>
        </w:rPr>
        <w:t>CA</w:t>
      </w:r>
      <w:r>
        <w:rPr>
          <w:rFonts w:hint="eastAsia"/>
          <w:sz w:val="24"/>
          <w:szCs w:val="22"/>
        </w:rPr>
        <w:t>办理指南”进行查阅，江苏省内各地区办理的“苏采云”系统下的政务</w:t>
      </w:r>
      <w:r>
        <w:rPr>
          <w:sz w:val="24"/>
          <w:szCs w:val="22"/>
        </w:rPr>
        <w:t>CA</w:t>
      </w:r>
      <w:r>
        <w:rPr>
          <w:rFonts w:hint="eastAsia"/>
          <w:sz w:val="24"/>
          <w:szCs w:val="22"/>
        </w:rPr>
        <w:t>证书全省通用。</w:t>
      </w:r>
    </w:p>
    <w:p w14:paraId="66853543">
      <w:pPr>
        <w:shd w:val="clear" w:color="auto" w:fill="FFFFFF"/>
        <w:spacing w:line="440" w:lineRule="exact"/>
        <w:ind w:firstLine="480"/>
        <w:rPr>
          <w:sz w:val="24"/>
          <w:szCs w:val="22"/>
        </w:rPr>
      </w:pPr>
      <w:r>
        <w:rPr>
          <w:sz w:val="24"/>
          <w:szCs w:val="22"/>
        </w:rPr>
        <w:t>2</w:t>
      </w:r>
      <w:r>
        <w:rPr>
          <w:rFonts w:hint="eastAsia"/>
          <w:sz w:val="24"/>
          <w:szCs w:val="22"/>
        </w:rPr>
        <w:t>、供应商在“苏采云”系统操作过程中如有疑问，请按以下方式联系：</w:t>
      </w:r>
    </w:p>
    <w:p w14:paraId="70081892">
      <w:pPr>
        <w:shd w:val="clear" w:color="auto" w:fill="FFFFFF"/>
        <w:spacing w:line="440" w:lineRule="exact"/>
        <w:ind w:firstLine="480"/>
        <w:rPr>
          <w:sz w:val="24"/>
          <w:szCs w:val="22"/>
        </w:rPr>
      </w:pPr>
      <w:r>
        <w:rPr>
          <w:sz w:val="24"/>
          <w:szCs w:val="22"/>
        </w:rPr>
        <w:t>CA</w:t>
      </w:r>
      <w:r>
        <w:rPr>
          <w:rFonts w:hint="eastAsia"/>
          <w:sz w:val="24"/>
          <w:szCs w:val="22"/>
        </w:rPr>
        <w:t>技术咨询电话：</w:t>
      </w:r>
      <w:r>
        <w:rPr>
          <w:sz w:val="24"/>
          <w:szCs w:val="22"/>
        </w:rPr>
        <w:t>400-608-6099</w:t>
      </w:r>
      <w:r>
        <w:rPr>
          <w:rFonts w:hint="eastAsia"/>
          <w:sz w:val="24"/>
          <w:szCs w:val="22"/>
        </w:rPr>
        <w:t>；电子签章技术咨询电话：</w:t>
      </w:r>
      <w:r>
        <w:rPr>
          <w:sz w:val="24"/>
          <w:szCs w:val="22"/>
        </w:rPr>
        <w:t>15380932027</w:t>
      </w:r>
      <w:r>
        <w:rPr>
          <w:rFonts w:hint="eastAsia"/>
          <w:sz w:val="24"/>
          <w:szCs w:val="22"/>
        </w:rPr>
        <w:t>、</w:t>
      </w:r>
      <w:r>
        <w:rPr>
          <w:sz w:val="24"/>
          <w:szCs w:val="22"/>
        </w:rPr>
        <w:t>15371015030</w:t>
      </w:r>
      <w:r>
        <w:rPr>
          <w:rFonts w:hint="eastAsia"/>
          <w:sz w:val="24"/>
          <w:szCs w:val="22"/>
        </w:rPr>
        <w:t>、</w:t>
      </w:r>
      <w:r>
        <w:rPr>
          <w:sz w:val="24"/>
          <w:szCs w:val="22"/>
        </w:rPr>
        <w:t>13675197356</w:t>
      </w:r>
      <w:r>
        <w:rPr>
          <w:rFonts w:hint="eastAsia"/>
          <w:sz w:val="24"/>
          <w:szCs w:val="22"/>
        </w:rPr>
        <w:t>、</w:t>
      </w:r>
      <w:r>
        <w:rPr>
          <w:sz w:val="24"/>
          <w:szCs w:val="22"/>
        </w:rPr>
        <w:t>13675197221</w:t>
      </w:r>
      <w:r>
        <w:rPr>
          <w:rFonts w:hint="eastAsia"/>
          <w:sz w:val="24"/>
          <w:szCs w:val="22"/>
        </w:rPr>
        <w:t>；“苏采云”系统联系方式：13914088964，18261002950，0512-69820854，0519-86722802。</w:t>
      </w:r>
    </w:p>
    <w:p w14:paraId="1814D6A0">
      <w:pPr>
        <w:shd w:val="clear" w:color="auto" w:fill="FFFFFF"/>
        <w:spacing w:line="440" w:lineRule="exact"/>
        <w:ind w:firstLine="480"/>
        <w:rPr>
          <w:sz w:val="24"/>
          <w:szCs w:val="22"/>
        </w:rPr>
      </w:pPr>
      <w:r>
        <w:rPr>
          <w:sz w:val="24"/>
          <w:szCs w:val="22"/>
        </w:rPr>
        <w:t>3</w:t>
      </w:r>
      <w:r>
        <w:rPr>
          <w:rFonts w:hint="eastAsia"/>
          <w:sz w:val="24"/>
          <w:szCs w:val="22"/>
        </w:rPr>
        <w:t>、有关本次采购的事项若存在变动或修改，敬请及时关注“苏州市政府采购网”发布的更正公告，并按规定获取相关信息内容。</w:t>
      </w:r>
    </w:p>
    <w:p w14:paraId="1D2EE6C4">
      <w:pPr>
        <w:shd w:val="clear" w:color="auto" w:fill="FFFFFF"/>
        <w:spacing w:line="440" w:lineRule="exact"/>
        <w:ind w:firstLine="480"/>
        <w:rPr>
          <w:sz w:val="24"/>
          <w:szCs w:val="22"/>
        </w:rPr>
      </w:pPr>
      <w:r>
        <w:rPr>
          <w:sz w:val="24"/>
          <w:szCs w:val="22"/>
        </w:rPr>
        <w:t>4</w:t>
      </w:r>
      <w:r>
        <w:rPr>
          <w:rFonts w:hint="eastAsia"/>
          <w:sz w:val="24"/>
          <w:szCs w:val="22"/>
        </w:rPr>
        <w:t>、本次采购项目有关时间要求均以北京时间为标准，使用</w:t>
      </w:r>
      <w:r>
        <w:rPr>
          <w:sz w:val="24"/>
          <w:szCs w:val="22"/>
        </w:rPr>
        <w:t>24</w:t>
      </w:r>
      <w:r>
        <w:rPr>
          <w:rFonts w:hint="eastAsia"/>
          <w:sz w:val="24"/>
          <w:szCs w:val="22"/>
        </w:rPr>
        <w:t>小时制。</w:t>
      </w:r>
    </w:p>
    <w:p w14:paraId="6262A5FE">
      <w:pPr>
        <w:shd w:val="clear" w:color="auto" w:fill="FFFFFF"/>
        <w:spacing w:line="440" w:lineRule="exact"/>
        <w:ind w:firstLine="480"/>
        <w:rPr>
          <w:sz w:val="24"/>
          <w:szCs w:val="22"/>
        </w:rPr>
      </w:pPr>
      <w:r>
        <w:rPr>
          <w:sz w:val="24"/>
          <w:szCs w:val="22"/>
        </w:rPr>
        <w:t>5</w:t>
      </w:r>
      <w:r>
        <w:rPr>
          <w:rFonts w:hint="eastAsia"/>
          <w:sz w:val="24"/>
          <w:szCs w:val="22"/>
        </w:rPr>
        <w:t>、本次招标不收取投标保证金。</w:t>
      </w:r>
    </w:p>
    <w:p w14:paraId="15C77DBD">
      <w:pPr>
        <w:shd w:val="clear" w:color="auto" w:fill="FFFFFF"/>
        <w:spacing w:line="440" w:lineRule="exact"/>
        <w:ind w:firstLine="480"/>
        <w:rPr>
          <w:rFonts w:hint="eastAsia"/>
          <w:sz w:val="24"/>
          <w:szCs w:val="22"/>
        </w:rPr>
      </w:pPr>
      <w:r>
        <w:rPr>
          <w:rFonts w:hint="eastAsia"/>
          <w:sz w:val="24"/>
          <w:szCs w:val="22"/>
        </w:rPr>
        <w:t>6、公告媒体：苏州市政府采购网、江苏政府采购网</w:t>
      </w:r>
    </w:p>
    <w:p w14:paraId="00A0EE50">
      <w:pPr>
        <w:spacing w:line="440" w:lineRule="exact"/>
        <w:ind w:firstLine="48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lang w:val="en-US" w:eastAsia="zh-CN"/>
        </w:rPr>
        <w:t>7</w:t>
      </w:r>
      <w:r>
        <w:rPr>
          <w:rFonts w:hint="eastAsia" w:ascii="Times New Roman" w:hAnsi="Times New Roman"/>
          <w:b/>
          <w:bCs/>
          <w:color w:val="000000"/>
          <w:sz w:val="24"/>
          <w:szCs w:val="24"/>
          <w:highlight w:val="none"/>
        </w:rPr>
        <w:t>、联合体参加投标时须满足以下要求：</w:t>
      </w:r>
    </w:p>
    <w:p w14:paraId="20A3A683">
      <w:pPr>
        <w:spacing w:line="460" w:lineRule="exact"/>
        <w:ind w:firstLine="480"/>
        <w:rPr>
          <w:rFonts w:hint="eastAsia" w:ascii="Times New Roman" w:hAnsi="Times New Roman"/>
          <w:b/>
          <w:bCs/>
          <w:color w:val="000000"/>
          <w:sz w:val="24"/>
          <w:szCs w:val="24"/>
          <w:highlight w:val="none"/>
        </w:rPr>
      </w:pPr>
      <w:r>
        <w:rPr>
          <w:rFonts w:hint="eastAsia" w:ascii="Times New Roman" w:hAnsi="Times New Roman"/>
          <w:b/>
          <w:bCs/>
          <w:color w:val="000000"/>
          <w:sz w:val="24"/>
          <w:szCs w:val="24"/>
          <w:highlight w:val="none"/>
        </w:rPr>
        <w:t>（1）联合体成员不超过</w:t>
      </w:r>
      <w:r>
        <w:rPr>
          <w:rFonts w:hint="eastAsia"/>
          <w:b/>
          <w:bCs/>
          <w:color w:val="000000"/>
          <w:sz w:val="24"/>
          <w:szCs w:val="24"/>
          <w:highlight w:val="none"/>
          <w:lang w:val="en-US" w:eastAsia="zh-CN"/>
        </w:rPr>
        <w:t>3</w:t>
      </w:r>
      <w:r>
        <w:rPr>
          <w:rFonts w:hint="eastAsia" w:ascii="Times New Roman" w:hAnsi="Times New Roman"/>
          <w:b/>
          <w:bCs/>
          <w:color w:val="000000"/>
          <w:sz w:val="24"/>
          <w:szCs w:val="24"/>
          <w:highlight w:val="none"/>
        </w:rPr>
        <w:t>家。</w:t>
      </w:r>
    </w:p>
    <w:p w14:paraId="355A8202">
      <w:pPr>
        <w:spacing w:line="460" w:lineRule="exact"/>
        <w:ind w:firstLine="480"/>
        <w:rPr>
          <w:rFonts w:hint="eastAsia" w:ascii="Times New Roman" w:hAnsi="Times New Roman" w:eastAsia="宋体"/>
          <w:b/>
          <w:bCs/>
          <w:color w:val="000000"/>
          <w:sz w:val="24"/>
          <w:szCs w:val="24"/>
          <w:highlight w:val="none"/>
          <w:lang w:eastAsia="zh-CN"/>
        </w:rPr>
      </w:pPr>
      <w:r>
        <w:rPr>
          <w:rFonts w:hint="eastAsia"/>
          <w:b/>
          <w:bCs/>
          <w:color w:val="000000"/>
          <w:sz w:val="24"/>
          <w:szCs w:val="24"/>
          <w:highlight w:val="none"/>
          <w:lang w:eastAsia="zh-CN"/>
        </w:rPr>
        <w:t>（</w:t>
      </w:r>
      <w:r>
        <w:rPr>
          <w:rFonts w:hint="eastAsia"/>
          <w:b/>
          <w:bCs/>
          <w:color w:val="000000"/>
          <w:sz w:val="24"/>
          <w:szCs w:val="24"/>
          <w:highlight w:val="none"/>
          <w:lang w:val="en-US" w:eastAsia="zh-CN"/>
        </w:rPr>
        <w:t>2</w:t>
      </w:r>
      <w:r>
        <w:rPr>
          <w:rFonts w:hint="eastAsia"/>
          <w:b/>
          <w:bCs/>
          <w:color w:val="000000"/>
          <w:sz w:val="24"/>
          <w:szCs w:val="24"/>
          <w:highlight w:val="none"/>
          <w:lang w:eastAsia="zh-CN"/>
        </w:rPr>
        <w:t>）</w:t>
      </w:r>
      <w:r>
        <w:rPr>
          <w:rFonts w:hint="eastAsia"/>
          <w:b/>
          <w:bCs/>
          <w:color w:val="000000"/>
          <w:sz w:val="24"/>
          <w:szCs w:val="24"/>
          <w:highlight w:val="none"/>
          <w:lang w:val="en-US" w:eastAsia="zh-CN"/>
        </w:rPr>
        <w:t>联合体其中之一应</w:t>
      </w:r>
      <w:r>
        <w:rPr>
          <w:rFonts w:hint="eastAsia" w:ascii="宋体" w:hAnsi="宋体"/>
          <w:b/>
          <w:bCs/>
          <w:color w:val="000000" w:themeColor="text1"/>
          <w:sz w:val="24"/>
          <w:highlight w:val="none"/>
          <w14:textFill>
            <w14:solidFill>
              <w14:schemeClr w14:val="tx1"/>
            </w14:solidFill>
          </w14:textFill>
        </w:rPr>
        <w:t>具有主管部门颁发的有效期范围内甲级测绘资质（业务范围包括界线与不动产测绘、地理信息系统工程）。</w:t>
      </w:r>
    </w:p>
    <w:p w14:paraId="40651860">
      <w:pPr>
        <w:spacing w:line="440" w:lineRule="exact"/>
        <w:ind w:firstLine="48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w:t>
      </w:r>
      <w:r>
        <w:rPr>
          <w:rFonts w:hint="eastAsia"/>
          <w:b/>
          <w:bCs/>
          <w:color w:val="000000"/>
          <w:sz w:val="24"/>
          <w:szCs w:val="24"/>
          <w:highlight w:val="none"/>
          <w:lang w:val="en-US" w:eastAsia="zh-CN"/>
        </w:rPr>
        <w:t>3</w:t>
      </w:r>
      <w:r>
        <w:rPr>
          <w:rFonts w:hint="eastAsia" w:ascii="Times New Roman" w:hAnsi="Times New Roman"/>
          <w:b/>
          <w:bCs/>
          <w:color w:val="000000"/>
          <w:sz w:val="24"/>
          <w:szCs w:val="24"/>
          <w:highlight w:val="none"/>
        </w:rPr>
        <w:t>）联合体各方应按招标文件提供的格式签订联合体协议书，明确联合体牵头人和各方权利义务；</w:t>
      </w:r>
    </w:p>
    <w:p w14:paraId="2B57BCD4">
      <w:pPr>
        <w:spacing w:line="440" w:lineRule="exact"/>
        <w:ind w:firstLine="48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w:t>
      </w:r>
      <w:r>
        <w:rPr>
          <w:rFonts w:hint="eastAsia"/>
          <w:b/>
          <w:bCs/>
          <w:color w:val="000000"/>
          <w:sz w:val="24"/>
          <w:szCs w:val="24"/>
          <w:highlight w:val="none"/>
          <w:lang w:val="en-US" w:eastAsia="zh-CN"/>
        </w:rPr>
        <w:t>4</w:t>
      </w:r>
      <w:r>
        <w:rPr>
          <w:rFonts w:hint="eastAsia" w:ascii="Times New Roman" w:hAnsi="Times New Roman"/>
          <w:b/>
          <w:bCs/>
          <w:color w:val="000000"/>
          <w:sz w:val="24"/>
          <w:szCs w:val="24"/>
          <w:highlight w:val="none"/>
        </w:rPr>
        <w:t xml:space="preserve">）联合体各成员单位应当具备与联合体协议中约定的分工相适应的能力； </w:t>
      </w:r>
    </w:p>
    <w:p w14:paraId="78241622">
      <w:pPr>
        <w:spacing w:line="440" w:lineRule="exact"/>
        <w:ind w:firstLine="48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w:t>
      </w:r>
      <w:r>
        <w:rPr>
          <w:rFonts w:hint="eastAsia"/>
          <w:b/>
          <w:bCs/>
          <w:color w:val="000000"/>
          <w:sz w:val="24"/>
          <w:szCs w:val="24"/>
          <w:highlight w:val="none"/>
          <w:lang w:val="en-US" w:eastAsia="zh-CN"/>
        </w:rPr>
        <w:t>5</w:t>
      </w:r>
      <w:r>
        <w:rPr>
          <w:rFonts w:hint="eastAsia" w:ascii="Times New Roman" w:hAnsi="Times New Roman"/>
          <w:b/>
          <w:bCs/>
          <w:color w:val="000000"/>
          <w:sz w:val="24"/>
          <w:szCs w:val="24"/>
          <w:highlight w:val="none"/>
        </w:rPr>
        <w:t>）联合体各方不得再以自己名义单独或参加其他联合体在同一标段中投标；</w:t>
      </w:r>
    </w:p>
    <w:p w14:paraId="764A3DA6">
      <w:pPr>
        <w:spacing w:line="440" w:lineRule="exact"/>
        <w:ind w:firstLine="482"/>
        <w:rPr>
          <w:rFonts w:ascii="Times New Roman" w:hAnsi="Times New Roman"/>
          <w:b/>
          <w:bCs/>
          <w:color w:val="000000"/>
          <w:sz w:val="24"/>
          <w:szCs w:val="24"/>
          <w:highlight w:val="none"/>
        </w:rPr>
      </w:pPr>
      <w:r>
        <w:rPr>
          <w:rFonts w:hint="eastAsia" w:ascii="Times New Roman" w:hAnsi="Times New Roman"/>
          <w:b/>
          <w:bCs/>
          <w:color w:val="000000"/>
          <w:sz w:val="24"/>
          <w:szCs w:val="24"/>
          <w:highlight w:val="none"/>
        </w:rPr>
        <w:t>（</w:t>
      </w:r>
      <w:r>
        <w:rPr>
          <w:rFonts w:hint="eastAsia"/>
          <w:b/>
          <w:bCs/>
          <w:color w:val="000000"/>
          <w:sz w:val="24"/>
          <w:szCs w:val="24"/>
          <w:highlight w:val="none"/>
          <w:lang w:val="en-US" w:eastAsia="zh-CN"/>
        </w:rPr>
        <w:t>6</w:t>
      </w:r>
      <w:r>
        <w:rPr>
          <w:rFonts w:hint="eastAsia" w:ascii="Times New Roman" w:hAnsi="Times New Roman"/>
          <w:b/>
          <w:bCs/>
          <w:color w:val="000000"/>
          <w:sz w:val="24"/>
          <w:szCs w:val="24"/>
          <w:highlight w:val="none"/>
        </w:rPr>
        <w:t>）联合体各方必须指定牵头人，授权其代表所有联合体成员负责投标和合同实施阶段的主办、协调工作，并应当向采购人提交由所有联合体成员法定代表人签署的授权书。</w:t>
      </w:r>
    </w:p>
    <w:p w14:paraId="36E20DFA">
      <w:pPr>
        <w:spacing w:line="440" w:lineRule="exact"/>
        <w:rPr>
          <w:b/>
          <w:sz w:val="24"/>
          <w:szCs w:val="24"/>
        </w:rPr>
      </w:pPr>
      <w:r>
        <w:rPr>
          <w:rFonts w:hint="eastAsia"/>
          <w:b/>
          <w:sz w:val="24"/>
          <w:szCs w:val="24"/>
        </w:rPr>
        <w:t>七</w:t>
      </w:r>
      <w:r>
        <w:rPr>
          <w:b/>
          <w:sz w:val="24"/>
          <w:szCs w:val="24"/>
        </w:rPr>
        <w:t>、</w:t>
      </w:r>
      <w:r>
        <w:rPr>
          <w:rFonts w:hint="eastAsia"/>
          <w:b/>
          <w:bCs/>
          <w:color w:val="000000"/>
          <w:sz w:val="24"/>
        </w:rPr>
        <w:t>凡对本次采购提出询问，请按以下方式联系</w:t>
      </w:r>
    </w:p>
    <w:p w14:paraId="00353402">
      <w:pPr>
        <w:widowControl/>
        <w:spacing w:line="440" w:lineRule="exact"/>
        <w:ind w:firstLine="480"/>
        <w:rPr>
          <w:sz w:val="24"/>
          <w:szCs w:val="24"/>
        </w:rPr>
      </w:pPr>
      <w:r>
        <w:rPr>
          <w:rFonts w:hint="eastAsia"/>
          <w:sz w:val="24"/>
          <w:szCs w:val="24"/>
        </w:rPr>
        <w:t>1、采购人信息</w:t>
      </w:r>
    </w:p>
    <w:p w14:paraId="67CBF4B7">
      <w:pPr>
        <w:widowControl/>
        <w:spacing w:line="440" w:lineRule="exact"/>
        <w:ind w:firstLine="480"/>
        <w:rPr>
          <w:sz w:val="24"/>
          <w:szCs w:val="24"/>
        </w:rPr>
      </w:pPr>
      <w:r>
        <w:rPr>
          <w:rFonts w:hint="eastAsia"/>
          <w:sz w:val="24"/>
          <w:szCs w:val="24"/>
        </w:rPr>
        <w:t>名称：常熟市自然资源和规划局</w:t>
      </w:r>
    </w:p>
    <w:p w14:paraId="3D3FC524">
      <w:pPr>
        <w:widowControl/>
        <w:spacing w:line="440" w:lineRule="exact"/>
        <w:ind w:firstLine="480"/>
        <w:rPr>
          <w:sz w:val="24"/>
          <w:szCs w:val="24"/>
          <w:highlight w:val="none"/>
        </w:rPr>
      </w:pPr>
      <w:r>
        <w:rPr>
          <w:rFonts w:hint="eastAsia"/>
          <w:sz w:val="24"/>
          <w:szCs w:val="24"/>
          <w:highlight w:val="none"/>
        </w:rPr>
        <w:t>地址：常熟市新世纪大道1079号</w:t>
      </w:r>
    </w:p>
    <w:p w14:paraId="58500740">
      <w:pPr>
        <w:widowControl/>
        <w:spacing w:line="440" w:lineRule="exact"/>
        <w:ind w:firstLine="480"/>
        <w:rPr>
          <w:sz w:val="24"/>
          <w:szCs w:val="24"/>
          <w:highlight w:val="none"/>
        </w:rPr>
      </w:pPr>
      <w:r>
        <w:rPr>
          <w:rFonts w:hint="eastAsia"/>
          <w:sz w:val="24"/>
          <w:szCs w:val="24"/>
          <w:highlight w:val="none"/>
        </w:rPr>
        <w:t>联系方式：</w:t>
      </w:r>
      <w:r>
        <w:rPr>
          <w:rFonts w:hint="eastAsia"/>
          <w:sz w:val="24"/>
          <w:szCs w:val="24"/>
          <w:highlight w:val="none"/>
          <w:lang w:val="en-US" w:eastAsia="zh-CN"/>
        </w:rPr>
        <w:t>0512-</w:t>
      </w:r>
      <w:r>
        <w:rPr>
          <w:rFonts w:hint="eastAsia"/>
          <w:sz w:val="24"/>
          <w:szCs w:val="24"/>
          <w:highlight w:val="none"/>
        </w:rPr>
        <w:t>52775470（坎俊锋）</w:t>
      </w:r>
    </w:p>
    <w:p w14:paraId="2FC4E02F">
      <w:pPr>
        <w:spacing w:line="440" w:lineRule="exact"/>
        <w:ind w:firstLine="480"/>
        <w:rPr>
          <w:sz w:val="24"/>
          <w:szCs w:val="24"/>
          <w:highlight w:val="none"/>
        </w:rPr>
      </w:pPr>
      <w:r>
        <w:rPr>
          <w:sz w:val="24"/>
          <w:szCs w:val="24"/>
          <w:highlight w:val="none"/>
        </w:rPr>
        <w:t>2、采购代理机构信息</w:t>
      </w:r>
    </w:p>
    <w:p w14:paraId="5ABCA829">
      <w:pPr>
        <w:spacing w:line="440" w:lineRule="exact"/>
        <w:ind w:firstLine="480"/>
        <w:rPr>
          <w:sz w:val="24"/>
          <w:szCs w:val="24"/>
          <w:highlight w:val="none"/>
        </w:rPr>
      </w:pPr>
      <w:r>
        <w:rPr>
          <w:sz w:val="24"/>
          <w:szCs w:val="24"/>
          <w:highlight w:val="none"/>
        </w:rPr>
        <w:t>名    称：江苏协诚工程咨询有限公司</w:t>
      </w:r>
    </w:p>
    <w:p w14:paraId="447A215B">
      <w:pPr>
        <w:spacing w:line="440" w:lineRule="exact"/>
        <w:ind w:firstLine="480"/>
        <w:rPr>
          <w:sz w:val="24"/>
          <w:szCs w:val="24"/>
          <w:highlight w:val="none"/>
        </w:rPr>
      </w:pPr>
      <w:r>
        <w:rPr>
          <w:sz w:val="24"/>
          <w:szCs w:val="24"/>
          <w:highlight w:val="none"/>
        </w:rPr>
        <w:t>地    址：</w:t>
      </w:r>
      <w:r>
        <w:rPr>
          <w:rFonts w:hint="eastAsia"/>
          <w:sz w:val="24"/>
          <w:szCs w:val="24"/>
          <w:highlight w:val="none"/>
        </w:rPr>
        <w:t>常熟市勤丰路泰慈新村4号</w:t>
      </w:r>
    </w:p>
    <w:p w14:paraId="5F1FFCFC">
      <w:pPr>
        <w:spacing w:line="440" w:lineRule="exact"/>
        <w:ind w:firstLine="480"/>
        <w:rPr>
          <w:sz w:val="24"/>
          <w:szCs w:val="24"/>
        </w:rPr>
      </w:pPr>
      <w:r>
        <w:rPr>
          <w:sz w:val="24"/>
          <w:szCs w:val="24"/>
        </w:rPr>
        <w:t>联系方式：0512-52213738（</w:t>
      </w:r>
      <w:r>
        <w:rPr>
          <w:rFonts w:hint="eastAsia"/>
          <w:sz w:val="24"/>
          <w:szCs w:val="24"/>
          <w:lang w:val="en-US" w:eastAsia="zh-CN"/>
        </w:rPr>
        <w:t>糜诗怡</w:t>
      </w:r>
      <w:r>
        <w:rPr>
          <w:sz w:val="24"/>
          <w:szCs w:val="24"/>
        </w:rPr>
        <w:t>）</w:t>
      </w:r>
    </w:p>
    <w:p w14:paraId="09F896C2">
      <w:pPr>
        <w:spacing w:line="440" w:lineRule="exact"/>
        <w:ind w:firstLine="480"/>
        <w:rPr>
          <w:sz w:val="24"/>
          <w:szCs w:val="24"/>
        </w:rPr>
      </w:pPr>
      <w:r>
        <w:rPr>
          <w:sz w:val="24"/>
          <w:szCs w:val="24"/>
        </w:rPr>
        <w:t>3、项目联系方式</w:t>
      </w:r>
    </w:p>
    <w:p w14:paraId="666A4CC1">
      <w:pPr>
        <w:spacing w:line="440" w:lineRule="exact"/>
        <w:ind w:firstLine="480"/>
        <w:rPr>
          <w:rFonts w:hint="eastAsia" w:eastAsia="宋体"/>
          <w:sz w:val="24"/>
          <w:szCs w:val="24"/>
          <w:lang w:eastAsia="zh-CN"/>
        </w:rPr>
      </w:pPr>
      <w:r>
        <w:rPr>
          <w:sz w:val="24"/>
          <w:szCs w:val="24"/>
        </w:rPr>
        <w:t>项目联系人：</w:t>
      </w:r>
      <w:r>
        <w:rPr>
          <w:rFonts w:hint="eastAsia"/>
          <w:sz w:val="24"/>
          <w:szCs w:val="24"/>
          <w:lang w:val="en-US" w:eastAsia="zh-CN"/>
        </w:rPr>
        <w:t>糜诗怡</w:t>
      </w:r>
    </w:p>
    <w:p w14:paraId="6098F04A">
      <w:pPr>
        <w:spacing w:line="440" w:lineRule="exact"/>
        <w:ind w:firstLine="480"/>
        <w:rPr>
          <w:sz w:val="24"/>
          <w:szCs w:val="24"/>
        </w:rPr>
      </w:pPr>
      <w:r>
        <w:rPr>
          <w:sz w:val="24"/>
          <w:szCs w:val="24"/>
        </w:rPr>
        <w:t>电    话：0512-52213738</w:t>
      </w:r>
    </w:p>
    <w:p w14:paraId="4D09937E">
      <w:pPr>
        <w:pStyle w:val="4"/>
      </w:pPr>
      <w:r>
        <w:rPr/>
        <w:br w:type="page" w:clear="all"/>
      </w:r>
      <w:bookmarkStart w:id="3" w:name="_Toc32113"/>
      <w:bookmarkStart w:id="4" w:name="_Toc103080642"/>
      <w:bookmarkStart w:id="5" w:name="_Toc159312647"/>
      <w:r>
        <w:t xml:space="preserve">第二章  </w:t>
      </w:r>
      <w:r>
        <w:rPr>
          <w:rFonts w:hint="eastAsia"/>
        </w:rPr>
        <w:t>供应商</w:t>
      </w:r>
      <w:r>
        <w:t>须知</w:t>
      </w:r>
      <w:bookmarkEnd w:id="3"/>
      <w:bookmarkEnd w:id="4"/>
      <w:bookmarkEnd w:id="5"/>
    </w:p>
    <w:p w14:paraId="01170121">
      <w:pPr>
        <w:keepNext/>
        <w:keepLines/>
        <w:spacing w:line="440" w:lineRule="exact"/>
        <w:outlineLvl w:val="2"/>
        <w:rPr>
          <w:b/>
          <w:bCs/>
          <w:color w:val="000000"/>
          <w:sz w:val="32"/>
          <w:szCs w:val="32"/>
        </w:rPr>
      </w:pPr>
      <w:bookmarkStart w:id="6" w:name="_Toc159312648"/>
      <w:bookmarkStart w:id="7" w:name="_Toc10215"/>
      <w:r>
        <w:rPr>
          <w:b/>
          <w:bCs/>
          <w:color w:val="000000"/>
          <w:sz w:val="32"/>
          <w:szCs w:val="32"/>
        </w:rPr>
        <w:t>一、总则</w:t>
      </w:r>
      <w:bookmarkEnd w:id="6"/>
      <w:bookmarkEnd w:id="7"/>
    </w:p>
    <w:p w14:paraId="6E53186E">
      <w:pPr>
        <w:keepNext/>
        <w:keepLines/>
        <w:spacing w:line="440" w:lineRule="exact"/>
        <w:ind w:firstLine="138"/>
        <w:rPr>
          <w:b/>
          <w:sz w:val="24"/>
          <w:szCs w:val="24"/>
        </w:rPr>
      </w:pPr>
      <w:r>
        <w:rPr>
          <w:b/>
          <w:color w:val="000000"/>
          <w:sz w:val="28"/>
          <w:szCs w:val="28"/>
        </w:rPr>
        <w:t>1、采购方式及适用法律</w:t>
      </w:r>
    </w:p>
    <w:p w14:paraId="2087123B">
      <w:pPr>
        <w:spacing w:line="440" w:lineRule="exact"/>
        <w:ind w:firstLine="480"/>
        <w:rPr>
          <w:color w:val="000000"/>
          <w:sz w:val="24"/>
          <w:szCs w:val="24"/>
        </w:rPr>
      </w:pPr>
      <w:r>
        <w:rPr>
          <w:color w:val="000000"/>
          <w:sz w:val="24"/>
          <w:szCs w:val="24"/>
        </w:rPr>
        <w:t>1.1 本次政府采购活动采取竞争性磋商(以下简称磋商)方式，本磋商文件仅适用于磋商公告中所述项目。</w:t>
      </w:r>
    </w:p>
    <w:p w14:paraId="2C89E507">
      <w:pPr>
        <w:spacing w:line="440" w:lineRule="exact"/>
        <w:ind w:firstLine="480"/>
        <w:rPr>
          <w:color w:val="000000"/>
          <w:sz w:val="24"/>
          <w:szCs w:val="24"/>
        </w:rPr>
      </w:pPr>
      <w:r>
        <w:rPr>
          <w:rFonts w:hint="eastAsia"/>
          <w:color w:val="000000"/>
          <w:sz w:val="24"/>
          <w:szCs w:val="24"/>
        </w:rPr>
        <w:t>1.2</w:t>
      </w:r>
      <w:r>
        <w:rPr>
          <w:color w:val="000000"/>
          <w:sz w:val="24"/>
          <w:szCs w:val="24"/>
        </w:rPr>
        <w:t>本次磋商及由此产生的合同受中华人民共和国有关的法律法规制约和保护。</w:t>
      </w:r>
    </w:p>
    <w:p w14:paraId="29A0A874">
      <w:pPr>
        <w:keepNext/>
        <w:keepLines/>
        <w:spacing w:line="440" w:lineRule="exact"/>
        <w:ind w:firstLine="138"/>
        <w:rPr>
          <w:b/>
          <w:sz w:val="24"/>
          <w:szCs w:val="24"/>
        </w:rPr>
      </w:pPr>
      <w:r>
        <w:rPr>
          <w:b/>
          <w:color w:val="000000"/>
          <w:sz w:val="28"/>
          <w:szCs w:val="28"/>
        </w:rPr>
        <w:t>2、</w:t>
      </w:r>
      <w:r>
        <w:rPr>
          <w:rFonts w:hint="eastAsia"/>
          <w:b/>
          <w:color w:val="000000"/>
          <w:sz w:val="28"/>
          <w:szCs w:val="28"/>
        </w:rPr>
        <w:t>定义</w:t>
      </w:r>
    </w:p>
    <w:p w14:paraId="445C8D57">
      <w:pPr>
        <w:spacing w:line="440" w:lineRule="exact"/>
        <w:ind w:firstLine="480"/>
        <w:rPr>
          <w:color w:val="000000"/>
          <w:sz w:val="24"/>
          <w:szCs w:val="24"/>
        </w:rPr>
      </w:pPr>
      <w:r>
        <w:rPr>
          <w:color w:val="000000"/>
          <w:sz w:val="24"/>
          <w:szCs w:val="24"/>
        </w:rPr>
        <w:t>2.1</w:t>
      </w:r>
      <w:r>
        <w:rPr>
          <w:rFonts w:hint="eastAsia"/>
          <w:color w:val="000000"/>
          <w:sz w:val="24"/>
          <w:szCs w:val="24"/>
        </w:rPr>
        <w:t>“采购</w:t>
      </w:r>
      <w:r>
        <w:rPr>
          <w:color w:val="000000"/>
          <w:sz w:val="24"/>
          <w:szCs w:val="24"/>
        </w:rPr>
        <w:t>人</w:t>
      </w:r>
      <w:r>
        <w:rPr>
          <w:rFonts w:hint="eastAsia"/>
          <w:color w:val="000000"/>
          <w:sz w:val="24"/>
          <w:szCs w:val="24"/>
        </w:rPr>
        <w:t>”</w:t>
      </w:r>
      <w:r>
        <w:rPr>
          <w:color w:val="000000"/>
          <w:sz w:val="24"/>
          <w:szCs w:val="24"/>
        </w:rPr>
        <w:t>系指</w:t>
      </w:r>
      <w:r>
        <w:rPr>
          <w:rFonts w:hint="eastAsia"/>
          <w:color w:val="000000"/>
          <w:sz w:val="24"/>
          <w:szCs w:val="24"/>
        </w:rPr>
        <w:t>购买本项目货物并接受相关服务的国家机关、事业单位、团体组织。</w:t>
      </w:r>
    </w:p>
    <w:p w14:paraId="2460288F">
      <w:pPr>
        <w:spacing w:line="440" w:lineRule="exact"/>
        <w:ind w:firstLine="480"/>
        <w:rPr>
          <w:color w:val="000000"/>
          <w:sz w:val="24"/>
          <w:szCs w:val="24"/>
        </w:rPr>
      </w:pPr>
      <w:r>
        <w:rPr>
          <w:rFonts w:hint="eastAsia"/>
          <w:color w:val="000000"/>
          <w:sz w:val="24"/>
          <w:szCs w:val="24"/>
        </w:rPr>
        <w:t>2.2“采购代理机构”</w:t>
      </w:r>
      <w:r>
        <w:rPr>
          <w:color w:val="000000"/>
          <w:sz w:val="24"/>
          <w:szCs w:val="24"/>
        </w:rPr>
        <w:t>系指</w:t>
      </w:r>
      <w:r>
        <w:rPr>
          <w:rFonts w:hint="eastAsia"/>
          <w:color w:val="000000"/>
          <w:sz w:val="24"/>
          <w:szCs w:val="24"/>
        </w:rPr>
        <w:t>依法接受采购人委托，从事货物和服务等政府采购业务的采购代理机构</w:t>
      </w:r>
      <w:r>
        <w:rPr>
          <w:color w:val="000000"/>
          <w:sz w:val="24"/>
          <w:szCs w:val="24"/>
        </w:rPr>
        <w:t>（以下简称</w:t>
      </w:r>
      <w:r>
        <w:rPr>
          <w:rFonts w:hint="eastAsia"/>
          <w:color w:val="000000"/>
          <w:sz w:val="24"/>
          <w:szCs w:val="24"/>
        </w:rPr>
        <w:t>“代理机构”</w:t>
      </w:r>
      <w:r>
        <w:rPr>
          <w:color w:val="000000"/>
          <w:sz w:val="24"/>
          <w:szCs w:val="24"/>
        </w:rPr>
        <w:t>）</w:t>
      </w:r>
      <w:r>
        <w:rPr>
          <w:rFonts w:hint="eastAsia"/>
          <w:color w:val="000000"/>
          <w:sz w:val="24"/>
          <w:szCs w:val="24"/>
        </w:rPr>
        <w:t>。本项目采购代理机构为江苏</w:t>
      </w:r>
      <w:r>
        <w:rPr>
          <w:color w:val="000000"/>
          <w:sz w:val="24"/>
          <w:szCs w:val="24"/>
        </w:rPr>
        <w:t>协诚工程咨询有限公司</w:t>
      </w:r>
      <w:r>
        <w:rPr>
          <w:rFonts w:hint="eastAsia"/>
          <w:color w:val="000000"/>
          <w:sz w:val="24"/>
          <w:szCs w:val="24"/>
        </w:rPr>
        <w:t>。</w:t>
      </w:r>
    </w:p>
    <w:p w14:paraId="4E01053E">
      <w:pPr>
        <w:spacing w:line="440" w:lineRule="exact"/>
        <w:ind w:firstLine="480"/>
        <w:rPr>
          <w:color w:val="000000"/>
          <w:sz w:val="24"/>
          <w:szCs w:val="24"/>
        </w:rPr>
      </w:pPr>
      <w:r>
        <w:rPr>
          <w:color w:val="000000"/>
          <w:sz w:val="24"/>
          <w:szCs w:val="24"/>
        </w:rPr>
        <w:t>2.</w:t>
      </w:r>
      <w:r>
        <w:rPr>
          <w:rFonts w:hint="eastAsia"/>
          <w:color w:val="000000"/>
          <w:sz w:val="24"/>
          <w:szCs w:val="24"/>
        </w:rPr>
        <w:t>3“供应商”</w:t>
      </w:r>
      <w:r>
        <w:rPr>
          <w:color w:val="000000"/>
          <w:sz w:val="24"/>
          <w:szCs w:val="24"/>
        </w:rPr>
        <w:t>系指</w:t>
      </w:r>
      <w:r>
        <w:rPr>
          <w:rFonts w:hint="eastAsia"/>
          <w:color w:val="000000"/>
          <w:sz w:val="24"/>
          <w:szCs w:val="24"/>
        </w:rPr>
        <w:t>响应磋商、参加磋商竞争的供应商。</w:t>
      </w:r>
    </w:p>
    <w:p w14:paraId="0FE8CE98">
      <w:pPr>
        <w:keepNext/>
        <w:keepLines/>
        <w:spacing w:line="440" w:lineRule="exact"/>
        <w:ind w:firstLine="138"/>
        <w:rPr>
          <w:b/>
          <w:color w:val="000000"/>
          <w:sz w:val="28"/>
          <w:szCs w:val="28"/>
        </w:rPr>
      </w:pPr>
      <w:r>
        <w:rPr>
          <w:b/>
          <w:color w:val="000000"/>
          <w:sz w:val="28"/>
          <w:szCs w:val="28"/>
        </w:rPr>
        <w:t>3、</w:t>
      </w:r>
      <w:r>
        <w:rPr>
          <w:rFonts w:hint="eastAsia"/>
          <w:b/>
          <w:color w:val="000000"/>
          <w:sz w:val="28"/>
          <w:szCs w:val="28"/>
        </w:rPr>
        <w:t>合格的供应商</w:t>
      </w:r>
    </w:p>
    <w:p w14:paraId="523A31AF">
      <w:pPr>
        <w:spacing w:line="440" w:lineRule="exact"/>
        <w:ind w:firstLine="480"/>
        <w:rPr>
          <w:color w:val="000000"/>
          <w:sz w:val="24"/>
          <w:szCs w:val="24"/>
        </w:rPr>
      </w:pPr>
      <w:r>
        <w:rPr>
          <w:color w:val="000000"/>
          <w:sz w:val="24"/>
          <w:szCs w:val="24"/>
        </w:rPr>
        <w:t>3</w:t>
      </w:r>
      <w:r>
        <w:rPr>
          <w:rFonts w:hint="eastAsia"/>
          <w:color w:val="000000"/>
          <w:sz w:val="24"/>
          <w:szCs w:val="24"/>
        </w:rPr>
        <w:t>.1满足磋商公告中供应商的资格要求的规定，</w:t>
      </w:r>
      <w:r>
        <w:rPr>
          <w:color w:val="000000"/>
          <w:sz w:val="24"/>
          <w:szCs w:val="24"/>
        </w:rPr>
        <w:t>详见《</w:t>
      </w:r>
      <w:r>
        <w:rPr>
          <w:rFonts w:hint="eastAsia"/>
          <w:color w:val="000000"/>
          <w:sz w:val="24"/>
          <w:szCs w:val="24"/>
        </w:rPr>
        <w:t>第一章 磋商邀请</w:t>
      </w:r>
      <w:r>
        <w:rPr>
          <w:color w:val="000000"/>
          <w:sz w:val="24"/>
          <w:szCs w:val="24"/>
        </w:rPr>
        <w:t>》</w:t>
      </w:r>
      <w:r>
        <w:rPr>
          <w:rFonts w:hint="eastAsia"/>
          <w:color w:val="000000"/>
          <w:sz w:val="24"/>
          <w:szCs w:val="24"/>
        </w:rPr>
        <w:t>中申请人资格要求。</w:t>
      </w:r>
    </w:p>
    <w:p w14:paraId="1067DB06">
      <w:pPr>
        <w:spacing w:line="440" w:lineRule="exact"/>
        <w:ind w:firstLine="480"/>
        <w:rPr>
          <w:color w:val="000000"/>
          <w:sz w:val="24"/>
          <w:szCs w:val="24"/>
        </w:rPr>
      </w:pPr>
      <w:r>
        <w:rPr>
          <w:color w:val="000000"/>
          <w:sz w:val="24"/>
          <w:szCs w:val="24"/>
        </w:rPr>
        <w:t>3</w:t>
      </w:r>
      <w:r>
        <w:rPr>
          <w:rFonts w:hint="eastAsia"/>
          <w:color w:val="000000"/>
          <w:sz w:val="24"/>
          <w:szCs w:val="24"/>
        </w:rPr>
        <w:t>.2满足本文件实质性要求和条件的规定。</w:t>
      </w:r>
    </w:p>
    <w:p w14:paraId="01278428">
      <w:pPr>
        <w:keepNext/>
        <w:keepLines/>
        <w:spacing w:line="440" w:lineRule="exact"/>
        <w:ind w:firstLine="138"/>
        <w:rPr>
          <w:b/>
          <w:color w:val="000000"/>
          <w:sz w:val="28"/>
          <w:szCs w:val="28"/>
        </w:rPr>
      </w:pPr>
      <w:r>
        <w:rPr>
          <w:b/>
          <w:color w:val="000000"/>
          <w:sz w:val="28"/>
          <w:szCs w:val="28"/>
        </w:rPr>
        <w:t>4、磋商费用</w:t>
      </w:r>
    </w:p>
    <w:p w14:paraId="5BBB6DAB">
      <w:pPr>
        <w:spacing w:line="440" w:lineRule="exact"/>
        <w:ind w:firstLine="480"/>
        <w:rPr>
          <w:color w:val="000000"/>
          <w:sz w:val="24"/>
          <w:szCs w:val="24"/>
        </w:rPr>
      </w:pPr>
      <w:r>
        <w:rPr>
          <w:color w:val="000000"/>
          <w:sz w:val="24"/>
          <w:szCs w:val="24"/>
        </w:rPr>
        <w:t>4.1供应商应自行承担所有与参加本次磋商有关的费用，无论磋商过程中的做法和结果如何，</w:t>
      </w:r>
      <w:r>
        <w:rPr>
          <w:rFonts w:hint="eastAsia"/>
          <w:color w:val="000000"/>
          <w:sz w:val="24"/>
          <w:szCs w:val="24"/>
        </w:rPr>
        <w:t>江苏</w:t>
      </w:r>
      <w:r>
        <w:rPr>
          <w:color w:val="000000"/>
          <w:sz w:val="24"/>
          <w:szCs w:val="24"/>
        </w:rPr>
        <w:t>协诚工程咨询有限公司</w:t>
      </w:r>
      <w:r>
        <w:rPr>
          <w:rFonts w:hint="eastAsia"/>
          <w:color w:val="000000"/>
          <w:sz w:val="24"/>
          <w:szCs w:val="24"/>
        </w:rPr>
        <w:t>（下面简称“采购代理机构”）</w:t>
      </w:r>
      <w:r>
        <w:rPr>
          <w:color w:val="000000"/>
          <w:sz w:val="24"/>
          <w:szCs w:val="24"/>
        </w:rPr>
        <w:t>在任何情况下均无义务和责任承担这些费用。</w:t>
      </w:r>
    </w:p>
    <w:p w14:paraId="08AD1444">
      <w:pPr>
        <w:spacing w:line="440" w:lineRule="exact"/>
        <w:ind w:firstLine="480"/>
        <w:rPr>
          <w:color w:val="000000"/>
          <w:sz w:val="24"/>
          <w:szCs w:val="24"/>
        </w:rPr>
      </w:pPr>
      <w:r>
        <w:rPr>
          <w:color w:val="000000"/>
          <w:sz w:val="24"/>
          <w:szCs w:val="24"/>
        </w:rPr>
        <w:t>4.2本次磋商</w:t>
      </w:r>
      <w:r>
        <w:rPr>
          <w:rFonts w:hint="eastAsia"/>
          <w:color w:val="000000"/>
          <w:sz w:val="24"/>
          <w:szCs w:val="24"/>
        </w:rPr>
        <w:t>采购代理机构</w:t>
      </w:r>
      <w:r>
        <w:rPr>
          <w:color w:val="000000"/>
          <w:sz w:val="24"/>
          <w:szCs w:val="24"/>
        </w:rPr>
        <w:t>和采购人不收取标书工本费。</w:t>
      </w:r>
    </w:p>
    <w:p w14:paraId="26A3CDB9">
      <w:pPr>
        <w:spacing w:line="440" w:lineRule="exact"/>
        <w:ind w:firstLine="480"/>
        <w:rPr>
          <w:color w:val="000000"/>
          <w:sz w:val="24"/>
          <w:szCs w:val="24"/>
        </w:rPr>
      </w:pPr>
      <w:r>
        <w:rPr>
          <w:rFonts w:hint="eastAsia"/>
          <w:color w:val="000000"/>
          <w:sz w:val="24"/>
          <w:szCs w:val="24"/>
        </w:rPr>
        <w:t>4.3本项目成交服务费为：人民币</w:t>
      </w:r>
      <w:r>
        <w:rPr>
          <w:rFonts w:hint="eastAsia"/>
          <w:b/>
          <w:bCs/>
          <w:color w:val="000000"/>
          <w:sz w:val="24"/>
          <w:szCs w:val="24"/>
          <w:lang w:val="en-US" w:eastAsia="zh-CN"/>
        </w:rPr>
        <w:t>壹万贰仟陆佰贰拾捌元整</w:t>
      </w:r>
      <w:r>
        <w:rPr>
          <w:rFonts w:hint="eastAsia"/>
          <w:color w:val="000000"/>
          <w:sz w:val="24"/>
          <w:szCs w:val="24"/>
        </w:rPr>
        <w:t>，在发成交通知书时由各成交供应商向采购代理机构支付，一次性付清。</w:t>
      </w:r>
    </w:p>
    <w:p w14:paraId="3420F907">
      <w:pPr>
        <w:keepNext/>
        <w:keepLines/>
        <w:spacing w:line="440" w:lineRule="exact"/>
        <w:ind w:firstLine="138"/>
        <w:rPr>
          <w:b/>
          <w:color w:val="000000"/>
          <w:sz w:val="28"/>
          <w:szCs w:val="28"/>
        </w:rPr>
      </w:pPr>
      <w:r>
        <w:rPr>
          <w:b/>
          <w:color w:val="000000"/>
          <w:sz w:val="28"/>
          <w:szCs w:val="28"/>
        </w:rPr>
        <w:t>5、磋商文件的约束力</w:t>
      </w:r>
    </w:p>
    <w:p w14:paraId="176797C0">
      <w:pPr>
        <w:spacing w:line="440" w:lineRule="exact"/>
        <w:ind w:firstLine="480"/>
        <w:rPr>
          <w:color w:val="000000"/>
          <w:sz w:val="24"/>
          <w:szCs w:val="24"/>
        </w:rPr>
      </w:pPr>
      <w:r>
        <w:rPr>
          <w:color w:val="000000"/>
          <w:sz w:val="24"/>
          <w:szCs w:val="24"/>
        </w:rPr>
        <w:t>5.1供应商一旦参加本项目采购活动，即被认为接受了本磋商文件的规定和约束。</w:t>
      </w:r>
    </w:p>
    <w:p w14:paraId="1FAC5849">
      <w:pPr>
        <w:keepNext/>
        <w:keepLines/>
        <w:spacing w:line="440" w:lineRule="exact"/>
        <w:outlineLvl w:val="2"/>
        <w:rPr>
          <w:b/>
          <w:bCs/>
          <w:color w:val="000000"/>
          <w:sz w:val="32"/>
          <w:szCs w:val="32"/>
        </w:rPr>
      </w:pPr>
      <w:bookmarkStart w:id="8" w:name="_Toc159312649"/>
      <w:bookmarkStart w:id="9" w:name="_Toc496"/>
      <w:r>
        <w:rPr>
          <w:b/>
          <w:bCs/>
          <w:color w:val="000000"/>
          <w:sz w:val="32"/>
          <w:szCs w:val="32"/>
        </w:rPr>
        <w:t>二、磋商文件</w:t>
      </w:r>
      <w:bookmarkEnd w:id="8"/>
      <w:bookmarkEnd w:id="9"/>
    </w:p>
    <w:p w14:paraId="49B6931B">
      <w:pPr>
        <w:keepNext/>
        <w:keepLines/>
        <w:spacing w:line="440" w:lineRule="exact"/>
        <w:ind w:firstLine="138"/>
        <w:rPr>
          <w:b/>
          <w:color w:val="000000"/>
          <w:sz w:val="28"/>
          <w:szCs w:val="28"/>
        </w:rPr>
      </w:pPr>
      <w:r>
        <w:rPr>
          <w:b/>
          <w:color w:val="000000"/>
          <w:sz w:val="28"/>
          <w:szCs w:val="28"/>
        </w:rPr>
        <w:t>6、磋商文件构成</w:t>
      </w:r>
    </w:p>
    <w:p w14:paraId="029A1C89">
      <w:pPr>
        <w:spacing w:line="440" w:lineRule="exact"/>
        <w:ind w:firstLine="480"/>
        <w:rPr>
          <w:color w:val="000000"/>
          <w:sz w:val="24"/>
          <w:szCs w:val="24"/>
        </w:rPr>
      </w:pPr>
      <w:r>
        <w:rPr>
          <w:color w:val="000000"/>
          <w:sz w:val="24"/>
          <w:szCs w:val="24"/>
        </w:rPr>
        <w:t>6.1磋商文件由以下部分组成：</w:t>
      </w:r>
    </w:p>
    <w:p w14:paraId="5ACB592B">
      <w:pPr>
        <w:spacing w:line="440" w:lineRule="exact"/>
        <w:ind w:firstLine="650"/>
        <w:rPr>
          <w:sz w:val="24"/>
          <w:szCs w:val="24"/>
        </w:rPr>
      </w:pPr>
      <w:r>
        <w:rPr>
          <w:color w:val="000000"/>
          <w:sz w:val="24"/>
          <w:szCs w:val="24"/>
        </w:rPr>
        <w:t>（1）磋商邀请</w:t>
      </w:r>
    </w:p>
    <w:p w14:paraId="733ADAA3">
      <w:pPr>
        <w:spacing w:line="440" w:lineRule="exact"/>
        <w:ind w:firstLine="650"/>
        <w:rPr>
          <w:sz w:val="24"/>
          <w:szCs w:val="24"/>
        </w:rPr>
      </w:pPr>
      <w:r>
        <w:rPr>
          <w:color w:val="000000"/>
          <w:sz w:val="24"/>
          <w:szCs w:val="24"/>
        </w:rPr>
        <w:t>（2）供应商须知</w:t>
      </w:r>
    </w:p>
    <w:p w14:paraId="4CEEB672">
      <w:pPr>
        <w:spacing w:line="440" w:lineRule="exact"/>
        <w:ind w:firstLine="650"/>
        <w:rPr>
          <w:sz w:val="24"/>
          <w:szCs w:val="24"/>
        </w:rPr>
      </w:pPr>
      <w:r>
        <w:rPr>
          <w:color w:val="000000"/>
          <w:sz w:val="24"/>
          <w:szCs w:val="24"/>
        </w:rPr>
        <w:t>（3）合同文本</w:t>
      </w:r>
    </w:p>
    <w:p w14:paraId="727EB0F9">
      <w:pPr>
        <w:spacing w:line="440" w:lineRule="exact"/>
        <w:ind w:firstLine="650"/>
        <w:rPr>
          <w:color w:val="000000"/>
          <w:sz w:val="24"/>
          <w:szCs w:val="24"/>
        </w:rPr>
      </w:pPr>
      <w:r>
        <w:rPr>
          <w:color w:val="000000"/>
          <w:sz w:val="24"/>
          <w:szCs w:val="24"/>
        </w:rPr>
        <w:t>（4）</w:t>
      </w:r>
      <w:r>
        <w:rPr>
          <w:rFonts w:hint="eastAsia"/>
          <w:color w:val="000000"/>
          <w:sz w:val="24"/>
          <w:szCs w:val="24"/>
        </w:rPr>
        <w:t>采购</w:t>
      </w:r>
      <w:r>
        <w:rPr>
          <w:color w:val="000000"/>
          <w:sz w:val="24"/>
          <w:szCs w:val="24"/>
        </w:rPr>
        <w:t>需求</w:t>
      </w:r>
    </w:p>
    <w:p w14:paraId="4CF80EA8">
      <w:pPr>
        <w:spacing w:line="440" w:lineRule="exact"/>
        <w:ind w:firstLine="650"/>
        <w:rPr>
          <w:color w:val="000000"/>
          <w:sz w:val="24"/>
          <w:szCs w:val="24"/>
        </w:rPr>
      </w:pPr>
      <w:r>
        <w:rPr>
          <w:color w:val="000000"/>
          <w:sz w:val="24"/>
          <w:szCs w:val="24"/>
        </w:rPr>
        <w:t>（5）评审方法与评审标准</w:t>
      </w:r>
    </w:p>
    <w:p w14:paraId="314C0187">
      <w:pPr>
        <w:spacing w:line="440" w:lineRule="exact"/>
        <w:ind w:firstLine="650"/>
        <w:rPr>
          <w:color w:val="000000"/>
          <w:sz w:val="24"/>
          <w:szCs w:val="24"/>
        </w:rPr>
      </w:pPr>
      <w:r>
        <w:rPr>
          <w:color w:val="000000"/>
          <w:sz w:val="24"/>
          <w:szCs w:val="24"/>
        </w:rPr>
        <w:t>（6）磋商响应文件格式</w:t>
      </w:r>
    </w:p>
    <w:p w14:paraId="5F7DE85D">
      <w:pPr>
        <w:spacing w:line="440" w:lineRule="exact"/>
        <w:ind w:firstLine="787"/>
        <w:rPr>
          <w:sz w:val="24"/>
          <w:szCs w:val="24"/>
        </w:rPr>
      </w:pPr>
      <w:r>
        <w:rPr>
          <w:color w:val="000000"/>
          <w:sz w:val="24"/>
          <w:szCs w:val="24"/>
        </w:rPr>
        <w:t>请仔细检查磋商文件是否齐全，如有缺漏请立即与代理机构联系解决。</w:t>
      </w:r>
    </w:p>
    <w:p w14:paraId="4D971F2A">
      <w:pPr>
        <w:spacing w:line="440" w:lineRule="exact"/>
        <w:ind w:firstLine="480"/>
        <w:rPr>
          <w:color w:val="000000"/>
          <w:sz w:val="24"/>
          <w:szCs w:val="24"/>
        </w:rPr>
      </w:pPr>
      <w:r>
        <w:rPr>
          <w:color w:val="000000"/>
          <w:sz w:val="24"/>
          <w:szCs w:val="24"/>
        </w:rPr>
        <w:t>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4EE4FDA">
      <w:pPr>
        <w:spacing w:line="440" w:lineRule="exact"/>
        <w:ind w:firstLine="480"/>
        <w:rPr>
          <w:color w:val="000000"/>
          <w:sz w:val="24"/>
          <w:szCs w:val="24"/>
        </w:rPr>
      </w:pPr>
      <w:r>
        <w:rPr>
          <w:color w:val="000000"/>
          <w:sz w:val="24"/>
          <w:szCs w:val="24"/>
        </w:rPr>
        <w:t>6.3</w:t>
      </w:r>
      <w:r>
        <w:rPr>
          <w:rFonts w:hint="eastAsia"/>
          <w:color w:val="000000"/>
          <w:sz w:val="24"/>
          <w:szCs w:val="24"/>
        </w:rPr>
        <w:t>磋商</w:t>
      </w:r>
      <w:r>
        <w:rPr>
          <w:color w:val="000000"/>
          <w:sz w:val="24"/>
          <w:szCs w:val="24"/>
        </w:rPr>
        <w:t>文件及其更正事项如不是直接从指定媒体地址下载获得的，采购人或代理机构对</w:t>
      </w:r>
      <w:r>
        <w:rPr>
          <w:rFonts w:hint="eastAsia"/>
          <w:color w:val="000000"/>
          <w:sz w:val="24"/>
          <w:szCs w:val="24"/>
        </w:rPr>
        <w:t>磋商文件</w:t>
      </w:r>
      <w:r>
        <w:rPr>
          <w:color w:val="000000"/>
          <w:sz w:val="24"/>
          <w:szCs w:val="24"/>
        </w:rPr>
        <w:t>及其补遗的真实性、完整性不承担任何责任。</w:t>
      </w:r>
    </w:p>
    <w:p w14:paraId="3710A522">
      <w:pPr>
        <w:keepNext/>
        <w:keepLines/>
        <w:spacing w:line="440" w:lineRule="exact"/>
        <w:ind w:firstLine="138"/>
        <w:rPr>
          <w:b/>
          <w:color w:val="000000"/>
          <w:sz w:val="28"/>
          <w:szCs w:val="28"/>
        </w:rPr>
      </w:pPr>
      <w:r>
        <w:rPr>
          <w:b/>
          <w:color w:val="000000"/>
          <w:sz w:val="28"/>
          <w:szCs w:val="28"/>
        </w:rPr>
        <w:t>7、磋商文件的澄清</w:t>
      </w:r>
      <w:r>
        <w:rPr>
          <w:rFonts w:hint="eastAsia"/>
          <w:b/>
          <w:color w:val="000000"/>
          <w:sz w:val="28"/>
          <w:szCs w:val="28"/>
        </w:rPr>
        <w:t>、修改</w:t>
      </w:r>
    </w:p>
    <w:p w14:paraId="425D71CB">
      <w:pPr>
        <w:spacing w:line="440" w:lineRule="exact"/>
        <w:ind w:firstLine="480"/>
        <w:rPr>
          <w:color w:val="000000"/>
          <w:sz w:val="24"/>
          <w:szCs w:val="24"/>
        </w:rPr>
      </w:pPr>
      <w:r>
        <w:rPr>
          <w:color w:val="000000"/>
          <w:sz w:val="24"/>
          <w:szCs w:val="24"/>
        </w:rPr>
        <w:t>7</w:t>
      </w:r>
      <w:r>
        <w:rPr>
          <w:rFonts w:hint="eastAsia"/>
          <w:color w:val="000000"/>
          <w:sz w:val="24"/>
          <w:szCs w:val="24"/>
        </w:rPr>
        <w:t>.1出于实际需要或澄清供应商问题的情况下，代理机构可对已发出的磋商文件进行必要的澄清或者修改，并</w:t>
      </w:r>
      <w:r>
        <w:rPr>
          <w:color w:val="000000"/>
          <w:sz w:val="24"/>
          <w:szCs w:val="24"/>
        </w:rPr>
        <w:t>将在指定媒体上发布</w:t>
      </w:r>
      <w:r>
        <w:rPr>
          <w:rFonts w:hint="eastAsia"/>
          <w:color w:val="000000"/>
          <w:sz w:val="24"/>
          <w:szCs w:val="24"/>
        </w:rPr>
        <w:t>。各供应商应</w:t>
      </w:r>
      <w:r>
        <w:rPr>
          <w:color w:val="000000"/>
          <w:sz w:val="24"/>
          <w:szCs w:val="24"/>
        </w:rPr>
        <w:t>在</w:t>
      </w:r>
      <w:r>
        <w:rPr>
          <w:rFonts w:hint="eastAsia"/>
          <w:color w:val="000000"/>
          <w:sz w:val="24"/>
          <w:szCs w:val="24"/>
        </w:rPr>
        <w:t>投标截止时间</w:t>
      </w:r>
      <w:r>
        <w:rPr>
          <w:color w:val="000000"/>
          <w:sz w:val="24"/>
          <w:szCs w:val="24"/>
        </w:rPr>
        <w:t>前</w:t>
      </w:r>
      <w:r>
        <w:rPr>
          <w:rFonts w:hint="eastAsia"/>
          <w:color w:val="000000"/>
          <w:sz w:val="24"/>
          <w:szCs w:val="24"/>
        </w:rPr>
        <w:t>关注</w:t>
      </w:r>
      <w:r>
        <w:rPr>
          <w:color w:val="000000"/>
          <w:sz w:val="24"/>
          <w:szCs w:val="24"/>
        </w:rPr>
        <w:t>苏州市政府采购网</w:t>
      </w:r>
      <w:r>
        <w:rPr>
          <w:rFonts w:hint="eastAsia"/>
          <w:color w:val="000000"/>
          <w:sz w:val="24"/>
          <w:szCs w:val="24"/>
        </w:rPr>
        <w:t>“补充通知”栏，按规定获取相关信息内容，否则其投标风险由供应商承担。</w:t>
      </w:r>
    </w:p>
    <w:p w14:paraId="3436D867">
      <w:pPr>
        <w:spacing w:line="440" w:lineRule="exact"/>
        <w:ind w:firstLine="480"/>
        <w:rPr>
          <w:color w:val="000000"/>
          <w:sz w:val="24"/>
          <w:szCs w:val="24"/>
        </w:rPr>
      </w:pPr>
      <w:r>
        <w:rPr>
          <w:color w:val="000000"/>
          <w:sz w:val="24"/>
          <w:szCs w:val="24"/>
        </w:rPr>
        <w:t>7</w:t>
      </w:r>
      <w:r>
        <w:rPr>
          <w:rFonts w:hint="eastAsia"/>
          <w:color w:val="000000"/>
          <w:sz w:val="24"/>
          <w:szCs w:val="24"/>
        </w:rPr>
        <w:t>.2代理机构有权按照法定的要求顺延投标截止时间和开标时间。</w:t>
      </w:r>
    </w:p>
    <w:p w14:paraId="21686853">
      <w:pPr>
        <w:spacing w:line="440" w:lineRule="exact"/>
        <w:ind w:firstLine="480"/>
        <w:rPr>
          <w:color w:val="000000"/>
          <w:sz w:val="24"/>
          <w:szCs w:val="24"/>
        </w:rPr>
      </w:pPr>
      <w:r>
        <w:rPr>
          <w:color w:val="000000"/>
          <w:sz w:val="24"/>
          <w:szCs w:val="24"/>
        </w:rPr>
        <w:t>7.</w:t>
      </w:r>
      <w:r>
        <w:rPr>
          <w:rFonts w:hint="eastAsia"/>
          <w:color w:val="000000"/>
          <w:sz w:val="24"/>
          <w:szCs w:val="24"/>
        </w:rPr>
        <w:t>3</w:t>
      </w:r>
      <w:r>
        <w:rPr>
          <w:color w:val="000000"/>
          <w:sz w:val="24"/>
          <w:szCs w:val="24"/>
        </w:rPr>
        <w:t>有关</w:t>
      </w:r>
      <w:r>
        <w:rPr>
          <w:rFonts w:hint="eastAsia"/>
          <w:color w:val="000000"/>
          <w:sz w:val="24"/>
          <w:szCs w:val="24"/>
        </w:rPr>
        <w:t>澄清或者修改的内容将作为磋商文件的组成部分</w:t>
      </w:r>
      <w:r>
        <w:rPr>
          <w:color w:val="000000"/>
          <w:sz w:val="24"/>
          <w:szCs w:val="24"/>
        </w:rPr>
        <w:t>，对所有</w:t>
      </w:r>
      <w:r>
        <w:rPr>
          <w:rFonts w:hint="eastAsia"/>
          <w:color w:val="000000"/>
          <w:sz w:val="24"/>
          <w:szCs w:val="24"/>
        </w:rPr>
        <w:t>供应商</w:t>
      </w:r>
      <w:r>
        <w:rPr>
          <w:color w:val="000000"/>
          <w:sz w:val="24"/>
          <w:szCs w:val="24"/>
        </w:rPr>
        <w:t>具有约束力。</w:t>
      </w:r>
    </w:p>
    <w:p w14:paraId="718AEBD8">
      <w:pPr>
        <w:keepNext/>
        <w:keepLines/>
        <w:spacing w:line="440" w:lineRule="exact"/>
        <w:outlineLvl w:val="2"/>
        <w:rPr>
          <w:b/>
          <w:bCs/>
          <w:color w:val="000000"/>
          <w:sz w:val="32"/>
          <w:szCs w:val="32"/>
        </w:rPr>
      </w:pPr>
      <w:bookmarkStart w:id="10" w:name="_Toc159312650"/>
      <w:bookmarkStart w:id="11" w:name="_Toc9351"/>
      <w:r>
        <w:rPr>
          <w:b/>
          <w:bCs/>
          <w:color w:val="000000"/>
          <w:sz w:val="32"/>
          <w:szCs w:val="32"/>
        </w:rPr>
        <w:t>三、响应文件的编制</w:t>
      </w:r>
      <w:bookmarkEnd w:id="10"/>
      <w:bookmarkEnd w:id="11"/>
    </w:p>
    <w:p w14:paraId="686DC7DE">
      <w:pPr>
        <w:keepNext/>
        <w:keepLines/>
        <w:spacing w:line="440" w:lineRule="exact"/>
        <w:ind w:firstLine="138"/>
        <w:rPr>
          <w:b/>
          <w:color w:val="000000"/>
          <w:sz w:val="28"/>
          <w:szCs w:val="28"/>
        </w:rPr>
      </w:pPr>
      <w:r>
        <w:rPr>
          <w:rFonts w:hint="eastAsia"/>
          <w:b/>
          <w:color w:val="000000"/>
          <w:sz w:val="28"/>
          <w:szCs w:val="28"/>
        </w:rPr>
        <w:t>8</w:t>
      </w:r>
      <w:r>
        <w:rPr>
          <w:b/>
          <w:color w:val="000000"/>
          <w:sz w:val="28"/>
          <w:szCs w:val="28"/>
        </w:rPr>
        <w:t>、响应文件的语言及度量衡单位</w:t>
      </w:r>
    </w:p>
    <w:p w14:paraId="50EDF0B9">
      <w:pPr>
        <w:spacing w:line="440" w:lineRule="exact"/>
        <w:ind w:firstLine="480"/>
        <w:rPr>
          <w:sz w:val="24"/>
          <w:szCs w:val="24"/>
        </w:rPr>
      </w:pPr>
      <w:r>
        <w:rPr>
          <w:rFonts w:hint="eastAsia"/>
          <w:color w:val="000000"/>
          <w:sz w:val="24"/>
          <w:szCs w:val="24"/>
        </w:rPr>
        <w:t>8</w:t>
      </w:r>
      <w:r>
        <w:rPr>
          <w:color w:val="000000"/>
          <w:sz w:val="24"/>
          <w:szCs w:val="24"/>
        </w:rPr>
        <w:t>.1供应商提交的响应文件以及供应商与代理机构就有关磋商的所有来往通知、函件和文件均应使用</w:t>
      </w:r>
      <w:r>
        <w:rPr>
          <w:b/>
          <w:bCs/>
          <w:color w:val="000000"/>
          <w:sz w:val="24"/>
          <w:szCs w:val="24"/>
        </w:rPr>
        <w:t>简体中文</w:t>
      </w:r>
      <w:r>
        <w:rPr>
          <w:color w:val="000000"/>
          <w:sz w:val="24"/>
          <w:szCs w:val="24"/>
        </w:rPr>
        <w:t>。</w:t>
      </w:r>
    </w:p>
    <w:p w14:paraId="159143FD">
      <w:pPr>
        <w:spacing w:line="440" w:lineRule="exact"/>
        <w:ind w:firstLine="480"/>
        <w:rPr>
          <w:color w:val="000000"/>
          <w:sz w:val="24"/>
          <w:szCs w:val="24"/>
        </w:rPr>
      </w:pPr>
      <w:r>
        <w:rPr>
          <w:rFonts w:hint="eastAsia"/>
          <w:color w:val="000000"/>
          <w:sz w:val="24"/>
          <w:szCs w:val="24"/>
        </w:rPr>
        <w:t>8</w:t>
      </w:r>
      <w:r>
        <w:rPr>
          <w:color w:val="000000"/>
          <w:sz w:val="24"/>
          <w:szCs w:val="24"/>
        </w:rPr>
        <w:t>.2除技术性能另有规定外，响应文件所使用的度量衡单位，均须采用国家法定计量单位。</w:t>
      </w:r>
    </w:p>
    <w:p w14:paraId="23005585">
      <w:pPr>
        <w:keepNext/>
        <w:keepLines/>
        <w:spacing w:line="440" w:lineRule="exact"/>
        <w:ind w:firstLine="138"/>
        <w:rPr>
          <w:b/>
          <w:color w:val="000000"/>
          <w:sz w:val="28"/>
          <w:szCs w:val="28"/>
        </w:rPr>
      </w:pPr>
      <w:r>
        <w:rPr>
          <w:rFonts w:hint="eastAsia"/>
          <w:b/>
          <w:color w:val="000000"/>
          <w:sz w:val="28"/>
          <w:szCs w:val="28"/>
        </w:rPr>
        <w:t>9</w:t>
      </w:r>
      <w:r>
        <w:rPr>
          <w:b/>
          <w:color w:val="000000"/>
          <w:sz w:val="28"/>
          <w:szCs w:val="28"/>
        </w:rPr>
        <w:t>、响应文件构成</w:t>
      </w:r>
    </w:p>
    <w:p w14:paraId="19336671">
      <w:pPr>
        <w:spacing w:line="440" w:lineRule="exact"/>
        <w:ind w:firstLine="480"/>
        <w:rPr>
          <w:color w:val="000000"/>
          <w:sz w:val="24"/>
          <w:szCs w:val="21"/>
        </w:rPr>
      </w:pPr>
      <w:r>
        <w:rPr>
          <w:rFonts w:hint="eastAsia"/>
          <w:color w:val="000000"/>
          <w:sz w:val="24"/>
          <w:szCs w:val="24"/>
        </w:rPr>
        <w:t>9</w:t>
      </w:r>
      <w:r>
        <w:rPr>
          <w:color w:val="000000"/>
          <w:sz w:val="24"/>
          <w:szCs w:val="24"/>
        </w:rPr>
        <w:t>.1供应商编写的响应文件应包括资格证明文件、</w:t>
      </w:r>
      <w:r>
        <w:rPr>
          <w:rFonts w:hint="eastAsia"/>
          <w:color w:val="000000"/>
          <w:sz w:val="24"/>
          <w:szCs w:val="24"/>
        </w:rPr>
        <w:t>报价</w:t>
      </w:r>
      <w:r>
        <w:rPr>
          <w:color w:val="000000"/>
          <w:sz w:val="24"/>
          <w:szCs w:val="24"/>
        </w:rPr>
        <w:t>一览表、</w:t>
      </w:r>
      <w:r>
        <w:rPr>
          <w:rFonts w:hint="eastAsia"/>
          <w:color w:val="000000"/>
          <w:sz w:val="24"/>
          <w:szCs w:val="24"/>
        </w:rPr>
        <w:t>投入</w:t>
      </w:r>
      <w:r>
        <w:rPr>
          <w:color w:val="000000"/>
          <w:sz w:val="24"/>
          <w:szCs w:val="24"/>
        </w:rPr>
        <w:t>费用明细表、磋商响应函</w:t>
      </w:r>
      <w:r>
        <w:rPr>
          <w:rFonts w:hint="eastAsia"/>
          <w:color w:val="000000"/>
          <w:sz w:val="24"/>
          <w:szCs w:val="24"/>
        </w:rPr>
        <w:t>、</w:t>
      </w:r>
      <w:r>
        <w:rPr>
          <w:rFonts w:hint="eastAsia"/>
          <w:sz w:val="24"/>
          <w:szCs w:val="24"/>
        </w:rPr>
        <w:t>服务（或商务）要求响应及偏离表</w:t>
      </w:r>
      <w:r>
        <w:rPr>
          <w:rFonts w:hint="eastAsia"/>
          <w:color w:val="000000"/>
          <w:sz w:val="24"/>
          <w:szCs w:val="21"/>
        </w:rPr>
        <w:t>等部分。</w:t>
      </w:r>
    </w:p>
    <w:p w14:paraId="6019350F">
      <w:pPr>
        <w:spacing w:line="440" w:lineRule="exact"/>
        <w:ind w:firstLine="480"/>
        <w:rPr>
          <w:color w:val="000000"/>
          <w:sz w:val="24"/>
          <w:szCs w:val="24"/>
        </w:rPr>
      </w:pPr>
      <w:r>
        <w:rPr>
          <w:rFonts w:hint="eastAsia"/>
          <w:color w:val="000000"/>
          <w:sz w:val="24"/>
          <w:szCs w:val="24"/>
        </w:rPr>
        <w:t>9</w:t>
      </w:r>
      <w:r>
        <w:rPr>
          <w:color w:val="000000"/>
          <w:sz w:val="24"/>
          <w:szCs w:val="24"/>
        </w:rPr>
        <w:t>.2如标书制作工具中格式和内容与指定媒体</w:t>
      </w:r>
      <w:r>
        <w:rPr>
          <w:rFonts w:hint="eastAsia"/>
          <w:color w:val="000000"/>
          <w:sz w:val="24"/>
          <w:szCs w:val="24"/>
        </w:rPr>
        <w:t>发布</w:t>
      </w:r>
      <w:r>
        <w:rPr>
          <w:color w:val="000000"/>
          <w:sz w:val="24"/>
          <w:szCs w:val="24"/>
        </w:rPr>
        <w:t>的磋商文件不一致，请以指定媒体发布的磋商文件为准。</w:t>
      </w:r>
    </w:p>
    <w:p w14:paraId="6A422A5E">
      <w:pPr>
        <w:spacing w:line="440" w:lineRule="exact"/>
        <w:ind w:firstLine="480"/>
        <w:rPr>
          <w:rFonts w:hint="eastAsia" w:eastAsia="宋体"/>
          <w:color w:val="000000"/>
          <w:sz w:val="24"/>
          <w:szCs w:val="24"/>
        </w:rPr>
      </w:pPr>
      <w:r>
        <w:rPr>
          <w:rFonts w:hint="eastAsia" w:eastAsia="宋体"/>
          <w:color w:val="000000"/>
          <w:sz w:val="24"/>
          <w:szCs w:val="24"/>
          <w:lang w:val="en-US" w:eastAsia="zh-CN"/>
        </w:rPr>
        <w:t>9</w:t>
      </w:r>
      <w:r>
        <w:rPr>
          <w:rFonts w:hint="eastAsia" w:eastAsia="宋体"/>
          <w:color w:val="000000"/>
          <w:sz w:val="24"/>
          <w:szCs w:val="24"/>
        </w:rPr>
        <w:t>.3 以联合体形式参加投标的，除联合体协议书外，其余盖章部分均由牵头人进行盖章。</w:t>
      </w:r>
    </w:p>
    <w:p w14:paraId="05751653">
      <w:pPr>
        <w:keepNext/>
        <w:keepLines/>
        <w:spacing w:line="440" w:lineRule="exact"/>
        <w:ind w:firstLine="138"/>
        <w:rPr>
          <w:b/>
          <w:color w:val="000000"/>
          <w:sz w:val="28"/>
          <w:szCs w:val="28"/>
        </w:rPr>
      </w:pPr>
      <w:r>
        <w:rPr>
          <w:rFonts w:hint="eastAsia"/>
          <w:b/>
          <w:color w:val="000000"/>
          <w:sz w:val="28"/>
          <w:szCs w:val="28"/>
        </w:rPr>
        <w:t>10</w:t>
      </w:r>
      <w:r>
        <w:rPr>
          <w:b/>
          <w:color w:val="000000"/>
          <w:sz w:val="28"/>
          <w:szCs w:val="28"/>
        </w:rPr>
        <w:t>、证明磋商响应标的符合磋商文件规定的文件</w:t>
      </w:r>
    </w:p>
    <w:p w14:paraId="5BE60D1B">
      <w:pPr>
        <w:spacing w:line="440" w:lineRule="exact"/>
        <w:ind w:firstLine="480"/>
        <w:rPr>
          <w:color w:val="000000"/>
          <w:sz w:val="24"/>
          <w:szCs w:val="24"/>
        </w:rPr>
      </w:pPr>
      <w:r>
        <w:rPr>
          <w:rFonts w:hint="eastAsia"/>
          <w:color w:val="000000"/>
          <w:sz w:val="24"/>
          <w:szCs w:val="24"/>
        </w:rPr>
        <w:t>10.1供应商应按照磋商文件要求提交证明文件，证明其及磋商响应标的符合磋商文件规定。</w:t>
      </w:r>
    </w:p>
    <w:p w14:paraId="3DF42406">
      <w:pPr>
        <w:spacing w:line="440" w:lineRule="exact"/>
        <w:ind w:firstLine="480"/>
        <w:rPr>
          <w:color w:val="000000"/>
          <w:sz w:val="24"/>
          <w:szCs w:val="24"/>
        </w:rPr>
      </w:pPr>
      <w:r>
        <w:rPr>
          <w:rFonts w:hint="eastAsia"/>
          <w:color w:val="000000"/>
          <w:sz w:val="24"/>
          <w:szCs w:val="24"/>
        </w:rPr>
        <w:t>10.2磋商文件对证明文件无明确形式要求的，证明文件可以以文字资料、图纸和数据等形式提交。</w:t>
      </w:r>
    </w:p>
    <w:p w14:paraId="4FCF58B1">
      <w:pPr>
        <w:keepNext/>
        <w:keepLines/>
        <w:spacing w:line="440" w:lineRule="exact"/>
        <w:ind w:firstLine="138"/>
        <w:rPr>
          <w:b/>
          <w:color w:val="000000"/>
          <w:sz w:val="28"/>
          <w:szCs w:val="28"/>
        </w:rPr>
      </w:pPr>
      <w:r>
        <w:rPr>
          <w:rFonts w:hint="eastAsia"/>
          <w:b/>
          <w:color w:val="000000"/>
          <w:sz w:val="28"/>
          <w:szCs w:val="28"/>
        </w:rPr>
        <w:t>11</w:t>
      </w:r>
      <w:r>
        <w:rPr>
          <w:b/>
          <w:color w:val="000000"/>
          <w:sz w:val="28"/>
          <w:szCs w:val="28"/>
        </w:rPr>
        <w:t>、</w:t>
      </w:r>
      <w:r>
        <w:rPr>
          <w:rFonts w:hint="eastAsia"/>
          <w:b/>
          <w:color w:val="000000"/>
          <w:sz w:val="28"/>
          <w:szCs w:val="28"/>
        </w:rPr>
        <w:t>磋商响应</w:t>
      </w:r>
      <w:r>
        <w:rPr>
          <w:b/>
          <w:color w:val="000000"/>
          <w:sz w:val="28"/>
          <w:szCs w:val="28"/>
        </w:rPr>
        <w:t>函和报价一览表</w:t>
      </w:r>
    </w:p>
    <w:p w14:paraId="2F4D4EB3">
      <w:pPr>
        <w:spacing w:line="440" w:lineRule="exact"/>
        <w:ind w:firstLine="480"/>
        <w:rPr>
          <w:color w:val="000000"/>
          <w:sz w:val="24"/>
          <w:szCs w:val="24"/>
        </w:rPr>
      </w:pPr>
      <w:r>
        <w:rPr>
          <w:rFonts w:hint="eastAsia"/>
          <w:color w:val="000000"/>
          <w:sz w:val="24"/>
          <w:szCs w:val="24"/>
        </w:rPr>
        <w:t>11.1供应商应按照磋商文件中提供的格式完整、正确填写磋商响应函、报价一览表。</w:t>
      </w:r>
    </w:p>
    <w:p w14:paraId="6885A8DF">
      <w:pPr>
        <w:keepNext/>
        <w:keepLines/>
        <w:spacing w:line="440" w:lineRule="exact"/>
        <w:ind w:firstLine="138"/>
        <w:rPr>
          <w:b/>
          <w:color w:val="000000"/>
          <w:sz w:val="28"/>
          <w:szCs w:val="28"/>
        </w:rPr>
      </w:pPr>
      <w:r>
        <w:rPr>
          <w:rFonts w:hint="eastAsia"/>
          <w:b/>
          <w:color w:val="000000"/>
          <w:sz w:val="28"/>
          <w:szCs w:val="28"/>
        </w:rPr>
        <w:t>12</w:t>
      </w:r>
      <w:r>
        <w:rPr>
          <w:b/>
          <w:color w:val="000000"/>
          <w:sz w:val="28"/>
          <w:szCs w:val="28"/>
        </w:rPr>
        <w:t>、</w:t>
      </w:r>
      <w:r>
        <w:rPr>
          <w:rFonts w:hint="eastAsia"/>
          <w:b/>
          <w:color w:val="000000"/>
          <w:sz w:val="28"/>
          <w:szCs w:val="28"/>
        </w:rPr>
        <w:t>服务（或商务）</w:t>
      </w:r>
      <w:r>
        <w:rPr>
          <w:b/>
          <w:color w:val="000000"/>
          <w:sz w:val="28"/>
          <w:szCs w:val="28"/>
        </w:rPr>
        <w:t>要求响应及偏离表</w:t>
      </w:r>
    </w:p>
    <w:p w14:paraId="2ED10E95">
      <w:pPr>
        <w:spacing w:line="440" w:lineRule="exact"/>
        <w:ind w:firstLine="480"/>
        <w:rPr>
          <w:color w:val="000000"/>
          <w:sz w:val="24"/>
          <w:szCs w:val="24"/>
        </w:rPr>
      </w:pPr>
      <w:r>
        <w:rPr>
          <w:rFonts w:hint="eastAsia"/>
          <w:color w:val="000000"/>
          <w:sz w:val="24"/>
          <w:szCs w:val="24"/>
        </w:rPr>
        <w:t>12.1供应商需对磋商文件中的服务要求与商务要求逐项作出响应或偏离，并说明原因。</w:t>
      </w:r>
    </w:p>
    <w:p w14:paraId="32BB2CC0">
      <w:pPr>
        <w:spacing w:line="440" w:lineRule="exact"/>
        <w:ind w:firstLine="480"/>
        <w:rPr>
          <w:color w:val="000000"/>
          <w:sz w:val="24"/>
          <w:szCs w:val="24"/>
          <w:lang w:val="zh-CN"/>
        </w:rPr>
      </w:pPr>
      <w:r>
        <w:rPr>
          <w:rFonts w:hint="eastAsia"/>
          <w:color w:val="000000"/>
          <w:sz w:val="24"/>
          <w:szCs w:val="24"/>
        </w:rPr>
        <w:t>12.2</w:t>
      </w:r>
      <w:r>
        <w:rPr>
          <w:rFonts w:hint="eastAsia"/>
          <w:color w:val="000000"/>
          <w:sz w:val="24"/>
          <w:szCs w:val="24"/>
          <w:lang w:val="zh-CN"/>
        </w:rPr>
        <w:t>供应商需按照磋商文件要求，在响应文件中提供与服务要求和商务要求相关的证明材料。</w:t>
      </w:r>
    </w:p>
    <w:p w14:paraId="762F690D">
      <w:pPr>
        <w:keepNext/>
        <w:keepLines/>
        <w:spacing w:line="440" w:lineRule="exact"/>
        <w:ind w:firstLine="141"/>
        <w:rPr>
          <w:b/>
          <w:color w:val="000000"/>
          <w:sz w:val="28"/>
          <w:szCs w:val="28"/>
        </w:rPr>
      </w:pPr>
      <w:r>
        <w:rPr>
          <w:rFonts w:hint="eastAsia"/>
          <w:b/>
          <w:color w:val="000000"/>
          <w:sz w:val="28"/>
          <w:szCs w:val="28"/>
        </w:rPr>
        <w:t>13、项目实施方案、人员情况、业绩情况及其他</w:t>
      </w:r>
    </w:p>
    <w:p w14:paraId="11535042">
      <w:pPr>
        <w:spacing w:line="440" w:lineRule="exact"/>
        <w:ind w:firstLine="480"/>
        <w:rPr>
          <w:color w:val="000000"/>
          <w:sz w:val="24"/>
          <w:szCs w:val="24"/>
        </w:rPr>
      </w:pPr>
      <w:r>
        <w:rPr>
          <w:rFonts w:hint="eastAsia"/>
          <w:color w:val="000000"/>
          <w:sz w:val="24"/>
          <w:szCs w:val="24"/>
        </w:rPr>
        <w:t>13.1供应商需根据磋商文件要求提供有关项目实施方案。</w:t>
      </w:r>
    </w:p>
    <w:p w14:paraId="237D106D">
      <w:pPr>
        <w:spacing w:line="440" w:lineRule="exact"/>
        <w:ind w:firstLine="480"/>
        <w:rPr>
          <w:color w:val="000000"/>
          <w:sz w:val="24"/>
          <w:szCs w:val="24"/>
        </w:rPr>
      </w:pPr>
      <w:r>
        <w:rPr>
          <w:rFonts w:hint="eastAsia"/>
          <w:color w:val="000000"/>
          <w:sz w:val="24"/>
          <w:szCs w:val="24"/>
        </w:rPr>
        <w:t>13.2供应商需根据磋商文件要求提供</w:t>
      </w:r>
      <w:r>
        <w:rPr>
          <w:rFonts w:cs="宋体"/>
          <w:color w:val="000000"/>
          <w:sz w:val="24"/>
        </w:rPr>
        <w:t>有关人员配备情况</w:t>
      </w:r>
      <w:r>
        <w:rPr>
          <w:rFonts w:hint="eastAsia"/>
          <w:color w:val="000000"/>
          <w:sz w:val="24"/>
          <w:szCs w:val="24"/>
        </w:rPr>
        <w:t>等。</w:t>
      </w:r>
    </w:p>
    <w:p w14:paraId="5C28CFFD">
      <w:pPr>
        <w:spacing w:line="440" w:lineRule="exact"/>
        <w:ind w:firstLine="480"/>
        <w:rPr>
          <w:color w:val="000000"/>
          <w:sz w:val="24"/>
          <w:szCs w:val="24"/>
        </w:rPr>
      </w:pPr>
      <w:r>
        <w:rPr>
          <w:rFonts w:hint="eastAsia"/>
          <w:color w:val="000000"/>
          <w:sz w:val="24"/>
          <w:szCs w:val="24"/>
        </w:rPr>
        <w:t>13.3供应商需根据磋商文件要求提供实施的类似项目业绩情况。</w:t>
      </w:r>
      <w:bookmarkStart w:id="12" w:name="_Toc49090510"/>
      <w:bookmarkEnd w:id="12"/>
      <w:bookmarkStart w:id="13" w:name="_Toc14577359"/>
      <w:bookmarkEnd w:id="13"/>
    </w:p>
    <w:p w14:paraId="4AE49CB7">
      <w:pPr>
        <w:keepNext/>
        <w:keepLines/>
        <w:spacing w:line="440" w:lineRule="exact"/>
        <w:ind w:firstLine="138"/>
        <w:rPr>
          <w:b/>
          <w:color w:val="000000"/>
          <w:sz w:val="28"/>
          <w:szCs w:val="28"/>
        </w:rPr>
      </w:pPr>
      <w:r>
        <w:rPr>
          <w:rFonts w:hint="eastAsia"/>
          <w:b/>
          <w:color w:val="000000"/>
          <w:sz w:val="28"/>
          <w:szCs w:val="28"/>
        </w:rPr>
        <w:t>14</w:t>
      </w:r>
      <w:r>
        <w:rPr>
          <w:b/>
          <w:color w:val="000000"/>
          <w:sz w:val="28"/>
          <w:szCs w:val="28"/>
        </w:rPr>
        <w:t>、磋商有效期</w:t>
      </w:r>
    </w:p>
    <w:p w14:paraId="0740A895">
      <w:pPr>
        <w:spacing w:line="440" w:lineRule="exact"/>
        <w:ind w:firstLine="480"/>
        <w:rPr>
          <w:sz w:val="24"/>
          <w:szCs w:val="24"/>
        </w:rPr>
      </w:pPr>
      <w:r>
        <w:rPr>
          <w:rFonts w:hint="eastAsia"/>
          <w:color w:val="000000"/>
          <w:sz w:val="24"/>
          <w:szCs w:val="24"/>
        </w:rPr>
        <w:t>14</w:t>
      </w:r>
      <w:r>
        <w:rPr>
          <w:color w:val="000000"/>
          <w:sz w:val="24"/>
          <w:szCs w:val="24"/>
        </w:rPr>
        <w:t>.1磋商有效期为代理机构规定的提交响应文件截止之日后</w:t>
      </w:r>
      <w:r>
        <w:rPr>
          <w:b/>
          <w:bCs/>
          <w:color w:val="000000"/>
          <w:sz w:val="24"/>
          <w:szCs w:val="24"/>
          <w:u w:val="single"/>
        </w:rPr>
        <w:t>六十（60）天</w:t>
      </w:r>
      <w:r>
        <w:rPr>
          <w:color w:val="000000"/>
          <w:sz w:val="24"/>
          <w:szCs w:val="24"/>
        </w:rPr>
        <w:t>。磋商有效期比规定短的将被视为非实质性响应磋商文件而予以拒绝。</w:t>
      </w:r>
    </w:p>
    <w:p w14:paraId="76DFBB84">
      <w:pPr>
        <w:keepNext/>
        <w:keepLines/>
        <w:spacing w:line="440" w:lineRule="exact"/>
        <w:ind w:firstLine="138"/>
        <w:rPr>
          <w:b/>
          <w:color w:val="000000"/>
          <w:sz w:val="28"/>
          <w:szCs w:val="28"/>
        </w:rPr>
      </w:pPr>
      <w:r>
        <w:rPr>
          <w:rFonts w:hint="eastAsia"/>
          <w:b/>
          <w:color w:val="000000"/>
          <w:sz w:val="28"/>
          <w:szCs w:val="28"/>
        </w:rPr>
        <w:t>15</w:t>
      </w:r>
      <w:r>
        <w:rPr>
          <w:b/>
          <w:color w:val="000000"/>
          <w:sz w:val="28"/>
          <w:szCs w:val="28"/>
        </w:rPr>
        <w:t>、磋商有效期的延长</w:t>
      </w:r>
    </w:p>
    <w:p w14:paraId="40B21BF8">
      <w:pPr>
        <w:spacing w:line="440" w:lineRule="exact"/>
        <w:ind w:firstLine="480"/>
        <w:rPr>
          <w:color w:val="000000"/>
          <w:sz w:val="24"/>
          <w:szCs w:val="24"/>
        </w:rPr>
      </w:pPr>
      <w:r>
        <w:rPr>
          <w:rFonts w:hint="eastAsia"/>
          <w:color w:val="000000"/>
          <w:sz w:val="24"/>
          <w:szCs w:val="24"/>
        </w:rPr>
        <w:t>15.1在特殊情况下，代理机构于原磋商有效期满之前，可向供应商提出延长磋商有效期的要求。这种要求与答复均应采用书面形式。供应商可以拒绝代理机构的这一要求而放弃磋商，同意延长磋商有效期的供应商既不能要求也不允许修改其响应文件。受磋商有效期约束的所有权利与义务均延长至新的有效期。</w:t>
      </w:r>
    </w:p>
    <w:p w14:paraId="216FEDF9">
      <w:pPr>
        <w:keepNext/>
        <w:keepLines/>
        <w:spacing w:line="440" w:lineRule="exact"/>
        <w:outlineLvl w:val="2"/>
        <w:rPr>
          <w:b/>
          <w:bCs/>
          <w:color w:val="000000"/>
          <w:sz w:val="32"/>
          <w:szCs w:val="32"/>
        </w:rPr>
      </w:pPr>
      <w:bookmarkStart w:id="14" w:name="_Toc13280"/>
      <w:bookmarkStart w:id="15" w:name="_Toc159312651"/>
      <w:r>
        <w:rPr>
          <w:b/>
          <w:bCs/>
          <w:color w:val="000000"/>
          <w:sz w:val="32"/>
          <w:szCs w:val="32"/>
        </w:rPr>
        <w:t>四、响应文件的递交</w:t>
      </w:r>
      <w:bookmarkEnd w:id="14"/>
      <w:bookmarkEnd w:id="15"/>
    </w:p>
    <w:p w14:paraId="63A5F3D5">
      <w:pPr>
        <w:keepNext/>
        <w:keepLines/>
        <w:spacing w:line="440" w:lineRule="exact"/>
        <w:ind w:firstLine="138"/>
        <w:rPr>
          <w:b/>
          <w:color w:val="000000"/>
          <w:sz w:val="28"/>
          <w:szCs w:val="28"/>
        </w:rPr>
      </w:pPr>
      <w:r>
        <w:rPr>
          <w:rFonts w:hint="eastAsia"/>
          <w:b/>
          <w:color w:val="000000"/>
          <w:sz w:val="28"/>
          <w:szCs w:val="28"/>
        </w:rPr>
        <w:t>16</w:t>
      </w:r>
      <w:r>
        <w:rPr>
          <w:b/>
          <w:color w:val="000000"/>
          <w:sz w:val="28"/>
          <w:szCs w:val="28"/>
        </w:rPr>
        <w:t>、电子磋商响应文件的递交</w:t>
      </w:r>
    </w:p>
    <w:p w14:paraId="05381F65">
      <w:pPr>
        <w:spacing w:line="440" w:lineRule="exact"/>
        <w:ind w:firstLine="480"/>
        <w:rPr>
          <w:color w:val="000000"/>
          <w:sz w:val="24"/>
          <w:szCs w:val="24"/>
        </w:rPr>
      </w:pPr>
      <w:r>
        <w:rPr>
          <w:rFonts w:hint="eastAsia"/>
          <w:color w:val="000000"/>
          <w:sz w:val="24"/>
          <w:szCs w:val="24"/>
        </w:rPr>
        <w:t>16.1供应商应当按照《苏采云系统供应商操作手册》规定，在提交响应文件截止时间前制作并上传电子响应文件。</w:t>
      </w:r>
    </w:p>
    <w:p w14:paraId="05287380">
      <w:pPr>
        <w:keepNext/>
        <w:keepLines/>
        <w:spacing w:line="440" w:lineRule="exact"/>
        <w:ind w:firstLine="138"/>
        <w:rPr>
          <w:b/>
          <w:color w:val="000000"/>
          <w:sz w:val="28"/>
          <w:szCs w:val="28"/>
        </w:rPr>
      </w:pPr>
      <w:r>
        <w:rPr>
          <w:rFonts w:hint="eastAsia"/>
          <w:b/>
          <w:color w:val="000000"/>
          <w:sz w:val="28"/>
          <w:szCs w:val="28"/>
        </w:rPr>
        <w:t>17</w:t>
      </w:r>
      <w:r>
        <w:rPr>
          <w:b/>
          <w:color w:val="000000"/>
          <w:sz w:val="28"/>
          <w:szCs w:val="28"/>
        </w:rPr>
        <w:t>、提交响应文件截止时间</w:t>
      </w:r>
    </w:p>
    <w:p w14:paraId="11453BB0">
      <w:pPr>
        <w:spacing w:line="440" w:lineRule="exact"/>
        <w:ind w:firstLine="480"/>
        <w:rPr>
          <w:b/>
          <w:sz w:val="24"/>
          <w:szCs w:val="24"/>
        </w:rPr>
      </w:pPr>
      <w:r>
        <w:rPr>
          <w:rFonts w:hint="eastAsia"/>
          <w:b/>
          <w:color w:val="000000"/>
          <w:sz w:val="24"/>
          <w:szCs w:val="24"/>
        </w:rPr>
        <w:t>17.</w:t>
      </w:r>
      <w:r>
        <w:rPr>
          <w:b/>
          <w:color w:val="000000"/>
          <w:sz w:val="24"/>
          <w:szCs w:val="24"/>
        </w:rPr>
        <w:t>1供应商上传电子响应文件的时间不得迟于磋商公告中规定的提交响应文件截止时间。</w:t>
      </w:r>
    </w:p>
    <w:p w14:paraId="4096704A">
      <w:pPr>
        <w:spacing w:line="440" w:lineRule="exact"/>
        <w:ind w:firstLine="480"/>
        <w:rPr>
          <w:sz w:val="24"/>
          <w:szCs w:val="24"/>
        </w:rPr>
      </w:pPr>
      <w:r>
        <w:rPr>
          <w:color w:val="000000"/>
          <w:sz w:val="24"/>
          <w:szCs w:val="24"/>
        </w:rPr>
        <w:t>供应商应充分考虑到网络环境、网络带宽等风险因素，如因供应商自身原因造成的电子响应文件上传不成功的</w:t>
      </w:r>
      <w:r>
        <w:rPr>
          <w:rFonts w:hint="eastAsia"/>
          <w:color w:val="000000"/>
          <w:sz w:val="24"/>
          <w:szCs w:val="24"/>
        </w:rPr>
        <w:t>作</w:t>
      </w:r>
      <w:r>
        <w:rPr>
          <w:color w:val="000000"/>
          <w:sz w:val="24"/>
          <w:szCs w:val="24"/>
        </w:rPr>
        <w:t>无效响应处理。</w:t>
      </w:r>
    </w:p>
    <w:p w14:paraId="00D73CBA">
      <w:pPr>
        <w:spacing w:line="440" w:lineRule="exact"/>
        <w:ind w:firstLine="480"/>
        <w:rPr>
          <w:color w:val="000000"/>
          <w:sz w:val="24"/>
          <w:szCs w:val="24"/>
        </w:rPr>
      </w:pPr>
      <w:r>
        <w:rPr>
          <w:rFonts w:hint="eastAsia"/>
          <w:color w:val="000000"/>
          <w:sz w:val="24"/>
          <w:szCs w:val="24"/>
        </w:rPr>
        <w:t>17.2代理机构可以按照规定，通过修改磋商文件酌情延长提交响应文件截止日期，在此情况下，供应商的所有权利和义务以及供应商受制的截止日期均应以延长后新的截止日期为准。</w:t>
      </w:r>
    </w:p>
    <w:p w14:paraId="51AC9A57">
      <w:pPr>
        <w:keepNext/>
        <w:keepLines/>
        <w:spacing w:line="440" w:lineRule="exact"/>
        <w:ind w:firstLine="138"/>
        <w:rPr>
          <w:b/>
          <w:color w:val="000000"/>
          <w:sz w:val="28"/>
          <w:szCs w:val="28"/>
        </w:rPr>
      </w:pPr>
      <w:r>
        <w:rPr>
          <w:rFonts w:hint="eastAsia"/>
          <w:b/>
          <w:color w:val="000000"/>
          <w:sz w:val="28"/>
          <w:szCs w:val="28"/>
        </w:rPr>
        <w:t>18</w:t>
      </w:r>
      <w:r>
        <w:rPr>
          <w:b/>
          <w:color w:val="000000"/>
          <w:sz w:val="28"/>
          <w:szCs w:val="28"/>
        </w:rPr>
        <w:t>、响应文件的拒收</w:t>
      </w:r>
    </w:p>
    <w:p w14:paraId="601E45E7">
      <w:pPr>
        <w:spacing w:line="440" w:lineRule="exact"/>
        <w:ind w:firstLine="480"/>
        <w:rPr>
          <w:color w:val="000000"/>
          <w:sz w:val="24"/>
          <w:szCs w:val="24"/>
        </w:rPr>
      </w:pPr>
      <w:r>
        <w:rPr>
          <w:rFonts w:hint="eastAsia"/>
          <w:color w:val="000000"/>
          <w:sz w:val="24"/>
          <w:szCs w:val="24"/>
        </w:rPr>
        <w:t>18.1代理机构拒绝接收在其规定的提交响应文件截止时间后上传的任何电子响应文件。</w:t>
      </w:r>
    </w:p>
    <w:p w14:paraId="2FB7A2CE">
      <w:pPr>
        <w:keepNext/>
        <w:keepLines/>
        <w:spacing w:line="440" w:lineRule="exact"/>
        <w:ind w:firstLine="138"/>
        <w:rPr>
          <w:b/>
          <w:color w:val="000000"/>
          <w:sz w:val="28"/>
          <w:szCs w:val="28"/>
        </w:rPr>
      </w:pPr>
      <w:r>
        <w:rPr>
          <w:rFonts w:hint="eastAsia"/>
          <w:b/>
          <w:color w:val="000000"/>
          <w:sz w:val="28"/>
          <w:szCs w:val="28"/>
        </w:rPr>
        <w:t>19</w:t>
      </w:r>
      <w:r>
        <w:rPr>
          <w:b/>
          <w:color w:val="000000"/>
          <w:sz w:val="28"/>
          <w:szCs w:val="28"/>
        </w:rPr>
        <w:t>、响应文件的撤回和修改</w:t>
      </w:r>
    </w:p>
    <w:p w14:paraId="3C42F106">
      <w:pPr>
        <w:spacing w:line="440" w:lineRule="exact"/>
        <w:ind w:firstLine="480"/>
        <w:rPr>
          <w:color w:val="000000"/>
          <w:sz w:val="24"/>
          <w:szCs w:val="24"/>
        </w:rPr>
      </w:pPr>
      <w:r>
        <w:rPr>
          <w:rFonts w:hint="eastAsia"/>
          <w:color w:val="000000"/>
          <w:sz w:val="24"/>
          <w:szCs w:val="24"/>
        </w:rPr>
        <w:t>19.1响应文件的撤回</w:t>
      </w:r>
    </w:p>
    <w:p w14:paraId="2CEB8815">
      <w:pPr>
        <w:spacing w:line="440" w:lineRule="exact"/>
        <w:ind w:firstLine="787"/>
        <w:rPr>
          <w:sz w:val="24"/>
          <w:szCs w:val="24"/>
        </w:rPr>
      </w:pPr>
      <w:r>
        <w:rPr>
          <w:rFonts w:hint="eastAsia"/>
          <w:color w:val="000000"/>
          <w:sz w:val="24"/>
          <w:szCs w:val="24"/>
        </w:rPr>
        <w:t>19</w:t>
      </w:r>
      <w:r>
        <w:rPr>
          <w:color w:val="000000"/>
          <w:sz w:val="24"/>
          <w:szCs w:val="24"/>
        </w:rPr>
        <w:t>.1.1电子响应文件的撤回</w:t>
      </w:r>
    </w:p>
    <w:p w14:paraId="479CE272">
      <w:pPr>
        <w:spacing w:line="440" w:lineRule="exact"/>
        <w:ind w:firstLine="787"/>
        <w:rPr>
          <w:sz w:val="24"/>
          <w:szCs w:val="24"/>
        </w:rPr>
      </w:pPr>
      <w:r>
        <w:rPr>
          <w:color w:val="000000"/>
          <w:sz w:val="24"/>
          <w:szCs w:val="24"/>
        </w:rPr>
        <w:t>供应商可在提交响应文件截止时间前，撤回其电子响应文件，具体操作方法见《</w:t>
      </w:r>
      <w:r>
        <w:rPr>
          <w:sz w:val="24"/>
          <w:szCs w:val="24"/>
        </w:rPr>
        <w:t>苏采云系统供应商操作手册</w:t>
      </w:r>
      <w:r>
        <w:rPr>
          <w:color w:val="000000"/>
          <w:sz w:val="24"/>
          <w:szCs w:val="24"/>
        </w:rPr>
        <w:t>》。</w:t>
      </w:r>
    </w:p>
    <w:p w14:paraId="555F60A1">
      <w:pPr>
        <w:spacing w:line="440" w:lineRule="exact"/>
        <w:ind w:firstLine="787"/>
        <w:rPr>
          <w:color w:val="000000"/>
          <w:sz w:val="24"/>
          <w:szCs w:val="24"/>
        </w:rPr>
      </w:pPr>
      <w:r>
        <w:rPr>
          <w:rFonts w:hint="eastAsia"/>
          <w:color w:val="000000"/>
          <w:sz w:val="24"/>
          <w:szCs w:val="24"/>
        </w:rPr>
        <w:t>19</w:t>
      </w:r>
      <w:r>
        <w:rPr>
          <w:color w:val="000000"/>
          <w:sz w:val="24"/>
          <w:szCs w:val="24"/>
        </w:rPr>
        <w:t>.1.2供应商撤回电子响应文件，则认为其不再参与本项目磋商活动。</w:t>
      </w:r>
    </w:p>
    <w:p w14:paraId="2242A36A">
      <w:pPr>
        <w:spacing w:line="440" w:lineRule="exact"/>
        <w:ind w:firstLine="480"/>
        <w:rPr>
          <w:color w:val="000000"/>
          <w:sz w:val="24"/>
          <w:szCs w:val="24"/>
        </w:rPr>
      </w:pPr>
      <w:r>
        <w:rPr>
          <w:rFonts w:hint="eastAsia"/>
          <w:color w:val="000000"/>
          <w:sz w:val="24"/>
          <w:szCs w:val="24"/>
        </w:rPr>
        <w:t>19.2响应文件的修改</w:t>
      </w:r>
    </w:p>
    <w:p w14:paraId="102024BB">
      <w:pPr>
        <w:spacing w:line="440" w:lineRule="exact"/>
        <w:ind w:firstLine="787"/>
        <w:rPr>
          <w:sz w:val="24"/>
          <w:szCs w:val="24"/>
        </w:rPr>
      </w:pPr>
      <w:r>
        <w:rPr>
          <w:color w:val="000000"/>
          <w:sz w:val="24"/>
          <w:szCs w:val="24"/>
        </w:rPr>
        <w:t>供应商可在提交响应文件截止时间前，对其电子响应文件进行修改，具体操作方法见《</w:t>
      </w:r>
      <w:r>
        <w:rPr>
          <w:sz w:val="24"/>
          <w:szCs w:val="24"/>
        </w:rPr>
        <w:t>苏采云系统供应商操作手册</w:t>
      </w:r>
      <w:r>
        <w:rPr>
          <w:color w:val="000000"/>
          <w:sz w:val="24"/>
          <w:szCs w:val="24"/>
        </w:rPr>
        <w:t>》。</w:t>
      </w:r>
    </w:p>
    <w:p w14:paraId="12BA507B">
      <w:pPr>
        <w:spacing w:line="440" w:lineRule="exact"/>
        <w:ind w:firstLine="480"/>
        <w:rPr>
          <w:color w:val="000000"/>
          <w:sz w:val="24"/>
          <w:szCs w:val="24"/>
        </w:rPr>
      </w:pPr>
      <w:r>
        <w:rPr>
          <w:rFonts w:hint="eastAsia"/>
          <w:color w:val="000000"/>
          <w:sz w:val="24"/>
          <w:szCs w:val="24"/>
        </w:rPr>
        <w:t>19.3在提交响应文件截止时间之后，供应商不得对其电子响应文件作任何修改。</w:t>
      </w:r>
    </w:p>
    <w:p w14:paraId="0AE2515D">
      <w:pPr>
        <w:spacing w:line="440" w:lineRule="exact"/>
        <w:ind w:firstLine="480"/>
        <w:rPr>
          <w:color w:val="000000"/>
          <w:sz w:val="24"/>
          <w:szCs w:val="24"/>
        </w:rPr>
      </w:pPr>
      <w:r>
        <w:rPr>
          <w:rFonts w:hint="eastAsia"/>
          <w:color w:val="000000"/>
          <w:sz w:val="24"/>
          <w:szCs w:val="24"/>
        </w:rPr>
        <w:t>19.4在提交响应文件截止时间至磋商文件中规定的磋商有效期满之间的这段时间内，供应商不得撤回其响应文件。</w:t>
      </w:r>
    </w:p>
    <w:p w14:paraId="08E58351">
      <w:pPr>
        <w:keepNext/>
        <w:keepLines/>
        <w:spacing w:line="440" w:lineRule="exact"/>
        <w:outlineLvl w:val="2"/>
        <w:rPr>
          <w:b/>
          <w:bCs/>
          <w:color w:val="000000"/>
          <w:sz w:val="32"/>
          <w:szCs w:val="32"/>
        </w:rPr>
      </w:pPr>
      <w:bookmarkStart w:id="16" w:name="_Toc159312652"/>
      <w:bookmarkStart w:id="17" w:name="_Toc17642"/>
      <w:r>
        <w:rPr>
          <w:b/>
          <w:bCs/>
          <w:color w:val="000000"/>
          <w:sz w:val="32"/>
          <w:szCs w:val="32"/>
        </w:rPr>
        <w:t>五</w:t>
      </w:r>
      <w:r>
        <w:rPr>
          <w:rFonts w:hint="eastAsia"/>
          <w:b/>
          <w:bCs/>
          <w:color w:val="000000"/>
          <w:sz w:val="32"/>
          <w:szCs w:val="32"/>
        </w:rPr>
        <w:t>、磋商与评审</w:t>
      </w:r>
      <w:bookmarkEnd w:id="16"/>
      <w:bookmarkEnd w:id="17"/>
    </w:p>
    <w:p w14:paraId="2FA643D8">
      <w:pPr>
        <w:keepNext/>
        <w:keepLines/>
        <w:spacing w:line="440" w:lineRule="exact"/>
        <w:ind w:firstLine="138"/>
        <w:rPr>
          <w:b/>
          <w:color w:val="000000"/>
          <w:sz w:val="28"/>
          <w:szCs w:val="28"/>
        </w:rPr>
      </w:pPr>
      <w:r>
        <w:rPr>
          <w:rFonts w:hint="eastAsia"/>
          <w:b/>
          <w:color w:val="000000"/>
          <w:sz w:val="28"/>
          <w:szCs w:val="28"/>
        </w:rPr>
        <w:t>20、开标</w:t>
      </w:r>
    </w:p>
    <w:p w14:paraId="12F57CCA">
      <w:pPr>
        <w:spacing w:line="440" w:lineRule="exact"/>
        <w:ind w:firstLine="480"/>
        <w:rPr>
          <w:color w:val="000000"/>
          <w:sz w:val="24"/>
          <w:szCs w:val="24"/>
        </w:rPr>
      </w:pPr>
      <w:r>
        <w:rPr>
          <w:rFonts w:hint="eastAsia"/>
          <w:color w:val="000000"/>
          <w:sz w:val="24"/>
          <w:szCs w:val="24"/>
        </w:rPr>
        <w:t>20.1代理机构将在磋商公告中规定的时间和地点组织公开开标。供应商应当按照《苏采云系统供应商操作手册》规定，参加开标活动和在苏采云系统规定的时间内对响应文件进行解密。</w:t>
      </w:r>
    </w:p>
    <w:p w14:paraId="720B7CC7">
      <w:pPr>
        <w:spacing w:line="440" w:lineRule="exact"/>
        <w:ind w:firstLine="480"/>
        <w:rPr>
          <w:color w:val="000000"/>
          <w:sz w:val="24"/>
          <w:szCs w:val="24"/>
        </w:rPr>
      </w:pPr>
      <w:r>
        <w:rPr>
          <w:rFonts w:hint="eastAsia"/>
          <w:color w:val="000000"/>
          <w:sz w:val="24"/>
          <w:szCs w:val="24"/>
        </w:rPr>
        <w:t>20.2开标仪式由代理机构组织。苏采云系统将自动对项目进行开标，并宣布各供应商名称。</w:t>
      </w:r>
    </w:p>
    <w:p w14:paraId="543B0587">
      <w:pPr>
        <w:spacing w:line="440" w:lineRule="exact"/>
        <w:ind w:firstLine="480"/>
        <w:rPr>
          <w:color w:val="000000"/>
          <w:sz w:val="24"/>
          <w:szCs w:val="24"/>
        </w:rPr>
      </w:pPr>
      <w:r>
        <w:rPr>
          <w:rFonts w:hint="eastAsia"/>
          <w:color w:val="000000"/>
          <w:sz w:val="24"/>
          <w:szCs w:val="24"/>
        </w:rPr>
        <w:t>20.3供应商在开标过程中涉及到的响应文件解密、开标结果确认等工作，应按照《苏采云系统供应商操作手册》规定执行。</w:t>
      </w:r>
    </w:p>
    <w:p w14:paraId="301DE43C">
      <w:pPr>
        <w:spacing w:line="440" w:lineRule="exact"/>
        <w:ind w:firstLine="480"/>
        <w:rPr>
          <w:color w:val="000000"/>
          <w:sz w:val="24"/>
          <w:szCs w:val="24"/>
        </w:rPr>
      </w:pPr>
      <w:r>
        <w:rPr>
          <w:rFonts w:hint="eastAsia"/>
          <w:color w:val="000000"/>
          <w:sz w:val="24"/>
          <w:szCs w:val="24"/>
        </w:rPr>
        <w:t>20.4供应商如果对开标过程和开标记录有疑义，应当根据《操作手册》规定提出。</w:t>
      </w:r>
    </w:p>
    <w:p w14:paraId="01C41C8B">
      <w:pPr>
        <w:keepNext/>
        <w:keepLines/>
        <w:spacing w:line="440" w:lineRule="exact"/>
        <w:ind w:firstLine="138"/>
        <w:rPr>
          <w:b/>
          <w:color w:val="000000"/>
          <w:sz w:val="28"/>
          <w:szCs w:val="28"/>
        </w:rPr>
      </w:pPr>
      <w:r>
        <w:rPr>
          <w:rFonts w:hint="eastAsia"/>
          <w:b/>
          <w:color w:val="000000"/>
          <w:sz w:val="28"/>
          <w:szCs w:val="28"/>
        </w:rPr>
        <w:t>21、磋商小组</w:t>
      </w:r>
    </w:p>
    <w:p w14:paraId="4BB3C9AB">
      <w:pPr>
        <w:spacing w:line="440" w:lineRule="exact"/>
        <w:ind w:firstLine="480"/>
        <w:rPr>
          <w:color w:val="000000"/>
          <w:sz w:val="24"/>
          <w:szCs w:val="24"/>
        </w:rPr>
      </w:pPr>
      <w:r>
        <w:rPr>
          <w:rFonts w:hint="eastAsia"/>
          <w:color w:val="000000"/>
          <w:sz w:val="24"/>
          <w:szCs w:val="24"/>
        </w:rPr>
        <w:t>21.1代理机构依法组建磋商小组与供应商就采购具体事宜分别进行磋商。</w:t>
      </w:r>
    </w:p>
    <w:p w14:paraId="1BBDCF3A">
      <w:pPr>
        <w:spacing w:line="440" w:lineRule="exact"/>
        <w:ind w:firstLine="480"/>
        <w:rPr>
          <w:color w:val="000000"/>
          <w:sz w:val="24"/>
          <w:szCs w:val="24"/>
        </w:rPr>
      </w:pPr>
      <w:r>
        <w:rPr>
          <w:rFonts w:hint="eastAsia"/>
          <w:color w:val="000000"/>
          <w:sz w:val="24"/>
          <w:szCs w:val="24"/>
        </w:rPr>
        <w:t>21.2磋商小组由采购人代表和评审专家共三人以上单数组成。</w:t>
      </w:r>
    </w:p>
    <w:p w14:paraId="61013DA4">
      <w:pPr>
        <w:spacing w:line="440" w:lineRule="exact"/>
        <w:ind w:firstLine="480"/>
        <w:rPr>
          <w:color w:val="000000"/>
          <w:sz w:val="24"/>
          <w:szCs w:val="24"/>
        </w:rPr>
      </w:pPr>
      <w:r>
        <w:rPr>
          <w:rFonts w:hint="eastAsia"/>
          <w:color w:val="000000"/>
          <w:sz w:val="24"/>
          <w:szCs w:val="24"/>
        </w:rPr>
        <w:t>21.3磋商小组负责对响应文件的有效性、完整性和响应程度进行审查，对提交最后报价的供应商的响应文件和最后报价进行综合评分，并推荐成交候选供应商。</w:t>
      </w:r>
    </w:p>
    <w:p w14:paraId="186FACF1">
      <w:pPr>
        <w:spacing w:line="440" w:lineRule="exact"/>
        <w:ind w:firstLine="480"/>
        <w:rPr>
          <w:color w:val="000000"/>
          <w:sz w:val="24"/>
          <w:szCs w:val="24"/>
        </w:rPr>
      </w:pPr>
      <w:r>
        <w:rPr>
          <w:rFonts w:hint="eastAsia"/>
          <w:color w:val="000000"/>
          <w:sz w:val="24"/>
          <w:szCs w:val="24"/>
        </w:rPr>
        <w:t>21.4磋商小组将对供应商的商业、技术秘密等予以保密。</w:t>
      </w:r>
    </w:p>
    <w:p w14:paraId="03D8380E">
      <w:pPr>
        <w:keepNext/>
        <w:keepLines/>
        <w:spacing w:line="440" w:lineRule="exact"/>
        <w:ind w:firstLine="138"/>
        <w:rPr>
          <w:b/>
          <w:color w:val="000000"/>
          <w:sz w:val="28"/>
          <w:szCs w:val="28"/>
        </w:rPr>
      </w:pPr>
      <w:r>
        <w:rPr>
          <w:rFonts w:hint="eastAsia"/>
          <w:b/>
          <w:color w:val="000000"/>
          <w:sz w:val="28"/>
          <w:szCs w:val="28"/>
        </w:rPr>
        <w:t>22、评审过程的保密与公正</w:t>
      </w:r>
    </w:p>
    <w:p w14:paraId="08962484">
      <w:pPr>
        <w:spacing w:line="440" w:lineRule="exact"/>
        <w:ind w:firstLine="480"/>
        <w:rPr>
          <w:color w:val="000000"/>
          <w:sz w:val="24"/>
          <w:szCs w:val="24"/>
        </w:rPr>
      </w:pPr>
      <w:r>
        <w:rPr>
          <w:rFonts w:hint="eastAsia"/>
          <w:color w:val="000000"/>
          <w:sz w:val="24"/>
          <w:szCs w:val="24"/>
        </w:rPr>
        <w:t>22.1磋商小组、采购人和代理机构工作人员、相关监督人员等与评审工作有关的人员，对评审情况以及在评审过程中获悉的国家秘密、商业秘密负有保密责任。</w:t>
      </w:r>
    </w:p>
    <w:p w14:paraId="671BF4AB">
      <w:pPr>
        <w:spacing w:line="440" w:lineRule="exact"/>
        <w:ind w:firstLine="480"/>
        <w:rPr>
          <w:color w:val="000000"/>
          <w:sz w:val="24"/>
          <w:szCs w:val="24"/>
        </w:rPr>
      </w:pPr>
      <w:r>
        <w:rPr>
          <w:rFonts w:hint="eastAsia"/>
          <w:color w:val="000000"/>
          <w:sz w:val="24"/>
          <w:szCs w:val="24"/>
        </w:rPr>
        <w:t>22.2在评审过程中，供应商不得以任何行为影响磋商评审过程，否则其响应文件将被作为无效响应文件。</w:t>
      </w:r>
    </w:p>
    <w:p w14:paraId="64FA325B">
      <w:pPr>
        <w:spacing w:line="440" w:lineRule="exact"/>
        <w:ind w:firstLine="480"/>
        <w:rPr>
          <w:color w:val="000000"/>
          <w:sz w:val="24"/>
          <w:szCs w:val="24"/>
        </w:rPr>
      </w:pPr>
      <w:r>
        <w:rPr>
          <w:rFonts w:hint="eastAsia"/>
          <w:color w:val="000000"/>
          <w:sz w:val="24"/>
          <w:szCs w:val="24"/>
        </w:rPr>
        <w:t>22.3在项目评审期间，代理机构将设专门人员与供应商联系。</w:t>
      </w:r>
    </w:p>
    <w:p w14:paraId="1C9D72A5">
      <w:pPr>
        <w:spacing w:line="440" w:lineRule="exact"/>
        <w:ind w:firstLine="480"/>
        <w:rPr>
          <w:color w:val="000000"/>
          <w:sz w:val="24"/>
          <w:szCs w:val="24"/>
        </w:rPr>
      </w:pPr>
      <w:r>
        <w:rPr>
          <w:rFonts w:hint="eastAsia"/>
          <w:color w:val="000000"/>
          <w:sz w:val="24"/>
          <w:szCs w:val="24"/>
        </w:rPr>
        <w:t>22.4代理机构和磋商小组不向未成交的供应商解释未成交原因，也不公布评审过程中的相关细节。</w:t>
      </w:r>
    </w:p>
    <w:p w14:paraId="1F57C377">
      <w:pPr>
        <w:keepNext/>
        <w:keepLines/>
        <w:spacing w:line="440" w:lineRule="exact"/>
        <w:ind w:firstLine="138"/>
        <w:rPr>
          <w:b/>
          <w:color w:val="000000"/>
          <w:sz w:val="28"/>
          <w:szCs w:val="28"/>
        </w:rPr>
      </w:pPr>
      <w:r>
        <w:rPr>
          <w:rFonts w:hint="eastAsia"/>
          <w:b/>
          <w:color w:val="000000"/>
          <w:sz w:val="28"/>
          <w:szCs w:val="28"/>
        </w:rPr>
        <w:t>23、评审过程中的的澄清</w:t>
      </w:r>
    </w:p>
    <w:p w14:paraId="6BC3F0D4">
      <w:pPr>
        <w:spacing w:line="440" w:lineRule="exact"/>
        <w:ind w:firstLine="480"/>
        <w:rPr>
          <w:color w:val="000000"/>
          <w:sz w:val="24"/>
          <w:szCs w:val="24"/>
        </w:rPr>
      </w:pPr>
      <w:r>
        <w:rPr>
          <w:rFonts w:hint="eastAsia"/>
          <w:color w:val="000000"/>
          <w:sz w:val="24"/>
          <w:szCs w:val="24"/>
        </w:rPr>
        <w:t>23.1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58128627">
      <w:pPr>
        <w:spacing w:line="440" w:lineRule="exact"/>
        <w:ind w:firstLine="480"/>
        <w:rPr>
          <w:color w:val="000000"/>
          <w:sz w:val="24"/>
          <w:szCs w:val="24"/>
        </w:rPr>
      </w:pPr>
      <w:r>
        <w:rPr>
          <w:rFonts w:hint="eastAsia"/>
          <w:color w:val="000000"/>
          <w:sz w:val="24"/>
          <w:szCs w:val="24"/>
        </w:rPr>
        <w:t>磋商小组并非对每个供应商都作澄清要求。</w:t>
      </w:r>
    </w:p>
    <w:p w14:paraId="48A6C954">
      <w:pPr>
        <w:spacing w:line="440" w:lineRule="exact"/>
        <w:ind w:firstLine="480"/>
        <w:rPr>
          <w:color w:val="000000"/>
          <w:sz w:val="24"/>
          <w:szCs w:val="24"/>
        </w:rPr>
      </w:pPr>
      <w:r>
        <w:rPr>
          <w:rFonts w:hint="eastAsia"/>
          <w:color w:val="000000"/>
          <w:sz w:val="24"/>
          <w:szCs w:val="24"/>
        </w:rPr>
        <w:t>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203DC2EC">
      <w:pPr>
        <w:spacing w:line="440" w:lineRule="exact"/>
        <w:ind w:firstLine="480"/>
        <w:rPr>
          <w:color w:val="000000"/>
          <w:sz w:val="24"/>
          <w:szCs w:val="24"/>
        </w:rPr>
      </w:pPr>
      <w:r>
        <w:rPr>
          <w:rFonts w:hint="eastAsia"/>
          <w:color w:val="000000"/>
          <w:sz w:val="24"/>
          <w:szCs w:val="24"/>
        </w:rPr>
        <w:t>23.3接到磋商小组澄清、说明和更正要求的供应商如未按规定做出澄清、说明和更正，其风险由供应商自行承担。</w:t>
      </w:r>
    </w:p>
    <w:p w14:paraId="7B7CA17F">
      <w:pPr>
        <w:keepNext/>
        <w:keepLines/>
        <w:spacing w:line="440" w:lineRule="exact"/>
        <w:ind w:firstLine="138"/>
        <w:rPr>
          <w:b/>
          <w:color w:val="000000"/>
          <w:sz w:val="28"/>
          <w:szCs w:val="28"/>
        </w:rPr>
      </w:pPr>
      <w:r>
        <w:rPr>
          <w:rFonts w:hint="eastAsia"/>
          <w:b/>
          <w:color w:val="000000"/>
          <w:sz w:val="28"/>
          <w:szCs w:val="28"/>
        </w:rPr>
        <w:t>24、对响应文件的审查</w:t>
      </w:r>
    </w:p>
    <w:p w14:paraId="63956ECC">
      <w:pPr>
        <w:spacing w:line="440" w:lineRule="exact"/>
        <w:ind w:firstLine="480"/>
        <w:rPr>
          <w:color w:val="000000"/>
          <w:sz w:val="24"/>
          <w:szCs w:val="24"/>
        </w:rPr>
      </w:pPr>
      <w:r>
        <w:rPr>
          <w:rFonts w:hint="eastAsia"/>
          <w:color w:val="000000"/>
          <w:sz w:val="24"/>
          <w:szCs w:val="24"/>
        </w:rPr>
        <w:t>24.1响应文件审查分为资格审查和符合性审查。</w:t>
      </w:r>
    </w:p>
    <w:p w14:paraId="2B08665F">
      <w:pPr>
        <w:spacing w:line="440" w:lineRule="exact"/>
        <w:ind w:firstLine="787"/>
        <w:rPr>
          <w:color w:val="000000"/>
          <w:sz w:val="24"/>
          <w:szCs w:val="24"/>
        </w:rPr>
      </w:pPr>
      <w:r>
        <w:rPr>
          <w:rFonts w:hint="eastAsia"/>
          <w:color w:val="000000"/>
          <w:sz w:val="24"/>
          <w:szCs w:val="24"/>
        </w:rPr>
        <w:t>24</w:t>
      </w:r>
      <w:r>
        <w:rPr>
          <w:color w:val="000000"/>
          <w:sz w:val="24"/>
          <w:szCs w:val="24"/>
        </w:rPr>
        <w:t>.1.1资格审查：由磋商小组依据法律法规和磋商文件的规定，对响应文件中的资格证明文件进行审查，以确定供应商是否具备参加磋商的资格。</w:t>
      </w:r>
    </w:p>
    <w:p w14:paraId="0BD650C7">
      <w:pPr>
        <w:spacing w:line="440" w:lineRule="exact"/>
        <w:ind w:firstLine="787"/>
        <w:rPr>
          <w:color w:val="000000"/>
          <w:sz w:val="24"/>
          <w:szCs w:val="24"/>
        </w:rPr>
      </w:pPr>
      <w:r>
        <w:rPr>
          <w:color w:val="000000"/>
          <w:sz w:val="24"/>
          <w:szCs w:val="24"/>
        </w:rPr>
        <w:t>磋商小组在进行资格审查的同时，将在“信用中国”网站（www.creditchina.gov.cn）查询供应商的信用记录，以确定供应商是否具备磋商资格</w:t>
      </w:r>
      <w:r>
        <w:rPr>
          <w:rFonts w:hint="eastAsia"/>
          <w:color w:val="000000"/>
          <w:sz w:val="24"/>
          <w:szCs w:val="24"/>
        </w:rPr>
        <w:t>，</w:t>
      </w:r>
      <w:r>
        <w:rPr>
          <w:color w:val="000000"/>
          <w:sz w:val="24"/>
          <w:szCs w:val="24"/>
        </w:rPr>
        <w:t>查询结果留存并归档。</w:t>
      </w:r>
    </w:p>
    <w:p w14:paraId="6A5B22F4">
      <w:pPr>
        <w:spacing w:line="440" w:lineRule="exact"/>
        <w:ind w:firstLine="787"/>
        <w:rPr>
          <w:color w:val="000000"/>
          <w:sz w:val="24"/>
          <w:szCs w:val="24"/>
        </w:rPr>
      </w:pPr>
      <w:r>
        <w:rPr>
          <w:color w:val="000000"/>
          <w:sz w:val="24"/>
          <w:szCs w:val="24"/>
        </w:rPr>
        <w:t>接受联合体的项目，两个以上的自然人、法人或者其他组织组成一个联合体，以一个供应商的身份共同参加政府采购活动的</w:t>
      </w:r>
      <w:r>
        <w:rPr>
          <w:rFonts w:hint="eastAsia"/>
          <w:color w:val="000000"/>
          <w:sz w:val="24"/>
          <w:szCs w:val="24"/>
        </w:rPr>
        <w:t>，</w:t>
      </w:r>
      <w:r>
        <w:rPr>
          <w:color w:val="000000"/>
          <w:sz w:val="24"/>
          <w:szCs w:val="24"/>
        </w:rPr>
        <w:t>联合体成员中任何一方存在不良信用记录的，视同联合体存在不良应用记录。</w:t>
      </w:r>
    </w:p>
    <w:p w14:paraId="19849060">
      <w:pPr>
        <w:spacing w:line="440" w:lineRule="exact"/>
        <w:ind w:firstLine="787"/>
        <w:rPr>
          <w:color w:val="000000"/>
          <w:sz w:val="24"/>
          <w:szCs w:val="24"/>
        </w:rPr>
      </w:pPr>
      <w:r>
        <w:rPr>
          <w:rFonts w:hint="eastAsia"/>
          <w:color w:val="000000"/>
          <w:sz w:val="24"/>
          <w:szCs w:val="24"/>
        </w:rPr>
        <w:t>24</w:t>
      </w:r>
      <w:r>
        <w:rPr>
          <w:color w:val="000000"/>
          <w:sz w:val="24"/>
          <w:szCs w:val="24"/>
        </w:rPr>
        <w:t>.1.2符合性审查：依据磋商文件的规定，由磋商小组从响应文件的有效性、完整性和对磋商文件的响应程度进行审查，以确定是否对磋商文件的实质性要求作出响应。</w:t>
      </w:r>
    </w:p>
    <w:p w14:paraId="0B15971F">
      <w:pPr>
        <w:spacing w:line="440" w:lineRule="exact"/>
        <w:ind w:firstLine="787"/>
        <w:rPr>
          <w:color w:val="000000"/>
          <w:sz w:val="24"/>
          <w:szCs w:val="24"/>
        </w:rPr>
      </w:pPr>
      <w:r>
        <w:rPr>
          <w:rFonts w:hint="eastAsia"/>
          <w:color w:val="000000"/>
          <w:sz w:val="24"/>
          <w:szCs w:val="24"/>
        </w:rPr>
        <w:t>24</w:t>
      </w:r>
      <w:r>
        <w:rPr>
          <w:color w:val="000000"/>
          <w:sz w:val="24"/>
          <w:szCs w:val="24"/>
        </w:rPr>
        <w:t>.1.3未通过资格审查或符合性审查的供应商，磋商小组将在苏采云系统中告知未通过资格审查或符合性审查的原因，评审结束后，磋商小组将不再告知未通过资格审查或符合性审查的原因。</w:t>
      </w:r>
    </w:p>
    <w:p w14:paraId="07FD4EB2">
      <w:pPr>
        <w:spacing w:line="440" w:lineRule="exact"/>
        <w:ind w:firstLine="480"/>
        <w:rPr>
          <w:color w:val="000000"/>
          <w:sz w:val="24"/>
          <w:szCs w:val="24"/>
        </w:rPr>
      </w:pPr>
      <w:r>
        <w:rPr>
          <w:rFonts w:hint="eastAsia"/>
          <w:color w:val="000000"/>
          <w:sz w:val="24"/>
          <w:szCs w:val="24"/>
        </w:rPr>
        <w:t>24.2在详细评审之前，磋商小组将首先审查每份响应文件是否实质性响应了磋商文件的要求。实质性响应的响应文件应该是与磋商文件要求的条款、条件和规格相符，没有重大偏离或保留。</w:t>
      </w:r>
    </w:p>
    <w:p w14:paraId="26C10C48">
      <w:pPr>
        <w:spacing w:line="440" w:lineRule="exact"/>
        <w:ind w:firstLine="480"/>
        <w:rPr>
          <w:color w:val="000000"/>
          <w:sz w:val="24"/>
          <w:szCs w:val="24"/>
        </w:rPr>
      </w:pPr>
      <w:r>
        <w:rPr>
          <w:color w:val="000000"/>
          <w:sz w:val="24"/>
          <w:szCs w:val="24"/>
        </w:rPr>
        <w:t>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6E97E96F">
      <w:pPr>
        <w:spacing w:line="440" w:lineRule="exact"/>
        <w:ind w:firstLine="480"/>
        <w:rPr>
          <w:color w:val="000000"/>
          <w:sz w:val="24"/>
          <w:szCs w:val="24"/>
        </w:rPr>
      </w:pPr>
      <w:r>
        <w:rPr>
          <w:rFonts w:hint="eastAsia"/>
          <w:color w:val="000000"/>
          <w:sz w:val="24"/>
          <w:szCs w:val="24"/>
        </w:rPr>
        <w:t>24.3如果响应文件实质上没有响应磋商文件的要求，评委会将予以拒绝，供应商不得通过修改或撤销不合要求的偏离或保留而使其投标成为实质性响应的投标。</w:t>
      </w:r>
    </w:p>
    <w:p w14:paraId="42355DE2">
      <w:pPr>
        <w:spacing w:line="440" w:lineRule="exact"/>
        <w:ind w:firstLine="480"/>
        <w:rPr>
          <w:color w:val="000000"/>
          <w:sz w:val="24"/>
          <w:szCs w:val="24"/>
        </w:rPr>
      </w:pPr>
      <w:r>
        <w:rPr>
          <w:rFonts w:hint="eastAsia"/>
          <w:color w:val="000000"/>
          <w:sz w:val="24"/>
          <w:szCs w:val="24"/>
        </w:rPr>
        <w:t>24.4评委会将对确定为实质性响应的响应文件进行进一步审核，看其是否有计算上或累加上的算术错误，修正错误的原则如下：</w:t>
      </w:r>
    </w:p>
    <w:p w14:paraId="3A2A02F7">
      <w:pPr>
        <w:spacing w:line="460" w:lineRule="exact"/>
        <w:ind w:firstLine="480"/>
        <w:rPr>
          <w:bCs/>
          <w:color w:val="000000"/>
          <w:sz w:val="24"/>
          <w:szCs w:val="21"/>
        </w:rPr>
      </w:pPr>
      <w:r>
        <w:rPr>
          <w:rFonts w:hint="eastAsia"/>
          <w:bCs/>
          <w:color w:val="000000"/>
          <w:sz w:val="24"/>
          <w:szCs w:val="21"/>
        </w:rPr>
        <w:t>（1）响应文件中报价一览表内容与响应文件中相应内容不一致的，以报价一览表为准。</w:t>
      </w:r>
    </w:p>
    <w:p w14:paraId="7324C72A">
      <w:pPr>
        <w:spacing w:line="460" w:lineRule="exact"/>
        <w:ind w:firstLine="480"/>
        <w:rPr>
          <w:bCs/>
          <w:color w:val="000000"/>
          <w:sz w:val="24"/>
          <w:szCs w:val="21"/>
        </w:rPr>
      </w:pPr>
      <w:r>
        <w:rPr>
          <w:rFonts w:hint="eastAsia"/>
          <w:bCs/>
          <w:color w:val="000000"/>
          <w:sz w:val="24"/>
          <w:szCs w:val="21"/>
        </w:rPr>
        <w:t>（2）大写金额和小写金额不一致的，以大写金额为准。</w:t>
      </w:r>
    </w:p>
    <w:p w14:paraId="4FF96A4D">
      <w:pPr>
        <w:spacing w:line="460" w:lineRule="exact"/>
        <w:ind w:firstLine="480"/>
        <w:rPr>
          <w:bCs/>
          <w:color w:val="000000"/>
          <w:sz w:val="24"/>
          <w:szCs w:val="21"/>
        </w:rPr>
      </w:pPr>
      <w:r>
        <w:rPr>
          <w:rFonts w:hint="eastAsia"/>
          <w:bCs/>
          <w:color w:val="000000"/>
          <w:sz w:val="24"/>
          <w:szCs w:val="21"/>
        </w:rPr>
        <w:t>（3）单价金额小数点或者百分比有明显错位的，以报价一览表的总价为准，并修改单价。</w:t>
      </w:r>
    </w:p>
    <w:p w14:paraId="0436C3E5">
      <w:pPr>
        <w:spacing w:line="460" w:lineRule="exact"/>
        <w:ind w:firstLine="480"/>
        <w:rPr>
          <w:bCs/>
          <w:color w:val="000000"/>
          <w:sz w:val="24"/>
          <w:szCs w:val="21"/>
        </w:rPr>
      </w:pPr>
      <w:r>
        <w:rPr>
          <w:rFonts w:hint="eastAsia"/>
          <w:bCs/>
          <w:color w:val="000000"/>
          <w:sz w:val="24"/>
          <w:szCs w:val="21"/>
        </w:rPr>
        <w:t>（4）总价金额与按单价汇总金额不一致的，以单价金额计算结果为准。</w:t>
      </w:r>
    </w:p>
    <w:p w14:paraId="52344DA4">
      <w:pPr>
        <w:spacing w:line="460" w:lineRule="exact"/>
        <w:ind w:firstLine="720"/>
        <w:rPr>
          <w:bCs/>
          <w:color w:val="000000"/>
          <w:sz w:val="24"/>
          <w:szCs w:val="21"/>
        </w:rPr>
      </w:pPr>
      <w:r>
        <w:rPr>
          <w:rFonts w:hint="eastAsia"/>
          <w:bCs/>
          <w:color w:val="000000"/>
          <w:sz w:val="24"/>
          <w:szCs w:val="21"/>
        </w:rPr>
        <w:t>同时出现两种以上错误的，按照前款规定的顺序修正。</w:t>
      </w:r>
    </w:p>
    <w:p w14:paraId="6652F01D">
      <w:pPr>
        <w:spacing w:line="440" w:lineRule="exact"/>
        <w:ind w:firstLine="480"/>
        <w:rPr>
          <w:color w:val="000000"/>
          <w:sz w:val="24"/>
          <w:szCs w:val="24"/>
        </w:rPr>
      </w:pPr>
      <w:r>
        <w:rPr>
          <w:rFonts w:hint="eastAsia"/>
          <w:color w:val="000000"/>
          <w:sz w:val="24"/>
          <w:szCs w:val="24"/>
        </w:rPr>
        <w:t>24.5评委会将按上述修正错误的方法调整响应文件中的报价价格，并通过苏采云系统告知供应商，调整后的价格应对供应商具有约束力。如果供应商不接受修正后的价格，则其投标将被拒绝。</w:t>
      </w:r>
    </w:p>
    <w:p w14:paraId="0EEEAE58">
      <w:pPr>
        <w:keepNext/>
        <w:keepLines/>
        <w:spacing w:line="440" w:lineRule="exact"/>
        <w:ind w:firstLine="138"/>
        <w:rPr>
          <w:b/>
          <w:color w:val="000000"/>
          <w:sz w:val="28"/>
          <w:szCs w:val="28"/>
        </w:rPr>
      </w:pPr>
      <w:r>
        <w:rPr>
          <w:rFonts w:hint="eastAsia"/>
          <w:b/>
          <w:color w:val="000000"/>
          <w:sz w:val="28"/>
          <w:szCs w:val="28"/>
        </w:rPr>
        <w:t>25、未实质性响应磋商文件的情形和废标条款</w:t>
      </w:r>
    </w:p>
    <w:p w14:paraId="12C3906F">
      <w:pPr>
        <w:spacing w:line="440" w:lineRule="exact"/>
        <w:ind w:firstLine="480"/>
        <w:rPr>
          <w:color w:val="000000"/>
          <w:sz w:val="24"/>
          <w:szCs w:val="24"/>
        </w:rPr>
      </w:pPr>
      <w:r>
        <w:rPr>
          <w:rFonts w:hint="eastAsia"/>
          <w:color w:val="000000"/>
          <w:sz w:val="24"/>
          <w:szCs w:val="24"/>
        </w:rPr>
        <w:t>25.1未实质性响应磋商文件的情形</w:t>
      </w:r>
    </w:p>
    <w:p w14:paraId="4B5C2275">
      <w:pPr>
        <w:spacing w:line="440" w:lineRule="exact"/>
        <w:ind w:firstLine="720"/>
        <w:rPr>
          <w:color w:val="000000"/>
          <w:sz w:val="24"/>
          <w:szCs w:val="24"/>
        </w:rPr>
      </w:pPr>
      <w:r>
        <w:rPr>
          <w:rFonts w:hint="eastAsia"/>
          <w:color w:val="000000"/>
          <w:sz w:val="24"/>
          <w:szCs w:val="24"/>
        </w:rPr>
        <w:t>25.1.1供应商在苏采云系统规定的时间内未成功解密电子响应文件的。</w:t>
      </w:r>
    </w:p>
    <w:p w14:paraId="0BDFC13E">
      <w:pPr>
        <w:spacing w:line="440" w:lineRule="exact"/>
        <w:ind w:firstLine="720"/>
        <w:rPr>
          <w:color w:val="000000"/>
          <w:sz w:val="24"/>
          <w:szCs w:val="24"/>
        </w:rPr>
      </w:pPr>
      <w:r>
        <w:rPr>
          <w:rFonts w:hint="eastAsia"/>
          <w:color w:val="000000"/>
          <w:sz w:val="24"/>
          <w:szCs w:val="24"/>
        </w:rPr>
        <w:t>25.1.2供应商未按照磋商文件要求上传电子响应文件的。</w:t>
      </w:r>
    </w:p>
    <w:p w14:paraId="7F1A3746">
      <w:pPr>
        <w:spacing w:line="440" w:lineRule="exact"/>
        <w:ind w:firstLine="720"/>
        <w:rPr>
          <w:color w:val="000000"/>
          <w:sz w:val="24"/>
          <w:szCs w:val="24"/>
        </w:rPr>
      </w:pPr>
      <w:r>
        <w:rPr>
          <w:rFonts w:hint="eastAsia"/>
          <w:color w:val="000000"/>
          <w:sz w:val="24"/>
          <w:szCs w:val="24"/>
        </w:rPr>
        <w:t>25.1.3同一供应商提交两个（含两个）以上不同的响应文件或者最后报价的。</w:t>
      </w:r>
    </w:p>
    <w:p w14:paraId="5DEC69A5">
      <w:pPr>
        <w:spacing w:line="440" w:lineRule="exact"/>
        <w:ind w:firstLine="720"/>
        <w:rPr>
          <w:color w:val="000000"/>
          <w:sz w:val="24"/>
          <w:szCs w:val="24"/>
        </w:rPr>
      </w:pPr>
      <w:r>
        <w:rPr>
          <w:rFonts w:hint="eastAsia"/>
          <w:color w:val="000000"/>
          <w:sz w:val="24"/>
          <w:szCs w:val="24"/>
        </w:rPr>
        <w:t>25.1.4供应商不具备磋商文件中规定资格要求的。</w:t>
      </w:r>
    </w:p>
    <w:p w14:paraId="3707102C">
      <w:pPr>
        <w:spacing w:line="440" w:lineRule="exact"/>
        <w:ind w:firstLine="720"/>
        <w:rPr>
          <w:color w:val="000000"/>
          <w:sz w:val="24"/>
          <w:szCs w:val="24"/>
        </w:rPr>
      </w:pPr>
      <w:r>
        <w:rPr>
          <w:rFonts w:hint="eastAsia"/>
          <w:color w:val="000000"/>
          <w:sz w:val="24"/>
          <w:szCs w:val="24"/>
        </w:rPr>
        <w:t>25.1.5供应商的最后报价超过了采购预算</w:t>
      </w:r>
      <w:r>
        <w:rPr>
          <w:rFonts w:cs="宋体"/>
          <w:color w:val="000000"/>
          <w:sz w:val="24"/>
        </w:rPr>
        <w:t>或最高限价的</w:t>
      </w:r>
      <w:r>
        <w:rPr>
          <w:rFonts w:hint="eastAsia"/>
          <w:color w:val="000000"/>
          <w:sz w:val="24"/>
          <w:szCs w:val="24"/>
        </w:rPr>
        <w:t>。</w:t>
      </w:r>
    </w:p>
    <w:p w14:paraId="47D142E4">
      <w:pPr>
        <w:spacing w:line="440" w:lineRule="exact"/>
        <w:ind w:firstLine="720"/>
        <w:rPr>
          <w:color w:val="000000"/>
          <w:sz w:val="24"/>
          <w:szCs w:val="24"/>
        </w:rPr>
      </w:pPr>
      <w:r>
        <w:rPr>
          <w:rFonts w:hint="eastAsia"/>
          <w:color w:val="000000"/>
          <w:sz w:val="24"/>
          <w:szCs w:val="24"/>
        </w:rPr>
        <w:t>25.1.6未通过符合性审查的。</w:t>
      </w:r>
    </w:p>
    <w:p w14:paraId="2485EE8C">
      <w:pPr>
        <w:spacing w:line="440" w:lineRule="exact"/>
        <w:ind w:firstLine="720"/>
        <w:rPr>
          <w:color w:val="000000"/>
          <w:sz w:val="24"/>
          <w:szCs w:val="24"/>
        </w:rPr>
      </w:pPr>
      <w:r>
        <w:rPr>
          <w:rFonts w:hint="eastAsia"/>
          <w:color w:val="000000"/>
          <w:sz w:val="24"/>
          <w:szCs w:val="24"/>
        </w:rPr>
        <w:t>25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7</w:t>
      </w:r>
      <w:r>
        <w:rPr>
          <w:color w:val="000000"/>
          <w:sz w:val="24"/>
          <w:szCs w:val="24"/>
        </w:rPr>
        <w:t>不符合磋商文件中规定的实质性要求和条件的</w:t>
      </w:r>
      <w:r>
        <w:rPr>
          <w:rFonts w:hint="eastAsia"/>
          <w:color w:val="000000"/>
          <w:sz w:val="24"/>
          <w:szCs w:val="24"/>
        </w:rPr>
        <w:t>。</w:t>
      </w:r>
    </w:p>
    <w:p w14:paraId="07969841">
      <w:pPr>
        <w:spacing w:line="440" w:lineRule="exact"/>
        <w:ind w:firstLine="720"/>
        <w:rPr>
          <w:color w:val="000000"/>
          <w:sz w:val="24"/>
          <w:szCs w:val="24"/>
        </w:rPr>
      </w:pPr>
      <w:r>
        <w:rPr>
          <w:color w:val="000000"/>
          <w:sz w:val="24"/>
          <w:szCs w:val="24"/>
        </w:rPr>
        <w:t>2</w:t>
      </w:r>
      <w:r>
        <w:rPr>
          <w:rFonts w:hint="eastAsia"/>
          <w:color w:val="000000"/>
          <w:sz w:val="24"/>
          <w:szCs w:val="24"/>
        </w:rPr>
        <w:t>5</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8</w:t>
      </w:r>
      <w:r>
        <w:rPr>
          <w:color w:val="000000"/>
          <w:sz w:val="24"/>
          <w:szCs w:val="24"/>
        </w:rPr>
        <w:t>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2B61367A">
      <w:pPr>
        <w:spacing w:line="440" w:lineRule="exact"/>
        <w:ind w:firstLine="720"/>
        <w:rPr>
          <w:sz w:val="24"/>
          <w:szCs w:val="24"/>
        </w:rPr>
      </w:pPr>
      <w:r>
        <w:rPr>
          <w:rFonts w:hint="eastAsia"/>
          <w:color w:val="000000"/>
          <w:sz w:val="24"/>
          <w:szCs w:val="24"/>
        </w:rPr>
        <w:t>25.1.9</w:t>
      </w:r>
      <w:r>
        <w:rPr>
          <w:color w:val="000000"/>
          <w:sz w:val="24"/>
          <w:szCs w:val="24"/>
        </w:rPr>
        <w:t>响应文件含有采购人不能接受的附加条件的。</w:t>
      </w:r>
    </w:p>
    <w:p w14:paraId="0A83DA8C">
      <w:pPr>
        <w:spacing w:line="440" w:lineRule="exact"/>
        <w:ind w:firstLine="720"/>
        <w:rPr>
          <w:bCs/>
          <w:color w:val="000000"/>
          <w:sz w:val="24"/>
          <w:szCs w:val="24"/>
        </w:rPr>
      </w:pPr>
      <w:r>
        <w:rPr>
          <w:rFonts w:hint="eastAsia"/>
          <w:bCs/>
          <w:color w:val="000000"/>
          <w:sz w:val="24"/>
          <w:szCs w:val="24"/>
        </w:rPr>
        <w:t>25.1.</w:t>
      </w:r>
      <w:r>
        <w:rPr>
          <w:bCs/>
          <w:color w:val="000000"/>
          <w:sz w:val="24"/>
          <w:szCs w:val="24"/>
        </w:rPr>
        <w:t>10</w:t>
      </w:r>
      <w:r>
        <w:rPr>
          <w:rFonts w:hint="eastAsia"/>
          <w:bCs/>
          <w:color w:val="000000"/>
          <w:sz w:val="24"/>
          <w:szCs w:val="24"/>
        </w:rPr>
        <w:t>评标委员会认为供应商的报价明显低于其他通过符合性审查供应商的报价，有可能影响产品质量或者不能诚信履约的，将通过</w:t>
      </w:r>
      <w:r>
        <w:rPr>
          <w:rFonts w:hint="eastAsia"/>
          <w:color w:val="000000"/>
          <w:sz w:val="24"/>
          <w:szCs w:val="24"/>
        </w:rPr>
        <w:t>苏采云系统</w:t>
      </w:r>
      <w:r>
        <w:rPr>
          <w:rFonts w:hint="eastAsia"/>
          <w:bCs/>
          <w:color w:val="000000"/>
          <w:sz w:val="24"/>
          <w:szCs w:val="24"/>
        </w:rPr>
        <w:t>要求其在合理的时间内提供说明，必要时提交相关证明材料；供应商不能证明其报价合理性的，评标委员会应当将其作为无效投标处理。</w:t>
      </w:r>
    </w:p>
    <w:p w14:paraId="33F96150">
      <w:pPr>
        <w:spacing w:line="440" w:lineRule="exact"/>
        <w:ind w:firstLine="720"/>
        <w:rPr>
          <w:sz w:val="24"/>
          <w:szCs w:val="24"/>
        </w:rPr>
      </w:pPr>
      <w:r>
        <w:rPr>
          <w:rFonts w:hint="eastAsia"/>
          <w:color w:val="000000"/>
          <w:sz w:val="24"/>
          <w:szCs w:val="24"/>
        </w:rPr>
        <w:t>25.1.11</w:t>
      </w:r>
      <w:r>
        <w:rPr>
          <w:color w:val="000000"/>
          <w:sz w:val="24"/>
          <w:szCs w:val="24"/>
        </w:rPr>
        <w:t>响应文件未按照磋商文件要求加盖CA电子公章的。</w:t>
      </w:r>
    </w:p>
    <w:p w14:paraId="3703281F">
      <w:pPr>
        <w:spacing w:line="440" w:lineRule="exact"/>
        <w:ind w:firstLine="720"/>
        <w:rPr>
          <w:sz w:val="24"/>
          <w:szCs w:val="24"/>
        </w:rPr>
      </w:pPr>
      <w:r>
        <w:rPr>
          <w:rFonts w:hint="eastAsia"/>
          <w:color w:val="000000"/>
          <w:sz w:val="24"/>
          <w:szCs w:val="24"/>
        </w:rPr>
        <w:t>25.1.12</w:t>
      </w:r>
      <w:r>
        <w:rPr>
          <w:color w:val="000000"/>
          <w:sz w:val="24"/>
          <w:szCs w:val="24"/>
        </w:rPr>
        <w:t>未实质性响应磋商文件的响应文件按无效响应处理。</w:t>
      </w:r>
    </w:p>
    <w:p w14:paraId="73AD4B53">
      <w:pPr>
        <w:spacing w:line="440" w:lineRule="exact"/>
        <w:ind w:firstLine="720"/>
        <w:rPr>
          <w:sz w:val="24"/>
          <w:szCs w:val="24"/>
        </w:rPr>
      </w:pPr>
      <w:r>
        <w:rPr>
          <w:rFonts w:hint="eastAsia"/>
          <w:color w:val="000000"/>
          <w:sz w:val="24"/>
          <w:szCs w:val="24"/>
        </w:rPr>
        <w:t>25.1.13</w:t>
      </w:r>
      <w:r>
        <w:rPr>
          <w:color w:val="000000"/>
          <w:sz w:val="24"/>
          <w:szCs w:val="24"/>
        </w:rPr>
        <w:t>如果响应文件实质上没有响应磋商文件的要求，磋商小组将予以拒绝，供应商不得通过修改或撤销不合要求的偏离或保留而使其成为实质性响应的文件。</w:t>
      </w:r>
    </w:p>
    <w:p w14:paraId="61915E98">
      <w:pPr>
        <w:spacing w:line="440" w:lineRule="exact"/>
        <w:ind w:firstLine="720"/>
        <w:rPr>
          <w:color w:val="000000"/>
          <w:sz w:val="24"/>
          <w:szCs w:val="24"/>
        </w:rPr>
      </w:pPr>
      <w:r>
        <w:rPr>
          <w:rFonts w:hint="eastAsia"/>
          <w:color w:val="000000"/>
          <w:sz w:val="24"/>
          <w:szCs w:val="24"/>
        </w:rPr>
        <w:t>25.1.14</w:t>
      </w:r>
      <w:r>
        <w:rPr>
          <w:color w:val="000000"/>
          <w:sz w:val="24"/>
          <w:szCs w:val="24"/>
        </w:rPr>
        <w:t>供应商在项目评审全过程中应保持通讯畅通，并安排专人与代理机构及磋商小组联系。</w:t>
      </w:r>
    </w:p>
    <w:p w14:paraId="71B699CD">
      <w:pPr>
        <w:spacing w:line="440" w:lineRule="exact"/>
        <w:ind w:firstLine="480"/>
        <w:rPr>
          <w:color w:val="000000"/>
          <w:sz w:val="24"/>
          <w:szCs w:val="24"/>
        </w:rPr>
      </w:pPr>
      <w:r>
        <w:rPr>
          <w:rFonts w:hint="eastAsia"/>
          <w:color w:val="000000"/>
          <w:sz w:val="24"/>
          <w:szCs w:val="24"/>
        </w:rPr>
        <w:t>25.2废标条款</w:t>
      </w:r>
    </w:p>
    <w:p w14:paraId="0E78D604">
      <w:pPr>
        <w:spacing w:line="440" w:lineRule="exact"/>
        <w:ind w:firstLine="720"/>
        <w:rPr>
          <w:color w:val="000000"/>
          <w:sz w:val="24"/>
          <w:szCs w:val="24"/>
        </w:rPr>
      </w:pPr>
      <w:r>
        <w:rPr>
          <w:rFonts w:hint="eastAsia"/>
          <w:color w:val="000000"/>
          <w:sz w:val="24"/>
          <w:szCs w:val="24"/>
        </w:rPr>
        <w:t>25.2.1符合专业条件的供应商或者对磋商文件作实质响应的供应商不足三家的。</w:t>
      </w:r>
    </w:p>
    <w:p w14:paraId="2FFE6B75">
      <w:pPr>
        <w:spacing w:line="440" w:lineRule="exact"/>
        <w:ind w:firstLine="720"/>
        <w:rPr>
          <w:color w:val="000000"/>
          <w:sz w:val="24"/>
          <w:szCs w:val="24"/>
        </w:rPr>
      </w:pPr>
      <w:r>
        <w:rPr>
          <w:rFonts w:hint="eastAsia"/>
          <w:color w:val="000000"/>
          <w:sz w:val="24"/>
          <w:szCs w:val="24"/>
        </w:rPr>
        <w:t>25.2.2出现影响采购公正的违法、违规行为的。</w:t>
      </w:r>
    </w:p>
    <w:p w14:paraId="2D5981B0">
      <w:pPr>
        <w:spacing w:line="440" w:lineRule="exact"/>
        <w:ind w:firstLine="720"/>
        <w:rPr>
          <w:color w:val="000000"/>
          <w:sz w:val="24"/>
          <w:szCs w:val="24"/>
        </w:rPr>
      </w:pPr>
      <w:r>
        <w:rPr>
          <w:rFonts w:hint="eastAsia"/>
          <w:color w:val="000000"/>
          <w:sz w:val="24"/>
          <w:szCs w:val="24"/>
        </w:rPr>
        <w:t>25.2.3因重大变故，采购任务取消的。</w:t>
      </w:r>
    </w:p>
    <w:p w14:paraId="037DD42D">
      <w:pPr>
        <w:spacing w:line="440" w:lineRule="exact"/>
        <w:ind w:firstLine="720"/>
        <w:rPr>
          <w:color w:val="000000"/>
          <w:sz w:val="24"/>
          <w:szCs w:val="24"/>
        </w:rPr>
      </w:pPr>
      <w:r>
        <w:rPr>
          <w:rFonts w:hint="eastAsia"/>
          <w:color w:val="000000"/>
          <w:sz w:val="24"/>
          <w:szCs w:val="24"/>
        </w:rPr>
        <w:t>25.2.4评标委员会认定磋商文件存在歧义、重大缺陷导致评审工作无法进行。</w:t>
      </w:r>
    </w:p>
    <w:p w14:paraId="543A6483">
      <w:pPr>
        <w:spacing w:line="440" w:lineRule="exact"/>
        <w:ind w:firstLine="720"/>
        <w:rPr>
          <w:color w:val="000000"/>
          <w:sz w:val="24"/>
          <w:szCs w:val="24"/>
        </w:rPr>
      </w:pPr>
      <w:r>
        <w:rPr>
          <w:rFonts w:hint="eastAsia"/>
          <w:color w:val="000000"/>
          <w:sz w:val="24"/>
          <w:szCs w:val="24"/>
        </w:rPr>
        <w:t>25.2.5 因苏采云系统</w:t>
      </w:r>
      <w:r>
        <w:rPr>
          <w:color w:val="000000"/>
          <w:sz w:val="24"/>
          <w:szCs w:val="24"/>
        </w:rPr>
        <w:t>系统故障原因造成开标不成功</w:t>
      </w:r>
      <w:r>
        <w:rPr>
          <w:rFonts w:hint="eastAsia"/>
          <w:color w:val="000000"/>
          <w:sz w:val="24"/>
          <w:szCs w:val="24"/>
        </w:rPr>
        <w:t>的</w:t>
      </w:r>
      <w:r>
        <w:rPr>
          <w:color w:val="000000"/>
          <w:sz w:val="24"/>
          <w:szCs w:val="24"/>
        </w:rPr>
        <w:t>。</w:t>
      </w:r>
    </w:p>
    <w:p w14:paraId="40A9BAB0">
      <w:pPr>
        <w:spacing w:line="440" w:lineRule="exact"/>
        <w:ind w:firstLine="720"/>
        <w:rPr>
          <w:color w:val="000000"/>
          <w:sz w:val="24"/>
          <w:szCs w:val="24"/>
        </w:rPr>
      </w:pPr>
      <w:r>
        <w:rPr>
          <w:rFonts w:hint="eastAsia"/>
          <w:color w:val="000000"/>
          <w:sz w:val="24"/>
          <w:szCs w:val="24"/>
        </w:rPr>
        <w:t>25.2.6</w:t>
      </w:r>
      <w:r>
        <w:rPr>
          <w:rFonts w:cs="宋体"/>
          <w:color w:val="000000"/>
          <w:sz w:val="24"/>
        </w:rPr>
        <w:t>响应文件接受截止时间结束后参加磋商的供应商不足</w:t>
      </w:r>
      <w:r>
        <w:rPr>
          <w:rFonts w:hint="eastAsia"/>
          <w:color w:val="000000"/>
          <w:sz w:val="24"/>
          <w:szCs w:val="24"/>
        </w:rPr>
        <w:t>三家的处理。</w:t>
      </w:r>
    </w:p>
    <w:p w14:paraId="1AA49F6D">
      <w:pPr>
        <w:spacing w:line="440" w:lineRule="exact"/>
        <w:ind w:firstLine="720"/>
        <w:rPr>
          <w:color w:val="000000"/>
          <w:sz w:val="24"/>
          <w:szCs w:val="24"/>
        </w:rPr>
      </w:pPr>
      <w:r>
        <w:rPr>
          <w:rFonts w:hint="eastAsia"/>
          <w:color w:val="000000"/>
          <w:sz w:val="24"/>
          <w:szCs w:val="24"/>
        </w:rPr>
        <w:t>25.2.7如出现</w:t>
      </w:r>
      <w:r>
        <w:rPr>
          <w:rFonts w:cs="宋体"/>
          <w:color w:val="000000"/>
          <w:sz w:val="24"/>
        </w:rPr>
        <w:t>接受截止时间</w:t>
      </w:r>
      <w:r>
        <w:rPr>
          <w:rFonts w:hint="eastAsia"/>
          <w:color w:val="000000"/>
          <w:sz w:val="24"/>
          <w:szCs w:val="24"/>
        </w:rPr>
        <w:t>结束后参加的供应商或者在评标期间对磋商文件做出实质响应的供应商不足三家情况，按政府采购相关规定执行。</w:t>
      </w:r>
    </w:p>
    <w:p w14:paraId="7C5B5DDD">
      <w:pPr>
        <w:keepNext/>
        <w:keepLines/>
        <w:spacing w:line="440" w:lineRule="exact"/>
        <w:ind w:firstLine="138"/>
        <w:rPr>
          <w:b/>
          <w:color w:val="000000"/>
          <w:sz w:val="28"/>
          <w:szCs w:val="28"/>
        </w:rPr>
      </w:pPr>
      <w:r>
        <w:rPr>
          <w:rFonts w:hint="eastAsia"/>
          <w:b/>
          <w:color w:val="000000"/>
          <w:sz w:val="28"/>
          <w:szCs w:val="28"/>
        </w:rPr>
        <w:t>26、磋商程序及评审方法和评审标准</w:t>
      </w:r>
    </w:p>
    <w:p w14:paraId="6C93B0B1">
      <w:pPr>
        <w:spacing w:line="440" w:lineRule="exact"/>
        <w:ind w:firstLine="480"/>
        <w:rPr>
          <w:color w:val="000000"/>
          <w:sz w:val="24"/>
          <w:szCs w:val="24"/>
        </w:rPr>
      </w:pPr>
      <w:r>
        <w:rPr>
          <w:rFonts w:hint="eastAsia"/>
          <w:color w:val="000000"/>
          <w:sz w:val="24"/>
          <w:szCs w:val="24"/>
        </w:rPr>
        <w:t>26.1磋商程序</w:t>
      </w:r>
    </w:p>
    <w:p w14:paraId="3C1E32FA">
      <w:pPr>
        <w:spacing w:line="440" w:lineRule="exact"/>
        <w:ind w:firstLine="720"/>
        <w:rPr>
          <w:sz w:val="24"/>
          <w:szCs w:val="24"/>
        </w:rPr>
      </w:pPr>
      <w:r>
        <w:rPr>
          <w:rFonts w:hint="eastAsia"/>
          <w:sz w:val="24"/>
          <w:szCs w:val="24"/>
        </w:rPr>
        <w:t>26.1.1磋商小组审查供应商解密的响应文件。</w:t>
      </w:r>
    </w:p>
    <w:p w14:paraId="449E057F">
      <w:pPr>
        <w:spacing w:line="440" w:lineRule="exact"/>
        <w:ind w:firstLine="720"/>
        <w:rPr>
          <w:sz w:val="24"/>
          <w:szCs w:val="24"/>
        </w:rPr>
      </w:pPr>
      <w:r>
        <w:rPr>
          <w:rFonts w:hint="eastAsia"/>
          <w:sz w:val="24"/>
          <w:szCs w:val="24"/>
        </w:rPr>
        <w:t>26.1.2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50C373DC">
      <w:pPr>
        <w:spacing w:line="440" w:lineRule="exact"/>
        <w:ind w:firstLine="720"/>
        <w:rPr>
          <w:sz w:val="24"/>
          <w:szCs w:val="24"/>
        </w:rPr>
      </w:pPr>
      <w:r>
        <w:rPr>
          <w:rFonts w:hint="eastAsia"/>
          <w:sz w:val="24"/>
          <w:szCs w:val="24"/>
        </w:rPr>
        <w:t>26.1.3磋商小组要求供应商澄清、说明或者更正响应文件应当以书面形式做出。供应商的澄清、说明或者更正应当由其单位加盖电子公章。</w:t>
      </w:r>
    </w:p>
    <w:p w14:paraId="1BBF7F28">
      <w:pPr>
        <w:pStyle w:val="15"/>
        <w:spacing w:line="440" w:lineRule="exact"/>
        <w:rPr>
          <w:b/>
          <w:sz w:val="24"/>
          <w:szCs w:val="24"/>
        </w:rPr>
      </w:pPr>
      <w:r>
        <w:rPr>
          <w:rFonts w:hint="eastAsia"/>
          <w:b/>
          <w:sz w:val="24"/>
          <w:szCs w:val="24"/>
        </w:rPr>
        <w:t>注：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7C7BF53B">
      <w:pPr>
        <w:spacing w:line="440" w:lineRule="exact"/>
        <w:ind w:firstLine="720"/>
        <w:rPr>
          <w:sz w:val="24"/>
          <w:szCs w:val="24"/>
        </w:rPr>
      </w:pPr>
      <w:r>
        <w:rPr>
          <w:rFonts w:hint="eastAsia"/>
          <w:sz w:val="24"/>
          <w:szCs w:val="24"/>
        </w:rPr>
        <w:t>26.1.4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p>
    <w:p w14:paraId="17EA9A3E">
      <w:pPr>
        <w:spacing w:line="440" w:lineRule="exact"/>
        <w:ind w:firstLine="720"/>
        <w:rPr>
          <w:sz w:val="24"/>
          <w:szCs w:val="24"/>
        </w:rPr>
      </w:pPr>
      <w:r>
        <w:rPr>
          <w:rFonts w:hint="eastAsia"/>
          <w:sz w:val="24"/>
          <w:szCs w:val="24"/>
        </w:rPr>
        <w:t>26.1.5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1B0C986D">
      <w:pPr>
        <w:spacing w:line="440" w:lineRule="exact"/>
        <w:ind w:firstLine="720"/>
        <w:rPr>
          <w:sz w:val="24"/>
          <w:szCs w:val="24"/>
        </w:rPr>
      </w:pPr>
      <w:r>
        <w:rPr>
          <w:rFonts w:hint="eastAsia"/>
          <w:sz w:val="24"/>
          <w:szCs w:val="24"/>
        </w:rPr>
        <w:t>26.1.6磋商结束后，磋商小组将在苏采云系统向所有实质性响应的供应商发布最后报价要求函及最后报价格式表，要求所有实质性响应的供应商在规定时间内提交最后报价。</w:t>
      </w:r>
    </w:p>
    <w:p w14:paraId="0A35CF7C">
      <w:pPr>
        <w:spacing w:line="440" w:lineRule="exact"/>
        <w:ind w:firstLine="720"/>
        <w:rPr>
          <w:sz w:val="24"/>
          <w:szCs w:val="24"/>
        </w:rPr>
      </w:pPr>
      <w:r>
        <w:rPr>
          <w:rFonts w:hint="eastAsia"/>
          <w:sz w:val="24"/>
          <w:szCs w:val="24"/>
        </w:rPr>
        <w:t>26.1.7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4F05B3A6">
      <w:pPr>
        <w:pStyle w:val="15"/>
        <w:spacing w:line="440" w:lineRule="exact"/>
        <w:ind w:firstLine="422"/>
        <w:rPr>
          <w:b/>
          <w:sz w:val="24"/>
          <w:szCs w:val="24"/>
        </w:rPr>
      </w:pPr>
      <w:r>
        <w:rPr>
          <w:rFonts w:hint="eastAsia"/>
          <w:b/>
          <w:sz w:val="24"/>
          <w:szCs w:val="24"/>
        </w:rPr>
        <w:t>注：已提交响应文件的供应商，在提交最后报价之前，可以根据磋商情况退出磋商，并在苏采云系统中提交“退出磋商函”并加盖CA电子公章。</w:t>
      </w:r>
    </w:p>
    <w:p w14:paraId="1FA4CB8E">
      <w:pPr>
        <w:pStyle w:val="15"/>
        <w:spacing w:line="440" w:lineRule="exact"/>
        <w:ind w:firstLine="422"/>
        <w:rPr>
          <w:b/>
          <w:sz w:val="24"/>
          <w:szCs w:val="24"/>
        </w:rPr>
      </w:pPr>
      <w:r>
        <w:rPr>
          <w:rFonts w:hint="eastAsia"/>
          <w:b/>
          <w:sz w:val="24"/>
          <w:szCs w:val="24"/>
        </w:rPr>
        <w:t>*进入项目评审流程后，建议各供应商法定代表人或授权委托人始终保持通讯顺畅，时刻关注不见面开标大厅，不离开不见面开标大厅。</w:t>
      </w:r>
    </w:p>
    <w:p w14:paraId="2B36904E">
      <w:pPr>
        <w:spacing w:line="440" w:lineRule="exact"/>
        <w:ind w:firstLine="720"/>
        <w:rPr>
          <w:sz w:val="24"/>
          <w:szCs w:val="24"/>
        </w:rPr>
      </w:pPr>
      <w:r>
        <w:rPr>
          <w:rFonts w:hint="eastAsia"/>
          <w:sz w:val="24"/>
          <w:szCs w:val="24"/>
        </w:rPr>
        <w:t>26</w:t>
      </w:r>
      <w:r>
        <w:rPr>
          <w:sz w:val="24"/>
          <w:szCs w:val="24"/>
        </w:rPr>
        <w:t>.1.8经磋商确定最终采购需求和提交最后报价的供应商后，由磋商小组采用综合评分法对提交最后报价的供应商的响应文件和最后报价进行综合评分。</w:t>
      </w:r>
    </w:p>
    <w:p w14:paraId="5CA9489C">
      <w:pPr>
        <w:spacing w:line="440" w:lineRule="exact"/>
        <w:ind w:firstLine="720"/>
        <w:rPr>
          <w:sz w:val="24"/>
          <w:szCs w:val="24"/>
        </w:rPr>
      </w:pPr>
      <w:r>
        <w:rPr>
          <w:rFonts w:hint="eastAsia"/>
          <w:sz w:val="24"/>
          <w:szCs w:val="24"/>
        </w:rPr>
        <w:t>26</w:t>
      </w:r>
      <w:r>
        <w:rPr>
          <w:sz w:val="24"/>
          <w:szCs w:val="24"/>
        </w:rPr>
        <w:t>.1.9磋商小组根据磋商成交原则确定成交供应商，并将结果通知所有参加磋商的供应商。</w:t>
      </w:r>
    </w:p>
    <w:p w14:paraId="4930CB26">
      <w:pPr>
        <w:spacing w:line="440" w:lineRule="exact"/>
        <w:ind w:firstLine="720"/>
        <w:rPr>
          <w:sz w:val="24"/>
          <w:szCs w:val="24"/>
        </w:rPr>
      </w:pPr>
      <w:r>
        <w:rPr>
          <w:rFonts w:hint="eastAsia"/>
          <w:sz w:val="24"/>
          <w:szCs w:val="24"/>
        </w:rPr>
        <w:t>26</w:t>
      </w:r>
      <w:r>
        <w:rPr>
          <w:sz w:val="24"/>
          <w:szCs w:val="24"/>
        </w:rPr>
        <w:t>.1.10如磋商过程中出现本采购文件未尽事宜，由磋商小组根据政府采购有关法律、法规讨论决定。</w:t>
      </w:r>
    </w:p>
    <w:p w14:paraId="69A69709">
      <w:pPr>
        <w:spacing w:line="440" w:lineRule="exact"/>
        <w:ind w:firstLine="480"/>
        <w:rPr>
          <w:color w:val="000000"/>
          <w:sz w:val="24"/>
          <w:szCs w:val="24"/>
        </w:rPr>
      </w:pPr>
      <w:r>
        <w:rPr>
          <w:rFonts w:hint="eastAsia"/>
          <w:color w:val="000000"/>
          <w:sz w:val="24"/>
          <w:szCs w:val="24"/>
        </w:rPr>
        <w:t>26.2评审方法和评审标准</w:t>
      </w:r>
    </w:p>
    <w:p w14:paraId="54647B13">
      <w:pPr>
        <w:spacing w:line="440" w:lineRule="exact"/>
        <w:ind w:firstLine="720"/>
        <w:rPr>
          <w:sz w:val="24"/>
          <w:szCs w:val="24"/>
        </w:rPr>
      </w:pPr>
      <w:r>
        <w:rPr>
          <w:rFonts w:hint="eastAsia"/>
          <w:color w:val="000000"/>
          <w:sz w:val="24"/>
          <w:szCs w:val="24"/>
        </w:rPr>
        <w:t>26</w:t>
      </w:r>
      <w:r>
        <w:rPr>
          <w:color w:val="000000"/>
          <w:sz w:val="24"/>
          <w:szCs w:val="24"/>
        </w:rPr>
        <w:t>.2.1评审方法。经磋商确定最终采购需求和提交最后报价的供应商后，由磋商小组采用综合评分法对提交最后报价的供应商的响应文件和最后报价进行综合评分。</w:t>
      </w:r>
    </w:p>
    <w:p w14:paraId="6A8FBEFF">
      <w:pPr>
        <w:spacing w:line="440" w:lineRule="exact"/>
        <w:ind w:firstLine="476"/>
        <w:rPr>
          <w:sz w:val="24"/>
          <w:szCs w:val="24"/>
        </w:rPr>
      </w:pPr>
      <w:r>
        <w:rPr>
          <w:color w:val="000000"/>
          <w:sz w:val="24"/>
          <w:szCs w:val="24"/>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58B40B76">
      <w:pPr>
        <w:spacing w:line="440" w:lineRule="exact"/>
        <w:ind w:firstLine="720"/>
        <w:rPr>
          <w:sz w:val="24"/>
          <w:szCs w:val="24"/>
        </w:rPr>
      </w:pPr>
      <w:r>
        <w:rPr>
          <w:rFonts w:hint="eastAsia"/>
          <w:color w:val="000000"/>
          <w:sz w:val="24"/>
          <w:szCs w:val="24"/>
        </w:rPr>
        <w:t>26</w:t>
      </w:r>
      <w:r>
        <w:rPr>
          <w:color w:val="000000"/>
          <w:sz w:val="24"/>
          <w:szCs w:val="24"/>
        </w:rPr>
        <w:t>.2.2评审标准</w:t>
      </w:r>
    </w:p>
    <w:p w14:paraId="77107F42">
      <w:pPr>
        <w:spacing w:line="440" w:lineRule="exact"/>
        <w:ind w:firstLine="715"/>
        <w:rPr>
          <w:sz w:val="24"/>
          <w:szCs w:val="24"/>
        </w:rPr>
      </w:pPr>
      <w:r>
        <w:rPr>
          <w:color w:val="000000"/>
          <w:sz w:val="24"/>
          <w:szCs w:val="24"/>
        </w:rPr>
        <w:t>见本磋商文件第五章规定。</w:t>
      </w:r>
    </w:p>
    <w:p w14:paraId="3024B3C3">
      <w:pPr>
        <w:spacing w:line="440" w:lineRule="exact"/>
        <w:ind w:firstLine="480"/>
        <w:rPr>
          <w:color w:val="000000"/>
          <w:sz w:val="24"/>
          <w:szCs w:val="24"/>
        </w:rPr>
      </w:pPr>
      <w:r>
        <w:rPr>
          <w:rFonts w:hint="eastAsia"/>
          <w:color w:val="000000"/>
          <w:sz w:val="24"/>
          <w:szCs w:val="24"/>
        </w:rPr>
        <w:t>26.3采购活动终止的情况</w:t>
      </w:r>
    </w:p>
    <w:p w14:paraId="6EF7E307">
      <w:pPr>
        <w:spacing w:line="440" w:lineRule="exact"/>
        <w:ind w:firstLine="600"/>
        <w:rPr>
          <w:sz w:val="24"/>
          <w:szCs w:val="24"/>
        </w:rPr>
      </w:pPr>
      <w:r>
        <w:rPr>
          <w:color w:val="000000"/>
          <w:sz w:val="24"/>
          <w:szCs w:val="24"/>
        </w:rPr>
        <w:t>出现下列情形之一的，本次竞争性磋商采购活动将被终止：</w:t>
      </w:r>
    </w:p>
    <w:p w14:paraId="705B28B0">
      <w:pPr>
        <w:spacing w:line="440" w:lineRule="exact"/>
        <w:ind w:firstLine="720"/>
        <w:rPr>
          <w:sz w:val="24"/>
          <w:szCs w:val="24"/>
        </w:rPr>
      </w:pPr>
      <w:r>
        <w:rPr>
          <w:rFonts w:hint="eastAsia"/>
          <w:color w:val="000000"/>
          <w:sz w:val="24"/>
          <w:szCs w:val="24"/>
        </w:rPr>
        <w:t>26</w:t>
      </w:r>
      <w:r>
        <w:rPr>
          <w:color w:val="000000"/>
          <w:sz w:val="24"/>
          <w:szCs w:val="24"/>
        </w:rPr>
        <w:t>.3.1因情况变化，不再符合规定的竞争性磋商采购方式适用情形的。</w:t>
      </w:r>
    </w:p>
    <w:p w14:paraId="669380CF">
      <w:pPr>
        <w:spacing w:line="440" w:lineRule="exact"/>
        <w:ind w:firstLine="720"/>
        <w:rPr>
          <w:sz w:val="24"/>
          <w:szCs w:val="24"/>
        </w:rPr>
      </w:pPr>
      <w:r>
        <w:rPr>
          <w:color w:val="000000"/>
          <w:sz w:val="24"/>
          <w:szCs w:val="24"/>
        </w:rPr>
        <w:t>2</w:t>
      </w:r>
      <w:r>
        <w:rPr>
          <w:rFonts w:hint="eastAsia"/>
          <w:color w:val="000000"/>
          <w:sz w:val="24"/>
          <w:szCs w:val="24"/>
        </w:rPr>
        <w:t>6</w:t>
      </w:r>
      <w:r>
        <w:rPr>
          <w:color w:val="000000"/>
          <w:sz w:val="24"/>
          <w:szCs w:val="24"/>
        </w:rPr>
        <w:t>.3.2出现影响采购公正的违法、违规行为的。</w:t>
      </w:r>
    </w:p>
    <w:p w14:paraId="675F8E0A">
      <w:pPr>
        <w:spacing w:line="440" w:lineRule="exact"/>
        <w:ind w:firstLine="720"/>
        <w:rPr>
          <w:sz w:val="24"/>
          <w:szCs w:val="24"/>
        </w:rPr>
      </w:pPr>
      <w:r>
        <w:rPr>
          <w:rFonts w:hint="eastAsia"/>
          <w:color w:val="000000"/>
          <w:sz w:val="24"/>
          <w:szCs w:val="24"/>
        </w:rPr>
        <w:t>26</w:t>
      </w:r>
      <w:r>
        <w:rPr>
          <w:color w:val="000000"/>
          <w:sz w:val="24"/>
          <w:szCs w:val="24"/>
        </w:rPr>
        <w:t>.3.3在采购过程中符合要求的供应商或者最后报价未超过采购预算的供应商不足</w:t>
      </w:r>
      <w:r>
        <w:rPr>
          <w:rFonts w:hint="eastAsia"/>
          <w:color w:val="000000"/>
          <w:sz w:val="24"/>
          <w:szCs w:val="24"/>
        </w:rPr>
        <w:t>3</w:t>
      </w:r>
      <w:r>
        <w:rPr>
          <w:color w:val="000000"/>
          <w:sz w:val="24"/>
          <w:szCs w:val="24"/>
        </w:rPr>
        <w:t>家的。</w:t>
      </w:r>
    </w:p>
    <w:p w14:paraId="259CF770">
      <w:pPr>
        <w:spacing w:line="440" w:lineRule="exact"/>
        <w:ind w:firstLine="720"/>
        <w:rPr>
          <w:color w:val="000000"/>
          <w:sz w:val="24"/>
          <w:szCs w:val="24"/>
        </w:rPr>
      </w:pPr>
      <w:r>
        <w:rPr>
          <w:rFonts w:hint="eastAsia"/>
          <w:sz w:val="24"/>
          <w:szCs w:val="24"/>
        </w:rPr>
        <w:t>26</w:t>
      </w:r>
      <w:r>
        <w:rPr>
          <w:sz w:val="24"/>
          <w:szCs w:val="24"/>
        </w:rPr>
        <w:t>.3.4在苏采云系统规定时间内成功解密电子响应文件的供应商不足</w:t>
      </w:r>
      <w:r>
        <w:rPr>
          <w:rFonts w:hint="eastAsia"/>
          <w:sz w:val="24"/>
          <w:szCs w:val="24"/>
        </w:rPr>
        <w:t>3</w:t>
      </w:r>
      <w:r>
        <w:rPr>
          <w:sz w:val="24"/>
          <w:szCs w:val="24"/>
        </w:rPr>
        <w:t>家的</w:t>
      </w:r>
      <w:r>
        <w:rPr>
          <w:color w:val="000000"/>
          <w:sz w:val="24"/>
          <w:szCs w:val="24"/>
        </w:rPr>
        <w:t>。</w:t>
      </w:r>
    </w:p>
    <w:p w14:paraId="71AA954F">
      <w:pPr>
        <w:keepNext/>
        <w:keepLines/>
        <w:spacing w:line="440" w:lineRule="exact"/>
        <w:outlineLvl w:val="2"/>
        <w:rPr>
          <w:b/>
          <w:bCs/>
          <w:color w:val="000000"/>
          <w:sz w:val="32"/>
          <w:szCs w:val="32"/>
        </w:rPr>
      </w:pPr>
      <w:bookmarkStart w:id="18" w:name="_Toc10046"/>
      <w:bookmarkStart w:id="19" w:name="_Toc159312653"/>
      <w:r>
        <w:rPr>
          <w:b/>
          <w:bCs/>
          <w:color w:val="000000"/>
          <w:sz w:val="32"/>
          <w:szCs w:val="32"/>
        </w:rPr>
        <w:t>六、成交</w:t>
      </w:r>
      <w:bookmarkEnd w:id="18"/>
      <w:bookmarkEnd w:id="19"/>
    </w:p>
    <w:p w14:paraId="3B1345AF">
      <w:pPr>
        <w:keepNext/>
        <w:keepLines/>
        <w:spacing w:line="440" w:lineRule="exact"/>
        <w:ind w:firstLine="138"/>
        <w:rPr>
          <w:b/>
          <w:color w:val="000000"/>
          <w:sz w:val="28"/>
          <w:szCs w:val="28"/>
        </w:rPr>
      </w:pPr>
      <w:r>
        <w:rPr>
          <w:rFonts w:hint="eastAsia"/>
          <w:b/>
          <w:color w:val="000000"/>
          <w:sz w:val="28"/>
          <w:szCs w:val="28"/>
        </w:rPr>
        <w:t>27、确定成交供应商</w:t>
      </w:r>
    </w:p>
    <w:p w14:paraId="6F3196AA">
      <w:pPr>
        <w:spacing w:line="440" w:lineRule="exact"/>
        <w:ind w:firstLine="480"/>
        <w:rPr>
          <w:color w:val="000000"/>
          <w:sz w:val="24"/>
          <w:szCs w:val="24"/>
        </w:rPr>
      </w:pPr>
      <w:r>
        <w:rPr>
          <w:rFonts w:hint="eastAsia"/>
          <w:color w:val="000000"/>
          <w:sz w:val="24"/>
          <w:szCs w:val="24"/>
        </w:rPr>
        <w:t>27.1磋商小组将采用综合评分法对提交最后报价的供应商的响应文件和最后报价进行综合评分，按评审后得分由高到低顺序排列。得分相同的，按投标报价由低到高顺序排列。得分且投标报价相同的并列，由采购人或者采购人委托评标委员会采取随机抽取的方式确定。</w:t>
      </w:r>
    </w:p>
    <w:p w14:paraId="402FC313">
      <w:pPr>
        <w:spacing w:line="440" w:lineRule="exact"/>
        <w:ind w:firstLine="480"/>
        <w:rPr>
          <w:color w:val="000000"/>
          <w:sz w:val="24"/>
          <w:szCs w:val="24"/>
        </w:rPr>
      </w:pPr>
      <w:r>
        <w:rPr>
          <w:rFonts w:hint="eastAsia"/>
          <w:color w:val="000000"/>
          <w:sz w:val="24"/>
          <w:szCs w:val="24"/>
        </w:rPr>
        <w:t>27.2</w:t>
      </w:r>
      <w:r>
        <w:rPr>
          <w:sz w:val="24"/>
          <w:szCs w:val="24"/>
        </w:rPr>
        <w:t>磋商小组根据排列情况将推荐成交候选人，并根据采购人委托直接确定成交供应商。</w:t>
      </w:r>
    </w:p>
    <w:p w14:paraId="23646557">
      <w:pPr>
        <w:spacing w:line="440" w:lineRule="exact"/>
        <w:ind w:firstLine="361"/>
        <w:rPr>
          <w:sz w:val="24"/>
          <w:szCs w:val="24"/>
        </w:rPr>
      </w:pPr>
      <w:r>
        <w:rPr>
          <w:b/>
          <w:bCs/>
          <w:color w:val="000000"/>
          <w:sz w:val="24"/>
          <w:szCs w:val="24"/>
        </w:rPr>
        <w:t>注：“有效供应商”是指通过资格性和符合性检查的供应商。</w:t>
      </w:r>
    </w:p>
    <w:p w14:paraId="09B1D08D">
      <w:pPr>
        <w:spacing w:line="440" w:lineRule="exact"/>
        <w:ind w:firstLine="480"/>
        <w:rPr>
          <w:color w:val="000000"/>
          <w:sz w:val="24"/>
          <w:szCs w:val="24"/>
        </w:rPr>
      </w:pPr>
      <w:r>
        <w:rPr>
          <w:rFonts w:hint="eastAsia"/>
          <w:color w:val="000000"/>
          <w:sz w:val="24"/>
          <w:szCs w:val="24"/>
        </w:rPr>
        <w:t>27.3</w:t>
      </w:r>
      <w:r>
        <w:rPr>
          <w:color w:val="000000"/>
          <w:sz w:val="24"/>
          <w:szCs w:val="24"/>
        </w:rPr>
        <w:t>采购人确定成交供应商后，代理机构将在</w:t>
      </w:r>
      <w:r>
        <w:rPr>
          <w:rFonts w:hint="eastAsia"/>
          <w:color w:val="000000"/>
          <w:sz w:val="24"/>
          <w:szCs w:val="24"/>
        </w:rPr>
        <w:t>“苏州</w:t>
      </w:r>
      <w:r>
        <w:rPr>
          <w:color w:val="000000"/>
          <w:sz w:val="24"/>
          <w:szCs w:val="24"/>
        </w:rPr>
        <w:t>政府采购网</w:t>
      </w:r>
      <w:r>
        <w:rPr>
          <w:rFonts w:hint="eastAsia"/>
          <w:color w:val="000000"/>
          <w:sz w:val="24"/>
          <w:szCs w:val="24"/>
        </w:rPr>
        <w:t>”</w:t>
      </w:r>
      <w:r>
        <w:rPr>
          <w:color w:val="000000"/>
          <w:sz w:val="24"/>
          <w:szCs w:val="24"/>
        </w:rPr>
        <w:t>发布成交结果公告，公告期限为1个工作日。</w:t>
      </w:r>
    </w:p>
    <w:p w14:paraId="70A7F964">
      <w:pPr>
        <w:spacing w:line="440" w:lineRule="exact"/>
        <w:ind w:firstLine="480"/>
        <w:rPr>
          <w:color w:val="000000"/>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若有充分证据证明，成交供应商出现下列情况之一的，一经查实，将被取消成交资格：</w:t>
      </w:r>
    </w:p>
    <w:p w14:paraId="20E45CDF">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.1提供虚假材料谋取成交的。</w:t>
      </w:r>
    </w:p>
    <w:p w14:paraId="0A6D7EAD">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.2与评审专家、采购人、其他供应商或者代理机构工作人员恶意串通的。</w:t>
      </w:r>
    </w:p>
    <w:p w14:paraId="2577BE4E">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.3向评审专家、采购人或代理机构工作人员行贿或者提供其他不正当利益的。</w:t>
      </w:r>
    </w:p>
    <w:p w14:paraId="2FBF66C3">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.4恶意竞争，最后报价明显低于其自身合理成本且又无法提供证明的。</w:t>
      </w:r>
    </w:p>
    <w:p w14:paraId="78EB65FC">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.5不满足本磋商文件规定的实质性要求，但在评审过程中又未被磋商小组发现的。</w:t>
      </w:r>
    </w:p>
    <w:p w14:paraId="65EB9A14">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.6成交后无正当理由拒不与采购人签订政府采购合同或者未按照磋商文件确定的事项签订政府采购合同的。</w:t>
      </w:r>
    </w:p>
    <w:p w14:paraId="534705F0">
      <w:pPr>
        <w:spacing w:line="440" w:lineRule="exact"/>
        <w:ind w:firstLine="720"/>
        <w:rPr>
          <w:sz w:val="24"/>
          <w:szCs w:val="24"/>
        </w:rPr>
      </w:pPr>
      <w:r>
        <w:rPr>
          <w:rFonts w:hint="eastAsia"/>
          <w:color w:val="000000"/>
          <w:sz w:val="24"/>
          <w:szCs w:val="24"/>
        </w:rPr>
        <w:t>27</w:t>
      </w:r>
      <w:r>
        <w:rPr>
          <w:color w:val="000000"/>
          <w:sz w:val="24"/>
          <w:szCs w:val="24"/>
        </w:rPr>
        <w:t>.</w:t>
      </w:r>
      <w:r>
        <w:rPr>
          <w:rFonts w:hint="eastAsia"/>
          <w:color w:val="000000"/>
          <w:sz w:val="24"/>
          <w:szCs w:val="24"/>
        </w:rPr>
        <w:t>4</w:t>
      </w:r>
      <w:r>
        <w:rPr>
          <w:color w:val="000000"/>
          <w:sz w:val="24"/>
          <w:szCs w:val="24"/>
        </w:rPr>
        <w:t>.7将政府采购合同转包的。</w:t>
      </w:r>
    </w:p>
    <w:p w14:paraId="5656925E">
      <w:pPr>
        <w:keepNext/>
        <w:keepLines/>
        <w:spacing w:line="440" w:lineRule="exact"/>
        <w:ind w:firstLine="138"/>
        <w:rPr>
          <w:b/>
          <w:color w:val="000000"/>
          <w:sz w:val="28"/>
          <w:szCs w:val="28"/>
        </w:rPr>
      </w:pPr>
      <w:r>
        <w:rPr>
          <w:rFonts w:hint="eastAsia"/>
          <w:b/>
          <w:color w:val="000000"/>
          <w:sz w:val="28"/>
          <w:szCs w:val="28"/>
        </w:rPr>
        <w:t>28、成交通知书</w:t>
      </w:r>
    </w:p>
    <w:p w14:paraId="13002D79">
      <w:pPr>
        <w:spacing w:line="440" w:lineRule="exact"/>
        <w:ind w:firstLine="480"/>
        <w:rPr>
          <w:color w:val="000000"/>
          <w:sz w:val="24"/>
          <w:szCs w:val="24"/>
        </w:rPr>
      </w:pPr>
      <w:r>
        <w:rPr>
          <w:rFonts w:hint="eastAsia"/>
          <w:color w:val="000000"/>
          <w:sz w:val="24"/>
          <w:szCs w:val="24"/>
        </w:rPr>
        <w:t>28</w:t>
      </w:r>
      <w:r>
        <w:rPr>
          <w:color w:val="000000"/>
          <w:sz w:val="24"/>
          <w:szCs w:val="24"/>
        </w:rPr>
        <w:t>.1成交结果确定后，代理机构将向成交供应商发出成交通知书。请成交供应商在成交结果公告届满之日起30日内</w:t>
      </w:r>
      <w:r>
        <w:rPr>
          <w:rFonts w:hint="eastAsia"/>
          <w:color w:val="000000"/>
          <w:sz w:val="24"/>
          <w:szCs w:val="24"/>
        </w:rPr>
        <w:t>，</w:t>
      </w:r>
      <w:r>
        <w:rPr>
          <w:color w:val="000000"/>
          <w:sz w:val="24"/>
          <w:szCs w:val="24"/>
        </w:rPr>
        <w:t>使用CA数字证书登录苏采云系统及时下载成交通知书。因系统存储空间有限，自成交结果公告届满之日起30日后，苏采云系统不再保证提供下载成交通知书服务</w:t>
      </w:r>
      <w:r>
        <w:rPr>
          <w:rFonts w:hint="eastAsia"/>
          <w:color w:val="000000"/>
          <w:sz w:val="24"/>
          <w:szCs w:val="24"/>
        </w:rPr>
        <w:t>，</w:t>
      </w:r>
      <w:r>
        <w:rPr>
          <w:color w:val="000000"/>
          <w:sz w:val="24"/>
          <w:szCs w:val="24"/>
        </w:rPr>
        <w:t>因未及时下载而造成的不利后果由成交供应商自行承担。</w:t>
      </w:r>
    </w:p>
    <w:p w14:paraId="456A203C">
      <w:pPr>
        <w:spacing w:line="440" w:lineRule="exact"/>
        <w:ind w:firstLine="480"/>
        <w:rPr>
          <w:color w:val="000000"/>
          <w:sz w:val="24"/>
          <w:szCs w:val="24"/>
        </w:rPr>
      </w:pPr>
      <w:r>
        <w:rPr>
          <w:rFonts w:hint="eastAsia"/>
          <w:color w:val="000000"/>
          <w:sz w:val="24"/>
          <w:szCs w:val="24"/>
        </w:rPr>
        <w:t>28</w:t>
      </w:r>
      <w:r>
        <w:rPr>
          <w:color w:val="000000"/>
          <w:sz w:val="24"/>
          <w:szCs w:val="24"/>
        </w:rPr>
        <w:t>.2成交通知书将是合同的一个组成部分。对采购人和成交供应商均具有法律效力。成交通知书发出后，采购人改变成交结果的，或者成交供应商放弃成交项目的，应当依法承担法律责任。</w:t>
      </w:r>
    </w:p>
    <w:p w14:paraId="5B2634E9">
      <w:pPr>
        <w:keepNext/>
        <w:keepLines/>
        <w:spacing w:line="440" w:lineRule="exact"/>
        <w:outlineLvl w:val="2"/>
        <w:rPr>
          <w:b/>
          <w:bCs/>
          <w:color w:val="000000"/>
          <w:sz w:val="32"/>
          <w:szCs w:val="32"/>
        </w:rPr>
      </w:pPr>
      <w:bookmarkStart w:id="20" w:name="_Toc159312654"/>
      <w:bookmarkStart w:id="21" w:name="_Toc2015"/>
      <w:r>
        <w:rPr>
          <w:b/>
          <w:bCs/>
          <w:color w:val="000000"/>
          <w:sz w:val="32"/>
          <w:szCs w:val="32"/>
        </w:rPr>
        <w:t>七、授予合同</w:t>
      </w:r>
      <w:bookmarkEnd w:id="20"/>
      <w:bookmarkEnd w:id="21"/>
    </w:p>
    <w:p w14:paraId="1E0A1297">
      <w:pPr>
        <w:keepNext/>
        <w:keepLines/>
        <w:spacing w:line="440" w:lineRule="exact"/>
        <w:ind w:firstLine="138"/>
        <w:rPr>
          <w:b/>
          <w:color w:val="000000"/>
          <w:sz w:val="28"/>
          <w:szCs w:val="28"/>
        </w:rPr>
      </w:pPr>
      <w:r>
        <w:rPr>
          <w:rFonts w:hint="eastAsia"/>
          <w:b/>
          <w:color w:val="000000"/>
          <w:sz w:val="28"/>
          <w:szCs w:val="28"/>
        </w:rPr>
        <w:t>29、签订合同</w:t>
      </w:r>
    </w:p>
    <w:p w14:paraId="54551771">
      <w:pPr>
        <w:spacing w:line="440" w:lineRule="exact"/>
        <w:ind w:firstLine="480"/>
        <w:rPr>
          <w:color w:val="000000"/>
          <w:sz w:val="24"/>
          <w:szCs w:val="24"/>
        </w:rPr>
      </w:pPr>
      <w:r>
        <w:rPr>
          <w:rFonts w:hint="eastAsia"/>
          <w:color w:val="000000"/>
          <w:sz w:val="24"/>
          <w:szCs w:val="24"/>
        </w:rPr>
        <w:t>29</w:t>
      </w:r>
      <w:r>
        <w:rPr>
          <w:color w:val="000000"/>
          <w:sz w:val="24"/>
          <w:szCs w:val="24"/>
        </w:rPr>
        <w:t>.l成交供应商应当在成交通知书发出之日起三十日内，按照磋商文件确定的事项与采购人签订政府采购合同。</w:t>
      </w:r>
    </w:p>
    <w:p w14:paraId="16375B09">
      <w:pPr>
        <w:spacing w:line="440" w:lineRule="exact"/>
        <w:ind w:firstLine="480"/>
        <w:rPr>
          <w:color w:val="000000"/>
          <w:sz w:val="24"/>
          <w:szCs w:val="24"/>
        </w:rPr>
      </w:pPr>
      <w:r>
        <w:rPr>
          <w:rFonts w:hint="eastAsia"/>
          <w:color w:val="000000"/>
          <w:sz w:val="24"/>
          <w:szCs w:val="24"/>
        </w:rPr>
        <w:t>29</w:t>
      </w:r>
      <w:r>
        <w:rPr>
          <w:color w:val="000000"/>
          <w:sz w:val="24"/>
          <w:szCs w:val="24"/>
        </w:rPr>
        <w:t>.2磋商文件、成交供应商的响应文件及磋商过程中有关澄清、承诺文件均应作为合同附件。</w:t>
      </w:r>
    </w:p>
    <w:p w14:paraId="5CE7B3A2">
      <w:pPr>
        <w:spacing w:line="440" w:lineRule="exact"/>
        <w:ind w:firstLine="480"/>
        <w:rPr>
          <w:color w:val="000000"/>
          <w:sz w:val="24"/>
          <w:szCs w:val="24"/>
        </w:rPr>
      </w:pPr>
      <w:r>
        <w:rPr>
          <w:rFonts w:hint="eastAsia"/>
          <w:color w:val="000000"/>
          <w:sz w:val="24"/>
          <w:szCs w:val="24"/>
        </w:rPr>
        <w:t>29</w:t>
      </w:r>
      <w:r>
        <w:rPr>
          <w:color w:val="000000"/>
          <w:sz w:val="24"/>
          <w:szCs w:val="24"/>
        </w:rPr>
        <w:t>.3签订合同后，成交供应商不得将合同标的进行转包。未经采购人同意，成交供应商也不得采用分包形式履行合同,否则采购人有权终止合同。转包或分包造成采购人损失的，成交供应商应承担相应赔偿责任。</w:t>
      </w:r>
    </w:p>
    <w:p w14:paraId="513C95D5">
      <w:pPr>
        <w:keepNext/>
        <w:keepLines/>
        <w:spacing w:line="440" w:lineRule="exact"/>
        <w:ind w:firstLine="138"/>
        <w:rPr>
          <w:b/>
          <w:color w:val="000000"/>
          <w:sz w:val="28"/>
          <w:szCs w:val="28"/>
        </w:rPr>
      </w:pPr>
      <w:r>
        <w:rPr>
          <w:rFonts w:hint="eastAsia"/>
          <w:b/>
          <w:color w:val="000000"/>
          <w:sz w:val="28"/>
          <w:szCs w:val="28"/>
        </w:rPr>
        <w:t>30、标的物的追加</w:t>
      </w:r>
    </w:p>
    <w:p w14:paraId="0D6337FB">
      <w:pPr>
        <w:spacing w:line="440" w:lineRule="exact"/>
        <w:ind w:firstLine="480"/>
        <w:rPr>
          <w:color w:val="000000"/>
          <w:sz w:val="24"/>
          <w:szCs w:val="24"/>
        </w:rPr>
      </w:pPr>
      <w:r>
        <w:rPr>
          <w:rFonts w:hint="eastAsia"/>
          <w:color w:val="000000"/>
          <w:sz w:val="24"/>
          <w:szCs w:val="24"/>
        </w:rPr>
        <w:t>30</w:t>
      </w:r>
      <w:r>
        <w:rPr>
          <w:color w:val="000000"/>
          <w:sz w:val="24"/>
          <w:szCs w:val="24"/>
        </w:rPr>
        <w:t>.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47C7015C">
      <w:pPr>
        <w:keepNext/>
        <w:keepLines/>
        <w:spacing w:line="440" w:lineRule="exact"/>
        <w:ind w:firstLine="138"/>
        <w:rPr>
          <w:b/>
          <w:color w:val="000000"/>
          <w:sz w:val="28"/>
          <w:szCs w:val="28"/>
        </w:rPr>
      </w:pPr>
      <w:r>
        <w:rPr>
          <w:rFonts w:hint="eastAsia"/>
          <w:b/>
          <w:color w:val="000000"/>
          <w:sz w:val="28"/>
          <w:szCs w:val="28"/>
        </w:rPr>
        <w:t>31、政府采购履约资金扶持政策</w:t>
      </w:r>
    </w:p>
    <w:p w14:paraId="3AC4A0B8">
      <w:pPr>
        <w:spacing w:line="440" w:lineRule="exact"/>
        <w:ind w:firstLine="480"/>
        <w:rPr>
          <w:color w:val="000000"/>
          <w:sz w:val="24"/>
          <w:szCs w:val="24"/>
        </w:rPr>
      </w:pPr>
      <w:r>
        <w:rPr>
          <w:color w:val="000000"/>
          <w:sz w:val="24"/>
          <w:szCs w:val="24"/>
        </w:rPr>
        <w:t>成交供应商可凭政府采购合同办理融资贷款</w:t>
      </w:r>
      <w:r>
        <w:rPr>
          <w:rFonts w:hint="eastAsia"/>
          <w:color w:val="000000"/>
          <w:sz w:val="24"/>
          <w:szCs w:val="24"/>
        </w:rPr>
        <w:t>，详情请见苏州市政府采购网“政府采购合同信用融资”专栏。</w:t>
      </w:r>
    </w:p>
    <w:p w14:paraId="643A8109">
      <w:pPr>
        <w:pStyle w:val="4"/>
        <w:rPr>
          <w:szCs w:val="36"/>
        </w:rPr>
      </w:pPr>
      <w:r>
        <w:rPr/>
        <w:br w:type="page" w:clear="all"/>
      </w:r>
      <w:bookmarkStart w:id="22" w:name="_Toc4605"/>
      <w:bookmarkStart w:id="23" w:name="_Toc22334"/>
      <w:bookmarkStart w:id="24" w:name="_Toc159312655"/>
      <w:bookmarkStart w:id="25" w:name="_Toc14167"/>
      <w:bookmarkStart w:id="26" w:name="_Toc103080650"/>
      <w:r>
        <w:rPr>
          <w:szCs w:val="36"/>
        </w:rPr>
        <w:t>第</w:t>
      </w:r>
      <w:r>
        <w:rPr>
          <w:rFonts w:hint="eastAsia"/>
          <w:szCs w:val="36"/>
        </w:rPr>
        <w:t>三</w:t>
      </w:r>
      <w:r>
        <w:rPr>
          <w:szCs w:val="36"/>
        </w:rPr>
        <w:t>章  合同</w:t>
      </w:r>
      <w:bookmarkEnd w:id="22"/>
      <w:bookmarkEnd w:id="23"/>
      <w:bookmarkEnd w:id="24"/>
      <w:r>
        <w:rPr>
          <w:rFonts w:hint="eastAsia"/>
          <w:szCs w:val="36"/>
        </w:rPr>
        <w:t>文本</w:t>
      </w:r>
      <w:bookmarkEnd w:id="25"/>
    </w:p>
    <w:p w14:paraId="6F4C87A7">
      <w:pPr>
        <w:spacing w:line="660" w:lineRule="exact"/>
        <w:jc w:val="center"/>
        <w:rPr>
          <w:rFonts w:cs="宋体"/>
          <w:b/>
          <w:color w:val="000000"/>
          <w:sz w:val="36"/>
          <w:szCs w:val="36"/>
        </w:rPr>
      </w:pPr>
      <w:r>
        <w:rPr>
          <w:rFonts w:hint="eastAsia" w:cs="宋体"/>
          <w:b/>
          <w:color w:val="000000"/>
          <w:sz w:val="36"/>
          <w:szCs w:val="36"/>
        </w:rPr>
        <w:t>常熟市政府采购服务合同</w:t>
      </w:r>
    </w:p>
    <w:p w14:paraId="2D2EDF17">
      <w:pPr>
        <w:spacing w:line="440" w:lineRule="exact"/>
        <w:jc w:val="center"/>
        <w:rPr>
          <w:rFonts w:cs="宋体"/>
          <w:bCs/>
          <w:color w:val="000000"/>
          <w:sz w:val="24"/>
          <w:szCs w:val="24"/>
        </w:rPr>
      </w:pPr>
      <w:r>
        <w:rPr>
          <w:rFonts w:hint="eastAsia" w:cs="宋体"/>
          <w:bCs/>
          <w:color w:val="000000"/>
          <w:sz w:val="24"/>
          <w:szCs w:val="24"/>
        </w:rPr>
        <w:t xml:space="preserve">                                     编号：</w:t>
      </w:r>
    </w:p>
    <w:p w14:paraId="398D84C3">
      <w:pPr>
        <w:spacing w:line="440" w:lineRule="exact"/>
        <w:jc w:val="center"/>
        <w:rPr>
          <w:rFonts w:cs="宋体"/>
          <w:bCs/>
          <w:color w:val="000000"/>
          <w:sz w:val="24"/>
          <w:szCs w:val="24"/>
        </w:rPr>
      </w:pPr>
      <w:r>
        <w:rPr>
          <w:rFonts w:hint="eastAsia" w:cs="宋体"/>
          <w:bCs/>
          <w:color w:val="000000"/>
          <w:sz w:val="24"/>
          <w:szCs w:val="24"/>
        </w:rPr>
        <w:t xml:space="preserve">                                               签订地点：常熟市</w:t>
      </w:r>
    </w:p>
    <w:p w14:paraId="10ABC6FD">
      <w:pPr>
        <w:spacing w:line="440" w:lineRule="exact"/>
        <w:ind w:firstLine="560"/>
        <w:rPr>
          <w:rFonts w:cs="宋体"/>
          <w:bCs/>
          <w:color w:val="000000"/>
          <w:sz w:val="24"/>
          <w:szCs w:val="24"/>
        </w:rPr>
      </w:pPr>
    </w:p>
    <w:p w14:paraId="5B8DBE34">
      <w:pPr>
        <w:spacing w:line="440" w:lineRule="exact"/>
        <w:ind w:firstLine="240"/>
        <w:rPr>
          <w:rFonts w:cs="宋体"/>
          <w:bCs/>
          <w:color w:val="000000"/>
          <w:sz w:val="24"/>
          <w:szCs w:val="24"/>
          <w:u w:val="single"/>
        </w:rPr>
      </w:pPr>
      <w:r>
        <w:rPr>
          <w:rFonts w:hint="eastAsia" w:cs="宋体"/>
          <w:bCs/>
          <w:color w:val="000000"/>
          <w:sz w:val="24"/>
          <w:szCs w:val="24"/>
        </w:rPr>
        <w:t>甲方：</w:t>
      </w:r>
      <w:r>
        <w:rPr>
          <w:rFonts w:hint="eastAsia" w:cs="宋体"/>
          <w:bCs/>
          <w:color w:val="000000"/>
          <w:sz w:val="24"/>
          <w:szCs w:val="24"/>
          <w:u w:val="single"/>
        </w:rPr>
        <w:t xml:space="preserve">   常熟市自然资源和规划局   </w:t>
      </w:r>
    </w:p>
    <w:p w14:paraId="59A9F1D3">
      <w:pPr>
        <w:spacing w:line="440" w:lineRule="exact"/>
        <w:ind w:firstLine="240"/>
        <w:rPr>
          <w:rFonts w:cs="宋体"/>
          <w:bCs/>
          <w:color w:val="000000"/>
          <w:sz w:val="24"/>
          <w:szCs w:val="24"/>
          <w:u w:val="single"/>
        </w:rPr>
      </w:pPr>
      <w:r>
        <w:rPr>
          <w:rFonts w:hint="eastAsia" w:cs="宋体"/>
          <w:bCs/>
          <w:color w:val="000000"/>
          <w:sz w:val="24"/>
          <w:szCs w:val="24"/>
        </w:rPr>
        <w:t>乙方：</w:t>
      </w:r>
      <w:r>
        <w:rPr>
          <w:rFonts w:hint="eastAsia" w:cs="宋体"/>
          <w:bCs/>
          <w:color w:val="000000"/>
          <w:sz w:val="24"/>
          <w:szCs w:val="24"/>
          <w:u w:val="single"/>
        </w:rPr>
        <w:t xml:space="preserve">                                  </w:t>
      </w:r>
    </w:p>
    <w:p w14:paraId="62A05BBC">
      <w:pPr>
        <w:spacing w:line="440" w:lineRule="exact"/>
        <w:ind w:firstLine="240"/>
        <w:rPr>
          <w:rFonts w:cs="宋体"/>
          <w:bCs/>
          <w:color w:val="000000"/>
          <w:sz w:val="24"/>
          <w:szCs w:val="24"/>
        </w:rPr>
      </w:pPr>
      <w:r>
        <w:rPr>
          <w:rFonts w:hint="eastAsia" w:cs="宋体"/>
          <w:bCs/>
          <w:color w:val="000000"/>
          <w:sz w:val="24"/>
          <w:szCs w:val="24"/>
        </w:rPr>
        <w:t>信用融资回款账户：</w:t>
      </w:r>
      <w:r>
        <w:rPr>
          <w:rFonts w:hint="eastAsia" w:cs="宋体"/>
          <w:bCs/>
          <w:color w:val="000000"/>
          <w:sz w:val="24"/>
          <w:szCs w:val="24"/>
          <w:u w:val="single"/>
        </w:rPr>
        <w:t xml:space="preserve">                               </w:t>
      </w:r>
      <w:r>
        <w:rPr>
          <w:rFonts w:hint="eastAsia" w:cs="宋体"/>
          <w:bCs/>
          <w:color w:val="000000"/>
          <w:sz w:val="24"/>
          <w:szCs w:val="24"/>
        </w:rPr>
        <w:t>（如无可不填写）</w:t>
      </w:r>
    </w:p>
    <w:p w14:paraId="1F108CA0">
      <w:pPr>
        <w:spacing w:line="440" w:lineRule="exact"/>
        <w:ind w:firstLine="240"/>
        <w:rPr>
          <w:rFonts w:cs="宋体"/>
          <w:bCs/>
          <w:color w:val="000000"/>
          <w:sz w:val="24"/>
          <w:szCs w:val="24"/>
          <w:u w:val="single"/>
        </w:rPr>
      </w:pPr>
      <w:r>
        <w:rPr>
          <w:rFonts w:hint="eastAsia" w:cs="宋体"/>
          <w:bCs/>
          <w:color w:val="000000"/>
          <w:sz w:val="24"/>
          <w:szCs w:val="24"/>
        </w:rPr>
        <w:t>开户银行：</w:t>
      </w:r>
      <w:r>
        <w:rPr>
          <w:rFonts w:hint="eastAsia" w:cs="宋体"/>
          <w:bCs/>
          <w:color w:val="000000"/>
          <w:sz w:val="24"/>
          <w:szCs w:val="24"/>
          <w:u w:val="single"/>
        </w:rPr>
        <w:t xml:space="preserve">                                        </w:t>
      </w:r>
    </w:p>
    <w:p w14:paraId="14A81D83">
      <w:pPr>
        <w:spacing w:line="440" w:lineRule="exact"/>
        <w:ind w:firstLine="560"/>
        <w:rPr>
          <w:rFonts w:cs="宋体"/>
          <w:bCs/>
          <w:color w:val="000000"/>
          <w:sz w:val="24"/>
          <w:szCs w:val="24"/>
        </w:rPr>
      </w:pPr>
    </w:p>
    <w:p w14:paraId="00869138">
      <w:pPr>
        <w:spacing w:line="440" w:lineRule="exact"/>
        <w:ind w:firstLine="560"/>
        <w:rPr>
          <w:rFonts w:cs="宋体"/>
          <w:bCs/>
          <w:color w:val="000000"/>
          <w:sz w:val="24"/>
          <w:szCs w:val="24"/>
        </w:rPr>
      </w:pPr>
      <w:r>
        <w:rPr>
          <w:rFonts w:hint="eastAsia" w:cs="宋体"/>
          <w:bCs/>
          <w:color w:val="000000"/>
          <w:sz w:val="24"/>
          <w:szCs w:val="24"/>
        </w:rPr>
        <w:t xml:space="preserve">根据《中华人民共和国政府采购法》及其实施条例、《中华人民共和国民法典》等法律法规的规定，甲乙双方按照 </w:t>
      </w:r>
      <w:r>
        <w:rPr>
          <w:rFonts w:hint="eastAsia" w:cs="宋体"/>
          <w:bCs/>
          <w:color w:val="000000"/>
          <w:sz w:val="24"/>
          <w:szCs w:val="24"/>
          <w:u w:val="single"/>
          <w:lang w:eastAsia="zh-CN"/>
        </w:rPr>
        <w:t>常熟市地籍一张图编制项目（二期）</w:t>
      </w:r>
      <w:r>
        <w:rPr>
          <w:rFonts w:hint="eastAsia" w:cs="宋体"/>
          <w:bCs/>
          <w:color w:val="000000"/>
          <w:sz w:val="24"/>
          <w:szCs w:val="24"/>
        </w:rPr>
        <w:t xml:space="preserve"> 项目（项目编号：</w:t>
      </w:r>
      <w:r>
        <w:rPr>
          <w:rFonts w:hint="eastAsia" w:cs="宋体"/>
          <w:bCs/>
          <w:color w:val="000000"/>
          <w:sz w:val="24"/>
          <w:szCs w:val="24"/>
          <w:u w:val="single"/>
          <w:lang w:eastAsia="zh-CN"/>
        </w:rPr>
        <w:t>JSZC-320581-CSXC-C2026-0004</w:t>
      </w:r>
      <w:r>
        <w:rPr>
          <w:rFonts w:hint="eastAsia" w:cs="宋体"/>
          <w:bCs/>
          <w:color w:val="000000"/>
          <w:sz w:val="24"/>
          <w:szCs w:val="24"/>
        </w:rPr>
        <w:t>）政府采购结果签订本合同。</w:t>
      </w:r>
    </w:p>
    <w:p w14:paraId="0C829952">
      <w:pPr>
        <w:spacing w:line="440" w:lineRule="exact"/>
        <w:rPr>
          <w:rFonts w:cs="宋体"/>
          <w:b/>
          <w:color w:val="000000"/>
          <w:sz w:val="24"/>
          <w:szCs w:val="24"/>
        </w:rPr>
      </w:pPr>
      <w:bookmarkStart w:id="27" w:name="_Toc6311"/>
      <w:bookmarkStart w:id="28" w:name="_Toc2918"/>
      <w:bookmarkStart w:id="29" w:name="_Toc6773"/>
      <w:bookmarkStart w:id="30" w:name="_Toc22185"/>
      <w:bookmarkStart w:id="31" w:name="_Toc18585"/>
      <w:r>
        <w:rPr>
          <w:rFonts w:hint="eastAsia" w:cs="宋体"/>
          <w:b/>
          <w:color w:val="000000"/>
          <w:sz w:val="24"/>
          <w:szCs w:val="24"/>
        </w:rPr>
        <w:t>第一条 定义</w:t>
      </w:r>
    </w:p>
    <w:p w14:paraId="40592FC2">
      <w:pPr>
        <w:spacing w:line="440" w:lineRule="exact"/>
        <w:ind w:firstLine="560"/>
        <w:rPr>
          <w:rFonts w:cs="宋体"/>
          <w:bCs/>
          <w:color w:val="000000"/>
          <w:sz w:val="24"/>
          <w:szCs w:val="24"/>
        </w:rPr>
      </w:pPr>
      <w:r>
        <w:rPr>
          <w:rFonts w:hint="eastAsia" w:cs="宋体"/>
          <w:bCs/>
          <w:color w:val="000000"/>
          <w:sz w:val="24"/>
          <w:szCs w:val="24"/>
        </w:rPr>
        <w:t>除非另有特别解释或说明，本合同有关词语应按如下定义解释：</w:t>
      </w:r>
    </w:p>
    <w:p w14:paraId="1FC9F356">
      <w:pPr>
        <w:spacing w:line="440" w:lineRule="exact"/>
        <w:ind w:firstLine="560"/>
        <w:rPr>
          <w:rFonts w:cs="宋体"/>
          <w:bCs/>
          <w:color w:val="000000"/>
          <w:sz w:val="24"/>
          <w:szCs w:val="24"/>
        </w:rPr>
      </w:pPr>
      <w:r>
        <w:rPr>
          <w:rFonts w:hint="eastAsia" w:cs="宋体"/>
          <w:bCs/>
          <w:color w:val="000000"/>
          <w:sz w:val="24"/>
          <w:szCs w:val="24"/>
        </w:rPr>
        <w:t>1.1合同：甲乙双方签署的，与本项目相关的合同书、附件、附录、其他文件以及政府采购程序中的全部文件。</w:t>
      </w:r>
    </w:p>
    <w:p w14:paraId="2BF1CA5F">
      <w:pPr>
        <w:spacing w:line="440" w:lineRule="exact"/>
        <w:ind w:firstLine="560"/>
        <w:rPr>
          <w:rFonts w:cs="宋体"/>
          <w:bCs/>
          <w:color w:val="000000"/>
          <w:sz w:val="24"/>
          <w:szCs w:val="24"/>
        </w:rPr>
      </w:pPr>
      <w:r>
        <w:rPr>
          <w:rFonts w:hint="eastAsia" w:cs="宋体"/>
          <w:bCs/>
          <w:color w:val="000000"/>
          <w:sz w:val="24"/>
          <w:szCs w:val="24"/>
        </w:rPr>
        <w:t>1.2甲方：购买本合同项下服务的国家机关、事业单位、团体组织。</w:t>
      </w:r>
    </w:p>
    <w:p w14:paraId="113055A1">
      <w:pPr>
        <w:spacing w:line="440" w:lineRule="exact"/>
        <w:ind w:firstLine="560"/>
        <w:rPr>
          <w:rFonts w:cs="宋体"/>
          <w:bCs/>
          <w:color w:val="000000"/>
          <w:sz w:val="24"/>
          <w:szCs w:val="24"/>
        </w:rPr>
      </w:pPr>
      <w:r>
        <w:rPr>
          <w:rFonts w:hint="eastAsia" w:cs="宋体"/>
          <w:bCs/>
          <w:color w:val="000000"/>
          <w:sz w:val="24"/>
          <w:szCs w:val="24"/>
        </w:rPr>
        <w:t>1.3乙方：提供本合同项下服务的法人、其他组织或自然人。</w:t>
      </w:r>
    </w:p>
    <w:p w14:paraId="0CCC07AE">
      <w:pPr>
        <w:spacing w:line="440" w:lineRule="exact"/>
        <w:ind w:firstLine="560"/>
        <w:rPr>
          <w:rFonts w:cs="宋体"/>
          <w:bCs/>
          <w:color w:val="000000"/>
          <w:sz w:val="24"/>
          <w:szCs w:val="24"/>
        </w:rPr>
      </w:pPr>
      <w:r>
        <w:rPr>
          <w:rFonts w:hint="eastAsia" w:cs="宋体"/>
          <w:bCs/>
          <w:color w:val="000000"/>
          <w:sz w:val="24"/>
          <w:szCs w:val="24"/>
        </w:rPr>
        <w:t>1.4服务：提供本合同规定的乙方承担的</w:t>
      </w:r>
      <w:r>
        <w:rPr>
          <w:rFonts w:hint="eastAsia" w:cs="宋体"/>
          <w:bCs/>
          <w:color w:val="000000"/>
          <w:sz w:val="24"/>
          <w:szCs w:val="24"/>
          <w:u w:val="single"/>
          <w:lang w:eastAsia="zh-CN"/>
        </w:rPr>
        <w:t>常熟市地籍一张图编制项目（二期）</w:t>
      </w:r>
      <w:r>
        <w:rPr>
          <w:rFonts w:hint="eastAsia" w:cs="宋体"/>
          <w:bCs/>
          <w:color w:val="000000"/>
          <w:sz w:val="24"/>
          <w:szCs w:val="24"/>
        </w:rPr>
        <w:t>及相关工作。</w:t>
      </w:r>
    </w:p>
    <w:p w14:paraId="5817721D">
      <w:pPr>
        <w:spacing w:line="440" w:lineRule="exact"/>
        <w:ind w:firstLine="560"/>
        <w:rPr>
          <w:rFonts w:cs="宋体"/>
          <w:bCs/>
          <w:color w:val="000000"/>
          <w:sz w:val="24"/>
          <w:szCs w:val="24"/>
        </w:rPr>
      </w:pPr>
      <w:r>
        <w:rPr>
          <w:rFonts w:hint="eastAsia" w:cs="宋体"/>
          <w:bCs/>
          <w:color w:val="000000"/>
          <w:sz w:val="24"/>
          <w:szCs w:val="24"/>
        </w:rPr>
        <w:t>1.5合同价款：根据合同规定乙方在正确地完全履行合同义务后甲方应支付给乙方的价款，包含了甲方购买合同项下相关服务的一切费用。</w:t>
      </w:r>
    </w:p>
    <w:p w14:paraId="68AA3100">
      <w:pPr>
        <w:spacing w:line="440" w:lineRule="exact"/>
        <w:rPr>
          <w:rFonts w:cs="宋体"/>
          <w:b/>
          <w:color w:val="000000"/>
          <w:sz w:val="24"/>
          <w:szCs w:val="24"/>
        </w:rPr>
      </w:pPr>
      <w:r>
        <w:rPr>
          <w:rFonts w:hint="eastAsia" w:cs="宋体"/>
          <w:b/>
          <w:color w:val="000000"/>
          <w:sz w:val="24"/>
          <w:szCs w:val="24"/>
        </w:rPr>
        <w:t>第二条 组成本合同的文件</w:t>
      </w:r>
    </w:p>
    <w:p w14:paraId="46BC3A4D">
      <w:pPr>
        <w:spacing w:line="440" w:lineRule="exact"/>
        <w:ind w:firstLine="560"/>
        <w:rPr>
          <w:rFonts w:cs="宋体"/>
          <w:bCs/>
          <w:color w:val="000000"/>
          <w:sz w:val="24"/>
          <w:szCs w:val="24"/>
        </w:rPr>
      </w:pPr>
      <w:r>
        <w:rPr>
          <w:rFonts w:hint="eastAsia" w:cs="宋体"/>
          <w:bCs/>
          <w:color w:val="000000"/>
          <w:sz w:val="24"/>
          <w:szCs w:val="24"/>
        </w:rPr>
        <w:t>2.1下列文件是组成本合同的不可分割的部分：</w:t>
      </w:r>
    </w:p>
    <w:p w14:paraId="1C94D64B">
      <w:pPr>
        <w:spacing w:line="440" w:lineRule="exact"/>
        <w:ind w:firstLine="560"/>
        <w:rPr>
          <w:rFonts w:cs="宋体"/>
          <w:bCs/>
          <w:color w:val="000000"/>
          <w:sz w:val="24"/>
          <w:szCs w:val="24"/>
        </w:rPr>
      </w:pPr>
      <w:r>
        <w:rPr>
          <w:rFonts w:hint="eastAsia" w:cs="宋体"/>
          <w:bCs/>
          <w:color w:val="000000"/>
          <w:sz w:val="24"/>
          <w:szCs w:val="24"/>
        </w:rPr>
        <w:t>①中标或成交通知书；</w:t>
      </w:r>
    </w:p>
    <w:p w14:paraId="6378C2F8">
      <w:pPr>
        <w:spacing w:line="440" w:lineRule="exact"/>
        <w:ind w:firstLine="560"/>
        <w:rPr>
          <w:rFonts w:cs="宋体"/>
          <w:bCs/>
          <w:color w:val="000000"/>
          <w:sz w:val="24"/>
          <w:szCs w:val="24"/>
        </w:rPr>
      </w:pPr>
      <w:r>
        <w:rPr>
          <w:rFonts w:hint="eastAsia" w:cs="宋体"/>
          <w:bCs/>
          <w:color w:val="000000"/>
          <w:sz w:val="24"/>
          <w:szCs w:val="24"/>
        </w:rPr>
        <w:t>②磋商文件、竞争性谈判文件、询价文件、单一来源谈判记录、竞争性磋商文件等（以下统称“采购文件”）；</w:t>
      </w:r>
    </w:p>
    <w:p w14:paraId="65BA65D5">
      <w:pPr>
        <w:spacing w:line="440" w:lineRule="exact"/>
        <w:ind w:firstLine="560"/>
        <w:rPr>
          <w:rFonts w:cs="宋体"/>
          <w:bCs/>
          <w:color w:val="000000"/>
          <w:sz w:val="24"/>
          <w:szCs w:val="24"/>
        </w:rPr>
      </w:pPr>
      <w:r>
        <w:rPr>
          <w:rFonts w:hint="eastAsia" w:cs="宋体"/>
          <w:bCs/>
          <w:color w:val="000000"/>
          <w:sz w:val="24"/>
          <w:szCs w:val="24"/>
        </w:rPr>
        <w:t>③乙方的投标文件或响应文件；</w:t>
      </w:r>
    </w:p>
    <w:p w14:paraId="704DD9D8">
      <w:pPr>
        <w:spacing w:line="440" w:lineRule="exact"/>
        <w:ind w:firstLine="560"/>
        <w:rPr>
          <w:rFonts w:cs="宋体"/>
          <w:bCs/>
          <w:color w:val="000000"/>
          <w:sz w:val="24"/>
          <w:szCs w:val="24"/>
        </w:rPr>
      </w:pPr>
      <w:r>
        <w:rPr>
          <w:rFonts w:hint="eastAsia" w:cs="宋体"/>
          <w:bCs/>
          <w:color w:val="000000"/>
          <w:sz w:val="24"/>
          <w:szCs w:val="24"/>
        </w:rPr>
        <w:t>④乙方在报价过程中所作的其它承诺、声明、书面澄清等。</w:t>
      </w:r>
    </w:p>
    <w:p w14:paraId="76D941AF">
      <w:pPr>
        <w:spacing w:line="440" w:lineRule="exact"/>
        <w:ind w:firstLine="560"/>
        <w:rPr>
          <w:rFonts w:cs="宋体"/>
          <w:bCs/>
          <w:color w:val="000000"/>
          <w:sz w:val="24"/>
          <w:szCs w:val="24"/>
        </w:rPr>
      </w:pPr>
      <w:bookmarkStart w:id="32" w:name="_Hlk144021334"/>
      <w:r>
        <w:rPr>
          <w:rFonts w:hint="eastAsia" w:cs="宋体"/>
          <w:bCs/>
          <w:color w:val="000000"/>
          <w:sz w:val="24"/>
          <w:szCs w:val="24"/>
        </w:rPr>
        <w:t>2.2上述文件之间如果出现不一致的，以甲方文件确定的内容为准，但乙方文件的内容对甲方更有利的，适用乙方文件。</w:t>
      </w:r>
    </w:p>
    <w:p w14:paraId="07C11C6C">
      <w:pPr>
        <w:spacing w:line="440" w:lineRule="exact"/>
        <w:ind w:firstLine="560"/>
        <w:rPr>
          <w:rFonts w:cs="宋体"/>
          <w:bCs/>
          <w:color w:val="000000"/>
          <w:sz w:val="24"/>
          <w:szCs w:val="24"/>
        </w:rPr>
      </w:pPr>
      <w:r>
        <w:rPr>
          <w:rFonts w:hint="eastAsia" w:cs="宋体"/>
          <w:bCs/>
          <w:color w:val="000000"/>
          <w:sz w:val="24"/>
          <w:szCs w:val="24"/>
        </w:rPr>
        <w:t>2.3乙方文件应当符合采购文件确定的原则，如果乙方文件中的表述，形式上符合磋商文件原则，但具体内容对甲方不利、对乙方有利的，视为背离采购文件，不予适用。</w:t>
      </w:r>
      <w:bookmarkEnd w:id="27"/>
      <w:bookmarkEnd w:id="28"/>
      <w:bookmarkEnd w:id="29"/>
      <w:bookmarkEnd w:id="30"/>
      <w:bookmarkEnd w:id="31"/>
      <w:bookmarkEnd w:id="32"/>
    </w:p>
    <w:p w14:paraId="3C8BE89B">
      <w:pPr>
        <w:spacing w:line="440" w:lineRule="exact"/>
        <w:rPr>
          <w:rFonts w:cs="宋体"/>
          <w:b/>
          <w:color w:val="000000"/>
          <w:sz w:val="24"/>
          <w:szCs w:val="24"/>
        </w:rPr>
      </w:pPr>
      <w:bookmarkStart w:id="33" w:name="_Toc13918"/>
      <w:bookmarkStart w:id="34" w:name="_Toc1386"/>
      <w:bookmarkStart w:id="35" w:name="_Toc4929"/>
      <w:bookmarkStart w:id="36" w:name="_Toc21124"/>
      <w:bookmarkStart w:id="37" w:name="_Toc5635"/>
      <w:r>
        <w:rPr>
          <w:rFonts w:hint="eastAsia" w:cs="宋体"/>
          <w:b/>
          <w:color w:val="000000"/>
          <w:sz w:val="24"/>
          <w:szCs w:val="24"/>
        </w:rPr>
        <w:t>第三条 合同内容</w:t>
      </w:r>
    </w:p>
    <w:p w14:paraId="7BC5F2E9">
      <w:pPr>
        <w:spacing w:line="440" w:lineRule="exact"/>
        <w:ind w:firstLine="480"/>
        <w:rPr>
          <w:rFonts w:cs="宋体"/>
          <w:bCs/>
          <w:color w:val="000000"/>
          <w:sz w:val="24"/>
          <w:szCs w:val="24"/>
        </w:rPr>
      </w:pPr>
      <w:r>
        <w:rPr>
          <w:rFonts w:hint="eastAsia" w:cs="宋体"/>
          <w:bCs/>
          <w:color w:val="000000"/>
          <w:sz w:val="24"/>
          <w:szCs w:val="24"/>
        </w:rPr>
        <w:t>3.1服务内容：常熟市自然资源和规划局所需的</w:t>
      </w:r>
      <w:r>
        <w:rPr>
          <w:rFonts w:hint="eastAsia" w:cs="宋体"/>
          <w:bCs/>
          <w:color w:val="000000"/>
          <w:sz w:val="24"/>
          <w:szCs w:val="24"/>
          <w:lang w:eastAsia="zh-CN"/>
        </w:rPr>
        <w:t>常熟市地籍一张图编制项目（二期）</w:t>
      </w:r>
      <w:r>
        <w:rPr>
          <w:rFonts w:hint="eastAsia" w:cs="宋体"/>
          <w:bCs/>
          <w:color w:val="000000"/>
          <w:sz w:val="24"/>
          <w:szCs w:val="24"/>
        </w:rPr>
        <w:t>。</w:t>
      </w:r>
    </w:p>
    <w:p w14:paraId="04B6AE0F">
      <w:pPr>
        <w:spacing w:line="440" w:lineRule="exact"/>
        <w:ind w:firstLine="480"/>
        <w:rPr>
          <w:rFonts w:cs="宋体"/>
          <w:bCs/>
          <w:color w:val="000000"/>
          <w:sz w:val="24"/>
          <w:szCs w:val="24"/>
          <w:highlight w:val="none"/>
        </w:rPr>
      </w:pPr>
      <w:r>
        <w:rPr>
          <w:rFonts w:hint="eastAsia" w:cs="宋体"/>
          <w:bCs/>
          <w:color w:val="000000"/>
          <w:sz w:val="24"/>
          <w:szCs w:val="24"/>
        </w:rPr>
        <w:t>3</w:t>
      </w:r>
      <w:r>
        <w:rPr>
          <w:rFonts w:hint="eastAsia" w:cs="宋体"/>
          <w:bCs/>
          <w:color w:val="000000"/>
          <w:sz w:val="24"/>
          <w:szCs w:val="24"/>
          <w:highlight w:val="none"/>
        </w:rPr>
        <w:t>.2服务期限：</w:t>
      </w:r>
      <w:r>
        <w:rPr>
          <w:rFonts w:hint="eastAsia" w:cs="宋体"/>
          <w:bCs/>
          <w:color w:val="000000"/>
          <w:sz w:val="24"/>
          <w:szCs w:val="24"/>
          <w:highlight w:val="none"/>
          <w:lang w:eastAsia="zh-CN"/>
        </w:rPr>
        <w:t>按照国家、省、苏州市要求完成已有的国有建设用地地籍数据成果汇交。2027年6月30日前完成全部项目内容。</w:t>
      </w:r>
    </w:p>
    <w:p w14:paraId="37AFD972">
      <w:pPr>
        <w:spacing w:line="440" w:lineRule="exact"/>
        <w:rPr>
          <w:rFonts w:cs="宋体"/>
          <w:b/>
          <w:color w:val="000000"/>
          <w:sz w:val="24"/>
          <w:szCs w:val="24"/>
          <w:highlight w:val="none"/>
        </w:rPr>
      </w:pPr>
      <w:r>
        <w:rPr>
          <w:rFonts w:hint="eastAsia" w:cs="宋体"/>
          <w:b/>
          <w:color w:val="000000"/>
          <w:sz w:val="24"/>
          <w:szCs w:val="24"/>
          <w:highlight w:val="none"/>
        </w:rPr>
        <w:t>第四条 合同价款</w:t>
      </w:r>
    </w:p>
    <w:p w14:paraId="4D5FC842">
      <w:pPr>
        <w:spacing w:line="440" w:lineRule="exact"/>
        <w:ind w:firstLine="480" w:firstLineChars="200"/>
        <w:rPr>
          <w:rFonts w:hint="eastAsia" w:ascii="宋体" w:hAnsi="宋体" w:eastAsia="宋体" w:cs="宋体"/>
          <w:bCs/>
          <w:color w:val="000000"/>
          <w:kern w:val="2"/>
          <w:sz w:val="24"/>
          <w:szCs w:val="24"/>
        </w:rPr>
      </w:pPr>
      <w:r>
        <w:rPr>
          <w:rFonts w:hint="eastAsia" w:ascii="宋体" w:hAnsi="宋体" w:eastAsia="宋体" w:cs="宋体"/>
          <w:bCs/>
          <w:color w:val="000000"/>
          <w:kern w:val="2"/>
          <w:sz w:val="24"/>
          <w:szCs w:val="24"/>
        </w:rPr>
        <w:t>本合同项下</w:t>
      </w:r>
      <w:r>
        <w:rPr>
          <w:rFonts w:hint="eastAsia" w:cs="宋体"/>
          <w:bCs/>
          <w:color w:val="000000"/>
          <w:sz w:val="24"/>
          <w:szCs w:val="24"/>
          <w:lang w:eastAsia="zh-CN"/>
        </w:rPr>
        <w:t>常熟市地籍一张图编制项目（二期）</w:t>
      </w:r>
      <w:r>
        <w:rPr>
          <w:rFonts w:hint="eastAsia" w:ascii="宋体" w:hAnsi="宋体" w:eastAsia="宋体" w:cs="宋体"/>
          <w:bCs/>
          <w:color w:val="000000"/>
          <w:kern w:val="2"/>
          <w:sz w:val="24"/>
          <w:szCs w:val="24"/>
          <w:lang w:eastAsia="zh-CN"/>
        </w:rPr>
        <w:t>，</w:t>
      </w:r>
      <w:r>
        <w:rPr>
          <w:rFonts w:hint="eastAsia" w:ascii="宋体" w:hAnsi="宋体" w:eastAsia="宋体" w:cs="宋体"/>
          <w:bCs/>
          <w:color w:val="000000"/>
          <w:kern w:val="2"/>
          <w:sz w:val="24"/>
          <w:szCs w:val="24"/>
          <w:lang w:val="en-US" w:eastAsia="zh-CN"/>
        </w:rPr>
        <w:t>中标金额</w:t>
      </w:r>
      <w:r>
        <w:rPr>
          <w:rFonts w:hint="eastAsia"/>
          <w:sz w:val="24"/>
          <w:szCs w:val="24"/>
        </w:rPr>
        <w:t>￥</w:t>
      </w:r>
      <w:r>
        <w:rPr>
          <w:rFonts w:hint="eastAsia"/>
          <w:sz w:val="24"/>
          <w:szCs w:val="24"/>
          <w:u w:val="single"/>
        </w:rPr>
        <w:t xml:space="preserve">      </w:t>
      </w:r>
      <w:r>
        <w:rPr>
          <w:sz w:val="24"/>
          <w:szCs w:val="24"/>
        </w:rPr>
        <w:t>元</w:t>
      </w:r>
      <w:r>
        <w:rPr>
          <w:rFonts w:hint="eastAsia"/>
          <w:sz w:val="24"/>
          <w:szCs w:val="24"/>
        </w:rPr>
        <w:t>（大写：人民币</w:t>
      </w:r>
      <w:r>
        <w:rPr>
          <w:rFonts w:hint="eastAsia"/>
          <w:sz w:val="24"/>
          <w:szCs w:val="24"/>
          <w:u w:val="single"/>
        </w:rPr>
        <w:t xml:space="preserve">      </w:t>
      </w:r>
      <w:r>
        <w:rPr>
          <w:rFonts w:hint="eastAsia"/>
          <w:sz w:val="24"/>
          <w:szCs w:val="24"/>
        </w:rPr>
        <w:t>元）</w:t>
      </w:r>
      <w:r>
        <w:rPr>
          <w:sz w:val="24"/>
          <w:szCs w:val="24"/>
        </w:rPr>
        <w:t>。</w:t>
      </w:r>
    </w:p>
    <w:p w14:paraId="18E5AC8C">
      <w:pPr>
        <w:spacing w:line="440" w:lineRule="exact"/>
        <w:rPr>
          <w:rFonts w:cs="宋体"/>
          <w:b/>
          <w:color w:val="000000"/>
          <w:sz w:val="24"/>
          <w:szCs w:val="24"/>
          <w:highlight w:val="none"/>
        </w:rPr>
      </w:pPr>
      <w:r>
        <w:rPr>
          <w:rFonts w:hint="eastAsia" w:cs="宋体"/>
          <w:b/>
          <w:color w:val="000000"/>
          <w:sz w:val="24"/>
          <w:szCs w:val="24"/>
          <w:highlight w:val="none"/>
        </w:rPr>
        <w:t>第五条 支付结算</w:t>
      </w:r>
    </w:p>
    <w:p w14:paraId="0E092875">
      <w:pPr>
        <w:spacing w:line="460" w:lineRule="exact"/>
        <w:ind w:firstLine="480" w:firstLineChars="200"/>
        <w:rPr>
          <w:sz w:val="24"/>
          <w:szCs w:val="24"/>
          <w:highlight w:val="none"/>
        </w:rPr>
      </w:pPr>
      <w:r>
        <w:rPr>
          <w:rFonts w:hint="eastAsia"/>
          <w:sz w:val="24"/>
          <w:szCs w:val="24"/>
          <w:highlight w:val="none"/>
          <w:lang w:val="en-US" w:eastAsia="zh-CN"/>
        </w:rPr>
        <w:t>5、</w:t>
      </w:r>
      <w:r>
        <w:rPr>
          <w:rFonts w:hint="eastAsia"/>
          <w:sz w:val="24"/>
          <w:szCs w:val="24"/>
          <w:highlight w:val="none"/>
        </w:rPr>
        <w:t>付款方式：</w:t>
      </w:r>
    </w:p>
    <w:p w14:paraId="2E8F9630">
      <w:pPr>
        <w:spacing w:line="440" w:lineRule="exact"/>
        <w:ind w:firstLine="789" w:firstLineChars="329"/>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.1自合同签订后</w:t>
      </w:r>
      <w:r>
        <w:rPr>
          <w:rFonts w:hint="eastAsia"/>
          <w:b w:val="0"/>
          <w:bCs w:val="0"/>
          <w:sz w:val="24"/>
          <w:szCs w:val="24"/>
          <w:highlight w:val="none"/>
          <w:lang w:val="en-US" w:eastAsia="zh-CN"/>
        </w:rPr>
        <w:t>一个月内</w:t>
      </w:r>
      <w:r>
        <w:rPr>
          <w:rFonts w:hint="eastAsia"/>
          <w:b w:val="0"/>
          <w:bCs w:val="0"/>
          <w:sz w:val="24"/>
          <w:szCs w:val="24"/>
          <w:highlight w:val="none"/>
        </w:rPr>
        <w:t>，</w:t>
      </w:r>
      <w:r>
        <w:rPr>
          <w:rFonts w:hint="eastAsia"/>
          <w:b w:val="0"/>
          <w:bCs w:val="0"/>
          <w:sz w:val="24"/>
          <w:szCs w:val="24"/>
          <w:highlight w:val="none"/>
          <w:lang w:val="en-US" w:eastAsia="zh-CN"/>
        </w:rPr>
        <w:t>甲方向乙方</w:t>
      </w:r>
      <w:r>
        <w:rPr>
          <w:rFonts w:hint="eastAsia"/>
          <w:b w:val="0"/>
          <w:bCs w:val="0"/>
          <w:sz w:val="24"/>
          <w:szCs w:val="24"/>
          <w:highlight w:val="none"/>
        </w:rPr>
        <w:t>支付合同价的10%作为预付款</w:t>
      </w:r>
      <w:r>
        <w:rPr>
          <w:rFonts w:hint="eastAsia"/>
          <w:b w:val="0"/>
          <w:bCs w:val="0"/>
          <w:sz w:val="24"/>
          <w:szCs w:val="24"/>
          <w:highlight w:val="none"/>
          <w:lang w:eastAsia="zh-CN"/>
        </w:rPr>
        <w:t>。</w:t>
      </w:r>
    </w:p>
    <w:p w14:paraId="08C68C02">
      <w:pPr>
        <w:spacing w:line="440" w:lineRule="exact"/>
        <w:ind w:firstLine="789" w:firstLineChars="329"/>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.2项目通过验收后</w:t>
      </w:r>
      <w:r>
        <w:rPr>
          <w:rFonts w:hint="eastAsia"/>
          <w:b w:val="0"/>
          <w:bCs w:val="0"/>
          <w:sz w:val="24"/>
          <w:szCs w:val="24"/>
          <w:highlight w:val="none"/>
          <w:lang w:val="en-US" w:eastAsia="zh-CN"/>
        </w:rPr>
        <w:t>的一个月内，甲方向乙方</w:t>
      </w:r>
      <w:r>
        <w:rPr>
          <w:rFonts w:hint="eastAsia"/>
          <w:b w:val="0"/>
          <w:bCs w:val="0"/>
          <w:sz w:val="24"/>
          <w:szCs w:val="24"/>
          <w:highlight w:val="none"/>
        </w:rPr>
        <w:t>支付合同价的</w:t>
      </w:r>
      <w:r>
        <w:rPr>
          <w:rFonts w:hint="eastAsia"/>
          <w:b w:val="0"/>
          <w:bCs w:val="0"/>
          <w:sz w:val="24"/>
          <w:szCs w:val="24"/>
          <w:highlight w:val="none"/>
          <w:lang w:val="en-US" w:eastAsia="zh-CN"/>
        </w:rPr>
        <w:t>80</w:t>
      </w:r>
      <w:r>
        <w:rPr>
          <w:rFonts w:hint="eastAsia"/>
          <w:b w:val="0"/>
          <w:bCs w:val="0"/>
          <w:sz w:val="24"/>
          <w:szCs w:val="24"/>
          <w:highlight w:val="none"/>
        </w:rPr>
        <w:t>%</w:t>
      </w:r>
      <w:r>
        <w:rPr>
          <w:rFonts w:hint="eastAsia"/>
          <w:b w:val="0"/>
          <w:bCs w:val="0"/>
          <w:sz w:val="24"/>
          <w:szCs w:val="24"/>
          <w:highlight w:val="none"/>
          <w:lang w:eastAsia="zh-CN"/>
        </w:rPr>
        <w:t>。</w:t>
      </w:r>
    </w:p>
    <w:p w14:paraId="5531B968">
      <w:pPr>
        <w:spacing w:line="440" w:lineRule="exact"/>
        <w:ind w:firstLine="789" w:firstLineChars="329"/>
        <w:rPr>
          <w:rFonts w:hint="default" w:eastAsia="宋体"/>
          <w:b w:val="0"/>
          <w:bCs w:val="0"/>
          <w:sz w:val="24"/>
          <w:szCs w:val="24"/>
          <w:highlight w:val="none"/>
          <w:lang w:val="en-US" w:eastAsia="zh-CN"/>
        </w:rPr>
      </w:pPr>
      <w:r>
        <w:rPr>
          <w:rFonts w:hint="eastAsia"/>
          <w:b w:val="0"/>
          <w:bCs w:val="0"/>
          <w:sz w:val="24"/>
          <w:szCs w:val="24"/>
          <w:highlight w:val="none"/>
          <w:lang w:val="en-US" w:eastAsia="zh-CN"/>
        </w:rPr>
        <w:t>5</w:t>
      </w:r>
      <w:r>
        <w:rPr>
          <w:rFonts w:hint="eastAsia"/>
          <w:b w:val="0"/>
          <w:bCs w:val="0"/>
          <w:sz w:val="24"/>
          <w:szCs w:val="24"/>
          <w:highlight w:val="none"/>
        </w:rPr>
        <w:t>.3项目验收</w:t>
      </w:r>
      <w:r>
        <w:rPr>
          <w:rFonts w:hint="eastAsia"/>
          <w:b w:val="0"/>
          <w:bCs w:val="0"/>
          <w:sz w:val="24"/>
          <w:szCs w:val="24"/>
          <w:highlight w:val="none"/>
          <w:lang w:val="en-US" w:eastAsia="zh-CN"/>
        </w:rPr>
        <w:t>合格</w:t>
      </w:r>
      <w:r>
        <w:rPr>
          <w:rFonts w:hint="eastAsia"/>
          <w:b w:val="0"/>
          <w:bCs w:val="0"/>
          <w:sz w:val="24"/>
          <w:szCs w:val="24"/>
          <w:highlight w:val="none"/>
        </w:rPr>
        <w:t>后</w:t>
      </w:r>
      <w:r>
        <w:rPr>
          <w:rFonts w:hint="eastAsia"/>
          <w:b w:val="0"/>
          <w:bCs w:val="0"/>
          <w:sz w:val="24"/>
          <w:szCs w:val="24"/>
          <w:highlight w:val="none"/>
          <w:lang w:val="en-US" w:eastAsia="zh-CN"/>
        </w:rPr>
        <w:t>的一年内</w:t>
      </w:r>
      <w:r>
        <w:rPr>
          <w:rFonts w:hint="eastAsia"/>
          <w:b w:val="0"/>
          <w:bCs w:val="0"/>
          <w:sz w:val="24"/>
          <w:szCs w:val="24"/>
          <w:highlight w:val="none"/>
        </w:rPr>
        <w:t>，</w:t>
      </w:r>
      <w:r>
        <w:rPr>
          <w:rFonts w:hint="eastAsia"/>
          <w:b w:val="0"/>
          <w:bCs w:val="0"/>
          <w:sz w:val="24"/>
          <w:szCs w:val="24"/>
          <w:highlight w:val="none"/>
          <w:lang w:val="en-US" w:eastAsia="zh-CN"/>
        </w:rPr>
        <w:t>甲方向乙方</w:t>
      </w:r>
      <w:r>
        <w:rPr>
          <w:rFonts w:hint="eastAsia"/>
          <w:b w:val="0"/>
          <w:bCs w:val="0"/>
          <w:sz w:val="24"/>
          <w:szCs w:val="24"/>
          <w:highlight w:val="none"/>
        </w:rPr>
        <w:t>支付</w:t>
      </w:r>
      <w:r>
        <w:rPr>
          <w:rFonts w:hint="eastAsia"/>
          <w:b w:val="0"/>
          <w:bCs w:val="0"/>
          <w:sz w:val="24"/>
          <w:szCs w:val="24"/>
          <w:highlight w:val="none"/>
          <w:lang w:val="en-US" w:eastAsia="zh-CN"/>
        </w:rPr>
        <w:t>剩余款项。</w:t>
      </w:r>
    </w:p>
    <w:p w14:paraId="6234FB03">
      <w:pPr>
        <w:spacing w:line="440" w:lineRule="exact"/>
        <w:ind w:firstLine="482"/>
        <w:rPr>
          <w:b/>
          <w:bCs/>
          <w:sz w:val="24"/>
          <w:szCs w:val="24"/>
          <w:highlight w:val="none"/>
        </w:rPr>
      </w:pPr>
      <w:r>
        <w:rPr>
          <w:rFonts w:hint="eastAsia"/>
          <w:b/>
          <w:bCs/>
          <w:sz w:val="24"/>
          <w:szCs w:val="24"/>
          <w:highlight w:val="none"/>
        </w:rPr>
        <w:t>注：1)支付方式包括但不限于数字人民币、现金、支票、汇票等。</w:t>
      </w:r>
    </w:p>
    <w:p w14:paraId="567F3C10">
      <w:pPr>
        <w:spacing w:line="440" w:lineRule="exact"/>
        <w:ind w:firstLine="964"/>
        <w:rPr>
          <w:b/>
          <w:bCs/>
          <w:sz w:val="24"/>
          <w:szCs w:val="24"/>
        </w:rPr>
      </w:pPr>
      <w:r>
        <w:rPr>
          <w:rFonts w:hint="eastAsia"/>
          <w:b/>
          <w:bCs/>
          <w:sz w:val="24"/>
          <w:szCs w:val="24"/>
          <w:highlight w:val="none"/>
        </w:rPr>
        <w:t>2）签订合同时，乙方明确表示无需预付款的，可不执行</w:t>
      </w:r>
      <w:r>
        <w:rPr>
          <w:rFonts w:hint="eastAsia"/>
          <w:b/>
          <w:bCs/>
          <w:sz w:val="24"/>
          <w:szCs w:val="24"/>
          <w:highlight w:val="none"/>
          <w:lang w:val="en-US" w:eastAsia="zh-CN"/>
        </w:rPr>
        <w:t>5.1</w:t>
      </w:r>
      <w:r>
        <w:rPr>
          <w:rFonts w:hint="eastAsia"/>
          <w:b/>
          <w:bCs/>
          <w:sz w:val="24"/>
          <w:szCs w:val="24"/>
          <w:highlight w:val="none"/>
        </w:rPr>
        <w:t>预付款。以上每次付款前乙方均应提供符合甲方要求的同等金额的</w:t>
      </w:r>
      <w:r>
        <w:rPr>
          <w:rFonts w:hint="eastAsia"/>
          <w:b/>
          <w:bCs/>
          <w:sz w:val="24"/>
          <w:szCs w:val="24"/>
        </w:rPr>
        <w:t>合法有效发票。否则，甲方有权顺延付款时间且不承担任何违约或赔偿责任。</w:t>
      </w:r>
    </w:p>
    <w:p w14:paraId="39D9C033">
      <w:pPr>
        <w:spacing w:line="440" w:lineRule="exact"/>
        <w:rPr>
          <w:rFonts w:cs="宋体"/>
          <w:b/>
          <w:color w:val="000000"/>
          <w:sz w:val="24"/>
          <w:szCs w:val="24"/>
        </w:rPr>
      </w:pPr>
      <w:r>
        <w:rPr>
          <w:rFonts w:hint="eastAsia" w:cs="宋体"/>
          <w:b/>
          <w:bCs/>
          <w:color w:val="000000"/>
          <w:sz w:val="24"/>
          <w:szCs w:val="24"/>
        </w:rPr>
        <w:t>第六条 验收办法</w:t>
      </w:r>
    </w:p>
    <w:p w14:paraId="33C9FC15">
      <w:pPr>
        <w:spacing w:line="440" w:lineRule="exact"/>
        <w:ind w:firstLine="480"/>
        <w:rPr>
          <w:rFonts w:cs="宋体"/>
          <w:bCs/>
          <w:color w:val="000000"/>
          <w:sz w:val="24"/>
          <w:szCs w:val="24"/>
        </w:rPr>
      </w:pPr>
      <w:r>
        <w:rPr>
          <w:rFonts w:hint="eastAsia" w:cs="宋体"/>
          <w:bCs/>
          <w:color w:val="000000"/>
          <w:sz w:val="24"/>
          <w:szCs w:val="24"/>
        </w:rPr>
        <w:t>6.1甲方依法组织履约验收工作。</w:t>
      </w:r>
    </w:p>
    <w:p w14:paraId="3544CC18">
      <w:pPr>
        <w:spacing w:line="440" w:lineRule="exact"/>
        <w:ind w:firstLine="480"/>
        <w:rPr>
          <w:rFonts w:cs="宋体"/>
          <w:bCs/>
          <w:color w:val="000000"/>
          <w:sz w:val="24"/>
          <w:szCs w:val="24"/>
        </w:rPr>
      </w:pPr>
      <w:r>
        <w:rPr>
          <w:rFonts w:hint="eastAsia" w:cs="宋体"/>
          <w:bCs/>
          <w:color w:val="000000"/>
          <w:sz w:val="24"/>
          <w:szCs w:val="24"/>
        </w:rPr>
        <w:t>6.2甲方按照采购文件确定的验收方案或分期考核方案（包括履约验收的时间、方式、程序等内容），综合考核情况和服务效果进行验收。乙方应根据验收方案内容做好相应配合工作。</w:t>
      </w:r>
    </w:p>
    <w:p w14:paraId="4E29F735">
      <w:pPr>
        <w:spacing w:line="440" w:lineRule="exact"/>
        <w:ind w:firstLine="480"/>
        <w:rPr>
          <w:rFonts w:cs="宋体"/>
          <w:bCs/>
          <w:color w:val="000000"/>
          <w:sz w:val="24"/>
          <w:szCs w:val="24"/>
        </w:rPr>
      </w:pPr>
      <w:r>
        <w:rPr>
          <w:rFonts w:hint="eastAsia" w:cs="宋体"/>
          <w:bCs/>
          <w:color w:val="000000"/>
          <w:sz w:val="24"/>
          <w:szCs w:val="24"/>
        </w:rPr>
        <w:t>6.3对于实际使用人和甲方分离的项目，甲方邀请实际使用人参与验收。</w:t>
      </w:r>
    </w:p>
    <w:p w14:paraId="7EF66D8E">
      <w:pPr>
        <w:spacing w:line="440" w:lineRule="exact"/>
        <w:ind w:firstLine="480"/>
        <w:rPr>
          <w:rFonts w:cs="宋体"/>
          <w:bCs/>
          <w:color w:val="000000"/>
          <w:sz w:val="24"/>
          <w:szCs w:val="24"/>
        </w:rPr>
      </w:pPr>
      <w:r>
        <w:rPr>
          <w:rFonts w:hint="eastAsia" w:cs="宋体"/>
          <w:bCs/>
          <w:color w:val="000000"/>
          <w:sz w:val="24"/>
          <w:szCs w:val="24"/>
        </w:rPr>
        <w:t>6.4如有必要，甲方邀请参加本项目的其他供应商或第三方专业机构及专家参与验收，相关意见将作为验收书的参考资料。</w:t>
      </w:r>
    </w:p>
    <w:p w14:paraId="719FC57D">
      <w:pPr>
        <w:spacing w:line="440" w:lineRule="exact"/>
        <w:ind w:firstLine="480"/>
        <w:rPr>
          <w:rFonts w:cs="宋体"/>
          <w:bCs/>
          <w:color w:val="000000"/>
          <w:sz w:val="24"/>
          <w:szCs w:val="24"/>
        </w:rPr>
      </w:pPr>
      <w:r>
        <w:rPr>
          <w:rFonts w:hint="eastAsia" w:cs="宋体"/>
          <w:bCs/>
          <w:color w:val="000000"/>
          <w:sz w:val="24"/>
          <w:szCs w:val="24"/>
        </w:rPr>
        <w:t>6.5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挂钩。履约验收的各项资料存档备查。</w:t>
      </w:r>
    </w:p>
    <w:p w14:paraId="26C9EDD1">
      <w:pPr>
        <w:spacing w:line="440" w:lineRule="exact"/>
        <w:ind w:firstLine="480"/>
        <w:rPr>
          <w:rFonts w:cs="宋体"/>
          <w:bCs/>
          <w:color w:val="000000"/>
          <w:sz w:val="24"/>
          <w:szCs w:val="24"/>
        </w:rPr>
      </w:pPr>
      <w:r>
        <w:rPr>
          <w:rFonts w:hint="eastAsia" w:cs="宋体"/>
          <w:bCs/>
          <w:color w:val="000000"/>
          <w:sz w:val="24"/>
          <w:szCs w:val="24"/>
        </w:rPr>
        <w:t>6.6 验收合格的项目,甲方根据采购合同的约定及时向乙方支付合同款项。验收不合格的项目，甲方依法及时处理。</w:t>
      </w:r>
      <w:bookmarkEnd w:id="33"/>
      <w:bookmarkEnd w:id="34"/>
      <w:bookmarkEnd w:id="35"/>
      <w:bookmarkEnd w:id="36"/>
      <w:bookmarkEnd w:id="37"/>
    </w:p>
    <w:p w14:paraId="196C20CC">
      <w:pPr>
        <w:spacing w:line="440" w:lineRule="exact"/>
        <w:rPr>
          <w:rFonts w:cs="宋体"/>
          <w:b/>
          <w:bCs/>
          <w:color w:val="000000"/>
          <w:sz w:val="24"/>
          <w:szCs w:val="24"/>
        </w:rPr>
      </w:pPr>
      <w:r>
        <w:rPr>
          <w:rFonts w:hint="eastAsia" w:cs="宋体"/>
          <w:b/>
          <w:bCs/>
          <w:color w:val="000000"/>
          <w:sz w:val="24"/>
          <w:szCs w:val="24"/>
        </w:rPr>
        <w:t>第七条</w:t>
      </w:r>
      <w:r>
        <w:rPr>
          <w:rFonts w:hint="eastAsia" w:cs="宋体"/>
          <w:b/>
          <w:bCs/>
          <w:color w:val="000000"/>
          <w:sz w:val="24"/>
          <w:szCs w:val="24"/>
        </w:rPr>
        <w:tab/>
      </w:r>
      <w:r>
        <w:rPr>
          <w:rFonts w:hint="eastAsia" w:cs="宋体"/>
          <w:b/>
          <w:bCs/>
          <w:color w:val="000000"/>
          <w:sz w:val="24"/>
          <w:szCs w:val="24"/>
        </w:rPr>
        <w:t xml:space="preserve"> 双方的其他权利义务</w:t>
      </w:r>
    </w:p>
    <w:p w14:paraId="2857480A">
      <w:pPr>
        <w:spacing w:line="440" w:lineRule="exact"/>
        <w:ind w:firstLine="480"/>
        <w:rPr>
          <w:rFonts w:cs="宋体"/>
          <w:bCs/>
          <w:color w:val="000000"/>
          <w:sz w:val="24"/>
          <w:szCs w:val="24"/>
        </w:rPr>
      </w:pPr>
      <w:r>
        <w:rPr>
          <w:rFonts w:hint="eastAsia" w:cs="宋体"/>
          <w:bCs/>
          <w:color w:val="000000"/>
          <w:sz w:val="24"/>
          <w:szCs w:val="24"/>
        </w:rPr>
        <w:t>7.1甲方权利义务</w:t>
      </w:r>
    </w:p>
    <w:p w14:paraId="3D3521FA">
      <w:pPr>
        <w:spacing w:line="440" w:lineRule="exact"/>
        <w:ind w:firstLine="799"/>
        <w:rPr>
          <w:rFonts w:cs="宋体"/>
          <w:bCs/>
          <w:color w:val="000000"/>
          <w:sz w:val="24"/>
          <w:szCs w:val="24"/>
        </w:rPr>
      </w:pPr>
      <w:r>
        <w:rPr>
          <w:rFonts w:hint="eastAsia" w:cs="宋体"/>
          <w:bCs/>
          <w:color w:val="000000"/>
          <w:sz w:val="24"/>
          <w:szCs w:val="24"/>
        </w:rPr>
        <w:t>7.1.1 甲方权利</w:t>
      </w:r>
    </w:p>
    <w:p w14:paraId="0009A228">
      <w:pPr>
        <w:spacing w:line="440" w:lineRule="exact"/>
        <w:ind w:firstLine="560"/>
        <w:rPr>
          <w:rFonts w:cs="宋体"/>
          <w:bCs/>
          <w:color w:val="000000"/>
          <w:sz w:val="24"/>
          <w:szCs w:val="24"/>
        </w:rPr>
      </w:pPr>
      <w:r>
        <w:rPr>
          <w:rFonts w:hint="eastAsia" w:cs="宋体"/>
          <w:bCs/>
          <w:color w:val="000000"/>
          <w:sz w:val="24"/>
          <w:szCs w:val="24"/>
        </w:rPr>
        <w:t>甲方有权随时向乙方了解服务进展，提出改进意见和建议；甲方有权根据实际履约质量和进度情况要求乙方按照本合同约定加强管理直至提供符合约定的服务。</w:t>
      </w:r>
    </w:p>
    <w:p w14:paraId="63F9BAC9">
      <w:pPr>
        <w:spacing w:line="440" w:lineRule="exact"/>
        <w:ind w:firstLine="799"/>
        <w:rPr>
          <w:rFonts w:cs="宋体"/>
          <w:bCs/>
          <w:color w:val="000000"/>
          <w:sz w:val="24"/>
          <w:szCs w:val="24"/>
        </w:rPr>
      </w:pPr>
      <w:r>
        <w:rPr>
          <w:rFonts w:hint="eastAsia" w:cs="宋体"/>
          <w:bCs/>
          <w:color w:val="000000"/>
          <w:sz w:val="24"/>
          <w:szCs w:val="24"/>
        </w:rPr>
        <w:t>7.1.2甲方义务</w:t>
      </w:r>
    </w:p>
    <w:p w14:paraId="6AFAED5A">
      <w:pPr>
        <w:spacing w:line="440" w:lineRule="exact"/>
        <w:ind w:firstLine="560"/>
        <w:rPr>
          <w:rFonts w:cs="宋体"/>
          <w:bCs/>
          <w:color w:val="000000"/>
          <w:sz w:val="24"/>
          <w:szCs w:val="24"/>
        </w:rPr>
      </w:pPr>
      <w:r>
        <w:rPr>
          <w:rFonts w:hint="eastAsia" w:cs="宋体"/>
          <w:bCs/>
          <w:color w:val="000000"/>
          <w:sz w:val="24"/>
          <w:szCs w:val="24"/>
        </w:rPr>
        <w:t>甲方应按时支付合同价款；为乙方履行合同提供必要的便利条件；本合同约定的其他义务。</w:t>
      </w:r>
    </w:p>
    <w:p w14:paraId="066BC63B">
      <w:pPr>
        <w:spacing w:line="440" w:lineRule="exact"/>
        <w:ind w:firstLine="480"/>
        <w:rPr>
          <w:rFonts w:cs="宋体"/>
          <w:bCs/>
          <w:color w:val="000000"/>
          <w:sz w:val="24"/>
          <w:szCs w:val="24"/>
        </w:rPr>
      </w:pPr>
      <w:r>
        <w:rPr>
          <w:rFonts w:hint="eastAsia" w:cs="宋体"/>
          <w:bCs/>
          <w:color w:val="000000"/>
          <w:sz w:val="24"/>
          <w:szCs w:val="24"/>
        </w:rPr>
        <w:t>7.2乙方权利义务</w:t>
      </w:r>
    </w:p>
    <w:p w14:paraId="657CDF55">
      <w:pPr>
        <w:spacing w:line="440" w:lineRule="exact"/>
        <w:ind w:firstLine="799"/>
        <w:rPr>
          <w:rFonts w:cs="宋体"/>
          <w:bCs/>
          <w:color w:val="000000"/>
          <w:sz w:val="24"/>
          <w:szCs w:val="24"/>
        </w:rPr>
      </w:pPr>
      <w:r>
        <w:rPr>
          <w:rFonts w:hint="eastAsia" w:cs="宋体"/>
          <w:bCs/>
          <w:color w:val="000000"/>
          <w:sz w:val="24"/>
          <w:szCs w:val="24"/>
        </w:rPr>
        <w:t>7.2.1乙方权利</w:t>
      </w:r>
    </w:p>
    <w:p w14:paraId="453AEFF1">
      <w:pPr>
        <w:spacing w:line="440" w:lineRule="exact"/>
        <w:ind w:firstLine="560"/>
        <w:rPr>
          <w:rFonts w:cs="宋体"/>
          <w:bCs/>
          <w:color w:val="000000"/>
          <w:sz w:val="24"/>
          <w:szCs w:val="24"/>
        </w:rPr>
      </w:pPr>
      <w:r>
        <w:rPr>
          <w:rFonts w:hint="eastAsia" w:cs="宋体"/>
          <w:bCs/>
          <w:color w:val="000000"/>
          <w:sz w:val="24"/>
          <w:szCs w:val="24"/>
        </w:rPr>
        <w:t>乙方有权按照合同获得合同价款；乙方有权根据服务内容的需要，请求甲方予以配合。</w:t>
      </w:r>
    </w:p>
    <w:p w14:paraId="4865434E">
      <w:pPr>
        <w:spacing w:line="440" w:lineRule="exact"/>
        <w:ind w:firstLine="799"/>
        <w:rPr>
          <w:rFonts w:cs="宋体"/>
          <w:bCs/>
          <w:color w:val="000000"/>
          <w:sz w:val="24"/>
          <w:szCs w:val="24"/>
        </w:rPr>
      </w:pPr>
      <w:r>
        <w:rPr>
          <w:rFonts w:hint="eastAsia" w:cs="宋体"/>
          <w:bCs/>
          <w:color w:val="000000"/>
          <w:sz w:val="24"/>
          <w:szCs w:val="24"/>
        </w:rPr>
        <w:t>7.2.2除其他有关条款的约定外，乙方义务还包括：</w:t>
      </w:r>
    </w:p>
    <w:p w14:paraId="3D431999">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1 \* GB3 </w:instrText>
      </w:r>
      <w:r>
        <w:rPr>
          <w:rFonts w:hint="eastAsia" w:cs="宋体"/>
          <w:bCs/>
          <w:color w:val="000000"/>
          <w:sz w:val="24"/>
          <w:szCs w:val="24"/>
        </w:rPr>
        <w:fldChar w:fldCharType="separate"/>
      </w:r>
      <w:r>
        <w:rPr>
          <w:rFonts w:hint="eastAsia" w:cs="宋体"/>
          <w:bCs/>
          <w:color w:val="000000"/>
          <w:sz w:val="24"/>
          <w:szCs w:val="24"/>
        </w:rPr>
        <w:t>①</w:t>
      </w:r>
      <w:r>
        <w:rPr>
          <w:rFonts w:hint="eastAsia" w:cs="宋体"/>
          <w:bCs/>
          <w:color w:val="000000"/>
          <w:sz w:val="24"/>
          <w:szCs w:val="24"/>
        </w:rPr>
        <w:fldChar w:fldCharType="end"/>
      </w:r>
      <w:r>
        <w:rPr>
          <w:rFonts w:hint="eastAsia" w:cs="宋体"/>
          <w:bCs/>
          <w:color w:val="000000"/>
          <w:sz w:val="24"/>
          <w:szCs w:val="24"/>
        </w:rPr>
        <w:t>乙方承诺参与政府采购时显示的服务能力不会减弱，包括服务人员团队人员不减少、服务资质不下降、团队具备的人才技能不下降。除了提升人员资质和执业等级（如有）或引进新的人才，如果乙方服务团队人员减少或资质下降人数超过</w:t>
      </w:r>
      <w:r>
        <w:rPr>
          <w:rFonts w:hint="eastAsia" w:cs="宋体"/>
          <w:bCs/>
          <w:color w:val="000000"/>
          <w:sz w:val="24"/>
          <w:szCs w:val="24"/>
          <w:u w:val="single"/>
        </w:rPr>
        <w:t xml:space="preserve"> 2</w:t>
      </w:r>
      <w:r>
        <w:rPr>
          <w:rFonts w:hint="eastAsia" w:cs="宋体"/>
          <w:bCs/>
          <w:color w:val="000000"/>
          <w:sz w:val="24"/>
          <w:szCs w:val="24"/>
        </w:rPr>
        <w:t>人 的，视为乙方丧失提供服务的能力。</w:t>
      </w:r>
    </w:p>
    <w:p w14:paraId="54CC6736">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2 \* GB3 </w:instrText>
      </w:r>
      <w:r>
        <w:rPr>
          <w:rFonts w:hint="eastAsia" w:cs="宋体"/>
          <w:bCs/>
          <w:color w:val="000000"/>
          <w:sz w:val="24"/>
          <w:szCs w:val="24"/>
        </w:rPr>
        <w:fldChar w:fldCharType="separate"/>
      </w:r>
      <w:r>
        <w:rPr>
          <w:rFonts w:hint="eastAsia" w:cs="宋体"/>
          <w:bCs/>
          <w:color w:val="000000"/>
          <w:sz w:val="24"/>
          <w:szCs w:val="24"/>
        </w:rPr>
        <w:t>②</w:t>
      </w:r>
      <w:r>
        <w:rPr>
          <w:rFonts w:hint="eastAsia" w:cs="宋体"/>
          <w:bCs/>
          <w:color w:val="000000"/>
          <w:sz w:val="24"/>
          <w:szCs w:val="24"/>
        </w:rPr>
        <w:fldChar w:fldCharType="end"/>
      </w:r>
      <w:r>
        <w:rPr>
          <w:rFonts w:hint="eastAsia" w:cs="宋体"/>
          <w:bCs/>
          <w:color w:val="000000"/>
          <w:sz w:val="24"/>
          <w:szCs w:val="24"/>
        </w:rPr>
        <w:t>乙方应安排身体健康、品性良好的服务人员为甲方提供服务。</w:t>
      </w:r>
    </w:p>
    <w:p w14:paraId="2FBBD473">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3 \* GB3 </w:instrText>
      </w:r>
      <w:r>
        <w:rPr>
          <w:rFonts w:hint="eastAsia" w:cs="宋体"/>
          <w:bCs/>
          <w:color w:val="000000"/>
          <w:sz w:val="24"/>
          <w:szCs w:val="24"/>
        </w:rPr>
        <w:fldChar w:fldCharType="separate"/>
      </w:r>
      <w:r>
        <w:rPr>
          <w:rFonts w:hint="eastAsia" w:cs="宋体"/>
          <w:bCs/>
          <w:color w:val="000000"/>
          <w:sz w:val="24"/>
          <w:szCs w:val="24"/>
        </w:rPr>
        <w:t>③</w:t>
      </w:r>
      <w:r>
        <w:rPr>
          <w:rFonts w:hint="eastAsia" w:cs="宋体"/>
          <w:bCs/>
          <w:color w:val="000000"/>
          <w:sz w:val="24"/>
          <w:szCs w:val="24"/>
        </w:rPr>
        <w:fldChar w:fldCharType="end"/>
      </w:r>
      <w:r>
        <w:rPr>
          <w:rFonts w:hint="eastAsia" w:cs="宋体"/>
          <w:bCs/>
          <w:color w:val="000000"/>
          <w:sz w:val="24"/>
          <w:szCs w:val="24"/>
        </w:rPr>
        <w:t>乙方应保证服务人员的稳定，未经甲方同意，不得变更服务人员。</w:t>
      </w:r>
    </w:p>
    <w:p w14:paraId="5512CE00">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4 \* GB3 </w:instrText>
      </w:r>
      <w:r>
        <w:rPr>
          <w:rFonts w:hint="eastAsia" w:cs="宋体"/>
          <w:bCs/>
          <w:color w:val="000000"/>
          <w:sz w:val="24"/>
          <w:szCs w:val="24"/>
        </w:rPr>
        <w:fldChar w:fldCharType="separate"/>
      </w:r>
      <w:r>
        <w:rPr>
          <w:rFonts w:hint="eastAsia" w:cs="宋体"/>
          <w:bCs/>
          <w:color w:val="000000"/>
          <w:sz w:val="24"/>
          <w:szCs w:val="24"/>
        </w:rPr>
        <w:t>④</w:t>
      </w:r>
      <w:r>
        <w:rPr>
          <w:rFonts w:hint="eastAsia" w:cs="宋体"/>
          <w:bCs/>
          <w:color w:val="000000"/>
          <w:sz w:val="24"/>
          <w:szCs w:val="24"/>
        </w:rPr>
        <w:fldChar w:fldCharType="end"/>
      </w:r>
      <w:r>
        <w:rPr>
          <w:rFonts w:hint="eastAsia" w:cs="宋体"/>
          <w:bCs/>
          <w:color w:val="000000"/>
          <w:sz w:val="24"/>
          <w:szCs w:val="24"/>
        </w:rPr>
        <w:t>乙方应当及时响应甲方的服务需求，在甲方提出派员到场服务时，应当与甲方确定到场时间。甲方紧急服务需求时，乙方应在</w:t>
      </w:r>
      <w:r>
        <w:rPr>
          <w:rFonts w:hint="eastAsia" w:cs="宋体"/>
          <w:bCs/>
          <w:color w:val="000000"/>
          <w:sz w:val="24"/>
          <w:szCs w:val="24"/>
          <w:u w:val="single"/>
        </w:rPr>
        <w:t xml:space="preserve"> 1 </w:t>
      </w:r>
      <w:r>
        <w:rPr>
          <w:rFonts w:hint="eastAsia" w:cs="宋体"/>
          <w:bCs/>
          <w:color w:val="000000"/>
          <w:sz w:val="24"/>
          <w:szCs w:val="24"/>
        </w:rPr>
        <w:t>小时内派员到场。</w:t>
      </w:r>
    </w:p>
    <w:p w14:paraId="6B795FA9">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5 \* GB3 </w:instrText>
      </w:r>
      <w:r>
        <w:rPr>
          <w:rFonts w:hint="eastAsia" w:cs="宋体"/>
          <w:bCs/>
          <w:color w:val="000000"/>
          <w:sz w:val="24"/>
          <w:szCs w:val="24"/>
        </w:rPr>
        <w:fldChar w:fldCharType="separate"/>
      </w:r>
      <w:r>
        <w:rPr>
          <w:rFonts w:hint="eastAsia" w:cs="宋体"/>
          <w:bCs/>
          <w:color w:val="000000"/>
          <w:sz w:val="24"/>
          <w:szCs w:val="24"/>
        </w:rPr>
        <w:t>⑤</w:t>
      </w:r>
      <w:r>
        <w:rPr>
          <w:rFonts w:hint="eastAsia" w:cs="宋体"/>
          <w:bCs/>
          <w:color w:val="000000"/>
          <w:sz w:val="24"/>
          <w:szCs w:val="24"/>
        </w:rPr>
        <w:fldChar w:fldCharType="end"/>
      </w:r>
      <w:r>
        <w:rPr>
          <w:rFonts w:hint="eastAsia" w:cs="宋体"/>
          <w:bCs/>
          <w:color w:val="000000"/>
          <w:sz w:val="24"/>
          <w:szCs w:val="24"/>
        </w:rPr>
        <w:t>定期组织服务人员进行培训学习，不断提高服务人员业务技能。</w:t>
      </w:r>
    </w:p>
    <w:p w14:paraId="669CD73E">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6 \* GB3 </w:instrText>
      </w:r>
      <w:r>
        <w:rPr>
          <w:rFonts w:hint="eastAsia" w:cs="宋体"/>
          <w:bCs/>
          <w:color w:val="000000"/>
          <w:sz w:val="24"/>
          <w:szCs w:val="24"/>
        </w:rPr>
        <w:fldChar w:fldCharType="separate"/>
      </w:r>
      <w:r>
        <w:rPr>
          <w:rFonts w:hint="eastAsia" w:cs="宋体"/>
          <w:bCs/>
          <w:color w:val="000000"/>
          <w:sz w:val="24"/>
          <w:szCs w:val="24"/>
        </w:rPr>
        <w:t>⑥</w:t>
      </w:r>
      <w:r>
        <w:rPr>
          <w:rFonts w:hint="eastAsia" w:cs="宋体"/>
          <w:bCs/>
          <w:color w:val="000000"/>
          <w:sz w:val="24"/>
          <w:szCs w:val="24"/>
        </w:rPr>
        <w:fldChar w:fldCharType="end"/>
      </w:r>
      <w:r>
        <w:rPr>
          <w:rFonts w:hint="eastAsia" w:cs="宋体"/>
          <w:bCs/>
          <w:color w:val="000000"/>
          <w:sz w:val="24"/>
          <w:szCs w:val="24"/>
        </w:rPr>
        <w:t>乙方做好安全生产工作，对在工作中出现的服务人员的人身安全承担责任，并对由于服务人员的原因导致的第三人的人身财产损失承担赔偿责任。</w:t>
      </w:r>
    </w:p>
    <w:p w14:paraId="501B4417">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7 \* GB3 </w:instrText>
      </w:r>
      <w:r>
        <w:rPr>
          <w:rFonts w:hint="eastAsia" w:cs="宋体"/>
          <w:bCs/>
          <w:color w:val="000000"/>
          <w:sz w:val="24"/>
          <w:szCs w:val="24"/>
        </w:rPr>
        <w:fldChar w:fldCharType="separate"/>
      </w:r>
      <w:r>
        <w:rPr>
          <w:rFonts w:hint="eastAsia" w:cs="宋体"/>
          <w:bCs/>
          <w:color w:val="000000"/>
          <w:sz w:val="24"/>
          <w:szCs w:val="24"/>
        </w:rPr>
        <w:t>⑦</w:t>
      </w:r>
      <w:r>
        <w:rPr>
          <w:rFonts w:hint="eastAsia" w:cs="宋体"/>
          <w:bCs/>
          <w:color w:val="000000"/>
          <w:sz w:val="24"/>
          <w:szCs w:val="24"/>
        </w:rPr>
        <w:fldChar w:fldCharType="end"/>
      </w:r>
      <w:r>
        <w:rPr>
          <w:rFonts w:hint="eastAsia" w:cs="宋体"/>
          <w:bCs/>
          <w:color w:val="000000"/>
          <w:sz w:val="24"/>
          <w:szCs w:val="24"/>
        </w:rPr>
        <w:t>乙方应根据国家法律法规的规定与其为甲方提供服务的人员签署劳动合同，并负责上述人员的工资和社会劳动保险、奖金、福利等费用，若发生劳动争议均由乙方自己解决并承担所有责任，甲方无任何连带关系和责任。</w:t>
      </w:r>
    </w:p>
    <w:p w14:paraId="1C9FBDB9">
      <w:pPr>
        <w:spacing w:line="440" w:lineRule="exact"/>
        <w:ind w:firstLine="560"/>
        <w:rPr>
          <w:rFonts w:cs="宋体"/>
          <w:bCs/>
          <w:color w:val="000000"/>
          <w:sz w:val="24"/>
          <w:szCs w:val="24"/>
        </w:rPr>
      </w:pPr>
      <w:r>
        <w:rPr>
          <w:rFonts w:hint="eastAsia" w:cs="宋体"/>
          <w:bCs/>
          <w:color w:val="000000"/>
          <w:sz w:val="24"/>
          <w:szCs w:val="24"/>
        </w:rPr>
        <w:fldChar w:fldCharType="begin"/>
      </w:r>
      <w:r>
        <w:rPr>
          <w:rFonts w:hint="eastAsia" w:cs="宋体"/>
          <w:bCs/>
          <w:color w:val="000000"/>
          <w:sz w:val="24"/>
          <w:szCs w:val="24"/>
        </w:rPr>
        <w:instrText xml:space="preserve"> = 8 \* GB3 </w:instrText>
      </w:r>
      <w:r>
        <w:rPr>
          <w:rFonts w:hint="eastAsia" w:cs="宋体"/>
          <w:bCs/>
          <w:color w:val="000000"/>
          <w:sz w:val="24"/>
          <w:szCs w:val="24"/>
        </w:rPr>
        <w:fldChar w:fldCharType="separate"/>
      </w:r>
      <w:r>
        <w:rPr>
          <w:rFonts w:hint="eastAsia" w:cs="宋体"/>
          <w:bCs/>
          <w:color w:val="000000"/>
          <w:sz w:val="24"/>
          <w:szCs w:val="24"/>
        </w:rPr>
        <w:t>⑧</w:t>
      </w:r>
      <w:r>
        <w:rPr>
          <w:rFonts w:hint="eastAsia" w:cs="宋体"/>
          <w:bCs/>
          <w:color w:val="000000"/>
          <w:sz w:val="24"/>
          <w:szCs w:val="24"/>
        </w:rPr>
        <w:fldChar w:fldCharType="end"/>
      </w:r>
      <w:r>
        <w:rPr>
          <w:rFonts w:hint="eastAsia" w:cs="宋体"/>
          <w:bCs/>
          <w:color w:val="000000"/>
          <w:sz w:val="24"/>
          <w:szCs w:val="24"/>
        </w:rPr>
        <w:t>法规、政策规定由乙方承担的其他责任。</w:t>
      </w:r>
    </w:p>
    <w:p w14:paraId="6B8E3A99">
      <w:pPr>
        <w:spacing w:line="440" w:lineRule="exact"/>
        <w:rPr>
          <w:rFonts w:cs="宋体"/>
          <w:b/>
          <w:bCs/>
          <w:color w:val="000000"/>
          <w:sz w:val="24"/>
          <w:szCs w:val="24"/>
        </w:rPr>
      </w:pPr>
      <w:r>
        <w:rPr>
          <w:rFonts w:hint="eastAsia" w:cs="宋体"/>
          <w:b/>
          <w:bCs/>
          <w:color w:val="000000"/>
          <w:sz w:val="24"/>
          <w:szCs w:val="24"/>
        </w:rPr>
        <w:t>第八条 质量保证</w:t>
      </w:r>
    </w:p>
    <w:p w14:paraId="58C0B1A9">
      <w:pPr>
        <w:spacing w:line="440" w:lineRule="exact"/>
        <w:ind w:firstLine="560"/>
        <w:rPr>
          <w:rFonts w:cs="宋体"/>
          <w:bCs/>
          <w:color w:val="000000"/>
          <w:sz w:val="24"/>
          <w:szCs w:val="24"/>
        </w:rPr>
      </w:pPr>
      <w:r>
        <w:rPr>
          <w:rFonts w:hint="eastAsia" w:cs="宋体"/>
          <w:bCs/>
          <w:color w:val="000000"/>
          <w:sz w:val="24"/>
          <w:szCs w:val="24"/>
        </w:rPr>
        <w:t>乙方各项服务承诺指标及所采取的措施按照采购文件要求及相应文件的承诺予以确定。</w:t>
      </w:r>
    </w:p>
    <w:p w14:paraId="3291F383">
      <w:pPr>
        <w:spacing w:line="440" w:lineRule="exact"/>
        <w:rPr>
          <w:rFonts w:cs="宋体"/>
          <w:b/>
          <w:bCs/>
          <w:color w:val="000000"/>
          <w:sz w:val="24"/>
          <w:szCs w:val="24"/>
        </w:rPr>
      </w:pPr>
      <w:r>
        <w:rPr>
          <w:rFonts w:hint="eastAsia" w:cs="宋体"/>
          <w:b/>
          <w:bCs/>
          <w:color w:val="000000"/>
          <w:sz w:val="24"/>
          <w:szCs w:val="24"/>
        </w:rPr>
        <w:t>第九条 违约责任</w:t>
      </w:r>
    </w:p>
    <w:p w14:paraId="671E6EA8">
      <w:pPr>
        <w:spacing w:line="440" w:lineRule="exact"/>
        <w:ind w:firstLine="240"/>
        <w:rPr>
          <w:rFonts w:cs="宋体"/>
          <w:bCs/>
          <w:color w:val="000000"/>
          <w:sz w:val="24"/>
          <w:szCs w:val="24"/>
        </w:rPr>
      </w:pPr>
      <w:r>
        <w:rPr>
          <w:rFonts w:hint="eastAsia" w:cs="宋体"/>
          <w:bCs/>
          <w:color w:val="000000"/>
          <w:sz w:val="24"/>
          <w:szCs w:val="24"/>
        </w:rPr>
        <w:t xml:space="preserve">9.1甲方未按合同规定期限向乙方支付合同价款的，每逾期一天向乙方偿付欠款总额 </w:t>
      </w:r>
      <w:r>
        <w:rPr>
          <w:rFonts w:hint="eastAsia" w:cs="宋体"/>
          <w:bCs/>
          <w:color w:val="000000"/>
          <w:sz w:val="24"/>
          <w:szCs w:val="24"/>
          <w:u w:val="single"/>
        </w:rPr>
        <w:t>0.5 ％</w:t>
      </w:r>
      <w:r>
        <w:rPr>
          <w:rFonts w:hint="eastAsia" w:cs="宋体"/>
          <w:bCs/>
          <w:color w:val="000000"/>
          <w:sz w:val="24"/>
          <w:szCs w:val="24"/>
        </w:rPr>
        <w:t>的滞纳金，但累计总额不超过欠款总额的</w:t>
      </w:r>
      <w:r>
        <w:rPr>
          <w:rFonts w:hint="eastAsia" w:cs="宋体"/>
          <w:bCs/>
          <w:color w:val="000000"/>
          <w:sz w:val="24"/>
          <w:szCs w:val="24"/>
          <w:u w:val="single"/>
        </w:rPr>
        <w:t xml:space="preserve"> 5 ％</w:t>
      </w:r>
      <w:r>
        <w:rPr>
          <w:rFonts w:hint="eastAsia" w:cs="宋体"/>
          <w:bCs/>
          <w:color w:val="000000"/>
          <w:sz w:val="24"/>
          <w:szCs w:val="24"/>
        </w:rPr>
        <w:t>。</w:t>
      </w:r>
    </w:p>
    <w:p w14:paraId="109FD99C">
      <w:pPr>
        <w:spacing w:line="440" w:lineRule="exact"/>
        <w:ind w:firstLine="240"/>
        <w:rPr>
          <w:rFonts w:cs="宋体"/>
          <w:bCs/>
          <w:color w:val="000000"/>
          <w:sz w:val="24"/>
          <w:szCs w:val="24"/>
        </w:rPr>
      </w:pPr>
      <w:r>
        <w:rPr>
          <w:rFonts w:hint="eastAsia" w:cs="宋体"/>
          <w:bCs/>
          <w:color w:val="000000"/>
          <w:sz w:val="24"/>
          <w:szCs w:val="24"/>
        </w:rPr>
        <w:t>9.2有下列情形之一的，乙方应当向甲方支付合同约定合同价款金额</w:t>
      </w:r>
      <w:r>
        <w:rPr>
          <w:rFonts w:hint="eastAsia" w:cs="宋体"/>
          <w:bCs/>
          <w:color w:val="000000"/>
          <w:sz w:val="24"/>
          <w:szCs w:val="24"/>
          <w:u w:val="single"/>
        </w:rPr>
        <w:t xml:space="preserve"> 5 %</w:t>
      </w:r>
      <w:r>
        <w:rPr>
          <w:rFonts w:hint="eastAsia" w:cs="宋体"/>
          <w:bCs/>
          <w:color w:val="000000"/>
          <w:sz w:val="24"/>
          <w:szCs w:val="24"/>
        </w:rPr>
        <w:t>的违约金：</w:t>
      </w:r>
    </w:p>
    <w:p w14:paraId="32087C57">
      <w:pPr>
        <w:spacing w:line="440" w:lineRule="exact"/>
        <w:ind w:firstLine="560"/>
        <w:rPr>
          <w:rFonts w:cs="宋体"/>
          <w:bCs/>
          <w:color w:val="000000"/>
          <w:sz w:val="24"/>
          <w:szCs w:val="24"/>
        </w:rPr>
      </w:pPr>
      <w:r>
        <w:rPr>
          <w:rFonts w:hint="eastAsia" w:cs="宋体"/>
          <w:bCs/>
          <w:color w:val="000000"/>
          <w:sz w:val="24"/>
          <w:szCs w:val="24"/>
        </w:rPr>
        <w:t>9.2.1乙方服务团队成员未经甲方同意发生变更，经甲方要求恢复后，未在合理期限内（</w:t>
      </w:r>
      <w:r>
        <w:rPr>
          <w:rFonts w:hint="eastAsia" w:cs="宋体"/>
          <w:bCs/>
          <w:color w:val="000000"/>
          <w:sz w:val="24"/>
          <w:szCs w:val="24"/>
          <w:u w:val="single"/>
        </w:rPr>
        <w:t xml:space="preserve"> 7 </w:t>
      </w:r>
      <w:r>
        <w:rPr>
          <w:rFonts w:hint="eastAsia" w:cs="宋体"/>
          <w:bCs/>
          <w:color w:val="000000"/>
          <w:sz w:val="24"/>
          <w:szCs w:val="24"/>
        </w:rPr>
        <w:t>日内）恢复的；</w:t>
      </w:r>
    </w:p>
    <w:p w14:paraId="4DCC68EF">
      <w:pPr>
        <w:spacing w:line="440" w:lineRule="exact"/>
        <w:ind w:firstLine="560"/>
        <w:rPr>
          <w:rFonts w:cs="宋体"/>
          <w:bCs/>
          <w:color w:val="000000"/>
          <w:sz w:val="24"/>
          <w:szCs w:val="24"/>
        </w:rPr>
      </w:pPr>
      <w:r>
        <w:rPr>
          <w:rFonts w:hint="eastAsia" w:cs="宋体"/>
          <w:bCs/>
          <w:color w:val="000000"/>
          <w:sz w:val="24"/>
          <w:szCs w:val="24"/>
        </w:rPr>
        <w:t>9.2.2乙方单位总体服务能力发生下降，专业技术人员减员或资质下降人数达到</w:t>
      </w:r>
      <w:r>
        <w:rPr>
          <w:rFonts w:hint="eastAsia" w:cs="宋体"/>
          <w:bCs/>
          <w:color w:val="000000"/>
          <w:sz w:val="24"/>
          <w:szCs w:val="24"/>
          <w:u w:val="single"/>
        </w:rPr>
        <w:t xml:space="preserve"> 1</w:t>
      </w:r>
      <w:r>
        <w:rPr>
          <w:rFonts w:hint="eastAsia" w:cs="宋体"/>
          <w:bCs/>
          <w:color w:val="000000"/>
          <w:sz w:val="24"/>
          <w:szCs w:val="24"/>
        </w:rPr>
        <w:t>人 的；</w:t>
      </w:r>
    </w:p>
    <w:p w14:paraId="200CA016">
      <w:pPr>
        <w:spacing w:line="440" w:lineRule="exact"/>
        <w:ind w:firstLine="560"/>
        <w:rPr>
          <w:rFonts w:cs="宋体"/>
          <w:bCs/>
          <w:color w:val="000000"/>
          <w:sz w:val="24"/>
          <w:szCs w:val="24"/>
        </w:rPr>
      </w:pPr>
      <w:r>
        <w:rPr>
          <w:rFonts w:hint="eastAsia" w:cs="宋体"/>
          <w:bCs/>
          <w:color w:val="000000"/>
          <w:sz w:val="24"/>
          <w:szCs w:val="24"/>
        </w:rPr>
        <w:t>9.2.3乙方人员无故未能按约到甲方提供服务，服务期限内达到</w:t>
      </w:r>
      <w:r>
        <w:rPr>
          <w:rFonts w:hint="eastAsia" w:cs="宋体"/>
          <w:bCs/>
          <w:color w:val="000000"/>
          <w:sz w:val="24"/>
          <w:szCs w:val="24"/>
          <w:u w:val="single"/>
        </w:rPr>
        <w:t xml:space="preserve"> 1 </w:t>
      </w:r>
      <w:r>
        <w:rPr>
          <w:rFonts w:hint="eastAsia" w:cs="宋体"/>
          <w:bCs/>
          <w:color w:val="000000"/>
          <w:sz w:val="24"/>
          <w:szCs w:val="24"/>
        </w:rPr>
        <w:t>人次的；</w:t>
      </w:r>
    </w:p>
    <w:p w14:paraId="07EFCA22">
      <w:pPr>
        <w:spacing w:line="440" w:lineRule="exact"/>
        <w:ind w:firstLine="560"/>
        <w:rPr>
          <w:rFonts w:cs="宋体"/>
          <w:bCs/>
          <w:color w:val="000000"/>
          <w:sz w:val="24"/>
          <w:szCs w:val="24"/>
        </w:rPr>
      </w:pPr>
      <w:r>
        <w:rPr>
          <w:rFonts w:hint="eastAsia" w:cs="宋体"/>
          <w:bCs/>
          <w:color w:val="000000"/>
          <w:sz w:val="24"/>
          <w:szCs w:val="24"/>
        </w:rPr>
        <w:t>9.2.4乙方人员不能响应甲方紧急服务需求的；</w:t>
      </w:r>
    </w:p>
    <w:p w14:paraId="64E5FB53">
      <w:pPr>
        <w:spacing w:line="440" w:lineRule="exact"/>
        <w:ind w:firstLine="560"/>
        <w:rPr>
          <w:rFonts w:cs="宋体"/>
          <w:bCs/>
          <w:color w:val="000000"/>
          <w:sz w:val="24"/>
          <w:szCs w:val="24"/>
        </w:rPr>
      </w:pPr>
      <w:r>
        <w:rPr>
          <w:rFonts w:hint="eastAsia" w:cs="宋体"/>
          <w:bCs/>
          <w:color w:val="000000"/>
          <w:sz w:val="24"/>
          <w:szCs w:val="24"/>
        </w:rPr>
        <w:t>9.2.5因乙方服务人员原因在服务期间给甲方造成不良影响的，服务期限内达到</w:t>
      </w:r>
      <w:r>
        <w:rPr>
          <w:rFonts w:hint="eastAsia" w:cs="宋体"/>
          <w:bCs/>
          <w:color w:val="000000"/>
          <w:sz w:val="24"/>
          <w:szCs w:val="24"/>
          <w:u w:val="single"/>
        </w:rPr>
        <w:t xml:space="preserve"> 1 </w:t>
      </w:r>
      <w:r>
        <w:rPr>
          <w:rFonts w:hint="eastAsia" w:cs="宋体"/>
          <w:bCs/>
          <w:color w:val="000000"/>
          <w:sz w:val="24"/>
          <w:szCs w:val="24"/>
        </w:rPr>
        <w:t>次的；</w:t>
      </w:r>
    </w:p>
    <w:p w14:paraId="5922E410">
      <w:pPr>
        <w:spacing w:line="440" w:lineRule="exact"/>
        <w:ind w:firstLine="560"/>
        <w:rPr>
          <w:rFonts w:cs="宋体"/>
          <w:bCs/>
          <w:color w:val="000000"/>
          <w:sz w:val="24"/>
          <w:szCs w:val="24"/>
        </w:rPr>
      </w:pPr>
      <w:r>
        <w:rPr>
          <w:rFonts w:hint="eastAsia" w:cs="宋体"/>
          <w:bCs/>
          <w:color w:val="000000"/>
          <w:sz w:val="24"/>
          <w:szCs w:val="24"/>
        </w:rPr>
        <w:t>9.2.6乙方及其服务人员虚报服务内容、服务时间等，骗取甲方服务费用的；</w:t>
      </w:r>
    </w:p>
    <w:p w14:paraId="5D0F7D31">
      <w:pPr>
        <w:spacing w:line="440" w:lineRule="exact"/>
        <w:ind w:firstLine="560"/>
        <w:rPr>
          <w:rFonts w:cs="宋体"/>
          <w:bCs/>
          <w:color w:val="000000"/>
          <w:sz w:val="24"/>
          <w:szCs w:val="24"/>
        </w:rPr>
      </w:pPr>
      <w:r>
        <w:rPr>
          <w:rFonts w:hint="eastAsia" w:cs="宋体"/>
          <w:bCs/>
          <w:color w:val="000000"/>
          <w:sz w:val="24"/>
          <w:szCs w:val="24"/>
        </w:rPr>
        <w:t>9.2.7根据第七条乙方义务，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列明具体赔偿的标准以及如何赔偿）。同时乙方应向甲方支付合同总价</w:t>
      </w:r>
      <w:r>
        <w:rPr>
          <w:rFonts w:hint="eastAsia" w:cs="宋体"/>
          <w:bCs/>
          <w:color w:val="000000"/>
          <w:sz w:val="24"/>
          <w:szCs w:val="24"/>
          <w:u w:val="single"/>
        </w:rPr>
        <w:t xml:space="preserve"> 5 ％</w:t>
      </w:r>
      <w:r>
        <w:rPr>
          <w:rFonts w:hint="eastAsia" w:cs="宋体"/>
          <w:bCs/>
          <w:color w:val="000000"/>
          <w:sz w:val="24"/>
          <w:szCs w:val="24"/>
        </w:rPr>
        <w:t>的违约金。</w:t>
      </w:r>
    </w:p>
    <w:p w14:paraId="40D26BAA">
      <w:pPr>
        <w:spacing w:line="440" w:lineRule="exact"/>
        <w:ind w:firstLine="240"/>
        <w:rPr>
          <w:rFonts w:cs="宋体"/>
          <w:bCs/>
          <w:color w:val="000000"/>
          <w:sz w:val="24"/>
          <w:szCs w:val="24"/>
        </w:rPr>
      </w:pPr>
      <w:r>
        <w:rPr>
          <w:rFonts w:hint="eastAsia" w:cs="宋体"/>
          <w:bCs/>
          <w:color w:val="000000"/>
          <w:sz w:val="24"/>
          <w:szCs w:val="24"/>
        </w:rPr>
        <w:t>9.3乙方在承担上述9.2项中一项或多项违约责任后，仍应继续履行合同规定的义务（甲方解除合同的除外）。甲方未能及时追究乙方的任何一项违约责任并不表明甲方放弃追究乙方该项或其他违约责任。</w:t>
      </w:r>
    </w:p>
    <w:p w14:paraId="0D8B444C">
      <w:pPr>
        <w:spacing w:line="440" w:lineRule="exact"/>
        <w:rPr>
          <w:rFonts w:cs="宋体"/>
          <w:b/>
          <w:bCs/>
          <w:color w:val="000000"/>
          <w:sz w:val="24"/>
          <w:szCs w:val="24"/>
        </w:rPr>
      </w:pPr>
      <w:r>
        <w:rPr>
          <w:rFonts w:hint="eastAsia" w:cs="宋体"/>
          <w:b/>
          <w:bCs/>
          <w:color w:val="000000"/>
          <w:sz w:val="24"/>
          <w:szCs w:val="24"/>
        </w:rPr>
        <w:t>第十条 合同的解除</w:t>
      </w:r>
    </w:p>
    <w:p w14:paraId="3A08E3F2">
      <w:pPr>
        <w:spacing w:line="440" w:lineRule="exact"/>
        <w:ind w:firstLine="240"/>
        <w:rPr>
          <w:rFonts w:cs="宋体"/>
          <w:bCs/>
          <w:color w:val="000000"/>
          <w:sz w:val="24"/>
          <w:szCs w:val="24"/>
        </w:rPr>
      </w:pPr>
      <w:r>
        <w:rPr>
          <w:rFonts w:hint="eastAsia" w:cs="宋体"/>
          <w:bCs/>
          <w:color w:val="000000"/>
          <w:sz w:val="24"/>
          <w:szCs w:val="24"/>
        </w:rPr>
        <w:t>出现下列情形之一的，甲方有权解除本合同：</w:t>
      </w:r>
    </w:p>
    <w:p w14:paraId="1630CF54">
      <w:pPr>
        <w:spacing w:line="440" w:lineRule="exact"/>
        <w:ind w:firstLine="240"/>
        <w:rPr>
          <w:rFonts w:cs="宋体"/>
          <w:bCs/>
          <w:color w:val="000000"/>
          <w:sz w:val="24"/>
          <w:szCs w:val="24"/>
        </w:rPr>
      </w:pPr>
      <w:r>
        <w:rPr>
          <w:rFonts w:hint="eastAsia" w:cs="宋体"/>
          <w:bCs/>
          <w:color w:val="000000"/>
          <w:sz w:val="24"/>
          <w:szCs w:val="24"/>
        </w:rPr>
        <w:t>10.1乙方单位总体服务能力发生下降，专业技术人员减员或资质下降人数达到</w:t>
      </w:r>
      <w:r>
        <w:rPr>
          <w:rFonts w:hint="eastAsia" w:cs="宋体"/>
          <w:bCs/>
          <w:color w:val="000000"/>
          <w:sz w:val="24"/>
          <w:szCs w:val="24"/>
          <w:u w:val="single"/>
        </w:rPr>
        <w:t xml:space="preserve"> 2 </w:t>
      </w:r>
      <w:r>
        <w:rPr>
          <w:rFonts w:hint="eastAsia" w:cs="宋体"/>
          <w:bCs/>
          <w:color w:val="000000"/>
          <w:sz w:val="24"/>
          <w:szCs w:val="24"/>
        </w:rPr>
        <w:t>人的；</w:t>
      </w:r>
    </w:p>
    <w:p w14:paraId="613482C8">
      <w:pPr>
        <w:spacing w:line="440" w:lineRule="exact"/>
        <w:ind w:firstLine="240"/>
        <w:rPr>
          <w:rFonts w:cs="宋体"/>
          <w:bCs/>
          <w:color w:val="000000"/>
          <w:sz w:val="24"/>
          <w:szCs w:val="24"/>
        </w:rPr>
      </w:pPr>
      <w:r>
        <w:rPr>
          <w:rFonts w:hint="eastAsia" w:cs="宋体"/>
          <w:bCs/>
          <w:color w:val="000000"/>
          <w:sz w:val="24"/>
          <w:szCs w:val="24"/>
        </w:rPr>
        <w:t>10.2乙方人员无故未能按约到甲方提供服务，服务期限内达到</w:t>
      </w:r>
      <w:r>
        <w:rPr>
          <w:rFonts w:hint="eastAsia" w:cs="宋体"/>
          <w:bCs/>
          <w:color w:val="000000"/>
          <w:sz w:val="24"/>
          <w:szCs w:val="24"/>
          <w:u w:val="single"/>
        </w:rPr>
        <w:t xml:space="preserve"> 2 </w:t>
      </w:r>
      <w:r>
        <w:rPr>
          <w:rFonts w:hint="eastAsia" w:cs="宋体"/>
          <w:bCs/>
          <w:color w:val="000000"/>
          <w:sz w:val="24"/>
          <w:szCs w:val="24"/>
        </w:rPr>
        <w:t>人次的；</w:t>
      </w:r>
    </w:p>
    <w:p w14:paraId="2D36EFDD">
      <w:pPr>
        <w:spacing w:line="440" w:lineRule="exact"/>
        <w:ind w:firstLine="240"/>
        <w:rPr>
          <w:rFonts w:cs="宋体"/>
          <w:bCs/>
          <w:color w:val="000000"/>
          <w:sz w:val="24"/>
          <w:szCs w:val="24"/>
        </w:rPr>
      </w:pPr>
      <w:r>
        <w:rPr>
          <w:rFonts w:hint="eastAsia" w:cs="宋体"/>
          <w:bCs/>
          <w:color w:val="000000"/>
          <w:sz w:val="24"/>
          <w:szCs w:val="24"/>
        </w:rPr>
        <w:t>10.3乙方人员不能响应甲方紧急服务需求的，经甲方指出后未能改正的；</w:t>
      </w:r>
    </w:p>
    <w:p w14:paraId="348AEDC5">
      <w:pPr>
        <w:spacing w:line="440" w:lineRule="exact"/>
        <w:ind w:firstLine="240"/>
        <w:rPr>
          <w:rFonts w:cs="宋体"/>
          <w:bCs/>
          <w:color w:val="000000"/>
          <w:sz w:val="24"/>
          <w:szCs w:val="24"/>
        </w:rPr>
      </w:pPr>
      <w:r>
        <w:rPr>
          <w:rFonts w:hint="eastAsia" w:cs="宋体"/>
          <w:bCs/>
          <w:color w:val="000000"/>
          <w:sz w:val="24"/>
          <w:szCs w:val="24"/>
        </w:rPr>
        <w:t>10.4因乙方服务人员原因在服务期间给甲方造成不良影响的，服务期限内达到</w:t>
      </w:r>
      <w:r>
        <w:rPr>
          <w:rFonts w:hint="eastAsia" w:cs="宋体"/>
          <w:bCs/>
          <w:color w:val="000000"/>
          <w:sz w:val="24"/>
          <w:szCs w:val="24"/>
          <w:u w:val="single"/>
        </w:rPr>
        <w:t xml:space="preserve"> 2 </w:t>
      </w:r>
      <w:r>
        <w:rPr>
          <w:rFonts w:hint="eastAsia" w:cs="宋体"/>
          <w:bCs/>
          <w:color w:val="000000"/>
          <w:sz w:val="24"/>
          <w:szCs w:val="24"/>
        </w:rPr>
        <w:t>次的；</w:t>
      </w:r>
    </w:p>
    <w:p w14:paraId="018EF5F8">
      <w:pPr>
        <w:spacing w:line="440" w:lineRule="exact"/>
        <w:ind w:firstLine="240"/>
        <w:rPr>
          <w:rFonts w:cs="宋体"/>
          <w:bCs/>
          <w:color w:val="000000"/>
          <w:sz w:val="24"/>
          <w:szCs w:val="24"/>
        </w:rPr>
      </w:pPr>
      <w:r>
        <w:rPr>
          <w:rFonts w:hint="eastAsia" w:cs="宋体"/>
          <w:bCs/>
          <w:color w:val="000000"/>
          <w:sz w:val="24"/>
          <w:szCs w:val="24"/>
        </w:rPr>
        <w:t>10.5乙方及其服务人员虚报服务内容、服务时间等，骗取甲方服务费用的；</w:t>
      </w:r>
    </w:p>
    <w:p w14:paraId="6A6F77FF">
      <w:pPr>
        <w:spacing w:line="440" w:lineRule="exact"/>
        <w:ind w:firstLine="240"/>
        <w:rPr>
          <w:rFonts w:cs="宋体"/>
          <w:bCs/>
          <w:color w:val="000000"/>
          <w:sz w:val="24"/>
          <w:szCs w:val="24"/>
        </w:rPr>
      </w:pPr>
      <w:r>
        <w:rPr>
          <w:rFonts w:hint="eastAsia" w:cs="宋体"/>
          <w:bCs/>
          <w:color w:val="000000"/>
          <w:sz w:val="24"/>
          <w:szCs w:val="24"/>
        </w:rPr>
        <w:t>10.6因乙方不当服务或服务人员违法，给甲方造成严重不良影响的；</w:t>
      </w:r>
    </w:p>
    <w:p w14:paraId="6C79EFD9">
      <w:pPr>
        <w:spacing w:line="440" w:lineRule="exact"/>
        <w:ind w:firstLine="240"/>
        <w:rPr>
          <w:rFonts w:cs="宋体"/>
          <w:bCs/>
          <w:color w:val="000000"/>
          <w:sz w:val="24"/>
          <w:szCs w:val="24"/>
        </w:rPr>
      </w:pPr>
      <w:r>
        <w:rPr>
          <w:rFonts w:hint="eastAsia" w:cs="宋体"/>
          <w:bCs/>
          <w:color w:val="000000"/>
          <w:sz w:val="24"/>
          <w:szCs w:val="24"/>
        </w:rPr>
        <w:t>10.7乙方一年内因生产安全事故受到行政处罚达到3次的，或者因为乙方发生生产安全事故、环境损害事故，给甲方造成重大不良影响的或导致甲方受到行政处罚的。</w:t>
      </w:r>
    </w:p>
    <w:p w14:paraId="063C853B">
      <w:pPr>
        <w:spacing w:line="440" w:lineRule="exact"/>
        <w:rPr>
          <w:rFonts w:cs="宋体"/>
          <w:b/>
          <w:bCs/>
          <w:color w:val="000000"/>
          <w:sz w:val="24"/>
          <w:szCs w:val="24"/>
        </w:rPr>
      </w:pPr>
      <w:r>
        <w:rPr>
          <w:rFonts w:hint="eastAsia" w:cs="宋体"/>
          <w:b/>
          <w:bCs/>
          <w:color w:val="000000"/>
          <w:sz w:val="24"/>
          <w:szCs w:val="24"/>
        </w:rPr>
        <w:t>第十一条 不可抗力</w:t>
      </w:r>
    </w:p>
    <w:p w14:paraId="3817310A">
      <w:pPr>
        <w:spacing w:line="440" w:lineRule="exact"/>
        <w:ind w:firstLine="240"/>
        <w:rPr>
          <w:rFonts w:cs="宋体"/>
          <w:bCs/>
          <w:color w:val="000000"/>
          <w:sz w:val="24"/>
          <w:szCs w:val="24"/>
        </w:rPr>
      </w:pPr>
      <w:r>
        <w:rPr>
          <w:rFonts w:hint="eastAsia" w:cs="宋体"/>
          <w:bCs/>
          <w:color w:val="000000"/>
          <w:sz w:val="24"/>
          <w:szCs w:val="24"/>
        </w:rPr>
        <w:t>11.1不可抗力，是指不能预见、不能避免并不能克服的客观情况，如战争、动乱、洪水、地震、风暴等。</w:t>
      </w:r>
    </w:p>
    <w:p w14:paraId="7B8E090F">
      <w:pPr>
        <w:spacing w:line="440" w:lineRule="exact"/>
        <w:ind w:firstLine="240"/>
        <w:rPr>
          <w:rFonts w:cs="宋体"/>
          <w:bCs/>
          <w:color w:val="000000"/>
          <w:sz w:val="24"/>
          <w:szCs w:val="24"/>
        </w:rPr>
      </w:pPr>
      <w:r>
        <w:rPr>
          <w:rFonts w:hint="eastAsia" w:cs="宋体"/>
          <w:bCs/>
          <w:color w:val="000000"/>
          <w:sz w:val="24"/>
          <w:szCs w:val="24"/>
        </w:rPr>
        <w:t>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2FB49066">
      <w:pPr>
        <w:spacing w:line="440" w:lineRule="exact"/>
        <w:ind w:firstLine="240"/>
        <w:rPr>
          <w:rFonts w:cs="宋体"/>
          <w:bCs/>
          <w:color w:val="000000"/>
          <w:sz w:val="24"/>
          <w:szCs w:val="24"/>
        </w:rPr>
      </w:pPr>
      <w:r>
        <w:rPr>
          <w:rFonts w:hint="eastAsia" w:cs="宋体"/>
          <w:bCs/>
          <w:color w:val="000000"/>
          <w:sz w:val="24"/>
          <w:szCs w:val="24"/>
        </w:rPr>
        <w:t>11.3发生不可抗力事件，任何一方均不对因不可抗力无法履行或迟延履行本合同义务而使另一方蒙受的任何损失承担责任，法律另有规定的除外。</w:t>
      </w:r>
    </w:p>
    <w:p w14:paraId="739B7C06">
      <w:pPr>
        <w:spacing w:line="440" w:lineRule="exact"/>
        <w:ind w:firstLine="240"/>
        <w:rPr>
          <w:rFonts w:cs="宋体"/>
          <w:bCs/>
          <w:color w:val="000000"/>
          <w:sz w:val="24"/>
          <w:szCs w:val="24"/>
        </w:rPr>
      </w:pPr>
      <w:r>
        <w:rPr>
          <w:rFonts w:hint="eastAsia" w:cs="宋体"/>
          <w:bCs/>
          <w:color w:val="000000"/>
          <w:sz w:val="24"/>
          <w:szCs w:val="24"/>
        </w:rPr>
        <w:t>11.4合同各方应根据不可抗力对本合同履行的影响程度，协商确定是否终止或是继续履行本合同。</w:t>
      </w:r>
    </w:p>
    <w:p w14:paraId="7EF1BA6D">
      <w:pPr>
        <w:spacing w:line="440" w:lineRule="exact"/>
        <w:rPr>
          <w:rFonts w:cs="宋体"/>
          <w:b/>
          <w:bCs/>
          <w:color w:val="000000"/>
          <w:sz w:val="24"/>
          <w:szCs w:val="24"/>
        </w:rPr>
      </w:pPr>
      <w:r>
        <w:rPr>
          <w:rFonts w:hint="eastAsia" w:cs="宋体"/>
          <w:b/>
          <w:bCs/>
          <w:color w:val="000000"/>
          <w:sz w:val="24"/>
          <w:szCs w:val="24"/>
        </w:rPr>
        <w:t>第十二条 合同的变更、中止</w:t>
      </w:r>
    </w:p>
    <w:p w14:paraId="787C84C7">
      <w:pPr>
        <w:spacing w:line="440" w:lineRule="exact"/>
        <w:ind w:firstLine="560"/>
        <w:rPr>
          <w:rFonts w:cs="宋体"/>
          <w:bCs/>
          <w:color w:val="000000"/>
          <w:sz w:val="24"/>
          <w:szCs w:val="24"/>
        </w:rPr>
      </w:pPr>
      <w:r>
        <w:rPr>
          <w:rFonts w:hint="eastAsia" w:cs="宋体"/>
          <w:bCs/>
          <w:color w:val="000000"/>
          <w:sz w:val="24"/>
          <w:szCs w:val="24"/>
        </w:rPr>
        <w:t>本合同一经签订，双方均不得擅自变更或中止合同，除非合同的继续履行将损害国家利益和社会公共利益。</w:t>
      </w:r>
    </w:p>
    <w:p w14:paraId="649D88D4">
      <w:pPr>
        <w:spacing w:line="440" w:lineRule="exact"/>
        <w:rPr>
          <w:rFonts w:cs="宋体"/>
          <w:b/>
          <w:bCs/>
          <w:color w:val="000000"/>
          <w:sz w:val="24"/>
          <w:szCs w:val="24"/>
        </w:rPr>
      </w:pPr>
      <w:r>
        <w:rPr>
          <w:rFonts w:hint="eastAsia" w:cs="宋体"/>
          <w:b/>
          <w:bCs/>
          <w:color w:val="000000"/>
          <w:sz w:val="24"/>
          <w:szCs w:val="24"/>
        </w:rPr>
        <w:t>第十三条 合同的终止</w:t>
      </w:r>
    </w:p>
    <w:p w14:paraId="493A8CE6">
      <w:pPr>
        <w:spacing w:line="440" w:lineRule="exact"/>
        <w:ind w:firstLine="240"/>
        <w:rPr>
          <w:rFonts w:cs="宋体"/>
          <w:bCs/>
          <w:color w:val="000000"/>
          <w:sz w:val="24"/>
          <w:szCs w:val="24"/>
        </w:rPr>
      </w:pPr>
      <w:r>
        <w:rPr>
          <w:rFonts w:hint="eastAsia" w:cs="宋体"/>
          <w:bCs/>
          <w:color w:val="000000"/>
          <w:sz w:val="24"/>
          <w:szCs w:val="24"/>
        </w:rPr>
        <w:t>13.1 本合同因下列原因而终止：</w:t>
      </w:r>
    </w:p>
    <w:p w14:paraId="6AE258CC">
      <w:pPr>
        <w:spacing w:line="440" w:lineRule="exact"/>
        <w:ind w:firstLine="560"/>
        <w:rPr>
          <w:rFonts w:cs="宋体"/>
          <w:bCs/>
          <w:color w:val="000000"/>
          <w:sz w:val="24"/>
          <w:szCs w:val="24"/>
        </w:rPr>
      </w:pPr>
      <w:r>
        <w:rPr>
          <w:rFonts w:hint="eastAsia" w:cs="宋体"/>
          <w:bCs/>
          <w:color w:val="000000"/>
          <w:sz w:val="24"/>
          <w:szCs w:val="24"/>
        </w:rPr>
        <w:t>13.1.1 本合同正常履行完毕；</w:t>
      </w:r>
    </w:p>
    <w:p w14:paraId="3252A9AA">
      <w:pPr>
        <w:spacing w:line="440" w:lineRule="exact"/>
        <w:ind w:firstLine="560"/>
        <w:rPr>
          <w:rFonts w:cs="宋体"/>
          <w:bCs/>
          <w:color w:val="000000"/>
          <w:sz w:val="24"/>
          <w:szCs w:val="24"/>
        </w:rPr>
      </w:pPr>
      <w:r>
        <w:rPr>
          <w:rFonts w:hint="eastAsia" w:cs="宋体"/>
          <w:bCs/>
          <w:color w:val="000000"/>
          <w:sz w:val="24"/>
          <w:szCs w:val="24"/>
        </w:rPr>
        <w:t>13.1.2 因不可抗力导致本合同无法履行或履行不必要；</w:t>
      </w:r>
    </w:p>
    <w:p w14:paraId="12D0BB00">
      <w:pPr>
        <w:spacing w:line="440" w:lineRule="exact"/>
        <w:ind w:firstLine="560"/>
        <w:rPr>
          <w:rFonts w:cs="宋体"/>
          <w:bCs/>
          <w:color w:val="000000"/>
          <w:sz w:val="24"/>
          <w:szCs w:val="24"/>
        </w:rPr>
      </w:pPr>
      <w:r>
        <w:rPr>
          <w:rFonts w:hint="eastAsia" w:cs="宋体"/>
          <w:bCs/>
          <w:color w:val="000000"/>
          <w:sz w:val="24"/>
          <w:szCs w:val="24"/>
        </w:rPr>
        <w:t>13.1.3 任何一方行使解除权解除本合同；</w:t>
      </w:r>
    </w:p>
    <w:p w14:paraId="37CE7F19">
      <w:pPr>
        <w:spacing w:line="440" w:lineRule="exact"/>
        <w:ind w:firstLine="560"/>
        <w:rPr>
          <w:rFonts w:cs="宋体"/>
          <w:bCs/>
          <w:color w:val="000000"/>
          <w:sz w:val="24"/>
          <w:szCs w:val="24"/>
        </w:rPr>
      </w:pPr>
      <w:r>
        <w:rPr>
          <w:rFonts w:hint="eastAsia" w:cs="宋体"/>
          <w:bCs/>
          <w:color w:val="000000"/>
          <w:sz w:val="24"/>
          <w:szCs w:val="24"/>
        </w:rPr>
        <w:t>13.1.4 合同的继续履行将损害国家利益和社会公共利益且不宜变更、中止的。</w:t>
      </w:r>
    </w:p>
    <w:p w14:paraId="515AD9DE">
      <w:pPr>
        <w:spacing w:line="440" w:lineRule="exact"/>
        <w:ind w:firstLine="240"/>
        <w:rPr>
          <w:rFonts w:cs="宋体"/>
          <w:bCs/>
          <w:color w:val="000000"/>
          <w:sz w:val="24"/>
          <w:szCs w:val="24"/>
        </w:rPr>
      </w:pPr>
      <w:r>
        <w:rPr>
          <w:rFonts w:hint="eastAsia" w:cs="宋体"/>
          <w:bCs/>
          <w:color w:val="000000"/>
          <w:sz w:val="24"/>
          <w:szCs w:val="24"/>
        </w:rPr>
        <w:t>13.2除上述情形外，甲乙双方不得擅自终止合同。</w:t>
      </w:r>
    </w:p>
    <w:p w14:paraId="4BE6313B">
      <w:pPr>
        <w:spacing w:line="440" w:lineRule="exact"/>
        <w:rPr>
          <w:rFonts w:cs="宋体"/>
          <w:b/>
          <w:bCs/>
          <w:color w:val="000000"/>
          <w:sz w:val="24"/>
          <w:szCs w:val="24"/>
        </w:rPr>
      </w:pPr>
      <w:r>
        <w:rPr>
          <w:rFonts w:hint="eastAsia" w:cs="宋体"/>
          <w:b/>
          <w:bCs/>
          <w:color w:val="000000"/>
          <w:sz w:val="24"/>
          <w:szCs w:val="24"/>
        </w:rPr>
        <w:t>第十四条 合同的转让</w:t>
      </w:r>
    </w:p>
    <w:p w14:paraId="6183E626">
      <w:pPr>
        <w:spacing w:line="440" w:lineRule="exact"/>
        <w:ind w:firstLine="560"/>
        <w:rPr>
          <w:rFonts w:cs="宋体"/>
          <w:bCs/>
          <w:color w:val="000000"/>
          <w:sz w:val="24"/>
          <w:szCs w:val="24"/>
        </w:rPr>
      </w:pPr>
      <w:r>
        <w:rPr>
          <w:rFonts w:hint="eastAsia" w:cs="宋体"/>
          <w:bCs/>
          <w:color w:val="000000"/>
          <w:sz w:val="24"/>
          <w:szCs w:val="24"/>
        </w:rPr>
        <w:t>乙方不得将其合同项下的权利义务部分或全部转让给第三方。</w:t>
      </w:r>
    </w:p>
    <w:p w14:paraId="5AA97725">
      <w:pPr>
        <w:spacing w:line="440" w:lineRule="exact"/>
        <w:rPr>
          <w:rFonts w:cs="宋体"/>
          <w:b/>
          <w:bCs/>
          <w:color w:val="000000"/>
          <w:sz w:val="24"/>
          <w:szCs w:val="24"/>
        </w:rPr>
      </w:pPr>
      <w:r>
        <w:rPr>
          <w:rFonts w:hint="eastAsia" w:cs="宋体"/>
          <w:b/>
          <w:bCs/>
          <w:color w:val="000000"/>
          <w:sz w:val="24"/>
          <w:szCs w:val="24"/>
        </w:rPr>
        <w:t>第十五条 履约保证金</w:t>
      </w:r>
    </w:p>
    <w:p w14:paraId="530EB38B">
      <w:pPr>
        <w:spacing w:line="440" w:lineRule="exact"/>
        <w:ind w:firstLine="480" w:firstLineChars="200"/>
        <w:rPr>
          <w:rFonts w:cs="宋体"/>
          <w:color w:val="000000"/>
          <w:sz w:val="24"/>
          <w:szCs w:val="24"/>
        </w:rPr>
      </w:pPr>
      <w:r>
        <w:rPr>
          <w:rFonts w:hint="eastAsia" w:cs="宋体"/>
          <w:color w:val="000000"/>
          <w:sz w:val="24"/>
          <w:szCs w:val="24"/>
        </w:rPr>
        <w:t>无</w:t>
      </w:r>
    </w:p>
    <w:p w14:paraId="51667620">
      <w:pPr>
        <w:spacing w:line="440" w:lineRule="exact"/>
        <w:rPr>
          <w:rFonts w:cs="宋体"/>
          <w:b/>
          <w:bCs/>
          <w:color w:val="000000"/>
          <w:sz w:val="24"/>
          <w:szCs w:val="24"/>
        </w:rPr>
      </w:pPr>
      <w:r>
        <w:rPr>
          <w:rFonts w:hint="eastAsia" w:cs="宋体"/>
          <w:b/>
          <w:bCs/>
          <w:color w:val="000000"/>
          <w:sz w:val="24"/>
          <w:szCs w:val="24"/>
        </w:rPr>
        <w:t>第十六条 争议解决方式</w:t>
      </w:r>
    </w:p>
    <w:p w14:paraId="157490C0">
      <w:pPr>
        <w:spacing w:line="440" w:lineRule="exact"/>
        <w:ind w:firstLine="240"/>
        <w:rPr>
          <w:rFonts w:cs="宋体"/>
          <w:bCs/>
          <w:color w:val="000000"/>
          <w:sz w:val="24"/>
          <w:szCs w:val="24"/>
        </w:rPr>
      </w:pPr>
      <w:r>
        <w:rPr>
          <w:rFonts w:hint="eastAsia" w:cs="宋体"/>
          <w:bCs/>
          <w:color w:val="000000"/>
          <w:sz w:val="24"/>
          <w:szCs w:val="24"/>
        </w:rPr>
        <w:t>16.1在执行本合同过程中所发生的或与本合同有关的一切争端，甲乙双方友好协商解决。如协商不能解决，则全部争端由甲方所在地人民法院管辖。</w:t>
      </w:r>
    </w:p>
    <w:p w14:paraId="0A84690D">
      <w:pPr>
        <w:spacing w:line="440" w:lineRule="exact"/>
        <w:ind w:firstLine="240"/>
        <w:rPr>
          <w:rFonts w:cs="宋体"/>
          <w:bCs/>
          <w:color w:val="000000"/>
          <w:sz w:val="24"/>
          <w:szCs w:val="24"/>
        </w:rPr>
      </w:pPr>
      <w:r>
        <w:rPr>
          <w:rFonts w:hint="eastAsia" w:cs="宋体"/>
          <w:bCs/>
          <w:color w:val="000000"/>
          <w:sz w:val="24"/>
          <w:szCs w:val="24"/>
        </w:rPr>
        <w:t>16.2如因乙方违约，导致甲方起诉的，甲方由此产生的诉讼费用、律师费用、差旅费用等，均由乙方承担。</w:t>
      </w:r>
    </w:p>
    <w:p w14:paraId="7DF14F9B">
      <w:pPr>
        <w:spacing w:line="440" w:lineRule="exact"/>
        <w:rPr>
          <w:rFonts w:cs="宋体"/>
          <w:b/>
          <w:bCs/>
          <w:color w:val="000000"/>
          <w:sz w:val="24"/>
          <w:szCs w:val="24"/>
        </w:rPr>
      </w:pPr>
      <w:r>
        <w:rPr>
          <w:rFonts w:hint="eastAsia" w:cs="宋体"/>
          <w:b/>
          <w:bCs/>
          <w:color w:val="000000"/>
          <w:sz w:val="24"/>
          <w:szCs w:val="24"/>
        </w:rPr>
        <w:t>第十七条 通知与送达</w:t>
      </w:r>
    </w:p>
    <w:p w14:paraId="2BC4EFC8">
      <w:pPr>
        <w:spacing w:line="440" w:lineRule="exact"/>
        <w:ind w:firstLine="240"/>
        <w:rPr>
          <w:rFonts w:cs="宋体"/>
          <w:bCs/>
          <w:color w:val="000000"/>
          <w:sz w:val="24"/>
          <w:szCs w:val="24"/>
        </w:rPr>
      </w:pPr>
      <w:r>
        <w:rPr>
          <w:rFonts w:hint="eastAsia" w:cs="宋体"/>
          <w:bCs/>
          <w:color w:val="000000"/>
          <w:sz w:val="24"/>
          <w:szCs w:val="24"/>
        </w:rPr>
        <w:t>17.1甲乙双方因履行本合同需要向对方发送通知、文件、资料的，均以下列联系信息确定内容进行：</w:t>
      </w:r>
    </w:p>
    <w:p w14:paraId="65304573">
      <w:pPr>
        <w:spacing w:line="440" w:lineRule="exact"/>
        <w:ind w:firstLine="560"/>
        <w:rPr>
          <w:rFonts w:cs="宋体"/>
          <w:bCs/>
          <w:color w:val="000000"/>
          <w:sz w:val="24"/>
          <w:szCs w:val="24"/>
        </w:rPr>
      </w:pPr>
      <w:r>
        <w:rPr>
          <w:rFonts w:hint="eastAsia" w:cs="宋体"/>
          <w:bCs/>
          <w:color w:val="000000"/>
          <w:sz w:val="24"/>
          <w:szCs w:val="24"/>
        </w:rPr>
        <w:t>17.1.1甲方联系信息：</w:t>
      </w:r>
    </w:p>
    <w:p w14:paraId="43801841">
      <w:pPr>
        <w:spacing w:line="440" w:lineRule="exact"/>
        <w:ind w:firstLine="560"/>
        <w:rPr>
          <w:rFonts w:cs="宋体"/>
          <w:bCs/>
          <w:color w:val="000000"/>
          <w:sz w:val="24"/>
          <w:szCs w:val="24"/>
          <w:u w:val="single"/>
        </w:rPr>
      </w:pPr>
      <w:r>
        <w:rPr>
          <w:rFonts w:hint="eastAsia" w:cs="宋体"/>
          <w:bCs/>
          <w:color w:val="000000"/>
          <w:sz w:val="24"/>
          <w:szCs w:val="24"/>
        </w:rPr>
        <w:t>指定收件人：</w:t>
      </w:r>
      <w:r>
        <w:rPr>
          <w:rFonts w:hint="eastAsia" w:cs="宋体"/>
          <w:bCs/>
          <w:color w:val="000000"/>
          <w:sz w:val="24"/>
          <w:szCs w:val="24"/>
          <w:u w:val="single"/>
        </w:rPr>
        <w:t xml:space="preserve">                           </w:t>
      </w:r>
    </w:p>
    <w:p w14:paraId="28DD9FC1">
      <w:pPr>
        <w:spacing w:line="440" w:lineRule="exact"/>
        <w:ind w:firstLine="560"/>
        <w:rPr>
          <w:rFonts w:cs="宋体"/>
          <w:bCs/>
          <w:color w:val="000000"/>
          <w:sz w:val="24"/>
          <w:szCs w:val="24"/>
          <w:u w:val="single"/>
        </w:rPr>
      </w:pPr>
      <w:r>
        <w:rPr>
          <w:rFonts w:hint="eastAsia" w:cs="宋体"/>
          <w:bCs/>
          <w:color w:val="000000"/>
          <w:sz w:val="24"/>
          <w:szCs w:val="24"/>
        </w:rPr>
        <w:t>送达地址：</w:t>
      </w:r>
      <w:r>
        <w:rPr>
          <w:rFonts w:hint="eastAsia" w:cs="宋体"/>
          <w:bCs/>
          <w:color w:val="000000"/>
          <w:sz w:val="24"/>
          <w:szCs w:val="24"/>
          <w:u w:val="single"/>
        </w:rPr>
        <w:t xml:space="preserve">                           </w:t>
      </w:r>
    </w:p>
    <w:p w14:paraId="7DBA1945">
      <w:pPr>
        <w:spacing w:line="440" w:lineRule="exact"/>
        <w:ind w:firstLine="560"/>
        <w:rPr>
          <w:rFonts w:cs="宋体"/>
          <w:bCs/>
          <w:color w:val="000000"/>
          <w:sz w:val="24"/>
          <w:szCs w:val="24"/>
          <w:u w:val="single"/>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2B0F3767">
      <w:pPr>
        <w:spacing w:line="440" w:lineRule="exact"/>
        <w:ind w:firstLine="560"/>
        <w:rPr>
          <w:rFonts w:cs="宋体"/>
          <w:bCs/>
          <w:color w:val="000000"/>
          <w:sz w:val="24"/>
          <w:szCs w:val="24"/>
        </w:rPr>
      </w:pPr>
      <w:r>
        <w:rPr>
          <w:rFonts w:hint="eastAsia" w:cs="宋体"/>
          <w:bCs/>
          <w:color w:val="000000"/>
          <w:sz w:val="24"/>
          <w:szCs w:val="24"/>
        </w:rPr>
        <w:t>17.1.2乙方联系信息：</w:t>
      </w:r>
    </w:p>
    <w:p w14:paraId="7441B503">
      <w:pPr>
        <w:spacing w:line="440" w:lineRule="exact"/>
        <w:ind w:firstLine="560"/>
        <w:rPr>
          <w:rFonts w:cs="宋体"/>
          <w:bCs/>
          <w:color w:val="000000"/>
          <w:sz w:val="24"/>
          <w:szCs w:val="24"/>
          <w:u w:val="single"/>
        </w:rPr>
      </w:pPr>
      <w:r>
        <w:rPr>
          <w:rFonts w:hint="eastAsia" w:cs="宋体"/>
          <w:bCs/>
          <w:color w:val="000000"/>
          <w:sz w:val="24"/>
          <w:szCs w:val="24"/>
        </w:rPr>
        <w:t>指定收件人：</w:t>
      </w:r>
      <w:r>
        <w:rPr>
          <w:rFonts w:hint="eastAsia" w:cs="宋体"/>
          <w:bCs/>
          <w:color w:val="000000"/>
          <w:sz w:val="24"/>
          <w:szCs w:val="24"/>
          <w:u w:val="single"/>
        </w:rPr>
        <w:t xml:space="preserve">                           </w:t>
      </w:r>
    </w:p>
    <w:p w14:paraId="1230FD1C">
      <w:pPr>
        <w:spacing w:line="440" w:lineRule="exact"/>
        <w:ind w:firstLine="560"/>
        <w:rPr>
          <w:rFonts w:cs="宋体"/>
          <w:bCs/>
          <w:color w:val="000000"/>
          <w:sz w:val="24"/>
          <w:szCs w:val="24"/>
          <w:u w:val="single"/>
        </w:rPr>
      </w:pPr>
      <w:r>
        <w:rPr>
          <w:rFonts w:hint="eastAsia" w:cs="宋体"/>
          <w:bCs/>
          <w:color w:val="000000"/>
          <w:sz w:val="24"/>
          <w:szCs w:val="24"/>
        </w:rPr>
        <w:t>送达地址：</w:t>
      </w:r>
      <w:r>
        <w:rPr>
          <w:rFonts w:hint="eastAsia" w:cs="宋体"/>
          <w:bCs/>
          <w:color w:val="000000"/>
          <w:sz w:val="24"/>
          <w:szCs w:val="24"/>
          <w:u w:val="single"/>
        </w:rPr>
        <w:t xml:space="preserve">                           </w:t>
      </w:r>
    </w:p>
    <w:p w14:paraId="06EBC401">
      <w:pPr>
        <w:spacing w:line="440" w:lineRule="exact"/>
        <w:ind w:firstLine="560"/>
        <w:rPr>
          <w:rFonts w:cs="宋体"/>
          <w:bCs/>
          <w:color w:val="000000"/>
          <w:sz w:val="24"/>
          <w:szCs w:val="24"/>
        </w:rPr>
      </w:pPr>
      <w:r>
        <w:rPr>
          <w:rFonts w:hint="eastAsia" w:cs="宋体"/>
          <w:bCs/>
          <w:color w:val="000000"/>
          <w:sz w:val="24"/>
          <w:szCs w:val="24"/>
        </w:rPr>
        <w:t>指定电子收件方式：</w:t>
      </w:r>
      <w:r>
        <w:rPr>
          <w:rFonts w:hint="eastAsia" w:cs="宋体"/>
          <w:bCs/>
          <w:color w:val="000000"/>
          <w:sz w:val="24"/>
          <w:szCs w:val="24"/>
          <w:u w:val="single"/>
        </w:rPr>
        <w:t xml:space="preserve">                           </w:t>
      </w:r>
    </w:p>
    <w:p w14:paraId="0E4FE1F8">
      <w:pPr>
        <w:spacing w:line="440" w:lineRule="exact"/>
        <w:ind w:firstLine="240"/>
        <w:rPr>
          <w:rFonts w:cs="宋体"/>
          <w:bCs/>
          <w:color w:val="000000"/>
          <w:sz w:val="24"/>
          <w:szCs w:val="24"/>
        </w:rPr>
      </w:pPr>
      <w:r>
        <w:rPr>
          <w:rFonts w:hint="eastAsia" w:cs="宋体"/>
          <w:bCs/>
          <w:color w:val="000000"/>
          <w:sz w:val="24"/>
          <w:szCs w:val="24"/>
        </w:rPr>
        <w:t>17.2双方确认前述联系信息作为解决争议时接受人民法院诉讼文书的送达地址和联系方式。</w:t>
      </w:r>
    </w:p>
    <w:p w14:paraId="5CC6DD2F">
      <w:pPr>
        <w:spacing w:line="440" w:lineRule="exact"/>
        <w:ind w:firstLine="240"/>
        <w:rPr>
          <w:rFonts w:cs="宋体"/>
          <w:bCs/>
          <w:color w:val="000000"/>
          <w:sz w:val="24"/>
          <w:szCs w:val="24"/>
        </w:rPr>
      </w:pPr>
      <w:r>
        <w:rPr>
          <w:rFonts w:hint="eastAsia" w:cs="宋体"/>
          <w:bCs/>
          <w:color w:val="000000"/>
          <w:sz w:val="24"/>
          <w:szCs w:val="24"/>
        </w:rPr>
        <w:t>17.3任何一方改变前述联系信息的，应在发生变更后的3天内告知对方并做好通知到达对方前可能存在的邮件的接收。如未通知的，视为没有变更。</w:t>
      </w:r>
    </w:p>
    <w:p w14:paraId="4927567E">
      <w:pPr>
        <w:spacing w:line="440" w:lineRule="exact"/>
        <w:rPr>
          <w:rFonts w:cs="宋体"/>
          <w:b/>
          <w:bCs/>
          <w:color w:val="000000"/>
          <w:sz w:val="24"/>
          <w:szCs w:val="24"/>
        </w:rPr>
      </w:pPr>
      <w:r>
        <w:rPr>
          <w:rFonts w:hint="eastAsia" w:cs="宋体"/>
          <w:b/>
          <w:bCs/>
          <w:color w:val="000000"/>
          <w:sz w:val="24"/>
          <w:szCs w:val="24"/>
        </w:rPr>
        <w:t>第十八条 合同生效及其他</w:t>
      </w:r>
    </w:p>
    <w:p w14:paraId="2F7EC2F8">
      <w:pPr>
        <w:spacing w:line="440" w:lineRule="exact"/>
        <w:ind w:firstLine="240"/>
        <w:rPr>
          <w:rFonts w:cs="宋体"/>
          <w:bCs/>
          <w:color w:val="000000"/>
          <w:sz w:val="24"/>
          <w:szCs w:val="24"/>
        </w:rPr>
      </w:pPr>
      <w:r>
        <w:rPr>
          <w:rFonts w:hint="eastAsia" w:cs="宋体"/>
          <w:bCs/>
          <w:color w:val="000000"/>
          <w:sz w:val="24"/>
          <w:szCs w:val="24"/>
        </w:rPr>
        <w:t>18.1 合同在双方加盖公章或双方法定代表人、授权代表签字后生效。</w:t>
      </w:r>
    </w:p>
    <w:p w14:paraId="186A2F56">
      <w:pPr>
        <w:spacing w:line="440" w:lineRule="exact"/>
        <w:ind w:firstLine="240"/>
        <w:rPr>
          <w:rFonts w:cs="宋体"/>
          <w:bCs/>
          <w:color w:val="000000"/>
          <w:sz w:val="24"/>
          <w:szCs w:val="24"/>
        </w:rPr>
      </w:pPr>
      <w:r>
        <w:rPr>
          <w:rFonts w:hint="eastAsia" w:cs="宋体"/>
          <w:bCs/>
          <w:color w:val="000000"/>
          <w:sz w:val="24"/>
          <w:szCs w:val="24"/>
        </w:rPr>
        <w:t>18.2 本合同一式五份，以简体中文书写，甲方两份、乙方两份、江苏协诚工程咨询有限公司一份。</w:t>
      </w:r>
    </w:p>
    <w:p w14:paraId="19AFE760">
      <w:pPr>
        <w:spacing w:line="440" w:lineRule="exact"/>
        <w:ind w:firstLine="240"/>
        <w:rPr>
          <w:rFonts w:cs="宋体"/>
          <w:bCs/>
          <w:color w:val="000000"/>
          <w:sz w:val="24"/>
          <w:szCs w:val="24"/>
        </w:rPr>
      </w:pPr>
      <w:r>
        <w:rPr>
          <w:rFonts w:hint="eastAsia" w:cs="宋体"/>
          <w:bCs/>
          <w:color w:val="000000"/>
          <w:sz w:val="24"/>
          <w:szCs w:val="24"/>
        </w:rPr>
        <w:t>18.3 本合同应按照中华人民共和国的现行法律进行解释。</w:t>
      </w:r>
    </w:p>
    <w:p w14:paraId="78B3A2B4">
      <w:pPr>
        <w:widowControl/>
        <w:spacing w:line="440" w:lineRule="exact"/>
        <w:ind w:firstLine="620"/>
        <w:rPr>
          <w:rFonts w:cs="宋体"/>
          <w:bCs/>
          <w:color w:val="000000"/>
          <w:sz w:val="24"/>
          <w:szCs w:val="24"/>
        </w:rPr>
      </w:pPr>
    </w:p>
    <w:p w14:paraId="209EA92E">
      <w:pPr>
        <w:widowControl/>
        <w:spacing w:line="440" w:lineRule="exact"/>
        <w:ind w:firstLine="620"/>
        <w:rPr>
          <w:rFonts w:cs="宋体"/>
          <w:bCs/>
          <w:color w:val="000000"/>
          <w:sz w:val="24"/>
          <w:szCs w:val="24"/>
        </w:rPr>
      </w:pPr>
      <w:r>
        <w:rPr>
          <w:rFonts w:hint="eastAsia" w:cs="宋体"/>
          <w:bCs/>
          <w:color w:val="000000"/>
          <w:sz w:val="24"/>
          <w:szCs w:val="24"/>
        </w:rPr>
        <w:t>甲方（公章）：                           乙方（公章）：</w:t>
      </w:r>
    </w:p>
    <w:p w14:paraId="3A0C9CAE">
      <w:pPr>
        <w:widowControl/>
        <w:spacing w:line="440" w:lineRule="exact"/>
        <w:ind w:firstLine="620"/>
        <w:rPr>
          <w:rFonts w:cs="宋体"/>
          <w:bCs/>
          <w:color w:val="000000"/>
          <w:sz w:val="24"/>
          <w:szCs w:val="24"/>
        </w:rPr>
      </w:pPr>
      <w:r>
        <w:rPr>
          <w:rFonts w:hint="eastAsia"/>
          <w:color w:val="000000"/>
          <w:sz w:val="24"/>
          <w:szCs w:val="24"/>
        </w:rPr>
        <w:t>法定（授权）代表人（签字）：             法定（授权）代表人（签字）：</w:t>
      </w:r>
    </w:p>
    <w:p w14:paraId="1B3D729E">
      <w:pPr>
        <w:widowControl/>
        <w:spacing w:line="440" w:lineRule="exact"/>
        <w:ind w:firstLine="720"/>
        <w:rPr>
          <w:rFonts w:cs="宋体"/>
          <w:bCs/>
          <w:color w:val="000000"/>
          <w:sz w:val="24"/>
          <w:szCs w:val="24"/>
        </w:rPr>
      </w:pPr>
      <w:r>
        <w:rPr>
          <w:rFonts w:hint="eastAsia" w:cs="宋体"/>
          <w:bCs/>
          <w:color w:val="000000"/>
          <w:sz w:val="24"/>
          <w:szCs w:val="24"/>
        </w:rPr>
        <w:t xml:space="preserve">  年   月   日                           年   月   日</w:t>
      </w:r>
    </w:p>
    <w:p w14:paraId="77DB7C9A">
      <w:pPr>
        <w:widowControl/>
        <w:spacing w:line="440" w:lineRule="exact"/>
        <w:ind w:firstLine="620"/>
        <w:jc w:val="left"/>
        <w:rPr>
          <w:rFonts w:cs="宋体"/>
          <w:bCs/>
          <w:color w:val="000000"/>
          <w:sz w:val="24"/>
          <w:szCs w:val="24"/>
        </w:rPr>
        <w:sectPr>
          <w:headerReference r:id="rId5" w:type="first"/>
          <w:footerReference r:id="rId7" w:type="first"/>
          <w:footerReference r:id="rId6" w:type="default"/>
          <w:pgSz w:w="11907" w:h="16839"/>
          <w:pgMar w:top="1440" w:right="1077" w:bottom="1440" w:left="1077" w:header="0" w:footer="0" w:gutter="0"/>
          <w:pgNumType w:start="1"/>
          <w:cols w:space="720" w:num="1"/>
          <w:titlePg/>
          <w:docGrid w:linePitch="360" w:charSpace="0"/>
        </w:sectPr>
      </w:pPr>
    </w:p>
    <w:p w14:paraId="0D70FA82">
      <w:pPr>
        <w:pStyle w:val="4"/>
        <w:rPr>
          <w:szCs w:val="22"/>
        </w:rPr>
      </w:pPr>
      <w:bookmarkStart w:id="38" w:name="_Toc15437"/>
      <w:bookmarkStart w:id="39" w:name="_Toc159312656"/>
      <w:r>
        <w:rPr>
          <w:szCs w:val="22"/>
        </w:rPr>
        <w:t xml:space="preserve">第四章  </w:t>
      </w:r>
      <w:bookmarkEnd w:id="26"/>
      <w:r>
        <w:rPr>
          <w:rFonts w:hint="eastAsia"/>
          <w:szCs w:val="22"/>
        </w:rPr>
        <w:t>采购需求</w:t>
      </w:r>
      <w:bookmarkEnd w:id="38"/>
      <w:bookmarkEnd w:id="39"/>
    </w:p>
    <w:p w14:paraId="2FE8F9B2">
      <w:pPr>
        <w:spacing w:line="460" w:lineRule="exact"/>
        <w:rPr>
          <w:rFonts w:hint="eastAsia" w:eastAsia="宋体"/>
          <w:b/>
          <w:bCs/>
          <w:sz w:val="28"/>
          <w:szCs w:val="28"/>
          <w:lang w:eastAsia="zh-CN"/>
        </w:rPr>
      </w:pPr>
      <w:r>
        <w:rPr>
          <w:rFonts w:hint="eastAsia"/>
          <w:b/>
          <w:bCs/>
          <w:sz w:val="28"/>
          <w:szCs w:val="28"/>
        </w:rPr>
        <w:t>项目名称：</w:t>
      </w:r>
      <w:r>
        <w:rPr>
          <w:rFonts w:hint="eastAsia"/>
          <w:b/>
          <w:bCs/>
          <w:sz w:val="28"/>
          <w:szCs w:val="28"/>
          <w:lang w:eastAsia="zh-CN"/>
        </w:rPr>
        <w:t>常熟市地籍一张图编制项目（二期）</w:t>
      </w:r>
    </w:p>
    <w:p w14:paraId="5F3FFBE5">
      <w:pPr>
        <w:spacing w:line="460" w:lineRule="exact"/>
        <w:rPr>
          <w:rFonts w:hint="eastAsia" w:eastAsia="宋体"/>
          <w:b/>
          <w:bCs/>
          <w:sz w:val="28"/>
          <w:szCs w:val="28"/>
          <w:lang w:eastAsia="zh-CN"/>
        </w:rPr>
      </w:pPr>
      <w:r>
        <w:rPr>
          <w:rFonts w:hint="eastAsia"/>
          <w:b/>
          <w:bCs/>
          <w:sz w:val="28"/>
          <w:szCs w:val="28"/>
        </w:rPr>
        <w:t>项目编号：</w:t>
      </w:r>
      <w:r>
        <w:rPr>
          <w:rFonts w:hint="eastAsia"/>
          <w:b/>
          <w:bCs/>
          <w:sz w:val="28"/>
          <w:szCs w:val="28"/>
          <w:lang w:eastAsia="zh-CN"/>
        </w:rPr>
        <w:t>JSZC-320581-CSXC-C2026-0004</w:t>
      </w:r>
    </w:p>
    <w:p w14:paraId="12C22784">
      <w:pPr>
        <w:spacing w:line="460" w:lineRule="exact"/>
        <w:rPr>
          <w:b/>
          <w:bCs/>
          <w:sz w:val="28"/>
          <w:szCs w:val="28"/>
        </w:rPr>
      </w:pPr>
      <w:r>
        <w:rPr>
          <w:rFonts w:hint="eastAsia"/>
          <w:b/>
          <w:bCs/>
          <w:sz w:val="28"/>
          <w:szCs w:val="28"/>
        </w:rPr>
        <w:t>采 购 人：常熟市自然资源和规划局</w:t>
      </w:r>
    </w:p>
    <w:p w14:paraId="5A656021">
      <w:pPr>
        <w:spacing w:line="440" w:lineRule="exact"/>
        <w:rPr>
          <w:rFonts w:cs="宋体"/>
          <w:b/>
          <w:bCs/>
          <w:sz w:val="28"/>
          <w:szCs w:val="28"/>
          <w:lang w:val="zh-CN"/>
        </w:rPr>
      </w:pPr>
      <w:bookmarkStart w:id="40" w:name="_Toc418490526"/>
      <w:r>
        <w:rPr>
          <w:rFonts w:hint="eastAsia" w:cs="宋体"/>
          <w:b/>
          <w:bCs/>
          <w:sz w:val="28"/>
          <w:szCs w:val="28"/>
          <w:lang w:val="zh-CN"/>
        </w:rPr>
        <w:t>一、</w:t>
      </w:r>
      <w:r>
        <w:rPr>
          <w:rFonts w:hint="eastAsia"/>
          <w:b/>
          <w:sz w:val="28"/>
          <w:szCs w:val="28"/>
          <w:lang w:val="zh-CN"/>
        </w:rPr>
        <w:t>项目说明：</w:t>
      </w:r>
    </w:p>
    <w:p w14:paraId="722BB0BE">
      <w:pPr>
        <w:spacing w:line="440" w:lineRule="exact"/>
        <w:ind w:firstLine="480"/>
        <w:rPr>
          <w:rFonts w:ascii="宋体" w:hAnsi="宋体"/>
          <w:color w:val="000000" w:themeColor="text1"/>
          <w:sz w:val="24"/>
          <w:szCs w:val="24"/>
          <w:highlight w:val="none"/>
          <w14:textFill>
            <w14:solidFill>
              <w14:schemeClr w14:val="tx1"/>
            </w14:solidFill>
          </w14:textFill>
        </w:rPr>
      </w:pPr>
      <w:r>
        <w:rPr>
          <w:rFonts w:hint="eastAsia" w:ascii="宋体" w:hAnsi="宋体" w:cs="宋体"/>
          <w:sz w:val="24"/>
          <w:szCs w:val="24"/>
        </w:rPr>
        <w:t>1、项目概况：</w:t>
      </w:r>
      <w:r>
        <w:rPr>
          <w:rFonts w:hint="eastAsia" w:ascii="宋体" w:hAnsi="宋体"/>
          <w:color w:val="000000" w:themeColor="text1"/>
          <w:sz w:val="24"/>
          <w:highlight w:val="none"/>
          <w14:textFill>
            <w14:solidFill>
              <w14:schemeClr w14:val="tx1"/>
            </w14:solidFill>
          </w14:textFill>
        </w:rPr>
        <w:t>本项目采购内容为常熟市自然资源和规划局所需的常熟市202</w:t>
      </w:r>
      <w:r>
        <w:rPr>
          <w:rFonts w:ascii="宋体" w:hAnsi="宋体"/>
          <w:color w:val="000000" w:themeColor="text1"/>
          <w:sz w:val="24"/>
          <w:highlight w:val="none"/>
          <w14:textFill>
            <w14:solidFill>
              <w14:schemeClr w14:val="tx1"/>
            </w14:solidFill>
          </w14:textFill>
        </w:rPr>
        <w:t>6</w:t>
      </w:r>
      <w:r>
        <w:rPr>
          <w:rFonts w:hint="eastAsia" w:ascii="宋体" w:hAnsi="宋体"/>
          <w:color w:val="000000" w:themeColor="text1"/>
          <w:sz w:val="24"/>
          <w:highlight w:val="none"/>
          <w14:textFill>
            <w14:solidFill>
              <w14:schemeClr w14:val="tx1"/>
            </w14:solidFill>
          </w14:textFill>
        </w:rPr>
        <w:t>年地籍图编制及汇交工作。工作内容包括：按上级部署要求，开展并完成已有</w:t>
      </w:r>
      <w:bookmarkStart w:id="41" w:name="OLE_LINK8"/>
      <w:bookmarkStart w:id="42" w:name="OLE_LINK7"/>
      <w:r>
        <w:rPr>
          <w:rFonts w:hint="eastAsia" w:ascii="宋体" w:hAnsi="宋体"/>
          <w:color w:val="000000" w:themeColor="text1"/>
          <w:sz w:val="24"/>
          <w:highlight w:val="none"/>
          <w14:textFill>
            <w14:solidFill>
              <w14:schemeClr w14:val="tx1"/>
            </w14:solidFill>
          </w14:textFill>
        </w:rPr>
        <w:t>国有建设用地地籍数据</w:t>
      </w:r>
      <w:bookmarkEnd w:id="41"/>
      <w:bookmarkEnd w:id="42"/>
      <w:r>
        <w:rPr>
          <w:rFonts w:hint="eastAsia" w:ascii="宋体" w:hAnsi="宋体"/>
          <w:color w:val="000000" w:themeColor="text1"/>
          <w:sz w:val="24"/>
          <w:highlight w:val="none"/>
          <w14:textFill>
            <w14:solidFill>
              <w14:schemeClr w14:val="tx1"/>
            </w14:solidFill>
          </w14:textFill>
        </w:rPr>
        <w:t>整合、补充地籍调查、地籍图编制、数据建库、成果汇交</w:t>
      </w:r>
      <w:bookmarkStart w:id="43" w:name="OLE_LINK10"/>
      <w:bookmarkStart w:id="44" w:name="OLE_LINK9"/>
      <w:r>
        <w:rPr>
          <w:rFonts w:hint="eastAsia" w:ascii="宋体" w:hAnsi="宋体"/>
          <w:color w:val="000000" w:themeColor="text1"/>
          <w:sz w:val="24"/>
          <w:highlight w:val="none"/>
          <w14:textFill>
            <w14:solidFill>
              <w14:schemeClr w14:val="tx1"/>
            </w14:solidFill>
          </w14:textFill>
        </w:rPr>
        <w:t>，以及与此相关的其他工作。</w:t>
      </w:r>
      <w:bookmarkEnd w:id="43"/>
      <w:bookmarkEnd w:id="44"/>
    </w:p>
    <w:p w14:paraId="257FDFED">
      <w:pPr>
        <w:spacing w:line="440" w:lineRule="exact"/>
        <w:ind w:right="216" w:firstLine="480" w:firstLineChars="200"/>
        <w:rPr>
          <w:rFonts w:hint="eastAsia" w:ascii="宋体" w:hAnsi="宋体" w:eastAsia="宋体" w:cs="宋体"/>
          <w:sz w:val="24"/>
          <w:szCs w:val="24"/>
          <w:highlight w:val="yellow"/>
          <w:lang w:eastAsia="zh-CN"/>
        </w:rPr>
      </w:pPr>
      <w:r>
        <w:rPr>
          <w:rFonts w:hint="eastAsia" w:ascii="宋体" w:hAnsi="宋体" w:cs="宋体"/>
          <w:sz w:val="24"/>
          <w:szCs w:val="24"/>
          <w:highlight w:val="none"/>
          <w:lang w:val="en-US" w:eastAsia="zh-CN"/>
        </w:rPr>
        <w:t>2</w:t>
      </w:r>
      <w:r>
        <w:rPr>
          <w:rFonts w:hint="eastAsia" w:ascii="宋体" w:hAnsi="宋体" w:cs="宋体"/>
          <w:sz w:val="24"/>
          <w:szCs w:val="24"/>
          <w:highlight w:val="none"/>
        </w:rPr>
        <w:t>、服务期限：</w:t>
      </w:r>
      <w:r>
        <w:rPr>
          <w:rFonts w:hint="eastAsia" w:ascii="宋体" w:hAnsi="宋体" w:cs="宋体"/>
          <w:sz w:val="24"/>
          <w:szCs w:val="24"/>
          <w:highlight w:val="none"/>
          <w:lang w:eastAsia="zh-CN"/>
        </w:rPr>
        <w:t>按照国家、省、苏州市要求完成已有的国有建设用地地籍数据成果汇交。2027年6月30日前完成全部项目内容。</w:t>
      </w:r>
    </w:p>
    <w:p w14:paraId="3531519F">
      <w:pPr>
        <w:spacing w:line="440" w:lineRule="exact"/>
        <w:ind w:right="216" w:firstLine="480" w:firstLineChars="200"/>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3</w:t>
      </w:r>
      <w:r>
        <w:rPr>
          <w:rFonts w:hint="eastAsia" w:ascii="宋体" w:hAnsi="宋体" w:cs="宋体"/>
          <w:sz w:val="24"/>
          <w:szCs w:val="24"/>
          <w:highlight w:val="none"/>
        </w:rPr>
        <w:t>、项目实施地点：常熟市全域范围</w:t>
      </w:r>
      <w:r>
        <w:rPr>
          <w:rFonts w:hint="eastAsia" w:ascii="宋体" w:hAnsi="宋体" w:cs="宋体"/>
          <w:sz w:val="24"/>
          <w:szCs w:val="24"/>
          <w:highlight w:val="none"/>
          <w:lang w:eastAsia="zh-CN"/>
        </w:rPr>
        <w:t>。</w:t>
      </w:r>
    </w:p>
    <w:p w14:paraId="74F3E7AB">
      <w:pPr>
        <w:spacing w:line="440" w:lineRule="exact"/>
        <w:ind w:right="216" w:firstLine="480" w:firstLineChars="200"/>
        <w:rPr>
          <w:rFonts w:ascii="宋体" w:hAnsi="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cs="宋体"/>
          <w:sz w:val="24"/>
          <w:szCs w:val="24"/>
          <w:highlight w:val="none"/>
        </w:rPr>
        <w:t>、本项目采购预算为￥</w:t>
      </w:r>
      <w:r>
        <w:rPr>
          <w:rFonts w:hint="eastAsia" w:ascii="宋体" w:hAnsi="宋体" w:cs="宋体"/>
          <w:sz w:val="24"/>
          <w:szCs w:val="24"/>
          <w:highlight w:val="none"/>
          <w:lang w:val="en-US" w:eastAsia="zh-CN"/>
        </w:rPr>
        <w:t>1380000</w:t>
      </w:r>
      <w:r>
        <w:rPr>
          <w:rFonts w:hint="eastAsia" w:ascii="宋体" w:hAnsi="宋体" w:cs="宋体"/>
          <w:sz w:val="24"/>
          <w:szCs w:val="24"/>
          <w:highlight w:val="none"/>
        </w:rPr>
        <w:t>.00元（人民币</w:t>
      </w:r>
      <w:r>
        <w:rPr>
          <w:rFonts w:hint="eastAsia" w:ascii="宋体" w:hAnsi="宋体" w:cs="宋体"/>
          <w:sz w:val="24"/>
          <w:szCs w:val="24"/>
          <w:highlight w:val="none"/>
          <w:lang w:val="en-US" w:eastAsia="zh-CN"/>
        </w:rPr>
        <w:t>壹佰叁拾捌万元整</w:t>
      </w:r>
      <w:r>
        <w:rPr>
          <w:rFonts w:hint="eastAsia" w:ascii="宋体" w:hAnsi="宋体" w:cs="宋体"/>
          <w:sz w:val="24"/>
          <w:szCs w:val="24"/>
          <w:highlight w:val="none"/>
        </w:rPr>
        <w:t>）</w:t>
      </w:r>
      <w:r>
        <w:rPr>
          <w:rFonts w:hint="eastAsia" w:ascii="宋体" w:hAnsi="宋体" w:cs="宋体"/>
          <w:sz w:val="24"/>
          <w:szCs w:val="24"/>
          <w:highlight w:val="none"/>
          <w:lang w:eastAsia="zh-CN"/>
        </w:rPr>
        <w:t>。</w:t>
      </w:r>
      <w:r>
        <w:rPr>
          <w:rFonts w:hint="eastAsia"/>
          <w:b/>
          <w:bCs/>
          <w:sz w:val="24"/>
          <w:szCs w:val="24"/>
          <w:highlight w:val="none"/>
        </w:rPr>
        <w:t>供应商的每轮报价均不得超过采购预算，否则将失去磋商资格。</w:t>
      </w:r>
    </w:p>
    <w:p w14:paraId="6D13A836">
      <w:pPr>
        <w:spacing w:line="440" w:lineRule="exact"/>
        <w:ind w:right="216" w:firstLine="241" w:firstLineChars="100"/>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、付款方式：</w:t>
      </w:r>
    </w:p>
    <w:p w14:paraId="561A7867">
      <w:pPr>
        <w:spacing w:line="440" w:lineRule="exact"/>
        <w:ind w:firstLine="789" w:firstLineChars="329"/>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.1自合同签订后</w:t>
      </w:r>
      <w:r>
        <w:rPr>
          <w:rFonts w:hint="eastAsia"/>
          <w:b w:val="0"/>
          <w:bCs w:val="0"/>
          <w:sz w:val="24"/>
          <w:szCs w:val="24"/>
          <w:highlight w:val="none"/>
          <w:lang w:val="en-US" w:eastAsia="zh-CN"/>
        </w:rPr>
        <w:t>一个月内</w:t>
      </w:r>
      <w:r>
        <w:rPr>
          <w:rFonts w:hint="eastAsia"/>
          <w:b w:val="0"/>
          <w:bCs w:val="0"/>
          <w:sz w:val="24"/>
          <w:szCs w:val="24"/>
          <w:highlight w:val="none"/>
        </w:rPr>
        <w:t>，采购人向成交供应商支付合同价的10%作为预付款</w:t>
      </w:r>
      <w:r>
        <w:rPr>
          <w:rFonts w:hint="eastAsia"/>
          <w:b w:val="0"/>
          <w:bCs w:val="0"/>
          <w:sz w:val="24"/>
          <w:szCs w:val="24"/>
          <w:highlight w:val="none"/>
          <w:lang w:eastAsia="zh-CN"/>
        </w:rPr>
        <w:t>。</w:t>
      </w:r>
    </w:p>
    <w:p w14:paraId="377A37B9">
      <w:pPr>
        <w:spacing w:line="440" w:lineRule="exact"/>
        <w:ind w:firstLine="789" w:firstLineChars="329"/>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.2项目通过验收后</w:t>
      </w:r>
      <w:r>
        <w:rPr>
          <w:rFonts w:hint="eastAsia"/>
          <w:b w:val="0"/>
          <w:bCs w:val="0"/>
          <w:sz w:val="24"/>
          <w:szCs w:val="24"/>
          <w:highlight w:val="none"/>
          <w:lang w:val="en-US" w:eastAsia="zh-CN"/>
        </w:rPr>
        <w:t>的一个月内，</w:t>
      </w:r>
      <w:r>
        <w:rPr>
          <w:rFonts w:hint="eastAsia"/>
          <w:b w:val="0"/>
          <w:bCs w:val="0"/>
          <w:sz w:val="24"/>
          <w:szCs w:val="24"/>
          <w:highlight w:val="none"/>
        </w:rPr>
        <w:t>采购人向成交供应商支付合同价的</w:t>
      </w:r>
      <w:r>
        <w:rPr>
          <w:rFonts w:hint="eastAsia"/>
          <w:b w:val="0"/>
          <w:bCs w:val="0"/>
          <w:sz w:val="24"/>
          <w:szCs w:val="24"/>
          <w:highlight w:val="none"/>
          <w:lang w:val="en-US" w:eastAsia="zh-CN"/>
        </w:rPr>
        <w:t>80</w:t>
      </w:r>
      <w:r>
        <w:rPr>
          <w:rFonts w:hint="eastAsia"/>
          <w:b w:val="0"/>
          <w:bCs w:val="0"/>
          <w:sz w:val="24"/>
          <w:szCs w:val="24"/>
          <w:highlight w:val="none"/>
        </w:rPr>
        <w:t>%</w:t>
      </w:r>
      <w:r>
        <w:rPr>
          <w:rFonts w:hint="eastAsia"/>
          <w:b w:val="0"/>
          <w:bCs w:val="0"/>
          <w:sz w:val="24"/>
          <w:szCs w:val="24"/>
          <w:highlight w:val="none"/>
          <w:lang w:eastAsia="zh-CN"/>
        </w:rPr>
        <w:t>。</w:t>
      </w:r>
    </w:p>
    <w:p w14:paraId="78782DFB">
      <w:pPr>
        <w:spacing w:line="440" w:lineRule="exact"/>
        <w:ind w:firstLine="789" w:firstLineChars="329"/>
        <w:rPr>
          <w:rFonts w:hint="default" w:eastAsia="宋体"/>
          <w:b w:val="0"/>
          <w:bCs w:val="0"/>
          <w:sz w:val="24"/>
          <w:szCs w:val="24"/>
          <w:highlight w:val="none"/>
          <w:lang w:val="en-US" w:eastAsia="zh-CN"/>
        </w:rPr>
      </w:pPr>
      <w:r>
        <w:rPr>
          <w:rFonts w:hint="eastAsia"/>
          <w:b w:val="0"/>
          <w:bCs w:val="0"/>
          <w:sz w:val="24"/>
          <w:szCs w:val="24"/>
          <w:highlight w:val="none"/>
          <w:lang w:val="en-US" w:eastAsia="zh-CN"/>
        </w:rPr>
        <w:t>5</w:t>
      </w:r>
      <w:r>
        <w:rPr>
          <w:rFonts w:hint="eastAsia"/>
          <w:b w:val="0"/>
          <w:bCs w:val="0"/>
          <w:sz w:val="24"/>
          <w:szCs w:val="24"/>
          <w:highlight w:val="none"/>
        </w:rPr>
        <w:t>.3项目验收</w:t>
      </w:r>
      <w:r>
        <w:rPr>
          <w:rFonts w:hint="eastAsia"/>
          <w:b w:val="0"/>
          <w:bCs w:val="0"/>
          <w:sz w:val="24"/>
          <w:szCs w:val="24"/>
          <w:highlight w:val="none"/>
          <w:lang w:val="en-US" w:eastAsia="zh-CN"/>
        </w:rPr>
        <w:t>合格</w:t>
      </w:r>
      <w:r>
        <w:rPr>
          <w:rFonts w:hint="eastAsia"/>
          <w:b w:val="0"/>
          <w:bCs w:val="0"/>
          <w:sz w:val="24"/>
          <w:szCs w:val="24"/>
          <w:highlight w:val="none"/>
        </w:rPr>
        <w:t>后</w:t>
      </w:r>
      <w:r>
        <w:rPr>
          <w:rFonts w:hint="eastAsia"/>
          <w:b w:val="0"/>
          <w:bCs w:val="0"/>
          <w:sz w:val="24"/>
          <w:szCs w:val="24"/>
          <w:highlight w:val="none"/>
          <w:lang w:val="en-US" w:eastAsia="zh-CN"/>
        </w:rPr>
        <w:t>的一年内</w:t>
      </w:r>
      <w:r>
        <w:rPr>
          <w:rFonts w:hint="eastAsia"/>
          <w:b w:val="0"/>
          <w:bCs w:val="0"/>
          <w:sz w:val="24"/>
          <w:szCs w:val="24"/>
          <w:highlight w:val="none"/>
        </w:rPr>
        <w:t>，采购人向成交供应商支付</w:t>
      </w:r>
      <w:r>
        <w:rPr>
          <w:rFonts w:hint="eastAsia"/>
          <w:b w:val="0"/>
          <w:bCs w:val="0"/>
          <w:sz w:val="24"/>
          <w:szCs w:val="24"/>
          <w:highlight w:val="none"/>
          <w:lang w:val="en-US" w:eastAsia="zh-CN"/>
        </w:rPr>
        <w:t>剩余款项。</w:t>
      </w:r>
    </w:p>
    <w:p w14:paraId="724200CE">
      <w:pPr>
        <w:spacing w:line="440" w:lineRule="exact"/>
        <w:ind w:firstLine="482"/>
        <w:rPr>
          <w:b/>
          <w:bCs/>
          <w:sz w:val="24"/>
          <w:szCs w:val="24"/>
        </w:rPr>
      </w:pPr>
      <w:r>
        <w:rPr>
          <w:rFonts w:hint="eastAsia"/>
          <w:b/>
          <w:bCs/>
          <w:sz w:val="24"/>
          <w:szCs w:val="24"/>
          <w:highlight w:val="none"/>
        </w:rPr>
        <w:t>注：1)支付方式包括但不限于数字人民币、现金、支票、汇票</w:t>
      </w:r>
      <w:r>
        <w:rPr>
          <w:rFonts w:hint="eastAsia"/>
          <w:b/>
          <w:bCs/>
          <w:sz w:val="24"/>
          <w:szCs w:val="24"/>
        </w:rPr>
        <w:t>等。</w:t>
      </w:r>
    </w:p>
    <w:p w14:paraId="5C04359F">
      <w:pPr>
        <w:numPr>
          <w:ilvl w:val="0"/>
          <w:numId w:val="0"/>
        </w:numPr>
        <w:spacing w:line="440" w:lineRule="exact"/>
        <w:ind w:firstLine="964" w:firstLineChars="0"/>
        <w:rPr>
          <w:b/>
          <w:bCs/>
          <w:sz w:val="24"/>
          <w:szCs w:val="24"/>
        </w:rPr>
      </w:pPr>
      <w:r>
        <w:rPr>
          <w:rFonts w:ascii="Times New Roman" w:hAnsi="Times New Roman" w:eastAsia="宋体" w:cs="Times New Roman"/>
          <w:b/>
          <w:bCs/>
          <w:sz w:val="24"/>
          <w:szCs w:val="24"/>
          <w:lang w:val="en-US" w:eastAsia="zh-CN" w:bidi="ar-SA"/>
        </w:rPr>
        <w:t>2）</w:t>
      </w:r>
      <w:r>
        <w:rPr>
          <w:rFonts w:hint="eastAsia"/>
          <w:b/>
          <w:bCs/>
          <w:sz w:val="24"/>
          <w:szCs w:val="24"/>
        </w:rPr>
        <w:t>签订合同时，成交供应商明确表示无需预付款的，可不执行</w:t>
      </w:r>
      <w:r>
        <w:rPr>
          <w:rFonts w:hint="eastAsia"/>
          <w:b/>
          <w:bCs/>
          <w:sz w:val="24"/>
          <w:szCs w:val="24"/>
          <w:lang w:val="en-US" w:eastAsia="zh-CN"/>
        </w:rPr>
        <w:t>5.1</w:t>
      </w:r>
      <w:r>
        <w:rPr>
          <w:rFonts w:hint="eastAsia"/>
          <w:b/>
          <w:bCs/>
          <w:sz w:val="24"/>
          <w:szCs w:val="24"/>
        </w:rPr>
        <w:t>预付款。以上每次付款前成交供应商均应提供符合采购人要求的同等金额的合法有效发票。否则，采购人有权顺延付款时间且不承担任何违约或赔偿责任。</w:t>
      </w:r>
    </w:p>
    <w:p w14:paraId="1DE05048">
      <w:pPr>
        <w:spacing w:line="440" w:lineRule="exact"/>
        <w:ind w:firstLine="480"/>
        <w:rPr>
          <w:sz w:val="24"/>
          <w:szCs w:val="24"/>
        </w:rPr>
      </w:pPr>
      <w:r>
        <w:rPr>
          <w:rFonts w:hint="eastAsia"/>
          <w:sz w:val="24"/>
          <w:szCs w:val="24"/>
          <w:lang w:val="en-US" w:eastAsia="zh-CN"/>
        </w:rPr>
        <w:t>6</w:t>
      </w:r>
      <w:r>
        <w:rPr>
          <w:rFonts w:hint="eastAsia"/>
          <w:sz w:val="24"/>
          <w:szCs w:val="24"/>
        </w:rPr>
        <w:t>、本项目不得以任何形式进行转包及分包。</w:t>
      </w:r>
    </w:p>
    <w:p w14:paraId="35FE70EC">
      <w:pPr>
        <w:spacing w:line="440" w:lineRule="exact"/>
        <w:rPr>
          <w:rFonts w:cs="宋体"/>
          <w:b/>
          <w:bCs/>
          <w:sz w:val="28"/>
          <w:szCs w:val="28"/>
        </w:rPr>
      </w:pPr>
      <w:r>
        <w:rPr>
          <w:rFonts w:hint="eastAsia" w:cs="宋体"/>
          <w:b/>
          <w:bCs/>
          <w:sz w:val="28"/>
          <w:szCs w:val="28"/>
        </w:rPr>
        <w:t>二、服务内容及要求：</w:t>
      </w:r>
    </w:p>
    <w:p w14:paraId="687AF131">
      <w:pPr>
        <w:spacing w:line="440" w:lineRule="exact"/>
        <w:ind w:right="216" w:firstLine="482" w:firstLineChars="200"/>
        <w:rPr>
          <w:rFonts w:ascii="宋体" w:hAnsi="宋体" w:cs="宋体"/>
          <w:b/>
          <w:bCs/>
          <w:sz w:val="24"/>
          <w:highlight w:val="none"/>
          <w:lang w:val="zh-CN"/>
        </w:rPr>
      </w:pPr>
      <w:bookmarkStart w:id="45" w:name="_Toc161671606"/>
      <w:bookmarkStart w:id="46" w:name="_Toc23037"/>
      <w:bookmarkStart w:id="47" w:name="_Toc17077"/>
      <w:r>
        <w:rPr>
          <w:rFonts w:hint="eastAsia" w:ascii="宋体" w:hAnsi="宋体" w:cs="宋体"/>
          <w:b/>
          <w:bCs/>
          <w:sz w:val="24"/>
          <w:highlight w:val="none"/>
        </w:rPr>
        <w:t>1、</w:t>
      </w:r>
      <w:r>
        <w:rPr>
          <w:rFonts w:hint="eastAsia" w:ascii="宋体" w:hAnsi="宋体" w:cs="宋体"/>
          <w:b/>
          <w:bCs/>
          <w:sz w:val="24"/>
          <w:highlight w:val="none"/>
          <w:lang w:val="zh-CN"/>
        </w:rPr>
        <w:t>工作背景</w:t>
      </w:r>
    </w:p>
    <w:p w14:paraId="5EC694A9">
      <w:pPr>
        <w:spacing w:line="440" w:lineRule="exact"/>
        <w:ind w:right="216" w:firstLine="720" w:firstLineChars="300"/>
        <w:rPr>
          <w:rFonts w:ascii="宋体" w:hAnsi="宋体" w:cs="宋体"/>
          <w:sz w:val="24"/>
          <w:highlight w:val="none"/>
        </w:rPr>
      </w:pPr>
      <w:r>
        <w:rPr>
          <w:rFonts w:hint="eastAsia" w:ascii="宋体" w:hAnsi="宋体" w:cs="宋体"/>
          <w:sz w:val="24"/>
          <w:highlight w:val="none"/>
        </w:rPr>
        <w:t>为贯彻落实《土地管理法实施条例》和《自然资源部关于进一步做好地籍调查工作的通知》（自然资发〔2023〕195号）等规定，根据《自然资源部办公厅关于加快编制地籍图的通知》（自然资办函〔2024〕1481号）、《关于深化开展地籍调查和地籍图编制工作的实施方案》（苏自然资函〔2024〕868号）中的要求，进一步健全完善地籍调查工作机制，加强地籍数据库建设，推动构建全域覆盖、要素齐全、现势有效、权威准确的地籍“一张图”，更好支撑确权登记、服务自然资源管理工作。</w:t>
      </w:r>
    </w:p>
    <w:p w14:paraId="43EF3892">
      <w:pPr>
        <w:spacing w:line="440" w:lineRule="exact"/>
        <w:ind w:firstLine="482" w:firstLineChars="200"/>
        <w:rPr>
          <w:rFonts w:cs="宋体"/>
          <w:b/>
          <w:bCs/>
          <w:sz w:val="24"/>
          <w:highlight w:val="none"/>
          <w:lang w:val="zh-CN"/>
        </w:rPr>
      </w:pPr>
      <w:r>
        <w:rPr>
          <w:rFonts w:hint="eastAsia" w:cs="宋体"/>
          <w:b/>
          <w:bCs/>
          <w:sz w:val="24"/>
          <w:highlight w:val="none"/>
        </w:rPr>
        <w:t>2、</w:t>
      </w:r>
      <w:r>
        <w:rPr>
          <w:rFonts w:hint="eastAsia" w:eastAsia="宋体" w:cs="宋体"/>
          <w:b/>
          <w:bCs/>
          <w:sz w:val="24"/>
          <w:highlight w:val="none"/>
          <w:lang w:val="zh-CN"/>
        </w:rPr>
        <w:t>工作目标</w:t>
      </w:r>
    </w:p>
    <w:p w14:paraId="1633E0E8">
      <w:pPr>
        <w:spacing w:line="440" w:lineRule="exact"/>
        <w:ind w:firstLine="720" w:firstLineChars="300"/>
        <w:rPr>
          <w:rFonts w:hint="eastAsia" w:ascii="宋体" w:hAnsi="宋体" w:cs="宋体"/>
          <w:sz w:val="24"/>
          <w:highlight w:val="none"/>
          <w:lang w:eastAsia="zh-CN"/>
        </w:rPr>
      </w:pPr>
      <w:r>
        <w:rPr>
          <w:rFonts w:hint="eastAsia" w:ascii="宋体" w:hAnsi="宋体" w:eastAsia="宋体" w:cs="宋体"/>
          <w:sz w:val="24"/>
          <w:highlight w:val="none"/>
        </w:rPr>
        <w:t>2.1常熟市地籍调查工作以推进地籍数据库和地籍图全覆盖为目标，以已有自然资源确权登记、不动产登记、地籍调查成果为基础，以加强地籍测绘、推进成果整理为重点，采用统一的测绘基准和数据标准，夯实完善地籍数据，建立健全地籍数据库，进一步强化地籍数据的共享应用和动态更新</w:t>
      </w:r>
      <w:r>
        <w:rPr>
          <w:rFonts w:hint="eastAsia" w:ascii="宋体" w:hAnsi="宋体" w:cs="宋体"/>
          <w:sz w:val="24"/>
          <w:highlight w:val="none"/>
          <w:lang w:eastAsia="zh-CN"/>
        </w:rPr>
        <w:t>。</w:t>
      </w:r>
    </w:p>
    <w:p w14:paraId="155AF1A9">
      <w:pPr>
        <w:spacing w:line="440" w:lineRule="exact"/>
        <w:ind w:firstLine="720" w:firstLineChars="300"/>
        <w:rPr>
          <w:rFonts w:hint="eastAsia" w:ascii="宋体" w:hAnsi="宋体" w:eastAsia="宋体" w:cs="宋体"/>
          <w:sz w:val="24"/>
          <w:highlight w:val="none"/>
        </w:rPr>
      </w:pPr>
      <w:r>
        <w:rPr>
          <w:rFonts w:hint="eastAsia" w:ascii="宋体" w:hAnsi="宋体" w:cs="宋体"/>
          <w:sz w:val="24"/>
          <w:highlight w:val="none"/>
          <w:lang w:val="en-US" w:eastAsia="zh-CN"/>
        </w:rPr>
        <w:t>2.2</w:t>
      </w:r>
      <w:r>
        <w:rPr>
          <w:rFonts w:hint="eastAsia" w:ascii="宋体" w:hAnsi="宋体" w:eastAsia="宋体" w:cs="宋体"/>
          <w:sz w:val="24"/>
          <w:highlight w:val="none"/>
        </w:rPr>
        <w:t>同时结合利用基础地理、实景三维、国土调查、空间监测、天地图等数据构建全域覆盖、要素齐全、现势性强的地籍“一张图”，为确权登记、审批、供应等自然资源相关管理环节提供支撑。</w:t>
      </w:r>
    </w:p>
    <w:p w14:paraId="46D36723">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2.</w:t>
      </w:r>
      <w:r>
        <w:rPr>
          <w:rFonts w:hint="eastAsia" w:ascii="宋体" w:hAnsi="宋体" w:cs="宋体"/>
          <w:sz w:val="24"/>
          <w:highlight w:val="none"/>
          <w:lang w:val="en-US" w:eastAsia="zh-CN"/>
        </w:rPr>
        <w:t>3</w:t>
      </w:r>
      <w:r>
        <w:rPr>
          <w:rFonts w:hint="eastAsia" w:ascii="宋体" w:hAnsi="宋体" w:eastAsia="宋体" w:cs="宋体"/>
          <w:sz w:val="24"/>
          <w:highlight w:val="none"/>
        </w:rPr>
        <w:t>按照上级要求完成常熟市已经有的国有建设用地地籍调查及地籍图编制，以及与此相关的其他工作，数据成果入库上图并汇交到省厅和自然资源部。</w:t>
      </w:r>
    </w:p>
    <w:bookmarkEnd w:id="45"/>
    <w:p w14:paraId="0BB7AC2F">
      <w:pPr>
        <w:spacing w:line="440" w:lineRule="exact"/>
        <w:ind w:firstLine="482" w:firstLineChars="200"/>
        <w:rPr>
          <w:rFonts w:cs="宋体"/>
          <w:b/>
          <w:bCs/>
          <w:sz w:val="24"/>
          <w:highlight w:val="none"/>
          <w:lang w:val="zh-CN"/>
        </w:rPr>
      </w:pPr>
      <w:bookmarkStart w:id="48" w:name="OLE_LINK2"/>
      <w:bookmarkStart w:id="49" w:name="OLE_LINK4"/>
      <w:bookmarkStart w:id="50" w:name="_Toc161671607"/>
      <w:r>
        <w:rPr>
          <w:rFonts w:hint="eastAsia" w:cs="宋体"/>
          <w:b/>
          <w:bCs/>
          <w:sz w:val="24"/>
          <w:highlight w:val="none"/>
        </w:rPr>
        <w:t>3、</w:t>
      </w:r>
      <w:r>
        <w:rPr>
          <w:rFonts w:hint="eastAsia" w:cs="宋体"/>
          <w:b/>
          <w:bCs/>
          <w:sz w:val="24"/>
          <w:highlight w:val="none"/>
          <w:lang w:val="zh-CN"/>
        </w:rPr>
        <w:t>工作任务</w:t>
      </w:r>
    </w:p>
    <w:p w14:paraId="19DC82FA">
      <w:pPr>
        <w:spacing w:line="440" w:lineRule="exact"/>
        <w:ind w:firstLine="720" w:firstLineChars="300"/>
        <w:rPr>
          <w:rFonts w:ascii="宋体" w:hAnsi="宋体" w:cs="宋体"/>
          <w:sz w:val="24"/>
          <w:highlight w:val="none"/>
        </w:rPr>
      </w:pPr>
      <w:r>
        <w:rPr>
          <w:rFonts w:hint="eastAsia" w:ascii="宋体" w:hAnsi="宋体" w:cs="宋体"/>
          <w:sz w:val="24"/>
          <w:highlight w:val="none"/>
        </w:rPr>
        <w:t>3.1已有的国有建设用地地籍调查成果数据整合</w:t>
      </w:r>
    </w:p>
    <w:p w14:paraId="65E63A22">
      <w:pPr>
        <w:spacing w:line="440" w:lineRule="exact"/>
        <w:ind w:firstLine="787" w:firstLineChars="328"/>
        <w:rPr>
          <w:rFonts w:ascii="宋体" w:hAnsi="宋体" w:cs="宋体"/>
          <w:sz w:val="24"/>
          <w:highlight w:val="none"/>
        </w:rPr>
      </w:pPr>
      <w:r>
        <w:rPr>
          <w:rFonts w:hint="eastAsia" w:ascii="宋体" w:hAnsi="宋体" w:cs="宋体"/>
          <w:sz w:val="24"/>
          <w:highlight w:val="none"/>
        </w:rPr>
        <w:t>收集已有的国有建设用地地籍调查成果，核实、剔除无效和冗余数据补充完善不动产单元代码等重要信息，规范数据格式和内容，纳入地籍数据库分层管理。</w:t>
      </w:r>
    </w:p>
    <w:p w14:paraId="7126FD78">
      <w:pPr>
        <w:spacing w:line="440" w:lineRule="exact"/>
        <w:ind w:firstLine="720" w:firstLineChars="300"/>
        <w:rPr>
          <w:rFonts w:ascii="宋体" w:hAnsi="宋体" w:cs="宋体"/>
          <w:sz w:val="24"/>
          <w:highlight w:val="none"/>
        </w:rPr>
      </w:pPr>
      <w:r>
        <w:rPr>
          <w:rFonts w:hint="eastAsia" w:ascii="宋体" w:hAnsi="宋体" w:cs="宋体"/>
          <w:sz w:val="24"/>
          <w:highlight w:val="none"/>
        </w:rPr>
        <w:t>3.2国有建设用地地籍调查</w:t>
      </w:r>
    </w:p>
    <w:p w14:paraId="5CAD8255">
      <w:pPr>
        <w:spacing w:line="440" w:lineRule="exact"/>
        <w:ind w:firstLine="787" w:firstLineChars="328"/>
        <w:rPr>
          <w:rFonts w:ascii="宋体" w:hAnsi="宋体" w:cs="宋体"/>
          <w:sz w:val="24"/>
          <w:highlight w:val="none"/>
        </w:rPr>
      </w:pPr>
      <w:r>
        <w:rPr>
          <w:rFonts w:hint="eastAsia" w:ascii="宋体" w:hAnsi="宋体" w:cs="宋体"/>
          <w:sz w:val="24"/>
          <w:highlight w:val="none"/>
        </w:rPr>
        <w:t>结合常熟市现有基础条件，分类型、分区域、分阶段推进地籍调查。</w:t>
      </w:r>
      <w:r>
        <w:rPr>
          <w:rFonts w:hint="eastAsia" w:ascii="宋体" w:hAnsi="宋体" w:cs="宋体"/>
          <w:sz w:val="24"/>
          <w:szCs w:val="24"/>
          <w:highlight w:val="none"/>
        </w:rPr>
        <w:t>区分已登记、已调查未登记、未调查三种不同情况，</w:t>
      </w:r>
      <w:r>
        <w:rPr>
          <w:rFonts w:hint="eastAsia" w:ascii="宋体" w:hAnsi="宋体" w:cs="宋体"/>
          <w:sz w:val="24"/>
          <w:highlight w:val="none"/>
        </w:rPr>
        <w:t>分类推进：对已登记的，梳理地籍调查数据是否缺失、调查信息是否完整；对已调查未登记的，整理已有的调查成果。基于内业整理成果，对于已登记缺失图形或调查信息、已调查未登记但缺失调查信息及未调查的，开展补充地籍调查，进行宗地、房屋补充完善。因成果缺失、交叉重叠、位置偏移等一时难以处理的，经采购人同意后，做好问题标注，待后续集中处理或结合相关业务办理逐步处理。</w:t>
      </w:r>
    </w:p>
    <w:p w14:paraId="1F2CA4E3">
      <w:pPr>
        <w:spacing w:line="440" w:lineRule="exact"/>
        <w:ind w:firstLine="720" w:firstLineChars="300"/>
        <w:rPr>
          <w:rFonts w:ascii="宋体" w:hAnsi="宋体" w:cs="宋体"/>
          <w:sz w:val="24"/>
          <w:highlight w:val="none"/>
        </w:rPr>
      </w:pPr>
      <w:r>
        <w:rPr>
          <w:rFonts w:hint="eastAsia" w:ascii="宋体" w:hAnsi="宋体" w:cs="宋体"/>
          <w:sz w:val="24"/>
          <w:highlight w:val="none"/>
        </w:rPr>
        <w:t>3.3登记数据整理</w:t>
      </w:r>
    </w:p>
    <w:p w14:paraId="227F5282">
      <w:pPr>
        <w:spacing w:line="440" w:lineRule="exact"/>
        <w:ind w:firstLine="787" w:firstLineChars="328"/>
        <w:rPr>
          <w:rFonts w:ascii="宋体" w:hAnsi="宋体" w:cs="宋体"/>
          <w:sz w:val="24"/>
          <w:highlight w:val="none"/>
        </w:rPr>
      </w:pPr>
      <w:r>
        <w:rPr>
          <w:rFonts w:hint="eastAsia" w:ascii="宋体" w:hAnsi="宋体" w:cs="宋体"/>
          <w:sz w:val="24"/>
          <w:highlight w:val="none"/>
        </w:rPr>
        <w:t>数据整合中存放的是补录的土地登记数据，调查核实数据整合数据的现势性及上下手关系，将核实后的数据推送至不动产登记系统。对未办理不动产统一登记，且不动产未灭失的，将不动产登记系统中的原房地登记数据关联地籍数据库，编制不动产单元号，建立对应关联关系。</w:t>
      </w:r>
    </w:p>
    <w:p w14:paraId="3778F08D">
      <w:pPr>
        <w:spacing w:line="440" w:lineRule="exact"/>
        <w:ind w:firstLine="720" w:firstLineChars="300"/>
        <w:rPr>
          <w:rFonts w:ascii="宋体" w:hAnsi="宋体" w:cs="宋体"/>
          <w:sz w:val="24"/>
          <w:highlight w:val="none"/>
        </w:rPr>
      </w:pPr>
      <w:r>
        <w:rPr>
          <w:rFonts w:hint="eastAsia" w:ascii="宋体" w:hAnsi="宋体" w:cs="宋体"/>
          <w:sz w:val="24"/>
          <w:highlight w:val="none"/>
        </w:rPr>
        <w:t>3.4国有建设用地地籍数据库建设</w:t>
      </w:r>
    </w:p>
    <w:p w14:paraId="643C3508">
      <w:pPr>
        <w:spacing w:line="440" w:lineRule="exact"/>
        <w:ind w:firstLine="787" w:firstLineChars="328"/>
        <w:rPr>
          <w:rFonts w:ascii="宋体" w:hAnsi="宋体" w:cs="宋体"/>
          <w:sz w:val="24"/>
          <w:highlight w:val="none"/>
        </w:rPr>
      </w:pPr>
      <w:r>
        <w:rPr>
          <w:rFonts w:hint="eastAsia" w:ascii="宋体" w:hAnsi="宋体" w:cs="宋体"/>
          <w:sz w:val="24"/>
          <w:highlight w:val="none"/>
        </w:rPr>
        <w:t>按照地籍数据库建设标准要求，以调查成果为基础，建立地籍数据库，将现势地籍调查成果纳入地籍数据库。</w:t>
      </w:r>
    </w:p>
    <w:p w14:paraId="1D5BE0C4">
      <w:pPr>
        <w:spacing w:line="440" w:lineRule="exact"/>
        <w:ind w:firstLine="720" w:firstLineChars="300"/>
        <w:rPr>
          <w:rFonts w:ascii="宋体" w:hAnsi="宋体" w:cs="宋体"/>
          <w:sz w:val="24"/>
          <w:highlight w:val="none"/>
        </w:rPr>
      </w:pPr>
      <w:r>
        <w:rPr>
          <w:rFonts w:hint="eastAsia" w:ascii="宋体" w:hAnsi="宋体" w:cs="宋体"/>
          <w:sz w:val="24"/>
          <w:highlight w:val="none"/>
        </w:rPr>
        <w:t>3.5地籍图编制</w:t>
      </w:r>
    </w:p>
    <w:p w14:paraId="47A2E2F5">
      <w:pPr>
        <w:spacing w:line="440" w:lineRule="exact"/>
        <w:ind w:firstLine="787" w:firstLineChars="328"/>
        <w:rPr>
          <w:rFonts w:ascii="宋体" w:hAnsi="宋体" w:cs="宋体"/>
          <w:sz w:val="24"/>
          <w:highlight w:val="none"/>
        </w:rPr>
      </w:pPr>
      <w:r>
        <w:rPr>
          <w:rFonts w:hint="eastAsia" w:ascii="宋体" w:hAnsi="宋体" w:cs="宋体"/>
          <w:sz w:val="24"/>
          <w:highlight w:val="none"/>
        </w:rPr>
        <w:t>地籍图以电子地图为主，依据《地籍调查规程》《地籍图编制技术规范（试行）》等规定，依托地籍数据库及其他基础数据成果，编制国有建设用地地籍图。未调查的道路、水系、公园绿地等，利用基础地理、国土调查等数据上图。</w:t>
      </w:r>
    </w:p>
    <w:p w14:paraId="6B7DCDCA">
      <w:pPr>
        <w:spacing w:line="440" w:lineRule="exact"/>
        <w:ind w:firstLine="720" w:firstLineChars="300"/>
        <w:rPr>
          <w:rFonts w:ascii="宋体" w:hAnsi="宋体" w:cs="宋体"/>
          <w:sz w:val="24"/>
          <w:highlight w:val="none"/>
        </w:rPr>
      </w:pPr>
      <w:r>
        <w:rPr>
          <w:rFonts w:hint="eastAsia" w:ascii="宋体" w:hAnsi="宋体" w:cs="宋体"/>
          <w:sz w:val="24"/>
          <w:highlight w:val="none"/>
        </w:rPr>
        <w:t>3.6成果汇交</w:t>
      </w:r>
    </w:p>
    <w:p w14:paraId="6F23B682">
      <w:pPr>
        <w:spacing w:line="440" w:lineRule="exact"/>
        <w:ind w:firstLine="787" w:firstLineChars="328"/>
        <w:rPr>
          <w:rFonts w:ascii="宋体" w:hAnsi="宋体" w:cs="宋体"/>
          <w:sz w:val="24"/>
          <w:highlight w:val="none"/>
        </w:rPr>
      </w:pPr>
      <w:r>
        <w:rPr>
          <w:rFonts w:hint="eastAsia" w:ascii="宋体" w:hAnsi="宋体" w:cs="宋体"/>
          <w:sz w:val="24"/>
          <w:highlight w:val="none"/>
        </w:rPr>
        <w:t>根据部、省、市相关要求，按照《江苏省地籍调查和地籍图编制技术指南（第2部分 2026年国有建设用地、土地承包经营权、林权地籍数据汇交要求）》，将国有建设用地地籍数据逐级汇交到部。对于部、省、市各级检查出来的问题开展核实整改，并重新提交，最终通过核查。以及基于此次调查形成的成果后续可能产生的多次汇交均包含在本项目内。</w:t>
      </w:r>
    </w:p>
    <w:p w14:paraId="62AF79A1">
      <w:pPr>
        <w:spacing w:line="440" w:lineRule="exact"/>
        <w:ind w:firstLine="720" w:firstLineChars="300"/>
        <w:rPr>
          <w:rFonts w:ascii="宋体" w:hAnsi="宋体" w:cs="宋体"/>
          <w:sz w:val="24"/>
          <w:highlight w:val="none"/>
        </w:rPr>
      </w:pPr>
      <w:r>
        <w:rPr>
          <w:rFonts w:hint="eastAsia" w:ascii="宋体" w:hAnsi="宋体" w:cs="宋体"/>
          <w:sz w:val="24"/>
          <w:highlight w:val="none"/>
        </w:rPr>
        <w:t>3.7详细的项目理解及需求分析、项目技术方案、项目重难点分析、进度计划安排、质量保证措施、服务保障措施、内部管理制度、综合协调方案、保密措施，须在开展之前报采购人。项目执行过程中须接受采购人的检查要求。</w:t>
      </w:r>
    </w:p>
    <w:bookmarkEnd w:id="48"/>
    <w:bookmarkEnd w:id="49"/>
    <w:p w14:paraId="1A7239A4">
      <w:pPr>
        <w:spacing w:line="440" w:lineRule="exact"/>
        <w:ind w:firstLine="482" w:firstLineChars="200"/>
        <w:rPr>
          <w:rFonts w:cs="宋体"/>
          <w:b/>
          <w:bCs/>
          <w:sz w:val="24"/>
          <w:highlight w:val="none"/>
          <w:lang w:val="zh-CN"/>
        </w:rPr>
      </w:pPr>
      <w:r>
        <w:rPr>
          <w:rFonts w:hint="eastAsia" w:cs="宋体"/>
          <w:b/>
          <w:bCs/>
          <w:sz w:val="24"/>
          <w:highlight w:val="none"/>
        </w:rPr>
        <w:t>4、</w:t>
      </w:r>
      <w:r>
        <w:rPr>
          <w:rFonts w:hint="eastAsia" w:cs="宋体"/>
          <w:b/>
          <w:bCs/>
          <w:sz w:val="24"/>
          <w:highlight w:val="none"/>
          <w:lang w:val="zh-CN"/>
        </w:rPr>
        <w:t>工作依据</w:t>
      </w:r>
      <w:bookmarkEnd w:id="50"/>
    </w:p>
    <w:p w14:paraId="15B8E7BE">
      <w:pPr>
        <w:spacing w:line="440" w:lineRule="exact"/>
        <w:ind w:firstLine="720" w:firstLineChars="300"/>
        <w:rPr>
          <w:rFonts w:hint="eastAsia" w:ascii="宋体" w:hAnsi="宋体" w:eastAsia="宋体" w:cs="宋体"/>
          <w:sz w:val="24"/>
          <w:highlight w:val="none"/>
        </w:rPr>
      </w:pPr>
      <w:bookmarkStart w:id="51" w:name="_Toc161671608"/>
      <w:bookmarkStart w:id="52" w:name="_Toc161671610"/>
      <w:r>
        <w:rPr>
          <w:rFonts w:hint="eastAsia" w:ascii="宋体" w:hAnsi="宋体" w:eastAsia="宋体" w:cs="宋体"/>
          <w:sz w:val="24"/>
          <w:highlight w:val="none"/>
        </w:rPr>
        <w:t>4.1法律法规</w:t>
      </w:r>
      <w:bookmarkEnd w:id="51"/>
    </w:p>
    <w:p w14:paraId="021C0A29">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《中华人民共和国宪法》（2018）；</w:t>
      </w:r>
    </w:p>
    <w:p w14:paraId="5743BD3F">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《中华人民共和国民法典》（2020）；</w:t>
      </w:r>
    </w:p>
    <w:p w14:paraId="6AFA1499">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《中华人民共和国土地管理法》（2019）；</w:t>
      </w:r>
    </w:p>
    <w:p w14:paraId="5A7FB6BC">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《中华人民共和国农村土地承包法》（2018）；</w:t>
      </w:r>
    </w:p>
    <w:p w14:paraId="004E2558">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《中华人民共和国土地管理法实施条例》（2021）；</w:t>
      </w:r>
    </w:p>
    <w:p w14:paraId="3B6484CB">
      <w:pPr>
        <w:spacing w:line="440" w:lineRule="exact"/>
        <w:ind w:firstLine="720" w:firstLineChars="300"/>
        <w:rPr>
          <w:rFonts w:hint="eastAsia" w:ascii="宋体" w:hAnsi="宋体" w:eastAsia="宋体" w:cs="宋体"/>
          <w:sz w:val="24"/>
          <w:highlight w:val="none"/>
        </w:rPr>
      </w:pPr>
      <w:bookmarkStart w:id="53" w:name="_Toc161671609"/>
      <w:r>
        <w:rPr>
          <w:rFonts w:hint="eastAsia" w:ascii="宋体" w:hAnsi="宋体" w:eastAsia="宋体" w:cs="宋体"/>
          <w:sz w:val="24"/>
          <w:highlight w:val="none"/>
        </w:rPr>
        <w:t>4.2技术标准</w:t>
      </w:r>
      <w:bookmarkEnd w:id="53"/>
      <w:r>
        <w:rPr>
          <w:rFonts w:hint="eastAsia" w:ascii="宋体" w:hAnsi="宋体" w:eastAsia="宋体" w:cs="宋体"/>
          <w:sz w:val="24"/>
          <w:highlight w:val="none"/>
        </w:rPr>
        <w:t>及政策性文件</w:t>
      </w:r>
    </w:p>
    <w:p w14:paraId="2DC20C21">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《中华人民共和国行政区划代码》（GB/T 2260-2007）；</w:t>
      </w:r>
    </w:p>
    <w:p w14:paraId="362495E4">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《国民经济行业分类》（GB/T4754-2017）；</w:t>
      </w:r>
    </w:p>
    <w:p w14:paraId="0A819278">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《国家基本比例尺地形图分幅和编号》（GB/T 13989-2012）；</w:t>
      </w:r>
    </w:p>
    <w:p w14:paraId="257C8D05">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《国家基本比例尺地图图式第1部分:1:500 1:1000 1:2000地形图图式》（GB/T 20257.1-2017）；</w:t>
      </w:r>
    </w:p>
    <w:p w14:paraId="67B9AA02">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《国家基本比例尺地图图式第2部分:1:5000 1:10000地形图图式》（GB/T 20257.2-2017）；</w:t>
      </w:r>
    </w:p>
    <w:p w14:paraId="0E3BFA61">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《国家基本比例尺地图图式第3部分:1:25000 1:50000 1:100000地形图图式》（GB/T 20257.3-2017）；</w:t>
      </w:r>
    </w:p>
    <w:p w14:paraId="37A76711">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《城镇地籍数据库标准》（TD/T 1015-2007）；</w:t>
      </w:r>
    </w:p>
    <w:p w14:paraId="66AAE9F6">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《地籍调查规程》（GB/T42547-2023）；</w:t>
      </w:r>
    </w:p>
    <w:p w14:paraId="279E60D5">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《第三次国土调查技术规程》（TD/T 1055-2019）；</w:t>
      </w:r>
    </w:p>
    <w:p w14:paraId="06086A83">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《第三次全国国土调查工作分类》；</w:t>
      </w:r>
    </w:p>
    <w:p w14:paraId="6C3EB9E9">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《不动产登记数据库标准》（TD/T1066-2021）；</w:t>
      </w:r>
    </w:p>
    <w:p w14:paraId="27E637B5">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《不动产登记数据整合建库技术规范》（TD/T1067-2021）；</w:t>
      </w:r>
    </w:p>
    <w:p w14:paraId="151C4375">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《不动产单元设定与代码编制规则》（GB/T37346-2019）；</w:t>
      </w:r>
    </w:p>
    <w:p w14:paraId="57647B30">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《地籍数据库 第1部分：不动产》（TD/T 1015.1-2024）；</w:t>
      </w:r>
    </w:p>
    <w:p w14:paraId="799D14E2">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《地籍数据库 第1部分：自然资源》（TD/T 1015.2-2024）；</w:t>
      </w:r>
    </w:p>
    <w:p w14:paraId="43F95A92">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《地籍图编制技术规范（试行）》；</w:t>
      </w:r>
    </w:p>
    <w:p w14:paraId="303480D2">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《测绘成果质量检查与验收》（GB/T 24356-2023）；</w:t>
      </w:r>
    </w:p>
    <w:p w14:paraId="1FAECCBA">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《自然资源部关于进一步做好地籍调查工作的通知》（自然资发〔2023〕195号）；</w:t>
      </w:r>
    </w:p>
    <w:p w14:paraId="31780E2C">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《自然资源部办公厅关于加快编制地籍图的通知》（自然资办函〔2024〕1481号）；</w:t>
      </w:r>
    </w:p>
    <w:p w14:paraId="3A1DA4CD">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《关于深化开展地籍调查和地籍图编制工作的实施方案》（苏自然资函〔2024〕868号）。</w:t>
      </w:r>
    </w:p>
    <w:p w14:paraId="1030A36B">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《江苏省地籍调查和地籍图编制技术指南（第2部分 2026年国有建设用地、土地承包经营权、林权地籍数据汇交要求）》。</w:t>
      </w:r>
    </w:p>
    <w:p w14:paraId="62D61EEB">
      <w:pPr>
        <w:spacing w:line="440" w:lineRule="exact"/>
        <w:ind w:firstLine="482" w:firstLineChars="200"/>
        <w:rPr>
          <w:rFonts w:cs="宋体"/>
          <w:b/>
          <w:bCs/>
          <w:sz w:val="24"/>
          <w:highlight w:val="none"/>
          <w:lang w:val="zh-CN"/>
        </w:rPr>
      </w:pPr>
      <w:r>
        <w:rPr>
          <w:rFonts w:hint="eastAsia" w:cs="宋体"/>
          <w:b/>
          <w:bCs/>
          <w:sz w:val="24"/>
          <w:highlight w:val="none"/>
        </w:rPr>
        <w:t>5、</w:t>
      </w:r>
      <w:r>
        <w:rPr>
          <w:rFonts w:hint="eastAsia" w:cs="宋体"/>
          <w:b/>
          <w:bCs/>
          <w:sz w:val="24"/>
          <w:highlight w:val="none"/>
          <w:lang w:val="zh-CN"/>
        </w:rPr>
        <w:t>技术指标</w:t>
      </w:r>
      <w:bookmarkEnd w:id="52"/>
      <w:r>
        <w:rPr>
          <w:rFonts w:hint="eastAsia" w:cs="宋体"/>
          <w:b/>
          <w:bCs/>
          <w:sz w:val="24"/>
          <w:highlight w:val="none"/>
          <w:lang w:val="zh-CN"/>
        </w:rPr>
        <w:t>要求</w:t>
      </w:r>
    </w:p>
    <w:p w14:paraId="4703822D">
      <w:pPr>
        <w:spacing w:line="440" w:lineRule="exact"/>
        <w:ind w:firstLine="720" w:firstLineChars="300"/>
        <w:rPr>
          <w:rFonts w:hint="eastAsia" w:ascii="宋体" w:hAnsi="宋体" w:eastAsia="宋体" w:cs="宋体"/>
          <w:sz w:val="24"/>
          <w:highlight w:val="none"/>
        </w:rPr>
      </w:pPr>
      <w:bookmarkStart w:id="54" w:name="_Toc10244"/>
      <w:bookmarkStart w:id="55" w:name="_Toc15869"/>
      <w:bookmarkStart w:id="56" w:name="_Toc161671611"/>
      <w:r>
        <w:rPr>
          <w:rFonts w:hint="eastAsia" w:ascii="宋体" w:hAnsi="宋体" w:eastAsia="宋体" w:cs="宋体"/>
          <w:sz w:val="24"/>
          <w:highlight w:val="none"/>
        </w:rPr>
        <w:t>5.1数学基础</w:t>
      </w:r>
      <w:bookmarkEnd w:id="54"/>
      <w:bookmarkEnd w:id="55"/>
      <w:bookmarkEnd w:id="56"/>
    </w:p>
    <w:p w14:paraId="1C041461">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大地基准：采用“2000国家大地坐标系”；</w:t>
      </w:r>
    </w:p>
    <w:p w14:paraId="3CFD91F9">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高程基准：采用“1985国家高程基准”；</w:t>
      </w:r>
    </w:p>
    <w:p w14:paraId="4C61FBEE">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投影方式：采用高斯-克吕格投影，按3°分带。</w:t>
      </w:r>
    </w:p>
    <w:p w14:paraId="4C43D3A4">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5.2比例尺</w:t>
      </w:r>
    </w:p>
    <w:p w14:paraId="6444016C">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1:500、1:1000地籍图上主要表示国有建设用地使用权，内容包括地籍区和地籍子区、权属要素、地形要素、海域要素等；</w:t>
      </w:r>
    </w:p>
    <w:p w14:paraId="1F7D9718">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1:2000地籍图主要表示土地承包经营权（耕地、林地等）和农用地的其他使用权，内容包括行政区划、地籍区和地籍子区、权属要素、地类要素、地形要素、海域要素等；</w:t>
      </w:r>
    </w:p>
    <w:p w14:paraId="38C10A70">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1:10000、1:5000地籍图主要表示集体土地所有权和国家自然资源所有权，内容包括行政区划、地籍区和地籍子区、权属要素、地类要素、地形要素等。</w:t>
      </w:r>
    </w:p>
    <w:p w14:paraId="4C590DF0">
      <w:pPr>
        <w:spacing w:line="440" w:lineRule="exact"/>
        <w:ind w:firstLine="720" w:firstLineChars="300"/>
        <w:rPr>
          <w:rFonts w:hint="eastAsia" w:ascii="宋体" w:hAnsi="宋体" w:eastAsia="宋体" w:cs="宋体"/>
          <w:sz w:val="24"/>
          <w:highlight w:val="none"/>
        </w:rPr>
      </w:pPr>
      <w:bookmarkStart w:id="57" w:name="_Toc18365"/>
      <w:bookmarkStart w:id="58" w:name="_Toc23773"/>
      <w:bookmarkStart w:id="59" w:name="_Toc161671613"/>
      <w:r>
        <w:rPr>
          <w:rFonts w:hint="eastAsia" w:ascii="宋体" w:hAnsi="宋体" w:eastAsia="宋体" w:cs="宋体"/>
          <w:sz w:val="24"/>
          <w:highlight w:val="none"/>
        </w:rPr>
        <w:t>5.3计量单位</w:t>
      </w:r>
      <w:bookmarkEnd w:id="57"/>
      <w:bookmarkEnd w:id="58"/>
      <w:bookmarkEnd w:id="59"/>
    </w:p>
    <w:p w14:paraId="0E1EEC79">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坐标单位采用米（m），长度单位采用米（m），面积计算单位采用平方米（m²），面积统计汇总单位采用公顷（hm²）和亩。</w:t>
      </w:r>
    </w:p>
    <w:p w14:paraId="2EBE4457">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5.4分幅标准</w:t>
      </w:r>
    </w:p>
    <w:p w14:paraId="46B8FEF3">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地籍图分幅采用正方形分幅（50cm×50cm），图幅编号按照图廓西南角坐标公里数编号，X坐标在前，Y坐标在后，中间用短横线连接。</w:t>
      </w:r>
    </w:p>
    <w:p w14:paraId="70524894">
      <w:pPr>
        <w:spacing w:line="440" w:lineRule="exact"/>
        <w:ind w:firstLine="720" w:firstLineChars="300"/>
        <w:rPr>
          <w:rFonts w:hint="eastAsia" w:ascii="宋体" w:hAnsi="宋体" w:eastAsia="宋体" w:cs="宋体"/>
          <w:sz w:val="24"/>
          <w:highlight w:val="none"/>
        </w:rPr>
      </w:pPr>
      <w:r>
        <w:rPr>
          <w:rFonts w:hint="eastAsia" w:ascii="宋体" w:hAnsi="宋体" w:eastAsia="宋体" w:cs="宋体"/>
          <w:sz w:val="24"/>
          <w:highlight w:val="none"/>
        </w:rPr>
        <w:t>5.5精度指标</w:t>
      </w:r>
    </w:p>
    <w:p w14:paraId="511FA207">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地籍图精度符合下表的规定:</w:t>
      </w:r>
    </w:p>
    <w:tbl>
      <w:tblPr>
        <w:tblStyle w:val="55"/>
        <w:tblW w:w="487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35"/>
        <w:gridCol w:w="3018"/>
        <w:gridCol w:w="2060"/>
        <w:gridCol w:w="2060"/>
        <w:gridCol w:w="1641"/>
      </w:tblGrid>
      <w:tr w14:paraId="5BA8D7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81" w:type="pct"/>
            <w:shd w:val="clear" w:color="auto" w:fill="D8D8D8" w:themeFill="background1" w:themeFillShade="D9"/>
            <w:vAlign w:val="center"/>
          </w:tcPr>
          <w:p w14:paraId="094D9D71">
            <w:pPr>
              <w:jc w:val="center"/>
              <w:rPr>
                <w:rFonts w:ascii="宋体" w:hAnsi="宋体" w:cs="宋体"/>
                <w:bCs/>
                <w:sz w:val="24"/>
                <w:highlight w:val="none"/>
              </w:rPr>
            </w:pPr>
            <w:r>
              <w:rPr>
                <w:rFonts w:hint="eastAsia" w:ascii="宋体" w:hAnsi="宋体" w:eastAsia="宋体" w:cs="宋体"/>
                <w:bCs/>
                <w:sz w:val="24"/>
                <w:highlight w:val="none"/>
              </w:rPr>
              <w:t>序号</w:t>
            </w:r>
          </w:p>
        </w:tc>
        <w:tc>
          <w:tcPr>
            <w:tcW w:w="1553" w:type="pct"/>
            <w:shd w:val="clear" w:color="auto" w:fill="D8D8D8" w:themeFill="background1" w:themeFillShade="D9"/>
            <w:vAlign w:val="center"/>
          </w:tcPr>
          <w:p w14:paraId="331CA9D1">
            <w:pPr>
              <w:jc w:val="center"/>
              <w:rPr>
                <w:rFonts w:ascii="宋体" w:hAnsi="宋体" w:cs="宋体"/>
                <w:bCs/>
                <w:sz w:val="24"/>
                <w:highlight w:val="none"/>
              </w:rPr>
            </w:pPr>
            <w:r>
              <w:rPr>
                <w:rFonts w:hint="eastAsia" w:ascii="宋体" w:hAnsi="宋体" w:eastAsia="宋体" w:cs="宋体"/>
                <w:bCs/>
                <w:sz w:val="24"/>
                <w:highlight w:val="none"/>
              </w:rPr>
              <w:t>项目</w:t>
            </w:r>
          </w:p>
        </w:tc>
        <w:tc>
          <w:tcPr>
            <w:tcW w:w="1060" w:type="pct"/>
            <w:shd w:val="clear" w:color="auto" w:fill="D8D8D8" w:themeFill="background1" w:themeFillShade="D9"/>
            <w:vAlign w:val="center"/>
          </w:tcPr>
          <w:p w14:paraId="2431F017">
            <w:pPr>
              <w:jc w:val="center"/>
              <w:rPr>
                <w:rFonts w:ascii="宋体" w:hAnsi="宋体" w:cs="宋体"/>
                <w:bCs/>
                <w:sz w:val="24"/>
                <w:highlight w:val="none"/>
              </w:rPr>
            </w:pPr>
            <w:r>
              <w:rPr>
                <w:rFonts w:hint="eastAsia" w:ascii="宋体" w:hAnsi="宋体" w:eastAsia="宋体" w:cs="宋体"/>
                <w:bCs/>
                <w:sz w:val="24"/>
                <w:highlight w:val="none"/>
              </w:rPr>
              <w:t>图上中误差（mm）</w:t>
            </w:r>
          </w:p>
        </w:tc>
        <w:tc>
          <w:tcPr>
            <w:tcW w:w="1060" w:type="pct"/>
            <w:shd w:val="clear" w:color="auto" w:fill="D8D8D8" w:themeFill="background1" w:themeFillShade="D9"/>
            <w:vAlign w:val="center"/>
          </w:tcPr>
          <w:p w14:paraId="62E27CA0">
            <w:pPr>
              <w:jc w:val="center"/>
              <w:rPr>
                <w:rFonts w:ascii="宋体" w:hAnsi="宋体" w:cs="宋体"/>
                <w:bCs/>
                <w:sz w:val="24"/>
                <w:highlight w:val="none"/>
              </w:rPr>
            </w:pPr>
            <w:r>
              <w:rPr>
                <w:rFonts w:hint="eastAsia" w:ascii="宋体" w:hAnsi="宋体" w:eastAsia="宋体" w:cs="宋体"/>
                <w:bCs/>
                <w:sz w:val="24"/>
                <w:highlight w:val="none"/>
              </w:rPr>
              <w:t>图上允许误差（mm）</w:t>
            </w:r>
          </w:p>
        </w:tc>
        <w:tc>
          <w:tcPr>
            <w:tcW w:w="844" w:type="pct"/>
            <w:shd w:val="clear" w:color="auto" w:fill="D8D8D8" w:themeFill="background1" w:themeFillShade="D9"/>
            <w:vAlign w:val="center"/>
          </w:tcPr>
          <w:p w14:paraId="1BE9AF82">
            <w:pPr>
              <w:jc w:val="center"/>
              <w:rPr>
                <w:rFonts w:ascii="宋体" w:hAnsi="宋体" w:cs="宋体"/>
                <w:bCs/>
                <w:sz w:val="24"/>
                <w:highlight w:val="none"/>
              </w:rPr>
            </w:pPr>
            <w:r>
              <w:rPr>
                <w:rFonts w:hint="eastAsia" w:ascii="宋体" w:hAnsi="宋体" w:eastAsia="宋体" w:cs="宋体"/>
                <w:bCs/>
                <w:sz w:val="24"/>
                <w:highlight w:val="none"/>
              </w:rPr>
              <w:t>备注</w:t>
            </w:r>
          </w:p>
        </w:tc>
      </w:tr>
      <w:tr w14:paraId="74D289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81" w:type="pct"/>
            <w:vAlign w:val="center"/>
          </w:tcPr>
          <w:p w14:paraId="2EE1F4BE">
            <w:pPr>
              <w:jc w:val="center"/>
              <w:rPr>
                <w:rFonts w:ascii="宋体" w:hAnsi="宋体" w:cs="宋体"/>
                <w:bCs/>
                <w:sz w:val="24"/>
                <w:highlight w:val="none"/>
              </w:rPr>
            </w:pPr>
            <w:r>
              <w:rPr>
                <w:rFonts w:hint="eastAsia" w:ascii="宋体" w:hAnsi="宋体" w:eastAsia="宋体" w:cs="宋体"/>
                <w:bCs/>
                <w:sz w:val="24"/>
                <w:highlight w:val="none"/>
              </w:rPr>
              <w:t>1</w:t>
            </w:r>
          </w:p>
        </w:tc>
        <w:tc>
          <w:tcPr>
            <w:tcW w:w="1553" w:type="pct"/>
            <w:vAlign w:val="center"/>
          </w:tcPr>
          <w:p w14:paraId="0D2133B9">
            <w:pPr>
              <w:jc w:val="center"/>
              <w:rPr>
                <w:rFonts w:ascii="宋体" w:hAnsi="宋体" w:cs="宋体"/>
                <w:bCs/>
                <w:sz w:val="24"/>
                <w:highlight w:val="none"/>
              </w:rPr>
            </w:pPr>
            <w:r>
              <w:rPr>
                <w:rFonts w:hint="eastAsia" w:ascii="宋体" w:hAnsi="宋体" w:eastAsia="宋体" w:cs="宋体"/>
                <w:bCs/>
                <w:sz w:val="24"/>
                <w:highlight w:val="none"/>
              </w:rPr>
              <w:t>相邻界址点的间距误差</w:t>
            </w:r>
          </w:p>
        </w:tc>
        <w:tc>
          <w:tcPr>
            <w:tcW w:w="1060" w:type="pct"/>
            <w:vAlign w:val="center"/>
          </w:tcPr>
          <w:p w14:paraId="3EA96EDA">
            <w:pPr>
              <w:jc w:val="center"/>
              <w:rPr>
                <w:rFonts w:ascii="宋体" w:hAnsi="宋体" w:cs="宋体"/>
                <w:bCs/>
                <w:sz w:val="24"/>
                <w:highlight w:val="none"/>
              </w:rPr>
            </w:pPr>
            <w:r>
              <w:rPr>
                <w:rFonts w:hint="eastAsia" w:ascii="宋体" w:hAnsi="宋体" w:eastAsia="宋体" w:cs="宋体"/>
                <w:bCs/>
                <w:sz w:val="24"/>
                <w:highlight w:val="none"/>
              </w:rPr>
              <w:t>±0.6</w:t>
            </w:r>
          </w:p>
        </w:tc>
        <w:tc>
          <w:tcPr>
            <w:tcW w:w="1060" w:type="pct"/>
            <w:vAlign w:val="center"/>
          </w:tcPr>
          <w:p w14:paraId="039A334B">
            <w:pPr>
              <w:jc w:val="center"/>
              <w:rPr>
                <w:rFonts w:ascii="宋体" w:hAnsi="宋体" w:cs="宋体"/>
                <w:bCs/>
                <w:sz w:val="24"/>
                <w:highlight w:val="none"/>
              </w:rPr>
            </w:pPr>
            <w:r>
              <w:rPr>
                <w:rFonts w:hint="eastAsia" w:ascii="宋体" w:hAnsi="宋体" w:eastAsia="宋体" w:cs="宋体"/>
                <w:bCs/>
                <w:sz w:val="24"/>
                <w:highlight w:val="none"/>
              </w:rPr>
              <w:t>±1.2</w:t>
            </w:r>
          </w:p>
        </w:tc>
        <w:tc>
          <w:tcPr>
            <w:tcW w:w="844" w:type="pct"/>
            <w:vMerge w:val="restart"/>
            <w:vAlign w:val="center"/>
          </w:tcPr>
          <w:p w14:paraId="38D7C094">
            <w:pPr>
              <w:jc w:val="center"/>
              <w:rPr>
                <w:rFonts w:ascii="宋体" w:hAnsi="宋体" w:cs="宋体"/>
                <w:bCs/>
                <w:sz w:val="24"/>
                <w:highlight w:val="none"/>
              </w:rPr>
            </w:pPr>
            <w:r>
              <w:rPr>
                <w:rFonts w:hint="eastAsia" w:ascii="宋体" w:hAnsi="宋体" w:eastAsia="宋体" w:cs="宋体"/>
                <w:bCs/>
                <w:sz w:val="24"/>
                <w:highlight w:val="none"/>
              </w:rPr>
              <w:t>荒漠、高原、山地森林及隐藏地区等可放宽至1.5倍。</w:t>
            </w:r>
          </w:p>
        </w:tc>
      </w:tr>
      <w:tr w14:paraId="210883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481" w:type="pct"/>
            <w:vAlign w:val="center"/>
          </w:tcPr>
          <w:p w14:paraId="46F2E886">
            <w:pPr>
              <w:jc w:val="center"/>
              <w:rPr>
                <w:rFonts w:ascii="宋体" w:hAnsi="宋体" w:cs="宋体"/>
                <w:bCs/>
                <w:sz w:val="24"/>
                <w:highlight w:val="none"/>
              </w:rPr>
            </w:pPr>
            <w:r>
              <w:rPr>
                <w:rFonts w:hint="eastAsia" w:ascii="宋体" w:hAnsi="宋体" w:eastAsia="宋体" w:cs="宋体"/>
                <w:bCs/>
                <w:sz w:val="24"/>
                <w:highlight w:val="none"/>
              </w:rPr>
              <w:t>2</w:t>
            </w:r>
          </w:p>
        </w:tc>
        <w:tc>
          <w:tcPr>
            <w:tcW w:w="1553" w:type="pct"/>
            <w:vAlign w:val="center"/>
          </w:tcPr>
          <w:p w14:paraId="01F24C57">
            <w:pPr>
              <w:jc w:val="center"/>
              <w:rPr>
                <w:rFonts w:ascii="宋体" w:hAnsi="宋体" w:cs="宋体"/>
                <w:bCs/>
                <w:sz w:val="24"/>
                <w:highlight w:val="none"/>
              </w:rPr>
            </w:pPr>
            <w:r>
              <w:rPr>
                <w:rFonts w:hint="eastAsia" w:ascii="宋体" w:hAnsi="宋体" w:eastAsia="宋体" w:cs="宋体"/>
                <w:bCs/>
                <w:sz w:val="24"/>
                <w:highlight w:val="none"/>
              </w:rPr>
              <w:t>界址点相对于邻近地物的间距误差</w:t>
            </w:r>
          </w:p>
        </w:tc>
        <w:tc>
          <w:tcPr>
            <w:tcW w:w="1060" w:type="pct"/>
            <w:vAlign w:val="center"/>
          </w:tcPr>
          <w:p w14:paraId="717B6DED">
            <w:pPr>
              <w:jc w:val="center"/>
              <w:rPr>
                <w:rFonts w:ascii="宋体" w:hAnsi="宋体" w:cs="宋体"/>
                <w:bCs/>
                <w:sz w:val="24"/>
                <w:highlight w:val="none"/>
              </w:rPr>
            </w:pPr>
            <w:r>
              <w:rPr>
                <w:rFonts w:hint="eastAsia" w:ascii="宋体" w:hAnsi="宋体" w:eastAsia="宋体" w:cs="宋体"/>
                <w:bCs/>
                <w:sz w:val="24"/>
                <w:highlight w:val="none"/>
              </w:rPr>
              <w:t>±0.6</w:t>
            </w:r>
          </w:p>
        </w:tc>
        <w:tc>
          <w:tcPr>
            <w:tcW w:w="1060" w:type="pct"/>
            <w:vAlign w:val="center"/>
          </w:tcPr>
          <w:p w14:paraId="51D4354C">
            <w:pPr>
              <w:jc w:val="center"/>
              <w:rPr>
                <w:rFonts w:ascii="宋体" w:hAnsi="宋体" w:cs="宋体"/>
                <w:bCs/>
                <w:sz w:val="24"/>
                <w:highlight w:val="none"/>
              </w:rPr>
            </w:pPr>
            <w:r>
              <w:rPr>
                <w:rFonts w:hint="eastAsia" w:ascii="宋体" w:hAnsi="宋体" w:eastAsia="宋体" w:cs="宋体"/>
                <w:bCs/>
                <w:sz w:val="24"/>
                <w:highlight w:val="none"/>
              </w:rPr>
              <w:t>±1.2</w:t>
            </w:r>
          </w:p>
        </w:tc>
        <w:tc>
          <w:tcPr>
            <w:tcW w:w="844" w:type="pct"/>
            <w:vMerge w:val="continue"/>
            <w:vAlign w:val="center"/>
          </w:tcPr>
          <w:p w14:paraId="1D99CFB1">
            <w:pPr>
              <w:jc w:val="center"/>
              <w:rPr>
                <w:rFonts w:ascii="宋体" w:hAnsi="宋体" w:cs="宋体"/>
                <w:bCs/>
                <w:sz w:val="24"/>
                <w:highlight w:val="none"/>
              </w:rPr>
            </w:pPr>
          </w:p>
        </w:tc>
      </w:tr>
      <w:tr w14:paraId="29B39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0" w:hRule="atLeast"/>
          <w:jc w:val="center"/>
        </w:trPr>
        <w:tc>
          <w:tcPr>
            <w:tcW w:w="481" w:type="pct"/>
            <w:vAlign w:val="center"/>
          </w:tcPr>
          <w:p w14:paraId="30D324C5">
            <w:pPr>
              <w:jc w:val="center"/>
              <w:rPr>
                <w:rFonts w:ascii="宋体" w:hAnsi="宋体" w:cs="宋体"/>
                <w:bCs/>
                <w:sz w:val="24"/>
                <w:highlight w:val="none"/>
              </w:rPr>
            </w:pPr>
            <w:r>
              <w:rPr>
                <w:rFonts w:hint="eastAsia" w:ascii="宋体" w:hAnsi="宋体" w:eastAsia="宋体" w:cs="宋体"/>
                <w:bCs/>
                <w:sz w:val="24"/>
                <w:highlight w:val="none"/>
              </w:rPr>
              <w:t>3</w:t>
            </w:r>
          </w:p>
        </w:tc>
        <w:tc>
          <w:tcPr>
            <w:tcW w:w="1553" w:type="pct"/>
            <w:vAlign w:val="center"/>
          </w:tcPr>
          <w:p w14:paraId="11A44008">
            <w:pPr>
              <w:jc w:val="center"/>
              <w:rPr>
                <w:rFonts w:ascii="宋体" w:hAnsi="宋体" w:cs="宋体"/>
                <w:bCs/>
                <w:sz w:val="24"/>
                <w:highlight w:val="none"/>
              </w:rPr>
            </w:pPr>
            <w:r>
              <w:rPr>
                <w:rFonts w:hint="eastAsia" w:ascii="宋体" w:hAnsi="宋体" w:eastAsia="宋体" w:cs="宋体"/>
                <w:bCs/>
                <w:sz w:val="24"/>
                <w:highlight w:val="none"/>
              </w:rPr>
              <w:t>界址点相对于邻近控制点的点位误差</w:t>
            </w:r>
          </w:p>
        </w:tc>
        <w:tc>
          <w:tcPr>
            <w:tcW w:w="1060" w:type="pct"/>
            <w:vAlign w:val="center"/>
          </w:tcPr>
          <w:p w14:paraId="7A5076EF">
            <w:pPr>
              <w:jc w:val="center"/>
              <w:rPr>
                <w:rFonts w:ascii="宋体" w:hAnsi="宋体" w:cs="宋体"/>
                <w:bCs/>
                <w:sz w:val="24"/>
                <w:highlight w:val="none"/>
              </w:rPr>
            </w:pPr>
            <w:r>
              <w:rPr>
                <w:rFonts w:hint="eastAsia" w:ascii="宋体" w:hAnsi="宋体" w:eastAsia="宋体" w:cs="宋体"/>
                <w:bCs/>
                <w:sz w:val="24"/>
                <w:highlight w:val="none"/>
              </w:rPr>
              <w:t>±0.6</w:t>
            </w:r>
          </w:p>
        </w:tc>
        <w:tc>
          <w:tcPr>
            <w:tcW w:w="1060" w:type="pct"/>
            <w:vAlign w:val="center"/>
          </w:tcPr>
          <w:p w14:paraId="6B7259AF">
            <w:pPr>
              <w:jc w:val="center"/>
              <w:rPr>
                <w:rFonts w:ascii="宋体" w:hAnsi="宋体" w:cs="宋体"/>
                <w:bCs/>
                <w:sz w:val="24"/>
                <w:highlight w:val="none"/>
              </w:rPr>
            </w:pPr>
            <w:r>
              <w:rPr>
                <w:rFonts w:hint="eastAsia" w:ascii="宋体" w:hAnsi="宋体" w:eastAsia="宋体" w:cs="宋体"/>
                <w:bCs/>
                <w:sz w:val="24"/>
                <w:highlight w:val="none"/>
              </w:rPr>
              <w:t>±1.2</w:t>
            </w:r>
          </w:p>
        </w:tc>
        <w:tc>
          <w:tcPr>
            <w:tcW w:w="844" w:type="pct"/>
            <w:vMerge w:val="continue"/>
            <w:vAlign w:val="center"/>
          </w:tcPr>
          <w:p w14:paraId="3DB2A815">
            <w:pPr>
              <w:jc w:val="center"/>
              <w:rPr>
                <w:rFonts w:ascii="宋体" w:hAnsi="宋体" w:cs="宋体"/>
                <w:bCs/>
                <w:sz w:val="24"/>
                <w:highlight w:val="none"/>
              </w:rPr>
            </w:pPr>
          </w:p>
        </w:tc>
      </w:tr>
    </w:tbl>
    <w:p w14:paraId="36D4F5CB">
      <w:pPr>
        <w:spacing w:line="440" w:lineRule="exact"/>
        <w:ind w:firstLine="482" w:firstLineChars="200"/>
        <w:rPr>
          <w:rFonts w:cs="宋体"/>
          <w:b/>
          <w:bCs/>
          <w:sz w:val="24"/>
          <w:highlight w:val="none"/>
        </w:rPr>
      </w:pPr>
      <w:bookmarkStart w:id="60" w:name="_Toc161671624"/>
      <w:r>
        <w:rPr>
          <w:rFonts w:hint="eastAsia" w:cs="宋体"/>
          <w:b/>
          <w:bCs/>
          <w:sz w:val="24"/>
          <w:highlight w:val="none"/>
        </w:rPr>
        <w:t>6、</w:t>
      </w:r>
      <w:r>
        <w:rPr>
          <w:rFonts w:hint="eastAsia" w:eastAsia="宋体" w:cs="宋体"/>
          <w:b/>
          <w:bCs/>
          <w:sz w:val="24"/>
          <w:highlight w:val="none"/>
        </w:rPr>
        <w:t>项目人员配备</w:t>
      </w:r>
    </w:p>
    <w:p w14:paraId="4D5C3AFF">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本项目需配备一名项目负责人，一名技术负责人及不少于</w:t>
      </w:r>
      <w:r>
        <w:rPr>
          <w:rFonts w:hint="eastAsia" w:ascii="宋体" w:hAnsi="宋体" w:cs="宋体"/>
          <w:sz w:val="24"/>
          <w:highlight w:val="none"/>
          <w:lang w:val="en-US" w:eastAsia="zh-CN"/>
        </w:rPr>
        <w:t>十三</w:t>
      </w:r>
      <w:r>
        <w:rPr>
          <w:rFonts w:hint="eastAsia" w:ascii="宋体" w:hAnsi="宋体" w:eastAsia="宋体" w:cs="宋体"/>
          <w:sz w:val="24"/>
          <w:highlight w:val="none"/>
        </w:rPr>
        <w:t>名项目组成员（不包括项目负责人、技术负责人）。</w:t>
      </w:r>
      <w:bookmarkEnd w:id="60"/>
    </w:p>
    <w:p w14:paraId="3C5CB020">
      <w:pPr>
        <w:spacing w:line="440" w:lineRule="exact"/>
        <w:ind w:firstLine="482" w:firstLineChars="200"/>
        <w:rPr>
          <w:rFonts w:cs="宋体"/>
          <w:b/>
          <w:bCs/>
          <w:sz w:val="24"/>
          <w:highlight w:val="none"/>
        </w:rPr>
      </w:pPr>
      <w:r>
        <w:rPr>
          <w:rFonts w:hint="eastAsia" w:cs="宋体"/>
          <w:b/>
          <w:bCs/>
          <w:sz w:val="24"/>
          <w:highlight w:val="none"/>
        </w:rPr>
        <w:t>7、</w:t>
      </w:r>
      <w:r>
        <w:rPr>
          <w:rFonts w:hint="eastAsia" w:ascii="Times New Roman" w:hAnsi="Times New Roman" w:eastAsia="宋体" w:cs="宋体"/>
          <w:b/>
          <w:bCs/>
          <w:sz w:val="24"/>
          <w:highlight w:val="none"/>
        </w:rPr>
        <w:t>成果要求</w:t>
      </w:r>
    </w:p>
    <w:p w14:paraId="6DA0BCE0">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成果包括数据库成果、文字成果、图件成果和表格成果。</w:t>
      </w:r>
    </w:p>
    <w:p w14:paraId="536B14BD">
      <w:pPr>
        <w:spacing w:line="440" w:lineRule="exact"/>
        <w:ind w:firstLine="787" w:firstLineChars="328"/>
        <w:rPr>
          <w:rFonts w:hint="eastAsia" w:ascii="宋体" w:hAnsi="宋体" w:eastAsia="宋体" w:cs="宋体"/>
          <w:sz w:val="24"/>
          <w:highlight w:val="none"/>
        </w:rPr>
      </w:pPr>
      <w:bookmarkStart w:id="61" w:name="_Toc161671625"/>
      <w:r>
        <w:rPr>
          <w:rFonts w:hint="eastAsia" w:ascii="宋体" w:hAnsi="宋体" w:eastAsia="宋体" w:cs="宋体"/>
          <w:sz w:val="24"/>
          <w:highlight w:val="none"/>
        </w:rPr>
        <w:t>7.1不动产地籍数据库成果</w:t>
      </w:r>
      <w:bookmarkEnd w:id="61"/>
      <w:r>
        <w:rPr>
          <w:rFonts w:hint="eastAsia" w:ascii="宋体" w:hAnsi="宋体" w:eastAsia="宋体" w:cs="宋体"/>
          <w:sz w:val="24"/>
          <w:highlight w:val="none"/>
        </w:rPr>
        <w:t>。国有建设用地地籍调查数据库。</w:t>
      </w:r>
    </w:p>
    <w:p w14:paraId="085E18BB">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cs="宋体"/>
          <w:sz w:val="24"/>
          <w:highlight w:val="none"/>
          <w:lang w:val="en-US" w:eastAsia="zh-CN"/>
        </w:rPr>
        <w:t>2</w:t>
      </w:r>
      <w:r>
        <w:rPr>
          <w:rFonts w:hint="eastAsia" w:ascii="宋体" w:hAnsi="宋体" w:eastAsia="宋体" w:cs="宋体"/>
          <w:sz w:val="24"/>
          <w:highlight w:val="none"/>
        </w:rPr>
        <w:t>文字成果。工作总结、技术方案、技术总结、数据库建设报告、数据库质量检查报告等文字成果。</w:t>
      </w:r>
    </w:p>
    <w:p w14:paraId="2F8D5FB2">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cs="宋体"/>
          <w:sz w:val="24"/>
          <w:highlight w:val="none"/>
          <w:lang w:val="en-US" w:eastAsia="zh-CN"/>
        </w:rPr>
        <w:t>3</w:t>
      </w:r>
      <w:r>
        <w:rPr>
          <w:rFonts w:hint="eastAsia" w:ascii="宋体" w:hAnsi="宋体" w:eastAsia="宋体" w:cs="宋体"/>
          <w:sz w:val="24"/>
          <w:highlight w:val="none"/>
        </w:rPr>
        <w:t>图件成果。根据不同的地籍图要求，配置正确的坐标系统，选择合适比例尺、分幅方式，分类编制图件。</w:t>
      </w:r>
    </w:p>
    <w:p w14:paraId="0F239A37">
      <w:pPr>
        <w:spacing w:line="440" w:lineRule="exact"/>
        <w:ind w:firstLine="787" w:firstLineChars="328"/>
        <w:rPr>
          <w:rFonts w:hint="eastAsia" w:ascii="宋体" w:hAnsi="宋体" w:eastAsia="宋体" w:cs="宋体"/>
          <w:sz w:val="24"/>
          <w:highlight w:val="none"/>
        </w:rPr>
      </w:pPr>
      <w:r>
        <w:rPr>
          <w:rFonts w:hint="eastAsia" w:ascii="宋体" w:hAnsi="宋体" w:eastAsia="宋体" w:cs="宋体"/>
          <w:sz w:val="24"/>
          <w:highlight w:val="none"/>
        </w:rPr>
        <w:t>7.</w:t>
      </w:r>
      <w:r>
        <w:rPr>
          <w:rFonts w:hint="eastAsia" w:ascii="宋体" w:hAnsi="宋体" w:cs="宋体"/>
          <w:sz w:val="24"/>
          <w:highlight w:val="none"/>
          <w:lang w:val="en-US" w:eastAsia="zh-CN"/>
        </w:rPr>
        <w:t>4</w:t>
      </w:r>
      <w:r>
        <w:rPr>
          <w:rFonts w:hint="eastAsia" w:ascii="宋体" w:hAnsi="宋体" w:eastAsia="宋体" w:cs="宋体"/>
          <w:sz w:val="24"/>
          <w:highlight w:val="none"/>
        </w:rPr>
        <w:t>表格成果。根据需求提取、计算形成各类报表。</w:t>
      </w:r>
    </w:p>
    <w:p w14:paraId="55C1B2D2">
      <w:pPr>
        <w:spacing w:line="440" w:lineRule="exact"/>
        <w:ind w:firstLine="482" w:firstLineChars="200"/>
        <w:rPr>
          <w:rFonts w:hint="eastAsia" w:ascii="Times New Roman" w:hAnsi="Times New Roman" w:eastAsia="宋体" w:cs="宋体"/>
          <w:b/>
          <w:bCs/>
          <w:sz w:val="24"/>
          <w:highlight w:val="none"/>
        </w:rPr>
      </w:pPr>
      <w:r>
        <w:rPr>
          <w:rFonts w:hint="eastAsia" w:ascii="Times New Roman" w:hAnsi="Times New Roman" w:eastAsia="宋体" w:cs="宋体"/>
          <w:b/>
          <w:bCs/>
          <w:sz w:val="24"/>
          <w:highlight w:val="none"/>
          <w:lang w:val="en-US" w:eastAsia="zh-CN"/>
        </w:rPr>
        <w:t>8、</w:t>
      </w:r>
      <w:r>
        <w:rPr>
          <w:rFonts w:hint="eastAsia" w:ascii="Times New Roman" w:hAnsi="Times New Roman" w:eastAsia="宋体" w:cs="宋体"/>
          <w:b/>
          <w:bCs/>
          <w:sz w:val="24"/>
          <w:highlight w:val="none"/>
        </w:rPr>
        <w:t>工期要求</w:t>
      </w:r>
    </w:p>
    <w:p w14:paraId="4CAE6932">
      <w:pPr>
        <w:spacing w:line="440" w:lineRule="exact"/>
        <w:ind w:right="216" w:firstLine="720" w:firstLineChars="300"/>
        <w:rPr>
          <w:rFonts w:hint="eastAsia" w:ascii="宋体" w:hAnsi="宋体" w:cs="宋体"/>
          <w:sz w:val="24"/>
          <w:highlight w:val="none"/>
        </w:rPr>
      </w:pPr>
      <w:r>
        <w:rPr>
          <w:rFonts w:hint="eastAsia" w:ascii="宋体" w:hAnsi="宋体" w:cs="宋体"/>
          <w:sz w:val="24"/>
          <w:highlight w:val="none"/>
          <w:lang w:val="en-US" w:eastAsia="zh-CN"/>
        </w:rPr>
        <w:t>8.1</w:t>
      </w:r>
      <w:r>
        <w:rPr>
          <w:rFonts w:hint="eastAsia" w:ascii="宋体" w:hAnsi="宋体" w:cs="宋体"/>
          <w:sz w:val="24"/>
          <w:highlight w:val="none"/>
        </w:rPr>
        <w:t>按照国家、省、苏州市要求完成已有的国有建设用地地籍数据成果汇交。</w:t>
      </w:r>
    </w:p>
    <w:p w14:paraId="4C56D469">
      <w:pPr>
        <w:spacing w:line="440" w:lineRule="exact"/>
        <w:ind w:right="216" w:firstLine="720" w:firstLineChars="300"/>
        <w:rPr>
          <w:rFonts w:ascii="宋体" w:hAnsi="宋体" w:cs="宋体"/>
          <w:sz w:val="24"/>
          <w:highlight w:val="none"/>
        </w:rPr>
      </w:pPr>
      <w:r>
        <w:rPr>
          <w:rFonts w:hint="eastAsia" w:ascii="宋体" w:hAnsi="宋体" w:cs="宋体"/>
          <w:sz w:val="24"/>
          <w:highlight w:val="none"/>
          <w:lang w:val="en-US" w:eastAsia="zh-CN"/>
        </w:rPr>
        <w:t xml:space="preserve">8.2 </w:t>
      </w:r>
      <w:r>
        <w:rPr>
          <w:rFonts w:hint="eastAsia" w:ascii="宋体" w:hAnsi="宋体" w:cs="宋体"/>
          <w:sz w:val="24"/>
          <w:highlight w:val="none"/>
        </w:rPr>
        <w:t>202</w:t>
      </w:r>
      <w:r>
        <w:rPr>
          <w:rFonts w:ascii="宋体" w:hAnsi="宋体" w:cs="宋体"/>
          <w:sz w:val="24"/>
          <w:highlight w:val="none"/>
        </w:rPr>
        <w:t>7</w:t>
      </w:r>
      <w:r>
        <w:rPr>
          <w:rFonts w:hint="eastAsia" w:ascii="宋体" w:hAnsi="宋体" w:cs="宋体"/>
          <w:sz w:val="24"/>
          <w:highlight w:val="none"/>
        </w:rPr>
        <w:t>年6月30日前完成全部项目内容。</w:t>
      </w:r>
    </w:p>
    <w:p w14:paraId="6310AB12">
      <w:pPr>
        <w:spacing w:line="440" w:lineRule="exact"/>
        <w:rPr>
          <w:rFonts w:hint="eastAsia" w:eastAsia="宋体" w:cs="宋体"/>
          <w:b/>
          <w:bCs/>
          <w:sz w:val="28"/>
          <w:szCs w:val="28"/>
          <w:lang w:val="en-US" w:eastAsia="zh-CN"/>
        </w:rPr>
      </w:pPr>
      <w:r>
        <w:rPr>
          <w:rFonts w:hint="eastAsia" w:cs="宋体"/>
          <w:b/>
          <w:bCs/>
          <w:sz w:val="28"/>
          <w:szCs w:val="28"/>
          <w:lang w:val="en-US" w:eastAsia="zh-CN"/>
        </w:rPr>
        <w:t>四</w:t>
      </w:r>
      <w:r>
        <w:rPr>
          <w:rFonts w:hint="eastAsia" w:eastAsia="宋体" w:cs="宋体"/>
          <w:b/>
          <w:bCs/>
          <w:sz w:val="28"/>
          <w:szCs w:val="28"/>
          <w:lang w:val="en-US" w:eastAsia="zh-CN"/>
        </w:rPr>
        <w:t>、报价要求</w:t>
      </w:r>
      <w:bookmarkEnd w:id="46"/>
      <w:bookmarkEnd w:id="47"/>
    </w:p>
    <w:p w14:paraId="4D70419E">
      <w:pPr>
        <w:spacing w:line="440" w:lineRule="exact"/>
        <w:ind w:firstLine="482"/>
        <w:jc w:val="left"/>
        <w:rPr>
          <w:rFonts w:ascii="宋体" w:hAnsi="宋体"/>
          <w:b/>
          <w:color w:val="000000" w:themeColor="text1"/>
          <w:sz w:val="24"/>
          <w:highlight w:val="white"/>
          <w14:textFill>
            <w14:solidFill>
              <w14:schemeClr w14:val="tx1"/>
            </w14:solidFill>
          </w14:textFill>
        </w:rPr>
      </w:pPr>
      <w:r>
        <w:rPr>
          <w:rFonts w:hint="eastAsia" w:ascii="宋体" w:hAnsi="宋体"/>
          <w:b/>
          <w:color w:val="000000" w:themeColor="text1"/>
          <w:sz w:val="24"/>
          <w:highlight w:val="white"/>
          <w14:textFill>
            <w14:solidFill>
              <w14:schemeClr w14:val="tx1"/>
            </w14:solidFill>
          </w14:textFill>
        </w:rPr>
        <w:t>1、供应商须对本项目中包含的所有服务内容进行报价，不得漏报，否则将失去磋商资格。</w:t>
      </w:r>
    </w:p>
    <w:p w14:paraId="13B0E0D3">
      <w:pPr>
        <w:spacing w:line="440" w:lineRule="exact"/>
        <w:ind w:firstLine="480"/>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2、本项目应以人民币报价，报价总价包括完成该项目工作所需的所有费用，包括资料收集费、数据采集（整理）费、成果报告编制费（含印刷费）、人工费、设备工具费、差旅费、驻场费、技术成果审核费（包括成果验收费、审批费、资料费等，如果有的话）、后续技术支持服务费、风险费、利润、税费及政策性文件规定和合同所包含的所有风险、责任等各项应有费用。</w:t>
      </w:r>
    </w:p>
    <w:p w14:paraId="127B7583">
      <w:pPr>
        <w:spacing w:line="440" w:lineRule="exact"/>
        <w:ind w:firstLine="480"/>
        <w:jc w:val="left"/>
        <w:rPr>
          <w:rFonts w:ascii="宋体" w:hAnsi="宋体"/>
          <w:b/>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3、供应商在报价时应考虑各种风险因素，相关风险因素费用包含在报价总价中。风险因素包括遇上级有关政策调整、最低工资调整、社保调整、公积金调整、物价调整、重大活动、检查、突发情况、税费调整等</w:t>
      </w:r>
      <w:r>
        <w:rPr>
          <w:rFonts w:ascii="宋体" w:hAnsi="宋体"/>
          <w:color w:val="000000" w:themeColor="text1"/>
          <w:sz w:val="24"/>
          <w:szCs w:val="24"/>
          <w:highlight w:val="white"/>
          <w14:textFill>
            <w14:solidFill>
              <w14:schemeClr w14:val="tx1"/>
            </w14:solidFill>
          </w14:textFill>
        </w:rPr>
        <w:t>。</w:t>
      </w:r>
    </w:p>
    <w:p w14:paraId="00C93869">
      <w:pPr>
        <w:spacing w:line="440" w:lineRule="exact"/>
        <w:rPr>
          <w:rFonts w:hint="eastAsia" w:eastAsia="宋体" w:cs="宋体"/>
          <w:b/>
          <w:bCs/>
          <w:sz w:val="28"/>
          <w:szCs w:val="28"/>
          <w:lang w:val="zh-CN"/>
        </w:rPr>
      </w:pPr>
      <w:bookmarkStart w:id="62" w:name="_Toc7571"/>
      <w:bookmarkStart w:id="63" w:name="_Toc29613"/>
      <w:r>
        <w:rPr>
          <w:rFonts w:hint="eastAsia" w:cs="宋体"/>
          <w:b/>
          <w:bCs/>
          <w:sz w:val="28"/>
          <w:szCs w:val="28"/>
          <w:lang w:val="en-US" w:eastAsia="zh-CN"/>
        </w:rPr>
        <w:t>五</w:t>
      </w:r>
      <w:r>
        <w:rPr>
          <w:rFonts w:hint="eastAsia" w:eastAsia="宋体" w:cs="宋体"/>
          <w:b/>
          <w:bCs/>
          <w:sz w:val="28"/>
          <w:szCs w:val="28"/>
          <w:lang w:val="zh-CN"/>
        </w:rPr>
        <w:t>、成果版权使用及保密措施</w:t>
      </w:r>
      <w:bookmarkEnd w:id="62"/>
      <w:bookmarkEnd w:id="63"/>
    </w:p>
    <w:p w14:paraId="597C030B">
      <w:pPr>
        <w:spacing w:line="440" w:lineRule="exact"/>
        <w:ind w:firstLine="480"/>
        <w:jc w:val="lef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1、</w:t>
      </w:r>
      <w:r>
        <w:rPr>
          <w:rFonts w:hint="eastAsia" w:ascii="宋体" w:hAnsi="宋体"/>
          <w:bCs/>
          <w:color w:val="000000" w:themeColor="text1"/>
          <w:sz w:val="24"/>
          <w:highlight w:val="white"/>
          <w14:textFill>
            <w14:solidFill>
              <w14:schemeClr w14:val="tx1"/>
            </w14:solidFill>
          </w14:textFill>
        </w:rPr>
        <w:t>本次成果所有权和使用权均属于采购人。未经允许，任何单位和个人不得转让和使用本项目的成果。合同另有约定的，从其约定。</w:t>
      </w:r>
    </w:p>
    <w:p w14:paraId="08B5EF84">
      <w:pPr>
        <w:spacing w:line="440" w:lineRule="exact"/>
        <w:ind w:firstLine="480"/>
        <w:jc w:val="lef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2、</w:t>
      </w:r>
      <w:r>
        <w:rPr>
          <w:rFonts w:hint="eastAsia" w:ascii="宋体" w:hAnsi="宋体"/>
          <w:bCs/>
          <w:color w:val="000000" w:themeColor="text1"/>
          <w:sz w:val="24"/>
          <w:highlight w:val="white"/>
          <w14:textFill>
            <w14:solidFill>
              <w14:schemeClr w14:val="tx1"/>
            </w14:solidFill>
          </w14:textFill>
        </w:rPr>
        <w:t>成交供应商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p>
    <w:p w14:paraId="516D80E1">
      <w:pPr>
        <w:spacing w:line="440" w:lineRule="exact"/>
        <w:ind w:firstLine="480"/>
        <w:jc w:val="lef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3、</w:t>
      </w:r>
      <w:r>
        <w:rPr>
          <w:rFonts w:hint="eastAsia" w:ascii="宋体" w:hAnsi="宋体"/>
          <w:bCs/>
          <w:color w:val="000000" w:themeColor="text1"/>
          <w:sz w:val="24"/>
          <w:highlight w:val="white"/>
          <w14:textFill>
            <w14:solidFill>
              <w14:schemeClr w14:val="tx1"/>
            </w14:solidFill>
          </w14:textFill>
        </w:rPr>
        <w:t>成交供应商有责任和义务进行经常性的保密教育和检查，落实各项保密措施，使所属人员知悉与其工作有关的保密范围和各项保密制度。一旦发生泄密涉密事件，成交供应商负全部责任，采购人将视情节予以警告，情节严重的，将报请上级有关机关批示处理。</w:t>
      </w:r>
    </w:p>
    <w:p w14:paraId="1DB163DB">
      <w:pPr>
        <w:spacing w:line="440" w:lineRule="exact"/>
        <w:rPr>
          <w:rFonts w:hint="eastAsia" w:eastAsia="宋体" w:cs="宋体"/>
          <w:b/>
          <w:bCs/>
          <w:sz w:val="28"/>
          <w:szCs w:val="28"/>
          <w:highlight w:val="none"/>
          <w:lang w:val="en-US" w:eastAsia="zh-CN"/>
        </w:rPr>
      </w:pPr>
      <w:r>
        <w:rPr>
          <w:rFonts w:hint="eastAsia" w:cs="宋体"/>
          <w:b/>
          <w:bCs/>
          <w:sz w:val="28"/>
          <w:szCs w:val="28"/>
          <w:highlight w:val="none"/>
          <w:lang w:val="en-US" w:eastAsia="zh-CN"/>
        </w:rPr>
        <w:t>六</w:t>
      </w:r>
      <w:r>
        <w:rPr>
          <w:rFonts w:hint="eastAsia" w:eastAsia="宋体" w:cs="宋体"/>
          <w:b/>
          <w:bCs/>
          <w:sz w:val="28"/>
          <w:szCs w:val="28"/>
          <w:highlight w:val="none"/>
          <w:lang w:val="en-US" w:eastAsia="zh-CN"/>
        </w:rPr>
        <w:t>、验收要求</w:t>
      </w:r>
    </w:p>
    <w:p w14:paraId="7C0F891E">
      <w:pPr>
        <w:spacing w:line="44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1、采购人依法组织对</w:t>
      </w:r>
      <w:r>
        <w:rPr>
          <w:rFonts w:hint="eastAsia" w:ascii="宋体" w:hAnsi="宋体"/>
          <w:color w:val="000000" w:themeColor="text1"/>
          <w:sz w:val="24"/>
          <w:highlight w:val="none"/>
          <w:lang w:val="en-US" w:eastAsia="zh-CN"/>
          <w14:textFill>
            <w14:solidFill>
              <w14:schemeClr w14:val="tx1"/>
            </w14:solidFill>
          </w14:textFill>
        </w:rPr>
        <w:t>成交供应商</w:t>
      </w:r>
      <w:r>
        <w:rPr>
          <w:rFonts w:hint="eastAsia" w:ascii="宋体" w:hAnsi="宋体"/>
          <w:color w:val="000000" w:themeColor="text1"/>
          <w:sz w:val="24"/>
          <w:highlight w:val="none"/>
          <w14:textFill>
            <w14:solidFill>
              <w14:schemeClr w14:val="tx1"/>
            </w14:solidFill>
          </w14:textFill>
        </w:rPr>
        <w:t>所提供的服务的履约验收工作。</w:t>
      </w:r>
    </w:p>
    <w:p w14:paraId="38263E83">
      <w:pPr>
        <w:spacing w:line="440" w:lineRule="exact"/>
        <w:ind w:firstLine="480"/>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2、采购人成立履约验收小组，按照采购合同的约定对</w:t>
      </w:r>
      <w:r>
        <w:rPr>
          <w:rFonts w:hint="eastAsia" w:ascii="宋体" w:hAnsi="宋体"/>
          <w:color w:val="000000" w:themeColor="text1"/>
          <w:sz w:val="24"/>
          <w:highlight w:val="none"/>
          <w:lang w:val="en-US" w:eastAsia="zh-CN"/>
          <w14:textFill>
            <w14:solidFill>
              <w14:schemeClr w14:val="tx1"/>
            </w14:solidFill>
          </w14:textFill>
        </w:rPr>
        <w:t>成交供应商</w:t>
      </w:r>
      <w:r>
        <w:rPr>
          <w:rFonts w:hint="eastAsia" w:ascii="宋体" w:hAnsi="宋体"/>
          <w:color w:val="000000" w:themeColor="text1"/>
          <w:sz w:val="24"/>
          <w:highlight w:val="none"/>
          <w14:textFill>
            <w14:solidFill>
              <w14:schemeClr w14:val="tx1"/>
            </w14:solidFill>
          </w14:textFill>
        </w:rPr>
        <w:t>的履约情况进行验收。</w:t>
      </w:r>
    </w:p>
    <w:p w14:paraId="04E52EC4">
      <w:pPr>
        <w:spacing w:line="440" w:lineRule="exact"/>
        <w:ind w:firstLine="480"/>
        <w:rPr>
          <w:rFonts w:hint="eastAsia" w:ascii="宋体" w:hAnsi="宋体" w:eastAsia="宋体"/>
          <w:color w:val="000000" w:themeColor="text1"/>
          <w:sz w:val="24"/>
          <w:highlight w:val="none"/>
          <w:lang w:eastAsia="zh-CN"/>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3、</w:t>
      </w:r>
      <w:r>
        <w:rPr>
          <w:rFonts w:hint="eastAsia" w:ascii="宋体" w:hAnsi="宋体"/>
          <w:color w:val="000000" w:themeColor="text1"/>
          <w:sz w:val="24"/>
          <w:highlight w:val="none"/>
          <w14:textFill>
            <w14:solidFill>
              <w14:schemeClr w14:val="tx1"/>
            </w14:solidFill>
          </w14:textFill>
        </w:rPr>
        <w:t>验收时,</w:t>
      </w:r>
      <w:r>
        <w:rPr>
          <w:rFonts w:hint="eastAsia" w:ascii="宋体" w:hAnsi="宋体"/>
          <w:color w:val="000000" w:themeColor="text1"/>
          <w:sz w:val="24"/>
          <w:highlight w:val="none"/>
          <w:lang w:val="en-US" w:eastAsia="zh-CN"/>
          <w14:textFill>
            <w14:solidFill>
              <w14:schemeClr w14:val="tx1"/>
            </w14:solidFill>
          </w14:textFill>
        </w:rPr>
        <w:t>采购人</w:t>
      </w:r>
      <w:r>
        <w:rPr>
          <w:rFonts w:hint="eastAsia" w:ascii="宋体" w:hAnsi="宋体"/>
          <w:color w:val="000000" w:themeColor="text1"/>
          <w:sz w:val="24"/>
          <w:highlight w:val="none"/>
          <w14:textFill>
            <w14:solidFill>
              <w14:schemeClr w14:val="tx1"/>
            </w14:solidFill>
          </w14:textFill>
        </w:rPr>
        <w:t>按照采购合同的约定对每一项技术、服务、安全标准的履约情况进行确认</w:t>
      </w:r>
      <w:r>
        <w:rPr>
          <w:rFonts w:hint="eastAsia" w:ascii="宋体" w:hAnsi="宋体"/>
          <w:color w:val="000000" w:themeColor="text1"/>
          <w:sz w:val="24"/>
          <w:highlight w:val="none"/>
          <w:lang w:eastAsia="zh-CN"/>
          <w14:textFill>
            <w14:solidFill>
              <w14:schemeClr w14:val="tx1"/>
            </w14:solidFill>
          </w14:textFill>
        </w:rPr>
        <w:t>。</w:t>
      </w:r>
    </w:p>
    <w:p w14:paraId="757456CA">
      <w:pPr>
        <w:rPr>
          <w:rFonts w:cs="宋体"/>
          <w:b/>
          <w:bCs/>
          <w:sz w:val="28"/>
          <w:szCs w:val="28"/>
          <w:highlight w:val="none"/>
        </w:rPr>
      </w:pPr>
      <w:r>
        <w:rPr>
          <w:rFonts w:hint="eastAsia" w:cs="宋体"/>
          <w:b/>
          <w:bCs/>
          <w:sz w:val="28"/>
          <w:szCs w:val="28"/>
          <w:highlight w:val="none"/>
          <w:lang w:val="en-US" w:eastAsia="zh-CN"/>
        </w:rPr>
        <w:t>七</w:t>
      </w:r>
      <w:r>
        <w:rPr>
          <w:rFonts w:hint="eastAsia" w:cs="宋体"/>
          <w:b/>
          <w:bCs/>
          <w:sz w:val="28"/>
          <w:szCs w:val="28"/>
          <w:highlight w:val="none"/>
        </w:rPr>
        <w:t>、其他要求：</w:t>
      </w:r>
    </w:p>
    <w:p w14:paraId="2E8DD80B">
      <w:pPr>
        <w:spacing w:line="440" w:lineRule="exact"/>
        <w:ind w:firstLine="480" w:firstLineChars="200"/>
        <w:rPr>
          <w:rFonts w:hint="eastAsia" w:ascii="宋体" w:hAnsi="宋体" w:cs="宋体"/>
          <w:color w:val="000000"/>
          <w:sz w:val="24"/>
          <w:szCs w:val="24"/>
        </w:rPr>
      </w:pPr>
      <w:r>
        <w:rPr>
          <w:rFonts w:hint="eastAsia" w:ascii="宋体" w:hAnsi="宋体" w:cs="宋体"/>
          <w:sz w:val="24"/>
          <w:szCs w:val="24"/>
          <w:highlight w:val="none"/>
        </w:rPr>
        <w:t>1、本项目“</w:t>
      </w:r>
      <w:r>
        <w:rPr>
          <w:rFonts w:hint="eastAsia" w:ascii="宋体" w:hAnsi="宋体" w:cs="宋体"/>
          <w:sz w:val="24"/>
          <w:szCs w:val="24"/>
        </w:rPr>
        <w:t>项目需求”中标“★”的相关要求，为本磋商文件实质性要求，必须满足，</w:t>
      </w:r>
      <w:r>
        <w:rPr>
          <w:rFonts w:hint="eastAsia" w:ascii="宋体" w:hAnsi="宋体" w:cs="宋体"/>
          <w:color w:val="000000"/>
          <w:sz w:val="24"/>
          <w:szCs w:val="24"/>
        </w:rPr>
        <w:t>否则将失去竞争性磋商资格。</w:t>
      </w:r>
    </w:p>
    <w:p w14:paraId="5240EB63">
      <w:pPr>
        <w:spacing w:line="440" w:lineRule="exact"/>
        <w:rPr>
          <w:rFonts w:hint="default" w:cs="宋体"/>
          <w:b/>
          <w:bCs/>
          <w:sz w:val="28"/>
          <w:szCs w:val="28"/>
          <w:highlight w:val="none"/>
          <w:lang w:val="en-US" w:eastAsia="zh-CN"/>
        </w:rPr>
      </w:pPr>
      <w:r>
        <w:rPr>
          <w:rFonts w:hint="eastAsia" w:cs="宋体"/>
          <w:b/>
          <w:bCs/>
          <w:sz w:val="28"/>
          <w:szCs w:val="28"/>
          <w:highlight w:val="none"/>
          <w:lang w:val="en-US" w:eastAsia="zh-CN"/>
        </w:rPr>
        <w:t>八、其他说明</w:t>
      </w:r>
    </w:p>
    <w:p w14:paraId="49AA1399">
      <w:pPr>
        <w:spacing w:line="440" w:lineRule="exact"/>
        <w:ind w:firstLine="480"/>
        <w:rPr>
          <w:sz w:val="24"/>
          <w:szCs w:val="24"/>
          <w:highlight w:val="none"/>
        </w:rPr>
      </w:pPr>
      <w:r>
        <w:rPr>
          <w:rFonts w:hint="eastAsia"/>
          <w:sz w:val="24"/>
          <w:szCs w:val="24"/>
          <w:highlight w:val="none"/>
        </w:rPr>
        <w:t>1、</w:t>
      </w:r>
      <w:r>
        <w:rPr>
          <w:rFonts w:hint="eastAsia"/>
          <w:sz w:val="24"/>
          <w:szCs w:val="24"/>
          <w:highlight w:val="none"/>
          <w:lang w:eastAsia="zh-CN"/>
        </w:rPr>
        <w:t>成交供应商</w:t>
      </w:r>
      <w:r>
        <w:rPr>
          <w:rFonts w:hint="eastAsia"/>
          <w:sz w:val="24"/>
          <w:szCs w:val="24"/>
          <w:highlight w:val="none"/>
        </w:rPr>
        <w:t>须积极配合采购人和服务企业提供相关服务。</w:t>
      </w:r>
    </w:p>
    <w:p w14:paraId="2761F437">
      <w:pPr>
        <w:spacing w:line="440" w:lineRule="exact"/>
        <w:ind w:firstLine="480"/>
        <w:rPr>
          <w:b/>
          <w:bCs/>
          <w:sz w:val="24"/>
          <w:szCs w:val="24"/>
          <w:highlight w:val="none"/>
        </w:rPr>
      </w:pPr>
      <w:r>
        <w:rPr>
          <w:rFonts w:hint="eastAsia"/>
          <w:b/>
          <w:bCs/>
          <w:sz w:val="24"/>
          <w:szCs w:val="24"/>
          <w:highlight w:val="none"/>
        </w:rPr>
        <w:t>2、</w:t>
      </w:r>
      <w:r>
        <w:rPr>
          <w:rFonts w:hint="eastAsia"/>
          <w:b/>
          <w:bCs/>
          <w:sz w:val="24"/>
          <w:szCs w:val="24"/>
          <w:highlight w:val="none"/>
          <w:lang w:eastAsia="zh-CN"/>
        </w:rPr>
        <w:t>成交供应商</w:t>
      </w:r>
      <w:r>
        <w:rPr>
          <w:rFonts w:hint="eastAsia"/>
          <w:b/>
          <w:bCs/>
          <w:sz w:val="24"/>
          <w:szCs w:val="24"/>
          <w:highlight w:val="none"/>
        </w:rPr>
        <w:t>在</w:t>
      </w:r>
      <w:r>
        <w:rPr>
          <w:rFonts w:hint="eastAsia"/>
          <w:b/>
          <w:bCs/>
          <w:sz w:val="24"/>
          <w:szCs w:val="24"/>
          <w:highlight w:val="none"/>
          <w:lang w:eastAsia="zh-CN"/>
        </w:rPr>
        <w:t>响应文件</w:t>
      </w:r>
      <w:r>
        <w:rPr>
          <w:rFonts w:hint="eastAsia"/>
          <w:b/>
          <w:bCs/>
          <w:sz w:val="24"/>
          <w:szCs w:val="24"/>
          <w:highlight w:val="none"/>
        </w:rPr>
        <w:t>中拟投入人员即实际提供履约服务的人员，非经采购人允许，不得随意更换。如确需更换的，需保证服务人员的职称、证书、资历等要求不低于</w:t>
      </w:r>
      <w:r>
        <w:rPr>
          <w:rFonts w:hint="eastAsia"/>
          <w:b/>
          <w:bCs/>
          <w:sz w:val="24"/>
          <w:szCs w:val="24"/>
          <w:highlight w:val="none"/>
          <w:lang w:eastAsia="zh-CN"/>
        </w:rPr>
        <w:t>响应文件</w:t>
      </w:r>
      <w:r>
        <w:rPr>
          <w:rFonts w:hint="eastAsia"/>
          <w:b/>
          <w:bCs/>
          <w:sz w:val="24"/>
          <w:szCs w:val="24"/>
          <w:highlight w:val="none"/>
        </w:rPr>
        <w:t>中拟投入人员。</w:t>
      </w:r>
    </w:p>
    <w:p w14:paraId="3B752AE5">
      <w:pPr>
        <w:spacing w:line="440" w:lineRule="exact"/>
        <w:ind w:firstLine="480"/>
        <w:rPr>
          <w:rFonts w:hint="eastAsia" w:ascii="Times New Roman" w:hAnsi="Times New Roman" w:cs="Times New Roman"/>
          <w:sz w:val="24"/>
          <w:szCs w:val="24"/>
          <w:highlight w:val="none"/>
        </w:rPr>
      </w:pPr>
      <w:r>
        <w:rPr>
          <w:rFonts w:hint="eastAsia" w:ascii="Times New Roman" w:hAnsi="Times New Roman" w:cs="Times New Roman"/>
          <w:sz w:val="24"/>
          <w:szCs w:val="24"/>
          <w:highlight w:val="none"/>
        </w:rPr>
        <w:t>3</w:t>
      </w:r>
      <w:r>
        <w:rPr>
          <w:rFonts w:hint="eastAsia" w:ascii="Times New Roman" w:hAnsi="Times New Roman" w:eastAsia="Times New Roman" w:cs="Times New Roman"/>
          <w:sz w:val="24"/>
          <w:szCs w:val="24"/>
          <w:highlight w:val="none"/>
        </w:rPr>
        <w:t>、</w:t>
      </w:r>
      <w:r>
        <w:rPr>
          <w:rFonts w:hint="eastAsia" w:ascii="Times New Roman" w:hAnsi="Times New Roman" w:eastAsia="宋体" w:cs="Times New Roman"/>
          <w:sz w:val="24"/>
          <w:szCs w:val="24"/>
          <w:highlight w:val="none"/>
          <w:lang w:eastAsia="zh-CN"/>
        </w:rPr>
        <w:t>成交供应商</w:t>
      </w:r>
      <w:r>
        <w:rPr>
          <w:rFonts w:hint="eastAsia" w:ascii="Times New Roman" w:hAnsi="Times New Roman" w:eastAsia="Times New Roman" w:cs="Times New Roman"/>
          <w:sz w:val="24"/>
          <w:szCs w:val="24"/>
          <w:highlight w:val="none"/>
        </w:rPr>
        <w:t>在中标后需列出详细工作方案经</w:t>
      </w:r>
      <w:r>
        <w:rPr>
          <w:rFonts w:hint="eastAsia" w:ascii="Times New Roman" w:hAnsi="Times New Roman" w:eastAsia="宋体" w:cs="Times New Roman"/>
          <w:sz w:val="24"/>
          <w:szCs w:val="24"/>
          <w:highlight w:val="none"/>
          <w:lang w:eastAsia="zh-CN"/>
        </w:rPr>
        <w:t>采购人</w:t>
      </w:r>
      <w:r>
        <w:rPr>
          <w:rFonts w:hint="eastAsia" w:ascii="Times New Roman" w:hAnsi="Times New Roman" w:eastAsia="Times New Roman" w:cs="Times New Roman"/>
          <w:sz w:val="24"/>
          <w:szCs w:val="24"/>
          <w:highlight w:val="none"/>
        </w:rPr>
        <w:t>确认。未按要求完成工作量的按违约责任执行</w:t>
      </w:r>
      <w:r>
        <w:rPr>
          <w:rFonts w:hint="eastAsia" w:ascii="Times New Roman" w:hAnsi="Times New Roman" w:cs="Times New Roman"/>
          <w:sz w:val="24"/>
          <w:szCs w:val="24"/>
          <w:highlight w:val="none"/>
        </w:rPr>
        <w:t>。</w:t>
      </w:r>
    </w:p>
    <w:p w14:paraId="3731C09F">
      <w:pPr>
        <w:spacing w:line="440" w:lineRule="exact"/>
        <w:ind w:firstLine="480"/>
        <w:rPr>
          <w:sz w:val="24"/>
          <w:szCs w:val="24"/>
          <w:highlight w:val="none"/>
        </w:rPr>
      </w:pPr>
      <w:r>
        <w:rPr>
          <w:rFonts w:hint="eastAsia"/>
          <w:sz w:val="24"/>
          <w:szCs w:val="24"/>
          <w:highlight w:val="none"/>
        </w:rPr>
        <w:t>4、采购人根据</w:t>
      </w:r>
      <w:r>
        <w:rPr>
          <w:rFonts w:hint="eastAsia"/>
          <w:sz w:val="24"/>
          <w:szCs w:val="24"/>
          <w:highlight w:val="none"/>
          <w:lang w:eastAsia="zh-CN"/>
        </w:rPr>
        <w:t>磋商文件</w:t>
      </w:r>
      <w:r>
        <w:rPr>
          <w:rFonts w:hint="eastAsia"/>
          <w:sz w:val="24"/>
          <w:szCs w:val="24"/>
          <w:highlight w:val="none"/>
        </w:rPr>
        <w:t>中的采购服务要求和</w:t>
      </w:r>
      <w:r>
        <w:rPr>
          <w:rFonts w:hint="eastAsia"/>
          <w:sz w:val="24"/>
          <w:szCs w:val="24"/>
          <w:highlight w:val="none"/>
          <w:lang w:eastAsia="zh-CN"/>
        </w:rPr>
        <w:t>成交供应商</w:t>
      </w:r>
      <w:r>
        <w:rPr>
          <w:rFonts w:hint="eastAsia"/>
          <w:sz w:val="24"/>
          <w:szCs w:val="24"/>
          <w:highlight w:val="none"/>
        </w:rPr>
        <w:t>投标承诺的内容对其服务工作进行验收，并核实提供服务人员与</w:t>
      </w:r>
      <w:r>
        <w:rPr>
          <w:rFonts w:hint="eastAsia"/>
          <w:sz w:val="24"/>
          <w:szCs w:val="24"/>
          <w:highlight w:val="none"/>
          <w:lang w:eastAsia="zh-CN"/>
        </w:rPr>
        <w:t>响应文件</w:t>
      </w:r>
      <w:r>
        <w:rPr>
          <w:rFonts w:hint="eastAsia"/>
          <w:sz w:val="24"/>
          <w:szCs w:val="24"/>
          <w:highlight w:val="none"/>
        </w:rPr>
        <w:t>中拟投入人员的一致性，</w:t>
      </w:r>
      <w:r>
        <w:rPr>
          <w:rFonts w:hint="eastAsia"/>
          <w:sz w:val="24"/>
          <w:szCs w:val="24"/>
          <w:highlight w:val="none"/>
          <w:lang w:eastAsia="zh-CN"/>
        </w:rPr>
        <w:t>成交供应商</w:t>
      </w:r>
      <w:r>
        <w:rPr>
          <w:rFonts w:hint="eastAsia"/>
          <w:sz w:val="24"/>
          <w:szCs w:val="24"/>
          <w:highlight w:val="none"/>
        </w:rPr>
        <w:t>按照验收结果承担相应责任。</w:t>
      </w:r>
    </w:p>
    <w:p w14:paraId="61039FFB">
      <w:pPr>
        <w:spacing w:line="440" w:lineRule="exact"/>
        <w:ind w:firstLine="480"/>
        <w:rPr>
          <w:sz w:val="24"/>
          <w:szCs w:val="24"/>
          <w:highlight w:val="none"/>
        </w:rPr>
      </w:pPr>
      <w:r>
        <w:rPr>
          <w:rFonts w:hint="eastAsia"/>
          <w:sz w:val="24"/>
          <w:szCs w:val="24"/>
          <w:highlight w:val="none"/>
        </w:rPr>
        <w:t>5、</w:t>
      </w:r>
      <w:r>
        <w:rPr>
          <w:rFonts w:hint="eastAsia"/>
          <w:sz w:val="24"/>
          <w:szCs w:val="24"/>
          <w:highlight w:val="none"/>
          <w:lang w:eastAsia="zh-CN"/>
        </w:rPr>
        <w:t>成交供应商</w:t>
      </w:r>
      <w:r>
        <w:rPr>
          <w:rFonts w:hint="eastAsia"/>
          <w:sz w:val="24"/>
          <w:szCs w:val="24"/>
          <w:highlight w:val="none"/>
        </w:rPr>
        <w:t>及其专业人员应当遵守保密原则，对服务过程中所了解或知悉或获取的一切信息、国家秘密、商业秘密和个人隐予以保密，在合同服务期内及合同解除或终止后均不得向采购人以外的第三方提供保密信息，除非得到采购人的同意或者属于法律、行政法规允许的范围。</w:t>
      </w:r>
    </w:p>
    <w:p w14:paraId="5E93C472">
      <w:pPr>
        <w:spacing w:line="440" w:lineRule="exact"/>
        <w:ind w:firstLine="480"/>
        <w:rPr>
          <w:sz w:val="24"/>
          <w:szCs w:val="24"/>
          <w:highlight w:val="none"/>
        </w:rPr>
      </w:pPr>
      <w:r>
        <w:rPr>
          <w:rFonts w:hint="eastAsia"/>
          <w:sz w:val="24"/>
          <w:szCs w:val="24"/>
          <w:highlight w:val="none"/>
        </w:rPr>
        <w:t>6、</w:t>
      </w:r>
      <w:r>
        <w:rPr>
          <w:rFonts w:hint="eastAsia"/>
          <w:sz w:val="24"/>
          <w:szCs w:val="24"/>
          <w:highlight w:val="none"/>
          <w:lang w:eastAsia="zh-CN"/>
        </w:rPr>
        <w:t>成交供应商</w:t>
      </w:r>
      <w:r>
        <w:rPr>
          <w:rFonts w:hint="eastAsia"/>
          <w:sz w:val="24"/>
          <w:szCs w:val="24"/>
          <w:highlight w:val="none"/>
        </w:rPr>
        <w:t>应对项目组成员做好安全培训，在项目实施过程中应注意人员和财产安全，如造成相关人员安全和财产损失问题的，一律由</w:t>
      </w:r>
      <w:r>
        <w:rPr>
          <w:rFonts w:hint="eastAsia"/>
          <w:sz w:val="24"/>
          <w:szCs w:val="24"/>
          <w:highlight w:val="none"/>
          <w:lang w:eastAsia="zh-CN"/>
        </w:rPr>
        <w:t>成交供应商</w:t>
      </w:r>
      <w:r>
        <w:rPr>
          <w:rFonts w:hint="eastAsia"/>
          <w:sz w:val="24"/>
          <w:szCs w:val="24"/>
          <w:highlight w:val="none"/>
        </w:rPr>
        <w:t>全权承担负责，采购单位不承担任何责任。</w:t>
      </w:r>
    </w:p>
    <w:p w14:paraId="511754FB">
      <w:pPr>
        <w:spacing w:line="440" w:lineRule="exact"/>
        <w:ind w:firstLine="480"/>
        <w:rPr>
          <w:sz w:val="24"/>
          <w:szCs w:val="24"/>
          <w:highlight w:val="none"/>
        </w:rPr>
      </w:pPr>
      <w:r>
        <w:rPr>
          <w:rFonts w:hint="eastAsia"/>
          <w:sz w:val="24"/>
          <w:szCs w:val="24"/>
          <w:highlight w:val="none"/>
        </w:rPr>
        <w:t>7、</w:t>
      </w:r>
      <w:r>
        <w:rPr>
          <w:rFonts w:hint="eastAsia"/>
          <w:sz w:val="24"/>
          <w:szCs w:val="24"/>
          <w:highlight w:val="none"/>
          <w:lang w:eastAsia="zh-CN"/>
        </w:rPr>
        <w:t>成交供应商</w:t>
      </w:r>
      <w:r>
        <w:rPr>
          <w:rFonts w:hint="eastAsia"/>
          <w:sz w:val="24"/>
          <w:szCs w:val="24"/>
          <w:highlight w:val="none"/>
        </w:rPr>
        <w:t>应能保证所提供服务涉及到的知识产权是合法取得，并享有完整的知识产权，不会因为需方的使用而被责令停止使用、追偿或要求赔偿损失，如出现此情况，一切经济和法律责任均由供方承担。</w:t>
      </w:r>
      <w:r>
        <w:rPr>
          <w:rFonts w:hint="eastAsia"/>
          <w:sz w:val="24"/>
          <w:szCs w:val="24"/>
          <w:highlight w:val="none"/>
          <w:lang w:eastAsia="zh-CN"/>
        </w:rPr>
        <w:t>成交供应商</w:t>
      </w:r>
      <w:r>
        <w:rPr>
          <w:rFonts w:hint="eastAsia"/>
          <w:sz w:val="24"/>
          <w:szCs w:val="24"/>
          <w:highlight w:val="none"/>
        </w:rPr>
        <w:t>提供的所有服务必须质量符合国际或国家通用标准，如出现质量问题，</w:t>
      </w:r>
      <w:r>
        <w:rPr>
          <w:rFonts w:hint="eastAsia"/>
          <w:sz w:val="24"/>
          <w:szCs w:val="24"/>
          <w:highlight w:val="none"/>
          <w:lang w:eastAsia="zh-CN"/>
        </w:rPr>
        <w:t>成交供应商</w:t>
      </w:r>
      <w:r>
        <w:rPr>
          <w:rFonts w:hint="eastAsia"/>
          <w:sz w:val="24"/>
          <w:szCs w:val="24"/>
          <w:highlight w:val="none"/>
        </w:rPr>
        <w:t>负责更正，发生的费用由</w:t>
      </w:r>
      <w:r>
        <w:rPr>
          <w:rFonts w:hint="eastAsia"/>
          <w:sz w:val="24"/>
          <w:szCs w:val="24"/>
          <w:highlight w:val="none"/>
          <w:lang w:eastAsia="zh-CN"/>
        </w:rPr>
        <w:t>成交供应商</w:t>
      </w:r>
      <w:r>
        <w:rPr>
          <w:rFonts w:hint="eastAsia"/>
          <w:sz w:val="24"/>
          <w:szCs w:val="24"/>
          <w:highlight w:val="none"/>
        </w:rPr>
        <w:t>负责。</w:t>
      </w:r>
    </w:p>
    <w:p w14:paraId="71CC2D98">
      <w:pPr>
        <w:spacing w:line="440" w:lineRule="exact"/>
        <w:ind w:firstLine="513" w:firstLineChars="214"/>
        <w:rPr>
          <w:rFonts w:ascii="宋体" w:hAnsi="宋体" w:cs="宋体"/>
          <w:color w:val="000000"/>
          <w:sz w:val="24"/>
          <w:szCs w:val="24"/>
          <w:highlight w:val="none"/>
        </w:rPr>
      </w:pPr>
    </w:p>
    <w:p w14:paraId="7E3D0FE1">
      <w:pPr>
        <w:pStyle w:val="4"/>
        <w:rPr>
          <w:rStyle w:val="224"/>
          <w:b/>
          <w:szCs w:val="22"/>
        </w:rPr>
      </w:pPr>
      <w:r>
        <w:rPr>
          <w:rFonts w:hint="eastAsia" w:ascii="宋体" w:hAnsi="宋体" w:cs="宋体"/>
          <w:sz w:val="24"/>
          <w:szCs w:val="24"/>
        </w:rPr>
        <w:br w:type="page" w:clear="all"/>
      </w:r>
      <w:bookmarkEnd w:id="40"/>
      <w:bookmarkStart w:id="64" w:name="_Toc103080651"/>
      <w:bookmarkStart w:id="65" w:name="_Toc7422"/>
      <w:bookmarkStart w:id="66" w:name="_Toc159312657"/>
      <w:r>
        <w:rPr>
          <w:szCs w:val="22"/>
        </w:rPr>
        <w:t>第</w:t>
      </w:r>
      <w:r>
        <w:rPr>
          <w:rFonts w:hint="eastAsia"/>
          <w:szCs w:val="22"/>
        </w:rPr>
        <w:t>五</w:t>
      </w:r>
      <w:r>
        <w:rPr>
          <w:szCs w:val="22"/>
        </w:rPr>
        <w:t xml:space="preserve">章  </w:t>
      </w:r>
      <w:bookmarkEnd w:id="64"/>
      <w:r>
        <w:rPr>
          <w:rFonts w:hint="eastAsia"/>
          <w:bCs/>
          <w:szCs w:val="22"/>
        </w:rPr>
        <w:t>评审方法与评审标准</w:t>
      </w:r>
      <w:bookmarkEnd w:id="65"/>
      <w:bookmarkEnd w:id="66"/>
    </w:p>
    <w:p w14:paraId="16872385">
      <w:pPr>
        <w:spacing w:line="440" w:lineRule="exact"/>
        <w:rPr>
          <w:b/>
          <w:bCs/>
          <w:sz w:val="28"/>
          <w:szCs w:val="28"/>
        </w:rPr>
      </w:pPr>
      <w:r>
        <w:rPr>
          <w:b/>
          <w:bCs/>
          <w:sz w:val="28"/>
          <w:szCs w:val="28"/>
        </w:rPr>
        <w:t>一、评审方法</w:t>
      </w:r>
      <w:r>
        <w:rPr>
          <w:rFonts w:hint="eastAsia"/>
          <w:b/>
          <w:bCs/>
          <w:sz w:val="28"/>
          <w:szCs w:val="28"/>
        </w:rPr>
        <w:t>：</w:t>
      </w:r>
    </w:p>
    <w:p w14:paraId="44D6A17C">
      <w:pPr>
        <w:spacing w:line="440" w:lineRule="exact"/>
        <w:ind w:firstLine="470"/>
        <w:rPr>
          <w:sz w:val="24"/>
          <w:szCs w:val="24"/>
        </w:rPr>
      </w:pPr>
      <w:r>
        <w:rPr>
          <w:sz w:val="24"/>
          <w:szCs w:val="24"/>
        </w:rPr>
        <w:t>本项目采用综合评分法</w:t>
      </w:r>
      <w:r>
        <w:rPr>
          <w:rFonts w:hint="eastAsia"/>
          <w:sz w:val="24"/>
          <w:szCs w:val="24"/>
        </w:rPr>
        <w:t>。</w:t>
      </w:r>
      <w:r>
        <w:rPr>
          <w:sz w:val="24"/>
          <w:szCs w:val="24"/>
        </w:rPr>
        <w:t>注：每部分的得分保留小数点后两位，合计得分保留小数点后两位。</w:t>
      </w:r>
    </w:p>
    <w:p w14:paraId="07191650">
      <w:pPr>
        <w:spacing w:line="440" w:lineRule="exact"/>
        <w:rPr>
          <w:b/>
          <w:bCs/>
          <w:sz w:val="28"/>
          <w:szCs w:val="28"/>
        </w:rPr>
      </w:pPr>
      <w:r>
        <w:rPr>
          <w:b/>
          <w:bCs/>
          <w:sz w:val="28"/>
          <w:szCs w:val="28"/>
        </w:rPr>
        <w:t>二、评审因素、权值及评分标准</w:t>
      </w:r>
      <w:r>
        <w:rPr>
          <w:rFonts w:hint="eastAsia"/>
          <w:b/>
          <w:bCs/>
          <w:sz w:val="28"/>
          <w:szCs w:val="28"/>
        </w:rPr>
        <w:t>：</w:t>
      </w:r>
    </w:p>
    <w:p w14:paraId="2C568841">
      <w:pPr>
        <w:spacing w:line="440" w:lineRule="exact"/>
        <w:ind w:firstLine="482"/>
        <w:rPr>
          <w:b/>
          <w:bCs/>
          <w:sz w:val="24"/>
          <w:szCs w:val="24"/>
        </w:rPr>
      </w:pPr>
      <w:r>
        <w:rPr>
          <w:rFonts w:hint="eastAsia"/>
          <w:b/>
          <w:bCs/>
          <w:sz w:val="24"/>
          <w:szCs w:val="24"/>
        </w:rPr>
        <w:t>1、最后报价</w:t>
      </w:r>
      <w:r>
        <w:rPr>
          <w:rFonts w:hint="eastAsia"/>
          <w:b/>
          <w:bCs/>
          <w:sz w:val="24"/>
          <w:szCs w:val="24"/>
          <w:lang w:val="en-US" w:eastAsia="zh-CN"/>
        </w:rPr>
        <w:t>25</w:t>
      </w:r>
      <w:r>
        <w:rPr>
          <w:rFonts w:hint="eastAsia"/>
          <w:b/>
          <w:bCs/>
          <w:sz w:val="24"/>
          <w:szCs w:val="24"/>
        </w:rPr>
        <w:t>分</w:t>
      </w:r>
    </w:p>
    <w:p w14:paraId="570F5AD5">
      <w:pPr>
        <w:tabs>
          <w:tab w:val="left" w:pos="0"/>
        </w:tabs>
        <w:spacing w:line="460" w:lineRule="exact"/>
        <w:ind w:right="-27" w:firstLine="480"/>
        <w:rPr>
          <w:rFonts w:hint="eastAsia"/>
          <w:sz w:val="24"/>
          <w:szCs w:val="24"/>
        </w:rPr>
      </w:pPr>
      <w:r>
        <w:rPr>
          <w:rFonts w:hint="eastAsia"/>
          <w:sz w:val="24"/>
          <w:szCs w:val="24"/>
        </w:rPr>
        <w:t>满足磋商文件要求且最后报价最低的供应商的价格为磋商基准价，其价格分为</w:t>
      </w:r>
      <w:r>
        <w:rPr>
          <w:rFonts w:hint="eastAsia"/>
          <w:sz w:val="24"/>
          <w:szCs w:val="24"/>
          <w:lang w:val="en-US" w:eastAsia="zh-CN"/>
        </w:rPr>
        <w:t>25</w:t>
      </w:r>
      <w:r>
        <w:rPr>
          <w:rFonts w:hint="eastAsia"/>
          <w:sz w:val="24"/>
          <w:szCs w:val="24"/>
        </w:rPr>
        <w:t>分；其他供应商的价格分按下列公式计算：磋商报价得分＝（磋商基准价／最后磋商报价）×</w:t>
      </w:r>
      <w:r>
        <w:rPr>
          <w:rFonts w:hint="eastAsia"/>
          <w:sz w:val="24"/>
          <w:szCs w:val="24"/>
          <w:lang w:val="en-US" w:eastAsia="zh-CN"/>
        </w:rPr>
        <w:t>25</w:t>
      </w:r>
      <w:r>
        <w:rPr>
          <w:rFonts w:hint="eastAsia"/>
          <w:sz w:val="24"/>
          <w:szCs w:val="24"/>
        </w:rPr>
        <w:t>分。</w:t>
      </w:r>
    </w:p>
    <w:p w14:paraId="20AF69C6">
      <w:pPr>
        <w:spacing w:line="460" w:lineRule="exact"/>
        <w:ind w:firstLine="480" w:firstLineChars="200"/>
        <w:rPr>
          <w:rFonts w:hint="eastAsia" w:asciiTheme="minorEastAsia" w:hAnsiTheme="minorEastAsia" w:eastAsiaTheme="minorEastAsia" w:cstheme="minorEastAsia"/>
          <w:sz w:val="24"/>
          <w:szCs w:val="22"/>
          <w:highlight w:val="none"/>
        </w:rPr>
      </w:pPr>
      <w:r>
        <w:rPr>
          <w:rFonts w:hint="eastAsia" w:asciiTheme="minorEastAsia" w:hAnsiTheme="minorEastAsia" w:eastAsiaTheme="minorEastAsia" w:cstheme="minorEastAsia"/>
          <w:sz w:val="24"/>
          <w:szCs w:val="22"/>
          <w:highlight w:val="none"/>
        </w:rPr>
        <w:t>异常低价审查</w:t>
      </w:r>
    </w:p>
    <w:p w14:paraId="3B791A58">
      <w:pPr>
        <w:tabs>
          <w:tab w:val="left" w:pos="0"/>
        </w:tabs>
        <w:spacing w:line="460" w:lineRule="exact"/>
        <w:ind w:right="-27" w:firstLine="480"/>
        <w:rPr>
          <w:rFonts w:hint="eastAsia"/>
          <w:sz w:val="24"/>
          <w:szCs w:val="24"/>
        </w:rPr>
      </w:pPr>
      <w:r>
        <w:rPr>
          <w:rFonts w:hint="eastAsia"/>
          <w:sz w:val="24"/>
          <w:szCs w:val="24"/>
        </w:rPr>
        <w:t>（一）采购人应当在采购文件中明确，政府采购评审中出现下列情形之一的，评审委员</w:t>
      </w:r>
    </w:p>
    <w:p w14:paraId="4B7E9493">
      <w:pPr>
        <w:tabs>
          <w:tab w:val="left" w:pos="0"/>
        </w:tabs>
        <w:spacing w:line="460" w:lineRule="exact"/>
        <w:ind w:right="-27" w:firstLine="480"/>
        <w:rPr>
          <w:rFonts w:hint="eastAsia"/>
          <w:sz w:val="24"/>
          <w:szCs w:val="24"/>
        </w:rPr>
      </w:pPr>
      <w:r>
        <w:rPr>
          <w:rFonts w:hint="eastAsia"/>
          <w:sz w:val="24"/>
          <w:szCs w:val="24"/>
        </w:rPr>
        <w:t>会应当启动异常低价投标（响应）审查程序：</w:t>
      </w:r>
    </w:p>
    <w:p w14:paraId="104FB2B5">
      <w:pPr>
        <w:tabs>
          <w:tab w:val="left" w:pos="0"/>
        </w:tabs>
        <w:spacing w:line="460" w:lineRule="exact"/>
        <w:ind w:right="-27" w:firstLine="480"/>
        <w:rPr>
          <w:rFonts w:hint="eastAsia"/>
          <w:sz w:val="24"/>
          <w:szCs w:val="24"/>
          <w:highlight w:val="none"/>
        </w:rPr>
      </w:pPr>
      <w:r>
        <w:rPr>
          <w:rFonts w:hint="eastAsia"/>
          <w:sz w:val="24"/>
          <w:szCs w:val="24"/>
          <w:highlight w:val="none"/>
        </w:rPr>
        <w:t>1.投标（响应）报价低于全部通过符合性审查供应商投标（响应）报价平均值50%的，即投标（响应）报价&lt;全部通过符合性审查供应商投标（响应）报价平均值×50%；</w:t>
      </w:r>
    </w:p>
    <w:p w14:paraId="7FAA1034">
      <w:pPr>
        <w:tabs>
          <w:tab w:val="left" w:pos="0"/>
        </w:tabs>
        <w:spacing w:line="460" w:lineRule="exact"/>
        <w:ind w:right="-27" w:firstLine="480"/>
        <w:rPr>
          <w:rFonts w:hint="eastAsia"/>
          <w:sz w:val="24"/>
          <w:szCs w:val="24"/>
          <w:highlight w:val="none"/>
        </w:rPr>
      </w:pPr>
      <w:r>
        <w:rPr>
          <w:rFonts w:hint="eastAsia"/>
          <w:sz w:val="24"/>
          <w:szCs w:val="24"/>
          <w:highlight w:val="none"/>
        </w:rPr>
        <w:t>2.投标（响应）报价低于通过符合性审查的次低报价供应商投标（响应）报价50%的，即投标（响应）报价&lt;通过符合性审查的次低报价供应商投标（响应）报价×50%；</w:t>
      </w:r>
    </w:p>
    <w:p w14:paraId="336C7739">
      <w:pPr>
        <w:tabs>
          <w:tab w:val="left" w:pos="0"/>
        </w:tabs>
        <w:spacing w:line="460" w:lineRule="exact"/>
        <w:ind w:right="-27" w:firstLine="480"/>
        <w:rPr>
          <w:rFonts w:hint="eastAsia"/>
          <w:sz w:val="24"/>
          <w:szCs w:val="24"/>
          <w:highlight w:val="none"/>
        </w:rPr>
      </w:pPr>
      <w:r>
        <w:rPr>
          <w:rFonts w:hint="eastAsia"/>
          <w:sz w:val="24"/>
          <w:szCs w:val="24"/>
          <w:highlight w:val="none"/>
        </w:rPr>
        <w:t>3.投标（响应）报价低于采购项目最高限价45%的，即投标（响应）报价&lt;采购项目最高限价×45%；</w:t>
      </w:r>
    </w:p>
    <w:p w14:paraId="750097C1">
      <w:pPr>
        <w:tabs>
          <w:tab w:val="left" w:pos="0"/>
        </w:tabs>
        <w:spacing w:line="460" w:lineRule="exact"/>
        <w:ind w:right="-27" w:firstLine="480"/>
        <w:rPr>
          <w:rFonts w:hint="eastAsia"/>
          <w:sz w:val="24"/>
          <w:szCs w:val="24"/>
          <w:highlight w:val="none"/>
        </w:rPr>
      </w:pPr>
      <w:r>
        <w:rPr>
          <w:rFonts w:hint="eastAsia"/>
          <w:sz w:val="24"/>
          <w:szCs w:val="24"/>
          <w:highlight w:val="none"/>
        </w:rPr>
        <w:t>4.评审委员会基于专业判断，认为供应商报价过低，有可能影响产品质量或者不能诚信履约的其他情形。</w:t>
      </w:r>
    </w:p>
    <w:p w14:paraId="2AB0134A">
      <w:pPr>
        <w:tabs>
          <w:tab w:val="left" w:pos="0"/>
        </w:tabs>
        <w:spacing w:line="460" w:lineRule="exact"/>
        <w:ind w:right="-27" w:firstLine="480"/>
        <w:rPr>
          <w:rFonts w:hint="eastAsia"/>
          <w:sz w:val="24"/>
          <w:szCs w:val="24"/>
          <w:highlight w:val="none"/>
        </w:rPr>
      </w:pPr>
      <w:r>
        <w:rPr>
          <w:rFonts w:hint="eastAsia"/>
          <w:sz w:val="24"/>
          <w:szCs w:val="24"/>
          <w:highlight w:val="none"/>
        </w:rPr>
        <w:t>采购人可以结合具体项目实际情况，提高上述第1项至第3项中启动异常低价投标（响应）审查的数值标准，但是最高不得超过65%。</w:t>
      </w:r>
    </w:p>
    <w:p w14:paraId="49550282">
      <w:pPr>
        <w:tabs>
          <w:tab w:val="left" w:pos="0"/>
        </w:tabs>
        <w:spacing w:line="460" w:lineRule="exact"/>
        <w:ind w:right="-27" w:firstLine="480"/>
        <w:rPr>
          <w:rFonts w:hint="eastAsia"/>
          <w:sz w:val="24"/>
          <w:szCs w:val="24"/>
          <w:highlight w:val="none"/>
        </w:rPr>
      </w:pPr>
      <w:r>
        <w:rPr>
          <w:rFonts w:hint="eastAsia"/>
          <w:sz w:val="24"/>
          <w:szCs w:val="24"/>
          <w:highlight w:val="none"/>
        </w:rPr>
        <w:t>相关法律法规对供应商报价有规定的，从其规定。</w:t>
      </w:r>
    </w:p>
    <w:p w14:paraId="736FD01C">
      <w:pPr>
        <w:tabs>
          <w:tab w:val="left" w:pos="0"/>
        </w:tabs>
        <w:spacing w:line="460" w:lineRule="exact"/>
        <w:ind w:right="-27" w:firstLine="480"/>
        <w:rPr>
          <w:rFonts w:hint="eastAsia"/>
          <w:sz w:val="24"/>
          <w:szCs w:val="24"/>
          <w:highlight w:val="none"/>
        </w:rPr>
      </w:pPr>
      <w:r>
        <w:rPr>
          <w:rFonts w:hint="eastAsia"/>
          <w:sz w:val="24"/>
          <w:szCs w:val="24"/>
          <w:highlight w:val="none"/>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0627BD5D">
      <w:pPr>
        <w:tabs>
          <w:tab w:val="left" w:pos="0"/>
        </w:tabs>
        <w:spacing w:line="460" w:lineRule="exact"/>
        <w:ind w:right="-27" w:firstLine="480"/>
        <w:rPr>
          <w:rFonts w:hint="eastAsia"/>
          <w:sz w:val="24"/>
          <w:szCs w:val="24"/>
          <w:highlight w:val="none"/>
        </w:rPr>
      </w:pPr>
      <w:r>
        <w:rPr>
          <w:rFonts w:hint="eastAsia"/>
          <w:sz w:val="24"/>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21F854A7">
      <w:pPr>
        <w:spacing w:line="440" w:lineRule="exact"/>
        <w:ind w:firstLine="482"/>
        <w:rPr>
          <w:b/>
          <w:bCs/>
          <w:sz w:val="24"/>
          <w:szCs w:val="24"/>
        </w:rPr>
      </w:pPr>
      <w:bookmarkStart w:id="67" w:name="_Toc4162799"/>
      <w:r>
        <w:rPr>
          <w:rFonts w:hint="eastAsia"/>
          <w:b/>
          <w:bCs/>
          <w:sz w:val="24"/>
          <w:szCs w:val="24"/>
        </w:rPr>
        <w:t>2、服务方案</w:t>
      </w:r>
      <w:r>
        <w:rPr>
          <w:rFonts w:hint="eastAsia"/>
          <w:b/>
          <w:bCs/>
          <w:sz w:val="24"/>
          <w:szCs w:val="24"/>
          <w:lang w:val="en-US" w:eastAsia="zh-CN"/>
        </w:rPr>
        <w:t>37</w:t>
      </w:r>
      <w:r>
        <w:rPr>
          <w:rFonts w:hint="eastAsia"/>
          <w:b/>
          <w:bCs/>
          <w:sz w:val="24"/>
          <w:szCs w:val="24"/>
        </w:rPr>
        <w:t>分</w:t>
      </w:r>
    </w:p>
    <w:tbl>
      <w:tblPr>
        <w:tblStyle w:val="55"/>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6"/>
        <w:gridCol w:w="1716"/>
        <w:gridCol w:w="780"/>
        <w:gridCol w:w="6434"/>
      </w:tblGrid>
      <w:tr w14:paraId="6FC03F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7F713C18">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序号</w:t>
            </w:r>
          </w:p>
        </w:tc>
        <w:tc>
          <w:tcPr>
            <w:tcW w:w="1716" w:type="dxa"/>
            <w:tcBorders>
              <w:top w:val="single" w:color="auto" w:sz="4" w:space="0"/>
              <w:left w:val="single" w:color="auto" w:sz="4" w:space="0"/>
              <w:bottom w:val="single" w:color="auto" w:sz="4" w:space="0"/>
              <w:right w:val="single" w:color="auto" w:sz="4" w:space="0"/>
            </w:tcBorders>
            <w:vAlign w:val="center"/>
          </w:tcPr>
          <w:p w14:paraId="528C8A25">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评审因素</w:t>
            </w:r>
          </w:p>
        </w:tc>
        <w:tc>
          <w:tcPr>
            <w:tcW w:w="780" w:type="dxa"/>
            <w:tcBorders>
              <w:top w:val="single" w:color="auto" w:sz="4" w:space="0"/>
              <w:left w:val="single" w:color="auto" w:sz="4" w:space="0"/>
              <w:bottom w:val="single" w:color="auto" w:sz="4" w:space="0"/>
              <w:right w:val="single" w:color="auto" w:sz="4" w:space="0"/>
            </w:tcBorders>
            <w:vAlign w:val="center"/>
          </w:tcPr>
          <w:p w14:paraId="2F35F9C9">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分值</w:t>
            </w:r>
          </w:p>
        </w:tc>
        <w:tc>
          <w:tcPr>
            <w:tcW w:w="6434" w:type="dxa"/>
            <w:tcBorders>
              <w:top w:val="single" w:color="auto" w:sz="4" w:space="0"/>
              <w:left w:val="single" w:color="auto" w:sz="4" w:space="0"/>
              <w:bottom w:val="single" w:color="auto" w:sz="4" w:space="0"/>
              <w:right w:val="single" w:color="auto" w:sz="4" w:space="0"/>
            </w:tcBorders>
            <w:vAlign w:val="center"/>
          </w:tcPr>
          <w:p w14:paraId="6C93FD97">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评分标准</w:t>
            </w:r>
          </w:p>
        </w:tc>
      </w:tr>
      <w:tr w14:paraId="4D7B1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001A01BB">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1</w:t>
            </w:r>
          </w:p>
        </w:tc>
        <w:tc>
          <w:tcPr>
            <w:tcW w:w="1716" w:type="dxa"/>
            <w:tcBorders>
              <w:top w:val="single" w:color="auto" w:sz="4" w:space="0"/>
              <w:left w:val="single" w:color="auto" w:sz="4" w:space="0"/>
              <w:bottom w:val="single" w:color="auto" w:sz="4" w:space="0"/>
              <w:right w:val="single" w:color="auto" w:sz="4" w:space="0"/>
            </w:tcBorders>
            <w:vAlign w:val="center"/>
          </w:tcPr>
          <w:p w14:paraId="51BF43D9">
            <w:pPr>
              <w:jc w:val="center"/>
              <w:rPr>
                <w:rFonts w:ascii="宋体" w:hAnsi="宋体"/>
                <w:bCs/>
                <w:color w:val="000000" w:themeColor="text1"/>
                <w:sz w:val="24"/>
                <w:szCs w:val="24"/>
                <w:highlight w:val="white"/>
                <w14:textFill>
                  <w14:solidFill>
                    <w14:schemeClr w14:val="tx1"/>
                  </w14:solidFill>
                </w14:textFill>
              </w:rPr>
            </w:pPr>
            <w:r>
              <w:rPr>
                <w:rFonts w:ascii="宋体" w:hAnsi="宋体"/>
                <w:color w:val="000000" w:themeColor="text1"/>
                <w:sz w:val="24"/>
                <w:szCs w:val="22"/>
                <w:highlight w:val="white"/>
                <w14:textFill>
                  <w14:solidFill>
                    <w14:schemeClr w14:val="tx1"/>
                  </w14:solidFill>
                </w14:textFill>
              </w:rPr>
              <w:t>服务响应情况</w:t>
            </w:r>
          </w:p>
        </w:tc>
        <w:tc>
          <w:tcPr>
            <w:tcW w:w="780" w:type="dxa"/>
            <w:tcBorders>
              <w:top w:val="single" w:color="auto" w:sz="4" w:space="0"/>
              <w:left w:val="single" w:color="auto" w:sz="4" w:space="0"/>
              <w:bottom w:val="single" w:color="auto" w:sz="4" w:space="0"/>
              <w:right w:val="single" w:color="auto" w:sz="4" w:space="0"/>
            </w:tcBorders>
            <w:vAlign w:val="center"/>
          </w:tcPr>
          <w:p w14:paraId="3391EE1F">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2"/>
                <w:highlight w:val="white"/>
                <w:lang w:val="en-US" w:eastAsia="zh-CN"/>
                <w14:textFill>
                  <w14:solidFill>
                    <w14:schemeClr w14:val="tx1"/>
                  </w14:solidFill>
                </w14:textFill>
              </w:rPr>
              <w:t>7</w:t>
            </w:r>
            <w:r>
              <w:rPr>
                <w:rFonts w:ascii="宋体" w:hAnsi="宋体"/>
                <w:color w:val="000000" w:themeColor="text1"/>
                <w:sz w:val="24"/>
                <w:szCs w:val="22"/>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vAlign w:val="center"/>
          </w:tcPr>
          <w:p w14:paraId="03B51562">
            <w:pPr>
              <w:jc w:val="left"/>
              <w:rPr>
                <w:rFonts w:ascii="宋体" w:hAnsi="宋体"/>
                <w:bCs/>
                <w:color w:val="000000" w:themeColor="text1"/>
                <w:sz w:val="24"/>
                <w:szCs w:val="24"/>
                <w:highlight w:val="white"/>
                <w14:textFill>
                  <w14:solidFill>
                    <w14:schemeClr w14:val="tx1"/>
                  </w14:solidFill>
                </w14:textFill>
              </w:rPr>
            </w:pPr>
            <w:r>
              <w:rPr>
                <w:rFonts w:ascii="宋体" w:hAnsi="宋体"/>
                <w:color w:val="000000" w:themeColor="text1"/>
                <w:sz w:val="24"/>
                <w:szCs w:val="22"/>
                <w:highlight w:val="white"/>
                <w14:textFill>
                  <w14:solidFill>
                    <w14:schemeClr w14:val="tx1"/>
                  </w14:solidFill>
                </w14:textFill>
              </w:rPr>
              <w:t>供应商承诺提供的服务全部满足</w:t>
            </w:r>
            <w:r>
              <w:rPr>
                <w:rFonts w:hint="eastAsia" w:ascii="宋体" w:hAnsi="宋体"/>
                <w:color w:val="000000" w:themeColor="text1"/>
                <w:sz w:val="24"/>
                <w:szCs w:val="22"/>
                <w:highlight w:val="white"/>
                <w14:textFill>
                  <w14:solidFill>
                    <w14:schemeClr w14:val="tx1"/>
                  </w14:solidFill>
                </w14:textFill>
              </w:rPr>
              <w:t>磋商</w:t>
            </w:r>
            <w:r>
              <w:rPr>
                <w:rFonts w:ascii="宋体" w:hAnsi="宋体"/>
                <w:color w:val="000000" w:themeColor="text1"/>
                <w:sz w:val="24"/>
                <w:szCs w:val="22"/>
                <w:highlight w:val="white"/>
                <w14:textFill>
                  <w14:solidFill>
                    <w14:schemeClr w14:val="tx1"/>
                  </w14:solidFill>
                </w14:textFill>
              </w:rPr>
              <w:t>文件要求的得</w:t>
            </w:r>
            <w:r>
              <w:rPr>
                <w:rFonts w:hint="eastAsia" w:ascii="宋体" w:hAnsi="宋体"/>
                <w:color w:val="000000" w:themeColor="text1"/>
                <w:sz w:val="24"/>
                <w:szCs w:val="22"/>
                <w:highlight w:val="white"/>
                <w:lang w:val="en-US" w:eastAsia="zh-CN"/>
                <w14:textFill>
                  <w14:solidFill>
                    <w14:schemeClr w14:val="tx1"/>
                  </w14:solidFill>
                </w14:textFill>
              </w:rPr>
              <w:t>7</w:t>
            </w:r>
            <w:r>
              <w:rPr>
                <w:rFonts w:ascii="宋体" w:hAnsi="宋体"/>
                <w:color w:val="000000" w:themeColor="text1"/>
                <w:sz w:val="24"/>
                <w:szCs w:val="22"/>
                <w:highlight w:val="white"/>
                <w14:textFill>
                  <w14:solidFill>
                    <w14:schemeClr w14:val="tx1"/>
                  </w14:solidFill>
                </w14:textFill>
              </w:rPr>
              <w:t>分；有</w:t>
            </w:r>
            <w:r>
              <w:rPr>
                <w:rFonts w:hint="eastAsia" w:ascii="宋体" w:hAnsi="宋体"/>
                <w:color w:val="000000" w:themeColor="text1"/>
                <w:sz w:val="24"/>
                <w:szCs w:val="22"/>
                <w:highlight w:val="white"/>
                <w14:textFill>
                  <w14:solidFill>
                    <w14:schemeClr w14:val="tx1"/>
                  </w14:solidFill>
                </w14:textFill>
              </w:rPr>
              <w:t>负</w:t>
            </w:r>
            <w:r>
              <w:rPr>
                <w:rFonts w:ascii="宋体" w:hAnsi="宋体"/>
                <w:color w:val="000000" w:themeColor="text1"/>
                <w:sz w:val="24"/>
                <w:szCs w:val="22"/>
                <w:highlight w:val="white"/>
                <w14:textFill>
                  <w14:solidFill>
                    <w14:schemeClr w14:val="tx1"/>
                  </w14:solidFill>
                </w14:textFill>
              </w:rPr>
              <w:t>偏离</w:t>
            </w:r>
            <w:r>
              <w:rPr>
                <w:rFonts w:hint="eastAsia" w:ascii="宋体" w:hAnsi="宋体"/>
                <w:color w:val="000000" w:themeColor="text1"/>
                <w:sz w:val="24"/>
                <w:szCs w:val="22"/>
                <w:highlight w:val="white"/>
                <w14:textFill>
                  <w14:solidFill>
                    <w14:schemeClr w14:val="tx1"/>
                  </w14:solidFill>
                </w14:textFill>
              </w:rPr>
              <w:t>条款的</w:t>
            </w:r>
            <w:r>
              <w:rPr>
                <w:rFonts w:ascii="宋体" w:hAnsi="宋体"/>
                <w:color w:val="000000" w:themeColor="text1"/>
                <w:sz w:val="24"/>
                <w:szCs w:val="22"/>
                <w:highlight w:val="white"/>
                <w14:textFill>
                  <w14:solidFill>
                    <w14:schemeClr w14:val="tx1"/>
                  </w14:solidFill>
                </w14:textFill>
              </w:rPr>
              <w:t>，每条扣</w:t>
            </w:r>
            <w:r>
              <w:rPr>
                <w:rFonts w:hint="eastAsia" w:ascii="宋体" w:hAnsi="宋体"/>
                <w:color w:val="000000" w:themeColor="text1"/>
                <w:sz w:val="24"/>
                <w:szCs w:val="22"/>
                <w:highlight w:val="white"/>
                <w14:textFill>
                  <w14:solidFill>
                    <w14:schemeClr w14:val="tx1"/>
                  </w14:solidFill>
                </w14:textFill>
              </w:rPr>
              <w:t>0.</w:t>
            </w:r>
            <w:r>
              <w:rPr>
                <w:rFonts w:hint="eastAsia" w:ascii="宋体" w:hAnsi="宋体"/>
                <w:color w:val="000000" w:themeColor="text1"/>
                <w:sz w:val="24"/>
                <w:szCs w:val="22"/>
                <w:highlight w:val="white"/>
                <w:lang w:val="en-US" w:eastAsia="zh-CN"/>
                <w14:textFill>
                  <w14:solidFill>
                    <w14:schemeClr w14:val="tx1"/>
                  </w14:solidFill>
                </w14:textFill>
              </w:rPr>
              <w:t>28</w:t>
            </w:r>
            <w:r>
              <w:rPr>
                <w:rFonts w:ascii="宋体" w:hAnsi="宋体"/>
                <w:color w:val="000000" w:themeColor="text1"/>
                <w:sz w:val="24"/>
                <w:szCs w:val="22"/>
                <w:highlight w:val="white"/>
                <w14:textFill>
                  <w14:solidFill>
                    <w14:schemeClr w14:val="tx1"/>
                  </w14:solidFill>
                </w14:textFill>
              </w:rPr>
              <w:t>分。</w:t>
            </w:r>
          </w:p>
        </w:tc>
      </w:tr>
      <w:tr w14:paraId="11B14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55DBB639">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2</w:t>
            </w:r>
          </w:p>
        </w:tc>
        <w:tc>
          <w:tcPr>
            <w:tcW w:w="1716" w:type="dxa"/>
            <w:tcBorders>
              <w:top w:val="single" w:color="auto" w:sz="4" w:space="0"/>
              <w:left w:val="single" w:color="auto" w:sz="4" w:space="0"/>
              <w:bottom w:val="single" w:color="auto" w:sz="4" w:space="0"/>
              <w:right w:val="single" w:color="auto" w:sz="4" w:space="0"/>
            </w:tcBorders>
            <w:vAlign w:val="center"/>
          </w:tcPr>
          <w:p w14:paraId="6145BA0D">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项目理解及需求分析</w:t>
            </w:r>
          </w:p>
        </w:tc>
        <w:tc>
          <w:tcPr>
            <w:tcW w:w="780" w:type="dxa"/>
            <w:tcBorders>
              <w:top w:val="single" w:color="auto" w:sz="4" w:space="0"/>
              <w:left w:val="single" w:color="auto" w:sz="4" w:space="0"/>
              <w:bottom w:val="single" w:color="auto" w:sz="4" w:space="0"/>
              <w:right w:val="single" w:color="auto" w:sz="4" w:space="0"/>
            </w:tcBorders>
            <w:vAlign w:val="center"/>
          </w:tcPr>
          <w:p w14:paraId="6D614D25">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4</w:t>
            </w:r>
            <w:r>
              <w:rPr>
                <w:rFonts w:ascii="宋体" w:hAnsi="宋体"/>
                <w:bCs/>
                <w:color w:val="000000" w:themeColor="text1"/>
                <w:sz w:val="24"/>
                <w:szCs w:val="24"/>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vAlign w:val="center"/>
          </w:tcPr>
          <w:p w14:paraId="3FFFC88F">
            <w:pPr>
              <w:jc w:val="left"/>
              <w:rPr>
                <w:rFonts w:ascii="宋体" w:hAnsi="宋体" w:eastAsia="宋体"/>
                <w:color w:val="000000" w:themeColor="text1"/>
                <w:sz w:val="24"/>
                <w:szCs w:val="22"/>
                <w:highlight w:val="white"/>
                <w14:textFill>
                  <w14:solidFill>
                    <w14:schemeClr w14:val="tx1"/>
                  </w14:solidFill>
                </w14:textFill>
              </w:rPr>
            </w:pPr>
            <w:r>
              <w:rPr>
                <w:rFonts w:ascii="宋体" w:hAnsi="宋体" w:eastAsia="宋体"/>
                <w:color w:val="000000" w:themeColor="text1"/>
                <w:sz w:val="24"/>
                <w:szCs w:val="22"/>
                <w:highlight w:val="white"/>
                <w14:textFill>
                  <w14:solidFill>
                    <w14:schemeClr w14:val="tx1"/>
                  </w14:solidFill>
                </w14:textFill>
              </w:rPr>
              <w:t>根据供应商</w:t>
            </w:r>
            <w:r>
              <w:rPr>
                <w:rFonts w:hint="eastAsia" w:ascii="宋体" w:hAnsi="宋体" w:eastAsia="宋体"/>
                <w:color w:val="000000" w:themeColor="text1"/>
                <w:sz w:val="24"/>
                <w:szCs w:val="22"/>
                <w:highlight w:val="white"/>
                <w14:textFill>
                  <w14:solidFill>
                    <w14:schemeClr w14:val="tx1"/>
                  </w14:solidFill>
                </w14:textFill>
              </w:rPr>
              <w:t>提供的</w:t>
            </w:r>
            <w:r>
              <w:rPr>
                <w:rFonts w:ascii="宋体" w:hAnsi="宋体" w:eastAsia="宋体"/>
                <w:color w:val="000000" w:themeColor="text1"/>
                <w:sz w:val="24"/>
                <w:szCs w:val="22"/>
                <w:highlight w:val="white"/>
                <w14:textFill>
                  <w14:solidFill>
                    <w14:schemeClr w14:val="tx1"/>
                  </w14:solidFill>
                </w14:textFill>
              </w:rPr>
              <w:t>项目需求的理解掌握</w:t>
            </w:r>
            <w:r>
              <w:rPr>
                <w:rFonts w:hint="eastAsia" w:ascii="宋体" w:hAnsi="宋体" w:eastAsia="宋体"/>
                <w:color w:val="000000" w:themeColor="text1"/>
                <w:sz w:val="24"/>
                <w:szCs w:val="22"/>
                <w:highlight w:val="white"/>
                <w14:textFill>
                  <w14:solidFill>
                    <w14:schemeClr w14:val="tx1"/>
                  </w14:solidFill>
                </w14:textFill>
              </w:rPr>
              <w:t>（具体包括①调查</w:t>
            </w:r>
            <w:r>
              <w:rPr>
                <w:rFonts w:ascii="宋体" w:hAnsi="宋体" w:eastAsia="宋体"/>
                <w:color w:val="000000" w:themeColor="text1"/>
                <w:sz w:val="24"/>
                <w:szCs w:val="22"/>
                <w:highlight w:val="white"/>
                <w14:textFill>
                  <w14:solidFill>
                    <w14:schemeClr w14:val="tx1"/>
                  </w14:solidFill>
                </w14:textFill>
              </w:rPr>
              <w:t>理念</w:t>
            </w:r>
            <w:r>
              <w:rPr>
                <w:rFonts w:hint="eastAsia" w:ascii="宋体" w:hAnsi="宋体" w:eastAsia="宋体"/>
                <w:color w:val="000000" w:themeColor="text1"/>
                <w:sz w:val="24"/>
                <w:szCs w:val="22"/>
                <w:highlight w:val="white"/>
                <w14:textFill>
                  <w14:solidFill>
                    <w14:schemeClr w14:val="tx1"/>
                  </w14:solidFill>
                </w14:textFill>
              </w:rPr>
              <w:t>；②</w:t>
            </w:r>
            <w:r>
              <w:rPr>
                <w:rFonts w:ascii="宋体" w:hAnsi="宋体" w:eastAsia="宋体"/>
                <w:color w:val="000000" w:themeColor="text1"/>
                <w:sz w:val="24"/>
                <w:szCs w:val="22"/>
                <w:highlight w:val="white"/>
                <w14:textFill>
                  <w14:solidFill>
                    <w14:schemeClr w14:val="tx1"/>
                  </w14:solidFill>
                </w14:textFill>
              </w:rPr>
              <w:t>任务要求</w:t>
            </w:r>
            <w:r>
              <w:rPr>
                <w:rFonts w:hint="eastAsia" w:ascii="宋体" w:hAnsi="宋体" w:eastAsia="宋体"/>
                <w:color w:val="000000" w:themeColor="text1"/>
                <w:sz w:val="24"/>
                <w:szCs w:val="22"/>
                <w:highlight w:val="white"/>
                <w14:textFill>
                  <w14:solidFill>
                    <w14:schemeClr w14:val="tx1"/>
                  </w14:solidFill>
                </w14:textFill>
              </w:rPr>
              <w:t>的</w:t>
            </w:r>
            <w:r>
              <w:rPr>
                <w:rFonts w:ascii="宋体" w:hAnsi="宋体" w:eastAsia="宋体"/>
                <w:color w:val="000000" w:themeColor="text1"/>
                <w:sz w:val="24"/>
                <w:szCs w:val="22"/>
                <w:highlight w:val="white"/>
                <w14:textFill>
                  <w14:solidFill>
                    <w14:schemeClr w14:val="tx1"/>
                  </w14:solidFill>
                </w14:textFill>
              </w:rPr>
              <w:t>理解</w:t>
            </w:r>
            <w:r>
              <w:rPr>
                <w:rFonts w:hint="eastAsia" w:ascii="宋体" w:hAnsi="宋体" w:eastAsia="宋体"/>
                <w:color w:val="000000" w:themeColor="text1"/>
                <w:sz w:val="24"/>
                <w:szCs w:val="22"/>
                <w:highlight w:val="white"/>
                <w14:textFill>
                  <w14:solidFill>
                    <w14:schemeClr w14:val="tx1"/>
                  </w14:solidFill>
                </w14:textFill>
              </w:rPr>
              <w:t>）</w:t>
            </w:r>
            <w:r>
              <w:rPr>
                <w:rFonts w:ascii="宋体" w:hAnsi="宋体" w:eastAsia="宋体"/>
                <w:color w:val="000000" w:themeColor="text1"/>
                <w:sz w:val="24"/>
                <w:szCs w:val="22"/>
                <w:highlight w:val="white"/>
                <w14:textFill>
                  <w14:solidFill>
                    <w14:schemeClr w14:val="tx1"/>
                  </w14:solidFill>
                </w14:textFill>
              </w:rPr>
              <w:t>进行评定</w:t>
            </w:r>
            <w:r>
              <w:rPr>
                <w:rFonts w:hint="eastAsia" w:ascii="宋体" w:hAnsi="宋体" w:eastAsia="宋体"/>
                <w:color w:val="000000" w:themeColor="text1"/>
                <w:sz w:val="24"/>
                <w:szCs w:val="22"/>
                <w:highlight w:val="white"/>
                <w14:textFill>
                  <w14:solidFill>
                    <w14:schemeClr w14:val="tx1"/>
                  </w14:solidFill>
                </w14:textFill>
              </w:rPr>
              <w:t>，</w:t>
            </w:r>
            <w:r>
              <w:rPr>
                <w:rFonts w:ascii="宋体" w:hAnsi="宋体" w:eastAsia="宋体"/>
                <w:color w:val="000000" w:themeColor="text1"/>
                <w:sz w:val="24"/>
                <w:szCs w:val="22"/>
                <w:highlight w:val="white"/>
                <w14:textFill>
                  <w14:solidFill>
                    <w14:schemeClr w14:val="tx1"/>
                  </w14:solidFill>
                </w14:textFill>
              </w:rPr>
              <w:t>本项最高得</w:t>
            </w:r>
            <w:r>
              <w:rPr>
                <w:rFonts w:hint="eastAsia" w:ascii="宋体" w:hAnsi="宋体" w:eastAsia="宋体"/>
                <w:color w:val="000000" w:themeColor="text1"/>
                <w:sz w:val="24"/>
                <w:szCs w:val="22"/>
                <w:highlight w:val="white"/>
                <w14:textFill>
                  <w14:solidFill>
                    <w14:schemeClr w14:val="tx1"/>
                  </w14:solidFill>
                </w14:textFill>
              </w:rPr>
              <w:t>4</w:t>
            </w:r>
            <w:r>
              <w:rPr>
                <w:rFonts w:ascii="宋体" w:hAnsi="宋体" w:eastAsia="宋体"/>
                <w:color w:val="000000" w:themeColor="text1"/>
                <w:sz w:val="24"/>
                <w:szCs w:val="22"/>
                <w:highlight w:val="white"/>
                <w14:textFill>
                  <w14:solidFill>
                    <w14:schemeClr w14:val="tx1"/>
                  </w14:solidFill>
                </w14:textFill>
              </w:rPr>
              <w:t>分。体现上述评审要点且内容贴合</w:t>
            </w:r>
            <w:r>
              <w:rPr>
                <w:rFonts w:hint="eastAsia" w:ascii="宋体" w:hAnsi="宋体" w:eastAsia="宋体"/>
                <w:color w:val="000000" w:themeColor="text1"/>
                <w:sz w:val="24"/>
                <w:szCs w:val="22"/>
                <w:highlight w:val="white"/>
                <w14:textFill>
                  <w14:solidFill>
                    <w14:schemeClr w14:val="tx1"/>
                  </w14:solidFill>
                </w14:textFill>
              </w:rPr>
              <w:t>项目</w:t>
            </w:r>
            <w:r>
              <w:rPr>
                <w:rFonts w:ascii="宋体" w:hAnsi="宋体" w:eastAsia="宋体"/>
                <w:color w:val="000000" w:themeColor="text1"/>
                <w:sz w:val="24"/>
                <w:szCs w:val="22"/>
                <w:highlight w:val="white"/>
                <w14:textFill>
                  <w14:solidFill>
                    <w14:schemeClr w14:val="tx1"/>
                  </w14:solidFill>
                </w14:textFill>
              </w:rPr>
              <w:t>需求的，每有一项得</w:t>
            </w:r>
            <w:r>
              <w:rPr>
                <w:rFonts w:hint="eastAsia" w:ascii="宋体" w:hAnsi="宋体" w:eastAsia="宋体"/>
                <w:color w:val="000000" w:themeColor="text1"/>
                <w:sz w:val="24"/>
                <w:szCs w:val="22"/>
                <w:highlight w:val="white"/>
                <w14:textFill>
                  <w14:solidFill>
                    <w14:schemeClr w14:val="tx1"/>
                  </w14:solidFill>
                </w14:textFill>
              </w:rPr>
              <w:t>2</w:t>
            </w:r>
            <w:r>
              <w:rPr>
                <w:rFonts w:ascii="宋体" w:hAnsi="宋体" w:eastAsia="宋体"/>
                <w:color w:val="000000" w:themeColor="text1"/>
                <w:sz w:val="24"/>
                <w:szCs w:val="22"/>
                <w:highlight w:val="white"/>
                <w14:textFill>
                  <w14:solidFill>
                    <w14:schemeClr w14:val="tx1"/>
                  </w14:solidFill>
                </w14:textFill>
              </w:rPr>
              <w:t>分；体现上述评审要点但内容无法完全贴合</w:t>
            </w:r>
            <w:r>
              <w:rPr>
                <w:rFonts w:hint="eastAsia" w:ascii="宋体" w:hAnsi="宋体" w:eastAsia="宋体"/>
                <w:color w:val="000000" w:themeColor="text1"/>
                <w:sz w:val="24"/>
                <w:szCs w:val="22"/>
                <w:highlight w:val="white"/>
                <w14:textFill>
                  <w14:solidFill>
                    <w14:schemeClr w14:val="tx1"/>
                  </w14:solidFill>
                </w14:textFill>
              </w:rPr>
              <w:t>项目</w:t>
            </w:r>
            <w:r>
              <w:rPr>
                <w:rFonts w:ascii="宋体" w:hAnsi="宋体" w:eastAsia="宋体"/>
                <w:color w:val="000000" w:themeColor="text1"/>
                <w:sz w:val="24"/>
                <w:szCs w:val="22"/>
                <w:highlight w:val="white"/>
                <w14:textFill>
                  <w14:solidFill>
                    <w14:schemeClr w14:val="tx1"/>
                  </w14:solidFill>
                </w14:textFill>
              </w:rPr>
              <w:t>需求的，每有一项得</w:t>
            </w:r>
            <w:r>
              <w:rPr>
                <w:rFonts w:hint="eastAsia" w:ascii="宋体" w:hAnsi="宋体" w:eastAsia="宋体"/>
                <w:color w:val="000000" w:themeColor="text1"/>
                <w:sz w:val="24"/>
                <w:szCs w:val="22"/>
                <w:highlight w:val="white"/>
                <w14:textFill>
                  <w14:solidFill>
                    <w14:schemeClr w14:val="tx1"/>
                  </w14:solidFill>
                </w14:textFill>
              </w:rPr>
              <w:t>1</w:t>
            </w:r>
            <w:r>
              <w:rPr>
                <w:rFonts w:ascii="宋体" w:hAnsi="宋体" w:eastAsia="宋体"/>
                <w:color w:val="000000" w:themeColor="text1"/>
                <w:sz w:val="24"/>
                <w:szCs w:val="22"/>
                <w:highlight w:val="white"/>
                <w14:textFill>
                  <w14:solidFill>
                    <w14:schemeClr w14:val="tx1"/>
                  </w14:solidFill>
                </w14:textFill>
              </w:rPr>
              <w:t>分；未能体现评审要点（或无实质性内容的），对应项得0分。</w:t>
            </w:r>
          </w:p>
        </w:tc>
      </w:tr>
      <w:tr w14:paraId="42DE1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4CE42842">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3</w:t>
            </w:r>
          </w:p>
        </w:tc>
        <w:tc>
          <w:tcPr>
            <w:tcW w:w="1716" w:type="dxa"/>
            <w:tcBorders>
              <w:top w:val="single" w:color="auto" w:sz="4" w:space="0"/>
              <w:left w:val="single" w:color="auto" w:sz="4" w:space="0"/>
              <w:bottom w:val="single" w:color="auto" w:sz="4" w:space="0"/>
              <w:right w:val="single" w:color="auto" w:sz="4" w:space="0"/>
            </w:tcBorders>
            <w:vAlign w:val="center"/>
          </w:tcPr>
          <w:p w14:paraId="2C7D76DF">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项目技术方案</w:t>
            </w:r>
          </w:p>
        </w:tc>
        <w:tc>
          <w:tcPr>
            <w:tcW w:w="780" w:type="dxa"/>
            <w:tcBorders>
              <w:top w:val="single" w:color="auto" w:sz="4" w:space="0"/>
              <w:left w:val="single" w:color="auto" w:sz="4" w:space="0"/>
              <w:bottom w:val="single" w:color="auto" w:sz="4" w:space="0"/>
              <w:right w:val="single" w:color="auto" w:sz="4" w:space="0"/>
            </w:tcBorders>
            <w:vAlign w:val="center"/>
          </w:tcPr>
          <w:p w14:paraId="140ED681">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6分</w:t>
            </w:r>
          </w:p>
        </w:tc>
        <w:tc>
          <w:tcPr>
            <w:tcW w:w="6434" w:type="dxa"/>
            <w:tcBorders>
              <w:top w:val="single" w:color="auto" w:sz="4" w:space="0"/>
              <w:left w:val="single" w:color="auto" w:sz="4" w:space="0"/>
              <w:bottom w:val="single" w:color="auto" w:sz="4" w:space="0"/>
              <w:right w:val="single" w:color="auto" w:sz="4" w:space="0"/>
            </w:tcBorders>
            <w:vAlign w:val="center"/>
          </w:tcPr>
          <w:p w14:paraId="3BDF2FBF">
            <w:pPr>
              <w:jc w:val="left"/>
              <w:rPr>
                <w:rFonts w:ascii="宋体" w:hAnsi="宋体" w:eastAsia="宋体"/>
                <w:color w:val="000000" w:themeColor="text1"/>
                <w:sz w:val="24"/>
                <w:szCs w:val="22"/>
                <w:highlight w:val="white"/>
                <w14:textFill>
                  <w14:solidFill>
                    <w14:schemeClr w14:val="tx1"/>
                  </w14:solidFill>
                </w14:textFill>
              </w:rPr>
            </w:pPr>
            <w:r>
              <w:rPr>
                <w:rFonts w:hint="eastAsia" w:ascii="宋体" w:hAnsi="宋体" w:eastAsia="宋体"/>
                <w:color w:val="000000" w:themeColor="text1"/>
                <w:sz w:val="24"/>
                <w:szCs w:val="22"/>
                <w:highlight w:val="white"/>
                <w14:textFill>
                  <w14:solidFill>
                    <w14:schemeClr w14:val="tx1"/>
                  </w14:solidFill>
                </w14:textFill>
              </w:rPr>
              <w:t>根据供应商针对本项目提供的项目技术方案（具体包括①总体技术思路</w:t>
            </w:r>
            <w:r>
              <w:rPr>
                <w:rFonts w:hint="eastAsia" w:ascii="宋体" w:hAnsi="宋体"/>
                <w:color w:val="000000" w:themeColor="text1"/>
                <w:sz w:val="24"/>
                <w:szCs w:val="22"/>
                <w:highlight w:val="white"/>
                <w:lang w:eastAsia="zh-CN"/>
                <w14:textFill>
                  <w14:solidFill>
                    <w14:schemeClr w14:val="tx1"/>
                  </w14:solidFill>
                </w14:textFill>
              </w:rPr>
              <w:t>；</w:t>
            </w:r>
            <w:r>
              <w:rPr>
                <w:rFonts w:hint="eastAsia" w:ascii="宋体" w:hAnsi="宋体" w:eastAsia="宋体"/>
                <w:color w:val="000000" w:themeColor="text1"/>
                <w:sz w:val="24"/>
                <w:szCs w:val="22"/>
                <w:highlight w:val="white"/>
                <w14:textFill>
                  <w14:solidFill>
                    <w14:schemeClr w14:val="tx1"/>
                  </w14:solidFill>
                </w14:textFill>
              </w:rPr>
              <w:t>②技术路线</w:t>
            </w:r>
            <w:r>
              <w:rPr>
                <w:rFonts w:hint="eastAsia" w:ascii="宋体" w:hAnsi="宋体"/>
                <w:color w:val="000000" w:themeColor="text1"/>
                <w:sz w:val="24"/>
                <w:szCs w:val="22"/>
                <w:highlight w:val="white"/>
                <w:lang w:eastAsia="zh-CN"/>
                <w14:textFill>
                  <w14:solidFill>
                    <w14:schemeClr w14:val="tx1"/>
                  </w14:solidFill>
                </w14:textFill>
              </w:rPr>
              <w:t>；</w:t>
            </w:r>
            <w:r>
              <w:rPr>
                <w:rFonts w:hint="eastAsia" w:ascii="宋体" w:hAnsi="宋体" w:eastAsia="宋体"/>
                <w:color w:val="000000" w:themeColor="text1"/>
                <w:sz w:val="24"/>
                <w:szCs w:val="22"/>
                <w:highlight w:val="white"/>
                <w14:textFill>
                  <w14:solidFill>
                    <w14:schemeClr w14:val="tx1"/>
                  </w14:solidFill>
                </w14:textFill>
              </w:rPr>
              <w:t>③项目体系与项目成果）进行评定，本项最高得6分。体现上述评审要点且内容贴合项目需求的，每有一项得2分；体现上述评审要点但内容无法完全贴合项目需求的，每有一项得1分；未能体现评审要点（或无实质性内容的），对应项得0分。</w:t>
            </w:r>
          </w:p>
        </w:tc>
      </w:tr>
      <w:tr w14:paraId="0A7F4D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4D82F068">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4</w:t>
            </w:r>
          </w:p>
        </w:tc>
        <w:tc>
          <w:tcPr>
            <w:tcW w:w="1716" w:type="dxa"/>
            <w:tcBorders>
              <w:top w:val="single" w:color="auto" w:sz="4" w:space="0"/>
              <w:left w:val="single" w:color="auto" w:sz="4" w:space="0"/>
              <w:bottom w:val="single" w:color="auto" w:sz="4" w:space="0"/>
              <w:right w:val="single" w:color="auto" w:sz="4" w:space="0"/>
            </w:tcBorders>
            <w:shd w:val="clear" w:color="auto" w:fill="auto"/>
            <w:vAlign w:val="center"/>
          </w:tcPr>
          <w:p w14:paraId="171EE607">
            <w:pPr>
              <w:jc w:val="center"/>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项目重难点分析</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50F0C9D1">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3</w:t>
            </w:r>
            <w:r>
              <w:rPr>
                <w:rFonts w:ascii="宋体" w:hAnsi="宋体"/>
                <w:bCs/>
                <w:color w:val="000000" w:themeColor="text1"/>
                <w:sz w:val="24"/>
                <w:szCs w:val="24"/>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shd w:val="clear" w:color="auto" w:fill="auto"/>
            <w:vAlign w:val="center"/>
          </w:tcPr>
          <w:p w14:paraId="3D8CB2F4">
            <w:pPr>
              <w:jc w:val="lef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根据</w:t>
            </w:r>
            <w:r>
              <w:rPr>
                <w:rFonts w:ascii="宋体" w:hAnsi="宋体"/>
                <w:bCs/>
                <w:color w:val="000000" w:themeColor="text1"/>
                <w:sz w:val="24"/>
                <w:szCs w:val="24"/>
                <w:highlight w:val="white"/>
                <w14:textFill>
                  <w14:solidFill>
                    <w14:schemeClr w14:val="tx1"/>
                  </w14:solidFill>
                </w14:textFill>
              </w:rPr>
              <w:t>供应商针对本项目提供的</w:t>
            </w:r>
            <w:r>
              <w:rPr>
                <w:rFonts w:ascii="宋体" w:hAnsi="宋体"/>
                <w:b w:val="0"/>
                <w:bCs/>
                <w:color w:val="000000" w:themeColor="text1"/>
                <w:sz w:val="24"/>
                <w:szCs w:val="24"/>
                <w:highlight w:val="white"/>
                <w14:textFill>
                  <w14:solidFill>
                    <w14:schemeClr w14:val="tx1"/>
                  </w14:solidFill>
                </w14:textFill>
              </w:rPr>
              <w:t>项目重难点分析进行综合评定</w:t>
            </w:r>
            <w:r>
              <w:rPr>
                <w:rFonts w:ascii="宋体" w:hAnsi="宋体"/>
                <w:b/>
                <w:color w:val="000000" w:themeColor="text1"/>
                <w:sz w:val="24"/>
                <w:szCs w:val="24"/>
                <w:highlight w:val="white"/>
                <w14:textFill>
                  <w14:solidFill>
                    <w14:schemeClr w14:val="tx1"/>
                  </w14:solidFill>
                </w14:textFill>
              </w:rPr>
              <w:t>，</w:t>
            </w:r>
            <w:r>
              <w:rPr>
                <w:rFonts w:hint="eastAsia" w:cs="宋体" w:asciiTheme="minorEastAsia" w:hAnsiTheme="minorEastAsia" w:eastAsiaTheme="minorEastAsia"/>
                <w:sz w:val="24"/>
                <w:szCs w:val="24"/>
              </w:rPr>
              <w:t>体现上述评审要点且内容贴合项目需求的得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分；体现上述评审要点但内容无法完全贴合项目需求的得1</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分；未能体现评审要点（或无实质性内容的），对应项得0分。本项最高得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w:t>
            </w:r>
          </w:p>
        </w:tc>
      </w:tr>
      <w:tr w14:paraId="05A2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2FFA6081">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5</w:t>
            </w:r>
          </w:p>
        </w:tc>
        <w:tc>
          <w:tcPr>
            <w:tcW w:w="1716" w:type="dxa"/>
            <w:tcBorders>
              <w:top w:val="single" w:color="auto" w:sz="4" w:space="0"/>
              <w:left w:val="single" w:color="auto" w:sz="4" w:space="0"/>
              <w:bottom w:val="single" w:color="auto" w:sz="4" w:space="0"/>
              <w:right w:val="single" w:color="auto" w:sz="4" w:space="0"/>
            </w:tcBorders>
            <w:vAlign w:val="center"/>
          </w:tcPr>
          <w:p w14:paraId="35079D6E">
            <w:pPr>
              <w:jc w:val="center"/>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进度计划安排</w:t>
            </w:r>
          </w:p>
        </w:tc>
        <w:tc>
          <w:tcPr>
            <w:tcW w:w="780" w:type="dxa"/>
            <w:tcBorders>
              <w:top w:val="single" w:color="auto" w:sz="4" w:space="0"/>
              <w:left w:val="single" w:color="auto" w:sz="4" w:space="0"/>
              <w:bottom w:val="single" w:color="auto" w:sz="4" w:space="0"/>
              <w:right w:val="single" w:color="auto" w:sz="4" w:space="0"/>
            </w:tcBorders>
            <w:vAlign w:val="center"/>
          </w:tcPr>
          <w:p w14:paraId="746F8719">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3</w:t>
            </w:r>
            <w:r>
              <w:rPr>
                <w:rFonts w:hint="eastAsia" w:ascii="宋体" w:hAnsi="宋体"/>
                <w:bCs/>
                <w:color w:val="000000" w:themeColor="text1"/>
                <w:sz w:val="24"/>
                <w:szCs w:val="24"/>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vAlign w:val="center"/>
          </w:tcPr>
          <w:p w14:paraId="7BE32490">
            <w:pPr>
              <w:jc w:val="lef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根据供应商针对本项目提供的进度计划安排进行综合评定，</w:t>
            </w:r>
            <w:r>
              <w:rPr>
                <w:rFonts w:hint="eastAsia" w:cs="宋体" w:asciiTheme="minorEastAsia" w:hAnsiTheme="minorEastAsia" w:eastAsiaTheme="minorEastAsia"/>
                <w:sz w:val="24"/>
                <w:szCs w:val="24"/>
              </w:rPr>
              <w:t>体现上述评审要点且内容贴合项目需求的得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分；体现上述评审要点但内容无法完全贴合项目需求的得1</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分；未能体现评审要点（或无实质性内容的），对应项得0分。本项最高得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w:t>
            </w:r>
          </w:p>
        </w:tc>
      </w:tr>
      <w:tr w14:paraId="5244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0653E12E">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6</w:t>
            </w:r>
          </w:p>
        </w:tc>
        <w:tc>
          <w:tcPr>
            <w:tcW w:w="1716" w:type="dxa"/>
            <w:tcBorders>
              <w:top w:val="single" w:color="auto" w:sz="4" w:space="0"/>
              <w:left w:val="single" w:color="auto" w:sz="4" w:space="0"/>
              <w:bottom w:val="single" w:color="auto" w:sz="4" w:space="0"/>
              <w:right w:val="single" w:color="auto" w:sz="4" w:space="0"/>
            </w:tcBorders>
            <w:vAlign w:val="center"/>
          </w:tcPr>
          <w:p w14:paraId="02D58F5F">
            <w:pPr>
              <w:jc w:val="center"/>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lang w:val="zh-CN"/>
                <w14:textFill>
                  <w14:solidFill>
                    <w14:schemeClr w14:val="tx1"/>
                  </w14:solidFill>
                </w14:textFill>
              </w:rPr>
              <w:t>质量保证措施</w:t>
            </w:r>
          </w:p>
        </w:tc>
        <w:tc>
          <w:tcPr>
            <w:tcW w:w="780" w:type="dxa"/>
            <w:tcBorders>
              <w:top w:val="single" w:color="auto" w:sz="4" w:space="0"/>
              <w:left w:val="single" w:color="auto" w:sz="4" w:space="0"/>
              <w:bottom w:val="single" w:color="auto" w:sz="4" w:space="0"/>
              <w:right w:val="single" w:color="auto" w:sz="4" w:space="0"/>
            </w:tcBorders>
            <w:vAlign w:val="center"/>
          </w:tcPr>
          <w:p w14:paraId="2A212C78">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3</w:t>
            </w:r>
            <w:r>
              <w:rPr>
                <w:rFonts w:ascii="宋体" w:hAnsi="宋体"/>
                <w:bCs/>
                <w:color w:val="000000" w:themeColor="text1"/>
                <w:sz w:val="24"/>
                <w:szCs w:val="24"/>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vAlign w:val="center"/>
          </w:tcPr>
          <w:p w14:paraId="1CF58CA8">
            <w:pPr>
              <w:jc w:val="left"/>
              <w:rPr>
                <w:rFonts w:ascii="宋体" w:hAnsi="宋体"/>
                <w:bCs/>
                <w:color w:val="000000" w:themeColor="text1"/>
                <w:sz w:val="24"/>
                <w:szCs w:val="24"/>
                <w:highlight w:val="white"/>
                <w14:textFill>
                  <w14:solidFill>
                    <w14:schemeClr w14:val="tx1"/>
                  </w14:solidFill>
                </w14:textFill>
              </w:rPr>
            </w:pPr>
            <w:r>
              <w:rPr>
                <w:rFonts w:ascii="宋体" w:hAnsi="宋体"/>
                <w:bCs/>
                <w:color w:val="000000" w:themeColor="text1"/>
                <w:sz w:val="24"/>
                <w:szCs w:val="24"/>
                <w:highlight w:val="white"/>
                <w14:textFill>
                  <w14:solidFill>
                    <w14:schemeClr w14:val="tx1"/>
                  </w14:solidFill>
                </w14:textFill>
              </w:rPr>
              <w:t>根据供应商针对本项目提供的质量保证措施进行综合评定，</w:t>
            </w:r>
            <w:r>
              <w:rPr>
                <w:rFonts w:hint="eastAsia" w:cs="宋体" w:asciiTheme="minorEastAsia" w:hAnsiTheme="minorEastAsia" w:eastAsiaTheme="minorEastAsia"/>
                <w:sz w:val="24"/>
                <w:szCs w:val="24"/>
              </w:rPr>
              <w:t>体现上述评审要点且内容贴合项目需求的得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分；体现上述评审要点但内容无法完全贴合项目需求的得1</w:t>
            </w:r>
            <w:r>
              <w:rPr>
                <w:rFonts w:cs="宋体" w:asciiTheme="minorEastAsia" w:hAnsiTheme="minorEastAsia" w:eastAsiaTheme="minorEastAsia"/>
                <w:sz w:val="24"/>
                <w:szCs w:val="24"/>
              </w:rPr>
              <w:t>.5</w:t>
            </w:r>
            <w:r>
              <w:rPr>
                <w:rFonts w:hint="eastAsia" w:cs="宋体" w:asciiTheme="minorEastAsia" w:hAnsiTheme="minorEastAsia" w:eastAsiaTheme="minorEastAsia"/>
                <w:sz w:val="24"/>
                <w:szCs w:val="24"/>
              </w:rPr>
              <w:t>分；未能体现评审要点（或无实质性内容的），对应项得0分。本项最高得</w:t>
            </w:r>
            <w:r>
              <w:rPr>
                <w:rFonts w:cs="宋体" w:asciiTheme="minorEastAsia" w:hAnsiTheme="minorEastAsia" w:eastAsiaTheme="minorEastAsia"/>
                <w:sz w:val="24"/>
                <w:szCs w:val="24"/>
              </w:rPr>
              <w:t>3</w:t>
            </w:r>
            <w:r>
              <w:rPr>
                <w:rFonts w:hint="eastAsia" w:cs="宋体" w:asciiTheme="minorEastAsia" w:hAnsiTheme="minorEastAsia" w:eastAsiaTheme="minorEastAsia"/>
                <w:sz w:val="24"/>
                <w:szCs w:val="24"/>
              </w:rPr>
              <w:t>分。</w:t>
            </w:r>
          </w:p>
        </w:tc>
      </w:tr>
      <w:tr w14:paraId="4EDF45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1"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0B3AC496">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7</w:t>
            </w:r>
          </w:p>
        </w:tc>
        <w:tc>
          <w:tcPr>
            <w:tcW w:w="1716" w:type="dxa"/>
            <w:tcBorders>
              <w:top w:val="single" w:color="auto" w:sz="4" w:space="0"/>
              <w:left w:val="single" w:color="auto" w:sz="4" w:space="0"/>
              <w:bottom w:val="single" w:color="auto" w:sz="4" w:space="0"/>
              <w:right w:val="single" w:color="auto" w:sz="4" w:space="0"/>
            </w:tcBorders>
            <w:vAlign w:val="center"/>
          </w:tcPr>
          <w:p w14:paraId="19EE8CBC">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服务保障措施</w:t>
            </w:r>
          </w:p>
        </w:tc>
        <w:tc>
          <w:tcPr>
            <w:tcW w:w="780" w:type="dxa"/>
            <w:tcBorders>
              <w:top w:val="single" w:color="auto" w:sz="4" w:space="0"/>
              <w:left w:val="single" w:color="auto" w:sz="4" w:space="0"/>
              <w:bottom w:val="single" w:color="auto" w:sz="4" w:space="0"/>
              <w:right w:val="single" w:color="auto" w:sz="4" w:space="0"/>
            </w:tcBorders>
            <w:vAlign w:val="center"/>
          </w:tcPr>
          <w:p w14:paraId="3203167B">
            <w:pPr>
              <w:jc w:val="center"/>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en-US" w:eastAsia="zh-CN"/>
                <w14:textFill>
                  <w14:solidFill>
                    <w14:schemeClr w14:val="tx1"/>
                  </w14:solidFill>
                </w14:textFill>
              </w:rPr>
              <w:t>2</w:t>
            </w:r>
            <w:r>
              <w:rPr>
                <w:rFonts w:hint="eastAsia" w:ascii="宋体" w:hAnsi="宋体"/>
                <w:bCs/>
                <w:color w:val="000000" w:themeColor="text1"/>
                <w:sz w:val="24"/>
                <w:szCs w:val="24"/>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vAlign w:val="center"/>
          </w:tcPr>
          <w:p w14:paraId="30940876">
            <w:pPr>
              <w:jc w:val="left"/>
              <w:rPr>
                <w:rFonts w:ascii="宋体" w:hAnsi="宋体"/>
                <w:b/>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lang w:val="zh-CN"/>
                <w14:textFill>
                  <w14:solidFill>
                    <w14:schemeClr w14:val="tx1"/>
                  </w14:solidFill>
                </w14:textFill>
              </w:rPr>
              <w:t>根据供应商</w:t>
            </w:r>
            <w:r>
              <w:rPr>
                <w:rFonts w:hint="eastAsia" w:ascii="宋体" w:hAnsi="宋体"/>
                <w:bCs/>
                <w:color w:val="000000" w:themeColor="text1"/>
                <w:sz w:val="24"/>
                <w:szCs w:val="24"/>
                <w:highlight w:val="white"/>
                <w14:textFill>
                  <w14:solidFill>
                    <w14:schemeClr w14:val="tx1"/>
                  </w14:solidFill>
                </w14:textFill>
              </w:rPr>
              <w:t>针</w:t>
            </w:r>
            <w:r>
              <w:rPr>
                <w:rFonts w:hint="eastAsia" w:ascii="宋体" w:hAnsi="宋体"/>
                <w:bCs/>
                <w:color w:val="000000" w:themeColor="text1"/>
                <w:sz w:val="24"/>
                <w:szCs w:val="24"/>
                <w:highlight w:val="white"/>
                <w:lang w:val="zh-CN"/>
                <w14:textFill>
                  <w14:solidFill>
                    <w14:schemeClr w14:val="tx1"/>
                  </w14:solidFill>
                </w14:textFill>
              </w:rPr>
              <w:t>对本项目</w:t>
            </w:r>
            <w:r>
              <w:rPr>
                <w:rFonts w:hint="eastAsia" w:ascii="宋体" w:hAnsi="宋体"/>
                <w:bCs/>
                <w:color w:val="000000" w:themeColor="text1"/>
                <w:sz w:val="24"/>
                <w:szCs w:val="24"/>
                <w:highlight w:val="white"/>
                <w14:textFill>
                  <w14:solidFill>
                    <w14:schemeClr w14:val="tx1"/>
                  </w14:solidFill>
                </w14:textFill>
              </w:rPr>
              <w:t>提供</w:t>
            </w:r>
            <w:r>
              <w:rPr>
                <w:rFonts w:hint="eastAsia" w:ascii="宋体" w:hAnsi="宋体"/>
                <w:bCs/>
                <w:color w:val="000000" w:themeColor="text1"/>
                <w:sz w:val="24"/>
                <w:szCs w:val="24"/>
                <w:highlight w:val="white"/>
                <w:lang w:val="zh-CN"/>
                <w14:textFill>
                  <w14:solidFill>
                    <w14:schemeClr w14:val="tx1"/>
                  </w14:solidFill>
                </w14:textFill>
              </w:rPr>
              <w:t>的服务保障措施进行</w:t>
            </w:r>
            <w:r>
              <w:rPr>
                <w:rFonts w:hint="eastAsia" w:ascii="宋体" w:hAnsi="宋体"/>
                <w:bCs/>
                <w:color w:val="000000" w:themeColor="text1"/>
                <w:sz w:val="24"/>
                <w:szCs w:val="24"/>
                <w:highlight w:val="white"/>
                <w14:textFill>
                  <w14:solidFill>
                    <w14:schemeClr w14:val="tx1"/>
                  </w14:solidFill>
                </w14:textFill>
              </w:rPr>
              <w:t>综合评定</w:t>
            </w:r>
            <w:r>
              <w:rPr>
                <w:rFonts w:hint="eastAsia" w:ascii="宋体" w:hAnsi="宋体"/>
                <w:bCs/>
                <w:color w:val="000000" w:themeColor="text1"/>
                <w:sz w:val="24"/>
                <w:szCs w:val="24"/>
                <w:highlight w:val="white"/>
                <w:lang w:val="zh-CN"/>
                <w14:textFill>
                  <w14:solidFill>
                    <w14:schemeClr w14:val="tx1"/>
                  </w14:solidFill>
                </w14:textFill>
              </w:rPr>
              <w:t>，</w:t>
            </w:r>
            <w:r>
              <w:rPr>
                <w:rFonts w:hint="eastAsia" w:cs="宋体" w:asciiTheme="minorEastAsia" w:hAnsiTheme="minorEastAsia" w:eastAsiaTheme="minorEastAsia"/>
                <w:sz w:val="24"/>
                <w:szCs w:val="24"/>
              </w:rPr>
              <w:t>体现上述评审要点且内容贴合项目需求的得</w:t>
            </w: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rPr>
              <w:t>分；体现上述评审要点但内容无法完全贴合项目需求的得</w:t>
            </w:r>
            <w:r>
              <w:rPr>
                <w:rFonts w:hint="eastAsia" w:cs="宋体" w:asciiTheme="minorEastAsia" w:hAnsiTheme="minorEastAsia" w:eastAsiaTheme="minorEastAsia"/>
                <w:sz w:val="24"/>
                <w:szCs w:val="24"/>
                <w:lang w:val="en-US" w:eastAsia="zh-CN"/>
              </w:rPr>
              <w:t>1</w:t>
            </w:r>
            <w:r>
              <w:rPr>
                <w:rFonts w:hint="eastAsia" w:cs="宋体" w:asciiTheme="minorEastAsia" w:hAnsiTheme="minorEastAsia" w:eastAsiaTheme="minorEastAsia"/>
                <w:sz w:val="24"/>
                <w:szCs w:val="24"/>
              </w:rPr>
              <w:t>分；未能体现评审要点（或无实质性内容的），对应项得0分。本项最高得</w:t>
            </w:r>
            <w:r>
              <w:rPr>
                <w:rFonts w:hint="eastAsia" w:cs="宋体" w:asciiTheme="minorEastAsia" w:hAnsiTheme="minorEastAsia" w:eastAsiaTheme="minorEastAsia"/>
                <w:sz w:val="24"/>
                <w:szCs w:val="24"/>
                <w:lang w:val="en-US" w:eastAsia="zh-CN"/>
              </w:rPr>
              <w:t>2</w:t>
            </w:r>
            <w:r>
              <w:rPr>
                <w:rFonts w:hint="eastAsia" w:cs="宋体" w:asciiTheme="minorEastAsia" w:hAnsiTheme="minorEastAsia" w:eastAsiaTheme="minorEastAsia"/>
                <w:sz w:val="24"/>
                <w:szCs w:val="24"/>
              </w:rPr>
              <w:t>分。</w:t>
            </w:r>
          </w:p>
        </w:tc>
      </w:tr>
      <w:tr w14:paraId="3CCD6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6F1345DF">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8</w:t>
            </w:r>
          </w:p>
        </w:tc>
        <w:tc>
          <w:tcPr>
            <w:tcW w:w="1716" w:type="dxa"/>
            <w:tcBorders>
              <w:top w:val="single" w:color="auto" w:sz="4" w:space="0"/>
              <w:left w:val="single" w:color="auto" w:sz="4" w:space="0"/>
              <w:bottom w:val="single" w:color="auto" w:sz="4" w:space="0"/>
              <w:right w:val="single" w:color="auto" w:sz="4" w:space="0"/>
            </w:tcBorders>
            <w:shd w:val="clear" w:color="auto" w:fill="auto"/>
            <w:vAlign w:val="center"/>
          </w:tcPr>
          <w:p w14:paraId="63EDEC27">
            <w:pPr>
              <w:jc w:val="center"/>
              <w:rPr>
                <w:rFonts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14:textFill>
                  <w14:solidFill>
                    <w14:schemeClr w14:val="tx1"/>
                  </w14:solidFill>
                </w14:textFill>
              </w:rPr>
              <w:t>内部管理</w:t>
            </w:r>
            <w:r>
              <w:rPr>
                <w:rFonts w:ascii="宋体" w:hAnsi="宋体"/>
                <w:color w:val="000000" w:themeColor="text1"/>
                <w:sz w:val="24"/>
                <w:szCs w:val="22"/>
                <w:highlight w:val="white"/>
                <w14:textFill>
                  <w14:solidFill>
                    <w14:schemeClr w14:val="tx1"/>
                  </w14:solidFill>
                </w14:textFill>
              </w:rPr>
              <w:t>制度</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6DFA6A7C">
            <w:pPr>
              <w:jc w:val="center"/>
              <w:rPr>
                <w:rFonts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lang w:val="en-US" w:eastAsia="zh-CN"/>
                <w14:textFill>
                  <w14:solidFill>
                    <w14:schemeClr w14:val="tx1"/>
                  </w14:solidFill>
                </w14:textFill>
              </w:rPr>
              <w:t>4</w:t>
            </w:r>
            <w:r>
              <w:rPr>
                <w:rFonts w:ascii="宋体" w:hAnsi="宋体"/>
                <w:color w:val="000000" w:themeColor="text1"/>
                <w:sz w:val="24"/>
                <w:szCs w:val="22"/>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shd w:val="clear" w:color="auto" w:fill="auto"/>
            <w:vAlign w:val="center"/>
          </w:tcPr>
          <w:p w14:paraId="6C59040F">
            <w:pPr>
              <w:jc w:val="left"/>
              <w:rPr>
                <w:rFonts w:ascii="宋体" w:hAnsi="宋体"/>
                <w:b w:val="0"/>
                <w:bCs w:val="0"/>
                <w:color w:val="000000" w:themeColor="text1"/>
                <w:sz w:val="24"/>
                <w:szCs w:val="24"/>
                <w:highlight w:val="white"/>
                <w14:textFill>
                  <w14:solidFill>
                    <w14:schemeClr w14:val="tx1"/>
                  </w14:solidFill>
                </w14:textFill>
              </w:rPr>
            </w:pPr>
            <w:r>
              <w:rPr>
                <w:rFonts w:ascii="宋体" w:hAnsi="宋体"/>
                <w:b w:val="0"/>
                <w:bCs w:val="0"/>
                <w:color w:val="000000" w:themeColor="text1"/>
                <w:sz w:val="24"/>
                <w:szCs w:val="22"/>
                <w:highlight w:val="white"/>
                <w14:textFill>
                  <w14:solidFill>
                    <w14:schemeClr w14:val="tx1"/>
                  </w14:solidFill>
                </w14:textFill>
              </w:rPr>
              <w:t>根据</w:t>
            </w:r>
            <w:r>
              <w:rPr>
                <w:rFonts w:hint="eastAsia" w:ascii="宋体" w:hAnsi="宋体"/>
                <w:b w:val="0"/>
                <w:bCs w:val="0"/>
                <w:color w:val="000000" w:themeColor="text1"/>
                <w:sz w:val="24"/>
                <w:szCs w:val="22"/>
                <w:highlight w:val="white"/>
                <w:lang w:val="en-US" w:eastAsia="zh-CN"/>
                <w14:textFill>
                  <w14:solidFill>
                    <w14:schemeClr w14:val="tx1"/>
                  </w14:solidFill>
                </w14:textFill>
              </w:rPr>
              <w:t>供应商</w:t>
            </w:r>
            <w:r>
              <w:rPr>
                <w:rFonts w:ascii="宋体" w:hAnsi="宋体"/>
                <w:b w:val="0"/>
                <w:bCs w:val="0"/>
                <w:color w:val="000000" w:themeColor="text1"/>
                <w:sz w:val="24"/>
                <w:szCs w:val="22"/>
                <w:highlight w:val="white"/>
                <w14:textFill>
                  <w14:solidFill>
                    <w14:schemeClr w14:val="tx1"/>
                  </w14:solidFill>
                </w14:textFill>
              </w:rPr>
              <w:t>提供的</w:t>
            </w:r>
            <w:r>
              <w:rPr>
                <w:rFonts w:hint="eastAsia" w:ascii="宋体" w:hAnsi="宋体"/>
                <w:b w:val="0"/>
                <w:bCs w:val="0"/>
                <w:color w:val="000000" w:themeColor="text1"/>
                <w:sz w:val="24"/>
                <w:szCs w:val="22"/>
                <w:highlight w:val="white"/>
                <w14:textFill>
                  <w14:solidFill>
                    <w14:schemeClr w14:val="tx1"/>
                  </w14:solidFill>
                </w14:textFill>
              </w:rPr>
              <w:t>内部管理制度（具体包括①内部规章制度</w:t>
            </w:r>
            <w:r>
              <w:rPr>
                <w:rFonts w:hint="eastAsia" w:ascii="宋体" w:hAnsi="宋体"/>
                <w:b w:val="0"/>
                <w:bCs w:val="0"/>
                <w:color w:val="000000" w:themeColor="text1"/>
                <w:sz w:val="24"/>
                <w:szCs w:val="24"/>
                <w:highlight w:val="white"/>
                <w14:textFill>
                  <w14:solidFill>
                    <w14:schemeClr w14:val="tx1"/>
                  </w14:solidFill>
                </w14:textFill>
              </w:rPr>
              <w:t>；</w:t>
            </w:r>
            <w:r>
              <w:rPr>
                <w:rFonts w:hint="eastAsia" w:ascii="宋体" w:hAnsi="宋体"/>
                <w:b w:val="0"/>
                <w:bCs w:val="0"/>
                <w:color w:val="000000" w:themeColor="text1"/>
                <w:sz w:val="24"/>
                <w:szCs w:val="22"/>
                <w:highlight w:val="white"/>
                <w14:textFill>
                  <w14:solidFill>
                    <w14:schemeClr w14:val="tx1"/>
                  </w14:solidFill>
                </w14:textFill>
              </w:rPr>
              <w:t>②</w:t>
            </w:r>
            <w:r>
              <w:rPr>
                <w:rFonts w:hint="eastAsia" w:ascii="宋体" w:hAnsi="宋体"/>
                <w:b w:val="0"/>
                <w:bCs w:val="0"/>
                <w:color w:val="000000" w:themeColor="text1"/>
                <w:sz w:val="24"/>
                <w:szCs w:val="22"/>
                <w:highlight w:val="white"/>
                <w:lang w:val="zh-CN"/>
                <w14:textFill>
                  <w14:solidFill>
                    <w14:schemeClr w14:val="tx1"/>
                  </w14:solidFill>
                </w14:textFill>
              </w:rPr>
              <w:t>人员培训方案</w:t>
            </w:r>
            <w:r>
              <w:rPr>
                <w:rFonts w:hint="eastAsia" w:ascii="宋体" w:hAnsi="宋体"/>
                <w:b w:val="0"/>
                <w:bCs w:val="0"/>
                <w:color w:val="000000" w:themeColor="text1"/>
                <w:sz w:val="24"/>
                <w:szCs w:val="22"/>
                <w:highlight w:val="white"/>
                <w14:textFill>
                  <w14:solidFill>
                    <w14:schemeClr w14:val="tx1"/>
                  </w14:solidFill>
                </w14:textFill>
              </w:rPr>
              <w:t>）</w:t>
            </w:r>
            <w:r>
              <w:rPr>
                <w:rFonts w:ascii="宋体" w:hAnsi="宋体"/>
                <w:b w:val="0"/>
                <w:bCs w:val="0"/>
                <w:color w:val="000000" w:themeColor="text1"/>
                <w:sz w:val="24"/>
                <w:szCs w:val="22"/>
                <w:highlight w:val="white"/>
                <w14:textFill>
                  <w14:solidFill>
                    <w14:schemeClr w14:val="tx1"/>
                  </w14:solidFill>
                </w14:textFill>
              </w:rPr>
              <w:t>进行评定</w:t>
            </w:r>
            <w:r>
              <w:rPr>
                <w:rFonts w:hint="eastAsia" w:ascii="宋体" w:hAnsi="宋体"/>
                <w:b w:val="0"/>
                <w:bCs w:val="0"/>
                <w:color w:val="000000" w:themeColor="text1"/>
                <w:sz w:val="24"/>
                <w:szCs w:val="22"/>
                <w:highlight w:val="white"/>
                <w14:textFill>
                  <w14:solidFill>
                    <w14:schemeClr w14:val="tx1"/>
                  </w14:solidFill>
                </w14:textFill>
              </w:rPr>
              <w:t>，</w:t>
            </w:r>
            <w:r>
              <w:rPr>
                <w:rFonts w:ascii="宋体" w:hAnsi="宋体"/>
                <w:b w:val="0"/>
                <w:bCs w:val="0"/>
                <w:color w:val="000000" w:themeColor="text1"/>
                <w:sz w:val="24"/>
                <w:szCs w:val="22"/>
                <w:highlight w:val="white"/>
                <w14:textFill>
                  <w14:solidFill>
                    <w14:schemeClr w14:val="tx1"/>
                  </w14:solidFill>
                </w14:textFill>
              </w:rPr>
              <w:t>本项最高得</w:t>
            </w:r>
            <w:r>
              <w:rPr>
                <w:rFonts w:hint="eastAsia" w:ascii="宋体" w:hAnsi="宋体"/>
                <w:b w:val="0"/>
                <w:bCs w:val="0"/>
                <w:color w:val="000000" w:themeColor="text1"/>
                <w:sz w:val="24"/>
                <w:szCs w:val="22"/>
                <w:highlight w:val="white"/>
                <w:lang w:val="en-US" w:eastAsia="zh-CN"/>
                <w14:textFill>
                  <w14:solidFill>
                    <w14:schemeClr w14:val="tx1"/>
                  </w14:solidFill>
                </w14:textFill>
              </w:rPr>
              <w:t>4</w:t>
            </w:r>
            <w:r>
              <w:rPr>
                <w:rFonts w:ascii="宋体" w:hAnsi="宋体"/>
                <w:b w:val="0"/>
                <w:bCs w:val="0"/>
                <w:color w:val="000000" w:themeColor="text1"/>
                <w:sz w:val="24"/>
                <w:szCs w:val="22"/>
                <w:highlight w:val="white"/>
                <w14:textFill>
                  <w14:solidFill>
                    <w14:schemeClr w14:val="tx1"/>
                  </w14:solidFill>
                </w14:textFill>
              </w:rPr>
              <w:t>分。体现上述评审要点且内容贴合</w:t>
            </w:r>
            <w:r>
              <w:rPr>
                <w:rFonts w:hint="eastAsia" w:ascii="宋体" w:hAnsi="宋体"/>
                <w:b w:val="0"/>
                <w:bCs w:val="0"/>
                <w:color w:val="000000" w:themeColor="text1"/>
                <w:sz w:val="24"/>
                <w:szCs w:val="22"/>
                <w:highlight w:val="white"/>
                <w14:textFill>
                  <w14:solidFill>
                    <w14:schemeClr w14:val="tx1"/>
                  </w14:solidFill>
                </w14:textFill>
              </w:rPr>
              <w:t>项目</w:t>
            </w:r>
            <w:r>
              <w:rPr>
                <w:rFonts w:ascii="宋体" w:hAnsi="宋体"/>
                <w:b w:val="0"/>
                <w:bCs w:val="0"/>
                <w:color w:val="000000" w:themeColor="text1"/>
                <w:sz w:val="24"/>
                <w:szCs w:val="22"/>
                <w:highlight w:val="white"/>
                <w14:textFill>
                  <w14:solidFill>
                    <w14:schemeClr w14:val="tx1"/>
                  </w14:solidFill>
                </w14:textFill>
              </w:rPr>
              <w:t>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2</w:t>
            </w:r>
            <w:r>
              <w:rPr>
                <w:rFonts w:ascii="宋体" w:hAnsi="宋体"/>
                <w:b w:val="0"/>
                <w:bCs w:val="0"/>
                <w:color w:val="000000" w:themeColor="text1"/>
                <w:sz w:val="24"/>
                <w:szCs w:val="22"/>
                <w:highlight w:val="white"/>
                <w14:textFill>
                  <w14:solidFill>
                    <w14:schemeClr w14:val="tx1"/>
                  </w14:solidFill>
                </w14:textFill>
              </w:rPr>
              <w:t>分；体现上述评审要点但内容无法完全贴合</w:t>
            </w:r>
            <w:r>
              <w:rPr>
                <w:rFonts w:hint="eastAsia" w:ascii="宋体" w:hAnsi="宋体"/>
                <w:b w:val="0"/>
                <w:bCs w:val="0"/>
                <w:color w:val="000000" w:themeColor="text1"/>
                <w:sz w:val="24"/>
                <w:szCs w:val="22"/>
                <w:highlight w:val="white"/>
                <w14:textFill>
                  <w14:solidFill>
                    <w14:schemeClr w14:val="tx1"/>
                  </w14:solidFill>
                </w14:textFill>
              </w:rPr>
              <w:t>项目</w:t>
            </w:r>
            <w:r>
              <w:rPr>
                <w:rFonts w:ascii="宋体" w:hAnsi="宋体"/>
                <w:b w:val="0"/>
                <w:bCs w:val="0"/>
                <w:color w:val="000000" w:themeColor="text1"/>
                <w:sz w:val="24"/>
                <w:szCs w:val="22"/>
                <w:highlight w:val="white"/>
                <w14:textFill>
                  <w14:solidFill>
                    <w14:schemeClr w14:val="tx1"/>
                  </w14:solidFill>
                </w14:textFill>
              </w:rPr>
              <w:t>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1</w:t>
            </w:r>
            <w:r>
              <w:rPr>
                <w:rFonts w:ascii="宋体" w:hAnsi="宋体"/>
                <w:b w:val="0"/>
                <w:bCs w:val="0"/>
                <w:color w:val="000000" w:themeColor="text1"/>
                <w:sz w:val="24"/>
                <w:szCs w:val="22"/>
                <w:highlight w:val="white"/>
                <w14:textFill>
                  <w14:solidFill>
                    <w14:schemeClr w14:val="tx1"/>
                  </w14:solidFill>
                </w14:textFill>
              </w:rPr>
              <w:t>分；未能体现评审要点（或无实质性内容的），对应项得0分。</w:t>
            </w:r>
          </w:p>
        </w:tc>
      </w:tr>
      <w:tr w14:paraId="5C277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15D1B522">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9</w:t>
            </w:r>
          </w:p>
        </w:tc>
        <w:tc>
          <w:tcPr>
            <w:tcW w:w="1716" w:type="dxa"/>
            <w:tcBorders>
              <w:top w:val="single" w:color="auto" w:sz="4" w:space="0"/>
              <w:left w:val="single" w:color="auto" w:sz="4" w:space="0"/>
              <w:bottom w:val="single" w:color="auto" w:sz="4" w:space="0"/>
              <w:right w:val="single" w:color="auto" w:sz="4" w:space="0"/>
            </w:tcBorders>
            <w:shd w:val="clear" w:color="auto" w:fill="auto"/>
            <w:vAlign w:val="center"/>
          </w:tcPr>
          <w:p w14:paraId="45CBF2DB">
            <w:pPr>
              <w:jc w:val="center"/>
              <w:rPr>
                <w:rFonts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综合协调方案</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5E2527E7">
            <w:pPr>
              <w:jc w:val="center"/>
              <w:rPr>
                <w:rFonts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lang w:val="en-US" w:eastAsia="zh-CN"/>
                <w14:textFill>
                  <w14:solidFill>
                    <w14:schemeClr w14:val="tx1"/>
                  </w14:solidFill>
                </w14:textFill>
              </w:rPr>
              <w:t>2</w:t>
            </w:r>
            <w:r>
              <w:rPr>
                <w:rFonts w:hint="eastAsia" w:ascii="宋体" w:hAnsi="宋体"/>
                <w:color w:val="000000" w:themeColor="text1"/>
                <w:sz w:val="24"/>
                <w:szCs w:val="22"/>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shd w:val="clear" w:color="auto" w:fill="auto"/>
            <w:vAlign w:val="center"/>
          </w:tcPr>
          <w:p w14:paraId="54CBB04C">
            <w:pPr>
              <w:rPr>
                <w:rFonts w:ascii="宋体" w:hAnsi="宋体"/>
                <w:b w:val="0"/>
                <w:bCs w:val="0"/>
                <w:color w:val="000000" w:themeColor="text1"/>
                <w:sz w:val="24"/>
                <w:szCs w:val="22"/>
                <w:highlight w:val="white"/>
                <w14:textFill>
                  <w14:solidFill>
                    <w14:schemeClr w14:val="tx1"/>
                  </w14:solidFill>
                </w14:textFill>
              </w:rPr>
            </w:pPr>
            <w:r>
              <w:rPr>
                <w:rFonts w:hint="eastAsia" w:ascii="宋体" w:hAnsi="宋体"/>
                <w:b w:val="0"/>
                <w:bCs w:val="0"/>
                <w:color w:val="000000" w:themeColor="text1"/>
                <w:sz w:val="24"/>
                <w:szCs w:val="22"/>
                <w:highlight w:val="white"/>
                <w14:textFill>
                  <w14:solidFill>
                    <w14:schemeClr w14:val="tx1"/>
                  </w14:solidFill>
                </w14:textFill>
              </w:rPr>
              <w:t>根据供应商针对本项目提供的在服务期间与采购人、其他单位、部门的综合协调方案</w:t>
            </w:r>
            <w:r>
              <w:rPr>
                <w:rFonts w:hint="eastAsia" w:ascii="宋体" w:hAnsi="宋体"/>
                <w:b w:val="0"/>
                <w:bCs w:val="0"/>
                <w:color w:val="000000" w:themeColor="text1"/>
                <w:sz w:val="24"/>
                <w:szCs w:val="22"/>
                <w:highlight w:val="white"/>
                <w:lang w:val="en-US" w:eastAsia="zh-CN"/>
                <w14:textFill>
                  <w14:solidFill>
                    <w14:schemeClr w14:val="tx1"/>
                  </w14:solidFill>
                </w14:textFill>
              </w:rPr>
              <w:t>进行综合评定</w:t>
            </w:r>
            <w:r>
              <w:rPr>
                <w:rFonts w:hint="eastAsia" w:ascii="宋体" w:hAnsi="宋体"/>
                <w:b w:val="0"/>
                <w:bCs w:val="0"/>
                <w:color w:val="000000" w:themeColor="text1"/>
                <w:sz w:val="24"/>
                <w:szCs w:val="22"/>
                <w:highlight w:val="white"/>
                <w14:textFill>
                  <w14:solidFill>
                    <w14:schemeClr w14:val="tx1"/>
                  </w14:solidFill>
                </w14:textFill>
              </w:rPr>
              <w:t>，</w:t>
            </w:r>
            <w:r>
              <w:rPr>
                <w:rFonts w:hint="eastAsia" w:cs="宋体" w:asciiTheme="minorEastAsia" w:hAnsiTheme="minorEastAsia" w:eastAsiaTheme="minorEastAsia"/>
                <w:b w:val="0"/>
                <w:bCs w:val="0"/>
                <w:sz w:val="24"/>
                <w:szCs w:val="24"/>
              </w:rPr>
              <w:t>体现上述评审要点且内容贴合项目需求的得</w:t>
            </w:r>
            <w:r>
              <w:rPr>
                <w:rFonts w:hint="eastAsia" w:cs="宋体" w:asciiTheme="minorEastAsia" w:hAnsiTheme="minorEastAsia" w:eastAsiaTheme="minorEastAsia"/>
                <w:b w:val="0"/>
                <w:bCs w:val="0"/>
                <w:sz w:val="24"/>
                <w:szCs w:val="24"/>
                <w:lang w:val="en-US" w:eastAsia="zh-CN"/>
              </w:rPr>
              <w:t>2</w:t>
            </w:r>
            <w:r>
              <w:rPr>
                <w:rFonts w:hint="eastAsia" w:cs="宋体" w:asciiTheme="minorEastAsia" w:hAnsiTheme="minorEastAsia" w:eastAsiaTheme="minorEastAsia"/>
                <w:b w:val="0"/>
                <w:bCs w:val="0"/>
                <w:sz w:val="24"/>
                <w:szCs w:val="24"/>
              </w:rPr>
              <w:t>分；体现上述评审要点但内容无法完全贴合项目需求的得</w:t>
            </w:r>
            <w:r>
              <w:rPr>
                <w:rFonts w:hint="eastAsia" w:cs="宋体" w:asciiTheme="minorEastAsia" w:hAnsiTheme="minorEastAsia" w:eastAsiaTheme="minorEastAsia"/>
                <w:b w:val="0"/>
                <w:bCs w:val="0"/>
                <w:sz w:val="24"/>
                <w:szCs w:val="24"/>
                <w:lang w:val="en-US" w:eastAsia="zh-CN"/>
              </w:rPr>
              <w:t>1</w:t>
            </w:r>
            <w:r>
              <w:rPr>
                <w:rFonts w:hint="eastAsia" w:cs="宋体" w:asciiTheme="minorEastAsia" w:hAnsiTheme="minorEastAsia" w:eastAsiaTheme="minorEastAsia"/>
                <w:b w:val="0"/>
                <w:bCs w:val="0"/>
                <w:sz w:val="24"/>
                <w:szCs w:val="24"/>
              </w:rPr>
              <w:t>分；未能体现评审要点（或无实质性内容的），对应项得0分。本项最高得</w:t>
            </w:r>
            <w:r>
              <w:rPr>
                <w:rFonts w:hint="eastAsia" w:cs="宋体" w:asciiTheme="minorEastAsia" w:hAnsiTheme="minorEastAsia" w:eastAsiaTheme="minorEastAsia"/>
                <w:b w:val="0"/>
                <w:bCs w:val="0"/>
                <w:sz w:val="24"/>
                <w:szCs w:val="24"/>
                <w:lang w:val="en-US" w:eastAsia="zh-CN"/>
              </w:rPr>
              <w:t>2</w:t>
            </w:r>
            <w:r>
              <w:rPr>
                <w:rFonts w:hint="eastAsia" w:cs="宋体" w:asciiTheme="minorEastAsia" w:hAnsiTheme="minorEastAsia" w:eastAsiaTheme="minorEastAsia"/>
                <w:b w:val="0"/>
                <w:bCs w:val="0"/>
                <w:sz w:val="24"/>
                <w:szCs w:val="24"/>
              </w:rPr>
              <w:t>分。</w:t>
            </w:r>
          </w:p>
        </w:tc>
      </w:tr>
      <w:tr w14:paraId="1CEA5B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 w:hRule="atLeast"/>
          <w:jc w:val="center"/>
        </w:trPr>
        <w:tc>
          <w:tcPr>
            <w:tcW w:w="746" w:type="dxa"/>
            <w:tcBorders>
              <w:top w:val="single" w:color="auto" w:sz="4" w:space="0"/>
              <w:left w:val="single" w:color="auto" w:sz="4" w:space="0"/>
              <w:bottom w:val="single" w:color="auto" w:sz="4" w:space="0"/>
              <w:right w:val="single" w:color="auto" w:sz="4" w:space="0"/>
            </w:tcBorders>
            <w:vAlign w:val="center"/>
          </w:tcPr>
          <w:p w14:paraId="7346F0F1">
            <w:pPr>
              <w:jc w:val="center"/>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10</w:t>
            </w:r>
          </w:p>
        </w:tc>
        <w:tc>
          <w:tcPr>
            <w:tcW w:w="1716" w:type="dxa"/>
            <w:tcBorders>
              <w:top w:val="single" w:color="auto" w:sz="4" w:space="0"/>
              <w:left w:val="single" w:color="auto" w:sz="4" w:space="0"/>
              <w:bottom w:val="single" w:color="auto" w:sz="4" w:space="0"/>
              <w:right w:val="single" w:color="auto" w:sz="4" w:space="0"/>
            </w:tcBorders>
            <w:shd w:val="clear" w:color="auto" w:fill="auto"/>
            <w:vAlign w:val="center"/>
          </w:tcPr>
          <w:p w14:paraId="19B807A5">
            <w:pPr>
              <w:jc w:val="center"/>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保密措施</w:t>
            </w:r>
          </w:p>
        </w:tc>
        <w:tc>
          <w:tcPr>
            <w:tcW w:w="780" w:type="dxa"/>
            <w:tcBorders>
              <w:top w:val="single" w:color="auto" w:sz="4" w:space="0"/>
              <w:left w:val="single" w:color="auto" w:sz="4" w:space="0"/>
              <w:bottom w:val="single" w:color="auto" w:sz="4" w:space="0"/>
              <w:right w:val="single" w:color="auto" w:sz="4" w:space="0"/>
            </w:tcBorders>
            <w:shd w:val="clear" w:color="auto" w:fill="auto"/>
            <w:vAlign w:val="center"/>
          </w:tcPr>
          <w:p w14:paraId="4C4C6BC0">
            <w:pPr>
              <w:jc w:val="center"/>
              <w:rPr>
                <w:rFonts w:ascii="宋体" w:hAnsi="宋体"/>
                <w:color w:val="000000" w:themeColor="text1"/>
                <w:sz w:val="24"/>
                <w:szCs w:val="22"/>
                <w:highlight w:val="white"/>
                <w14:textFill>
                  <w14:solidFill>
                    <w14:schemeClr w14:val="tx1"/>
                  </w14:solidFill>
                </w14:textFill>
              </w:rPr>
            </w:pPr>
            <w:r>
              <w:rPr>
                <w:rFonts w:hint="eastAsia" w:ascii="宋体" w:hAnsi="宋体"/>
                <w:color w:val="000000" w:themeColor="text1"/>
                <w:sz w:val="24"/>
                <w:szCs w:val="22"/>
                <w:highlight w:val="white"/>
                <w:lang w:val="en-US" w:eastAsia="zh-CN"/>
                <w14:textFill>
                  <w14:solidFill>
                    <w14:schemeClr w14:val="tx1"/>
                  </w14:solidFill>
                </w14:textFill>
              </w:rPr>
              <w:t>3</w:t>
            </w:r>
            <w:r>
              <w:rPr>
                <w:rFonts w:hint="eastAsia" w:ascii="宋体" w:hAnsi="宋体"/>
                <w:color w:val="000000" w:themeColor="text1"/>
                <w:sz w:val="24"/>
                <w:szCs w:val="22"/>
                <w:highlight w:val="white"/>
                <w14:textFill>
                  <w14:solidFill>
                    <w14:schemeClr w14:val="tx1"/>
                  </w14:solidFill>
                </w14:textFill>
              </w:rPr>
              <w:t>分</w:t>
            </w:r>
          </w:p>
        </w:tc>
        <w:tc>
          <w:tcPr>
            <w:tcW w:w="6434" w:type="dxa"/>
            <w:tcBorders>
              <w:top w:val="single" w:color="auto" w:sz="4" w:space="0"/>
              <w:left w:val="single" w:color="auto" w:sz="4" w:space="0"/>
              <w:bottom w:val="single" w:color="auto" w:sz="4" w:space="0"/>
              <w:right w:val="single" w:color="auto" w:sz="4" w:space="0"/>
            </w:tcBorders>
            <w:shd w:val="clear" w:color="auto" w:fill="auto"/>
            <w:vAlign w:val="center"/>
          </w:tcPr>
          <w:p w14:paraId="20EBD821">
            <w:pPr>
              <w:rPr>
                <w:rFonts w:ascii="宋体" w:hAnsi="宋体"/>
                <w:b w:val="0"/>
                <w:bCs w:val="0"/>
                <w:color w:val="000000" w:themeColor="text1"/>
                <w:sz w:val="24"/>
                <w:szCs w:val="22"/>
                <w:highlight w:val="white"/>
                <w14:textFill>
                  <w14:solidFill>
                    <w14:schemeClr w14:val="tx1"/>
                  </w14:solidFill>
                </w14:textFill>
              </w:rPr>
            </w:pPr>
            <w:r>
              <w:rPr>
                <w:rFonts w:hint="eastAsia" w:ascii="宋体" w:hAnsi="宋体"/>
                <w:b w:val="0"/>
                <w:bCs w:val="0"/>
                <w:color w:val="000000" w:themeColor="text1"/>
                <w:sz w:val="24"/>
                <w:szCs w:val="24"/>
                <w:highlight w:val="white"/>
                <w:lang w:val="zh-CN"/>
                <w14:textFill>
                  <w14:solidFill>
                    <w14:schemeClr w14:val="tx1"/>
                  </w14:solidFill>
                </w14:textFill>
              </w:rPr>
              <w:t>根据供应商</w:t>
            </w:r>
            <w:r>
              <w:rPr>
                <w:rFonts w:hint="eastAsia" w:ascii="宋体" w:hAnsi="宋体"/>
                <w:b w:val="0"/>
                <w:bCs w:val="0"/>
                <w:color w:val="000000" w:themeColor="text1"/>
                <w:sz w:val="24"/>
                <w:szCs w:val="24"/>
                <w:highlight w:val="white"/>
                <w14:textFill>
                  <w14:solidFill>
                    <w14:schemeClr w14:val="tx1"/>
                  </w14:solidFill>
                </w14:textFill>
              </w:rPr>
              <w:t>针</w:t>
            </w:r>
            <w:r>
              <w:rPr>
                <w:rFonts w:hint="eastAsia" w:ascii="宋体" w:hAnsi="宋体"/>
                <w:b w:val="0"/>
                <w:bCs w:val="0"/>
                <w:color w:val="000000" w:themeColor="text1"/>
                <w:sz w:val="24"/>
                <w:szCs w:val="24"/>
                <w:highlight w:val="white"/>
                <w:lang w:val="zh-CN"/>
                <w14:textFill>
                  <w14:solidFill>
                    <w14:schemeClr w14:val="tx1"/>
                  </w14:solidFill>
                </w14:textFill>
              </w:rPr>
              <w:t>对本项目</w:t>
            </w:r>
            <w:r>
              <w:rPr>
                <w:rFonts w:hint="eastAsia" w:ascii="宋体" w:hAnsi="宋体"/>
                <w:b w:val="0"/>
                <w:bCs w:val="0"/>
                <w:color w:val="000000" w:themeColor="text1"/>
                <w:sz w:val="24"/>
                <w:szCs w:val="24"/>
                <w:highlight w:val="white"/>
                <w14:textFill>
                  <w14:solidFill>
                    <w14:schemeClr w14:val="tx1"/>
                  </w14:solidFill>
                </w14:textFill>
              </w:rPr>
              <w:t>提供</w:t>
            </w:r>
            <w:r>
              <w:rPr>
                <w:rFonts w:hint="eastAsia" w:ascii="宋体" w:hAnsi="宋体"/>
                <w:b w:val="0"/>
                <w:bCs w:val="0"/>
                <w:color w:val="000000" w:themeColor="text1"/>
                <w:sz w:val="24"/>
                <w:szCs w:val="24"/>
                <w:highlight w:val="white"/>
                <w:lang w:val="zh-CN"/>
                <w14:textFill>
                  <w14:solidFill>
                    <w14:schemeClr w14:val="tx1"/>
                  </w14:solidFill>
                </w14:textFill>
              </w:rPr>
              <w:t>的</w:t>
            </w:r>
            <w:r>
              <w:rPr>
                <w:rFonts w:hint="eastAsia" w:ascii="宋体" w:hAnsi="宋体"/>
                <w:b w:val="0"/>
                <w:bCs w:val="0"/>
                <w:color w:val="000000" w:themeColor="text1"/>
                <w:sz w:val="24"/>
                <w:highlight w:val="white"/>
                <w14:textFill>
                  <w14:solidFill>
                    <w14:schemeClr w14:val="tx1"/>
                  </w14:solidFill>
                </w14:textFill>
              </w:rPr>
              <w:t>保密措施（</w:t>
            </w:r>
            <w:r>
              <w:rPr>
                <w:rFonts w:hint="eastAsia" w:ascii="宋体" w:hAnsi="宋体"/>
                <w:b w:val="0"/>
                <w:bCs w:val="0"/>
                <w:color w:val="000000" w:themeColor="text1"/>
                <w:sz w:val="24"/>
                <w:szCs w:val="22"/>
                <w:highlight w:val="white"/>
                <w14:textFill>
                  <w14:solidFill>
                    <w14:schemeClr w14:val="tx1"/>
                  </w14:solidFill>
                </w14:textFill>
              </w:rPr>
              <w:t>具体包括①各类相关资料；②各类数据；</w:t>
            </w:r>
            <w:r>
              <w:rPr>
                <w:rFonts w:ascii="宋体" w:hAnsi="宋体" w:cs="宋体"/>
                <w:b w:val="0"/>
                <w:bCs w:val="0"/>
                <w:color w:val="000000" w:themeColor="text1"/>
                <w:sz w:val="24"/>
                <w:szCs w:val="24"/>
                <w:highlight w:val="white"/>
                <w14:textFill>
                  <w14:solidFill>
                    <w14:schemeClr w14:val="tx1"/>
                  </w14:solidFill>
                </w14:textFill>
              </w:rPr>
              <w:fldChar w:fldCharType="begin"/>
            </w:r>
            <w:r>
              <w:rPr>
                <w:rFonts w:hint="eastAsia" w:ascii="宋体" w:hAnsi="宋体" w:cs="宋体"/>
                <w:b w:val="0"/>
                <w:bCs w:val="0"/>
                <w:color w:val="000000" w:themeColor="text1"/>
                <w:sz w:val="24"/>
                <w:szCs w:val="24"/>
                <w:highlight w:val="white"/>
                <w14:textFill>
                  <w14:solidFill>
                    <w14:schemeClr w14:val="tx1"/>
                  </w14:solidFill>
                </w14:textFill>
              </w:rPr>
              <w:instrText xml:space="preserve">= 3 \* GB3</w:instrText>
            </w:r>
            <w:r>
              <w:rPr>
                <w:rFonts w:ascii="宋体" w:hAnsi="宋体" w:cs="宋体"/>
                <w:b w:val="0"/>
                <w:bCs w:val="0"/>
                <w:color w:val="000000" w:themeColor="text1"/>
                <w:sz w:val="24"/>
                <w:szCs w:val="24"/>
                <w:highlight w:val="white"/>
                <w14:textFill>
                  <w14:solidFill>
                    <w14:schemeClr w14:val="tx1"/>
                  </w14:solidFill>
                </w14:textFill>
              </w:rPr>
              <w:fldChar w:fldCharType="separate"/>
            </w:r>
            <w:r>
              <w:rPr>
                <w:rFonts w:hint="eastAsia" w:ascii="宋体" w:hAnsi="宋体" w:cs="宋体"/>
                <w:b w:val="0"/>
                <w:bCs w:val="0"/>
                <w:color w:val="000000" w:themeColor="text1"/>
                <w:sz w:val="24"/>
                <w:szCs w:val="24"/>
                <w:highlight w:val="white"/>
                <w14:textFill>
                  <w14:solidFill>
                    <w14:schemeClr w14:val="tx1"/>
                  </w14:solidFill>
                </w14:textFill>
              </w:rPr>
              <w:t>③</w:t>
            </w:r>
            <w:r>
              <w:rPr>
                <w:rFonts w:ascii="宋体" w:hAnsi="宋体" w:cs="宋体"/>
                <w:b w:val="0"/>
                <w:bCs w:val="0"/>
                <w:color w:val="000000" w:themeColor="text1"/>
                <w:sz w:val="24"/>
                <w:szCs w:val="24"/>
                <w:highlight w:val="white"/>
                <w14:textFill>
                  <w14:solidFill>
                    <w14:schemeClr w14:val="tx1"/>
                  </w14:solidFill>
                </w14:textFill>
              </w:rPr>
              <w:fldChar w:fldCharType="end"/>
            </w:r>
            <w:r>
              <w:rPr>
                <w:rFonts w:hint="eastAsia" w:ascii="宋体" w:hAnsi="宋体" w:cs="宋体"/>
                <w:b w:val="0"/>
                <w:bCs w:val="0"/>
                <w:color w:val="000000" w:themeColor="text1"/>
                <w:sz w:val="24"/>
                <w:szCs w:val="24"/>
                <w:highlight w:val="white"/>
                <w14:textFill>
                  <w14:solidFill>
                    <w14:schemeClr w14:val="tx1"/>
                  </w14:solidFill>
                </w14:textFill>
              </w:rPr>
              <w:t>各类</w:t>
            </w:r>
            <w:r>
              <w:rPr>
                <w:rFonts w:hint="eastAsia" w:ascii="宋体" w:hAnsi="宋体"/>
                <w:b w:val="0"/>
                <w:bCs w:val="0"/>
                <w:color w:val="000000" w:themeColor="text1"/>
                <w:sz w:val="24"/>
                <w:szCs w:val="22"/>
                <w:highlight w:val="white"/>
                <w14:textFill>
                  <w14:solidFill>
                    <w14:schemeClr w14:val="tx1"/>
                  </w14:solidFill>
                </w14:textFill>
              </w:rPr>
              <w:t>成果</w:t>
            </w:r>
            <w:r>
              <w:rPr>
                <w:rFonts w:hint="eastAsia" w:ascii="宋体" w:hAnsi="宋体"/>
                <w:b w:val="0"/>
                <w:bCs w:val="0"/>
                <w:color w:val="000000" w:themeColor="text1"/>
                <w:sz w:val="24"/>
                <w:highlight w:val="white"/>
                <w14:textFill>
                  <w14:solidFill>
                    <w14:schemeClr w14:val="tx1"/>
                  </w14:solidFill>
                </w14:textFill>
              </w:rPr>
              <w:t>）</w:t>
            </w:r>
            <w:r>
              <w:rPr>
                <w:rFonts w:hint="eastAsia" w:ascii="宋体" w:hAnsi="宋体"/>
                <w:b w:val="0"/>
                <w:bCs w:val="0"/>
                <w:color w:val="000000" w:themeColor="text1"/>
                <w:sz w:val="24"/>
                <w:szCs w:val="24"/>
                <w:highlight w:val="white"/>
                <w:lang w:val="zh-CN"/>
                <w14:textFill>
                  <w14:solidFill>
                    <w14:schemeClr w14:val="tx1"/>
                  </w14:solidFill>
                </w14:textFill>
              </w:rPr>
              <w:t>进行</w:t>
            </w:r>
            <w:r>
              <w:rPr>
                <w:rFonts w:hint="eastAsia" w:ascii="宋体" w:hAnsi="宋体"/>
                <w:b w:val="0"/>
                <w:bCs w:val="0"/>
                <w:color w:val="000000" w:themeColor="text1"/>
                <w:sz w:val="24"/>
                <w:szCs w:val="24"/>
                <w:highlight w:val="white"/>
                <w14:textFill>
                  <w14:solidFill>
                    <w14:schemeClr w14:val="tx1"/>
                  </w14:solidFill>
                </w14:textFill>
              </w:rPr>
              <w:t>评定</w:t>
            </w:r>
            <w:r>
              <w:rPr>
                <w:rFonts w:hint="eastAsia" w:ascii="宋体" w:hAnsi="宋体"/>
                <w:b w:val="0"/>
                <w:bCs w:val="0"/>
                <w:color w:val="000000" w:themeColor="text1"/>
                <w:sz w:val="24"/>
                <w:szCs w:val="24"/>
                <w:highlight w:val="white"/>
                <w:lang w:val="zh-CN"/>
                <w14:textFill>
                  <w14:solidFill>
                    <w14:schemeClr w14:val="tx1"/>
                  </w14:solidFill>
                </w14:textFill>
              </w:rPr>
              <w:t>，</w:t>
            </w:r>
            <w:r>
              <w:rPr>
                <w:rFonts w:ascii="宋体" w:hAnsi="宋体"/>
                <w:b w:val="0"/>
                <w:bCs w:val="0"/>
                <w:color w:val="000000" w:themeColor="text1"/>
                <w:sz w:val="24"/>
                <w:szCs w:val="22"/>
                <w:highlight w:val="white"/>
                <w14:textFill>
                  <w14:solidFill>
                    <w14:schemeClr w14:val="tx1"/>
                  </w14:solidFill>
                </w14:textFill>
              </w:rPr>
              <w:t>本项最高得</w:t>
            </w:r>
            <w:r>
              <w:rPr>
                <w:rFonts w:hint="eastAsia" w:ascii="宋体" w:hAnsi="宋体"/>
                <w:b w:val="0"/>
                <w:bCs w:val="0"/>
                <w:color w:val="000000" w:themeColor="text1"/>
                <w:sz w:val="24"/>
                <w:szCs w:val="22"/>
                <w:highlight w:val="white"/>
                <w:lang w:val="en-US" w:eastAsia="zh-CN"/>
                <w14:textFill>
                  <w14:solidFill>
                    <w14:schemeClr w14:val="tx1"/>
                  </w14:solidFill>
                </w14:textFill>
              </w:rPr>
              <w:t>3</w:t>
            </w:r>
            <w:r>
              <w:rPr>
                <w:rFonts w:ascii="宋体" w:hAnsi="宋体"/>
                <w:b w:val="0"/>
                <w:bCs w:val="0"/>
                <w:color w:val="000000" w:themeColor="text1"/>
                <w:sz w:val="24"/>
                <w:szCs w:val="22"/>
                <w:highlight w:val="white"/>
                <w14:textFill>
                  <w14:solidFill>
                    <w14:schemeClr w14:val="tx1"/>
                  </w14:solidFill>
                </w14:textFill>
              </w:rPr>
              <w:t>分。体现上述评审要点且内容贴合</w:t>
            </w:r>
            <w:r>
              <w:rPr>
                <w:rFonts w:hint="eastAsia" w:ascii="宋体" w:hAnsi="宋体"/>
                <w:b w:val="0"/>
                <w:bCs w:val="0"/>
                <w:color w:val="000000" w:themeColor="text1"/>
                <w:sz w:val="24"/>
                <w:szCs w:val="22"/>
                <w:highlight w:val="white"/>
                <w14:textFill>
                  <w14:solidFill>
                    <w14:schemeClr w14:val="tx1"/>
                  </w14:solidFill>
                </w14:textFill>
              </w:rPr>
              <w:t>项目</w:t>
            </w:r>
            <w:r>
              <w:rPr>
                <w:rFonts w:ascii="宋体" w:hAnsi="宋体"/>
                <w:b w:val="0"/>
                <w:bCs w:val="0"/>
                <w:color w:val="000000" w:themeColor="text1"/>
                <w:sz w:val="24"/>
                <w:szCs w:val="22"/>
                <w:highlight w:val="white"/>
                <w14:textFill>
                  <w14:solidFill>
                    <w14:schemeClr w14:val="tx1"/>
                  </w14:solidFill>
                </w14:textFill>
              </w:rPr>
              <w:t>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1</w:t>
            </w:r>
            <w:r>
              <w:rPr>
                <w:rFonts w:ascii="宋体" w:hAnsi="宋体"/>
                <w:b w:val="0"/>
                <w:bCs w:val="0"/>
                <w:color w:val="000000" w:themeColor="text1"/>
                <w:sz w:val="24"/>
                <w:szCs w:val="22"/>
                <w:highlight w:val="white"/>
                <w14:textFill>
                  <w14:solidFill>
                    <w14:schemeClr w14:val="tx1"/>
                  </w14:solidFill>
                </w14:textFill>
              </w:rPr>
              <w:t>分；体现上述评审要点但内容无法完全贴合</w:t>
            </w:r>
            <w:r>
              <w:rPr>
                <w:rFonts w:hint="eastAsia" w:ascii="宋体" w:hAnsi="宋体"/>
                <w:b w:val="0"/>
                <w:bCs w:val="0"/>
                <w:color w:val="000000" w:themeColor="text1"/>
                <w:sz w:val="24"/>
                <w:szCs w:val="22"/>
                <w:highlight w:val="white"/>
                <w14:textFill>
                  <w14:solidFill>
                    <w14:schemeClr w14:val="tx1"/>
                  </w14:solidFill>
                </w14:textFill>
              </w:rPr>
              <w:t>项目</w:t>
            </w:r>
            <w:r>
              <w:rPr>
                <w:rFonts w:ascii="宋体" w:hAnsi="宋体"/>
                <w:b w:val="0"/>
                <w:bCs w:val="0"/>
                <w:color w:val="000000" w:themeColor="text1"/>
                <w:sz w:val="24"/>
                <w:szCs w:val="22"/>
                <w:highlight w:val="white"/>
                <w14:textFill>
                  <w14:solidFill>
                    <w14:schemeClr w14:val="tx1"/>
                  </w14:solidFill>
                </w14:textFill>
              </w:rPr>
              <w:t>需求的，每有一项得</w:t>
            </w:r>
            <w:r>
              <w:rPr>
                <w:rFonts w:hint="eastAsia" w:ascii="宋体" w:hAnsi="宋体"/>
                <w:b w:val="0"/>
                <w:bCs w:val="0"/>
                <w:color w:val="000000" w:themeColor="text1"/>
                <w:sz w:val="24"/>
                <w:szCs w:val="22"/>
                <w:highlight w:val="white"/>
                <w:lang w:val="en-US" w:eastAsia="zh-CN"/>
                <w14:textFill>
                  <w14:solidFill>
                    <w14:schemeClr w14:val="tx1"/>
                  </w14:solidFill>
                </w14:textFill>
              </w:rPr>
              <w:t>0.5</w:t>
            </w:r>
            <w:r>
              <w:rPr>
                <w:rFonts w:ascii="宋体" w:hAnsi="宋体"/>
                <w:b w:val="0"/>
                <w:bCs w:val="0"/>
                <w:color w:val="000000" w:themeColor="text1"/>
                <w:sz w:val="24"/>
                <w:szCs w:val="22"/>
                <w:highlight w:val="white"/>
                <w14:textFill>
                  <w14:solidFill>
                    <w14:schemeClr w14:val="tx1"/>
                  </w14:solidFill>
                </w14:textFill>
              </w:rPr>
              <w:t>分；未能体现评审要点（或无实质性内容的），对应项得0分。</w:t>
            </w:r>
          </w:p>
        </w:tc>
      </w:tr>
    </w:tbl>
    <w:p w14:paraId="4AF2AB1C">
      <w:pPr>
        <w:spacing w:line="440" w:lineRule="exact"/>
        <w:ind w:firstLine="482"/>
        <w:rPr>
          <w:b/>
          <w:bCs/>
          <w:sz w:val="24"/>
          <w:szCs w:val="24"/>
          <w:highlight w:val="none"/>
        </w:rPr>
      </w:pPr>
      <w:r>
        <w:rPr>
          <w:rFonts w:hint="eastAsia"/>
          <w:b/>
          <w:bCs/>
          <w:sz w:val="24"/>
          <w:szCs w:val="24"/>
          <w:highlight w:val="none"/>
        </w:rPr>
        <w:t>3、人员配备</w:t>
      </w:r>
      <w:r>
        <w:rPr>
          <w:rFonts w:hint="eastAsia"/>
          <w:b/>
          <w:bCs/>
          <w:sz w:val="24"/>
          <w:szCs w:val="24"/>
          <w:highlight w:val="none"/>
          <w:lang w:val="en-US" w:eastAsia="zh-CN"/>
        </w:rPr>
        <w:t>24</w:t>
      </w:r>
      <w:r>
        <w:rPr>
          <w:rFonts w:hint="eastAsia"/>
          <w:b/>
          <w:bCs/>
          <w:sz w:val="24"/>
          <w:szCs w:val="24"/>
          <w:highlight w:val="none"/>
        </w:rPr>
        <w:t>分</w:t>
      </w:r>
    </w:p>
    <w:tbl>
      <w:tblPr>
        <w:tblStyle w:val="55"/>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705"/>
        <w:gridCol w:w="790"/>
        <w:gridCol w:w="6403"/>
      </w:tblGrid>
      <w:tr w14:paraId="771CB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13144C84">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序号</w:t>
            </w:r>
          </w:p>
        </w:tc>
        <w:tc>
          <w:tcPr>
            <w:tcW w:w="1705" w:type="dxa"/>
            <w:tcBorders>
              <w:top w:val="single" w:color="auto" w:sz="4" w:space="0"/>
              <w:left w:val="single" w:color="auto" w:sz="4" w:space="0"/>
              <w:bottom w:val="single" w:color="auto" w:sz="4" w:space="0"/>
              <w:right w:val="single" w:color="auto" w:sz="4" w:space="0"/>
            </w:tcBorders>
            <w:vAlign w:val="center"/>
          </w:tcPr>
          <w:p w14:paraId="05B07A72">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评审因素</w:t>
            </w:r>
          </w:p>
        </w:tc>
        <w:tc>
          <w:tcPr>
            <w:tcW w:w="790" w:type="dxa"/>
            <w:tcBorders>
              <w:top w:val="single" w:color="auto" w:sz="4" w:space="0"/>
              <w:left w:val="single" w:color="auto" w:sz="4" w:space="0"/>
              <w:bottom w:val="single" w:color="auto" w:sz="4" w:space="0"/>
              <w:right w:val="single" w:color="auto" w:sz="4" w:space="0"/>
            </w:tcBorders>
            <w:vAlign w:val="center"/>
          </w:tcPr>
          <w:p w14:paraId="2504E4D6">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分值</w:t>
            </w:r>
          </w:p>
        </w:tc>
        <w:tc>
          <w:tcPr>
            <w:tcW w:w="6403" w:type="dxa"/>
            <w:tcBorders>
              <w:top w:val="single" w:color="auto" w:sz="4" w:space="0"/>
              <w:left w:val="single" w:color="auto" w:sz="4" w:space="0"/>
              <w:bottom w:val="single" w:color="auto" w:sz="4" w:space="0"/>
              <w:right w:val="single" w:color="auto" w:sz="4" w:space="0"/>
            </w:tcBorders>
            <w:vAlign w:val="center"/>
          </w:tcPr>
          <w:p w14:paraId="249BC7AC">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评分标准</w:t>
            </w:r>
          </w:p>
        </w:tc>
      </w:tr>
      <w:tr w14:paraId="65191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31364ABB">
            <w:pPr>
              <w:jc w:val="center"/>
              <w:rPr>
                <w:rFonts w:ascii="宋体" w:hAnsi="宋体"/>
                <w:color w:val="000000" w:themeColor="text1"/>
                <w:sz w:val="24"/>
                <w:szCs w:val="24"/>
                <w:highlight w:val="none"/>
                <w14:textFill>
                  <w14:solidFill>
                    <w14:schemeClr w14:val="tx1"/>
                  </w14:solidFill>
                </w14:textFill>
              </w:rPr>
            </w:pPr>
            <w:bookmarkStart w:id="68" w:name="OLE_LINK16"/>
            <w:r>
              <w:rPr>
                <w:rFonts w:hint="eastAsia" w:ascii="宋体" w:hAnsi="宋体"/>
                <w:color w:val="000000" w:themeColor="text1"/>
                <w:sz w:val="24"/>
                <w:szCs w:val="24"/>
                <w:highlight w:val="none"/>
                <w14:textFill>
                  <w14:solidFill>
                    <w14:schemeClr w14:val="tx1"/>
                  </w14:solidFill>
                </w14:textFill>
              </w:rPr>
              <w:t>1</w:t>
            </w:r>
          </w:p>
        </w:tc>
        <w:tc>
          <w:tcPr>
            <w:tcW w:w="1705" w:type="dxa"/>
            <w:tcBorders>
              <w:top w:val="single" w:color="auto" w:sz="4" w:space="0"/>
              <w:left w:val="single" w:color="auto" w:sz="4" w:space="0"/>
              <w:bottom w:val="single" w:color="auto" w:sz="4" w:space="0"/>
              <w:right w:val="single" w:color="auto" w:sz="4" w:space="0"/>
            </w:tcBorders>
            <w:vAlign w:val="center"/>
          </w:tcPr>
          <w:p w14:paraId="2D8F09DC">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项目负责人</w:t>
            </w:r>
          </w:p>
        </w:tc>
        <w:tc>
          <w:tcPr>
            <w:tcW w:w="790" w:type="dxa"/>
            <w:tcBorders>
              <w:top w:val="single" w:color="auto" w:sz="4" w:space="0"/>
              <w:left w:val="single" w:color="auto" w:sz="4" w:space="0"/>
              <w:bottom w:val="single" w:color="auto" w:sz="4" w:space="0"/>
              <w:right w:val="single" w:color="auto" w:sz="4" w:space="0"/>
            </w:tcBorders>
            <w:vAlign w:val="center"/>
          </w:tcPr>
          <w:p w14:paraId="0F44B9DA">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分</w:t>
            </w:r>
          </w:p>
        </w:tc>
        <w:tc>
          <w:tcPr>
            <w:tcW w:w="6403" w:type="dxa"/>
            <w:tcBorders>
              <w:top w:val="single" w:color="auto" w:sz="4" w:space="0"/>
              <w:left w:val="single" w:color="auto" w:sz="4" w:space="0"/>
              <w:bottom w:val="single" w:color="auto" w:sz="4" w:space="0"/>
              <w:right w:val="single" w:color="auto" w:sz="4" w:space="0"/>
            </w:tcBorders>
            <w:vAlign w:val="center"/>
          </w:tcPr>
          <w:p w14:paraId="5A7CC11B">
            <w:pPr>
              <w:rPr>
                <w:rFonts w:hint="eastAsia" w:ascii="宋体" w:hAnsi="宋体"/>
                <w:color w:val="000000" w:themeColor="text1"/>
                <w:sz w:val="24"/>
                <w:szCs w:val="22"/>
                <w:highlight w:val="none"/>
                <w14:textFill>
                  <w14:solidFill>
                    <w14:schemeClr w14:val="tx1"/>
                  </w14:solidFill>
                </w14:textFill>
              </w:rPr>
            </w:pPr>
            <w:bookmarkStart w:id="69" w:name="OLE_LINK20"/>
            <w:bookmarkStart w:id="70" w:name="OLE_LINK19"/>
            <w:r>
              <w:rPr>
                <w:rFonts w:hint="eastAsia" w:ascii="宋体" w:hAnsi="宋体"/>
                <w:color w:val="000000" w:themeColor="text1"/>
                <w:sz w:val="24"/>
                <w:szCs w:val="22"/>
                <w:highlight w:val="none"/>
                <w14:textFill>
                  <w14:solidFill>
                    <w14:schemeClr w14:val="tx1"/>
                  </w14:solidFill>
                </w14:textFill>
              </w:rPr>
              <w:t>项目负责人具有</w:t>
            </w:r>
            <w:bookmarkEnd w:id="69"/>
            <w:bookmarkEnd w:id="70"/>
            <w:r>
              <w:rPr>
                <w:rFonts w:hint="eastAsia" w:ascii="宋体" w:hAnsi="宋体"/>
                <w:color w:val="000000" w:themeColor="text1"/>
                <w:sz w:val="24"/>
                <w:szCs w:val="22"/>
                <w:highlight w:val="none"/>
                <w14:textFill>
                  <w14:solidFill>
                    <w14:schemeClr w14:val="tx1"/>
                  </w14:solidFill>
                </w14:textFill>
              </w:rPr>
              <w:t>电子信息工程专业</w:t>
            </w:r>
            <w:r>
              <w:rPr>
                <w:rFonts w:hint="eastAsia" w:ascii="宋体" w:hAnsi="宋体"/>
                <w:color w:val="000000" w:themeColor="text1"/>
                <w:sz w:val="24"/>
                <w:szCs w:val="22"/>
                <w:highlight w:val="none"/>
                <w:lang w:val="en-US" w:eastAsia="zh-CN"/>
                <w14:textFill>
                  <w14:solidFill>
                    <w14:schemeClr w14:val="tx1"/>
                  </w14:solidFill>
                </w14:textFill>
              </w:rPr>
              <w:t>高级职称</w:t>
            </w:r>
            <w:r>
              <w:rPr>
                <w:rFonts w:hint="eastAsia" w:ascii="宋体" w:hAnsi="宋体"/>
                <w:color w:val="000000" w:themeColor="text1"/>
                <w:sz w:val="24"/>
                <w:szCs w:val="22"/>
                <w:highlight w:val="none"/>
                <w14:textFill>
                  <w14:solidFill>
                    <w14:schemeClr w14:val="tx1"/>
                  </w14:solidFill>
                </w14:textFill>
              </w:rPr>
              <w:t>的</w:t>
            </w:r>
            <w:bookmarkStart w:id="71" w:name="OLE_LINK21"/>
            <w:bookmarkStart w:id="72" w:name="OLE_LINK22"/>
            <w:r>
              <w:rPr>
                <w:rFonts w:hint="eastAsia" w:ascii="宋体" w:hAnsi="宋体"/>
                <w:color w:val="000000" w:themeColor="text1"/>
                <w:sz w:val="24"/>
                <w:szCs w:val="22"/>
                <w:highlight w:val="none"/>
                <w14:textFill>
                  <w14:solidFill>
                    <w14:schemeClr w14:val="tx1"/>
                  </w14:solidFill>
                </w14:textFill>
              </w:rPr>
              <w:t>得2分，本小项最高得2分。</w:t>
            </w:r>
            <w:bookmarkEnd w:id="71"/>
            <w:bookmarkEnd w:id="72"/>
          </w:p>
          <w:p w14:paraId="037071E8">
            <w:pPr>
              <w:pStyle w:val="2"/>
              <w:ind w:firstLine="0"/>
              <w:rPr>
                <w:color w:val="auto"/>
                <w:highlight w:val="none"/>
              </w:rPr>
            </w:pPr>
            <w:r>
              <w:rPr>
                <w:rFonts w:hint="eastAsia" w:ascii="宋体" w:hAnsi="宋体"/>
                <w:color w:val="auto"/>
                <w:sz w:val="24"/>
                <w:szCs w:val="22"/>
                <w:highlight w:val="none"/>
              </w:rPr>
              <w:t>项目负责人</w:t>
            </w:r>
            <w:bookmarkStart w:id="73" w:name="OLE_LINK25"/>
            <w:bookmarkStart w:id="74" w:name="OLE_LINK26"/>
            <w:r>
              <w:rPr>
                <w:rFonts w:hint="eastAsia" w:ascii="宋体" w:hAnsi="宋体"/>
                <w:color w:val="auto"/>
                <w:sz w:val="24"/>
                <w:szCs w:val="22"/>
                <w:highlight w:val="none"/>
              </w:rPr>
              <w:t>具有计算机或地理信息系统</w:t>
            </w:r>
            <w:r>
              <w:rPr>
                <w:rFonts w:hint="eastAsia" w:ascii="宋体" w:hAnsi="宋体"/>
                <w:color w:val="auto"/>
                <w:sz w:val="24"/>
                <w:szCs w:val="22"/>
                <w:highlight w:val="none"/>
                <w:lang w:val="en-US" w:eastAsia="zh-CN"/>
              </w:rPr>
              <w:t>类专业</w:t>
            </w:r>
            <w:r>
              <w:rPr>
                <w:rFonts w:hint="eastAsia" w:ascii="宋体" w:hAnsi="宋体"/>
                <w:color w:val="auto"/>
                <w:sz w:val="24"/>
                <w:szCs w:val="22"/>
                <w:highlight w:val="none"/>
              </w:rPr>
              <w:t>硕士研究生及以上学历</w:t>
            </w:r>
            <w:r>
              <w:rPr>
                <w:rFonts w:hint="eastAsia" w:ascii="宋体" w:hAnsi="宋体"/>
                <w:color w:val="auto"/>
                <w:sz w:val="24"/>
                <w:szCs w:val="22"/>
                <w:highlight w:val="none"/>
                <w:lang w:val="en-US" w:eastAsia="zh-CN"/>
              </w:rPr>
              <w:t>的得2分</w:t>
            </w:r>
            <w:r>
              <w:rPr>
                <w:rFonts w:hint="eastAsia" w:ascii="宋体" w:hAnsi="宋体"/>
                <w:color w:val="auto"/>
                <w:sz w:val="24"/>
                <w:szCs w:val="22"/>
                <w:highlight w:val="none"/>
              </w:rPr>
              <w:t>，本小项最高得2分。</w:t>
            </w:r>
          </w:p>
          <w:bookmarkEnd w:id="73"/>
          <w:bookmarkEnd w:id="74"/>
          <w:p w14:paraId="214DC6C6">
            <w:pPr>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1）</w:t>
            </w:r>
            <w:r>
              <w:rPr>
                <w:rFonts w:hint="eastAsia" w:ascii="宋体" w:hAnsi="宋体" w:cs="宋体"/>
                <w:b/>
                <w:color w:val="000000" w:themeColor="text1"/>
                <w:sz w:val="24"/>
                <w:szCs w:val="24"/>
                <w:highlight w:val="none"/>
                <w14:textFill>
                  <w14:solidFill>
                    <w14:schemeClr w14:val="tx1"/>
                  </w14:solidFill>
                </w14:textFill>
              </w:rPr>
              <w:t>响应文件中需提供相关证书</w:t>
            </w:r>
            <w:r>
              <w:rPr>
                <w:rFonts w:hint="eastAsia" w:ascii="宋体" w:hAnsi="宋体"/>
                <w:b/>
                <w:bCs/>
                <w:color w:val="000000" w:themeColor="text1"/>
                <w:sz w:val="24"/>
                <w:szCs w:val="24"/>
                <w:highlight w:val="none"/>
                <w14:textFill>
                  <w14:solidFill>
                    <w14:schemeClr w14:val="tx1"/>
                  </w14:solidFill>
                </w14:textFill>
              </w:rPr>
              <w:t>及供应商为其缴纳的近三个月内任意一个月的社保证明</w:t>
            </w:r>
            <w:r>
              <w:rPr>
                <w:rFonts w:hint="eastAsia" w:ascii="宋体" w:hAnsi="宋体" w:cs="宋体"/>
                <w:b/>
                <w:color w:val="000000" w:themeColor="text1"/>
                <w:sz w:val="24"/>
                <w:szCs w:val="24"/>
                <w:highlight w:val="none"/>
                <w14:textFill>
                  <w14:solidFill>
                    <w14:schemeClr w14:val="tx1"/>
                  </w14:solidFill>
                </w14:textFill>
              </w:rPr>
              <w:t>扫描件，未提供的不得分。</w:t>
            </w:r>
          </w:p>
          <w:p w14:paraId="149C5556">
            <w:pPr>
              <w:pStyle w:val="2"/>
              <w:rPr>
                <w:rFonts w:hint="default" w:eastAsia="宋体"/>
                <w:highlight w:val="none"/>
                <w:lang w:val="en-US" w:eastAsia="zh-CN"/>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（2）联合体参加的，只以联合体牵头人投入的项目负责人计入本项评分。</w:t>
            </w:r>
          </w:p>
        </w:tc>
      </w:tr>
      <w:tr w14:paraId="4378D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32D83B67">
            <w:pPr>
              <w:jc w:val="center"/>
              <w:rPr>
                <w:rFonts w:ascii="宋体" w:hAnsi="宋体"/>
                <w:color w:val="000000" w:themeColor="text1"/>
                <w:sz w:val="24"/>
                <w:szCs w:val="24"/>
                <w:highlight w:val="none"/>
                <w14:textFill>
                  <w14:solidFill>
                    <w14:schemeClr w14:val="tx1"/>
                  </w14:solidFill>
                </w14:textFill>
              </w:rPr>
            </w:pPr>
            <w:bookmarkStart w:id="75" w:name="OLE_LINK17"/>
            <w:r>
              <w:rPr>
                <w:rFonts w:hint="eastAsia" w:ascii="宋体" w:hAnsi="宋体"/>
                <w:color w:val="000000" w:themeColor="text1"/>
                <w:sz w:val="24"/>
                <w:szCs w:val="24"/>
                <w:highlight w:val="none"/>
                <w14:textFill>
                  <w14:solidFill>
                    <w14:schemeClr w14:val="tx1"/>
                  </w14:solidFill>
                </w14:textFill>
              </w:rPr>
              <w:t>2</w:t>
            </w:r>
          </w:p>
        </w:tc>
        <w:tc>
          <w:tcPr>
            <w:tcW w:w="1705" w:type="dxa"/>
            <w:tcBorders>
              <w:top w:val="single" w:color="auto" w:sz="4" w:space="0"/>
              <w:left w:val="single" w:color="auto" w:sz="4" w:space="0"/>
              <w:bottom w:val="single" w:color="auto" w:sz="4" w:space="0"/>
              <w:right w:val="single" w:color="auto" w:sz="4" w:space="0"/>
            </w:tcBorders>
            <w:vAlign w:val="center"/>
          </w:tcPr>
          <w:p w14:paraId="6875D6CA">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技术负责人</w:t>
            </w:r>
          </w:p>
        </w:tc>
        <w:tc>
          <w:tcPr>
            <w:tcW w:w="790" w:type="dxa"/>
            <w:tcBorders>
              <w:top w:val="single" w:color="auto" w:sz="4" w:space="0"/>
              <w:left w:val="single" w:color="auto" w:sz="4" w:space="0"/>
              <w:bottom w:val="single" w:color="auto" w:sz="4" w:space="0"/>
              <w:right w:val="single" w:color="auto" w:sz="4" w:space="0"/>
            </w:tcBorders>
            <w:vAlign w:val="center"/>
          </w:tcPr>
          <w:p w14:paraId="49B2A3A9">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4</w:t>
            </w:r>
            <w:r>
              <w:rPr>
                <w:rFonts w:hint="eastAsia" w:ascii="宋体" w:hAnsi="宋体"/>
                <w:bCs/>
                <w:color w:val="000000" w:themeColor="text1"/>
                <w:sz w:val="24"/>
                <w:szCs w:val="24"/>
                <w:highlight w:val="none"/>
                <w14:textFill>
                  <w14:solidFill>
                    <w14:schemeClr w14:val="tx1"/>
                  </w14:solidFill>
                </w14:textFill>
              </w:rPr>
              <w:t>分</w:t>
            </w:r>
          </w:p>
        </w:tc>
        <w:tc>
          <w:tcPr>
            <w:tcW w:w="6403" w:type="dxa"/>
            <w:tcBorders>
              <w:top w:val="single" w:color="auto" w:sz="4" w:space="0"/>
              <w:left w:val="single" w:color="auto" w:sz="4" w:space="0"/>
              <w:bottom w:val="single" w:color="auto" w:sz="4" w:space="0"/>
              <w:right w:val="single" w:color="auto" w:sz="4" w:space="0"/>
            </w:tcBorders>
            <w:vAlign w:val="center"/>
          </w:tcPr>
          <w:p w14:paraId="60FC57F5">
            <w:pPr>
              <w:rPr>
                <w:rFonts w:hint="eastAsia" w:ascii="宋体" w:hAnsi="宋体"/>
                <w:color w:val="000000" w:themeColor="text1"/>
                <w:sz w:val="24"/>
                <w:szCs w:val="22"/>
                <w:highlight w:val="none"/>
                <w14:textFill>
                  <w14:solidFill>
                    <w14:schemeClr w14:val="tx1"/>
                  </w14:solidFill>
                </w14:textFill>
              </w:rPr>
            </w:pPr>
            <w:bookmarkStart w:id="76" w:name="OLE_LINK23"/>
            <w:bookmarkStart w:id="77" w:name="OLE_LINK24"/>
            <w:r>
              <w:rPr>
                <w:rFonts w:hint="eastAsia" w:ascii="宋体" w:hAnsi="宋体"/>
                <w:color w:val="000000" w:themeColor="text1"/>
                <w:sz w:val="24"/>
                <w:szCs w:val="22"/>
                <w:highlight w:val="none"/>
                <w14:textFill>
                  <w14:solidFill>
                    <w14:schemeClr w14:val="tx1"/>
                  </w14:solidFill>
                </w14:textFill>
              </w:rPr>
              <w:t>技术负责人具有</w:t>
            </w:r>
            <w:bookmarkEnd w:id="76"/>
            <w:bookmarkEnd w:id="77"/>
            <w:r>
              <w:rPr>
                <w:rFonts w:hint="eastAsia" w:ascii="宋体" w:hAnsi="宋体"/>
                <w:color w:val="000000" w:themeColor="text1"/>
                <w:sz w:val="24"/>
                <w:szCs w:val="22"/>
                <w:highlight w:val="none"/>
                <w14:textFill>
                  <w14:solidFill>
                    <w14:schemeClr w14:val="tx1"/>
                  </w14:solidFill>
                </w14:textFill>
              </w:rPr>
              <w:t>电子信息工程专业</w:t>
            </w:r>
            <w:r>
              <w:rPr>
                <w:rFonts w:hint="eastAsia" w:ascii="宋体" w:hAnsi="宋体"/>
                <w:color w:val="000000" w:themeColor="text1"/>
                <w:sz w:val="24"/>
                <w:szCs w:val="22"/>
                <w:highlight w:val="none"/>
                <w:lang w:val="en-US" w:eastAsia="zh-CN"/>
                <w14:textFill>
                  <w14:solidFill>
                    <w14:schemeClr w14:val="tx1"/>
                  </w14:solidFill>
                </w14:textFill>
              </w:rPr>
              <w:t>高级职称</w:t>
            </w:r>
            <w:r>
              <w:rPr>
                <w:rFonts w:hint="eastAsia" w:ascii="宋体" w:hAnsi="宋体"/>
                <w:color w:val="000000" w:themeColor="text1"/>
                <w:sz w:val="24"/>
                <w:szCs w:val="22"/>
                <w:highlight w:val="none"/>
                <w14:textFill>
                  <w14:solidFill>
                    <w14:schemeClr w14:val="tx1"/>
                  </w14:solidFill>
                </w14:textFill>
              </w:rPr>
              <w:t>的得2分，本小项最高得2分。</w:t>
            </w:r>
          </w:p>
          <w:p w14:paraId="36F43890">
            <w:pPr>
              <w:pStyle w:val="2"/>
              <w:ind w:firstLine="0"/>
              <w:rPr>
                <w:color w:val="auto"/>
                <w:highlight w:val="none"/>
              </w:rPr>
            </w:pPr>
            <w:r>
              <w:rPr>
                <w:rFonts w:hint="eastAsia" w:ascii="宋体" w:hAnsi="宋体"/>
                <w:color w:val="auto"/>
                <w:sz w:val="24"/>
                <w:szCs w:val="22"/>
                <w:highlight w:val="none"/>
              </w:rPr>
              <w:t>技术负责人具有计算机或地理信息系统</w:t>
            </w:r>
            <w:r>
              <w:rPr>
                <w:rFonts w:hint="eastAsia" w:ascii="宋体" w:hAnsi="宋体"/>
                <w:color w:val="auto"/>
                <w:sz w:val="24"/>
                <w:szCs w:val="22"/>
                <w:highlight w:val="none"/>
                <w:lang w:val="en-US" w:eastAsia="zh-CN"/>
              </w:rPr>
              <w:t>类专业</w:t>
            </w:r>
            <w:r>
              <w:rPr>
                <w:rFonts w:hint="eastAsia" w:ascii="宋体" w:hAnsi="宋体"/>
                <w:color w:val="auto"/>
                <w:sz w:val="24"/>
                <w:szCs w:val="22"/>
                <w:highlight w:val="none"/>
              </w:rPr>
              <w:t>硕士研究生及以上学历</w:t>
            </w:r>
            <w:r>
              <w:rPr>
                <w:rFonts w:hint="eastAsia" w:ascii="宋体" w:hAnsi="宋体"/>
                <w:color w:val="auto"/>
                <w:sz w:val="24"/>
                <w:szCs w:val="22"/>
                <w:highlight w:val="none"/>
                <w:lang w:val="en-US" w:eastAsia="zh-CN"/>
              </w:rPr>
              <w:t>的得2分</w:t>
            </w:r>
            <w:r>
              <w:rPr>
                <w:rFonts w:hint="eastAsia" w:ascii="宋体" w:hAnsi="宋体"/>
                <w:color w:val="auto"/>
                <w:sz w:val="24"/>
                <w:szCs w:val="22"/>
                <w:highlight w:val="none"/>
              </w:rPr>
              <w:t>，本小项最高得2分。</w:t>
            </w:r>
          </w:p>
          <w:p w14:paraId="4C043F3D">
            <w:pPr>
              <w:jc w:val="left"/>
              <w:rPr>
                <w:rFonts w:hint="eastAsia"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注：</w:t>
            </w:r>
            <w:r>
              <w:rPr>
                <w:rFonts w:hint="eastAsia" w:ascii="宋体" w:hAnsi="宋体" w:cs="宋体"/>
                <w:b/>
                <w:color w:val="000000" w:themeColor="text1"/>
                <w:sz w:val="24"/>
                <w:szCs w:val="24"/>
                <w:highlight w:val="none"/>
                <w:lang w:eastAsia="zh-CN"/>
                <w14:textFill>
                  <w14:solidFill>
                    <w14:schemeClr w14:val="tx1"/>
                  </w14:solidFill>
                </w14:textFill>
              </w:rPr>
              <w:t>（</w:t>
            </w:r>
            <w:r>
              <w:rPr>
                <w:rFonts w:hint="eastAsia" w:ascii="宋体" w:hAnsi="宋体" w:cs="宋体"/>
                <w:b/>
                <w:color w:val="000000" w:themeColor="text1"/>
                <w:sz w:val="24"/>
                <w:szCs w:val="24"/>
                <w:highlight w:val="none"/>
                <w:lang w:val="en-US" w:eastAsia="zh-CN"/>
                <w14:textFill>
                  <w14:solidFill>
                    <w14:schemeClr w14:val="tx1"/>
                  </w14:solidFill>
                </w14:textFill>
              </w:rPr>
              <w:t>1）</w:t>
            </w:r>
            <w:r>
              <w:rPr>
                <w:rFonts w:hint="eastAsia" w:ascii="宋体" w:hAnsi="宋体" w:cs="宋体"/>
                <w:b/>
                <w:color w:val="000000" w:themeColor="text1"/>
                <w:sz w:val="24"/>
                <w:szCs w:val="24"/>
                <w:highlight w:val="none"/>
                <w14:textFill>
                  <w14:solidFill>
                    <w14:schemeClr w14:val="tx1"/>
                  </w14:solidFill>
                </w14:textFill>
              </w:rPr>
              <w:t>响应文件中需提供相关证书</w:t>
            </w:r>
            <w:r>
              <w:rPr>
                <w:rFonts w:hint="eastAsia" w:ascii="宋体" w:hAnsi="宋体"/>
                <w:b/>
                <w:bCs/>
                <w:color w:val="000000" w:themeColor="text1"/>
                <w:sz w:val="24"/>
                <w:szCs w:val="24"/>
                <w:highlight w:val="none"/>
                <w14:textFill>
                  <w14:solidFill>
                    <w14:schemeClr w14:val="tx1"/>
                  </w14:solidFill>
                </w14:textFill>
              </w:rPr>
              <w:t>及供应商为其缴纳的近三个月内任意一个月的社保证明</w:t>
            </w:r>
            <w:r>
              <w:rPr>
                <w:rFonts w:hint="eastAsia" w:ascii="宋体" w:hAnsi="宋体" w:cs="宋体"/>
                <w:b/>
                <w:color w:val="000000" w:themeColor="text1"/>
                <w:sz w:val="24"/>
                <w:szCs w:val="24"/>
                <w:highlight w:val="none"/>
                <w14:textFill>
                  <w14:solidFill>
                    <w14:schemeClr w14:val="tx1"/>
                  </w14:solidFill>
                </w14:textFill>
              </w:rPr>
              <w:t>扫描件，未提供的不得分。</w:t>
            </w:r>
            <w:bookmarkEnd w:id="68"/>
          </w:p>
          <w:p w14:paraId="6F21BC05">
            <w:pPr>
              <w:pStyle w:val="2"/>
              <w:rPr>
                <w:highlight w:val="none"/>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（2）联合体参加的，只以联合体牵头人投入的技术负责人计入本项评分。</w:t>
            </w:r>
          </w:p>
        </w:tc>
      </w:tr>
      <w:tr w14:paraId="5BC9D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36" w:type="dxa"/>
            <w:tcBorders>
              <w:top w:val="single" w:color="auto" w:sz="4" w:space="0"/>
              <w:left w:val="single" w:color="auto" w:sz="4" w:space="0"/>
              <w:bottom w:val="single" w:color="auto" w:sz="4" w:space="0"/>
              <w:right w:val="single" w:color="auto" w:sz="4" w:space="0"/>
            </w:tcBorders>
            <w:vAlign w:val="center"/>
          </w:tcPr>
          <w:p w14:paraId="372028B3">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3</w:t>
            </w:r>
          </w:p>
        </w:tc>
        <w:tc>
          <w:tcPr>
            <w:tcW w:w="1705" w:type="dxa"/>
            <w:tcBorders>
              <w:top w:val="single" w:color="auto" w:sz="4" w:space="0"/>
              <w:left w:val="single" w:color="auto" w:sz="4" w:space="0"/>
              <w:bottom w:val="single" w:color="auto" w:sz="4" w:space="0"/>
              <w:right w:val="single" w:color="auto" w:sz="4" w:space="0"/>
            </w:tcBorders>
            <w:vAlign w:val="center"/>
          </w:tcPr>
          <w:p w14:paraId="51C05A56">
            <w:pPr>
              <w:jc w:val="center"/>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项目组成员</w:t>
            </w:r>
          </w:p>
        </w:tc>
        <w:tc>
          <w:tcPr>
            <w:tcW w:w="790" w:type="dxa"/>
            <w:tcBorders>
              <w:top w:val="single" w:color="auto" w:sz="4" w:space="0"/>
              <w:left w:val="single" w:color="auto" w:sz="4" w:space="0"/>
              <w:bottom w:val="single" w:color="auto" w:sz="4" w:space="0"/>
              <w:right w:val="single" w:color="auto" w:sz="4" w:space="0"/>
            </w:tcBorders>
            <w:vAlign w:val="center"/>
          </w:tcPr>
          <w:p w14:paraId="2E151DD6">
            <w:pPr>
              <w:jc w:val="center"/>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16</w:t>
            </w:r>
            <w:r>
              <w:rPr>
                <w:rFonts w:ascii="宋体" w:hAnsi="宋体"/>
                <w:bCs/>
                <w:color w:val="000000" w:themeColor="text1"/>
                <w:sz w:val="24"/>
                <w:szCs w:val="24"/>
                <w:highlight w:val="none"/>
                <w14:textFill>
                  <w14:solidFill>
                    <w14:schemeClr w14:val="tx1"/>
                  </w14:solidFill>
                </w14:textFill>
              </w:rPr>
              <w:t>分</w:t>
            </w:r>
          </w:p>
        </w:tc>
        <w:tc>
          <w:tcPr>
            <w:tcW w:w="6403" w:type="dxa"/>
            <w:tcBorders>
              <w:top w:val="single" w:color="auto" w:sz="4" w:space="0"/>
              <w:left w:val="single" w:color="auto" w:sz="4" w:space="0"/>
              <w:bottom w:val="single" w:color="auto" w:sz="4" w:space="0"/>
              <w:right w:val="single" w:color="auto" w:sz="4" w:space="0"/>
            </w:tcBorders>
            <w:vAlign w:val="center"/>
          </w:tcPr>
          <w:p w14:paraId="17793519">
            <w:pPr>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项目组成员中（</w:t>
            </w:r>
            <w:bookmarkStart w:id="78" w:name="OLE_LINK3"/>
            <w:r>
              <w:rPr>
                <w:rFonts w:ascii="宋体" w:hAnsi="宋体"/>
                <w:bCs/>
                <w:color w:val="000000" w:themeColor="text1"/>
                <w:sz w:val="24"/>
                <w:szCs w:val="24"/>
                <w:highlight w:val="none"/>
                <w14:textFill>
                  <w14:solidFill>
                    <w14:schemeClr w14:val="tx1"/>
                  </w14:solidFill>
                </w14:textFill>
              </w:rPr>
              <w:t>项目负责人</w:t>
            </w:r>
            <w:r>
              <w:rPr>
                <w:rFonts w:hint="eastAsia" w:ascii="宋体" w:hAnsi="宋体"/>
                <w:bCs/>
                <w:color w:val="000000" w:themeColor="text1"/>
                <w:sz w:val="24"/>
                <w:szCs w:val="24"/>
                <w:highlight w:val="none"/>
                <w14:textFill>
                  <w14:solidFill>
                    <w14:schemeClr w14:val="tx1"/>
                  </w14:solidFill>
                </w14:textFill>
              </w:rPr>
              <w:t>、技术负责人</w:t>
            </w:r>
            <w:r>
              <w:rPr>
                <w:rFonts w:ascii="宋体" w:hAnsi="宋体"/>
                <w:bCs/>
                <w:color w:val="000000" w:themeColor="text1"/>
                <w:sz w:val="24"/>
                <w:szCs w:val="24"/>
                <w:highlight w:val="none"/>
                <w14:textFill>
                  <w14:solidFill>
                    <w14:schemeClr w14:val="tx1"/>
                  </w14:solidFill>
                </w14:textFill>
              </w:rPr>
              <w:t>除外</w:t>
            </w:r>
            <w:bookmarkEnd w:id="78"/>
            <w:r>
              <w:rPr>
                <w:rFonts w:ascii="宋体" w:hAnsi="宋体"/>
                <w:bCs/>
                <w:color w:val="000000" w:themeColor="text1"/>
                <w:sz w:val="24"/>
                <w:szCs w:val="24"/>
                <w:highlight w:val="none"/>
                <w14:textFill>
                  <w14:solidFill>
                    <w14:schemeClr w14:val="tx1"/>
                  </w14:solidFill>
                </w14:textFill>
              </w:rPr>
              <w:t>）具有</w:t>
            </w:r>
            <w:bookmarkStart w:id="79" w:name="OLE_LINK1"/>
            <w:r>
              <w:rPr>
                <w:rFonts w:hint="eastAsia" w:ascii="宋体" w:hAnsi="宋体"/>
                <w:color w:val="000000" w:themeColor="text1"/>
                <w:sz w:val="24"/>
                <w:szCs w:val="22"/>
                <w:highlight w:val="none"/>
                <w14:textFill>
                  <w14:solidFill>
                    <w14:schemeClr w14:val="tx1"/>
                  </w14:solidFill>
                </w14:textFill>
              </w:rPr>
              <w:t>测绘、土地</w:t>
            </w:r>
            <w:r>
              <w:rPr>
                <w:rFonts w:hint="eastAsia" w:ascii="宋体" w:hAnsi="宋体"/>
                <w:bCs/>
                <w:color w:val="000000" w:themeColor="text1"/>
                <w:sz w:val="24"/>
                <w:szCs w:val="24"/>
                <w:highlight w:val="none"/>
                <w14:textFill>
                  <w14:solidFill>
                    <w14:schemeClr w14:val="tx1"/>
                  </w14:solidFill>
                </w14:textFill>
              </w:rPr>
              <w:t>类</w:t>
            </w:r>
            <w:bookmarkEnd w:id="79"/>
            <w:r>
              <w:rPr>
                <w:rFonts w:hint="eastAsia" w:ascii="宋体" w:hAnsi="宋体"/>
                <w:bCs/>
                <w:color w:val="000000" w:themeColor="text1"/>
                <w:sz w:val="24"/>
                <w:szCs w:val="24"/>
                <w:highlight w:val="none"/>
                <w:lang w:val="en-US" w:eastAsia="zh-CN"/>
                <w14:textFill>
                  <w14:solidFill>
                    <w14:schemeClr w14:val="tx1"/>
                  </w14:solidFill>
                </w14:textFill>
              </w:rPr>
              <w:t>高级职称</w:t>
            </w:r>
            <w:r>
              <w:rPr>
                <w:rFonts w:ascii="宋体" w:hAnsi="宋体"/>
                <w:bCs/>
                <w:color w:val="000000" w:themeColor="text1"/>
                <w:sz w:val="24"/>
                <w:szCs w:val="24"/>
                <w:highlight w:val="none"/>
                <w14:textFill>
                  <w14:solidFill>
                    <w14:schemeClr w14:val="tx1"/>
                  </w14:solidFill>
                </w14:textFill>
              </w:rPr>
              <w:t>的</w:t>
            </w:r>
            <w:r>
              <w:rPr>
                <w:rFonts w:hint="eastAsia" w:ascii="宋体" w:hAnsi="宋体"/>
                <w:bCs/>
                <w:color w:val="000000" w:themeColor="text1"/>
                <w:sz w:val="24"/>
                <w:szCs w:val="24"/>
                <w:highlight w:val="none"/>
                <w14:textFill>
                  <w14:solidFill>
                    <w14:schemeClr w14:val="tx1"/>
                  </w14:solidFill>
                </w14:textFill>
              </w:rPr>
              <w:t>，每有一人</w:t>
            </w:r>
            <w:r>
              <w:rPr>
                <w:rFonts w:ascii="宋体" w:hAnsi="宋体"/>
                <w:bCs/>
                <w:color w:val="000000" w:themeColor="text1"/>
                <w:sz w:val="24"/>
                <w:szCs w:val="24"/>
                <w:highlight w:val="none"/>
                <w14:textFill>
                  <w14:solidFill>
                    <w14:schemeClr w14:val="tx1"/>
                  </w14:solidFill>
                </w14:textFill>
              </w:rPr>
              <w:t>得</w:t>
            </w:r>
            <w:r>
              <w:rPr>
                <w:rFonts w:hint="eastAsia" w:ascii="宋体" w:hAnsi="宋体"/>
                <w:bCs/>
                <w:color w:val="000000" w:themeColor="text1"/>
                <w:sz w:val="24"/>
                <w:szCs w:val="24"/>
                <w:highlight w:val="none"/>
                <w14:textFill>
                  <w14:solidFill>
                    <w14:schemeClr w14:val="tx1"/>
                  </w14:solidFill>
                </w14:textFill>
              </w:rPr>
              <w:t>1</w:t>
            </w:r>
            <w:r>
              <w:rPr>
                <w:rFonts w:ascii="宋体" w:hAnsi="宋体"/>
                <w:bCs/>
                <w:color w:val="000000" w:themeColor="text1"/>
                <w:sz w:val="24"/>
                <w:szCs w:val="24"/>
                <w:highlight w:val="none"/>
                <w14:textFill>
                  <w14:solidFill>
                    <w14:schemeClr w14:val="tx1"/>
                  </w14:solidFill>
                </w14:textFill>
              </w:rPr>
              <w:t>分</w:t>
            </w:r>
            <w:r>
              <w:rPr>
                <w:rFonts w:hint="eastAsia" w:ascii="宋体" w:hAnsi="宋体"/>
                <w:bCs/>
                <w:color w:val="000000" w:themeColor="text1"/>
                <w:sz w:val="24"/>
                <w:szCs w:val="24"/>
                <w:highlight w:val="none"/>
                <w14:textFill>
                  <w14:solidFill>
                    <w14:schemeClr w14:val="tx1"/>
                  </w14:solidFill>
                </w14:textFill>
              </w:rPr>
              <w:t>；具有</w:t>
            </w:r>
            <w:r>
              <w:rPr>
                <w:rFonts w:hint="eastAsia" w:ascii="宋体" w:hAnsi="宋体"/>
                <w:color w:val="000000" w:themeColor="text1"/>
                <w:sz w:val="24"/>
                <w:szCs w:val="22"/>
                <w:highlight w:val="none"/>
                <w14:textFill>
                  <w14:solidFill>
                    <w14:schemeClr w14:val="tx1"/>
                  </w14:solidFill>
                </w14:textFill>
              </w:rPr>
              <w:t>测绘、土地</w:t>
            </w:r>
            <w:r>
              <w:rPr>
                <w:rFonts w:hint="eastAsia" w:ascii="宋体" w:hAnsi="宋体"/>
                <w:bCs/>
                <w:color w:val="000000" w:themeColor="text1"/>
                <w:sz w:val="24"/>
                <w:szCs w:val="24"/>
                <w:highlight w:val="none"/>
                <w14:textFill>
                  <w14:solidFill>
                    <w14:schemeClr w14:val="tx1"/>
                  </w14:solidFill>
                </w14:textFill>
              </w:rPr>
              <w:t>类中级职称的，每有一人得0.5分。其余不得分。本项最高得</w:t>
            </w:r>
            <w:r>
              <w:rPr>
                <w:rFonts w:hint="eastAsia" w:ascii="宋体" w:hAnsi="宋体"/>
                <w:bCs/>
                <w:color w:val="000000" w:themeColor="text1"/>
                <w:sz w:val="24"/>
                <w:szCs w:val="24"/>
                <w:highlight w:val="none"/>
                <w:lang w:val="en-US" w:eastAsia="zh-CN"/>
                <w14:textFill>
                  <w14:solidFill>
                    <w14:schemeClr w14:val="tx1"/>
                  </w14:solidFill>
                </w14:textFill>
              </w:rPr>
              <w:t>16</w:t>
            </w:r>
            <w:r>
              <w:rPr>
                <w:rFonts w:hint="eastAsia" w:ascii="宋体" w:hAnsi="宋体"/>
                <w:bCs/>
                <w:color w:val="000000" w:themeColor="text1"/>
                <w:sz w:val="24"/>
                <w:szCs w:val="24"/>
                <w:highlight w:val="none"/>
                <w14:textFill>
                  <w14:solidFill>
                    <w14:schemeClr w14:val="tx1"/>
                  </w14:solidFill>
                </w14:textFill>
              </w:rPr>
              <w:t>分。</w:t>
            </w:r>
          </w:p>
          <w:p w14:paraId="5DA0DA0F">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注：（1）响应文件中需提供上述人员相关证书及供应商为其缴纳的近三个月内任意一个月的社保证明扫描件，未提供的不得分。</w:t>
            </w:r>
          </w:p>
          <w:p w14:paraId="392AE3DE">
            <w:pPr>
              <w:numPr>
                <w:ilvl w:val="0"/>
                <w:numId w:val="0"/>
              </w:numPr>
              <w:ind w:firstLine="482" w:firstLineChars="200"/>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lang w:eastAsia="zh-CN"/>
                <w14:textFill>
                  <w14:solidFill>
                    <w14:schemeClr w14:val="tx1"/>
                  </w14:solidFill>
                </w14:textFill>
              </w:rPr>
              <w:t>（</w:t>
            </w:r>
            <w:r>
              <w:rPr>
                <w:rFonts w:hint="eastAsia" w:ascii="宋体" w:hAnsi="宋体"/>
                <w:b/>
                <w:bCs/>
                <w:color w:val="000000" w:themeColor="text1"/>
                <w:sz w:val="24"/>
                <w:szCs w:val="24"/>
                <w:highlight w:val="none"/>
                <w:lang w:val="en-US" w:eastAsia="zh-CN"/>
                <w14:textFill>
                  <w14:solidFill>
                    <w14:schemeClr w14:val="tx1"/>
                  </w14:solidFill>
                </w14:textFill>
              </w:rPr>
              <w:t>2）</w:t>
            </w:r>
            <w:r>
              <w:rPr>
                <w:rFonts w:hint="eastAsia" w:ascii="宋体" w:hAnsi="宋体"/>
                <w:b/>
                <w:bCs/>
                <w:color w:val="000000" w:themeColor="text1"/>
                <w:sz w:val="24"/>
                <w:szCs w:val="24"/>
                <w:highlight w:val="none"/>
                <w14:textFill>
                  <w14:solidFill>
                    <w14:schemeClr w14:val="tx1"/>
                  </w14:solidFill>
                </w14:textFill>
              </w:rPr>
              <w:t>同一人员具有不同等级证书的不重复计算，按最高级别计取。</w:t>
            </w:r>
          </w:p>
          <w:p w14:paraId="5D3153CC">
            <w:pPr>
              <w:numPr>
                <w:ilvl w:val="0"/>
                <w:numId w:val="0"/>
              </w:numPr>
              <w:ind w:firstLine="482" w:firstLineChars="200"/>
              <w:rPr>
                <w:rFonts w:hint="eastAsia"/>
                <w:highlight w:val="none"/>
              </w:rPr>
            </w:pPr>
            <w:r>
              <w:rPr>
                <w:rFonts w:hint="eastAsia" w:ascii="宋体" w:hAnsi="宋体"/>
                <w:b/>
                <w:bCs/>
                <w:color w:val="000000" w:themeColor="text1"/>
                <w:sz w:val="24"/>
                <w:szCs w:val="24"/>
                <w:highlight w:val="none"/>
                <w:lang w:eastAsia="zh-CN"/>
                <w14:textFill>
                  <w14:solidFill>
                    <w14:schemeClr w14:val="tx1"/>
                  </w14:solidFill>
                </w14:textFill>
              </w:rPr>
              <w:t>（</w:t>
            </w:r>
            <w:r>
              <w:rPr>
                <w:rFonts w:hint="eastAsia" w:ascii="宋体" w:hAnsi="宋体"/>
                <w:b/>
                <w:bCs/>
                <w:color w:val="000000" w:themeColor="text1"/>
                <w:sz w:val="24"/>
                <w:szCs w:val="24"/>
                <w:highlight w:val="none"/>
                <w:lang w:val="en-US" w:eastAsia="zh-CN"/>
                <w14:textFill>
                  <w14:solidFill>
                    <w14:schemeClr w14:val="tx1"/>
                  </w14:solidFill>
                </w14:textFill>
              </w:rPr>
              <w:t>3）联合体参加的，</w:t>
            </w:r>
            <w:r>
              <w:rPr>
                <w:rFonts w:hint="eastAsia" w:ascii="Times New Roman" w:hAnsi="Times New Roman" w:eastAsia="宋体" w:cs="Times New Roman"/>
                <w:b/>
                <w:bCs/>
                <w:color w:val="000000"/>
                <w:sz w:val="24"/>
                <w:szCs w:val="24"/>
                <w:highlight w:val="none"/>
                <w:lang w:val="zh-CN" w:eastAsia="zh-CN"/>
              </w:rPr>
              <w:t>联合体任一成员为本项目投入的</w:t>
            </w:r>
            <w:r>
              <w:rPr>
                <w:rFonts w:hint="eastAsia" w:ascii="Times New Roman" w:hAnsi="Times New Roman" w:eastAsia="宋体" w:cs="Times New Roman"/>
                <w:b/>
                <w:bCs/>
                <w:color w:val="000000"/>
                <w:sz w:val="24"/>
                <w:szCs w:val="24"/>
                <w:highlight w:val="none"/>
                <w:lang w:val="en-US" w:eastAsia="zh-CN"/>
              </w:rPr>
              <w:t>项目组成员</w:t>
            </w:r>
            <w:r>
              <w:rPr>
                <w:rFonts w:hint="eastAsia" w:ascii="Times New Roman" w:hAnsi="Times New Roman" w:eastAsia="宋体" w:cs="Times New Roman"/>
                <w:b/>
                <w:bCs/>
                <w:color w:val="000000"/>
                <w:sz w:val="24"/>
                <w:szCs w:val="24"/>
                <w:highlight w:val="none"/>
                <w:lang w:val="zh-CN" w:eastAsia="zh-CN"/>
              </w:rPr>
              <w:t>均可记入本项评分。</w:t>
            </w:r>
          </w:p>
        </w:tc>
      </w:tr>
      <w:bookmarkEnd w:id="75"/>
    </w:tbl>
    <w:p w14:paraId="7D935D7D">
      <w:pPr>
        <w:spacing w:line="440" w:lineRule="exact"/>
        <w:ind w:firstLine="482"/>
        <w:rPr>
          <w:b/>
          <w:bCs/>
          <w:sz w:val="24"/>
          <w:szCs w:val="24"/>
          <w:highlight w:val="none"/>
        </w:rPr>
      </w:pPr>
      <w:r>
        <w:rPr>
          <w:rFonts w:hint="eastAsia"/>
          <w:b/>
          <w:bCs/>
          <w:sz w:val="24"/>
          <w:szCs w:val="24"/>
          <w:highlight w:val="none"/>
        </w:rPr>
        <w:t>4、综合实力</w:t>
      </w:r>
      <w:r>
        <w:rPr>
          <w:rFonts w:hint="eastAsia"/>
          <w:b/>
          <w:bCs/>
          <w:sz w:val="24"/>
          <w:szCs w:val="24"/>
          <w:highlight w:val="none"/>
          <w:lang w:val="en-US" w:eastAsia="zh-CN"/>
        </w:rPr>
        <w:t>14</w:t>
      </w:r>
      <w:r>
        <w:rPr>
          <w:rFonts w:hint="eastAsia"/>
          <w:b/>
          <w:bCs/>
          <w:sz w:val="24"/>
          <w:szCs w:val="24"/>
          <w:highlight w:val="none"/>
        </w:rPr>
        <w:t>分</w:t>
      </w:r>
    </w:p>
    <w:tbl>
      <w:tblPr>
        <w:tblStyle w:val="55"/>
        <w:tblW w:w="487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9"/>
        <w:gridCol w:w="1754"/>
        <w:gridCol w:w="781"/>
        <w:gridCol w:w="6446"/>
      </w:tblGrid>
      <w:tr w14:paraId="6E2EC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5" w:type="pct"/>
            <w:vAlign w:val="center"/>
          </w:tcPr>
          <w:p w14:paraId="5DB26A23">
            <w:pPr>
              <w:jc w:val="center"/>
              <w:rPr>
                <w:rFonts w:ascii="宋体" w:hAnsi="宋体" w:cs="宋体"/>
                <w:sz w:val="24"/>
                <w:szCs w:val="24"/>
                <w:highlight w:val="none"/>
              </w:rPr>
            </w:pPr>
            <w:r>
              <w:rPr>
                <w:rFonts w:hint="eastAsia" w:ascii="宋体" w:hAnsi="宋体" w:cs="宋体"/>
                <w:sz w:val="24"/>
                <w:szCs w:val="24"/>
                <w:highlight w:val="none"/>
              </w:rPr>
              <w:t>序号</w:t>
            </w:r>
          </w:p>
        </w:tc>
        <w:tc>
          <w:tcPr>
            <w:tcW w:w="903" w:type="pct"/>
            <w:vAlign w:val="center"/>
          </w:tcPr>
          <w:p w14:paraId="76783E52">
            <w:pPr>
              <w:jc w:val="center"/>
              <w:rPr>
                <w:rFonts w:ascii="宋体" w:hAnsi="宋体" w:cs="宋体"/>
                <w:sz w:val="24"/>
                <w:szCs w:val="24"/>
                <w:highlight w:val="none"/>
              </w:rPr>
            </w:pPr>
            <w:r>
              <w:rPr>
                <w:rFonts w:hint="eastAsia" w:ascii="宋体" w:hAnsi="宋体" w:cs="宋体"/>
                <w:sz w:val="24"/>
                <w:szCs w:val="24"/>
                <w:highlight w:val="none"/>
              </w:rPr>
              <w:t>评审因素</w:t>
            </w:r>
          </w:p>
        </w:tc>
        <w:tc>
          <w:tcPr>
            <w:tcW w:w="402" w:type="pct"/>
            <w:vAlign w:val="center"/>
          </w:tcPr>
          <w:p w14:paraId="233F3848">
            <w:pPr>
              <w:jc w:val="center"/>
              <w:rPr>
                <w:rFonts w:ascii="宋体" w:hAnsi="宋体" w:cs="宋体"/>
                <w:sz w:val="24"/>
                <w:szCs w:val="24"/>
                <w:highlight w:val="none"/>
              </w:rPr>
            </w:pPr>
            <w:r>
              <w:rPr>
                <w:rFonts w:hint="eastAsia" w:ascii="宋体" w:hAnsi="宋体" w:cs="宋体"/>
                <w:sz w:val="24"/>
                <w:szCs w:val="24"/>
                <w:highlight w:val="none"/>
              </w:rPr>
              <w:t>权值</w:t>
            </w:r>
          </w:p>
        </w:tc>
        <w:tc>
          <w:tcPr>
            <w:tcW w:w="3318" w:type="pct"/>
            <w:vAlign w:val="center"/>
          </w:tcPr>
          <w:p w14:paraId="01942E40">
            <w:pPr>
              <w:jc w:val="center"/>
              <w:rPr>
                <w:rFonts w:ascii="宋体" w:hAnsi="宋体" w:cs="宋体"/>
                <w:sz w:val="24"/>
                <w:szCs w:val="24"/>
                <w:highlight w:val="none"/>
              </w:rPr>
            </w:pPr>
            <w:r>
              <w:rPr>
                <w:rFonts w:hint="eastAsia" w:ascii="宋体" w:hAnsi="宋体" w:cs="宋体"/>
                <w:sz w:val="24"/>
                <w:szCs w:val="24"/>
                <w:highlight w:val="none"/>
              </w:rPr>
              <w:t>评分标准</w:t>
            </w:r>
          </w:p>
        </w:tc>
      </w:tr>
      <w:tr w14:paraId="5AC1B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jc w:val="center"/>
        </w:trPr>
        <w:tc>
          <w:tcPr>
            <w:tcW w:w="375" w:type="pct"/>
            <w:vAlign w:val="center"/>
          </w:tcPr>
          <w:p w14:paraId="50FFB789">
            <w:pPr>
              <w:jc w:val="center"/>
              <w:rPr>
                <w:rFonts w:ascii="宋体" w:hAnsi="宋体" w:cs="宋体"/>
                <w:sz w:val="24"/>
                <w:szCs w:val="24"/>
                <w:highlight w:val="none"/>
              </w:rPr>
            </w:pPr>
            <w:r>
              <w:rPr>
                <w:rFonts w:hint="eastAsia" w:ascii="宋体" w:hAnsi="宋体" w:cs="宋体"/>
                <w:sz w:val="24"/>
                <w:szCs w:val="24"/>
                <w:highlight w:val="none"/>
              </w:rPr>
              <w:t>1</w:t>
            </w:r>
          </w:p>
        </w:tc>
        <w:tc>
          <w:tcPr>
            <w:tcW w:w="903" w:type="pct"/>
            <w:vAlign w:val="center"/>
          </w:tcPr>
          <w:p w14:paraId="6955EABC">
            <w:pPr>
              <w:pStyle w:val="19"/>
              <w:jc w:val="center"/>
              <w:rPr>
                <w:rFonts w:ascii="宋体" w:hAnsi="宋体" w:cs="宋体"/>
                <w:sz w:val="24"/>
                <w:szCs w:val="24"/>
                <w:highlight w:val="none"/>
              </w:rPr>
            </w:pPr>
            <w:r>
              <w:rPr>
                <w:rFonts w:hint="eastAsia" w:ascii="宋体" w:hAnsi="宋体" w:cs="宋体"/>
                <w:sz w:val="24"/>
                <w:szCs w:val="24"/>
                <w:highlight w:val="none"/>
              </w:rPr>
              <w:t>商务条件响应性</w:t>
            </w:r>
          </w:p>
        </w:tc>
        <w:tc>
          <w:tcPr>
            <w:tcW w:w="402" w:type="pct"/>
            <w:vAlign w:val="center"/>
          </w:tcPr>
          <w:p w14:paraId="2073BD29">
            <w:pPr>
              <w:pStyle w:val="19"/>
              <w:jc w:val="center"/>
              <w:rPr>
                <w:rFonts w:ascii="宋体" w:hAnsi="宋体" w:cs="宋体"/>
                <w:sz w:val="24"/>
                <w:szCs w:val="24"/>
                <w:highlight w:val="none"/>
              </w:rPr>
            </w:pPr>
            <w:r>
              <w:rPr>
                <w:rFonts w:hint="eastAsia" w:ascii="宋体" w:hAnsi="宋体" w:cs="宋体"/>
                <w:sz w:val="24"/>
                <w:szCs w:val="24"/>
                <w:highlight w:val="none"/>
                <w:lang w:val="en-US" w:eastAsia="zh-CN"/>
              </w:rPr>
              <w:t>6</w:t>
            </w:r>
            <w:r>
              <w:rPr>
                <w:rFonts w:hint="eastAsia" w:ascii="宋体" w:hAnsi="宋体" w:cs="宋体"/>
                <w:sz w:val="24"/>
                <w:szCs w:val="24"/>
                <w:highlight w:val="none"/>
              </w:rPr>
              <w:t>分</w:t>
            </w:r>
          </w:p>
        </w:tc>
        <w:tc>
          <w:tcPr>
            <w:tcW w:w="3318" w:type="pct"/>
            <w:vAlign w:val="center"/>
          </w:tcPr>
          <w:p w14:paraId="744B518C">
            <w:pPr>
              <w:rPr>
                <w:rFonts w:ascii="宋体" w:hAnsi="宋体" w:cs="宋体"/>
                <w:kern w:val="2"/>
                <w:sz w:val="24"/>
                <w:szCs w:val="24"/>
                <w:highlight w:val="none"/>
              </w:rPr>
            </w:pPr>
            <w:r>
              <w:rPr>
                <w:rFonts w:hint="eastAsia" w:ascii="宋体" w:hAnsi="宋体" w:cs="宋体"/>
                <w:kern w:val="2"/>
                <w:sz w:val="24"/>
                <w:szCs w:val="24"/>
                <w:highlight w:val="none"/>
              </w:rPr>
              <w:t>供应商对磋商文件中合同条款等商务条件完全响应的得</w:t>
            </w:r>
            <w:r>
              <w:rPr>
                <w:rFonts w:hint="eastAsia" w:ascii="宋体" w:hAnsi="宋体" w:cs="宋体"/>
                <w:kern w:val="2"/>
                <w:sz w:val="24"/>
                <w:szCs w:val="24"/>
                <w:highlight w:val="none"/>
                <w:lang w:val="en-US" w:eastAsia="zh-CN"/>
              </w:rPr>
              <w:t>6</w:t>
            </w:r>
            <w:r>
              <w:rPr>
                <w:rFonts w:hint="eastAsia" w:ascii="宋体" w:hAnsi="宋体" w:cs="宋体"/>
                <w:kern w:val="2"/>
                <w:sz w:val="24"/>
                <w:szCs w:val="24"/>
                <w:highlight w:val="none"/>
              </w:rPr>
              <w:t>分；有负偏离条款的，每条扣0.</w:t>
            </w:r>
            <w:r>
              <w:rPr>
                <w:rFonts w:hint="eastAsia" w:ascii="宋体" w:hAnsi="宋体" w:cs="宋体"/>
                <w:kern w:val="2"/>
                <w:sz w:val="24"/>
                <w:szCs w:val="24"/>
                <w:highlight w:val="none"/>
                <w:lang w:val="en-US" w:eastAsia="zh-CN"/>
              </w:rPr>
              <w:t>375</w:t>
            </w:r>
            <w:r>
              <w:rPr>
                <w:rFonts w:hint="eastAsia" w:ascii="宋体" w:hAnsi="宋体" w:cs="宋体"/>
                <w:kern w:val="2"/>
                <w:sz w:val="24"/>
                <w:szCs w:val="24"/>
                <w:highlight w:val="none"/>
              </w:rPr>
              <w:t>分。</w:t>
            </w:r>
          </w:p>
        </w:tc>
      </w:tr>
      <w:tr w14:paraId="5E564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8" w:hRule="atLeast"/>
          <w:jc w:val="center"/>
        </w:trPr>
        <w:tc>
          <w:tcPr>
            <w:tcW w:w="375" w:type="pct"/>
            <w:tcBorders>
              <w:top w:val="single" w:color="auto" w:sz="4" w:space="0"/>
              <w:left w:val="single" w:color="auto" w:sz="4" w:space="0"/>
              <w:bottom w:val="single" w:color="auto" w:sz="4" w:space="0"/>
              <w:right w:val="single" w:color="auto" w:sz="4" w:space="0"/>
            </w:tcBorders>
            <w:vAlign w:val="center"/>
          </w:tcPr>
          <w:p w14:paraId="4139F1FD">
            <w:pPr>
              <w:jc w:val="center"/>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2</w:t>
            </w:r>
          </w:p>
        </w:tc>
        <w:tc>
          <w:tcPr>
            <w:tcW w:w="903" w:type="pct"/>
            <w:tcBorders>
              <w:top w:val="single" w:color="auto" w:sz="4" w:space="0"/>
              <w:left w:val="single" w:color="auto" w:sz="4" w:space="0"/>
              <w:bottom w:val="single" w:color="auto" w:sz="4" w:space="0"/>
              <w:right w:val="single" w:color="auto" w:sz="4" w:space="0"/>
            </w:tcBorders>
            <w:vAlign w:val="center"/>
          </w:tcPr>
          <w:p w14:paraId="026F4B8B">
            <w:pPr>
              <w:spacing w:line="320" w:lineRule="exact"/>
              <w:jc w:val="center"/>
              <w:rPr>
                <w:rFonts w:ascii="宋体" w:hAnsi="宋体" w:cs="等线 Light"/>
                <w:color w:val="000000" w:themeColor="text1"/>
                <w:sz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业绩情况</w:t>
            </w:r>
          </w:p>
        </w:tc>
        <w:tc>
          <w:tcPr>
            <w:tcW w:w="402" w:type="pct"/>
            <w:tcBorders>
              <w:top w:val="single" w:color="auto" w:sz="4" w:space="0"/>
              <w:left w:val="single" w:color="auto" w:sz="4" w:space="0"/>
              <w:bottom w:val="single" w:color="auto" w:sz="4" w:space="0"/>
              <w:right w:val="single" w:color="auto" w:sz="4" w:space="0"/>
            </w:tcBorders>
            <w:vAlign w:val="center"/>
          </w:tcPr>
          <w:p w14:paraId="1F02611F">
            <w:pPr>
              <w:jc w:val="center"/>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lang w:val="en-US" w:eastAsia="zh-CN"/>
                <w14:textFill>
                  <w14:solidFill>
                    <w14:schemeClr w14:val="tx1"/>
                  </w14:solidFill>
                </w14:textFill>
              </w:rPr>
              <w:t>8</w:t>
            </w:r>
            <w:r>
              <w:rPr>
                <w:rFonts w:hint="eastAsia" w:ascii="宋体" w:hAnsi="宋体"/>
                <w:color w:val="000000" w:themeColor="text1"/>
                <w:sz w:val="24"/>
                <w:highlight w:val="none"/>
                <w14:textFill>
                  <w14:solidFill>
                    <w14:schemeClr w14:val="tx1"/>
                  </w14:solidFill>
                </w14:textFill>
              </w:rPr>
              <w:t>分</w:t>
            </w:r>
          </w:p>
        </w:tc>
        <w:tc>
          <w:tcPr>
            <w:tcW w:w="3318" w:type="pct"/>
            <w:tcBorders>
              <w:top w:val="single" w:color="auto" w:sz="4" w:space="0"/>
              <w:left w:val="single" w:color="auto" w:sz="4" w:space="0"/>
              <w:bottom w:val="single" w:color="auto" w:sz="4" w:space="0"/>
              <w:right w:val="single" w:color="auto" w:sz="4" w:space="0"/>
            </w:tcBorders>
            <w:vAlign w:val="center"/>
          </w:tcPr>
          <w:p w14:paraId="4049DC7B">
            <w:pPr>
              <w:jc w:val="left"/>
              <w:rPr>
                <w:rFonts w:hint="eastAsia" w:ascii="宋体" w:hAnsi="宋体"/>
                <w:color w:val="000000" w:themeColor="text1"/>
                <w:sz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自</w:t>
            </w:r>
            <w:r>
              <w:rPr>
                <w:rFonts w:hint="eastAsia" w:ascii="宋体" w:hAnsi="宋体"/>
                <w:color w:val="000000" w:themeColor="text1"/>
                <w:sz w:val="24"/>
                <w:highlight w:val="none"/>
                <w14:textFill>
                  <w14:solidFill>
                    <w14:schemeClr w14:val="tx1"/>
                  </w14:solidFill>
                </w14:textFill>
              </w:rPr>
              <w:t>202</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年1月1日至今（以合同签订时间为准）承担过地籍图项目的，每有一个得2分，</w:t>
            </w:r>
            <w:r>
              <w:rPr>
                <w:rFonts w:hint="eastAsia" w:ascii="宋体" w:hAnsi="宋体"/>
                <w:color w:val="000000" w:themeColor="text1"/>
                <w:sz w:val="24"/>
                <w:highlight w:val="none"/>
                <w:lang w:val="en-US" w:eastAsia="zh-CN"/>
                <w14:textFill>
                  <w14:solidFill>
                    <w14:schemeClr w14:val="tx1"/>
                  </w14:solidFill>
                </w14:textFill>
              </w:rPr>
              <w:t>最多</w:t>
            </w:r>
            <w:r>
              <w:rPr>
                <w:rFonts w:hint="eastAsia" w:ascii="宋体" w:hAnsi="宋体"/>
                <w:color w:val="000000" w:themeColor="text1"/>
                <w:sz w:val="24"/>
                <w:highlight w:val="none"/>
                <w14:textFill>
                  <w14:solidFill>
                    <w14:schemeClr w14:val="tx1"/>
                  </w14:solidFill>
                </w14:textFill>
              </w:rPr>
              <w:t>得</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分。</w:t>
            </w:r>
          </w:p>
          <w:p w14:paraId="6A810179">
            <w:pPr>
              <w:jc w:val="left"/>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供应商</w:t>
            </w:r>
            <w:r>
              <w:rPr>
                <w:rFonts w:hint="eastAsia" w:ascii="宋体" w:hAnsi="宋体"/>
                <w:color w:val="000000" w:themeColor="text1"/>
                <w:sz w:val="24"/>
                <w:szCs w:val="24"/>
                <w:highlight w:val="none"/>
                <w14:textFill>
                  <w14:solidFill>
                    <w14:schemeClr w14:val="tx1"/>
                  </w14:solidFill>
                </w14:textFill>
              </w:rPr>
              <w:t>自</w:t>
            </w:r>
            <w:r>
              <w:rPr>
                <w:rFonts w:hint="eastAsia" w:ascii="宋体" w:hAnsi="宋体"/>
                <w:color w:val="000000" w:themeColor="text1"/>
                <w:sz w:val="24"/>
                <w:highlight w:val="none"/>
                <w14:textFill>
                  <w14:solidFill>
                    <w14:schemeClr w14:val="tx1"/>
                  </w14:solidFill>
                </w14:textFill>
              </w:rPr>
              <w:t>202</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年1月1日至今（以合同签订时间为准）承担不动产权籍调查、土地利用现状调查或变更调查项目的，每有一个得</w:t>
            </w:r>
            <w:r>
              <w:rPr>
                <w:rFonts w:hint="eastAsia" w:ascii="宋体" w:hAnsi="宋体"/>
                <w:color w:val="000000" w:themeColor="text1"/>
                <w:sz w:val="24"/>
                <w:highlight w:val="none"/>
                <w:lang w:val="en-US" w:eastAsia="zh-CN"/>
                <w14:textFill>
                  <w14:solidFill>
                    <w14:schemeClr w14:val="tx1"/>
                  </w14:solidFill>
                </w14:textFill>
              </w:rPr>
              <w:t>2</w:t>
            </w:r>
            <w:r>
              <w:rPr>
                <w:rFonts w:hint="eastAsia" w:ascii="宋体" w:hAnsi="宋体"/>
                <w:color w:val="000000" w:themeColor="text1"/>
                <w:sz w:val="24"/>
                <w:highlight w:val="none"/>
                <w14:textFill>
                  <w14:solidFill>
                    <w14:schemeClr w14:val="tx1"/>
                  </w14:solidFill>
                </w14:textFill>
              </w:rPr>
              <w:t>分，</w:t>
            </w:r>
            <w:r>
              <w:rPr>
                <w:rFonts w:hint="eastAsia" w:ascii="宋体" w:hAnsi="宋体"/>
                <w:color w:val="000000" w:themeColor="text1"/>
                <w:sz w:val="24"/>
                <w:highlight w:val="none"/>
                <w:lang w:val="en-US" w:eastAsia="zh-CN"/>
                <w14:textFill>
                  <w14:solidFill>
                    <w14:schemeClr w14:val="tx1"/>
                  </w14:solidFill>
                </w14:textFill>
              </w:rPr>
              <w:t>最多</w:t>
            </w:r>
            <w:r>
              <w:rPr>
                <w:rFonts w:hint="eastAsia" w:ascii="宋体" w:hAnsi="宋体"/>
                <w:color w:val="000000" w:themeColor="text1"/>
                <w:sz w:val="24"/>
                <w:highlight w:val="none"/>
                <w14:textFill>
                  <w14:solidFill>
                    <w14:schemeClr w14:val="tx1"/>
                  </w14:solidFill>
                </w14:textFill>
              </w:rPr>
              <w:t>得</w:t>
            </w:r>
            <w:r>
              <w:rPr>
                <w:rFonts w:hint="eastAsia" w:ascii="宋体" w:hAnsi="宋体"/>
                <w:color w:val="000000" w:themeColor="text1"/>
                <w:sz w:val="24"/>
                <w:highlight w:val="none"/>
                <w:lang w:val="en-US" w:eastAsia="zh-CN"/>
                <w14:textFill>
                  <w14:solidFill>
                    <w14:schemeClr w14:val="tx1"/>
                  </w14:solidFill>
                </w14:textFill>
              </w:rPr>
              <w:t>4</w:t>
            </w:r>
            <w:r>
              <w:rPr>
                <w:rFonts w:hint="eastAsia" w:ascii="宋体" w:hAnsi="宋体"/>
                <w:color w:val="000000" w:themeColor="text1"/>
                <w:sz w:val="24"/>
                <w:highlight w:val="none"/>
                <w14:textFill>
                  <w14:solidFill>
                    <w14:schemeClr w14:val="tx1"/>
                  </w14:solidFill>
                </w14:textFill>
              </w:rPr>
              <w:t>分。</w:t>
            </w:r>
          </w:p>
          <w:p w14:paraId="6453C97D">
            <w:pPr>
              <w:jc w:val="left"/>
              <w:rPr>
                <w:rFonts w:hint="eastAsia" w:ascii="宋体" w:hAnsi="宋体" w:cs="宋体"/>
                <w:b/>
                <w:color w:val="000000" w:themeColor="text1"/>
                <w:sz w:val="24"/>
                <w:szCs w:val="24"/>
                <w:highlight w:val="none"/>
                <w:lang w:val="zh-CN"/>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注：</w:t>
            </w:r>
            <w:r>
              <w:rPr>
                <w:rFonts w:hint="eastAsia" w:ascii="宋体" w:hAnsi="宋体" w:cs="宋体"/>
                <w:b/>
                <w:bCs/>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val="en-US" w:eastAsia="zh-CN"/>
                <w14:textFill>
                  <w14:solidFill>
                    <w14:schemeClr w14:val="tx1"/>
                  </w14:solidFill>
                </w14:textFill>
              </w:rPr>
              <w:t>1）</w:t>
            </w:r>
            <w:r>
              <w:rPr>
                <w:rFonts w:hint="eastAsia" w:ascii="宋体" w:hAnsi="宋体" w:cs="宋体"/>
                <w:b/>
                <w:bCs/>
                <w:color w:val="000000" w:themeColor="text1"/>
                <w:sz w:val="24"/>
                <w:szCs w:val="24"/>
                <w:highlight w:val="none"/>
                <w14:textFill>
                  <w14:solidFill>
                    <w14:schemeClr w14:val="tx1"/>
                  </w14:solidFill>
                </w14:textFill>
              </w:rPr>
              <w:t>响应</w:t>
            </w:r>
            <w:r>
              <w:rPr>
                <w:rFonts w:hint="eastAsia" w:ascii="宋体" w:hAnsi="宋体" w:cs="宋体"/>
                <w:b/>
                <w:color w:val="000000" w:themeColor="text1"/>
                <w:sz w:val="24"/>
                <w:szCs w:val="24"/>
                <w:highlight w:val="none"/>
                <w14:textFill>
                  <w14:solidFill>
                    <w14:schemeClr w14:val="tx1"/>
                  </w14:solidFill>
                </w14:textFill>
              </w:rPr>
              <w:t>文件中须提供上述对应合同证明材料扫描件（包括合同首页、标的内容所在页、签字盖章页），未提供或提供资料不全的</w:t>
            </w:r>
            <w:r>
              <w:rPr>
                <w:rFonts w:hint="eastAsia" w:ascii="宋体" w:hAnsi="宋体" w:cs="宋体"/>
                <w:b/>
                <w:color w:val="000000" w:themeColor="text1"/>
                <w:sz w:val="24"/>
                <w:szCs w:val="24"/>
                <w:highlight w:val="none"/>
                <w:lang w:val="zh-CN"/>
                <w14:textFill>
                  <w14:solidFill>
                    <w14:schemeClr w14:val="tx1"/>
                  </w14:solidFill>
                </w14:textFill>
              </w:rPr>
              <w:t>不得分。</w:t>
            </w:r>
          </w:p>
          <w:p w14:paraId="661FAF57">
            <w:pPr>
              <w:pStyle w:val="2"/>
              <w:rPr>
                <w:highlight w:val="none"/>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（2）联合体参加的，只以联合体牵头人提供的业绩计入本项评分。</w:t>
            </w:r>
          </w:p>
        </w:tc>
      </w:tr>
    </w:tbl>
    <w:p w14:paraId="3B2929FF">
      <w:pPr>
        <w:spacing w:line="460" w:lineRule="exact"/>
        <w:rPr>
          <w:rFonts w:cs="宋体"/>
          <w:b/>
          <w:bCs/>
          <w:sz w:val="24"/>
          <w:szCs w:val="24"/>
        </w:rPr>
      </w:pPr>
      <w:r>
        <w:rPr>
          <w:rFonts w:hint="eastAsia"/>
          <w:b/>
          <w:sz w:val="24"/>
          <w:szCs w:val="24"/>
        </w:rPr>
        <w:t>注</w:t>
      </w:r>
      <w:r>
        <w:rPr>
          <w:b/>
          <w:sz w:val="24"/>
          <w:szCs w:val="24"/>
        </w:rPr>
        <w:t>：</w:t>
      </w:r>
      <w:r>
        <w:rPr>
          <w:b/>
          <w:sz w:val="24"/>
          <w:szCs w:val="24"/>
        </w:rPr>
        <w:fldChar w:fldCharType="begin"/>
      </w:r>
      <w:r>
        <w:rPr>
          <w:b/>
          <w:sz w:val="24"/>
          <w:szCs w:val="24"/>
        </w:rPr>
        <w:instrText xml:space="preserve"> </w:instrText>
      </w:r>
      <w:r>
        <w:rPr>
          <w:rFonts w:hint="eastAsia"/>
          <w:b/>
          <w:sz w:val="24"/>
          <w:szCs w:val="24"/>
        </w:rPr>
        <w:instrText xml:space="preserve">= 1 \* GB3</w:instrText>
      </w:r>
      <w:r>
        <w:rPr>
          <w:b/>
          <w:sz w:val="24"/>
          <w:szCs w:val="24"/>
        </w:rPr>
        <w:instrText xml:space="preserve"> </w:instrText>
      </w:r>
      <w:r>
        <w:rPr>
          <w:b/>
          <w:sz w:val="24"/>
          <w:szCs w:val="24"/>
        </w:rPr>
        <w:fldChar w:fldCharType="separate"/>
      </w:r>
      <w:r>
        <w:rPr>
          <w:rFonts w:hint="eastAsia"/>
          <w:b/>
          <w:sz w:val="24"/>
          <w:szCs w:val="24"/>
        </w:rPr>
        <w:t>①</w:t>
      </w:r>
      <w:r>
        <w:rPr>
          <w:b/>
          <w:sz w:val="24"/>
          <w:szCs w:val="24"/>
        </w:rPr>
        <w:fldChar w:fldCharType="end"/>
      </w:r>
      <w:r>
        <w:rPr>
          <w:rFonts w:hint="eastAsia"/>
          <w:b/>
          <w:bCs/>
          <w:sz w:val="24"/>
          <w:szCs w:val="24"/>
        </w:rPr>
        <w:t>上述响应</w:t>
      </w:r>
      <w:r>
        <w:rPr>
          <w:b/>
          <w:bCs/>
          <w:sz w:val="24"/>
          <w:szCs w:val="24"/>
        </w:rPr>
        <w:t>文件中提供的</w:t>
      </w:r>
      <w:r>
        <w:rPr>
          <w:rFonts w:hint="eastAsia"/>
          <w:b/>
          <w:bCs/>
          <w:sz w:val="24"/>
          <w:szCs w:val="24"/>
        </w:rPr>
        <w:t>相关证明材料须为清晰完整的彩色扫描件（照片），如存在扫描件（照片）无效、不清晰、不完整等情形使得</w:t>
      </w:r>
      <w:r>
        <w:rPr>
          <w:b/>
          <w:bCs/>
          <w:sz w:val="24"/>
          <w:szCs w:val="24"/>
        </w:rPr>
        <w:t>评委会无法准确</w:t>
      </w:r>
      <w:r>
        <w:rPr>
          <w:rFonts w:hint="eastAsia"/>
          <w:b/>
          <w:bCs/>
          <w:sz w:val="24"/>
          <w:szCs w:val="24"/>
        </w:rPr>
        <w:t>评审</w:t>
      </w:r>
      <w:r>
        <w:rPr>
          <w:b/>
          <w:bCs/>
          <w:sz w:val="24"/>
          <w:szCs w:val="24"/>
        </w:rPr>
        <w:t>的，</w:t>
      </w:r>
      <w:r>
        <w:rPr>
          <w:rFonts w:hint="eastAsia" w:cs="宋体"/>
          <w:b/>
          <w:bCs/>
          <w:sz w:val="24"/>
          <w:szCs w:val="24"/>
          <w:lang w:val="zh-CN"/>
        </w:rPr>
        <w:t>否则相关</w:t>
      </w:r>
      <w:r>
        <w:rPr>
          <w:rFonts w:cs="宋体"/>
          <w:b/>
          <w:bCs/>
          <w:sz w:val="24"/>
          <w:szCs w:val="24"/>
          <w:lang w:val="zh-CN"/>
        </w:rPr>
        <w:t>评审风险由</w:t>
      </w:r>
      <w:r>
        <w:rPr>
          <w:rFonts w:hint="eastAsia" w:cs="宋体"/>
          <w:b/>
          <w:bCs/>
          <w:sz w:val="24"/>
          <w:szCs w:val="24"/>
          <w:lang w:val="zh-CN"/>
        </w:rPr>
        <w:t>供应商</w:t>
      </w:r>
      <w:r>
        <w:rPr>
          <w:rFonts w:cs="宋体"/>
          <w:b/>
          <w:bCs/>
          <w:sz w:val="24"/>
          <w:szCs w:val="24"/>
          <w:lang w:val="zh-CN"/>
        </w:rPr>
        <w:t>自行承担</w:t>
      </w:r>
      <w:r>
        <w:rPr>
          <w:rFonts w:hint="eastAsia" w:cs="宋体"/>
          <w:b/>
          <w:bCs/>
          <w:sz w:val="24"/>
          <w:szCs w:val="24"/>
        </w:rPr>
        <w:t>。</w:t>
      </w:r>
    </w:p>
    <w:p w14:paraId="7FA109BA">
      <w:pPr>
        <w:spacing w:line="460" w:lineRule="exact"/>
        <w:ind w:firstLine="482"/>
        <w:rPr>
          <w:b/>
          <w:sz w:val="24"/>
          <w:szCs w:val="24"/>
        </w:rPr>
      </w:pPr>
      <w:r>
        <w:rPr>
          <w:b/>
          <w:sz w:val="24"/>
          <w:szCs w:val="24"/>
        </w:rPr>
        <w:fldChar w:fldCharType="begin"/>
      </w:r>
      <w:r>
        <w:rPr>
          <w:b/>
          <w:sz w:val="24"/>
          <w:szCs w:val="24"/>
        </w:rPr>
        <w:instrText xml:space="preserve"> </w:instrText>
      </w:r>
      <w:r>
        <w:rPr>
          <w:rFonts w:hint="eastAsia"/>
          <w:b/>
          <w:sz w:val="24"/>
          <w:szCs w:val="24"/>
        </w:rPr>
        <w:instrText xml:space="preserve">= 2 \* GB3</w:instrText>
      </w:r>
      <w:r>
        <w:rPr>
          <w:b/>
          <w:sz w:val="24"/>
          <w:szCs w:val="24"/>
        </w:rPr>
        <w:instrText xml:space="preserve"> </w:instrText>
      </w:r>
      <w:r>
        <w:rPr>
          <w:b/>
          <w:sz w:val="24"/>
          <w:szCs w:val="24"/>
        </w:rPr>
        <w:fldChar w:fldCharType="separate"/>
      </w:r>
      <w:r>
        <w:rPr>
          <w:rFonts w:hint="eastAsia"/>
          <w:b/>
          <w:sz w:val="24"/>
          <w:szCs w:val="24"/>
        </w:rPr>
        <w:t>②</w:t>
      </w:r>
      <w:r>
        <w:rPr>
          <w:b/>
          <w:sz w:val="24"/>
          <w:szCs w:val="24"/>
        </w:rPr>
        <w:fldChar w:fldCharType="end"/>
      </w:r>
      <w:r>
        <w:rPr>
          <w:b/>
          <w:sz w:val="24"/>
          <w:szCs w:val="24"/>
        </w:rPr>
        <w:t>制作</w:t>
      </w:r>
      <w:r>
        <w:rPr>
          <w:rFonts w:hint="eastAsia"/>
          <w:b/>
          <w:sz w:val="24"/>
          <w:szCs w:val="24"/>
        </w:rPr>
        <w:t>响应</w:t>
      </w:r>
      <w:r>
        <w:rPr>
          <w:b/>
          <w:sz w:val="24"/>
          <w:szCs w:val="24"/>
        </w:rPr>
        <w:t>文件时</w:t>
      </w:r>
      <w:r>
        <w:rPr>
          <w:rFonts w:hint="eastAsia"/>
          <w:b/>
          <w:sz w:val="24"/>
          <w:szCs w:val="24"/>
        </w:rPr>
        <w:t>请</w:t>
      </w:r>
      <w:r>
        <w:rPr>
          <w:b/>
          <w:sz w:val="24"/>
          <w:szCs w:val="24"/>
        </w:rPr>
        <w:t>按</w:t>
      </w:r>
      <w:r>
        <w:rPr>
          <w:rFonts w:hint="eastAsia"/>
          <w:b/>
          <w:sz w:val="24"/>
          <w:szCs w:val="24"/>
        </w:rPr>
        <w:t>磋商</w:t>
      </w:r>
      <w:r>
        <w:rPr>
          <w:b/>
          <w:sz w:val="24"/>
          <w:szCs w:val="24"/>
        </w:rPr>
        <w:t>文件</w:t>
      </w:r>
      <w:r>
        <w:rPr>
          <w:rFonts w:hint="eastAsia"/>
          <w:b/>
          <w:sz w:val="24"/>
          <w:szCs w:val="24"/>
        </w:rPr>
        <w:t>规定</w:t>
      </w:r>
      <w:r>
        <w:rPr>
          <w:b/>
          <w:sz w:val="24"/>
          <w:szCs w:val="24"/>
        </w:rPr>
        <w:t>的顺序编制，</w:t>
      </w:r>
      <w:r>
        <w:rPr>
          <w:rFonts w:hint="eastAsia"/>
          <w:b/>
          <w:sz w:val="24"/>
          <w:szCs w:val="24"/>
        </w:rPr>
        <w:t>添加响应</w:t>
      </w:r>
      <w:r>
        <w:rPr>
          <w:b/>
          <w:sz w:val="24"/>
          <w:szCs w:val="24"/>
        </w:rPr>
        <w:t>文件目录、页码、书签等，</w:t>
      </w:r>
      <w:r>
        <w:rPr>
          <w:rFonts w:hint="eastAsia"/>
          <w:b/>
          <w:sz w:val="24"/>
          <w:szCs w:val="24"/>
        </w:rPr>
        <w:t>便于</w:t>
      </w:r>
      <w:r>
        <w:rPr>
          <w:b/>
          <w:sz w:val="24"/>
          <w:szCs w:val="24"/>
        </w:rPr>
        <w:t>评标委员会评审查阅</w:t>
      </w:r>
      <w:r>
        <w:rPr>
          <w:rFonts w:hint="eastAsia"/>
          <w:b/>
          <w:sz w:val="24"/>
          <w:szCs w:val="24"/>
        </w:rPr>
        <w:t>。</w:t>
      </w:r>
    </w:p>
    <w:bookmarkEnd w:id="67"/>
    <w:p w14:paraId="1FE2F37E">
      <w:pPr>
        <w:spacing w:line="420" w:lineRule="exact"/>
        <w:rPr>
          <w:b/>
          <w:bCs/>
          <w:sz w:val="28"/>
          <w:szCs w:val="22"/>
        </w:rPr>
      </w:pPr>
      <w:bookmarkStart w:id="80" w:name="_Toc159312658"/>
      <w:bookmarkStart w:id="81" w:name="_Toc103080653"/>
      <w:r>
        <w:rPr>
          <w:rFonts w:hint="eastAsia"/>
          <w:b/>
          <w:bCs/>
          <w:sz w:val="28"/>
          <w:szCs w:val="22"/>
        </w:rPr>
        <w:t>三、政府采购政策</w:t>
      </w:r>
    </w:p>
    <w:p w14:paraId="16D1F156">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b/>
          <w:color w:val="auto"/>
          <w:sz w:val="24"/>
          <w:szCs w:val="24"/>
          <w:highlight w:val="none"/>
          <w:lang w:val="en-US" w:eastAsia="zh-CN" w:bidi="ar-SA"/>
        </w:rPr>
        <w:t>1、本项目非专门面向中小企业采购，</w:t>
      </w:r>
      <w:r>
        <w:rPr>
          <w:rFonts w:hint="default" w:ascii="Calibri" w:hAnsi="Calibri"/>
          <w:b/>
          <w:bCs/>
          <w:sz w:val="24"/>
          <w:szCs w:val="24"/>
          <w:highlight w:val="none"/>
          <w:lang w:val="en-US" w:eastAsia="zh-CN" w:bidi="ar-SA"/>
        </w:rPr>
        <w:t>所属行业为</w:t>
      </w:r>
      <w:r>
        <w:rPr>
          <w:rFonts w:hint="eastAsia" w:ascii="Calibri" w:hAnsi="Calibri"/>
          <w:b/>
          <w:sz w:val="24"/>
          <w:szCs w:val="24"/>
          <w:highlight w:val="none"/>
          <w:lang w:val="en-US" w:eastAsia="zh-CN" w:bidi="ar-SA"/>
        </w:rPr>
        <w:t>其他未列明行业</w:t>
      </w:r>
      <w:r>
        <w:rPr>
          <w:rFonts w:hint="default" w:ascii="Calibri" w:hAnsi="Calibri"/>
          <w:b/>
          <w:bCs/>
          <w:sz w:val="24"/>
          <w:szCs w:val="24"/>
          <w:highlight w:val="none"/>
          <w:lang w:val="en-US" w:eastAsia="zh-CN" w:bidi="ar-SA"/>
        </w:rPr>
        <w:t>。</w:t>
      </w:r>
    </w:p>
    <w:p w14:paraId="7E64A67F">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2、针对中小企业、残疾人福利单位和监狱企业的评审：</w:t>
      </w:r>
    </w:p>
    <w:p w14:paraId="41A850E5">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1）根据《政府采购促进中小企业发展管理办法》（财库〔2020〕46号）、《关于促进残疾人就业政府采购政策的通知》（财库〔2017〕141号）、《关于政府采购支持监狱企业发展有关问题的通知》（财库〔2014〕68号）和《关于印发《苏州市政府采购促进中小企业发展实施意见》的通知》（苏财购〔2022〕16号），</w:t>
      </w:r>
      <w:r>
        <w:rPr>
          <w:rFonts w:hint="eastAsia" w:ascii="宋体" w:hAnsi="宋体"/>
          <w:b/>
          <w:color w:val="auto"/>
          <w:sz w:val="24"/>
          <w:szCs w:val="24"/>
          <w:highlight w:val="none"/>
          <w:lang w:val="en-US" w:eastAsia="zh-CN" w:bidi="ar-SA"/>
        </w:rPr>
        <w:t>对属于小微企业、残疾人福利性单位、监狱企业价格给予20%的扣除</w:t>
      </w:r>
      <w:r>
        <w:rPr>
          <w:rFonts w:hint="eastAsia" w:ascii="宋体" w:hAnsi="宋体"/>
          <w:color w:val="auto"/>
          <w:sz w:val="24"/>
          <w:szCs w:val="24"/>
          <w:highlight w:val="none"/>
          <w:lang w:val="en-US" w:eastAsia="zh-CN" w:bidi="ar-SA"/>
        </w:rPr>
        <w:t>，用扣除后的价格参与评审，如扣除后的价格为最低价的，则作为评标基准价，中标金额则以实际投标总报价为准。</w:t>
      </w:r>
      <w:r>
        <w:rPr>
          <w:rFonts w:hint="eastAsia" w:ascii="宋体" w:hAnsi="宋体"/>
          <w:b/>
          <w:color w:val="auto"/>
          <w:sz w:val="24"/>
          <w:szCs w:val="24"/>
          <w:highlight w:val="none"/>
          <w:lang w:val="en-US" w:eastAsia="zh-CN" w:bidi="ar-SA"/>
        </w:rPr>
        <w:t>残疾人福利性单位、监狱企业属于小型、微型企业的，不重复享受政策</w:t>
      </w:r>
      <w:r>
        <w:rPr>
          <w:rFonts w:hint="eastAsia" w:ascii="宋体" w:hAnsi="宋体"/>
          <w:color w:val="auto"/>
          <w:sz w:val="24"/>
          <w:szCs w:val="24"/>
          <w:highlight w:val="none"/>
          <w:lang w:val="en-US" w:eastAsia="zh-CN" w:bidi="ar-SA"/>
        </w:rPr>
        <w:t>。</w:t>
      </w:r>
    </w:p>
    <w:p w14:paraId="075FBEB9">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2）在政府采购活动中，投标人提供的货物或者服务符合下列情形的，享受中小企业扶持政策：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p>
    <w:p w14:paraId="37860512">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b/>
          <w:color w:val="auto"/>
          <w:sz w:val="24"/>
          <w:szCs w:val="24"/>
          <w:highlight w:val="none"/>
          <w:lang w:val="en-US" w:eastAsia="zh-CN" w:bidi="ar-SA"/>
        </w:rPr>
        <w:t>在货物采购项目中，投标人提供的货物既有中小企业制造货物，也有大型企业制造货物的，不享受中小企业扶持政策；对投标人的企业类型不作要求</w:t>
      </w:r>
      <w:r>
        <w:rPr>
          <w:rFonts w:hint="eastAsia" w:ascii="宋体" w:hAnsi="宋体"/>
          <w:color w:val="auto"/>
          <w:sz w:val="24"/>
          <w:szCs w:val="24"/>
          <w:highlight w:val="none"/>
          <w:lang w:val="en-US" w:eastAsia="zh-CN" w:bidi="ar-SA"/>
        </w:rPr>
        <w:t>。</w:t>
      </w:r>
    </w:p>
    <w:p w14:paraId="2B63C364">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color w:val="auto"/>
          <w:sz w:val="24"/>
          <w:szCs w:val="24"/>
          <w:highlight w:val="none"/>
          <w:lang w:val="en-US" w:eastAsia="zh-CN" w:bidi="ar-SA"/>
        </w:rPr>
        <w:t>（3）在响应文件中，中小企业需提供《中小企业声明函》（填报严格按工信部联企业〔2011〕300号通知中的《中小企业划型标准规定》进行）；残疾人福利性单位需提供《残疾人福利性单位声明函》；监狱企业需提供由省级以上监狱管理局、戒毒管理局（含新疆生产建设兵团）出具的属于监狱企业的证明文件。</w:t>
      </w:r>
    </w:p>
    <w:p w14:paraId="2745A966">
      <w:pPr>
        <w:keepNext w:val="0"/>
        <w:keepLines w:val="0"/>
        <w:pageBreakBefore w:val="0"/>
        <w:widowControl w:val="0"/>
        <w:spacing w:line="440" w:lineRule="exact"/>
        <w:ind w:firstLine="420"/>
        <w:rPr>
          <w:rFonts w:hint="eastAsia" w:ascii="宋体" w:hAnsi="宋体"/>
          <w:color w:val="auto"/>
          <w:sz w:val="24"/>
          <w:szCs w:val="24"/>
          <w:highlight w:val="none"/>
          <w:lang w:val="en-US" w:eastAsia="zh-CN" w:bidi="ar-SA"/>
        </w:rPr>
      </w:pPr>
      <w:r>
        <w:rPr>
          <w:rFonts w:hint="eastAsia" w:ascii="宋体" w:hAnsi="宋体"/>
          <w:b/>
          <w:color w:val="auto"/>
          <w:sz w:val="24"/>
          <w:szCs w:val="24"/>
          <w:highlight w:val="none"/>
          <w:lang w:val="en-US" w:eastAsia="zh-CN" w:bidi="ar-SA"/>
        </w:rPr>
        <w:t>供应商未按磋商文件的规定在响应文件中提供有效的声明函或证明材料的，则不享受评审优惠政策</w:t>
      </w:r>
      <w:r>
        <w:rPr>
          <w:rFonts w:hint="eastAsia" w:ascii="宋体" w:hAnsi="宋体"/>
          <w:color w:val="auto"/>
          <w:sz w:val="24"/>
          <w:szCs w:val="24"/>
          <w:highlight w:val="none"/>
          <w:lang w:val="en-US" w:eastAsia="zh-CN" w:bidi="ar-SA"/>
        </w:rPr>
        <w:t>。</w:t>
      </w:r>
    </w:p>
    <w:p w14:paraId="7F084B68">
      <w:pPr>
        <w:keepNext w:val="0"/>
        <w:keepLines w:val="0"/>
        <w:pageBreakBefore w:val="0"/>
        <w:widowControl w:val="0"/>
        <w:numPr>
          <w:ilvl w:val="0"/>
          <w:numId w:val="0"/>
        </w:numPr>
        <w:spacing w:line="440" w:lineRule="exact"/>
        <w:ind w:firstLine="420" w:firstLineChars="0"/>
        <w:rPr>
          <w:rFonts w:hint="eastAsia" w:ascii="宋体" w:hAnsi="宋体"/>
          <w:color w:val="auto"/>
          <w:sz w:val="24"/>
          <w:szCs w:val="24"/>
          <w:highlight w:val="none"/>
          <w:lang w:val="en-US" w:eastAsia="zh-CN" w:bidi="ar-SA"/>
        </w:rPr>
      </w:pPr>
      <w:r>
        <w:rPr>
          <w:rFonts w:hint="eastAsia" w:ascii="宋体" w:hAnsi="宋体" w:eastAsia="宋体" w:cs="Times New Roman"/>
          <w:color w:val="auto"/>
          <w:sz w:val="24"/>
          <w:szCs w:val="24"/>
          <w:lang w:val="en-US" w:eastAsia="zh-CN" w:bidi="ar-SA"/>
        </w:rPr>
        <w:t>（4）</w:t>
      </w:r>
      <w:r>
        <w:rPr>
          <w:rFonts w:hint="eastAsia" w:ascii="宋体" w:hAnsi="宋体"/>
          <w:color w:val="auto"/>
          <w:sz w:val="24"/>
          <w:szCs w:val="24"/>
          <w:highlight w:val="none"/>
          <w:lang w:val="en-US" w:eastAsia="zh-CN" w:bidi="ar-SA"/>
        </w:rPr>
        <w:t>成交供应商为中小企业或残疾人福利性单位的，应当随中标、成交结果同时公告其《中小企业声明函》或《残疾人福利性单位声明函》，接受社会监督。若投标人提供的上述声明函内容不实的，属于提供虚假材料谋取中标、成交，监管部门将依照《中华人民共和国政府采购法》等国家有关规定追究相应责任。</w:t>
      </w:r>
    </w:p>
    <w:p w14:paraId="583A48A9">
      <w:pPr>
        <w:spacing w:line="440" w:lineRule="exact"/>
        <w:ind w:firstLine="360"/>
        <w:rPr>
          <w:sz w:val="24"/>
          <w:szCs w:val="24"/>
        </w:rPr>
      </w:pPr>
    </w:p>
    <w:p w14:paraId="70F9E5BE">
      <w:r>
        <w:br w:type="page"/>
      </w:r>
    </w:p>
    <w:p w14:paraId="64F7B999">
      <w:pPr>
        <w:pStyle w:val="4"/>
      </w:pPr>
      <w:bookmarkStart w:id="82" w:name="_Toc28448"/>
      <w:r>
        <w:t>第</w:t>
      </w:r>
      <w:r>
        <w:rPr>
          <w:rFonts w:hint="eastAsia"/>
        </w:rPr>
        <w:t>六</w:t>
      </w:r>
      <w:r>
        <w:t xml:space="preserve">章  </w:t>
      </w:r>
      <w:r>
        <w:rPr>
          <w:rFonts w:hint="eastAsia"/>
        </w:rPr>
        <w:t>磋商响应</w:t>
      </w:r>
      <w:r>
        <w:t>文件格式</w:t>
      </w:r>
      <w:bookmarkEnd w:id="80"/>
      <w:bookmarkEnd w:id="81"/>
      <w:bookmarkEnd w:id="82"/>
    </w:p>
    <w:p w14:paraId="693CE4E9">
      <w:pPr>
        <w:jc w:val="center"/>
        <w:rPr>
          <w:b/>
          <w:sz w:val="72"/>
          <w:szCs w:val="72"/>
        </w:rPr>
      </w:pPr>
    </w:p>
    <w:p w14:paraId="11FB4436">
      <w:pPr>
        <w:jc w:val="center"/>
        <w:rPr>
          <w:b/>
          <w:sz w:val="72"/>
          <w:szCs w:val="72"/>
        </w:rPr>
      </w:pPr>
    </w:p>
    <w:p w14:paraId="232A5E49">
      <w:pPr>
        <w:jc w:val="center"/>
        <w:rPr>
          <w:b/>
          <w:sz w:val="72"/>
          <w:szCs w:val="72"/>
        </w:rPr>
      </w:pPr>
      <w:r>
        <w:rPr>
          <w:rFonts w:hint="eastAsia"/>
          <w:b/>
          <w:sz w:val="72"/>
          <w:szCs w:val="72"/>
        </w:rPr>
        <w:t xml:space="preserve"> </w:t>
      </w:r>
    </w:p>
    <w:p w14:paraId="72BEDF9F">
      <w:pPr>
        <w:jc w:val="center"/>
        <w:rPr>
          <w:b/>
          <w:sz w:val="72"/>
          <w:szCs w:val="72"/>
        </w:rPr>
      </w:pPr>
      <w:r>
        <w:rPr>
          <w:rFonts w:hint="eastAsia"/>
          <w:b/>
          <w:sz w:val="72"/>
          <w:szCs w:val="72"/>
        </w:rPr>
        <w:t>磋 商</w:t>
      </w:r>
      <w:r>
        <w:rPr>
          <w:b/>
          <w:sz w:val="72"/>
          <w:szCs w:val="72"/>
        </w:rPr>
        <w:t xml:space="preserve"> </w:t>
      </w:r>
      <w:r>
        <w:rPr>
          <w:rFonts w:hint="eastAsia"/>
          <w:b/>
          <w:sz w:val="72"/>
          <w:szCs w:val="72"/>
        </w:rPr>
        <w:t xml:space="preserve">响 应 </w:t>
      </w:r>
      <w:r>
        <w:rPr>
          <w:b/>
          <w:sz w:val="72"/>
          <w:szCs w:val="72"/>
        </w:rPr>
        <w:t>文 件</w:t>
      </w:r>
    </w:p>
    <w:p w14:paraId="3520ECF9">
      <w:pPr>
        <w:rPr>
          <w:b/>
          <w:sz w:val="36"/>
          <w:szCs w:val="36"/>
        </w:rPr>
      </w:pPr>
    </w:p>
    <w:p w14:paraId="3ABA665C">
      <w:pPr>
        <w:rPr>
          <w:b/>
          <w:sz w:val="36"/>
          <w:szCs w:val="36"/>
        </w:rPr>
      </w:pPr>
    </w:p>
    <w:p w14:paraId="1F43EE14">
      <w:pPr>
        <w:ind w:firstLine="1084"/>
        <w:rPr>
          <w:b/>
          <w:sz w:val="36"/>
          <w:szCs w:val="36"/>
        </w:rPr>
      </w:pPr>
    </w:p>
    <w:p w14:paraId="3FEFF69B">
      <w:pPr>
        <w:ind w:firstLine="1084"/>
        <w:rPr>
          <w:b/>
          <w:sz w:val="36"/>
          <w:szCs w:val="36"/>
        </w:rPr>
      </w:pPr>
    </w:p>
    <w:p w14:paraId="4609B1BC">
      <w:pPr>
        <w:pStyle w:val="21"/>
        <w:rPr>
          <w:b/>
          <w:sz w:val="36"/>
          <w:szCs w:val="36"/>
        </w:rPr>
      </w:pPr>
    </w:p>
    <w:p w14:paraId="3E4C38D1"/>
    <w:p w14:paraId="09586FD4">
      <w:pPr>
        <w:ind w:firstLine="723" w:firstLineChars="200"/>
        <w:rPr>
          <w:b/>
          <w:sz w:val="36"/>
          <w:szCs w:val="36"/>
        </w:rPr>
      </w:pPr>
    </w:p>
    <w:p w14:paraId="3A777A33">
      <w:pPr>
        <w:ind w:firstLine="723" w:firstLineChars="200"/>
        <w:rPr>
          <w:rFonts w:hint="eastAsia" w:eastAsia="宋体"/>
          <w:b/>
          <w:sz w:val="36"/>
          <w:szCs w:val="36"/>
          <w:lang w:eastAsia="zh-CN"/>
        </w:rPr>
      </w:pPr>
      <w:r>
        <w:rPr>
          <w:b/>
          <w:sz w:val="36"/>
          <w:szCs w:val="36"/>
        </w:rPr>
        <w:t>项目名称：</w:t>
      </w:r>
      <w:r>
        <w:rPr>
          <w:rFonts w:hint="eastAsia"/>
          <w:b/>
          <w:sz w:val="36"/>
          <w:szCs w:val="36"/>
          <w:lang w:eastAsia="zh-CN"/>
        </w:rPr>
        <w:t>常熟市地籍一张图编制项目（二期）</w:t>
      </w:r>
    </w:p>
    <w:p w14:paraId="52509BB8">
      <w:pPr>
        <w:ind w:firstLine="723" w:firstLineChars="200"/>
        <w:rPr>
          <w:rFonts w:hint="eastAsia" w:eastAsia="宋体"/>
          <w:b/>
          <w:sz w:val="36"/>
          <w:szCs w:val="36"/>
          <w:lang w:eastAsia="zh-CN"/>
        </w:rPr>
      </w:pPr>
      <w:r>
        <w:rPr>
          <w:b/>
          <w:sz w:val="36"/>
          <w:szCs w:val="36"/>
        </w:rPr>
        <w:t>项目编号：</w:t>
      </w:r>
      <w:r>
        <w:rPr>
          <w:rFonts w:hint="eastAsia"/>
          <w:b/>
          <w:sz w:val="36"/>
          <w:szCs w:val="36"/>
          <w:lang w:eastAsia="zh-CN"/>
        </w:rPr>
        <w:t>JSZC-320581-CSXC-C2026-0004</w:t>
      </w:r>
    </w:p>
    <w:p w14:paraId="61A4A290">
      <w:pPr>
        <w:ind w:firstLine="723" w:firstLineChars="200"/>
        <w:rPr>
          <w:b/>
          <w:color w:val="000000"/>
          <w:sz w:val="36"/>
          <w:szCs w:val="21"/>
          <w:u w:val="single"/>
        </w:rPr>
      </w:pPr>
      <w:r>
        <w:rPr>
          <w:rFonts w:hint="eastAsia"/>
          <w:b/>
          <w:sz w:val="36"/>
          <w:szCs w:val="36"/>
        </w:rPr>
        <w:t>供应商名称</w:t>
      </w:r>
      <w:r>
        <w:rPr>
          <w:b/>
          <w:sz w:val="36"/>
          <w:szCs w:val="36"/>
        </w:rPr>
        <w:t>：</w:t>
      </w:r>
      <w:r>
        <w:rPr>
          <w:rFonts w:hint="eastAsia"/>
          <w:b/>
          <w:color w:val="000000"/>
          <w:sz w:val="36"/>
          <w:szCs w:val="21"/>
          <w:u w:val="single"/>
        </w:rPr>
        <w:t>（加盖CA电子公章）</w:t>
      </w:r>
    </w:p>
    <w:p w14:paraId="732FDF64">
      <w:pPr>
        <w:ind w:firstLine="723" w:firstLineChars="200"/>
        <w:rPr>
          <w:b/>
          <w:sz w:val="36"/>
          <w:szCs w:val="36"/>
        </w:rPr>
      </w:pPr>
      <w:r>
        <w:rPr>
          <w:b/>
          <w:sz w:val="36"/>
          <w:szCs w:val="36"/>
        </w:rPr>
        <w:t>日</w:t>
      </w:r>
      <w:r>
        <w:rPr>
          <w:rFonts w:hint="eastAsia"/>
          <w:b/>
          <w:sz w:val="36"/>
          <w:szCs w:val="36"/>
        </w:rPr>
        <w:t xml:space="preserve">    </w:t>
      </w:r>
      <w:r>
        <w:rPr>
          <w:b/>
          <w:sz w:val="36"/>
          <w:szCs w:val="36"/>
        </w:rPr>
        <w:t>期：</w:t>
      </w:r>
      <w:r>
        <w:rPr>
          <w:rFonts w:hint="eastAsia"/>
          <w:b/>
          <w:sz w:val="36"/>
          <w:szCs w:val="36"/>
          <w:lang w:eastAsia="zh-CN"/>
        </w:rPr>
        <w:t>2026</w:t>
      </w:r>
      <w:r>
        <w:rPr>
          <w:rFonts w:hint="eastAsia"/>
          <w:b/>
          <w:sz w:val="36"/>
          <w:szCs w:val="36"/>
        </w:rPr>
        <w:t xml:space="preserve">年  </w:t>
      </w:r>
      <w:r>
        <w:rPr>
          <w:b/>
          <w:sz w:val="36"/>
          <w:szCs w:val="36"/>
        </w:rPr>
        <w:t xml:space="preserve"> 月</w:t>
      </w:r>
      <w:r>
        <w:rPr>
          <w:rFonts w:hint="eastAsia"/>
          <w:b/>
          <w:sz w:val="36"/>
          <w:szCs w:val="36"/>
        </w:rPr>
        <w:t xml:space="preserve">   </w:t>
      </w:r>
      <w:r>
        <w:rPr>
          <w:b/>
          <w:sz w:val="36"/>
          <w:szCs w:val="36"/>
        </w:rPr>
        <w:t>日</w:t>
      </w:r>
    </w:p>
    <w:p w14:paraId="26942C10">
      <w:pPr>
        <w:ind w:firstLine="1807"/>
        <w:rPr>
          <w:b/>
          <w:sz w:val="36"/>
          <w:szCs w:val="36"/>
        </w:rPr>
      </w:pPr>
    </w:p>
    <w:p w14:paraId="4578D427">
      <w:pPr>
        <w:rPr>
          <w:b/>
          <w:sz w:val="10"/>
          <w:szCs w:val="10"/>
        </w:rPr>
      </w:pPr>
    </w:p>
    <w:p w14:paraId="46CADC35">
      <w:pPr>
        <w:ind w:firstLine="2530"/>
        <w:rPr>
          <w:b/>
          <w:sz w:val="36"/>
          <w:szCs w:val="36"/>
        </w:rPr>
      </w:pPr>
    </w:p>
    <w:p w14:paraId="429F62CD">
      <w:pPr>
        <w:rPr>
          <w:sz w:val="36"/>
          <w:szCs w:val="36"/>
        </w:rPr>
      </w:pPr>
    </w:p>
    <w:p w14:paraId="0C59A8C9">
      <w:pPr>
        <w:rPr>
          <w:sz w:val="36"/>
          <w:szCs w:val="36"/>
        </w:rPr>
      </w:pPr>
    </w:p>
    <w:p w14:paraId="1AC5FCE5">
      <w:pPr>
        <w:rPr>
          <w:sz w:val="36"/>
          <w:szCs w:val="36"/>
        </w:rPr>
      </w:pPr>
    </w:p>
    <w:p w14:paraId="611636B3">
      <w:pPr>
        <w:rPr>
          <w:sz w:val="36"/>
          <w:szCs w:val="36"/>
        </w:rPr>
      </w:pPr>
    </w:p>
    <w:p w14:paraId="62BD1B33">
      <w:pPr>
        <w:jc w:val="center"/>
        <w:rPr>
          <w:rFonts w:cs="宋体"/>
          <w:b/>
          <w:bCs/>
          <w:color w:val="000000"/>
          <w:sz w:val="32"/>
          <w:szCs w:val="32"/>
        </w:rPr>
      </w:pPr>
      <w:r>
        <w:rPr>
          <w:b/>
          <w:sz w:val="44"/>
          <w:szCs w:val="44"/>
        </w:rPr>
        <w:br w:type="page" w:clear="all"/>
      </w:r>
      <w:r>
        <w:rPr>
          <w:rFonts w:hint="eastAsia" w:cs="宋体"/>
          <w:b/>
          <w:bCs/>
          <w:color w:val="000000"/>
          <w:sz w:val="32"/>
          <w:szCs w:val="32"/>
        </w:rPr>
        <w:t>响应文件目录</w:t>
      </w:r>
    </w:p>
    <w:p w14:paraId="55E5FD47">
      <w:pPr>
        <w:spacing w:line="400" w:lineRule="exact"/>
        <w:ind w:left="480"/>
        <w:rPr>
          <w:b/>
          <w:sz w:val="24"/>
        </w:rPr>
      </w:pPr>
      <w:r>
        <w:rPr>
          <w:rFonts w:hint="eastAsia"/>
          <w:b/>
          <w:sz w:val="24"/>
        </w:rPr>
        <w:t>一、基本目录</w:t>
      </w:r>
    </w:p>
    <w:p w14:paraId="50F5D8C5">
      <w:pPr>
        <w:spacing w:line="400" w:lineRule="exact"/>
        <w:ind w:firstLine="420"/>
        <w:rPr>
          <w:sz w:val="24"/>
        </w:rPr>
      </w:pPr>
      <w:r>
        <w:rPr>
          <w:rFonts w:hint="eastAsia"/>
          <w:sz w:val="24"/>
        </w:rPr>
        <w:t>*</w:t>
      </w:r>
      <w:r>
        <w:rPr>
          <w:sz w:val="24"/>
        </w:rPr>
        <w:t>1</w:t>
      </w:r>
      <w:r>
        <w:rPr>
          <w:rFonts w:hint="eastAsia"/>
          <w:sz w:val="24"/>
        </w:rPr>
        <w:t>、报价一览表（格式见附件</w:t>
      </w:r>
      <w:r>
        <w:rPr>
          <w:sz w:val="24"/>
        </w:rPr>
        <w:t>1</w:t>
      </w:r>
      <w:r>
        <w:rPr>
          <w:rFonts w:hint="eastAsia"/>
          <w:sz w:val="24"/>
        </w:rPr>
        <w:t>）</w:t>
      </w:r>
    </w:p>
    <w:p w14:paraId="2B9C0166">
      <w:pPr>
        <w:spacing w:line="400" w:lineRule="exact"/>
        <w:ind w:left="480"/>
        <w:rPr>
          <w:b/>
          <w:sz w:val="24"/>
        </w:rPr>
      </w:pPr>
      <w:r>
        <w:rPr>
          <w:rFonts w:hint="eastAsia"/>
          <w:b/>
          <w:sz w:val="24"/>
        </w:rPr>
        <w:t>二</w:t>
      </w:r>
      <w:r>
        <w:rPr>
          <w:b/>
          <w:sz w:val="24"/>
        </w:rPr>
        <w:t>、资格审查内容</w:t>
      </w:r>
    </w:p>
    <w:p w14:paraId="0EF1C98B">
      <w:pPr>
        <w:spacing w:line="400" w:lineRule="exact"/>
        <w:ind w:firstLine="420"/>
        <w:rPr>
          <w:sz w:val="24"/>
        </w:rPr>
      </w:pPr>
      <w:r>
        <w:rPr>
          <w:rFonts w:hint="eastAsia"/>
          <w:sz w:val="24"/>
        </w:rPr>
        <w:t>*1、</w:t>
      </w:r>
      <w:r>
        <w:rPr>
          <w:sz w:val="24"/>
          <w:szCs w:val="24"/>
        </w:rPr>
        <w:t>满足《中华人民共和国政府采购法》第二十二条规定</w:t>
      </w:r>
      <w:r>
        <w:rPr>
          <w:rFonts w:hint="eastAsia"/>
          <w:sz w:val="24"/>
          <w:szCs w:val="24"/>
        </w:rPr>
        <w:t>，并提供下列材料</w:t>
      </w:r>
      <w:r>
        <w:rPr>
          <w:rFonts w:hint="eastAsia" w:ascii="宋体" w:hAnsi="宋体" w:cs="宋体"/>
          <w:b/>
          <w:bCs/>
          <w:color w:val="000000"/>
          <w:sz w:val="24"/>
          <w:highlight w:val="none"/>
          <w:lang w:val="zh-CN"/>
        </w:rPr>
        <w:t>（如为联合体</w:t>
      </w:r>
      <w:r>
        <w:rPr>
          <w:rFonts w:hint="eastAsia" w:ascii="宋体" w:hAnsi="宋体" w:cs="宋体"/>
          <w:b/>
          <w:bCs/>
          <w:color w:val="000000"/>
          <w:sz w:val="24"/>
          <w:highlight w:val="none"/>
        </w:rPr>
        <w:t>投标</w:t>
      </w:r>
      <w:r>
        <w:rPr>
          <w:rFonts w:hint="eastAsia" w:ascii="宋体" w:hAnsi="宋体" w:cs="宋体"/>
          <w:b/>
          <w:bCs/>
          <w:color w:val="000000"/>
          <w:sz w:val="24"/>
          <w:highlight w:val="none"/>
          <w:lang w:val="zh-CN"/>
        </w:rPr>
        <w:t>，联合体各方</w:t>
      </w:r>
      <w:r>
        <w:rPr>
          <w:rFonts w:hint="eastAsia" w:ascii="宋体" w:hAnsi="宋体" w:cs="宋体"/>
          <w:b/>
          <w:bCs/>
          <w:color w:val="000000"/>
          <w:sz w:val="24"/>
          <w:highlight w:val="none"/>
        </w:rPr>
        <w:t>均需提供</w:t>
      </w:r>
      <w:r>
        <w:rPr>
          <w:rFonts w:hint="eastAsia" w:ascii="宋体" w:hAnsi="宋体" w:cs="宋体"/>
          <w:b/>
          <w:bCs/>
          <w:color w:val="000000"/>
          <w:sz w:val="24"/>
          <w:highlight w:val="none"/>
          <w:lang w:val="zh-CN"/>
        </w:rPr>
        <w:t>）</w:t>
      </w:r>
    </w:p>
    <w:p w14:paraId="01DC0F33">
      <w:pPr>
        <w:spacing w:line="400" w:lineRule="exact"/>
        <w:ind w:firstLine="787"/>
        <w:rPr>
          <w:rFonts w:ascii="宋体" w:hAnsi="宋体"/>
          <w:sz w:val="24"/>
        </w:rPr>
      </w:pPr>
      <w:r>
        <w:rPr>
          <w:rFonts w:hint="eastAsia" w:ascii="宋体" w:hAnsi="宋体"/>
          <w:sz w:val="24"/>
        </w:rPr>
        <w:t>1.1 法人或者其他组织的营业执照等证明文件；</w:t>
      </w:r>
    </w:p>
    <w:p w14:paraId="0A4F84F0">
      <w:pPr>
        <w:spacing w:line="400" w:lineRule="exact"/>
        <w:ind w:firstLine="1024"/>
        <w:rPr>
          <w:rFonts w:ascii="宋体" w:hAnsi="宋体"/>
          <w:sz w:val="24"/>
        </w:rPr>
      </w:pPr>
      <w:r>
        <w:rPr>
          <w:rFonts w:hint="eastAsia" w:ascii="宋体" w:hAnsi="宋体"/>
          <w:sz w:val="24"/>
        </w:rPr>
        <w:t>1.1.1法人或者其他组织的营业执照</w:t>
      </w:r>
    </w:p>
    <w:p w14:paraId="64550C44">
      <w:pPr>
        <w:spacing w:line="400" w:lineRule="exact"/>
        <w:ind w:firstLine="1024"/>
        <w:rPr>
          <w:rFonts w:ascii="宋体" w:hAnsi="宋体"/>
          <w:sz w:val="24"/>
        </w:rPr>
      </w:pPr>
      <w:r>
        <w:rPr>
          <w:rFonts w:hint="eastAsia" w:ascii="宋体" w:hAnsi="宋体"/>
          <w:sz w:val="24"/>
        </w:rPr>
        <w:t>1.1.2法定代表人居民身份证</w:t>
      </w:r>
    </w:p>
    <w:p w14:paraId="23B4AFA4">
      <w:pPr>
        <w:spacing w:line="400" w:lineRule="exact"/>
        <w:ind w:firstLine="1024"/>
        <w:rPr>
          <w:rFonts w:ascii="宋体" w:hAnsi="宋体"/>
          <w:sz w:val="24"/>
        </w:rPr>
      </w:pPr>
      <w:r>
        <w:rPr>
          <w:rFonts w:hint="eastAsia" w:ascii="宋体" w:hAnsi="宋体"/>
          <w:sz w:val="24"/>
        </w:rPr>
        <w:t>1.1.3授权代表居民身份证</w:t>
      </w:r>
    </w:p>
    <w:p w14:paraId="14293C0E">
      <w:pPr>
        <w:spacing w:line="400" w:lineRule="exact"/>
        <w:ind w:firstLine="1024"/>
        <w:rPr>
          <w:rFonts w:ascii="宋体" w:hAnsi="宋体"/>
          <w:sz w:val="24"/>
        </w:rPr>
      </w:pPr>
      <w:r>
        <w:rPr>
          <w:rFonts w:hint="eastAsia" w:ascii="宋体" w:hAnsi="宋体"/>
          <w:sz w:val="24"/>
        </w:rPr>
        <w:t>1.1.4法人授权书（格式见附件7）</w:t>
      </w:r>
    </w:p>
    <w:p w14:paraId="13B951DE">
      <w:pPr>
        <w:spacing w:line="400" w:lineRule="exact"/>
        <w:ind w:firstLine="480"/>
        <w:rPr>
          <w:rFonts w:ascii="宋体" w:hAnsi="宋体"/>
          <w:sz w:val="24"/>
        </w:rPr>
      </w:pPr>
      <w:r>
        <w:rPr>
          <w:rFonts w:hint="eastAsia" w:ascii="宋体" w:hAnsi="宋体"/>
          <w:sz w:val="24"/>
        </w:rPr>
        <w:t>注：法定代表人签署响应文件并参加投标的无需提供授权书及授权代表居民身份证。</w:t>
      </w:r>
    </w:p>
    <w:p w14:paraId="4FD722A7">
      <w:pPr>
        <w:spacing w:line="400" w:lineRule="exact"/>
        <w:ind w:firstLine="787"/>
        <w:rPr>
          <w:rFonts w:ascii="宋体" w:hAnsi="宋体"/>
          <w:sz w:val="24"/>
        </w:rPr>
      </w:pPr>
      <w:r>
        <w:rPr>
          <w:rFonts w:hint="eastAsia" w:ascii="宋体" w:hAnsi="宋体"/>
          <w:sz w:val="24"/>
        </w:rPr>
        <w:t>1.2 提供最近一期经会计事务所审计的财务报告（成立不满一年需提供资产负债表和利润表）或银行（金融机构）出具的资信证明（距开标时间六个月内开具的资信证明）</w:t>
      </w:r>
    </w:p>
    <w:p w14:paraId="4A941A6E">
      <w:pPr>
        <w:spacing w:line="400" w:lineRule="exact"/>
        <w:ind w:firstLine="787"/>
        <w:rPr>
          <w:rFonts w:ascii="宋体" w:hAnsi="宋体"/>
          <w:sz w:val="24"/>
        </w:rPr>
      </w:pPr>
      <w:r>
        <w:rPr>
          <w:rFonts w:hint="eastAsia" w:ascii="宋体" w:hAnsi="宋体"/>
          <w:sz w:val="24"/>
        </w:rPr>
        <w:t>1.3 依法缴纳税收和社会保障资金的相关材料（提供投标截止时间前一年内至少一个月依法缴纳税收及缴纳社会保障资金的证明材料，如供应商缴纳税收的凭据、缴纳社会保险的专用收据或社会保险缴纳清单。供应商依法享受免缴税收、社会保障资金的提供证明材料。）</w:t>
      </w:r>
    </w:p>
    <w:p w14:paraId="7CF24C44">
      <w:pPr>
        <w:spacing w:line="400" w:lineRule="exact"/>
        <w:ind w:firstLine="787"/>
        <w:rPr>
          <w:rFonts w:ascii="宋体" w:hAnsi="宋体"/>
          <w:sz w:val="24"/>
        </w:rPr>
      </w:pPr>
      <w:r>
        <w:rPr>
          <w:rFonts w:hint="eastAsia" w:ascii="宋体" w:hAnsi="宋体"/>
          <w:sz w:val="24"/>
        </w:rPr>
        <w:t>1.4 具备履行合同所必需的设备和专业技术能力的书面声明（格式见附件5）</w:t>
      </w:r>
    </w:p>
    <w:p w14:paraId="530B49F5">
      <w:pPr>
        <w:spacing w:line="400" w:lineRule="exact"/>
        <w:ind w:firstLine="787"/>
        <w:rPr>
          <w:rFonts w:ascii="宋体" w:hAnsi="宋体"/>
          <w:sz w:val="24"/>
        </w:rPr>
      </w:pPr>
      <w:r>
        <w:rPr>
          <w:rFonts w:hint="eastAsia" w:ascii="宋体" w:hAnsi="宋体"/>
          <w:sz w:val="24"/>
        </w:rPr>
        <w:t>1.5 参加政府采购活动前 3 年内在经营活动中没有重大违法记录的书面声明（格式见附件6）</w:t>
      </w:r>
    </w:p>
    <w:p w14:paraId="357BCE15">
      <w:pPr>
        <w:spacing w:line="400" w:lineRule="exact"/>
        <w:ind w:firstLine="480" w:firstLineChars="200"/>
        <w:rPr>
          <w:sz w:val="24"/>
        </w:rPr>
      </w:pPr>
      <w:r>
        <w:rPr>
          <w:rFonts w:hint="eastAsia"/>
          <w:bCs/>
          <w:color w:val="000000"/>
          <w:sz w:val="24"/>
          <w:szCs w:val="24"/>
        </w:rPr>
        <w:t>2、中小企业声明函（格式见附件9）或残疾人福利性单位声明函（格式见附件10）或省级以上监狱管理局、戒毒管理局（含新疆生产建设兵团）出具的属于监狱企业的证明文件。</w:t>
      </w:r>
    </w:p>
    <w:p w14:paraId="77FB72BF">
      <w:pPr>
        <w:spacing w:line="400" w:lineRule="exact"/>
        <w:ind w:firstLine="480"/>
        <w:rPr>
          <w:bCs/>
          <w:color w:val="000000"/>
          <w:sz w:val="24"/>
          <w:szCs w:val="24"/>
          <w:highlight w:val="none"/>
        </w:rPr>
      </w:pPr>
      <w:r>
        <w:rPr>
          <w:rFonts w:hint="eastAsia"/>
          <w:sz w:val="24"/>
          <w:highlight w:val="none"/>
        </w:rPr>
        <w:t>*</w:t>
      </w:r>
      <w:r>
        <w:rPr>
          <w:rFonts w:hint="eastAsia"/>
          <w:bCs/>
          <w:color w:val="000000"/>
          <w:sz w:val="24"/>
          <w:szCs w:val="24"/>
          <w:highlight w:val="none"/>
        </w:rPr>
        <w:t>3、</w:t>
      </w:r>
      <w:r>
        <w:rPr>
          <w:rFonts w:hint="eastAsia"/>
          <w:b/>
          <w:bCs/>
          <w:color w:val="000000"/>
          <w:sz w:val="24"/>
          <w:szCs w:val="24"/>
          <w:highlight w:val="none"/>
          <w:lang w:val="en-US" w:eastAsia="zh-CN"/>
        </w:rPr>
        <w:t>联合体其中之一应</w:t>
      </w:r>
      <w:r>
        <w:rPr>
          <w:rFonts w:hint="eastAsia" w:ascii="宋体" w:hAnsi="宋体"/>
          <w:b/>
          <w:bCs/>
          <w:color w:val="000000" w:themeColor="text1"/>
          <w:sz w:val="24"/>
          <w:szCs w:val="24"/>
          <w:highlight w:val="none"/>
          <w14:textFill>
            <w14:solidFill>
              <w14:schemeClr w14:val="tx1"/>
            </w14:solidFill>
          </w14:textFill>
        </w:rPr>
        <w:t>具有主管部门颁发的有效期范围内甲级测绘资质（业务范围包括界线与不动产测绘、地理信息系统工程）。</w:t>
      </w:r>
    </w:p>
    <w:p w14:paraId="5A1752F8">
      <w:pPr>
        <w:spacing w:line="400" w:lineRule="exact"/>
        <w:ind w:left="480"/>
        <w:rPr>
          <w:b/>
          <w:sz w:val="24"/>
        </w:rPr>
      </w:pPr>
      <w:r>
        <w:rPr>
          <w:rFonts w:hint="eastAsia"/>
          <w:b/>
          <w:sz w:val="24"/>
        </w:rPr>
        <w:t>三</w:t>
      </w:r>
      <w:r>
        <w:rPr>
          <w:b/>
          <w:sz w:val="24"/>
        </w:rPr>
        <w:t>、</w:t>
      </w:r>
      <w:r>
        <w:rPr>
          <w:rFonts w:hint="eastAsia"/>
          <w:b/>
          <w:sz w:val="24"/>
        </w:rPr>
        <w:t>符合性</w:t>
      </w:r>
      <w:r>
        <w:rPr>
          <w:b/>
          <w:sz w:val="24"/>
        </w:rPr>
        <w:t>审查内容</w:t>
      </w:r>
    </w:p>
    <w:p w14:paraId="0FC92139">
      <w:pPr>
        <w:spacing w:line="400" w:lineRule="exact"/>
        <w:ind w:firstLine="420"/>
        <w:rPr>
          <w:sz w:val="24"/>
        </w:rPr>
      </w:pPr>
      <w:r>
        <w:rPr>
          <w:rFonts w:hint="eastAsia"/>
          <w:sz w:val="24"/>
        </w:rPr>
        <w:t>*1</w:t>
      </w:r>
      <w:r>
        <w:rPr>
          <w:rFonts w:hint="eastAsia"/>
          <w:sz w:val="24"/>
          <w:lang w:eastAsia="zh-CN"/>
        </w:rPr>
        <w:t>、</w:t>
      </w:r>
      <w:r>
        <w:rPr>
          <w:rFonts w:hint="eastAsia"/>
          <w:sz w:val="24"/>
        </w:rPr>
        <w:t>报价一览表（格式见附件1）</w:t>
      </w:r>
    </w:p>
    <w:p w14:paraId="12C57DC4">
      <w:pPr>
        <w:spacing w:line="400" w:lineRule="exact"/>
        <w:ind w:firstLine="420"/>
        <w:rPr>
          <w:sz w:val="24"/>
        </w:rPr>
      </w:pPr>
      <w:r>
        <w:rPr>
          <w:rFonts w:hint="eastAsia"/>
          <w:sz w:val="24"/>
        </w:rPr>
        <w:t>*2</w:t>
      </w:r>
      <w:r>
        <w:rPr>
          <w:rFonts w:hint="eastAsia"/>
          <w:sz w:val="24"/>
          <w:lang w:eastAsia="zh-CN"/>
        </w:rPr>
        <w:t>、</w:t>
      </w:r>
      <w:r>
        <w:rPr>
          <w:rFonts w:hint="eastAsia"/>
          <w:sz w:val="24"/>
        </w:rPr>
        <w:t>磋商响应函（格式见附件8）</w:t>
      </w:r>
    </w:p>
    <w:p w14:paraId="3C40C633">
      <w:pPr>
        <w:spacing w:line="400" w:lineRule="exact"/>
        <w:ind w:firstLine="420"/>
        <w:rPr>
          <w:sz w:val="24"/>
        </w:rPr>
      </w:pPr>
      <w:r>
        <w:rPr>
          <w:rFonts w:hint="eastAsia"/>
          <w:sz w:val="24"/>
        </w:rPr>
        <w:t>*3</w:t>
      </w:r>
      <w:r>
        <w:rPr>
          <w:rFonts w:hint="eastAsia"/>
          <w:sz w:val="24"/>
          <w:lang w:eastAsia="zh-CN"/>
        </w:rPr>
        <w:t>、</w:t>
      </w:r>
      <w:r>
        <w:rPr>
          <w:rFonts w:hint="eastAsia"/>
          <w:sz w:val="24"/>
        </w:rPr>
        <w:t>投入费用明细表（格式见附件2）</w:t>
      </w:r>
    </w:p>
    <w:p w14:paraId="5A90F44B">
      <w:pPr>
        <w:spacing w:line="400" w:lineRule="exact"/>
        <w:ind w:firstLine="420"/>
        <w:rPr>
          <w:rFonts w:hint="eastAsia"/>
          <w:sz w:val="24"/>
        </w:rPr>
      </w:pPr>
      <w:r>
        <w:rPr>
          <w:rFonts w:hint="eastAsia"/>
          <w:sz w:val="24"/>
        </w:rPr>
        <w:t>*4</w:t>
      </w:r>
      <w:r>
        <w:rPr>
          <w:rFonts w:hint="eastAsia"/>
          <w:sz w:val="24"/>
          <w:lang w:eastAsia="zh-CN"/>
        </w:rPr>
        <w:t>、</w:t>
      </w:r>
      <w:r>
        <w:rPr>
          <w:rFonts w:hint="eastAsia"/>
          <w:sz w:val="24"/>
        </w:rPr>
        <w:t>实质性要求响应及偏离表（格式见附件11）</w:t>
      </w:r>
    </w:p>
    <w:p w14:paraId="5B90B7D3">
      <w:pPr>
        <w:spacing w:line="400" w:lineRule="exact"/>
        <w:ind w:firstLine="420"/>
        <w:rPr>
          <w:rFonts w:hint="eastAsia" w:eastAsia="宋体"/>
          <w:sz w:val="24"/>
          <w:lang w:eastAsia="zh-CN"/>
        </w:rPr>
      </w:pPr>
      <w:r>
        <w:rPr>
          <w:rFonts w:hint="eastAsia" w:eastAsia="宋体"/>
          <w:sz w:val="24"/>
        </w:rPr>
        <w:t>*</w:t>
      </w:r>
      <w:r>
        <w:rPr>
          <w:rFonts w:hint="eastAsia" w:eastAsia="宋体"/>
          <w:sz w:val="24"/>
          <w:lang w:val="en-US" w:eastAsia="zh-CN"/>
        </w:rPr>
        <w:t>5</w:t>
      </w:r>
      <w:r>
        <w:rPr>
          <w:rFonts w:hint="eastAsia"/>
          <w:sz w:val="24"/>
          <w:lang w:val="en-US" w:eastAsia="zh-CN"/>
        </w:rPr>
        <w:t>、</w:t>
      </w:r>
      <w:r>
        <w:rPr>
          <w:rFonts w:hint="eastAsia" w:eastAsia="宋体"/>
          <w:sz w:val="24"/>
        </w:rPr>
        <w:t>联合体协议书（格式见附件</w:t>
      </w:r>
      <w:r>
        <w:rPr>
          <w:rFonts w:hint="eastAsia" w:eastAsia="宋体"/>
          <w:sz w:val="24"/>
          <w:lang w:val="en-US" w:eastAsia="zh-CN"/>
        </w:rPr>
        <w:t>15</w:t>
      </w:r>
      <w:r>
        <w:rPr>
          <w:rFonts w:hint="eastAsia" w:eastAsia="宋体"/>
          <w:sz w:val="24"/>
        </w:rPr>
        <w:t>）（如为联合体投标的，必须提供</w:t>
      </w:r>
      <w:r>
        <w:rPr>
          <w:rFonts w:hint="eastAsia" w:eastAsia="宋体"/>
          <w:sz w:val="24"/>
          <w:lang w:eastAsia="zh-CN"/>
        </w:rPr>
        <w:t>；</w:t>
      </w:r>
      <w:r>
        <w:rPr>
          <w:rFonts w:hint="eastAsia" w:eastAsia="宋体"/>
          <w:sz w:val="24"/>
          <w:lang w:val="en-US" w:eastAsia="zh-CN"/>
        </w:rPr>
        <w:t>非联合体形式参加的此处附营业执照</w:t>
      </w:r>
      <w:r>
        <w:rPr>
          <w:rFonts w:hint="eastAsia" w:eastAsia="宋体"/>
          <w:sz w:val="24"/>
        </w:rPr>
        <w:t>）</w:t>
      </w:r>
    </w:p>
    <w:p w14:paraId="346C1069">
      <w:pPr>
        <w:spacing w:line="400" w:lineRule="exact"/>
        <w:ind w:left="480"/>
        <w:rPr>
          <w:b/>
          <w:sz w:val="24"/>
        </w:rPr>
      </w:pPr>
      <w:r>
        <w:rPr>
          <w:rFonts w:hint="eastAsia"/>
          <w:b/>
          <w:sz w:val="24"/>
        </w:rPr>
        <w:t>四、综合评审文件</w:t>
      </w:r>
    </w:p>
    <w:p w14:paraId="385742D7">
      <w:pPr>
        <w:spacing w:line="400" w:lineRule="exact"/>
        <w:ind w:firstLine="420"/>
        <w:rPr>
          <w:sz w:val="24"/>
        </w:rPr>
      </w:pPr>
      <w:r>
        <w:rPr>
          <w:rFonts w:hint="eastAsia"/>
          <w:sz w:val="24"/>
        </w:rPr>
        <w:t>1、服务要求响应及偏离表（格式见</w:t>
      </w:r>
      <w:r>
        <w:rPr>
          <w:sz w:val="24"/>
        </w:rPr>
        <w:t>附件</w:t>
      </w:r>
      <w:r>
        <w:rPr>
          <w:rFonts w:hint="eastAsia"/>
          <w:sz w:val="24"/>
        </w:rPr>
        <w:t>3）</w:t>
      </w:r>
    </w:p>
    <w:p w14:paraId="1C44B89F">
      <w:pPr>
        <w:spacing w:line="400" w:lineRule="exact"/>
        <w:ind w:firstLine="420"/>
        <w:rPr>
          <w:sz w:val="24"/>
        </w:rPr>
      </w:pPr>
      <w:r>
        <w:rPr>
          <w:rFonts w:hint="eastAsia"/>
          <w:sz w:val="24"/>
        </w:rPr>
        <w:t>2、商务要求响应及偏离表（格式见</w:t>
      </w:r>
      <w:r>
        <w:rPr>
          <w:sz w:val="24"/>
        </w:rPr>
        <w:t>附件</w:t>
      </w:r>
      <w:r>
        <w:rPr>
          <w:rFonts w:hint="eastAsia"/>
          <w:sz w:val="24"/>
        </w:rPr>
        <w:t>4）</w:t>
      </w:r>
    </w:p>
    <w:p w14:paraId="27E885DE">
      <w:pPr>
        <w:spacing w:line="400" w:lineRule="exact"/>
        <w:ind w:firstLine="420"/>
        <w:rPr>
          <w:sz w:val="24"/>
        </w:rPr>
      </w:pPr>
      <w:r>
        <w:rPr>
          <w:rFonts w:hint="eastAsia"/>
          <w:sz w:val="24"/>
        </w:rPr>
        <w:t>3、项目实施方案（格式见</w:t>
      </w:r>
      <w:r>
        <w:rPr>
          <w:sz w:val="24"/>
        </w:rPr>
        <w:t>附件</w:t>
      </w:r>
      <w:r>
        <w:rPr>
          <w:rFonts w:hint="eastAsia"/>
          <w:sz w:val="24"/>
        </w:rPr>
        <w:t>12）</w:t>
      </w:r>
    </w:p>
    <w:p w14:paraId="5F643013">
      <w:pPr>
        <w:spacing w:line="400" w:lineRule="exact"/>
        <w:ind w:firstLine="420"/>
        <w:rPr>
          <w:sz w:val="24"/>
        </w:rPr>
      </w:pPr>
      <w:r>
        <w:rPr>
          <w:rFonts w:hint="eastAsia"/>
          <w:sz w:val="24"/>
        </w:rPr>
        <w:t>4、项目组人员一览表（格式见</w:t>
      </w:r>
      <w:r>
        <w:rPr>
          <w:sz w:val="24"/>
        </w:rPr>
        <w:t>附件</w:t>
      </w:r>
      <w:r>
        <w:rPr>
          <w:rFonts w:hint="eastAsia"/>
          <w:sz w:val="24"/>
        </w:rPr>
        <w:t>13）</w:t>
      </w:r>
    </w:p>
    <w:p w14:paraId="4E297547">
      <w:pPr>
        <w:spacing w:line="400" w:lineRule="exact"/>
        <w:ind w:firstLine="420"/>
        <w:rPr>
          <w:sz w:val="24"/>
        </w:rPr>
      </w:pPr>
      <w:r>
        <w:rPr>
          <w:rFonts w:hint="eastAsia"/>
          <w:sz w:val="24"/>
        </w:rPr>
        <w:t>5、业绩一览表（格式见</w:t>
      </w:r>
      <w:r>
        <w:rPr>
          <w:sz w:val="24"/>
        </w:rPr>
        <w:t>附件</w:t>
      </w:r>
      <w:r>
        <w:rPr>
          <w:rFonts w:hint="eastAsia"/>
          <w:sz w:val="24"/>
        </w:rPr>
        <w:t>14）</w:t>
      </w:r>
    </w:p>
    <w:p w14:paraId="2EE95914">
      <w:pPr>
        <w:spacing w:line="400" w:lineRule="exact"/>
        <w:ind w:firstLine="241" w:firstLineChars="100"/>
        <w:rPr>
          <w:rFonts w:hint="eastAsia" w:ascii="宋体" w:hAnsi="宋体"/>
          <w:b/>
          <w:bCs/>
          <w:sz w:val="24"/>
        </w:rPr>
      </w:pPr>
      <w:r>
        <w:rPr>
          <w:rFonts w:hint="eastAsia" w:ascii="宋体" w:hAnsi="宋体"/>
          <w:b/>
          <w:bCs/>
          <w:sz w:val="24"/>
        </w:rPr>
        <w:t>备注：</w:t>
      </w:r>
      <w:r>
        <w:rPr>
          <w:rFonts w:hint="eastAsia" w:ascii="宋体" w:hAnsi="宋体"/>
          <w:b/>
          <w:bCs/>
          <w:sz w:val="24"/>
          <w:lang w:val="en-US" w:eastAsia="zh-CN"/>
        </w:rPr>
        <w:t>1、</w:t>
      </w:r>
      <w:r>
        <w:rPr>
          <w:rFonts w:hint="eastAsia" w:ascii="宋体" w:hAnsi="宋体"/>
          <w:b/>
          <w:bCs/>
          <w:sz w:val="24"/>
        </w:rPr>
        <w:t>其中加“*”项目若有缺失或无效，将导致其失去投标资格且不允许在响应文件开启时间后补正。</w:t>
      </w:r>
    </w:p>
    <w:p w14:paraId="1D008007">
      <w:pPr>
        <w:spacing w:line="440" w:lineRule="exact"/>
        <w:ind w:firstLine="1031" w:firstLineChars="428"/>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rPr>
        <w:t>2、</w:t>
      </w:r>
      <w:r>
        <w:rPr>
          <w:rFonts w:hint="eastAsia" w:ascii="宋体" w:hAnsi="宋体" w:cs="宋体"/>
          <w:b/>
          <w:bCs/>
          <w:color w:val="000000"/>
          <w:sz w:val="24"/>
          <w:szCs w:val="24"/>
          <w:highlight w:val="none"/>
          <w:lang w:val="zh-CN"/>
        </w:rPr>
        <w:t>除联合体协议书</w:t>
      </w:r>
      <w:r>
        <w:rPr>
          <w:rFonts w:hint="eastAsia" w:ascii="宋体" w:hAnsi="宋体" w:cs="宋体"/>
          <w:b/>
          <w:bCs/>
          <w:color w:val="000000"/>
          <w:sz w:val="24"/>
          <w:szCs w:val="24"/>
          <w:highlight w:val="none"/>
        </w:rPr>
        <w:t>需要双方盖章外</w:t>
      </w:r>
      <w:r>
        <w:rPr>
          <w:rFonts w:hint="eastAsia" w:ascii="宋体" w:hAnsi="宋体" w:cs="宋体"/>
          <w:b/>
          <w:bCs/>
          <w:color w:val="000000"/>
          <w:sz w:val="24"/>
          <w:szCs w:val="24"/>
          <w:highlight w:val="none"/>
          <w:lang w:val="zh-CN"/>
        </w:rPr>
        <w:t>，其它证明文件由</w:t>
      </w:r>
      <w:r>
        <w:rPr>
          <w:rFonts w:hint="eastAsia" w:ascii="宋体" w:hAnsi="宋体" w:cs="宋体"/>
          <w:b/>
          <w:bCs/>
          <w:color w:val="000000"/>
          <w:sz w:val="24"/>
          <w:szCs w:val="24"/>
          <w:highlight w:val="none"/>
        </w:rPr>
        <w:t>联合体</w:t>
      </w:r>
      <w:r>
        <w:rPr>
          <w:rFonts w:hint="eastAsia" w:ascii="宋体" w:hAnsi="宋体" w:cs="宋体"/>
          <w:b/>
          <w:bCs/>
          <w:color w:val="000000"/>
          <w:sz w:val="24"/>
          <w:szCs w:val="24"/>
          <w:highlight w:val="none"/>
          <w:lang w:val="zh-CN"/>
        </w:rPr>
        <w:t>牵头单位盖章即可。</w:t>
      </w:r>
    </w:p>
    <w:p w14:paraId="5D12ABEE">
      <w:pPr>
        <w:spacing w:line="400" w:lineRule="exact"/>
        <w:ind w:firstLine="241" w:firstLineChars="100"/>
        <w:rPr>
          <w:rFonts w:hint="eastAsia" w:ascii="宋体" w:hAnsi="宋体"/>
          <w:b/>
          <w:bCs/>
          <w:sz w:val="24"/>
        </w:rPr>
      </w:pPr>
    </w:p>
    <w:p w14:paraId="17C64F22">
      <w:pPr>
        <w:pStyle w:val="5"/>
        <w:spacing w:line="440" w:lineRule="exact"/>
        <w:rPr>
          <w:b w:val="0"/>
          <w:sz w:val="24"/>
          <w:szCs w:val="24"/>
        </w:rPr>
      </w:pPr>
      <w:r>
        <w:rPr/>
        <w:br w:type="page" w:clear="all"/>
      </w:r>
      <w:bookmarkStart w:id="83" w:name="_Toc159312659"/>
      <w:bookmarkStart w:id="84" w:name="_Toc4940"/>
      <w:bookmarkStart w:id="85" w:name="_Toc103080654"/>
      <w:r>
        <w:rPr>
          <w:rFonts w:hint="eastAsia"/>
          <w:sz w:val="24"/>
          <w:szCs w:val="24"/>
        </w:rPr>
        <w:t>附件1 报价一览表</w:t>
      </w:r>
      <w:bookmarkEnd w:id="83"/>
      <w:bookmarkEnd w:id="84"/>
    </w:p>
    <w:p w14:paraId="27A7D967">
      <w:pPr>
        <w:rPr>
          <w:b/>
          <w:sz w:val="24"/>
          <w:szCs w:val="24"/>
        </w:rPr>
      </w:pPr>
    </w:p>
    <w:p w14:paraId="1C16ED4D">
      <w:pPr>
        <w:spacing w:line="400" w:lineRule="exact"/>
        <w:ind w:firstLine="482"/>
        <w:rPr>
          <w:sz w:val="24"/>
          <w:szCs w:val="24"/>
        </w:rPr>
      </w:pPr>
      <w:r>
        <w:rPr>
          <w:rFonts w:hint="eastAsia"/>
          <w:sz w:val="24"/>
          <w:szCs w:val="24"/>
        </w:rPr>
        <w:t>供应商全称（加盖CA电子签章）：</w:t>
      </w:r>
    </w:p>
    <w:p w14:paraId="0BA38439">
      <w:pPr>
        <w:spacing w:line="400" w:lineRule="exact"/>
        <w:ind w:firstLine="482"/>
        <w:rPr>
          <w:rFonts w:hint="eastAsia" w:eastAsia="宋体"/>
          <w:sz w:val="24"/>
          <w:szCs w:val="24"/>
          <w:lang w:eastAsia="zh-CN"/>
        </w:rPr>
      </w:pPr>
      <w:r>
        <w:rPr>
          <w:rFonts w:hint="eastAsia"/>
          <w:sz w:val="24"/>
          <w:szCs w:val="24"/>
        </w:rPr>
        <w:t>项目名称：</w:t>
      </w:r>
      <w:r>
        <w:rPr>
          <w:rFonts w:hint="eastAsia"/>
          <w:sz w:val="24"/>
          <w:szCs w:val="24"/>
          <w:lang w:eastAsia="zh-CN"/>
        </w:rPr>
        <w:t>常熟市地籍一张图编制项目（二期）</w:t>
      </w:r>
    </w:p>
    <w:p w14:paraId="2666B4BB">
      <w:pPr>
        <w:spacing w:line="400" w:lineRule="exact"/>
        <w:ind w:firstLine="482"/>
        <w:rPr>
          <w:sz w:val="24"/>
          <w:szCs w:val="24"/>
        </w:rPr>
      </w:pPr>
      <w:r>
        <w:rPr>
          <w:rFonts w:hint="eastAsia"/>
          <w:sz w:val="24"/>
          <w:szCs w:val="24"/>
        </w:rPr>
        <w:t xml:space="preserve">项目编号： </w:t>
      </w:r>
      <w:r>
        <w:rPr>
          <w:rFonts w:hint="eastAsia"/>
          <w:sz w:val="24"/>
          <w:szCs w:val="24"/>
          <w:lang w:eastAsia="zh-CN"/>
        </w:rPr>
        <w:t>JSZC-320581-CSXC-C2026-0004</w:t>
      </w:r>
      <w:r>
        <w:rPr>
          <w:rFonts w:hint="eastAsia"/>
          <w:sz w:val="24"/>
          <w:szCs w:val="24"/>
        </w:rPr>
        <w:t xml:space="preserve">                                  </w:t>
      </w:r>
    </w:p>
    <w:bookmarkEnd w:id="85"/>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6"/>
      </w:tblGrid>
      <w:tr w14:paraId="470F5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jc w:val="center"/>
        </w:trPr>
        <w:tc>
          <w:tcPr>
            <w:tcW w:w="8886" w:type="dxa"/>
            <w:vAlign w:val="center"/>
          </w:tcPr>
          <w:p w14:paraId="52212F3E">
            <w:pPr>
              <w:jc w:val="center"/>
              <w:rPr>
                <w:sz w:val="24"/>
                <w:szCs w:val="24"/>
              </w:rPr>
            </w:pPr>
            <w:r>
              <w:rPr>
                <w:rFonts w:hint="eastAsia"/>
                <w:sz w:val="24"/>
                <w:szCs w:val="24"/>
              </w:rPr>
              <w:t>报价总价</w:t>
            </w:r>
          </w:p>
        </w:tc>
      </w:tr>
      <w:tr w14:paraId="359A1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2" w:hRule="atLeast"/>
          <w:jc w:val="center"/>
        </w:trPr>
        <w:tc>
          <w:tcPr>
            <w:tcW w:w="8886" w:type="dxa"/>
            <w:vAlign w:val="center"/>
          </w:tcPr>
          <w:p w14:paraId="15BCE83C">
            <w:pPr>
              <w:spacing w:line="500" w:lineRule="exact"/>
              <w:rPr>
                <w:sz w:val="24"/>
              </w:rPr>
            </w:pPr>
            <w:r>
              <w:rPr>
                <w:rFonts w:hint="eastAsia" w:cs="宋体"/>
                <w:sz w:val="24"/>
                <w:szCs w:val="24"/>
              </w:rPr>
              <w:t xml:space="preserve">小写：   </w:t>
            </w:r>
            <w:r>
              <w:rPr>
                <w:rFonts w:hint="eastAsia" w:cs="宋体"/>
                <w:sz w:val="24"/>
                <w:szCs w:val="24"/>
                <w:u w:val="single"/>
              </w:rPr>
              <w:t xml:space="preserve">                        </w:t>
            </w:r>
            <w:r>
              <w:rPr>
                <w:rFonts w:ascii="宋体" w:hAnsi="宋体" w:cs="宋体"/>
                <w:color w:val="000000"/>
                <w:sz w:val="24"/>
              </w:rPr>
              <w:t>（大写人民币：</w:t>
            </w:r>
            <w:r>
              <w:rPr>
                <w:rFonts w:hint="eastAsia" w:ascii="宋体" w:hAnsi="宋体" w:cs="宋体"/>
                <w:color w:val="000000"/>
                <w:sz w:val="24"/>
                <w:u w:val="single"/>
              </w:rPr>
              <w:t xml:space="preserve">                     </w:t>
            </w:r>
            <w:r>
              <w:rPr>
                <w:rFonts w:ascii="宋体" w:hAnsi="宋体" w:cs="宋体"/>
                <w:color w:val="000000"/>
                <w:sz w:val="24"/>
              </w:rPr>
              <w:t>元）</w:t>
            </w:r>
          </w:p>
        </w:tc>
      </w:tr>
    </w:tbl>
    <w:p w14:paraId="151D5A8B">
      <w:pPr>
        <w:pStyle w:val="5"/>
        <w:spacing w:line="440" w:lineRule="exact"/>
      </w:pPr>
      <w:r>
        <w:rPr/>
        <w:br w:type="page" w:clear="all"/>
      </w:r>
      <w:bookmarkStart w:id="86" w:name="_Toc22917"/>
      <w:bookmarkStart w:id="87" w:name="_Toc26196"/>
      <w:bookmarkStart w:id="88" w:name="_Toc12668"/>
      <w:bookmarkStart w:id="89" w:name="_Toc159312661"/>
      <w:r>
        <w:rPr>
          <w:rFonts w:hint="eastAsia" w:ascii="宋体" w:hAnsi="宋体"/>
          <w:sz w:val="24"/>
          <w:szCs w:val="24"/>
        </w:rPr>
        <w:t>附件2 投入费用明细表</w:t>
      </w:r>
      <w:bookmarkEnd w:id="86"/>
      <w:bookmarkEnd w:id="87"/>
      <w:bookmarkEnd w:id="88"/>
    </w:p>
    <w:tbl>
      <w:tblPr>
        <w:tblStyle w:val="55"/>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6"/>
        <w:gridCol w:w="3951"/>
        <w:gridCol w:w="950"/>
        <w:gridCol w:w="2610"/>
        <w:gridCol w:w="1063"/>
      </w:tblGrid>
      <w:tr w14:paraId="1DAAD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vAlign w:val="center"/>
          </w:tcPr>
          <w:p w14:paraId="747220EC">
            <w:pPr>
              <w:spacing w:line="440" w:lineRule="exact"/>
              <w:jc w:val="center"/>
              <w:rPr>
                <w:sz w:val="24"/>
                <w:szCs w:val="24"/>
              </w:rPr>
            </w:pPr>
            <w:r>
              <w:rPr>
                <w:sz w:val="24"/>
                <w:szCs w:val="24"/>
              </w:rPr>
              <w:t>序号</w:t>
            </w:r>
          </w:p>
        </w:tc>
        <w:tc>
          <w:tcPr>
            <w:tcW w:w="3951" w:type="dxa"/>
            <w:vAlign w:val="center"/>
          </w:tcPr>
          <w:p w14:paraId="22C2045F">
            <w:pPr>
              <w:spacing w:line="440" w:lineRule="exact"/>
              <w:jc w:val="center"/>
              <w:rPr>
                <w:sz w:val="24"/>
                <w:szCs w:val="24"/>
              </w:rPr>
            </w:pPr>
            <w:r>
              <w:rPr>
                <w:rFonts w:hint="eastAsia"/>
                <w:sz w:val="24"/>
                <w:szCs w:val="24"/>
              </w:rPr>
              <w:t>费用</w:t>
            </w:r>
            <w:r>
              <w:rPr>
                <w:sz w:val="24"/>
                <w:szCs w:val="24"/>
              </w:rPr>
              <w:t>名称</w:t>
            </w:r>
          </w:p>
        </w:tc>
        <w:tc>
          <w:tcPr>
            <w:tcW w:w="950" w:type="dxa"/>
            <w:vAlign w:val="center"/>
          </w:tcPr>
          <w:p w14:paraId="264CAB90">
            <w:pPr>
              <w:spacing w:line="440" w:lineRule="exact"/>
              <w:jc w:val="center"/>
              <w:rPr>
                <w:sz w:val="24"/>
                <w:szCs w:val="24"/>
              </w:rPr>
            </w:pPr>
            <w:r>
              <w:rPr>
                <w:rFonts w:hint="eastAsia"/>
                <w:sz w:val="24"/>
                <w:szCs w:val="24"/>
              </w:rPr>
              <w:t>数量</w:t>
            </w:r>
          </w:p>
        </w:tc>
        <w:tc>
          <w:tcPr>
            <w:tcW w:w="2610" w:type="dxa"/>
            <w:vAlign w:val="center"/>
          </w:tcPr>
          <w:p w14:paraId="255D8623">
            <w:pPr>
              <w:spacing w:line="440" w:lineRule="exact"/>
              <w:jc w:val="center"/>
              <w:rPr>
                <w:sz w:val="24"/>
                <w:szCs w:val="24"/>
              </w:rPr>
            </w:pPr>
            <w:r>
              <w:rPr>
                <w:sz w:val="24"/>
                <w:szCs w:val="24"/>
              </w:rPr>
              <w:t>价格</w:t>
            </w:r>
            <w:r>
              <w:rPr>
                <w:rFonts w:hint="eastAsia"/>
                <w:sz w:val="24"/>
                <w:szCs w:val="24"/>
              </w:rPr>
              <w:t>（元）</w:t>
            </w:r>
          </w:p>
        </w:tc>
        <w:tc>
          <w:tcPr>
            <w:tcW w:w="1063" w:type="dxa"/>
            <w:vAlign w:val="center"/>
          </w:tcPr>
          <w:p w14:paraId="7D9136E5">
            <w:pPr>
              <w:spacing w:line="440" w:lineRule="exact"/>
              <w:jc w:val="center"/>
              <w:rPr>
                <w:sz w:val="24"/>
                <w:szCs w:val="24"/>
              </w:rPr>
            </w:pPr>
            <w:r>
              <w:rPr>
                <w:rFonts w:hint="eastAsia"/>
                <w:sz w:val="24"/>
                <w:szCs w:val="24"/>
              </w:rPr>
              <w:t>备注</w:t>
            </w:r>
          </w:p>
        </w:tc>
      </w:tr>
      <w:tr w14:paraId="0082D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vAlign w:val="center"/>
          </w:tcPr>
          <w:p w14:paraId="4B63281B">
            <w:pPr>
              <w:spacing w:line="440" w:lineRule="exact"/>
              <w:jc w:val="center"/>
              <w:rPr>
                <w:sz w:val="24"/>
                <w:szCs w:val="24"/>
              </w:rPr>
            </w:pPr>
            <w:r>
              <w:rPr>
                <w:sz w:val="24"/>
                <w:szCs w:val="24"/>
              </w:rPr>
              <w:t>1</w:t>
            </w:r>
          </w:p>
        </w:tc>
        <w:tc>
          <w:tcPr>
            <w:tcW w:w="3951" w:type="dxa"/>
            <w:vAlign w:val="center"/>
          </w:tcPr>
          <w:p w14:paraId="42A24FF1">
            <w:pPr>
              <w:widowControl/>
              <w:spacing w:line="440" w:lineRule="exact"/>
              <w:rPr>
                <w:sz w:val="24"/>
                <w:szCs w:val="24"/>
              </w:rPr>
            </w:pPr>
          </w:p>
        </w:tc>
        <w:tc>
          <w:tcPr>
            <w:tcW w:w="950" w:type="dxa"/>
            <w:vAlign w:val="center"/>
          </w:tcPr>
          <w:p w14:paraId="0815A669">
            <w:pPr>
              <w:widowControl/>
              <w:spacing w:line="440" w:lineRule="exact"/>
              <w:jc w:val="center"/>
              <w:rPr>
                <w:sz w:val="24"/>
                <w:szCs w:val="24"/>
              </w:rPr>
            </w:pPr>
          </w:p>
        </w:tc>
        <w:tc>
          <w:tcPr>
            <w:tcW w:w="2610" w:type="dxa"/>
            <w:vAlign w:val="center"/>
          </w:tcPr>
          <w:p w14:paraId="1290CA27">
            <w:pPr>
              <w:spacing w:line="440" w:lineRule="exact"/>
              <w:rPr>
                <w:sz w:val="24"/>
                <w:szCs w:val="24"/>
              </w:rPr>
            </w:pPr>
          </w:p>
        </w:tc>
        <w:tc>
          <w:tcPr>
            <w:tcW w:w="1063" w:type="dxa"/>
            <w:vAlign w:val="center"/>
          </w:tcPr>
          <w:p w14:paraId="65F57DFF">
            <w:pPr>
              <w:spacing w:line="440" w:lineRule="exact"/>
              <w:rPr>
                <w:sz w:val="24"/>
                <w:szCs w:val="24"/>
              </w:rPr>
            </w:pPr>
          </w:p>
        </w:tc>
      </w:tr>
      <w:tr w14:paraId="3136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vAlign w:val="center"/>
          </w:tcPr>
          <w:p w14:paraId="0F7D67BD">
            <w:pPr>
              <w:spacing w:line="440" w:lineRule="exact"/>
              <w:jc w:val="center"/>
              <w:rPr>
                <w:sz w:val="24"/>
                <w:szCs w:val="24"/>
              </w:rPr>
            </w:pPr>
            <w:r>
              <w:rPr>
                <w:sz w:val="24"/>
                <w:szCs w:val="24"/>
              </w:rPr>
              <w:t>2</w:t>
            </w:r>
          </w:p>
        </w:tc>
        <w:tc>
          <w:tcPr>
            <w:tcW w:w="3951" w:type="dxa"/>
            <w:vAlign w:val="center"/>
          </w:tcPr>
          <w:p w14:paraId="0CF1846E">
            <w:pPr>
              <w:widowControl/>
              <w:spacing w:line="440" w:lineRule="exact"/>
              <w:rPr>
                <w:sz w:val="24"/>
                <w:szCs w:val="24"/>
              </w:rPr>
            </w:pPr>
          </w:p>
        </w:tc>
        <w:tc>
          <w:tcPr>
            <w:tcW w:w="950" w:type="dxa"/>
            <w:vAlign w:val="center"/>
          </w:tcPr>
          <w:p w14:paraId="13D9346C">
            <w:pPr>
              <w:widowControl/>
              <w:spacing w:line="440" w:lineRule="exact"/>
              <w:jc w:val="center"/>
              <w:rPr>
                <w:sz w:val="24"/>
                <w:szCs w:val="24"/>
              </w:rPr>
            </w:pPr>
          </w:p>
        </w:tc>
        <w:tc>
          <w:tcPr>
            <w:tcW w:w="2610" w:type="dxa"/>
            <w:vAlign w:val="center"/>
          </w:tcPr>
          <w:p w14:paraId="4CA7AFE3">
            <w:pPr>
              <w:spacing w:line="440" w:lineRule="exact"/>
              <w:rPr>
                <w:sz w:val="24"/>
                <w:szCs w:val="24"/>
              </w:rPr>
            </w:pPr>
          </w:p>
        </w:tc>
        <w:tc>
          <w:tcPr>
            <w:tcW w:w="1063" w:type="dxa"/>
            <w:vAlign w:val="center"/>
          </w:tcPr>
          <w:p w14:paraId="478DFF05">
            <w:pPr>
              <w:spacing w:line="440" w:lineRule="exact"/>
              <w:rPr>
                <w:sz w:val="24"/>
                <w:szCs w:val="24"/>
              </w:rPr>
            </w:pPr>
          </w:p>
        </w:tc>
      </w:tr>
      <w:tr w14:paraId="079D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19" w:hRule="atLeast"/>
        </w:trPr>
        <w:tc>
          <w:tcPr>
            <w:tcW w:w="876" w:type="dxa"/>
            <w:vAlign w:val="center"/>
          </w:tcPr>
          <w:p w14:paraId="73D95F59">
            <w:pPr>
              <w:spacing w:line="440" w:lineRule="exact"/>
              <w:jc w:val="center"/>
              <w:rPr>
                <w:sz w:val="24"/>
                <w:szCs w:val="24"/>
              </w:rPr>
            </w:pPr>
            <w:r>
              <w:rPr>
                <w:sz w:val="24"/>
                <w:szCs w:val="24"/>
              </w:rPr>
              <w:t>3</w:t>
            </w:r>
          </w:p>
        </w:tc>
        <w:tc>
          <w:tcPr>
            <w:tcW w:w="3951" w:type="dxa"/>
            <w:vAlign w:val="center"/>
          </w:tcPr>
          <w:p w14:paraId="09617FD2">
            <w:pPr>
              <w:widowControl/>
              <w:spacing w:line="440" w:lineRule="exact"/>
              <w:rPr>
                <w:sz w:val="24"/>
                <w:szCs w:val="24"/>
              </w:rPr>
            </w:pPr>
          </w:p>
        </w:tc>
        <w:tc>
          <w:tcPr>
            <w:tcW w:w="950" w:type="dxa"/>
            <w:vAlign w:val="center"/>
          </w:tcPr>
          <w:p w14:paraId="545F7E1B">
            <w:pPr>
              <w:widowControl/>
              <w:spacing w:line="440" w:lineRule="exact"/>
              <w:jc w:val="center"/>
              <w:rPr>
                <w:sz w:val="24"/>
                <w:szCs w:val="24"/>
              </w:rPr>
            </w:pPr>
          </w:p>
        </w:tc>
        <w:tc>
          <w:tcPr>
            <w:tcW w:w="2610" w:type="dxa"/>
            <w:vAlign w:val="center"/>
          </w:tcPr>
          <w:p w14:paraId="60F2F6B3">
            <w:pPr>
              <w:spacing w:line="440" w:lineRule="exact"/>
              <w:rPr>
                <w:sz w:val="24"/>
                <w:szCs w:val="24"/>
              </w:rPr>
            </w:pPr>
          </w:p>
        </w:tc>
        <w:tc>
          <w:tcPr>
            <w:tcW w:w="1063" w:type="dxa"/>
            <w:vAlign w:val="center"/>
          </w:tcPr>
          <w:p w14:paraId="3AB8D432">
            <w:pPr>
              <w:spacing w:line="440" w:lineRule="exact"/>
              <w:rPr>
                <w:sz w:val="24"/>
                <w:szCs w:val="24"/>
              </w:rPr>
            </w:pPr>
          </w:p>
        </w:tc>
      </w:tr>
      <w:tr w14:paraId="3F852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vAlign w:val="center"/>
          </w:tcPr>
          <w:p w14:paraId="5165E7BF">
            <w:pPr>
              <w:spacing w:line="440" w:lineRule="exact"/>
              <w:jc w:val="center"/>
              <w:rPr>
                <w:sz w:val="24"/>
                <w:szCs w:val="24"/>
              </w:rPr>
            </w:pPr>
            <w:r>
              <w:rPr>
                <w:rFonts w:hint="eastAsia"/>
                <w:sz w:val="24"/>
                <w:szCs w:val="24"/>
              </w:rPr>
              <w:t>……</w:t>
            </w:r>
          </w:p>
        </w:tc>
        <w:tc>
          <w:tcPr>
            <w:tcW w:w="3951" w:type="dxa"/>
            <w:vAlign w:val="center"/>
          </w:tcPr>
          <w:p w14:paraId="156C5278">
            <w:pPr>
              <w:spacing w:line="440" w:lineRule="exact"/>
              <w:rPr>
                <w:sz w:val="24"/>
                <w:szCs w:val="24"/>
              </w:rPr>
            </w:pPr>
          </w:p>
        </w:tc>
        <w:tc>
          <w:tcPr>
            <w:tcW w:w="950" w:type="dxa"/>
            <w:vAlign w:val="center"/>
          </w:tcPr>
          <w:p w14:paraId="1BF5CD45">
            <w:pPr>
              <w:spacing w:line="440" w:lineRule="exact"/>
              <w:rPr>
                <w:sz w:val="24"/>
                <w:szCs w:val="24"/>
              </w:rPr>
            </w:pPr>
          </w:p>
        </w:tc>
        <w:tc>
          <w:tcPr>
            <w:tcW w:w="2610" w:type="dxa"/>
            <w:vAlign w:val="center"/>
          </w:tcPr>
          <w:p w14:paraId="0DCCD874">
            <w:pPr>
              <w:spacing w:line="440" w:lineRule="exact"/>
              <w:rPr>
                <w:sz w:val="24"/>
                <w:szCs w:val="24"/>
              </w:rPr>
            </w:pPr>
          </w:p>
        </w:tc>
        <w:tc>
          <w:tcPr>
            <w:tcW w:w="1063" w:type="dxa"/>
            <w:vAlign w:val="center"/>
          </w:tcPr>
          <w:p w14:paraId="48381932">
            <w:pPr>
              <w:spacing w:line="440" w:lineRule="exact"/>
              <w:rPr>
                <w:sz w:val="24"/>
                <w:szCs w:val="24"/>
              </w:rPr>
            </w:pPr>
          </w:p>
        </w:tc>
      </w:tr>
      <w:tr w14:paraId="086C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9" w:hRule="atLeast"/>
        </w:trPr>
        <w:tc>
          <w:tcPr>
            <w:tcW w:w="876" w:type="dxa"/>
            <w:vAlign w:val="center"/>
          </w:tcPr>
          <w:p w14:paraId="2637B3EC">
            <w:pPr>
              <w:spacing w:line="440" w:lineRule="exact"/>
              <w:jc w:val="center"/>
              <w:rPr>
                <w:sz w:val="24"/>
                <w:szCs w:val="24"/>
              </w:rPr>
            </w:pPr>
          </w:p>
        </w:tc>
        <w:tc>
          <w:tcPr>
            <w:tcW w:w="3951" w:type="dxa"/>
            <w:vAlign w:val="center"/>
          </w:tcPr>
          <w:p w14:paraId="4A6CCBF9">
            <w:pPr>
              <w:spacing w:line="440" w:lineRule="exact"/>
              <w:rPr>
                <w:sz w:val="24"/>
                <w:szCs w:val="24"/>
              </w:rPr>
            </w:pPr>
          </w:p>
        </w:tc>
        <w:tc>
          <w:tcPr>
            <w:tcW w:w="950" w:type="dxa"/>
            <w:vAlign w:val="center"/>
          </w:tcPr>
          <w:p w14:paraId="4AD628A4">
            <w:pPr>
              <w:spacing w:line="440" w:lineRule="exact"/>
              <w:rPr>
                <w:sz w:val="24"/>
                <w:szCs w:val="24"/>
              </w:rPr>
            </w:pPr>
          </w:p>
        </w:tc>
        <w:tc>
          <w:tcPr>
            <w:tcW w:w="2610" w:type="dxa"/>
            <w:vAlign w:val="center"/>
          </w:tcPr>
          <w:p w14:paraId="75800415">
            <w:pPr>
              <w:spacing w:line="440" w:lineRule="exact"/>
              <w:rPr>
                <w:sz w:val="24"/>
                <w:szCs w:val="24"/>
              </w:rPr>
            </w:pPr>
          </w:p>
        </w:tc>
        <w:tc>
          <w:tcPr>
            <w:tcW w:w="1063" w:type="dxa"/>
            <w:vAlign w:val="center"/>
          </w:tcPr>
          <w:p w14:paraId="4B3DFF98">
            <w:pPr>
              <w:spacing w:line="440" w:lineRule="exact"/>
              <w:rPr>
                <w:sz w:val="24"/>
                <w:szCs w:val="24"/>
              </w:rPr>
            </w:pPr>
          </w:p>
        </w:tc>
      </w:tr>
      <w:tr w14:paraId="6D91F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5" w:hRule="atLeast"/>
        </w:trPr>
        <w:tc>
          <w:tcPr>
            <w:tcW w:w="5777" w:type="dxa"/>
            <w:gridSpan w:val="3"/>
            <w:vAlign w:val="center"/>
          </w:tcPr>
          <w:p w14:paraId="4E4DA3FD">
            <w:pPr>
              <w:spacing w:line="440" w:lineRule="exact"/>
              <w:jc w:val="center"/>
              <w:rPr>
                <w:sz w:val="24"/>
                <w:szCs w:val="24"/>
              </w:rPr>
            </w:pPr>
            <w:r>
              <w:rPr>
                <w:sz w:val="24"/>
                <w:szCs w:val="24"/>
              </w:rPr>
              <w:t>合计</w:t>
            </w:r>
            <w:r>
              <w:rPr>
                <w:rFonts w:hint="eastAsia"/>
                <w:sz w:val="24"/>
                <w:szCs w:val="24"/>
              </w:rPr>
              <w:t>总价（元）</w:t>
            </w:r>
          </w:p>
        </w:tc>
        <w:tc>
          <w:tcPr>
            <w:tcW w:w="2610" w:type="dxa"/>
            <w:vAlign w:val="center"/>
          </w:tcPr>
          <w:p w14:paraId="59565D16">
            <w:pPr>
              <w:spacing w:line="440" w:lineRule="exact"/>
              <w:rPr>
                <w:sz w:val="24"/>
                <w:szCs w:val="24"/>
              </w:rPr>
            </w:pPr>
          </w:p>
        </w:tc>
        <w:tc>
          <w:tcPr>
            <w:tcW w:w="1063" w:type="dxa"/>
            <w:vAlign w:val="center"/>
          </w:tcPr>
          <w:p w14:paraId="7B3307AE">
            <w:pPr>
              <w:spacing w:line="440" w:lineRule="exact"/>
              <w:rPr>
                <w:sz w:val="24"/>
                <w:szCs w:val="24"/>
              </w:rPr>
            </w:pPr>
          </w:p>
        </w:tc>
      </w:tr>
    </w:tbl>
    <w:p w14:paraId="28DE3354">
      <w:pPr>
        <w:spacing w:line="440" w:lineRule="exact"/>
        <w:ind w:firstLine="240"/>
        <w:rPr>
          <w:bCs/>
          <w:sz w:val="24"/>
        </w:rPr>
      </w:pPr>
      <w:r>
        <w:rPr>
          <w:rFonts w:hint="eastAsia"/>
          <w:sz w:val="24"/>
          <w:szCs w:val="24"/>
        </w:rPr>
        <w:t>注：1、</w:t>
      </w:r>
      <w:r>
        <w:rPr>
          <w:bCs/>
          <w:sz w:val="24"/>
        </w:rPr>
        <w:t>供应商应将</w:t>
      </w:r>
      <w:r>
        <w:rPr>
          <w:rFonts w:hint="eastAsia"/>
          <w:bCs/>
          <w:sz w:val="24"/>
        </w:rPr>
        <w:t>对应</w:t>
      </w:r>
      <w:r>
        <w:rPr>
          <w:bCs/>
          <w:sz w:val="24"/>
        </w:rPr>
        <w:t>项目所投入的有关费用分类别依次填报在上述表格中。</w:t>
      </w:r>
    </w:p>
    <w:p w14:paraId="2CB4AB79">
      <w:pPr>
        <w:spacing w:line="440" w:lineRule="exact"/>
        <w:ind w:firstLine="720"/>
        <w:rPr>
          <w:sz w:val="24"/>
          <w:szCs w:val="24"/>
        </w:rPr>
      </w:pPr>
      <w:r>
        <w:rPr>
          <w:rFonts w:hint="eastAsia"/>
          <w:sz w:val="24"/>
          <w:szCs w:val="24"/>
          <w:lang w:val="en-US" w:eastAsia="zh-CN"/>
        </w:rPr>
        <w:t>2</w:t>
      </w:r>
      <w:r>
        <w:rPr>
          <w:rFonts w:hint="eastAsia"/>
          <w:sz w:val="24"/>
          <w:szCs w:val="24"/>
        </w:rPr>
        <w:t>、所有价格用人民币表示，</w:t>
      </w:r>
      <w:r>
        <w:rPr>
          <w:rFonts w:hint="eastAsia"/>
          <w:bCs/>
          <w:sz w:val="24"/>
          <w:szCs w:val="24"/>
        </w:rPr>
        <w:t>请保留小数点后两位</w:t>
      </w:r>
      <w:r>
        <w:rPr>
          <w:rFonts w:hint="eastAsia"/>
          <w:sz w:val="24"/>
          <w:szCs w:val="24"/>
        </w:rPr>
        <w:t>。</w:t>
      </w:r>
    </w:p>
    <w:p w14:paraId="68BBD93B">
      <w:pPr>
        <w:spacing w:line="440" w:lineRule="exact"/>
        <w:ind w:firstLine="720"/>
        <w:rPr>
          <w:sz w:val="24"/>
          <w:szCs w:val="24"/>
        </w:rPr>
      </w:pPr>
      <w:r>
        <w:rPr>
          <w:rFonts w:hint="eastAsia"/>
          <w:sz w:val="24"/>
          <w:szCs w:val="24"/>
          <w:lang w:val="en-US" w:eastAsia="zh-CN"/>
        </w:rPr>
        <w:t>3</w:t>
      </w:r>
      <w:r>
        <w:rPr>
          <w:rFonts w:hint="eastAsia"/>
          <w:sz w:val="24"/>
          <w:szCs w:val="24"/>
        </w:rPr>
        <w:t>、</w:t>
      </w:r>
      <w:r>
        <w:rPr>
          <w:sz w:val="24"/>
          <w:szCs w:val="24"/>
        </w:rPr>
        <w:t>如有需要说明的事项，请在备注中列明。</w:t>
      </w:r>
    </w:p>
    <w:p w14:paraId="28C54430">
      <w:pPr>
        <w:pStyle w:val="5"/>
        <w:spacing w:line="440" w:lineRule="exact"/>
      </w:pPr>
      <w:r>
        <w:rPr>
          <w:rFonts w:hint="eastAsia"/>
          <w:sz w:val="24"/>
          <w:szCs w:val="24"/>
        </w:rPr>
        <w:br w:type="page" w:clear="all"/>
      </w:r>
      <w:bookmarkStart w:id="90" w:name="_Toc26497"/>
      <w:r>
        <w:rPr>
          <w:rFonts w:hint="eastAsia"/>
          <w:sz w:val="24"/>
          <w:szCs w:val="24"/>
        </w:rPr>
        <w:t>附件3</w:t>
      </w:r>
      <w:r>
        <w:rPr>
          <w:sz w:val="24"/>
          <w:szCs w:val="24"/>
        </w:rPr>
        <w:t xml:space="preserve"> </w:t>
      </w:r>
      <w:r>
        <w:rPr>
          <w:rFonts w:hint="eastAsia"/>
          <w:sz w:val="24"/>
          <w:szCs w:val="24"/>
        </w:rPr>
        <w:t>服务要求响应及偏离表</w:t>
      </w:r>
      <w:bookmarkEnd w:id="89"/>
      <w:bookmarkEnd w:id="90"/>
    </w:p>
    <w:p w14:paraId="322A80ED">
      <w:pPr>
        <w:spacing w:line="480" w:lineRule="exact"/>
        <w:ind w:firstLine="240"/>
        <w:rPr>
          <w:sz w:val="24"/>
        </w:rPr>
      </w:pPr>
      <w:r>
        <w:rPr>
          <w:sz w:val="24"/>
        </w:rPr>
        <w:t>1、对</w:t>
      </w:r>
      <w:r>
        <w:rPr>
          <w:rFonts w:hint="eastAsia"/>
          <w:sz w:val="24"/>
        </w:rPr>
        <w:t>项目</w:t>
      </w:r>
      <w:r>
        <w:rPr>
          <w:sz w:val="24"/>
        </w:rPr>
        <w:t>服务要求响应说明。请按要求填写以下表格：</w:t>
      </w:r>
    </w:p>
    <w:tbl>
      <w:tblPr>
        <w:tblStyle w:val="55"/>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1951"/>
        <w:gridCol w:w="2452"/>
        <w:gridCol w:w="1260"/>
        <w:gridCol w:w="2809"/>
      </w:tblGrid>
      <w:tr w14:paraId="290AE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3C93A748">
            <w:pPr>
              <w:jc w:val="center"/>
              <w:rPr>
                <w:sz w:val="24"/>
                <w:szCs w:val="24"/>
              </w:rPr>
            </w:pPr>
            <w:r>
              <w:rPr>
                <w:sz w:val="24"/>
                <w:szCs w:val="24"/>
              </w:rPr>
              <w:t>序号</w:t>
            </w:r>
          </w:p>
        </w:tc>
        <w:tc>
          <w:tcPr>
            <w:tcW w:w="1951" w:type="dxa"/>
            <w:vAlign w:val="center"/>
          </w:tcPr>
          <w:p w14:paraId="317B0A61">
            <w:pPr>
              <w:jc w:val="center"/>
              <w:rPr>
                <w:sz w:val="24"/>
                <w:szCs w:val="24"/>
              </w:rPr>
            </w:pPr>
            <w:r>
              <w:rPr>
                <w:rFonts w:hint="eastAsia"/>
                <w:sz w:val="24"/>
                <w:szCs w:val="21"/>
              </w:rPr>
              <w:t>磋商文件</w:t>
            </w:r>
            <w:r>
              <w:rPr>
                <w:sz w:val="24"/>
                <w:szCs w:val="21"/>
              </w:rPr>
              <w:t>要求</w:t>
            </w:r>
          </w:p>
        </w:tc>
        <w:tc>
          <w:tcPr>
            <w:tcW w:w="2452" w:type="dxa"/>
            <w:vAlign w:val="center"/>
          </w:tcPr>
          <w:p w14:paraId="413FFFD5">
            <w:pPr>
              <w:jc w:val="center"/>
              <w:rPr>
                <w:sz w:val="24"/>
                <w:szCs w:val="21"/>
              </w:rPr>
            </w:pPr>
            <w:r>
              <w:rPr>
                <w:rFonts w:hint="eastAsia"/>
                <w:sz w:val="24"/>
                <w:szCs w:val="21"/>
              </w:rPr>
              <w:t>供应商</w:t>
            </w:r>
            <w:r>
              <w:rPr>
                <w:sz w:val="24"/>
                <w:szCs w:val="21"/>
              </w:rPr>
              <w:t>提供服务承诺</w:t>
            </w:r>
          </w:p>
        </w:tc>
        <w:tc>
          <w:tcPr>
            <w:tcW w:w="1260" w:type="dxa"/>
            <w:vAlign w:val="center"/>
          </w:tcPr>
          <w:p w14:paraId="518CC4CF">
            <w:pPr>
              <w:jc w:val="center"/>
              <w:rPr>
                <w:sz w:val="24"/>
                <w:szCs w:val="24"/>
              </w:rPr>
            </w:pPr>
            <w:r>
              <w:rPr>
                <w:sz w:val="24"/>
                <w:szCs w:val="24"/>
              </w:rPr>
              <w:t>是否响应</w:t>
            </w:r>
          </w:p>
        </w:tc>
        <w:tc>
          <w:tcPr>
            <w:tcW w:w="2809" w:type="dxa"/>
            <w:vAlign w:val="center"/>
          </w:tcPr>
          <w:p w14:paraId="4000C910">
            <w:pPr>
              <w:jc w:val="center"/>
              <w:rPr>
                <w:sz w:val="24"/>
                <w:szCs w:val="24"/>
              </w:rPr>
            </w:pPr>
            <w:r>
              <w:rPr>
                <w:sz w:val="24"/>
                <w:szCs w:val="24"/>
              </w:rPr>
              <w:t>偏离内容及原因</w:t>
            </w:r>
          </w:p>
        </w:tc>
      </w:tr>
      <w:tr w14:paraId="171598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5A444B48">
            <w:pPr>
              <w:jc w:val="center"/>
              <w:rPr>
                <w:sz w:val="24"/>
                <w:szCs w:val="24"/>
              </w:rPr>
            </w:pPr>
          </w:p>
        </w:tc>
        <w:tc>
          <w:tcPr>
            <w:tcW w:w="1951" w:type="dxa"/>
            <w:vAlign w:val="center"/>
          </w:tcPr>
          <w:p w14:paraId="13A4FB18">
            <w:pPr>
              <w:jc w:val="center"/>
              <w:rPr>
                <w:sz w:val="24"/>
                <w:szCs w:val="24"/>
              </w:rPr>
            </w:pPr>
          </w:p>
        </w:tc>
        <w:tc>
          <w:tcPr>
            <w:tcW w:w="2452" w:type="dxa"/>
            <w:vAlign w:val="center"/>
          </w:tcPr>
          <w:p w14:paraId="090B7640">
            <w:pPr>
              <w:jc w:val="center"/>
              <w:rPr>
                <w:sz w:val="24"/>
                <w:szCs w:val="24"/>
              </w:rPr>
            </w:pPr>
          </w:p>
        </w:tc>
        <w:tc>
          <w:tcPr>
            <w:tcW w:w="1260" w:type="dxa"/>
            <w:vAlign w:val="center"/>
          </w:tcPr>
          <w:p w14:paraId="55E6E1CB">
            <w:pPr>
              <w:jc w:val="center"/>
              <w:rPr>
                <w:sz w:val="24"/>
                <w:szCs w:val="24"/>
              </w:rPr>
            </w:pPr>
          </w:p>
        </w:tc>
        <w:tc>
          <w:tcPr>
            <w:tcW w:w="2809" w:type="dxa"/>
            <w:vAlign w:val="center"/>
          </w:tcPr>
          <w:p w14:paraId="1CD37542">
            <w:pPr>
              <w:jc w:val="center"/>
              <w:rPr>
                <w:sz w:val="24"/>
                <w:szCs w:val="24"/>
              </w:rPr>
            </w:pPr>
          </w:p>
        </w:tc>
      </w:tr>
      <w:tr w14:paraId="27123C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4134DD39">
            <w:pPr>
              <w:jc w:val="center"/>
              <w:rPr>
                <w:sz w:val="24"/>
                <w:szCs w:val="24"/>
              </w:rPr>
            </w:pPr>
          </w:p>
        </w:tc>
        <w:tc>
          <w:tcPr>
            <w:tcW w:w="1951" w:type="dxa"/>
            <w:vAlign w:val="center"/>
          </w:tcPr>
          <w:p w14:paraId="60075E34">
            <w:pPr>
              <w:jc w:val="center"/>
              <w:rPr>
                <w:sz w:val="24"/>
                <w:szCs w:val="24"/>
              </w:rPr>
            </w:pPr>
          </w:p>
        </w:tc>
        <w:tc>
          <w:tcPr>
            <w:tcW w:w="2452" w:type="dxa"/>
            <w:vAlign w:val="center"/>
          </w:tcPr>
          <w:p w14:paraId="60832C6A">
            <w:pPr>
              <w:jc w:val="center"/>
              <w:rPr>
                <w:sz w:val="24"/>
                <w:szCs w:val="24"/>
              </w:rPr>
            </w:pPr>
          </w:p>
        </w:tc>
        <w:tc>
          <w:tcPr>
            <w:tcW w:w="1260" w:type="dxa"/>
            <w:vAlign w:val="center"/>
          </w:tcPr>
          <w:p w14:paraId="5DFBCEA3">
            <w:pPr>
              <w:jc w:val="center"/>
              <w:rPr>
                <w:sz w:val="24"/>
                <w:szCs w:val="24"/>
              </w:rPr>
            </w:pPr>
          </w:p>
        </w:tc>
        <w:tc>
          <w:tcPr>
            <w:tcW w:w="2809" w:type="dxa"/>
            <w:vAlign w:val="center"/>
          </w:tcPr>
          <w:p w14:paraId="52A62285">
            <w:pPr>
              <w:jc w:val="center"/>
              <w:rPr>
                <w:sz w:val="24"/>
                <w:szCs w:val="24"/>
              </w:rPr>
            </w:pPr>
          </w:p>
        </w:tc>
      </w:tr>
      <w:tr w14:paraId="287150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49FA5FA6">
            <w:pPr>
              <w:jc w:val="center"/>
              <w:rPr>
                <w:sz w:val="24"/>
                <w:szCs w:val="24"/>
              </w:rPr>
            </w:pPr>
          </w:p>
        </w:tc>
        <w:tc>
          <w:tcPr>
            <w:tcW w:w="1951" w:type="dxa"/>
            <w:vAlign w:val="center"/>
          </w:tcPr>
          <w:p w14:paraId="2CF58A37">
            <w:pPr>
              <w:jc w:val="center"/>
              <w:rPr>
                <w:sz w:val="24"/>
                <w:szCs w:val="24"/>
              </w:rPr>
            </w:pPr>
          </w:p>
        </w:tc>
        <w:tc>
          <w:tcPr>
            <w:tcW w:w="2452" w:type="dxa"/>
            <w:vAlign w:val="center"/>
          </w:tcPr>
          <w:p w14:paraId="7AB4D3C3">
            <w:pPr>
              <w:jc w:val="center"/>
              <w:rPr>
                <w:sz w:val="24"/>
                <w:szCs w:val="24"/>
              </w:rPr>
            </w:pPr>
          </w:p>
        </w:tc>
        <w:tc>
          <w:tcPr>
            <w:tcW w:w="1260" w:type="dxa"/>
            <w:vAlign w:val="center"/>
          </w:tcPr>
          <w:p w14:paraId="2E64AD54">
            <w:pPr>
              <w:jc w:val="center"/>
              <w:rPr>
                <w:sz w:val="24"/>
                <w:szCs w:val="24"/>
              </w:rPr>
            </w:pPr>
          </w:p>
        </w:tc>
        <w:tc>
          <w:tcPr>
            <w:tcW w:w="2809" w:type="dxa"/>
            <w:vAlign w:val="center"/>
          </w:tcPr>
          <w:p w14:paraId="594F3103">
            <w:pPr>
              <w:jc w:val="center"/>
              <w:rPr>
                <w:sz w:val="24"/>
                <w:szCs w:val="24"/>
              </w:rPr>
            </w:pPr>
          </w:p>
        </w:tc>
      </w:tr>
      <w:tr w14:paraId="3A971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14B59DB0">
            <w:pPr>
              <w:jc w:val="center"/>
              <w:rPr>
                <w:sz w:val="24"/>
                <w:szCs w:val="24"/>
              </w:rPr>
            </w:pPr>
          </w:p>
        </w:tc>
        <w:tc>
          <w:tcPr>
            <w:tcW w:w="1951" w:type="dxa"/>
            <w:vAlign w:val="center"/>
          </w:tcPr>
          <w:p w14:paraId="5DA83E9C">
            <w:pPr>
              <w:jc w:val="center"/>
              <w:rPr>
                <w:sz w:val="24"/>
                <w:szCs w:val="24"/>
              </w:rPr>
            </w:pPr>
          </w:p>
        </w:tc>
        <w:tc>
          <w:tcPr>
            <w:tcW w:w="2452" w:type="dxa"/>
            <w:vAlign w:val="center"/>
          </w:tcPr>
          <w:p w14:paraId="6B323454">
            <w:pPr>
              <w:jc w:val="center"/>
              <w:rPr>
                <w:sz w:val="24"/>
                <w:szCs w:val="24"/>
              </w:rPr>
            </w:pPr>
          </w:p>
        </w:tc>
        <w:tc>
          <w:tcPr>
            <w:tcW w:w="1260" w:type="dxa"/>
            <w:vAlign w:val="center"/>
          </w:tcPr>
          <w:p w14:paraId="2CCE1C52">
            <w:pPr>
              <w:jc w:val="center"/>
              <w:rPr>
                <w:sz w:val="24"/>
                <w:szCs w:val="24"/>
              </w:rPr>
            </w:pPr>
          </w:p>
        </w:tc>
        <w:tc>
          <w:tcPr>
            <w:tcW w:w="2809" w:type="dxa"/>
            <w:vAlign w:val="center"/>
          </w:tcPr>
          <w:p w14:paraId="0D3BEBC6">
            <w:pPr>
              <w:jc w:val="center"/>
              <w:rPr>
                <w:sz w:val="24"/>
                <w:szCs w:val="24"/>
              </w:rPr>
            </w:pPr>
          </w:p>
        </w:tc>
      </w:tr>
      <w:tr w14:paraId="4384A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816" w:type="dxa"/>
            <w:vAlign w:val="center"/>
          </w:tcPr>
          <w:p w14:paraId="06607AD0">
            <w:pPr>
              <w:jc w:val="center"/>
              <w:rPr>
                <w:sz w:val="24"/>
                <w:szCs w:val="24"/>
              </w:rPr>
            </w:pPr>
          </w:p>
        </w:tc>
        <w:tc>
          <w:tcPr>
            <w:tcW w:w="1951" w:type="dxa"/>
            <w:vAlign w:val="center"/>
          </w:tcPr>
          <w:p w14:paraId="732AABD6">
            <w:pPr>
              <w:jc w:val="center"/>
              <w:rPr>
                <w:sz w:val="24"/>
                <w:szCs w:val="24"/>
              </w:rPr>
            </w:pPr>
          </w:p>
        </w:tc>
        <w:tc>
          <w:tcPr>
            <w:tcW w:w="2452" w:type="dxa"/>
            <w:vAlign w:val="center"/>
          </w:tcPr>
          <w:p w14:paraId="35728CB1">
            <w:pPr>
              <w:jc w:val="center"/>
              <w:rPr>
                <w:sz w:val="24"/>
                <w:szCs w:val="24"/>
              </w:rPr>
            </w:pPr>
          </w:p>
        </w:tc>
        <w:tc>
          <w:tcPr>
            <w:tcW w:w="1260" w:type="dxa"/>
            <w:vAlign w:val="center"/>
          </w:tcPr>
          <w:p w14:paraId="1F94CCD9">
            <w:pPr>
              <w:jc w:val="center"/>
              <w:rPr>
                <w:sz w:val="24"/>
                <w:szCs w:val="24"/>
              </w:rPr>
            </w:pPr>
          </w:p>
        </w:tc>
        <w:tc>
          <w:tcPr>
            <w:tcW w:w="2809" w:type="dxa"/>
            <w:vAlign w:val="center"/>
          </w:tcPr>
          <w:p w14:paraId="55AC7421">
            <w:pPr>
              <w:jc w:val="center"/>
              <w:rPr>
                <w:sz w:val="24"/>
                <w:szCs w:val="24"/>
              </w:rPr>
            </w:pPr>
          </w:p>
        </w:tc>
      </w:tr>
    </w:tbl>
    <w:p w14:paraId="5708A3AC">
      <w:pPr>
        <w:spacing w:line="440" w:lineRule="exact"/>
      </w:pPr>
      <w:r>
        <w:rPr>
          <w:sz w:val="24"/>
          <w:szCs w:val="24"/>
        </w:rPr>
        <w:t>注：（1）</w:t>
      </w:r>
      <w:r>
        <w:rPr>
          <w:rFonts w:hint="eastAsia"/>
          <w:sz w:val="24"/>
          <w:szCs w:val="24"/>
        </w:rPr>
        <w:t>供应商</w:t>
      </w:r>
      <w:r>
        <w:rPr>
          <w:sz w:val="24"/>
          <w:szCs w:val="24"/>
        </w:rPr>
        <w:t>应根据</w:t>
      </w:r>
      <w:r>
        <w:rPr>
          <w:rFonts w:hint="eastAsia" w:ascii="宋体" w:hAnsi="宋体" w:cs="宋体"/>
          <w:sz w:val="24"/>
          <w:szCs w:val="24"/>
        </w:rPr>
        <w:t>“项目需求”中的“二、服务内容及要求</w:t>
      </w:r>
      <w:r>
        <w:rPr>
          <w:rFonts w:hint="eastAsia"/>
          <w:sz w:val="24"/>
          <w:szCs w:val="24"/>
        </w:rPr>
        <w:t>”</w:t>
      </w:r>
      <w:r>
        <w:rPr>
          <w:sz w:val="24"/>
          <w:szCs w:val="24"/>
        </w:rPr>
        <w:t>对照所能提供的服务承诺进行逐项评议。</w:t>
      </w:r>
    </w:p>
    <w:p w14:paraId="70D86475">
      <w:pPr>
        <w:spacing w:line="440" w:lineRule="exact"/>
        <w:ind w:firstLine="480"/>
        <w:jc w:val="left"/>
        <w:rPr>
          <w:sz w:val="24"/>
        </w:rPr>
      </w:pPr>
      <w:r>
        <w:rPr>
          <w:sz w:val="24"/>
          <w:szCs w:val="24"/>
        </w:rPr>
        <w:t>（2）若完全响应，在“是否响应”栏中填写“是”；若有偏离在“是否响应”栏中填写 “否”并在“偏离内容及原因”栏中作出说明；</w:t>
      </w:r>
      <w:r>
        <w:rPr>
          <w:rFonts w:hint="eastAsia"/>
          <w:sz w:val="24"/>
        </w:rPr>
        <w:t>因未标明或表述含糊导致的评审风险将由供应商承担。</w:t>
      </w:r>
    </w:p>
    <w:p w14:paraId="0CA38668">
      <w:pPr>
        <w:spacing w:line="440" w:lineRule="exact"/>
        <w:ind w:firstLine="480"/>
        <w:jc w:val="left"/>
        <w:rPr>
          <w:sz w:val="24"/>
          <w:szCs w:val="24"/>
        </w:rPr>
      </w:pPr>
      <w:r>
        <w:rPr>
          <w:sz w:val="24"/>
          <w:szCs w:val="24"/>
        </w:rPr>
        <w:t>（3）表格不够可另接。</w:t>
      </w:r>
    </w:p>
    <w:p w14:paraId="0BED8733">
      <w:pPr>
        <w:spacing w:line="460" w:lineRule="exact"/>
        <w:rPr>
          <w:bCs/>
          <w:sz w:val="24"/>
        </w:rPr>
      </w:pPr>
    </w:p>
    <w:p w14:paraId="663A9912">
      <w:pPr>
        <w:pStyle w:val="5"/>
        <w:spacing w:line="440" w:lineRule="exact"/>
        <w:rPr>
          <w:sz w:val="22"/>
          <w:szCs w:val="22"/>
        </w:rPr>
      </w:pPr>
      <w:r>
        <w:rPr/>
        <w:br w:type="page" w:clear="all"/>
      </w:r>
      <w:bookmarkStart w:id="91" w:name="_Toc159312662"/>
      <w:bookmarkStart w:id="92" w:name="_Toc16809"/>
      <w:r>
        <w:rPr>
          <w:rFonts w:hint="eastAsia"/>
          <w:sz w:val="24"/>
          <w:szCs w:val="24"/>
        </w:rPr>
        <w:t>附件4</w:t>
      </w:r>
      <w:r>
        <w:rPr>
          <w:sz w:val="24"/>
          <w:szCs w:val="24"/>
        </w:rPr>
        <w:t xml:space="preserve"> </w:t>
      </w:r>
      <w:r>
        <w:rPr>
          <w:rFonts w:hint="eastAsia"/>
          <w:sz w:val="24"/>
          <w:szCs w:val="24"/>
        </w:rPr>
        <w:t>商务要求响应及偏离表</w:t>
      </w:r>
      <w:bookmarkEnd w:id="91"/>
      <w:bookmarkEnd w:id="92"/>
    </w:p>
    <w:tbl>
      <w:tblPr>
        <w:tblStyle w:val="55"/>
        <w:tblW w:w="939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5704"/>
        <w:gridCol w:w="1515"/>
        <w:gridCol w:w="1560"/>
      </w:tblGrid>
      <w:tr w14:paraId="048C4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756CF4ED">
            <w:pPr>
              <w:jc w:val="center"/>
              <w:rPr>
                <w:sz w:val="24"/>
                <w:szCs w:val="24"/>
              </w:rPr>
            </w:pPr>
            <w:r>
              <w:rPr>
                <w:rFonts w:hint="eastAsia" w:cs="宋体"/>
                <w:color w:val="000000"/>
                <w:sz w:val="24"/>
                <w:szCs w:val="24"/>
              </w:rPr>
              <w:t>序号</w:t>
            </w:r>
          </w:p>
        </w:tc>
        <w:tc>
          <w:tcPr>
            <w:tcW w:w="5704" w:type="dxa"/>
            <w:tcBorders>
              <w:top w:val="single" w:color="auto" w:sz="4" w:space="0"/>
              <w:left w:val="single" w:color="auto" w:sz="4" w:space="0"/>
              <w:bottom w:val="single" w:color="auto" w:sz="4" w:space="0"/>
              <w:right w:val="single" w:color="auto" w:sz="4" w:space="0"/>
            </w:tcBorders>
            <w:vAlign w:val="center"/>
          </w:tcPr>
          <w:p w14:paraId="0A21C93D">
            <w:pPr>
              <w:jc w:val="center"/>
              <w:rPr>
                <w:sz w:val="24"/>
                <w:szCs w:val="24"/>
              </w:rPr>
            </w:pPr>
            <w:r>
              <w:rPr>
                <w:rFonts w:hint="eastAsia" w:cs="宋体"/>
                <w:color w:val="000000"/>
                <w:sz w:val="24"/>
                <w:szCs w:val="24"/>
              </w:rPr>
              <w:t>磋商文件要求</w:t>
            </w:r>
          </w:p>
        </w:tc>
        <w:tc>
          <w:tcPr>
            <w:tcW w:w="1515" w:type="dxa"/>
            <w:tcBorders>
              <w:top w:val="single" w:color="auto" w:sz="4" w:space="0"/>
              <w:left w:val="single" w:color="auto" w:sz="4" w:space="0"/>
              <w:bottom w:val="single" w:color="auto" w:sz="4" w:space="0"/>
              <w:right w:val="single" w:color="auto" w:sz="4" w:space="0"/>
            </w:tcBorders>
            <w:vAlign w:val="center"/>
          </w:tcPr>
          <w:p w14:paraId="12DD7F74">
            <w:pPr>
              <w:jc w:val="center"/>
              <w:rPr>
                <w:sz w:val="24"/>
                <w:szCs w:val="24"/>
              </w:rPr>
            </w:pPr>
            <w:r>
              <w:rPr>
                <w:sz w:val="24"/>
                <w:szCs w:val="24"/>
              </w:rPr>
              <w:t>有无偏离</w:t>
            </w:r>
          </w:p>
        </w:tc>
        <w:tc>
          <w:tcPr>
            <w:tcW w:w="1560" w:type="dxa"/>
            <w:tcBorders>
              <w:top w:val="single" w:color="auto" w:sz="4" w:space="0"/>
              <w:left w:val="single" w:color="auto" w:sz="4" w:space="0"/>
              <w:bottom w:val="single" w:color="auto" w:sz="4" w:space="0"/>
              <w:right w:val="single" w:color="auto" w:sz="4" w:space="0"/>
            </w:tcBorders>
            <w:vAlign w:val="center"/>
          </w:tcPr>
          <w:p w14:paraId="152B0D40">
            <w:pPr>
              <w:jc w:val="center"/>
              <w:rPr>
                <w:sz w:val="24"/>
                <w:szCs w:val="24"/>
              </w:rPr>
            </w:pPr>
            <w:r>
              <w:rPr>
                <w:rFonts w:ascii="宋体" w:hAnsi="宋体" w:eastAsia="宋体" w:cs="宋体"/>
                <w:color w:val="000000"/>
                <w:sz w:val="24"/>
              </w:rPr>
              <w:t>偏离内容及原因</w:t>
            </w:r>
          </w:p>
        </w:tc>
      </w:tr>
      <w:tr w14:paraId="720D4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1E09612A">
            <w:pPr>
              <w:spacing w:line="380" w:lineRule="exact"/>
              <w:rPr>
                <w:bCs/>
                <w:sz w:val="24"/>
                <w:szCs w:val="24"/>
              </w:rPr>
            </w:pPr>
            <w:r>
              <w:rPr>
                <w:rFonts w:hint="eastAsia"/>
                <w:bCs/>
                <w:sz w:val="24"/>
                <w:szCs w:val="24"/>
              </w:rPr>
              <w:t>1</w:t>
            </w:r>
          </w:p>
        </w:tc>
        <w:tc>
          <w:tcPr>
            <w:tcW w:w="5704" w:type="dxa"/>
            <w:tcBorders>
              <w:top w:val="single" w:color="auto" w:sz="4" w:space="0"/>
              <w:left w:val="single" w:color="auto" w:sz="4" w:space="0"/>
              <w:bottom w:val="single" w:color="auto" w:sz="4" w:space="0"/>
              <w:right w:val="single" w:color="auto" w:sz="4" w:space="0"/>
            </w:tcBorders>
            <w:vAlign w:val="center"/>
          </w:tcPr>
          <w:p w14:paraId="643A5A06">
            <w:pPr>
              <w:spacing w:line="380" w:lineRule="exact"/>
              <w:rPr>
                <w:sz w:val="24"/>
                <w:szCs w:val="24"/>
              </w:rPr>
            </w:pPr>
            <w:r>
              <w:rPr>
                <w:rFonts w:hint="eastAsia"/>
                <w:bCs/>
                <w:sz w:val="24"/>
                <w:szCs w:val="24"/>
              </w:rPr>
              <w:t>第一条 定义</w:t>
            </w:r>
          </w:p>
        </w:tc>
        <w:tc>
          <w:tcPr>
            <w:tcW w:w="1515" w:type="dxa"/>
            <w:tcBorders>
              <w:top w:val="single" w:color="auto" w:sz="4" w:space="0"/>
              <w:left w:val="single" w:color="auto" w:sz="4" w:space="0"/>
              <w:bottom w:val="single" w:color="auto" w:sz="4" w:space="0"/>
              <w:right w:val="single" w:color="auto" w:sz="4" w:space="0"/>
            </w:tcBorders>
            <w:vAlign w:val="center"/>
          </w:tcPr>
          <w:p w14:paraId="53CE40CC">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05B26EE4">
            <w:pPr>
              <w:widowControl w:val="0"/>
              <w:spacing w:after="0" w:line="380" w:lineRule="exact"/>
              <w:rPr>
                <w:sz w:val="24"/>
                <w:szCs w:val="24"/>
              </w:rPr>
            </w:pPr>
          </w:p>
        </w:tc>
      </w:tr>
      <w:tr w14:paraId="159CA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6C3517FE">
            <w:pPr>
              <w:spacing w:line="380" w:lineRule="exact"/>
              <w:rPr>
                <w:bCs/>
                <w:sz w:val="24"/>
                <w:szCs w:val="24"/>
              </w:rPr>
            </w:pPr>
            <w:r>
              <w:rPr>
                <w:rFonts w:hint="eastAsia"/>
                <w:bCs/>
                <w:sz w:val="24"/>
                <w:szCs w:val="24"/>
              </w:rPr>
              <w:t>2</w:t>
            </w:r>
          </w:p>
        </w:tc>
        <w:tc>
          <w:tcPr>
            <w:tcW w:w="5704" w:type="dxa"/>
            <w:tcBorders>
              <w:top w:val="single" w:color="auto" w:sz="4" w:space="0"/>
              <w:left w:val="single" w:color="auto" w:sz="4" w:space="0"/>
              <w:bottom w:val="single" w:color="auto" w:sz="4" w:space="0"/>
              <w:right w:val="single" w:color="auto" w:sz="4" w:space="0"/>
            </w:tcBorders>
            <w:vAlign w:val="center"/>
          </w:tcPr>
          <w:p w14:paraId="738E3651">
            <w:pPr>
              <w:spacing w:line="380" w:lineRule="exact"/>
              <w:rPr>
                <w:sz w:val="24"/>
                <w:szCs w:val="24"/>
              </w:rPr>
            </w:pPr>
            <w:r>
              <w:rPr>
                <w:rFonts w:hint="eastAsia"/>
                <w:bCs/>
                <w:sz w:val="24"/>
                <w:szCs w:val="24"/>
              </w:rPr>
              <w:t xml:space="preserve">第二条 </w:t>
            </w:r>
            <w:r>
              <w:rPr>
                <w:rFonts w:hint="eastAsia" w:cs="宋体"/>
                <w:bCs/>
                <w:color w:val="000000"/>
                <w:sz w:val="24"/>
                <w:szCs w:val="24"/>
              </w:rPr>
              <w:t>组成本合同的文件</w:t>
            </w:r>
          </w:p>
        </w:tc>
        <w:tc>
          <w:tcPr>
            <w:tcW w:w="1515" w:type="dxa"/>
            <w:tcBorders>
              <w:top w:val="single" w:color="auto" w:sz="4" w:space="0"/>
              <w:left w:val="single" w:color="auto" w:sz="4" w:space="0"/>
              <w:bottom w:val="single" w:color="auto" w:sz="4" w:space="0"/>
              <w:right w:val="single" w:color="auto" w:sz="4" w:space="0"/>
            </w:tcBorders>
            <w:vAlign w:val="center"/>
          </w:tcPr>
          <w:p w14:paraId="0DDEFD49">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1938D137">
            <w:pPr>
              <w:widowControl w:val="0"/>
              <w:spacing w:after="0" w:line="380" w:lineRule="exact"/>
              <w:rPr>
                <w:sz w:val="24"/>
                <w:szCs w:val="24"/>
              </w:rPr>
            </w:pPr>
          </w:p>
        </w:tc>
      </w:tr>
      <w:tr w14:paraId="4A2A3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17" w:type="dxa"/>
            <w:tcBorders>
              <w:top w:val="single" w:color="auto" w:sz="4" w:space="0"/>
              <w:left w:val="single" w:color="auto" w:sz="4" w:space="0"/>
              <w:bottom w:val="single" w:color="auto" w:sz="4" w:space="0"/>
              <w:right w:val="single" w:color="auto" w:sz="4" w:space="0"/>
            </w:tcBorders>
            <w:vAlign w:val="center"/>
          </w:tcPr>
          <w:p w14:paraId="56022489">
            <w:pPr>
              <w:spacing w:line="440" w:lineRule="exact"/>
              <w:rPr>
                <w:bCs/>
                <w:sz w:val="24"/>
                <w:szCs w:val="24"/>
              </w:rPr>
            </w:pPr>
            <w:r>
              <w:rPr>
                <w:rFonts w:hint="eastAsia"/>
                <w:bCs/>
                <w:sz w:val="24"/>
                <w:szCs w:val="24"/>
              </w:rPr>
              <w:t>3</w:t>
            </w:r>
          </w:p>
        </w:tc>
        <w:tc>
          <w:tcPr>
            <w:tcW w:w="5704" w:type="dxa"/>
            <w:tcBorders>
              <w:top w:val="single" w:color="auto" w:sz="4" w:space="0"/>
              <w:left w:val="single" w:color="auto" w:sz="4" w:space="0"/>
              <w:bottom w:val="single" w:color="auto" w:sz="4" w:space="0"/>
              <w:right w:val="single" w:color="auto" w:sz="4" w:space="0"/>
            </w:tcBorders>
            <w:vAlign w:val="center"/>
          </w:tcPr>
          <w:p w14:paraId="05BA43D7">
            <w:pPr>
              <w:spacing w:line="440" w:lineRule="exact"/>
              <w:rPr>
                <w:sz w:val="24"/>
                <w:szCs w:val="24"/>
              </w:rPr>
            </w:pPr>
            <w:r>
              <w:rPr>
                <w:rFonts w:hint="eastAsia" w:cs="宋体"/>
                <w:bCs/>
                <w:color w:val="000000"/>
                <w:sz w:val="24"/>
                <w:szCs w:val="24"/>
              </w:rPr>
              <w:t>第三条 合同内容</w:t>
            </w:r>
          </w:p>
        </w:tc>
        <w:tc>
          <w:tcPr>
            <w:tcW w:w="1515" w:type="dxa"/>
            <w:tcBorders>
              <w:top w:val="single" w:color="auto" w:sz="4" w:space="0"/>
              <w:left w:val="single" w:color="auto" w:sz="4" w:space="0"/>
              <w:bottom w:val="single" w:color="auto" w:sz="4" w:space="0"/>
              <w:right w:val="single" w:color="auto" w:sz="4" w:space="0"/>
            </w:tcBorders>
            <w:vAlign w:val="center"/>
          </w:tcPr>
          <w:p w14:paraId="21368496">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54D59CC4">
            <w:pPr>
              <w:widowControl w:val="0"/>
              <w:spacing w:after="0" w:line="380" w:lineRule="exact"/>
              <w:rPr>
                <w:sz w:val="24"/>
                <w:szCs w:val="24"/>
              </w:rPr>
            </w:pPr>
          </w:p>
        </w:tc>
      </w:tr>
      <w:tr w14:paraId="3AE1D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5E6BF271">
            <w:pPr>
              <w:spacing w:line="380" w:lineRule="exact"/>
              <w:rPr>
                <w:bCs/>
                <w:sz w:val="24"/>
                <w:szCs w:val="24"/>
              </w:rPr>
            </w:pPr>
            <w:r>
              <w:rPr>
                <w:rFonts w:hint="eastAsia"/>
                <w:bCs/>
                <w:sz w:val="24"/>
                <w:szCs w:val="24"/>
              </w:rPr>
              <w:t>4</w:t>
            </w:r>
          </w:p>
        </w:tc>
        <w:tc>
          <w:tcPr>
            <w:tcW w:w="5704" w:type="dxa"/>
            <w:tcBorders>
              <w:top w:val="single" w:color="auto" w:sz="4" w:space="0"/>
              <w:left w:val="single" w:color="auto" w:sz="4" w:space="0"/>
              <w:bottom w:val="single" w:color="auto" w:sz="4" w:space="0"/>
              <w:right w:val="single" w:color="auto" w:sz="4" w:space="0"/>
            </w:tcBorders>
            <w:vAlign w:val="center"/>
          </w:tcPr>
          <w:p w14:paraId="6C8EAB22">
            <w:pPr>
              <w:spacing w:line="380" w:lineRule="exact"/>
              <w:rPr>
                <w:sz w:val="24"/>
                <w:szCs w:val="24"/>
              </w:rPr>
            </w:pPr>
            <w:r>
              <w:rPr>
                <w:rFonts w:hint="eastAsia"/>
                <w:bCs/>
                <w:sz w:val="24"/>
                <w:szCs w:val="24"/>
              </w:rPr>
              <w:t>第六条 验收办法</w:t>
            </w:r>
          </w:p>
        </w:tc>
        <w:tc>
          <w:tcPr>
            <w:tcW w:w="1515" w:type="dxa"/>
            <w:tcBorders>
              <w:top w:val="single" w:color="auto" w:sz="4" w:space="0"/>
              <w:left w:val="single" w:color="auto" w:sz="4" w:space="0"/>
              <w:bottom w:val="single" w:color="auto" w:sz="4" w:space="0"/>
              <w:right w:val="single" w:color="auto" w:sz="4" w:space="0"/>
            </w:tcBorders>
            <w:vAlign w:val="center"/>
          </w:tcPr>
          <w:p w14:paraId="3D2000F8">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4FFDAB32">
            <w:pPr>
              <w:widowControl w:val="0"/>
              <w:spacing w:after="0" w:line="380" w:lineRule="exact"/>
              <w:rPr>
                <w:sz w:val="24"/>
                <w:szCs w:val="24"/>
              </w:rPr>
            </w:pPr>
          </w:p>
        </w:tc>
      </w:tr>
      <w:tr w14:paraId="16DB4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5B216438">
            <w:pPr>
              <w:spacing w:line="380" w:lineRule="exact"/>
              <w:rPr>
                <w:bCs/>
                <w:sz w:val="24"/>
                <w:szCs w:val="24"/>
              </w:rPr>
            </w:pPr>
            <w:r>
              <w:rPr>
                <w:rFonts w:hint="eastAsia"/>
                <w:bCs/>
                <w:sz w:val="24"/>
                <w:szCs w:val="24"/>
              </w:rPr>
              <w:t>5</w:t>
            </w:r>
          </w:p>
        </w:tc>
        <w:tc>
          <w:tcPr>
            <w:tcW w:w="5704" w:type="dxa"/>
            <w:tcBorders>
              <w:top w:val="single" w:color="auto" w:sz="4" w:space="0"/>
              <w:left w:val="single" w:color="auto" w:sz="4" w:space="0"/>
              <w:bottom w:val="single" w:color="auto" w:sz="4" w:space="0"/>
              <w:right w:val="single" w:color="auto" w:sz="4" w:space="0"/>
            </w:tcBorders>
            <w:vAlign w:val="center"/>
          </w:tcPr>
          <w:p w14:paraId="1B787975">
            <w:pPr>
              <w:spacing w:line="380" w:lineRule="exact"/>
              <w:rPr>
                <w:sz w:val="24"/>
                <w:szCs w:val="24"/>
              </w:rPr>
            </w:pPr>
            <w:r>
              <w:rPr>
                <w:rFonts w:hint="eastAsia"/>
                <w:bCs/>
                <w:sz w:val="24"/>
                <w:szCs w:val="24"/>
              </w:rPr>
              <w:t>第七条 双方的其他权利义务</w:t>
            </w:r>
          </w:p>
        </w:tc>
        <w:tc>
          <w:tcPr>
            <w:tcW w:w="1515" w:type="dxa"/>
            <w:tcBorders>
              <w:top w:val="single" w:color="auto" w:sz="4" w:space="0"/>
              <w:left w:val="single" w:color="auto" w:sz="4" w:space="0"/>
              <w:bottom w:val="single" w:color="auto" w:sz="4" w:space="0"/>
              <w:right w:val="single" w:color="auto" w:sz="4" w:space="0"/>
            </w:tcBorders>
            <w:vAlign w:val="center"/>
          </w:tcPr>
          <w:p w14:paraId="7F8A439C">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55CC775A">
            <w:pPr>
              <w:widowControl w:val="0"/>
              <w:spacing w:after="0" w:line="380" w:lineRule="exact"/>
              <w:rPr>
                <w:sz w:val="24"/>
                <w:szCs w:val="24"/>
              </w:rPr>
            </w:pPr>
          </w:p>
        </w:tc>
      </w:tr>
      <w:tr w14:paraId="79FEE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401E82F0">
            <w:pPr>
              <w:spacing w:line="380" w:lineRule="exact"/>
              <w:rPr>
                <w:bCs/>
                <w:sz w:val="24"/>
                <w:szCs w:val="24"/>
              </w:rPr>
            </w:pPr>
            <w:r>
              <w:rPr>
                <w:rFonts w:hint="eastAsia"/>
                <w:bCs/>
                <w:sz w:val="24"/>
                <w:szCs w:val="24"/>
              </w:rPr>
              <w:t>6</w:t>
            </w:r>
          </w:p>
        </w:tc>
        <w:tc>
          <w:tcPr>
            <w:tcW w:w="5704" w:type="dxa"/>
            <w:tcBorders>
              <w:top w:val="single" w:color="auto" w:sz="4" w:space="0"/>
              <w:left w:val="single" w:color="auto" w:sz="4" w:space="0"/>
              <w:bottom w:val="single" w:color="auto" w:sz="4" w:space="0"/>
              <w:right w:val="single" w:color="auto" w:sz="4" w:space="0"/>
            </w:tcBorders>
            <w:vAlign w:val="center"/>
          </w:tcPr>
          <w:p w14:paraId="3F8B3A13">
            <w:pPr>
              <w:spacing w:line="380" w:lineRule="exact"/>
              <w:rPr>
                <w:sz w:val="24"/>
                <w:szCs w:val="24"/>
              </w:rPr>
            </w:pPr>
            <w:r>
              <w:rPr>
                <w:rFonts w:hint="eastAsia"/>
                <w:bCs/>
                <w:sz w:val="24"/>
                <w:szCs w:val="24"/>
              </w:rPr>
              <w:t>第八条 质量保证</w:t>
            </w:r>
          </w:p>
        </w:tc>
        <w:tc>
          <w:tcPr>
            <w:tcW w:w="1515" w:type="dxa"/>
            <w:tcBorders>
              <w:top w:val="single" w:color="auto" w:sz="4" w:space="0"/>
              <w:left w:val="single" w:color="auto" w:sz="4" w:space="0"/>
              <w:bottom w:val="single" w:color="auto" w:sz="4" w:space="0"/>
              <w:right w:val="single" w:color="auto" w:sz="4" w:space="0"/>
            </w:tcBorders>
            <w:vAlign w:val="center"/>
          </w:tcPr>
          <w:p w14:paraId="07EF0F6B">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7DDA1270">
            <w:pPr>
              <w:widowControl w:val="0"/>
              <w:spacing w:after="0" w:line="380" w:lineRule="exact"/>
              <w:rPr>
                <w:sz w:val="24"/>
                <w:szCs w:val="24"/>
              </w:rPr>
            </w:pPr>
          </w:p>
        </w:tc>
      </w:tr>
      <w:tr w14:paraId="1F5FA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1541319A">
            <w:pPr>
              <w:spacing w:line="380" w:lineRule="exact"/>
              <w:rPr>
                <w:bCs/>
                <w:sz w:val="24"/>
                <w:szCs w:val="24"/>
              </w:rPr>
            </w:pPr>
            <w:r>
              <w:rPr>
                <w:rFonts w:hint="eastAsia"/>
                <w:bCs/>
                <w:sz w:val="24"/>
                <w:szCs w:val="24"/>
              </w:rPr>
              <w:t>7</w:t>
            </w:r>
          </w:p>
        </w:tc>
        <w:tc>
          <w:tcPr>
            <w:tcW w:w="5704" w:type="dxa"/>
            <w:tcBorders>
              <w:top w:val="single" w:color="auto" w:sz="4" w:space="0"/>
              <w:left w:val="single" w:color="auto" w:sz="4" w:space="0"/>
              <w:bottom w:val="single" w:color="auto" w:sz="4" w:space="0"/>
              <w:right w:val="single" w:color="auto" w:sz="4" w:space="0"/>
            </w:tcBorders>
            <w:vAlign w:val="center"/>
          </w:tcPr>
          <w:p w14:paraId="2BC54474">
            <w:pPr>
              <w:spacing w:line="380" w:lineRule="exact"/>
              <w:rPr>
                <w:sz w:val="24"/>
                <w:szCs w:val="24"/>
              </w:rPr>
            </w:pPr>
            <w:r>
              <w:rPr>
                <w:rFonts w:hint="eastAsia"/>
                <w:bCs/>
                <w:sz w:val="24"/>
                <w:szCs w:val="24"/>
              </w:rPr>
              <w:t>第九条 违约责任</w:t>
            </w:r>
          </w:p>
        </w:tc>
        <w:tc>
          <w:tcPr>
            <w:tcW w:w="1515" w:type="dxa"/>
            <w:tcBorders>
              <w:top w:val="single" w:color="auto" w:sz="4" w:space="0"/>
              <w:left w:val="single" w:color="auto" w:sz="4" w:space="0"/>
              <w:bottom w:val="single" w:color="auto" w:sz="4" w:space="0"/>
              <w:right w:val="single" w:color="auto" w:sz="4" w:space="0"/>
            </w:tcBorders>
            <w:vAlign w:val="center"/>
          </w:tcPr>
          <w:p w14:paraId="40C59507">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4AAC42E7">
            <w:pPr>
              <w:widowControl w:val="0"/>
              <w:spacing w:after="0" w:line="380" w:lineRule="exact"/>
              <w:rPr>
                <w:sz w:val="24"/>
                <w:szCs w:val="24"/>
              </w:rPr>
            </w:pPr>
          </w:p>
        </w:tc>
      </w:tr>
      <w:tr w14:paraId="3B51A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2833A192">
            <w:pPr>
              <w:spacing w:line="380" w:lineRule="exact"/>
              <w:rPr>
                <w:bCs/>
                <w:sz w:val="24"/>
                <w:szCs w:val="24"/>
              </w:rPr>
            </w:pPr>
            <w:r>
              <w:rPr>
                <w:rFonts w:hint="eastAsia"/>
                <w:bCs/>
                <w:sz w:val="24"/>
                <w:szCs w:val="24"/>
              </w:rPr>
              <w:t>8</w:t>
            </w:r>
          </w:p>
        </w:tc>
        <w:tc>
          <w:tcPr>
            <w:tcW w:w="5704" w:type="dxa"/>
            <w:tcBorders>
              <w:top w:val="single" w:color="auto" w:sz="4" w:space="0"/>
              <w:left w:val="single" w:color="auto" w:sz="4" w:space="0"/>
              <w:bottom w:val="single" w:color="auto" w:sz="4" w:space="0"/>
              <w:right w:val="single" w:color="auto" w:sz="4" w:space="0"/>
            </w:tcBorders>
            <w:vAlign w:val="center"/>
          </w:tcPr>
          <w:p w14:paraId="4AFE1DEE">
            <w:pPr>
              <w:spacing w:line="380" w:lineRule="exact"/>
              <w:rPr>
                <w:sz w:val="24"/>
                <w:szCs w:val="24"/>
              </w:rPr>
            </w:pPr>
            <w:r>
              <w:rPr>
                <w:rFonts w:hint="eastAsia"/>
                <w:bCs/>
                <w:sz w:val="24"/>
                <w:szCs w:val="24"/>
              </w:rPr>
              <w:t>第十条 合同的解除</w:t>
            </w:r>
          </w:p>
        </w:tc>
        <w:tc>
          <w:tcPr>
            <w:tcW w:w="1515" w:type="dxa"/>
            <w:tcBorders>
              <w:top w:val="single" w:color="auto" w:sz="4" w:space="0"/>
              <w:left w:val="single" w:color="auto" w:sz="4" w:space="0"/>
              <w:bottom w:val="single" w:color="auto" w:sz="4" w:space="0"/>
              <w:right w:val="single" w:color="auto" w:sz="4" w:space="0"/>
            </w:tcBorders>
            <w:vAlign w:val="center"/>
          </w:tcPr>
          <w:p w14:paraId="346654B2">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5ABE0A64">
            <w:pPr>
              <w:widowControl w:val="0"/>
              <w:spacing w:after="0" w:line="380" w:lineRule="exact"/>
              <w:rPr>
                <w:sz w:val="24"/>
                <w:szCs w:val="24"/>
              </w:rPr>
            </w:pPr>
          </w:p>
        </w:tc>
      </w:tr>
      <w:tr w14:paraId="6B50C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04E93C4E">
            <w:pPr>
              <w:spacing w:line="380" w:lineRule="exact"/>
              <w:rPr>
                <w:bCs/>
                <w:sz w:val="24"/>
                <w:szCs w:val="24"/>
              </w:rPr>
            </w:pPr>
            <w:r>
              <w:rPr>
                <w:rFonts w:hint="eastAsia"/>
                <w:bCs/>
                <w:sz w:val="24"/>
                <w:szCs w:val="24"/>
              </w:rPr>
              <w:t>9</w:t>
            </w:r>
          </w:p>
        </w:tc>
        <w:tc>
          <w:tcPr>
            <w:tcW w:w="5704" w:type="dxa"/>
            <w:tcBorders>
              <w:top w:val="single" w:color="auto" w:sz="4" w:space="0"/>
              <w:left w:val="single" w:color="auto" w:sz="4" w:space="0"/>
              <w:bottom w:val="single" w:color="auto" w:sz="4" w:space="0"/>
              <w:right w:val="single" w:color="auto" w:sz="4" w:space="0"/>
            </w:tcBorders>
            <w:vAlign w:val="center"/>
          </w:tcPr>
          <w:p w14:paraId="069E4F42">
            <w:pPr>
              <w:spacing w:line="380" w:lineRule="exact"/>
              <w:rPr>
                <w:sz w:val="24"/>
                <w:szCs w:val="24"/>
              </w:rPr>
            </w:pPr>
            <w:r>
              <w:rPr>
                <w:rFonts w:hint="eastAsia"/>
                <w:bCs/>
                <w:sz w:val="24"/>
                <w:szCs w:val="24"/>
              </w:rPr>
              <w:t>第十一条 不可抗力</w:t>
            </w:r>
          </w:p>
        </w:tc>
        <w:tc>
          <w:tcPr>
            <w:tcW w:w="1515" w:type="dxa"/>
            <w:tcBorders>
              <w:top w:val="single" w:color="auto" w:sz="4" w:space="0"/>
              <w:left w:val="single" w:color="auto" w:sz="4" w:space="0"/>
              <w:bottom w:val="single" w:color="auto" w:sz="4" w:space="0"/>
              <w:right w:val="single" w:color="auto" w:sz="4" w:space="0"/>
            </w:tcBorders>
            <w:vAlign w:val="center"/>
          </w:tcPr>
          <w:p w14:paraId="3A429165">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67C66B4B">
            <w:pPr>
              <w:widowControl w:val="0"/>
              <w:spacing w:after="0" w:line="380" w:lineRule="exact"/>
              <w:rPr>
                <w:sz w:val="24"/>
                <w:szCs w:val="24"/>
              </w:rPr>
            </w:pPr>
          </w:p>
        </w:tc>
      </w:tr>
      <w:tr w14:paraId="74493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03EDAD77">
            <w:pPr>
              <w:spacing w:line="380" w:lineRule="exact"/>
              <w:rPr>
                <w:sz w:val="24"/>
                <w:szCs w:val="24"/>
              </w:rPr>
            </w:pPr>
            <w:r>
              <w:rPr>
                <w:rFonts w:hint="eastAsia"/>
                <w:sz w:val="24"/>
                <w:szCs w:val="24"/>
              </w:rPr>
              <w:t>10</w:t>
            </w:r>
          </w:p>
        </w:tc>
        <w:tc>
          <w:tcPr>
            <w:tcW w:w="5704" w:type="dxa"/>
            <w:tcBorders>
              <w:top w:val="single" w:color="auto" w:sz="4" w:space="0"/>
              <w:left w:val="single" w:color="auto" w:sz="4" w:space="0"/>
              <w:bottom w:val="single" w:color="auto" w:sz="4" w:space="0"/>
              <w:right w:val="single" w:color="auto" w:sz="4" w:space="0"/>
            </w:tcBorders>
            <w:vAlign w:val="center"/>
          </w:tcPr>
          <w:p w14:paraId="7CD82302">
            <w:pPr>
              <w:spacing w:line="380" w:lineRule="exact"/>
              <w:rPr>
                <w:sz w:val="24"/>
                <w:szCs w:val="24"/>
              </w:rPr>
            </w:pPr>
            <w:r>
              <w:rPr>
                <w:rFonts w:hint="eastAsia"/>
                <w:sz w:val="24"/>
                <w:szCs w:val="24"/>
              </w:rPr>
              <w:t>第十二条 合同的变更、中止</w:t>
            </w:r>
          </w:p>
        </w:tc>
        <w:tc>
          <w:tcPr>
            <w:tcW w:w="1515" w:type="dxa"/>
            <w:tcBorders>
              <w:top w:val="single" w:color="auto" w:sz="4" w:space="0"/>
              <w:left w:val="single" w:color="auto" w:sz="4" w:space="0"/>
              <w:bottom w:val="single" w:color="auto" w:sz="4" w:space="0"/>
              <w:right w:val="single" w:color="auto" w:sz="4" w:space="0"/>
            </w:tcBorders>
            <w:vAlign w:val="center"/>
          </w:tcPr>
          <w:p w14:paraId="131C95EE">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7DA78A7F">
            <w:pPr>
              <w:widowControl w:val="0"/>
              <w:spacing w:after="0" w:line="380" w:lineRule="exact"/>
              <w:rPr>
                <w:sz w:val="24"/>
                <w:szCs w:val="24"/>
              </w:rPr>
            </w:pPr>
          </w:p>
        </w:tc>
      </w:tr>
      <w:tr w14:paraId="4519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14A6C7D7">
            <w:pPr>
              <w:spacing w:line="380" w:lineRule="exact"/>
              <w:rPr>
                <w:bCs/>
                <w:sz w:val="24"/>
                <w:szCs w:val="24"/>
              </w:rPr>
            </w:pPr>
            <w:r>
              <w:rPr>
                <w:rFonts w:hint="eastAsia"/>
                <w:bCs/>
                <w:sz w:val="24"/>
                <w:szCs w:val="24"/>
              </w:rPr>
              <w:t>11</w:t>
            </w:r>
          </w:p>
        </w:tc>
        <w:tc>
          <w:tcPr>
            <w:tcW w:w="5704" w:type="dxa"/>
            <w:tcBorders>
              <w:top w:val="single" w:color="auto" w:sz="4" w:space="0"/>
              <w:left w:val="single" w:color="auto" w:sz="4" w:space="0"/>
              <w:bottom w:val="single" w:color="auto" w:sz="4" w:space="0"/>
              <w:right w:val="single" w:color="auto" w:sz="4" w:space="0"/>
            </w:tcBorders>
            <w:vAlign w:val="center"/>
          </w:tcPr>
          <w:p w14:paraId="6B04CF0A">
            <w:pPr>
              <w:spacing w:line="380" w:lineRule="exact"/>
              <w:rPr>
                <w:sz w:val="24"/>
                <w:szCs w:val="24"/>
              </w:rPr>
            </w:pPr>
            <w:r>
              <w:rPr>
                <w:rFonts w:hint="eastAsia"/>
                <w:bCs/>
                <w:sz w:val="24"/>
                <w:szCs w:val="24"/>
              </w:rPr>
              <w:t>第十三条 合同的终止</w:t>
            </w:r>
          </w:p>
        </w:tc>
        <w:tc>
          <w:tcPr>
            <w:tcW w:w="1515" w:type="dxa"/>
            <w:tcBorders>
              <w:top w:val="single" w:color="auto" w:sz="4" w:space="0"/>
              <w:left w:val="single" w:color="auto" w:sz="4" w:space="0"/>
              <w:bottom w:val="single" w:color="auto" w:sz="4" w:space="0"/>
              <w:right w:val="single" w:color="auto" w:sz="4" w:space="0"/>
            </w:tcBorders>
            <w:vAlign w:val="center"/>
          </w:tcPr>
          <w:p w14:paraId="715C9AD6">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357CC6FB">
            <w:pPr>
              <w:widowControl w:val="0"/>
              <w:spacing w:after="0" w:line="380" w:lineRule="exact"/>
              <w:rPr>
                <w:sz w:val="24"/>
                <w:szCs w:val="24"/>
              </w:rPr>
            </w:pPr>
          </w:p>
        </w:tc>
      </w:tr>
      <w:tr w14:paraId="6DEF0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1377F07C">
            <w:pPr>
              <w:spacing w:line="380" w:lineRule="exact"/>
              <w:rPr>
                <w:bCs/>
                <w:sz w:val="24"/>
                <w:szCs w:val="24"/>
              </w:rPr>
            </w:pPr>
            <w:r>
              <w:rPr>
                <w:rFonts w:hint="eastAsia"/>
                <w:bCs/>
                <w:sz w:val="24"/>
                <w:szCs w:val="24"/>
              </w:rPr>
              <w:t>12</w:t>
            </w:r>
          </w:p>
        </w:tc>
        <w:tc>
          <w:tcPr>
            <w:tcW w:w="5704" w:type="dxa"/>
            <w:tcBorders>
              <w:top w:val="single" w:color="auto" w:sz="4" w:space="0"/>
              <w:left w:val="single" w:color="auto" w:sz="4" w:space="0"/>
              <w:bottom w:val="single" w:color="auto" w:sz="4" w:space="0"/>
              <w:right w:val="single" w:color="auto" w:sz="4" w:space="0"/>
            </w:tcBorders>
            <w:vAlign w:val="center"/>
          </w:tcPr>
          <w:p w14:paraId="1CFEE190">
            <w:pPr>
              <w:spacing w:line="380" w:lineRule="exact"/>
              <w:rPr>
                <w:sz w:val="24"/>
                <w:szCs w:val="24"/>
              </w:rPr>
            </w:pPr>
            <w:r>
              <w:rPr>
                <w:rFonts w:hint="eastAsia"/>
                <w:bCs/>
                <w:sz w:val="24"/>
                <w:szCs w:val="24"/>
              </w:rPr>
              <w:t>第十四条 合同的转让</w:t>
            </w:r>
          </w:p>
        </w:tc>
        <w:tc>
          <w:tcPr>
            <w:tcW w:w="1515" w:type="dxa"/>
            <w:tcBorders>
              <w:top w:val="single" w:color="auto" w:sz="4" w:space="0"/>
              <w:left w:val="single" w:color="auto" w:sz="4" w:space="0"/>
              <w:bottom w:val="single" w:color="auto" w:sz="4" w:space="0"/>
              <w:right w:val="single" w:color="auto" w:sz="4" w:space="0"/>
            </w:tcBorders>
            <w:vAlign w:val="center"/>
          </w:tcPr>
          <w:p w14:paraId="3681FA53">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0EC0B35D">
            <w:pPr>
              <w:widowControl w:val="0"/>
              <w:spacing w:after="0" w:line="380" w:lineRule="exact"/>
              <w:rPr>
                <w:sz w:val="24"/>
                <w:szCs w:val="24"/>
              </w:rPr>
            </w:pPr>
          </w:p>
        </w:tc>
      </w:tr>
      <w:tr w14:paraId="272BD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501C8ECD">
            <w:pPr>
              <w:spacing w:line="380" w:lineRule="exact"/>
              <w:rPr>
                <w:bCs/>
                <w:sz w:val="24"/>
                <w:szCs w:val="24"/>
              </w:rPr>
            </w:pPr>
            <w:r>
              <w:rPr>
                <w:rFonts w:hint="eastAsia"/>
                <w:bCs/>
                <w:sz w:val="24"/>
                <w:szCs w:val="24"/>
              </w:rPr>
              <w:t>13</w:t>
            </w:r>
          </w:p>
        </w:tc>
        <w:tc>
          <w:tcPr>
            <w:tcW w:w="5704" w:type="dxa"/>
            <w:tcBorders>
              <w:top w:val="single" w:color="auto" w:sz="4" w:space="0"/>
              <w:left w:val="single" w:color="auto" w:sz="4" w:space="0"/>
              <w:bottom w:val="single" w:color="auto" w:sz="4" w:space="0"/>
              <w:right w:val="single" w:color="auto" w:sz="4" w:space="0"/>
            </w:tcBorders>
            <w:vAlign w:val="center"/>
          </w:tcPr>
          <w:p w14:paraId="6C4280BA">
            <w:pPr>
              <w:spacing w:line="380" w:lineRule="exact"/>
              <w:rPr>
                <w:sz w:val="24"/>
                <w:szCs w:val="24"/>
              </w:rPr>
            </w:pPr>
            <w:r>
              <w:rPr>
                <w:rFonts w:hint="eastAsia"/>
                <w:bCs/>
                <w:sz w:val="24"/>
                <w:szCs w:val="24"/>
              </w:rPr>
              <w:t>第十五条 履约保证金</w:t>
            </w:r>
          </w:p>
        </w:tc>
        <w:tc>
          <w:tcPr>
            <w:tcW w:w="1515" w:type="dxa"/>
            <w:tcBorders>
              <w:top w:val="single" w:color="auto" w:sz="4" w:space="0"/>
              <w:left w:val="single" w:color="auto" w:sz="4" w:space="0"/>
              <w:bottom w:val="single" w:color="auto" w:sz="4" w:space="0"/>
              <w:right w:val="single" w:color="auto" w:sz="4" w:space="0"/>
            </w:tcBorders>
            <w:vAlign w:val="center"/>
          </w:tcPr>
          <w:p w14:paraId="1D92D2EC">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6FA1F10D">
            <w:pPr>
              <w:widowControl w:val="0"/>
              <w:spacing w:after="0" w:line="380" w:lineRule="exact"/>
              <w:rPr>
                <w:sz w:val="24"/>
                <w:szCs w:val="24"/>
              </w:rPr>
            </w:pPr>
          </w:p>
        </w:tc>
      </w:tr>
      <w:tr w14:paraId="00EF2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5D1452C0">
            <w:pPr>
              <w:spacing w:line="380" w:lineRule="exact"/>
              <w:rPr>
                <w:bCs/>
                <w:sz w:val="24"/>
                <w:szCs w:val="24"/>
              </w:rPr>
            </w:pPr>
            <w:r>
              <w:rPr>
                <w:rFonts w:hint="eastAsia"/>
                <w:bCs/>
                <w:sz w:val="24"/>
                <w:szCs w:val="24"/>
              </w:rPr>
              <w:t>14</w:t>
            </w:r>
          </w:p>
        </w:tc>
        <w:tc>
          <w:tcPr>
            <w:tcW w:w="5704" w:type="dxa"/>
            <w:tcBorders>
              <w:top w:val="single" w:color="auto" w:sz="4" w:space="0"/>
              <w:left w:val="single" w:color="auto" w:sz="4" w:space="0"/>
              <w:bottom w:val="single" w:color="auto" w:sz="4" w:space="0"/>
              <w:right w:val="single" w:color="auto" w:sz="4" w:space="0"/>
            </w:tcBorders>
            <w:vAlign w:val="center"/>
          </w:tcPr>
          <w:p w14:paraId="1BF7ABF2">
            <w:pPr>
              <w:spacing w:line="380" w:lineRule="exact"/>
              <w:rPr>
                <w:sz w:val="24"/>
                <w:szCs w:val="24"/>
              </w:rPr>
            </w:pPr>
            <w:r>
              <w:rPr>
                <w:rFonts w:hint="eastAsia"/>
                <w:bCs/>
                <w:sz w:val="24"/>
                <w:szCs w:val="24"/>
              </w:rPr>
              <w:t>第十六条 争议解决方式</w:t>
            </w:r>
          </w:p>
        </w:tc>
        <w:tc>
          <w:tcPr>
            <w:tcW w:w="1515" w:type="dxa"/>
            <w:tcBorders>
              <w:top w:val="single" w:color="auto" w:sz="4" w:space="0"/>
              <w:left w:val="single" w:color="auto" w:sz="4" w:space="0"/>
              <w:bottom w:val="single" w:color="auto" w:sz="4" w:space="0"/>
              <w:right w:val="single" w:color="auto" w:sz="4" w:space="0"/>
            </w:tcBorders>
            <w:vAlign w:val="center"/>
          </w:tcPr>
          <w:p w14:paraId="3ED6ECC7">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1F4BE195">
            <w:pPr>
              <w:widowControl w:val="0"/>
              <w:spacing w:after="0" w:line="380" w:lineRule="exact"/>
              <w:rPr>
                <w:sz w:val="24"/>
                <w:szCs w:val="24"/>
              </w:rPr>
            </w:pPr>
          </w:p>
        </w:tc>
      </w:tr>
      <w:tr w14:paraId="38B3F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699BFCFF">
            <w:pPr>
              <w:spacing w:line="380" w:lineRule="exact"/>
              <w:rPr>
                <w:sz w:val="24"/>
                <w:szCs w:val="24"/>
              </w:rPr>
            </w:pPr>
            <w:r>
              <w:rPr>
                <w:rFonts w:hint="eastAsia"/>
                <w:sz w:val="24"/>
                <w:szCs w:val="24"/>
              </w:rPr>
              <w:t>15</w:t>
            </w:r>
          </w:p>
        </w:tc>
        <w:tc>
          <w:tcPr>
            <w:tcW w:w="5704" w:type="dxa"/>
            <w:tcBorders>
              <w:top w:val="single" w:color="auto" w:sz="4" w:space="0"/>
              <w:left w:val="single" w:color="auto" w:sz="4" w:space="0"/>
              <w:bottom w:val="single" w:color="auto" w:sz="4" w:space="0"/>
              <w:right w:val="single" w:color="auto" w:sz="4" w:space="0"/>
            </w:tcBorders>
            <w:vAlign w:val="center"/>
          </w:tcPr>
          <w:p w14:paraId="1ABD90CC">
            <w:pPr>
              <w:spacing w:line="380" w:lineRule="exact"/>
              <w:rPr>
                <w:sz w:val="24"/>
                <w:szCs w:val="24"/>
              </w:rPr>
            </w:pPr>
            <w:r>
              <w:rPr>
                <w:rFonts w:hint="eastAsia"/>
                <w:sz w:val="24"/>
                <w:szCs w:val="24"/>
              </w:rPr>
              <w:t>第十七条 通知与送达</w:t>
            </w:r>
          </w:p>
        </w:tc>
        <w:tc>
          <w:tcPr>
            <w:tcW w:w="1515" w:type="dxa"/>
            <w:tcBorders>
              <w:top w:val="single" w:color="auto" w:sz="4" w:space="0"/>
              <w:left w:val="single" w:color="auto" w:sz="4" w:space="0"/>
              <w:bottom w:val="single" w:color="auto" w:sz="4" w:space="0"/>
              <w:right w:val="single" w:color="auto" w:sz="4" w:space="0"/>
            </w:tcBorders>
            <w:vAlign w:val="center"/>
          </w:tcPr>
          <w:p w14:paraId="76572E9D">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0E7E38A1">
            <w:pPr>
              <w:widowControl w:val="0"/>
              <w:spacing w:after="0" w:line="380" w:lineRule="exact"/>
              <w:rPr>
                <w:sz w:val="24"/>
                <w:szCs w:val="24"/>
              </w:rPr>
            </w:pPr>
          </w:p>
        </w:tc>
      </w:tr>
      <w:tr w14:paraId="3E5E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 w:hRule="atLeast"/>
        </w:trPr>
        <w:tc>
          <w:tcPr>
            <w:tcW w:w="617" w:type="dxa"/>
            <w:tcBorders>
              <w:top w:val="single" w:color="auto" w:sz="4" w:space="0"/>
              <w:left w:val="single" w:color="auto" w:sz="4" w:space="0"/>
              <w:bottom w:val="single" w:color="auto" w:sz="4" w:space="0"/>
              <w:right w:val="single" w:color="auto" w:sz="4" w:space="0"/>
            </w:tcBorders>
            <w:vAlign w:val="center"/>
          </w:tcPr>
          <w:p w14:paraId="41B0337C">
            <w:pPr>
              <w:spacing w:line="380" w:lineRule="exact"/>
              <w:rPr>
                <w:sz w:val="24"/>
                <w:szCs w:val="24"/>
              </w:rPr>
            </w:pPr>
            <w:r>
              <w:rPr>
                <w:rFonts w:hint="eastAsia"/>
                <w:sz w:val="24"/>
                <w:szCs w:val="24"/>
              </w:rPr>
              <w:t>16</w:t>
            </w:r>
          </w:p>
        </w:tc>
        <w:tc>
          <w:tcPr>
            <w:tcW w:w="5704" w:type="dxa"/>
            <w:tcBorders>
              <w:top w:val="single" w:color="auto" w:sz="4" w:space="0"/>
              <w:left w:val="single" w:color="auto" w:sz="4" w:space="0"/>
              <w:bottom w:val="single" w:color="auto" w:sz="4" w:space="0"/>
              <w:right w:val="single" w:color="auto" w:sz="4" w:space="0"/>
            </w:tcBorders>
            <w:vAlign w:val="center"/>
          </w:tcPr>
          <w:p w14:paraId="3E6BBCB2">
            <w:pPr>
              <w:spacing w:line="380" w:lineRule="exact"/>
              <w:rPr>
                <w:sz w:val="24"/>
                <w:szCs w:val="24"/>
              </w:rPr>
            </w:pPr>
            <w:r>
              <w:rPr>
                <w:rFonts w:hint="eastAsia"/>
                <w:sz w:val="24"/>
                <w:szCs w:val="24"/>
              </w:rPr>
              <w:t>第十八条 合同生效及其他</w:t>
            </w:r>
          </w:p>
        </w:tc>
        <w:tc>
          <w:tcPr>
            <w:tcW w:w="1515" w:type="dxa"/>
            <w:tcBorders>
              <w:top w:val="single" w:color="auto" w:sz="4" w:space="0"/>
              <w:left w:val="single" w:color="auto" w:sz="4" w:space="0"/>
              <w:bottom w:val="single" w:color="auto" w:sz="4" w:space="0"/>
              <w:right w:val="single" w:color="auto" w:sz="4" w:space="0"/>
            </w:tcBorders>
            <w:vAlign w:val="center"/>
          </w:tcPr>
          <w:p w14:paraId="3AEA6E86">
            <w:pPr>
              <w:widowControl w:val="0"/>
              <w:spacing w:after="0" w:line="380" w:lineRule="exact"/>
              <w:rPr>
                <w:sz w:val="24"/>
                <w:szCs w:val="24"/>
              </w:rPr>
            </w:pPr>
          </w:p>
        </w:tc>
        <w:tc>
          <w:tcPr>
            <w:tcW w:w="1560" w:type="dxa"/>
            <w:tcBorders>
              <w:top w:val="single" w:color="auto" w:sz="4" w:space="0"/>
              <w:left w:val="single" w:color="auto" w:sz="4" w:space="0"/>
              <w:bottom w:val="single" w:color="auto" w:sz="4" w:space="0"/>
              <w:right w:val="single" w:color="auto" w:sz="4" w:space="0"/>
            </w:tcBorders>
            <w:vAlign w:val="center"/>
          </w:tcPr>
          <w:p w14:paraId="0AA8FC5B">
            <w:pPr>
              <w:widowControl w:val="0"/>
              <w:spacing w:after="0" w:line="380" w:lineRule="exact"/>
              <w:rPr>
                <w:sz w:val="24"/>
                <w:szCs w:val="24"/>
              </w:rPr>
            </w:pPr>
          </w:p>
        </w:tc>
      </w:tr>
    </w:tbl>
    <w:p w14:paraId="3C838EE5">
      <w:pPr>
        <w:spacing w:line="440" w:lineRule="exact"/>
        <w:ind w:firstLine="240"/>
        <w:rPr>
          <w:sz w:val="24"/>
          <w:szCs w:val="24"/>
        </w:rPr>
      </w:pPr>
      <w:r>
        <w:rPr>
          <w:sz w:val="24"/>
          <w:szCs w:val="24"/>
        </w:rPr>
        <w:t>注：1、</w:t>
      </w:r>
      <w:r>
        <w:rPr>
          <w:rFonts w:hint="eastAsia"/>
          <w:sz w:val="24"/>
          <w:szCs w:val="24"/>
          <w:lang w:val="en-US" w:eastAsia="zh-CN"/>
        </w:rPr>
        <w:t>供应商</w:t>
      </w:r>
      <w:r>
        <w:rPr>
          <w:sz w:val="24"/>
          <w:szCs w:val="24"/>
        </w:rPr>
        <w:t>应据实、详细填写上述表格，因表述含糊导致的评标风险将由</w:t>
      </w:r>
      <w:r>
        <w:rPr>
          <w:rFonts w:hint="eastAsia"/>
          <w:sz w:val="24"/>
          <w:szCs w:val="24"/>
          <w:lang w:val="en-US" w:eastAsia="zh-CN"/>
        </w:rPr>
        <w:t>供应商</w:t>
      </w:r>
      <w:r>
        <w:rPr>
          <w:sz w:val="24"/>
          <w:szCs w:val="24"/>
        </w:rPr>
        <w:t>承担。</w:t>
      </w:r>
    </w:p>
    <w:p w14:paraId="046C326A">
      <w:pPr>
        <w:spacing w:line="440" w:lineRule="exact"/>
        <w:ind w:firstLine="720"/>
        <w:rPr>
          <w:sz w:val="24"/>
          <w:szCs w:val="24"/>
        </w:rPr>
      </w:pPr>
      <w:r>
        <w:rPr>
          <w:sz w:val="24"/>
          <w:szCs w:val="24"/>
        </w:rPr>
        <w:t>2、若无偏离，在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无</w:t>
      </w:r>
      <w:r>
        <w:rPr>
          <w:rFonts w:hint="eastAsia"/>
          <w:sz w:val="24"/>
          <w:szCs w:val="24"/>
        </w:rPr>
        <w:t>”</w:t>
      </w:r>
      <w:r>
        <w:rPr>
          <w:sz w:val="24"/>
          <w:szCs w:val="24"/>
        </w:rPr>
        <w:t>；若有偏离在</w:t>
      </w:r>
      <w:r>
        <w:rPr>
          <w:rFonts w:hint="eastAsia"/>
          <w:sz w:val="24"/>
          <w:szCs w:val="24"/>
        </w:rPr>
        <w:t>“</w:t>
      </w:r>
      <w:r>
        <w:rPr>
          <w:sz w:val="24"/>
          <w:szCs w:val="24"/>
        </w:rPr>
        <w:t>有无偏离</w:t>
      </w:r>
      <w:r>
        <w:rPr>
          <w:rFonts w:hint="eastAsia"/>
          <w:sz w:val="24"/>
          <w:szCs w:val="24"/>
        </w:rPr>
        <w:t>”</w:t>
      </w:r>
      <w:r>
        <w:rPr>
          <w:sz w:val="24"/>
          <w:szCs w:val="24"/>
        </w:rPr>
        <w:t>栏中填写</w:t>
      </w:r>
      <w:r>
        <w:rPr>
          <w:rFonts w:hint="eastAsia"/>
          <w:sz w:val="24"/>
          <w:szCs w:val="24"/>
        </w:rPr>
        <w:t>“</w:t>
      </w:r>
      <w:r>
        <w:rPr>
          <w:sz w:val="24"/>
          <w:szCs w:val="24"/>
        </w:rPr>
        <w:t>有</w:t>
      </w:r>
      <w:r>
        <w:rPr>
          <w:rFonts w:hint="eastAsia"/>
          <w:sz w:val="24"/>
          <w:szCs w:val="24"/>
        </w:rPr>
        <w:t>”</w:t>
      </w:r>
      <w:r>
        <w:rPr>
          <w:sz w:val="24"/>
          <w:szCs w:val="24"/>
        </w:rPr>
        <w:t>并在</w:t>
      </w:r>
      <w:r>
        <w:rPr>
          <w:rFonts w:hint="eastAsia"/>
          <w:sz w:val="24"/>
          <w:szCs w:val="24"/>
        </w:rPr>
        <w:t>“</w:t>
      </w:r>
      <w:r>
        <w:rPr>
          <w:sz w:val="24"/>
          <w:szCs w:val="24"/>
        </w:rPr>
        <w:t>偏离内容及原因</w:t>
      </w:r>
      <w:r>
        <w:rPr>
          <w:rFonts w:hint="eastAsia"/>
          <w:sz w:val="24"/>
          <w:szCs w:val="24"/>
        </w:rPr>
        <w:t>”</w:t>
      </w:r>
      <w:r>
        <w:rPr>
          <w:sz w:val="24"/>
          <w:szCs w:val="24"/>
        </w:rPr>
        <w:t>栏中作出说明。</w:t>
      </w:r>
    </w:p>
    <w:p w14:paraId="4890B3FF">
      <w:pPr>
        <w:spacing w:line="480" w:lineRule="exact"/>
        <w:ind w:firstLine="480"/>
        <w:rPr>
          <w:sz w:val="24"/>
          <w:szCs w:val="24"/>
        </w:rPr>
      </w:pPr>
    </w:p>
    <w:p w14:paraId="1A43FF49">
      <w:pPr>
        <w:pStyle w:val="5"/>
        <w:spacing w:line="440" w:lineRule="exact"/>
        <w:rPr>
          <w:b w:val="0"/>
          <w:sz w:val="24"/>
        </w:rPr>
      </w:pPr>
      <w:r>
        <w:rPr/>
        <w:br w:type="page" w:clear="all"/>
      </w:r>
      <w:bookmarkStart w:id="93" w:name="_Toc29881"/>
      <w:bookmarkStart w:id="94" w:name="_Toc159312663"/>
      <w:r>
        <w:rPr>
          <w:rFonts w:hint="eastAsia"/>
          <w:sz w:val="24"/>
          <w:szCs w:val="24"/>
        </w:rPr>
        <w:t>附件5 具备履行合同所必需的设备和专业技术能力的书面声明</w:t>
      </w:r>
      <w:bookmarkEnd w:id="93"/>
      <w:bookmarkEnd w:id="94"/>
    </w:p>
    <w:p w14:paraId="04FC6932">
      <w:pPr>
        <w:spacing w:line="460" w:lineRule="exact"/>
        <w:ind w:firstLine="492"/>
        <w:rPr>
          <w:bCs/>
          <w:sz w:val="24"/>
        </w:rPr>
      </w:pPr>
      <w:r>
        <w:rPr>
          <w:rFonts w:hint="eastAsia"/>
          <w:bCs/>
          <w:sz w:val="24"/>
        </w:rPr>
        <w:t>我单位郑重声明：我单位具备履行本项采购合同所必需的设备和专业技术能力，为履行本项采购合同我公司具备如下主要设备和主要专业技术能力：</w:t>
      </w:r>
    </w:p>
    <w:p w14:paraId="7B3A3F61">
      <w:pPr>
        <w:spacing w:line="460" w:lineRule="exact"/>
        <w:ind w:firstLine="492"/>
        <w:rPr>
          <w:bCs/>
          <w:sz w:val="24"/>
        </w:rPr>
      </w:pPr>
      <w:r>
        <w:rPr>
          <w:rFonts w:hint="eastAsia"/>
          <w:bCs/>
          <w:sz w:val="24"/>
        </w:rPr>
        <w:t>主要设备有：</w:t>
      </w:r>
      <w:r>
        <w:rPr>
          <w:rFonts w:hint="eastAsia"/>
          <w:bCs/>
          <w:sz w:val="24"/>
          <w:u w:val="single"/>
        </w:rPr>
        <w:t xml:space="preserve">  </w:t>
      </w:r>
      <w:r>
        <w:rPr>
          <w:bCs/>
          <w:sz w:val="24"/>
          <w:u w:val="single"/>
        </w:rPr>
        <w:t xml:space="preserve">    </w:t>
      </w:r>
      <w:r>
        <w:rPr>
          <w:rFonts w:hint="eastAsia"/>
          <w:bCs/>
          <w:sz w:val="24"/>
        </w:rPr>
        <w:t>。</w:t>
      </w:r>
    </w:p>
    <w:p w14:paraId="7DA4B892">
      <w:pPr>
        <w:spacing w:line="460" w:lineRule="exact"/>
        <w:ind w:firstLine="492"/>
        <w:rPr>
          <w:bCs/>
          <w:sz w:val="24"/>
        </w:rPr>
      </w:pPr>
      <w:r>
        <w:rPr>
          <w:rFonts w:hint="eastAsia"/>
          <w:bCs/>
          <w:sz w:val="24"/>
        </w:rPr>
        <w:t>主要专业技术能力有：</w:t>
      </w:r>
      <w:r>
        <w:rPr>
          <w:rFonts w:hint="eastAsia"/>
          <w:bCs/>
          <w:sz w:val="24"/>
          <w:u w:val="single"/>
        </w:rPr>
        <w:t xml:space="preserve">   </w:t>
      </w:r>
      <w:r>
        <w:rPr>
          <w:bCs/>
          <w:sz w:val="24"/>
          <w:u w:val="single"/>
        </w:rPr>
        <w:t xml:space="preserve">      </w:t>
      </w:r>
      <w:r>
        <w:rPr>
          <w:rFonts w:hint="eastAsia"/>
          <w:bCs/>
          <w:sz w:val="24"/>
        </w:rPr>
        <w:t>。</w:t>
      </w:r>
    </w:p>
    <w:p w14:paraId="48DABEF4">
      <w:pPr>
        <w:pStyle w:val="5"/>
        <w:spacing w:line="440" w:lineRule="exact"/>
        <w:rPr>
          <w:b w:val="0"/>
          <w:sz w:val="24"/>
        </w:rPr>
      </w:pPr>
      <w:r>
        <w:rPr/>
        <w:br w:type="page" w:clear="all"/>
      </w:r>
      <w:bookmarkStart w:id="95" w:name="_Toc159312664"/>
      <w:bookmarkStart w:id="96" w:name="_Toc13407"/>
      <w:r>
        <w:rPr>
          <w:rFonts w:hint="eastAsia"/>
          <w:sz w:val="24"/>
          <w:szCs w:val="24"/>
        </w:rPr>
        <w:t>附件6</w:t>
      </w:r>
      <w:r>
        <w:rPr>
          <w:sz w:val="24"/>
          <w:szCs w:val="24"/>
        </w:rPr>
        <w:t xml:space="preserve"> </w:t>
      </w:r>
      <w:r>
        <w:rPr>
          <w:rFonts w:hint="eastAsia"/>
          <w:sz w:val="24"/>
          <w:szCs w:val="24"/>
        </w:rPr>
        <w:t>参加政府采购活动前 3 年内在经营活动中没有重大违法记录的书面声明</w:t>
      </w:r>
      <w:bookmarkEnd w:id="95"/>
      <w:bookmarkEnd w:id="96"/>
    </w:p>
    <w:p w14:paraId="62919C1D">
      <w:pPr>
        <w:spacing w:line="460" w:lineRule="exact"/>
        <w:jc w:val="center"/>
        <w:rPr>
          <w:b/>
          <w:bCs/>
          <w:sz w:val="24"/>
        </w:rPr>
      </w:pPr>
      <w:r>
        <w:rPr>
          <w:rFonts w:hint="eastAsia"/>
          <w:b/>
          <w:bCs/>
          <w:sz w:val="24"/>
        </w:rPr>
        <w:t>声  明</w:t>
      </w:r>
    </w:p>
    <w:p w14:paraId="7609AE21">
      <w:pPr>
        <w:spacing w:line="460" w:lineRule="exact"/>
        <w:ind w:firstLine="480"/>
        <w:rPr>
          <w:bCs/>
          <w:sz w:val="24"/>
        </w:rPr>
      </w:pPr>
      <w:r>
        <w:rPr>
          <w:rFonts w:hint="eastAsia"/>
          <w:bCs/>
          <w:sz w:val="24"/>
        </w:rPr>
        <w:t>我单位郑重声明：参加本次政府采购活动前 3 年内，我单位在经营活动中没有因违法经营受到刑事处罚或者责令停产停业、吊销许可证或者执照、较大数额罚款等行政处罚。</w:t>
      </w:r>
    </w:p>
    <w:p w14:paraId="12A048CF">
      <w:pPr>
        <w:pStyle w:val="5"/>
        <w:spacing w:line="440" w:lineRule="exact"/>
        <w:rPr>
          <w:bCs w:val="0"/>
          <w:sz w:val="24"/>
        </w:rPr>
      </w:pPr>
      <w:r>
        <w:rPr>
          <w:rFonts w:hint="eastAsia"/>
          <w:sz w:val="24"/>
          <w:szCs w:val="24"/>
        </w:rPr>
        <w:br w:type="page" w:clear="all"/>
      </w:r>
      <w:bookmarkStart w:id="97" w:name="_Toc159312665"/>
      <w:bookmarkStart w:id="98" w:name="_Toc21146"/>
      <w:r>
        <w:rPr>
          <w:rFonts w:hint="eastAsia"/>
          <w:sz w:val="24"/>
          <w:szCs w:val="24"/>
        </w:rPr>
        <w:t>附件7</w:t>
      </w:r>
      <w:r>
        <w:rPr>
          <w:sz w:val="24"/>
          <w:szCs w:val="24"/>
        </w:rPr>
        <w:t xml:space="preserve"> </w:t>
      </w:r>
      <w:r>
        <w:rPr>
          <w:rFonts w:hint="eastAsia"/>
          <w:sz w:val="24"/>
          <w:szCs w:val="24"/>
        </w:rPr>
        <w:t>法人授权书</w:t>
      </w:r>
      <w:bookmarkEnd w:id="97"/>
      <w:bookmarkEnd w:id="98"/>
    </w:p>
    <w:p w14:paraId="75481C12">
      <w:pPr>
        <w:tabs>
          <w:tab w:val="left" w:pos="360"/>
        </w:tabs>
        <w:spacing w:line="440" w:lineRule="exact"/>
        <w:ind w:firstLine="480"/>
        <w:rPr>
          <w:sz w:val="24"/>
          <w:szCs w:val="24"/>
        </w:rPr>
      </w:pPr>
      <w:r>
        <w:rPr>
          <w:sz w:val="24"/>
          <w:szCs w:val="24"/>
        </w:rPr>
        <w:t>本授权书声明：____________（</w:t>
      </w:r>
      <w:r>
        <w:rPr>
          <w:rFonts w:hint="eastAsia"/>
          <w:sz w:val="24"/>
          <w:szCs w:val="24"/>
        </w:rPr>
        <w:t>供应商</w:t>
      </w:r>
      <w:r>
        <w:rPr>
          <w:sz w:val="24"/>
          <w:szCs w:val="24"/>
        </w:rPr>
        <w:t>名称）授权________________（被授权人的姓名）为我方就</w:t>
      </w:r>
      <w:r>
        <w:rPr>
          <w:rFonts w:hint="eastAsia"/>
          <w:color w:val="000000"/>
          <w:sz w:val="24"/>
          <w:szCs w:val="24"/>
          <w:lang w:eastAsia="zh-CN"/>
        </w:rPr>
        <w:t>JSZC-320581-CSXC-C2026-0004</w:t>
      </w:r>
      <w:r>
        <w:rPr>
          <w:sz w:val="24"/>
          <w:szCs w:val="24"/>
        </w:rPr>
        <w:t>号项目采购活动的合法代理人，以本单位名义全权处理一切与该项目采购有关的事务。</w:t>
      </w:r>
    </w:p>
    <w:p w14:paraId="4AD913BD">
      <w:pPr>
        <w:tabs>
          <w:tab w:val="left" w:pos="360"/>
        </w:tabs>
        <w:spacing w:line="440" w:lineRule="exact"/>
        <w:ind w:firstLine="480"/>
        <w:rPr>
          <w:sz w:val="24"/>
          <w:szCs w:val="24"/>
        </w:rPr>
      </w:pPr>
      <w:r>
        <w:rPr>
          <w:sz w:val="24"/>
          <w:szCs w:val="24"/>
        </w:rPr>
        <w:t>本授权书于</w:t>
      </w:r>
      <w:r>
        <w:rPr>
          <w:rFonts w:hint="eastAsia"/>
          <w:sz w:val="24"/>
          <w:szCs w:val="24"/>
          <w:u w:val="single"/>
        </w:rPr>
        <w:t xml:space="preserve">   </w:t>
      </w:r>
      <w:r>
        <w:rPr>
          <w:rFonts w:hint="eastAsia"/>
          <w:sz w:val="24"/>
          <w:szCs w:val="24"/>
          <w:u w:val="single"/>
          <w:lang w:eastAsia="zh-CN"/>
        </w:rPr>
        <w:t>2026</w:t>
      </w:r>
      <w:r>
        <w:rPr>
          <w:rFonts w:hint="eastAsia"/>
          <w:sz w:val="24"/>
          <w:szCs w:val="24"/>
          <w:u w:val="single"/>
        </w:rPr>
        <w:t xml:space="preserve">   </w:t>
      </w:r>
      <w:r>
        <w:rPr>
          <w:sz w:val="24"/>
          <w:szCs w:val="24"/>
        </w:rPr>
        <w:t>年____月____日起生效，特此声明。</w:t>
      </w:r>
    </w:p>
    <w:p w14:paraId="430BC35B">
      <w:pPr>
        <w:tabs>
          <w:tab w:val="left" w:pos="360"/>
        </w:tabs>
        <w:spacing w:line="440" w:lineRule="exact"/>
        <w:ind w:firstLine="480"/>
        <w:rPr>
          <w:sz w:val="24"/>
          <w:szCs w:val="24"/>
        </w:rPr>
      </w:pPr>
    </w:p>
    <w:p w14:paraId="70687CF0">
      <w:pPr>
        <w:tabs>
          <w:tab w:val="left" w:pos="360"/>
        </w:tabs>
        <w:spacing w:line="440" w:lineRule="exact"/>
        <w:ind w:firstLine="480"/>
        <w:rPr>
          <w:sz w:val="24"/>
          <w:szCs w:val="24"/>
        </w:rPr>
      </w:pPr>
    </w:p>
    <w:p w14:paraId="18B3E8AB">
      <w:pPr>
        <w:tabs>
          <w:tab w:val="left" w:pos="360"/>
        </w:tabs>
        <w:spacing w:line="440" w:lineRule="exact"/>
        <w:rPr>
          <w:sz w:val="24"/>
          <w:szCs w:val="24"/>
          <w:u w:val="single"/>
        </w:rPr>
      </w:pPr>
      <w:r>
        <w:rPr>
          <w:sz w:val="24"/>
          <w:szCs w:val="24"/>
        </w:rPr>
        <w:t xml:space="preserve">          被授权人身份证号码：</w:t>
      </w:r>
      <w:r>
        <w:rPr>
          <w:sz w:val="24"/>
          <w:szCs w:val="24"/>
          <w:u w:val="single"/>
        </w:rPr>
        <w:t xml:space="preserve">                              </w:t>
      </w:r>
    </w:p>
    <w:p w14:paraId="6BFF851C">
      <w:pPr>
        <w:tabs>
          <w:tab w:val="left" w:pos="360"/>
        </w:tabs>
        <w:spacing w:line="440" w:lineRule="exact"/>
        <w:rPr>
          <w:sz w:val="24"/>
          <w:szCs w:val="24"/>
          <w:u w:val="single"/>
        </w:rPr>
      </w:pPr>
      <w:r>
        <w:rPr>
          <w:sz w:val="24"/>
          <w:szCs w:val="24"/>
        </w:rPr>
        <w:t xml:space="preserve">          被授权人联系电话：（手机）</w:t>
      </w:r>
      <w:r>
        <w:rPr>
          <w:sz w:val="24"/>
          <w:szCs w:val="24"/>
          <w:u w:val="single"/>
        </w:rPr>
        <w:t xml:space="preserve">                          </w:t>
      </w:r>
    </w:p>
    <w:p w14:paraId="3A65E1E9">
      <w:pPr>
        <w:tabs>
          <w:tab w:val="left" w:pos="360"/>
        </w:tabs>
        <w:spacing w:line="440" w:lineRule="exact"/>
        <w:ind w:firstLine="1200"/>
        <w:rPr>
          <w:sz w:val="24"/>
          <w:szCs w:val="24"/>
        </w:rPr>
      </w:pPr>
      <w:r>
        <w:rPr>
          <w:sz w:val="24"/>
          <w:szCs w:val="24"/>
        </w:rPr>
        <w:t>授权单位名称：</w:t>
      </w:r>
      <w:r>
        <w:rPr>
          <w:sz w:val="24"/>
          <w:szCs w:val="24"/>
          <w:u w:val="single"/>
        </w:rPr>
        <w:t>（加盖CA电子公章）</w:t>
      </w:r>
    </w:p>
    <w:p w14:paraId="3DA9A1B4">
      <w:pPr>
        <w:tabs>
          <w:tab w:val="left" w:pos="360"/>
        </w:tabs>
        <w:spacing w:line="440" w:lineRule="exact"/>
        <w:ind w:firstLine="480"/>
        <w:rPr>
          <w:sz w:val="24"/>
          <w:szCs w:val="24"/>
          <w:u w:val="single"/>
        </w:rPr>
      </w:pPr>
      <w:r>
        <w:rPr>
          <w:sz w:val="24"/>
          <w:szCs w:val="24"/>
        </w:rPr>
        <w:t xml:space="preserve">      单位地址：</w:t>
      </w:r>
      <w:r>
        <w:rPr>
          <w:sz w:val="24"/>
          <w:szCs w:val="24"/>
          <w:u w:val="single"/>
        </w:rPr>
        <w:t xml:space="preserve">                                         </w:t>
      </w:r>
    </w:p>
    <w:p w14:paraId="7E51D10C">
      <w:pPr>
        <w:tabs>
          <w:tab w:val="left" w:pos="360"/>
        </w:tabs>
        <w:spacing w:line="440" w:lineRule="exact"/>
        <w:ind w:firstLine="480"/>
        <w:rPr>
          <w:sz w:val="24"/>
          <w:szCs w:val="24"/>
        </w:rPr>
      </w:pPr>
      <w:r>
        <w:rPr>
          <w:sz w:val="24"/>
          <w:szCs w:val="24"/>
        </w:rPr>
        <w:t xml:space="preserve">      日期：</w:t>
      </w:r>
      <w:r>
        <w:rPr>
          <w:sz w:val="24"/>
          <w:szCs w:val="24"/>
          <w:u w:val="single"/>
        </w:rPr>
        <w:t xml:space="preserve">                                         </w:t>
      </w:r>
    </w:p>
    <w:p w14:paraId="26488EB5">
      <w:pPr>
        <w:spacing w:line="400" w:lineRule="exact"/>
        <w:ind w:firstLine="360"/>
        <w:rPr>
          <w:b/>
          <w:sz w:val="24"/>
          <w:szCs w:val="24"/>
        </w:rPr>
      </w:pPr>
    </w:p>
    <w:p w14:paraId="609DE07A">
      <w:pPr>
        <w:spacing w:line="400" w:lineRule="exact"/>
        <w:ind w:firstLine="241" w:firstLineChars="100"/>
        <w:rPr>
          <w:rFonts w:hint="eastAsia" w:eastAsia="宋体"/>
          <w:b/>
          <w:sz w:val="24"/>
          <w:szCs w:val="24"/>
          <w:lang w:eastAsia="zh-CN"/>
        </w:rPr>
      </w:pPr>
      <w:r>
        <w:rPr>
          <w:rFonts w:hint="eastAsia"/>
          <w:b/>
          <w:sz w:val="24"/>
          <w:szCs w:val="24"/>
        </w:rPr>
        <w:t>注：（1）请附法定代表人居民身份证</w:t>
      </w:r>
      <w:r>
        <w:rPr>
          <w:rFonts w:hint="eastAsia"/>
          <w:b/>
          <w:sz w:val="24"/>
          <w:szCs w:val="24"/>
          <w:lang w:eastAsia="zh-CN"/>
        </w:rPr>
        <w:t>、</w:t>
      </w:r>
      <w:r>
        <w:rPr>
          <w:rFonts w:hint="eastAsia"/>
          <w:b/>
          <w:sz w:val="24"/>
          <w:szCs w:val="24"/>
        </w:rPr>
        <w:t>授权代表居民身份证正反面扫描件</w:t>
      </w:r>
      <w:r>
        <w:rPr>
          <w:rFonts w:hint="eastAsia"/>
          <w:b/>
          <w:sz w:val="24"/>
          <w:szCs w:val="24"/>
          <w:lang w:eastAsia="zh-CN"/>
        </w:rPr>
        <w:t>。</w:t>
      </w:r>
    </w:p>
    <w:p w14:paraId="13EE6982">
      <w:pPr>
        <w:spacing w:line="400" w:lineRule="exact"/>
        <w:ind w:firstLine="723" w:firstLineChars="300"/>
        <w:rPr>
          <w:rFonts w:hint="eastAsia"/>
          <w:b/>
          <w:sz w:val="24"/>
          <w:szCs w:val="24"/>
        </w:rPr>
      </w:pPr>
      <w:r>
        <w:rPr>
          <w:rFonts w:hint="eastAsia"/>
          <w:b/>
          <w:sz w:val="24"/>
          <w:szCs w:val="24"/>
          <w:lang w:eastAsia="zh-CN"/>
        </w:rPr>
        <w:t>（</w:t>
      </w:r>
      <w:r>
        <w:rPr>
          <w:rFonts w:hint="eastAsia"/>
          <w:b/>
          <w:sz w:val="24"/>
          <w:szCs w:val="24"/>
          <w:lang w:val="en-US" w:eastAsia="zh-CN"/>
        </w:rPr>
        <w:t>2</w:t>
      </w:r>
      <w:r>
        <w:rPr>
          <w:rFonts w:hint="eastAsia"/>
          <w:b/>
          <w:sz w:val="24"/>
          <w:szCs w:val="24"/>
          <w:lang w:eastAsia="zh-CN"/>
        </w:rPr>
        <w:t>）</w:t>
      </w:r>
      <w:r>
        <w:rPr>
          <w:rFonts w:hint="eastAsia"/>
          <w:b/>
          <w:sz w:val="24"/>
          <w:szCs w:val="24"/>
        </w:rPr>
        <w:t>如法定代表人参加本项目投标活动，“附件7</w:t>
      </w:r>
      <w:r>
        <w:rPr>
          <w:b/>
          <w:sz w:val="24"/>
          <w:szCs w:val="24"/>
        </w:rPr>
        <w:t xml:space="preserve"> 法人授权书”可不提供。</w:t>
      </w:r>
      <w:r>
        <w:rPr>
          <w:rFonts w:hint="eastAsia"/>
          <w:b/>
          <w:sz w:val="24"/>
          <w:szCs w:val="24"/>
        </w:rPr>
        <w:t>但需提供法定代表人身份证正反面扫描件。</w:t>
      </w:r>
    </w:p>
    <w:p w14:paraId="624E026A">
      <w:pPr>
        <w:pStyle w:val="5"/>
        <w:spacing w:line="440" w:lineRule="exact"/>
      </w:pPr>
      <w:r>
        <w:rPr>
          <w:rFonts w:eastAsia="幼圆" w:cs="Arial"/>
          <w:color w:val="000000"/>
          <w:sz w:val="24"/>
          <w:szCs w:val="44"/>
        </w:rPr>
        <w:br w:type="page" w:clear="all"/>
      </w:r>
      <w:bookmarkStart w:id="99" w:name="_Toc159312666"/>
      <w:bookmarkStart w:id="100" w:name="_Toc26960"/>
      <w:r>
        <w:rPr>
          <w:rFonts w:hint="eastAsia"/>
          <w:sz w:val="24"/>
          <w:szCs w:val="24"/>
        </w:rPr>
        <w:t>附件8 磋商响应</w:t>
      </w:r>
      <w:r>
        <w:rPr>
          <w:sz w:val="24"/>
          <w:szCs w:val="24"/>
        </w:rPr>
        <w:t>函</w:t>
      </w:r>
      <w:bookmarkEnd w:id="99"/>
      <w:bookmarkEnd w:id="100"/>
    </w:p>
    <w:p w14:paraId="55CD8E65">
      <w:pPr>
        <w:spacing w:line="440" w:lineRule="exact"/>
        <w:rPr>
          <w:sz w:val="24"/>
          <w:szCs w:val="24"/>
        </w:rPr>
      </w:pPr>
      <w:r>
        <w:rPr>
          <w:sz w:val="24"/>
          <w:szCs w:val="24"/>
        </w:rPr>
        <w:t>致：</w:t>
      </w:r>
      <w:r>
        <w:rPr>
          <w:rFonts w:hint="eastAsia"/>
          <w:sz w:val="24"/>
          <w:szCs w:val="24"/>
        </w:rPr>
        <w:t>江苏协诚工程咨询有限公司</w:t>
      </w:r>
    </w:p>
    <w:p w14:paraId="575CBEEA">
      <w:pPr>
        <w:spacing w:line="440" w:lineRule="exact"/>
        <w:ind w:firstLine="480"/>
        <w:jc w:val="left"/>
        <w:rPr>
          <w:rFonts w:cs="宋体"/>
          <w:sz w:val="24"/>
          <w:szCs w:val="24"/>
        </w:rPr>
      </w:pPr>
      <w:r>
        <w:rPr>
          <w:sz w:val="24"/>
          <w:szCs w:val="24"/>
        </w:rPr>
        <w:t>根据贵方的</w:t>
      </w:r>
      <w:r>
        <w:rPr>
          <w:rFonts w:hint="eastAsia"/>
          <w:sz w:val="24"/>
          <w:szCs w:val="24"/>
          <w:u w:val="single"/>
          <w:lang w:eastAsia="zh-CN"/>
        </w:rPr>
        <w:t>JSZC-320581-CSXC-C2026-0004</w:t>
      </w:r>
      <w:r>
        <w:rPr>
          <w:rFonts w:hint="eastAsia" w:cs="宋体"/>
          <w:color w:val="000000"/>
          <w:sz w:val="24"/>
          <w:szCs w:val="24"/>
          <w:u w:val="single"/>
        </w:rPr>
        <w:t xml:space="preserve"> </w:t>
      </w:r>
      <w:r>
        <w:rPr>
          <w:rFonts w:hint="eastAsia" w:cs="宋体"/>
          <w:color w:val="000000"/>
          <w:sz w:val="24"/>
          <w:szCs w:val="24"/>
        </w:rPr>
        <w:t>号磋商文件，正式授权下述签字人______(姓名)代表我方______________（供应商的名称），全权处理本次项目磋商的有关事宜。</w:t>
      </w:r>
    </w:p>
    <w:p w14:paraId="7EFA5C8C">
      <w:pPr>
        <w:spacing w:line="440" w:lineRule="exact"/>
        <w:ind w:firstLine="480"/>
        <w:jc w:val="left"/>
        <w:rPr>
          <w:rFonts w:cs="宋体"/>
          <w:sz w:val="24"/>
          <w:szCs w:val="24"/>
        </w:rPr>
      </w:pPr>
      <w:r>
        <w:rPr>
          <w:rFonts w:hint="eastAsia" w:cs="宋体"/>
          <w:color w:val="000000"/>
          <w:sz w:val="24"/>
          <w:szCs w:val="24"/>
        </w:rPr>
        <w:t>据此函，__________签字人兹宣布同意如下：</w:t>
      </w:r>
    </w:p>
    <w:p w14:paraId="5A7EB141">
      <w:pPr>
        <w:spacing w:line="440" w:lineRule="exact"/>
        <w:ind w:firstLine="480"/>
        <w:jc w:val="left"/>
        <w:rPr>
          <w:rFonts w:cs="宋体"/>
          <w:sz w:val="24"/>
          <w:szCs w:val="24"/>
        </w:rPr>
      </w:pPr>
      <w:r>
        <w:rPr>
          <w:rFonts w:hint="eastAsia" w:cs="宋体"/>
          <w:color w:val="000000"/>
          <w:sz w:val="24"/>
          <w:szCs w:val="24"/>
        </w:rPr>
        <w:t>1.按磋商文件规定的各项要求，向买方提供所需货物、服务（包含与货物相关的服务及与服务相关的货物）。</w:t>
      </w:r>
    </w:p>
    <w:p w14:paraId="16F52120">
      <w:pPr>
        <w:spacing w:line="440" w:lineRule="exact"/>
        <w:ind w:firstLine="480"/>
        <w:jc w:val="left"/>
        <w:rPr>
          <w:rFonts w:cs="宋体"/>
          <w:sz w:val="24"/>
          <w:szCs w:val="24"/>
        </w:rPr>
      </w:pPr>
      <w:r>
        <w:rPr>
          <w:rFonts w:hint="eastAsia" w:cs="宋体"/>
          <w:color w:val="000000"/>
          <w:sz w:val="24"/>
          <w:szCs w:val="24"/>
        </w:rPr>
        <w:t>2.我们完全理解贵方不一定将合同授予最低报价的供应商。</w:t>
      </w:r>
    </w:p>
    <w:p w14:paraId="6CB3FC28">
      <w:pPr>
        <w:spacing w:line="440" w:lineRule="exact"/>
        <w:ind w:firstLine="480"/>
        <w:jc w:val="left"/>
        <w:rPr>
          <w:rFonts w:cs="宋体"/>
          <w:sz w:val="24"/>
          <w:szCs w:val="24"/>
        </w:rPr>
      </w:pPr>
      <w:r>
        <w:rPr>
          <w:rFonts w:hint="eastAsia" w:cs="宋体"/>
          <w:color w:val="000000"/>
          <w:sz w:val="24"/>
          <w:szCs w:val="24"/>
        </w:rPr>
        <w:t>3.我们已详细审核全部磋商文件及其有效补充文件，我们知道必须放弃提出含糊不清或误解问题的权利。</w:t>
      </w:r>
    </w:p>
    <w:p w14:paraId="0A6AF73A">
      <w:pPr>
        <w:spacing w:line="440" w:lineRule="exact"/>
        <w:ind w:firstLine="480"/>
        <w:jc w:val="left"/>
        <w:rPr>
          <w:rFonts w:cs="宋体"/>
          <w:sz w:val="24"/>
          <w:szCs w:val="24"/>
        </w:rPr>
      </w:pPr>
      <w:r>
        <w:rPr>
          <w:rFonts w:hint="eastAsia" w:cs="宋体"/>
          <w:color w:val="000000"/>
          <w:sz w:val="24"/>
          <w:szCs w:val="24"/>
        </w:rPr>
        <w:t>4.我们同意从规定的开标日期起遵循本响应文件，并在规定的磋商有效期期满之前均具有约束力。</w:t>
      </w:r>
    </w:p>
    <w:p w14:paraId="0A3921D3">
      <w:pPr>
        <w:spacing w:line="440" w:lineRule="exact"/>
        <w:ind w:firstLine="480"/>
        <w:jc w:val="left"/>
        <w:rPr>
          <w:rFonts w:cs="宋体"/>
          <w:sz w:val="24"/>
          <w:szCs w:val="24"/>
        </w:rPr>
      </w:pPr>
      <w:r>
        <w:rPr>
          <w:rFonts w:hint="eastAsia" w:cs="宋体"/>
          <w:color w:val="000000"/>
          <w:sz w:val="24"/>
          <w:szCs w:val="24"/>
        </w:rPr>
        <w:t>5.同意向贵方提供贵方可能另外要求的与磋商有关的任何证据或资料，并保证我方已提供和将要提供的文件是真实的、准确的。</w:t>
      </w:r>
    </w:p>
    <w:p w14:paraId="4B7D632B">
      <w:pPr>
        <w:spacing w:line="440" w:lineRule="exact"/>
        <w:ind w:firstLine="480"/>
        <w:jc w:val="left"/>
        <w:rPr>
          <w:rFonts w:cs="宋体"/>
          <w:sz w:val="24"/>
          <w:szCs w:val="24"/>
        </w:rPr>
      </w:pPr>
      <w:r>
        <w:rPr>
          <w:rFonts w:hint="eastAsia" w:cs="宋体"/>
          <w:color w:val="000000"/>
          <w:sz w:val="24"/>
          <w:szCs w:val="24"/>
        </w:rPr>
        <w:t>6.一旦我方成交,我方将根据磋商文件的规定，严格履行合同的责任和义务,并保证在磋商文件规定的时间完成项目，交付买方验收、使用。</w:t>
      </w:r>
    </w:p>
    <w:p w14:paraId="7E48D0D4">
      <w:pPr>
        <w:spacing w:line="440" w:lineRule="exact"/>
        <w:ind w:left="425"/>
        <w:jc w:val="left"/>
        <w:rPr>
          <w:rFonts w:cs="宋体"/>
          <w:sz w:val="24"/>
          <w:szCs w:val="24"/>
        </w:rPr>
      </w:pPr>
      <w:r>
        <w:rPr>
          <w:rFonts w:hint="eastAsia" w:cs="宋体"/>
          <w:color w:val="000000"/>
          <w:sz w:val="24"/>
          <w:szCs w:val="24"/>
        </w:rPr>
        <w:t>7.我方与本磋商有关的正式通讯地址为：</w:t>
      </w:r>
    </w:p>
    <w:p w14:paraId="67B9315F">
      <w:pPr>
        <w:spacing w:line="440" w:lineRule="exact"/>
        <w:ind w:left="420" w:firstLine="480"/>
        <w:jc w:val="left"/>
        <w:rPr>
          <w:rFonts w:cs="宋体"/>
          <w:sz w:val="24"/>
          <w:szCs w:val="24"/>
        </w:rPr>
      </w:pPr>
      <w:r>
        <w:rPr>
          <w:rFonts w:hint="eastAsia" w:cs="宋体"/>
          <w:color w:val="000000"/>
          <w:sz w:val="24"/>
          <w:szCs w:val="24"/>
        </w:rPr>
        <w:t>地        址：</w:t>
      </w:r>
    </w:p>
    <w:p w14:paraId="6D6C5CE8">
      <w:pPr>
        <w:spacing w:line="440" w:lineRule="exact"/>
        <w:ind w:left="420" w:firstLine="480"/>
        <w:jc w:val="left"/>
        <w:rPr>
          <w:rFonts w:cs="宋体"/>
          <w:sz w:val="24"/>
          <w:szCs w:val="24"/>
        </w:rPr>
      </w:pPr>
      <w:r>
        <w:rPr>
          <w:rFonts w:hint="eastAsia" w:cs="宋体"/>
          <w:color w:val="000000"/>
          <w:sz w:val="24"/>
          <w:szCs w:val="24"/>
        </w:rPr>
        <w:t>邮        编：</w:t>
      </w:r>
    </w:p>
    <w:p w14:paraId="7A41FC44">
      <w:pPr>
        <w:spacing w:line="440" w:lineRule="exact"/>
        <w:ind w:left="420" w:firstLine="480"/>
        <w:jc w:val="left"/>
        <w:rPr>
          <w:rFonts w:cs="宋体"/>
          <w:sz w:val="24"/>
          <w:szCs w:val="24"/>
        </w:rPr>
      </w:pPr>
      <w:r>
        <w:rPr>
          <w:rFonts w:hint="eastAsia" w:cs="宋体"/>
          <w:color w:val="000000"/>
          <w:sz w:val="24"/>
          <w:szCs w:val="24"/>
        </w:rPr>
        <w:t>电        话：</w:t>
      </w:r>
    </w:p>
    <w:p w14:paraId="181DC91A">
      <w:pPr>
        <w:spacing w:line="440" w:lineRule="exact"/>
        <w:ind w:left="420" w:firstLine="480"/>
        <w:jc w:val="left"/>
        <w:rPr>
          <w:rFonts w:cs="宋体"/>
          <w:sz w:val="24"/>
          <w:szCs w:val="24"/>
        </w:rPr>
      </w:pPr>
      <w:r>
        <w:rPr>
          <w:rFonts w:hint="eastAsia" w:cs="宋体"/>
          <w:color w:val="000000"/>
          <w:sz w:val="24"/>
          <w:szCs w:val="24"/>
        </w:rPr>
        <w:t>传        真：</w:t>
      </w:r>
    </w:p>
    <w:p w14:paraId="3DF681F6">
      <w:pPr>
        <w:spacing w:line="440" w:lineRule="exact"/>
        <w:ind w:left="420" w:firstLine="480"/>
        <w:jc w:val="left"/>
        <w:rPr>
          <w:rFonts w:cs="宋体"/>
          <w:sz w:val="24"/>
          <w:szCs w:val="24"/>
        </w:rPr>
      </w:pPr>
      <w:r>
        <w:rPr>
          <w:rFonts w:hint="eastAsia" w:cs="宋体"/>
          <w:color w:val="000000"/>
          <w:sz w:val="24"/>
          <w:szCs w:val="24"/>
        </w:rPr>
        <w:t>供应商开户行：</w:t>
      </w:r>
    </w:p>
    <w:p w14:paraId="7C52E35C">
      <w:pPr>
        <w:spacing w:line="440" w:lineRule="exact"/>
        <w:ind w:left="420" w:firstLine="480"/>
        <w:jc w:val="left"/>
        <w:rPr>
          <w:rFonts w:cs="宋体"/>
          <w:sz w:val="24"/>
          <w:szCs w:val="24"/>
        </w:rPr>
      </w:pPr>
      <w:r>
        <w:rPr>
          <w:rFonts w:hint="eastAsia" w:cs="宋体"/>
          <w:color w:val="000000"/>
          <w:sz w:val="24"/>
          <w:szCs w:val="24"/>
        </w:rPr>
        <w:t>账        号：</w:t>
      </w:r>
    </w:p>
    <w:p w14:paraId="07A84BED">
      <w:pPr>
        <w:spacing w:line="440" w:lineRule="exact"/>
        <w:ind w:left="420" w:firstLine="480"/>
        <w:jc w:val="left"/>
        <w:rPr>
          <w:rFonts w:cs="宋体"/>
          <w:sz w:val="24"/>
          <w:szCs w:val="24"/>
        </w:rPr>
      </w:pPr>
      <w:r>
        <w:rPr>
          <w:rFonts w:hint="eastAsia" w:cs="宋体"/>
          <w:color w:val="000000"/>
          <w:sz w:val="24"/>
          <w:szCs w:val="24"/>
        </w:rPr>
        <w:t>日        期：________年____月____日</w:t>
      </w:r>
    </w:p>
    <w:p w14:paraId="1D272668">
      <w:pPr>
        <w:pStyle w:val="5"/>
        <w:spacing w:line="440" w:lineRule="exact"/>
        <w:rPr>
          <w:rFonts w:cs="宋体"/>
          <w:sz w:val="24"/>
          <w:szCs w:val="24"/>
        </w:rPr>
      </w:pPr>
      <w:r>
        <w:rPr>
          <w:sz w:val="24"/>
          <w:szCs w:val="24"/>
        </w:rPr>
        <w:br w:type="page" w:clear="all"/>
      </w:r>
      <w:bookmarkStart w:id="101" w:name="_Toc159312667"/>
      <w:bookmarkStart w:id="102" w:name="_Toc30248"/>
      <w:r>
        <w:rPr>
          <w:rFonts w:hint="eastAsia"/>
          <w:sz w:val="24"/>
          <w:szCs w:val="24"/>
        </w:rPr>
        <w:t>附件9 中小企业声明函</w:t>
      </w:r>
      <w:bookmarkEnd w:id="101"/>
      <w:bookmarkEnd w:id="102"/>
    </w:p>
    <w:p w14:paraId="7D5E0E6A">
      <w:pPr>
        <w:spacing w:line="520" w:lineRule="exact"/>
        <w:ind w:firstLine="480"/>
        <w:rPr>
          <w:sz w:val="24"/>
          <w:szCs w:val="24"/>
        </w:rPr>
      </w:pPr>
      <w:r>
        <w:rPr>
          <w:rFonts w:hint="eastAsia" w:cs="宋体"/>
          <w:color w:val="000000"/>
          <w:sz w:val="24"/>
          <w:szCs w:val="24"/>
        </w:rPr>
        <w:t>本公司</w:t>
      </w:r>
      <w:r>
        <w:rPr>
          <w:rFonts w:hint="eastAsia" w:eastAsia="宋体" w:cs="宋体"/>
          <w:color w:val="000000"/>
          <w:sz w:val="24"/>
          <w:szCs w:val="24"/>
        </w:rPr>
        <w:t>（联合体）郑重</w:t>
      </w:r>
      <w:r>
        <w:rPr>
          <w:rFonts w:hint="eastAsia" w:cs="宋体"/>
          <w:color w:val="000000"/>
          <w:sz w:val="24"/>
          <w:szCs w:val="24"/>
        </w:rPr>
        <w:t>声明，根据《政府采购促进中小企业发展管理办法》(财库[2020]46号)的规定，本公司参加</w:t>
      </w:r>
      <w:r>
        <w:rPr>
          <w:rFonts w:hint="eastAsia" w:cs="宋体"/>
          <w:color w:val="000000"/>
          <w:sz w:val="24"/>
          <w:szCs w:val="24"/>
          <w:u w:val="single"/>
        </w:rPr>
        <w:t>常熟市自然资源和规划局</w:t>
      </w:r>
      <w:r>
        <w:rPr>
          <w:rFonts w:hint="eastAsia" w:cs="宋体"/>
          <w:color w:val="000000"/>
          <w:sz w:val="24"/>
          <w:szCs w:val="24"/>
        </w:rPr>
        <w:t>的</w:t>
      </w:r>
      <w:r>
        <w:rPr>
          <w:rFonts w:hint="eastAsia" w:cs="宋体"/>
          <w:color w:val="000000"/>
          <w:sz w:val="24"/>
          <w:szCs w:val="24"/>
          <w:u w:val="single"/>
          <w:lang w:eastAsia="zh-CN"/>
        </w:rPr>
        <w:t>常熟市地籍一张图编制项目（二期）</w:t>
      </w:r>
      <w:r>
        <w:rPr>
          <w:rFonts w:hint="eastAsia" w:ascii="Segoe UI Symbol" w:hAnsi="Segoe UI Symbol" w:cs="Segoe UI Symbol"/>
          <w:sz w:val="24"/>
          <w:szCs w:val="24"/>
        </w:rPr>
        <w:t>，</w:t>
      </w:r>
      <w:r>
        <w:rPr>
          <w:rFonts w:hint="eastAsia" w:cs="宋体"/>
          <w:color w:val="000000"/>
          <w:sz w:val="24"/>
          <w:szCs w:val="24"/>
        </w:rPr>
        <w:t>采购编号为</w:t>
      </w:r>
      <w:r>
        <w:rPr>
          <w:rFonts w:hint="eastAsia" w:cs="宋体"/>
          <w:color w:val="000000"/>
          <w:sz w:val="24"/>
          <w:szCs w:val="24"/>
          <w:u w:val="single"/>
          <w:lang w:eastAsia="zh-CN"/>
        </w:rPr>
        <w:t>JSZC-320581-CSXC-C2026-0004</w:t>
      </w:r>
      <w:r>
        <w:rPr>
          <w:rFonts w:hint="eastAsia" w:cs="宋体"/>
          <w:color w:val="000000"/>
          <w:sz w:val="24"/>
          <w:szCs w:val="24"/>
        </w:rPr>
        <w:t>，的采购活动，服务</w:t>
      </w:r>
      <w:r>
        <w:rPr>
          <w:sz w:val="24"/>
          <w:szCs w:val="24"/>
        </w:rPr>
        <w:t>全部由符合政策要求的中小企业承接。</w:t>
      </w:r>
      <w:r>
        <w:rPr>
          <w:rFonts w:hint="eastAsia" w:ascii="宋体" w:hAnsi="宋体" w:cs="仿宋"/>
          <w:color w:val="000000"/>
          <w:sz w:val="24"/>
          <w:szCs w:val="24"/>
          <w:highlight w:val="none"/>
        </w:rPr>
        <w:t>相关企业（含联合体中的中小企业、签订分包意向协议的中小企业）的具体情况如下：</w:t>
      </w:r>
    </w:p>
    <w:p w14:paraId="4275C3CE">
      <w:pPr>
        <w:spacing w:line="520" w:lineRule="exact"/>
        <w:ind w:firstLine="360"/>
        <w:rPr>
          <w:rFonts w:hint="eastAsia" w:eastAsia="宋体" w:cs="宋体"/>
          <w:sz w:val="24"/>
          <w:szCs w:val="24"/>
          <w:lang w:eastAsia="zh-CN"/>
        </w:rPr>
      </w:pPr>
      <w:r>
        <w:rPr>
          <w:rFonts w:hint="eastAsia" w:cs="宋体"/>
          <w:color w:val="000000"/>
          <w:sz w:val="24"/>
          <w:szCs w:val="24"/>
        </w:rPr>
        <w:t>1.</w:t>
      </w:r>
      <w:r>
        <w:rPr>
          <w:rFonts w:hint="eastAsia" w:cs="宋体"/>
          <w:color w:val="000000"/>
          <w:sz w:val="24"/>
          <w:szCs w:val="24"/>
          <w:u w:val="single"/>
          <w:lang w:eastAsia="zh-CN"/>
        </w:rPr>
        <w:t>常熟市地籍一张图编制项目（二期）</w:t>
      </w:r>
      <w:r>
        <w:rPr>
          <w:rFonts w:hint="eastAsia" w:cs="宋体"/>
          <w:i/>
          <w:iCs/>
          <w:color w:val="000000"/>
          <w:sz w:val="24"/>
          <w:szCs w:val="24"/>
        </w:rPr>
        <w:t>，</w:t>
      </w:r>
      <w:r>
        <w:rPr>
          <w:rFonts w:hint="eastAsia" w:cs="宋体"/>
          <w:color w:val="000000"/>
          <w:sz w:val="24"/>
          <w:szCs w:val="24"/>
        </w:rPr>
        <w:t>属于</w:t>
      </w:r>
      <w:r>
        <w:rPr>
          <w:rFonts w:hint="eastAsia" w:cs="宋体"/>
          <w:color w:val="000000"/>
          <w:sz w:val="24"/>
          <w:szCs w:val="24"/>
          <w:u w:val="single"/>
        </w:rPr>
        <w:t xml:space="preserve"> 其他未列明 </w:t>
      </w:r>
      <w:r>
        <w:rPr>
          <w:rFonts w:hint="eastAsia" w:cs="宋体"/>
          <w:color w:val="000000"/>
          <w:sz w:val="24"/>
          <w:szCs w:val="24"/>
        </w:rPr>
        <w:t>行业；承接企业为</w:t>
      </w:r>
      <w:r>
        <w:rPr>
          <w:rFonts w:hint="eastAsia" w:cs="宋体"/>
          <w:color w:val="000000"/>
          <w:sz w:val="24"/>
          <w:szCs w:val="24"/>
          <w:u w:val="single"/>
        </w:rPr>
        <w:t>（企业名称）</w:t>
      </w:r>
      <w:r>
        <w:rPr>
          <w:rFonts w:hint="eastAsia" w:cs="宋体"/>
          <w:color w:val="000000"/>
          <w:sz w:val="24"/>
          <w:szCs w:val="24"/>
        </w:rPr>
        <w:t>，从业人员</w:t>
      </w:r>
      <w:r>
        <w:rPr>
          <w:rFonts w:hint="eastAsia" w:cs="宋体"/>
          <w:color w:val="000000"/>
          <w:sz w:val="24"/>
          <w:szCs w:val="24"/>
          <w:u w:val="single"/>
        </w:rPr>
        <w:t xml:space="preserve">     </w:t>
      </w:r>
      <w:r>
        <w:rPr>
          <w:rFonts w:hint="eastAsia" w:cs="宋体"/>
          <w:color w:val="000000"/>
          <w:sz w:val="24"/>
          <w:szCs w:val="24"/>
        </w:rPr>
        <w:t>人，营业收入为</w:t>
      </w:r>
      <w:r>
        <w:rPr>
          <w:rFonts w:hint="eastAsia" w:cs="宋体"/>
          <w:color w:val="000000"/>
          <w:sz w:val="24"/>
          <w:szCs w:val="24"/>
          <w:u w:val="single"/>
        </w:rPr>
        <w:t xml:space="preserve">      </w:t>
      </w:r>
      <w:r>
        <w:rPr>
          <w:rFonts w:hint="eastAsia" w:cs="宋体"/>
          <w:color w:val="000000"/>
          <w:sz w:val="24"/>
          <w:szCs w:val="24"/>
        </w:rPr>
        <w:t>万元，资产总额为</w:t>
      </w:r>
      <w:r>
        <w:rPr>
          <w:rFonts w:hint="eastAsia" w:cs="宋体"/>
          <w:color w:val="000000"/>
          <w:sz w:val="24"/>
          <w:szCs w:val="24"/>
          <w:u w:val="single"/>
        </w:rPr>
        <w:t xml:space="preserve">     </w:t>
      </w:r>
      <w:r>
        <w:rPr>
          <w:rFonts w:hint="eastAsia" w:cs="宋体"/>
          <w:color w:val="000000"/>
          <w:sz w:val="24"/>
          <w:szCs w:val="24"/>
        </w:rPr>
        <w:t>万元，属于</w:t>
      </w:r>
      <w:r>
        <w:rPr>
          <w:rFonts w:hint="eastAsia" w:cs="宋体"/>
          <w:color w:val="000000"/>
          <w:sz w:val="24"/>
          <w:szCs w:val="24"/>
          <w:u w:val="single"/>
        </w:rPr>
        <w:t>（小型企业、微型企业、</w:t>
      </w:r>
      <w:r>
        <w:rPr>
          <w:rFonts w:hint="eastAsia" w:cs="宋体"/>
          <w:bCs/>
          <w:color w:val="000000"/>
          <w:sz w:val="24"/>
          <w:szCs w:val="24"/>
          <w:u w:val="single"/>
        </w:rPr>
        <w:t>中型企业</w:t>
      </w:r>
      <w:r>
        <w:rPr>
          <w:rFonts w:hint="eastAsia" w:cs="宋体"/>
          <w:color w:val="000000"/>
          <w:sz w:val="24"/>
          <w:szCs w:val="24"/>
          <w:u w:val="single"/>
        </w:rPr>
        <w:t>）</w:t>
      </w:r>
      <w:r>
        <w:rPr>
          <w:rFonts w:hint="eastAsia" w:cs="宋体"/>
          <w:color w:val="000000"/>
          <w:sz w:val="24"/>
          <w:szCs w:val="24"/>
          <w:u w:val="single"/>
          <w:lang w:val="en-US" w:eastAsia="zh-CN"/>
        </w:rPr>
        <w:t xml:space="preserve">             </w:t>
      </w:r>
      <w:r>
        <w:rPr>
          <w:rFonts w:hint="eastAsia" w:cs="宋体"/>
          <w:color w:val="000000"/>
          <w:sz w:val="24"/>
          <w:szCs w:val="24"/>
          <w:u w:val="single"/>
          <w:lang w:eastAsia="zh-CN"/>
        </w:rPr>
        <w:t>。</w:t>
      </w:r>
    </w:p>
    <w:p w14:paraId="0A347A90">
      <w:pPr>
        <w:spacing w:line="520" w:lineRule="exact"/>
        <w:rPr>
          <w:rFonts w:cs="宋体"/>
          <w:color w:val="000000"/>
          <w:sz w:val="24"/>
          <w:szCs w:val="24"/>
        </w:rPr>
      </w:pPr>
    </w:p>
    <w:p w14:paraId="769E0A47">
      <w:pPr>
        <w:spacing w:line="520" w:lineRule="exact"/>
        <w:ind w:firstLine="480"/>
        <w:jc w:val="left"/>
        <w:rPr>
          <w:rFonts w:cs="宋体"/>
          <w:color w:val="000000"/>
          <w:sz w:val="24"/>
          <w:szCs w:val="24"/>
        </w:rPr>
      </w:pPr>
      <w:r>
        <w:rPr>
          <w:rFonts w:hint="eastAsia" w:cs="宋体"/>
          <w:color w:val="000000"/>
          <w:sz w:val="24"/>
          <w:szCs w:val="24"/>
        </w:rPr>
        <w:t>以上企业，不属于大企业的分支机构，不存在控股股东为大企业的情形，也不存在与大企业的负责人为同一人的情形。</w:t>
      </w:r>
    </w:p>
    <w:p w14:paraId="11206D92">
      <w:pPr>
        <w:spacing w:line="520" w:lineRule="exact"/>
        <w:ind w:firstLine="480"/>
        <w:jc w:val="left"/>
        <w:rPr>
          <w:rFonts w:cs="宋体"/>
          <w:color w:val="000000"/>
          <w:sz w:val="24"/>
          <w:szCs w:val="24"/>
        </w:rPr>
      </w:pPr>
      <w:r>
        <w:rPr>
          <w:rFonts w:hint="eastAsia" w:cs="宋体"/>
          <w:color w:val="000000"/>
          <w:sz w:val="24"/>
          <w:szCs w:val="24"/>
        </w:rPr>
        <w:t>本企业对上述声明内容的真实性负责。如有虚假，将依法承担相应责任</w:t>
      </w:r>
    </w:p>
    <w:p w14:paraId="4C4201C7">
      <w:pPr>
        <w:spacing w:line="520" w:lineRule="exact"/>
        <w:ind w:right="180" w:firstLine="360"/>
        <w:jc w:val="center"/>
        <w:rPr>
          <w:rFonts w:cs="宋体"/>
          <w:sz w:val="24"/>
          <w:szCs w:val="24"/>
        </w:rPr>
      </w:pPr>
      <w:r>
        <w:rPr>
          <w:rFonts w:hint="eastAsia" w:cs="宋体"/>
          <w:color w:val="000000"/>
          <w:sz w:val="24"/>
          <w:szCs w:val="24"/>
        </w:rPr>
        <w:t xml:space="preserve">                                              企业名称（加盖CA电子公章）：</w:t>
      </w:r>
    </w:p>
    <w:p w14:paraId="00E331D4">
      <w:pPr>
        <w:spacing w:line="520" w:lineRule="exact"/>
        <w:ind w:right="480" w:firstLine="6000"/>
        <w:rPr>
          <w:rFonts w:cs="宋体"/>
          <w:sz w:val="24"/>
          <w:szCs w:val="24"/>
        </w:rPr>
      </w:pPr>
      <w:r>
        <w:rPr>
          <w:rFonts w:hint="eastAsia" w:cs="宋体"/>
          <w:color w:val="000000"/>
          <w:sz w:val="24"/>
          <w:szCs w:val="24"/>
        </w:rPr>
        <w:t>日    期：</w:t>
      </w:r>
    </w:p>
    <w:p w14:paraId="1443E6D3">
      <w:pPr>
        <w:spacing w:line="440" w:lineRule="exact"/>
        <w:rPr>
          <w:b/>
          <w:bCs/>
          <w:sz w:val="24"/>
          <w:szCs w:val="24"/>
        </w:rPr>
      </w:pPr>
      <w:r>
        <w:rPr>
          <w:rFonts w:hint="eastAsia"/>
          <w:b/>
          <w:bCs/>
          <w:sz w:val="24"/>
          <w:szCs w:val="24"/>
        </w:rPr>
        <w:t>注：（1）从业人员、营业收入、资产总额填报上一年度数据，无上一年度数据的新成立企业可不填报。</w:t>
      </w:r>
    </w:p>
    <w:p w14:paraId="6590D5EF">
      <w:pPr>
        <w:spacing w:line="440" w:lineRule="exact"/>
        <w:ind w:firstLine="482"/>
        <w:jc w:val="left"/>
        <w:rPr>
          <w:b/>
          <w:bCs/>
          <w:sz w:val="24"/>
          <w:szCs w:val="24"/>
        </w:rPr>
      </w:pPr>
      <w:r>
        <w:rPr>
          <w:rFonts w:hint="eastAsia"/>
          <w:b/>
          <w:bCs/>
          <w:sz w:val="24"/>
          <w:szCs w:val="24"/>
        </w:rPr>
        <w:t>（</w:t>
      </w:r>
      <w:r>
        <w:rPr>
          <w:b/>
          <w:bCs/>
          <w:sz w:val="24"/>
          <w:szCs w:val="24"/>
        </w:rPr>
        <w:t>2</w:t>
      </w:r>
      <w:r>
        <w:rPr>
          <w:rFonts w:hint="eastAsia"/>
          <w:b/>
          <w:bCs/>
          <w:sz w:val="24"/>
          <w:szCs w:val="24"/>
        </w:rPr>
        <w:t>）本项目所属行业为：其他未列明行业。</w:t>
      </w:r>
    </w:p>
    <w:p w14:paraId="17AD4D39">
      <w:pPr>
        <w:spacing w:line="440" w:lineRule="exact"/>
        <w:ind w:firstLine="482"/>
        <w:rPr>
          <w:b/>
          <w:bCs/>
          <w:sz w:val="24"/>
          <w:szCs w:val="24"/>
        </w:rPr>
      </w:pPr>
      <w:r>
        <w:rPr>
          <w:b/>
          <w:bCs/>
          <w:sz w:val="24"/>
          <w:szCs w:val="24"/>
        </w:rPr>
        <w:t>（3）上述</w:t>
      </w:r>
      <w:r>
        <w:rPr>
          <w:rFonts w:hint="eastAsia"/>
          <w:b/>
          <w:bCs/>
          <w:sz w:val="24"/>
          <w:szCs w:val="24"/>
        </w:rPr>
        <w:t>“</w:t>
      </w:r>
      <w:r>
        <w:rPr>
          <w:b/>
          <w:bCs/>
          <w:sz w:val="24"/>
          <w:szCs w:val="24"/>
        </w:rPr>
        <w:t>中小企业声明函</w:t>
      </w:r>
      <w:r>
        <w:rPr>
          <w:rFonts w:hint="eastAsia"/>
          <w:b/>
          <w:bCs/>
          <w:sz w:val="24"/>
          <w:szCs w:val="24"/>
        </w:rPr>
        <w:t>”</w:t>
      </w:r>
      <w:r>
        <w:rPr>
          <w:b/>
          <w:bCs/>
          <w:sz w:val="24"/>
          <w:szCs w:val="24"/>
        </w:rPr>
        <w:t>格式原则上不得改动，因擅自改动引起的评审风险由</w:t>
      </w:r>
      <w:r>
        <w:rPr>
          <w:rFonts w:hint="eastAsia"/>
          <w:b/>
          <w:bCs/>
          <w:sz w:val="24"/>
          <w:szCs w:val="24"/>
        </w:rPr>
        <w:t>供应商</w:t>
      </w:r>
      <w:r>
        <w:rPr>
          <w:b/>
          <w:bCs/>
          <w:sz w:val="24"/>
          <w:szCs w:val="24"/>
        </w:rPr>
        <w:t>自行承担。如</w:t>
      </w:r>
      <w:r>
        <w:rPr>
          <w:rFonts w:hint="eastAsia"/>
          <w:b/>
          <w:bCs/>
          <w:sz w:val="24"/>
          <w:szCs w:val="24"/>
        </w:rPr>
        <w:t>供应商</w:t>
      </w:r>
      <w:r>
        <w:rPr>
          <w:b/>
          <w:bCs/>
          <w:sz w:val="24"/>
          <w:szCs w:val="24"/>
        </w:rPr>
        <w:t>提供其它小微企业制造的货物时，不需要相关制造商另外提供声明函。</w:t>
      </w:r>
    </w:p>
    <w:p w14:paraId="7EF70405">
      <w:pPr>
        <w:spacing w:line="440" w:lineRule="exact"/>
        <w:ind w:firstLine="482"/>
        <w:rPr>
          <w:b/>
          <w:bCs/>
          <w:sz w:val="24"/>
          <w:szCs w:val="24"/>
        </w:rPr>
      </w:pPr>
      <w:r>
        <w:rPr>
          <w:rFonts w:hint="eastAsia"/>
          <w:b/>
          <w:bCs/>
          <w:sz w:val="24"/>
          <w:szCs w:val="24"/>
        </w:rPr>
        <w:t>（4）如未对上述声明函内（中型企业、小型企业、微型企业）进行勾选或明确，引起的评审风险由供应商自行承担。</w:t>
      </w:r>
    </w:p>
    <w:p w14:paraId="40F178EE">
      <w:pPr>
        <w:ind w:firstLine="480"/>
        <w:rPr>
          <w:rFonts w:cs="宋体"/>
          <w:sz w:val="24"/>
          <w:szCs w:val="24"/>
        </w:rPr>
      </w:pPr>
    </w:p>
    <w:p w14:paraId="661A4957">
      <w:pPr>
        <w:pStyle w:val="5"/>
        <w:spacing w:line="440" w:lineRule="exact"/>
        <w:rPr>
          <w:rFonts w:cs="宋体"/>
          <w:sz w:val="24"/>
          <w:szCs w:val="24"/>
        </w:rPr>
      </w:pPr>
      <w:r>
        <w:rPr>
          <w:sz w:val="24"/>
          <w:szCs w:val="24"/>
        </w:rPr>
        <w:br w:type="page" w:clear="all"/>
      </w:r>
      <w:bookmarkStart w:id="103" w:name="_Toc11556"/>
      <w:bookmarkStart w:id="104" w:name="_Toc159312668"/>
      <w:r>
        <w:rPr>
          <w:rFonts w:hint="eastAsia"/>
          <w:sz w:val="24"/>
          <w:szCs w:val="24"/>
        </w:rPr>
        <w:t>附件10 残疾人福利性单位声明函</w:t>
      </w:r>
      <w:bookmarkEnd w:id="103"/>
      <w:bookmarkEnd w:id="104"/>
    </w:p>
    <w:p w14:paraId="67EB2B8F">
      <w:pPr>
        <w:spacing w:line="588" w:lineRule="exact"/>
        <w:ind w:firstLine="480"/>
        <w:rPr>
          <w:color w:val="000000"/>
          <w:sz w:val="24"/>
          <w:szCs w:val="21"/>
        </w:rPr>
      </w:pPr>
      <w:r>
        <w:rPr>
          <w:rFonts w:hint="eastAsia"/>
          <w:color w:val="000000"/>
          <w:sz w:val="24"/>
          <w:szCs w:val="21"/>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color w:val="000000"/>
          <w:sz w:val="24"/>
          <w:szCs w:val="21"/>
          <w:u w:val="single"/>
        </w:rPr>
        <w:t xml:space="preserve">       </w:t>
      </w:r>
      <w:r>
        <w:rPr>
          <w:rFonts w:hint="eastAsia"/>
          <w:color w:val="000000"/>
          <w:sz w:val="24"/>
          <w:szCs w:val="21"/>
        </w:rPr>
        <w:t>项目采购活动提供本单位制造的货物</w:t>
      </w:r>
      <w:r>
        <w:rPr>
          <w:spacing w:val="6"/>
          <w:sz w:val="24"/>
          <w:szCs w:val="24"/>
        </w:rPr>
        <w:t>（由本单位承担工程/提供服务）</w:t>
      </w:r>
      <w:r>
        <w:rPr>
          <w:rFonts w:hint="eastAsia"/>
          <w:color w:val="000000"/>
          <w:sz w:val="24"/>
          <w:szCs w:val="21"/>
        </w:rPr>
        <w:t>，或者提供其他残疾人福利性单位制造的货物（不包括使用非残疾人福利性单位注册商标的货物）。</w:t>
      </w:r>
    </w:p>
    <w:p w14:paraId="77F3B956">
      <w:pPr>
        <w:spacing w:line="588" w:lineRule="exact"/>
        <w:ind w:firstLine="480"/>
        <w:rPr>
          <w:color w:val="000000"/>
          <w:sz w:val="24"/>
          <w:szCs w:val="21"/>
        </w:rPr>
      </w:pPr>
      <w:r>
        <w:rPr>
          <w:rFonts w:hint="eastAsia"/>
          <w:color w:val="000000"/>
          <w:sz w:val="24"/>
          <w:szCs w:val="21"/>
        </w:rPr>
        <w:t>本单位对上述声明的真实性负责。如有虚假，将依法承担相应责任。</w:t>
      </w:r>
    </w:p>
    <w:p w14:paraId="5E2D8BF8">
      <w:pPr>
        <w:spacing w:line="588" w:lineRule="exact"/>
        <w:ind w:firstLine="480"/>
        <w:rPr>
          <w:color w:val="000000"/>
          <w:sz w:val="24"/>
          <w:szCs w:val="21"/>
        </w:rPr>
      </w:pPr>
    </w:p>
    <w:p w14:paraId="4E418FF3">
      <w:pPr>
        <w:spacing w:line="588" w:lineRule="exact"/>
        <w:ind w:firstLine="480"/>
        <w:rPr>
          <w:color w:val="000000"/>
          <w:sz w:val="24"/>
          <w:szCs w:val="21"/>
        </w:rPr>
      </w:pPr>
      <w:r>
        <w:rPr>
          <w:rFonts w:hint="eastAsia"/>
          <w:color w:val="000000"/>
          <w:sz w:val="24"/>
          <w:szCs w:val="21"/>
        </w:rPr>
        <w:t>（备注：1、供应商如不提供此声明函，价格将不做相应扣除。2、中标供应商为残疾人福利单位的，此声明函将随成交结果同时公告，接受社会监督）</w:t>
      </w:r>
    </w:p>
    <w:p w14:paraId="57962A18">
      <w:pPr>
        <w:spacing w:line="588" w:lineRule="exact"/>
        <w:ind w:firstLine="624"/>
        <w:rPr>
          <w:rFonts w:ascii="仿宋_GB2312" w:eastAsia="仿宋_GB2312"/>
          <w:color w:val="000000"/>
          <w:spacing w:val="6"/>
          <w:sz w:val="30"/>
          <w:szCs w:val="30"/>
        </w:rPr>
      </w:pPr>
    </w:p>
    <w:p w14:paraId="730BA6F7">
      <w:pPr>
        <w:tabs>
          <w:tab w:val="left" w:pos="4860"/>
        </w:tabs>
        <w:spacing w:line="588" w:lineRule="exact"/>
        <w:ind w:right="1560" w:firstLine="624"/>
        <w:jc w:val="center"/>
        <w:rPr>
          <w:color w:val="000000"/>
          <w:sz w:val="24"/>
          <w:szCs w:val="21"/>
        </w:rPr>
      </w:pPr>
      <w:r>
        <w:rPr>
          <w:rFonts w:hint="eastAsia" w:ascii="仿宋_GB2312" w:eastAsia="仿宋_GB2312"/>
          <w:color w:val="000000"/>
          <w:spacing w:val="6"/>
          <w:sz w:val="30"/>
          <w:szCs w:val="30"/>
        </w:rPr>
        <w:t xml:space="preserve">             </w:t>
      </w:r>
      <w:r>
        <w:rPr>
          <w:rFonts w:hint="eastAsia"/>
          <w:color w:val="000000"/>
          <w:sz w:val="24"/>
          <w:szCs w:val="21"/>
        </w:rPr>
        <w:t xml:space="preserve">          供应商全称（加盖CA电子公章）：</w:t>
      </w:r>
    </w:p>
    <w:p w14:paraId="552D6626">
      <w:pPr>
        <w:tabs>
          <w:tab w:val="left" w:pos="4860"/>
        </w:tabs>
        <w:spacing w:line="588" w:lineRule="exact"/>
        <w:ind w:right="1560" w:firstLine="480"/>
        <w:jc w:val="center"/>
        <w:rPr>
          <w:color w:val="000000"/>
          <w:sz w:val="24"/>
          <w:szCs w:val="21"/>
        </w:rPr>
      </w:pPr>
      <w:r>
        <w:rPr>
          <w:rFonts w:hint="eastAsia"/>
          <w:color w:val="000000"/>
          <w:sz w:val="24"/>
          <w:szCs w:val="21"/>
        </w:rPr>
        <w:t xml:space="preserve">        日  期：</w:t>
      </w:r>
    </w:p>
    <w:p w14:paraId="7F38D1B8">
      <w:pPr>
        <w:pStyle w:val="5"/>
        <w:spacing w:line="440" w:lineRule="exact"/>
        <w:rPr>
          <w:rFonts w:ascii="黑体" w:hAnsi="黑体" w:eastAsia="黑体"/>
          <w:b w:val="0"/>
          <w:color w:val="000000"/>
          <w:sz w:val="32"/>
          <w:szCs w:val="32"/>
        </w:rPr>
      </w:pPr>
      <w:r>
        <w:rPr>
          <w:sz w:val="24"/>
          <w:szCs w:val="24"/>
        </w:rPr>
        <w:br w:type="page" w:clear="all"/>
      </w:r>
      <w:bookmarkStart w:id="105" w:name="_Toc159312669"/>
      <w:bookmarkStart w:id="106" w:name="_Toc15956"/>
      <w:bookmarkStart w:id="107" w:name="_Toc514153165"/>
      <w:bookmarkStart w:id="108" w:name="_Toc103080658"/>
      <w:bookmarkStart w:id="109" w:name="_Toc315868069"/>
      <w:bookmarkStart w:id="110" w:name="_Toc414881345"/>
      <w:bookmarkStart w:id="111" w:name="_Toc315875332"/>
      <w:bookmarkStart w:id="112" w:name="_Toc345248156"/>
      <w:bookmarkStart w:id="113" w:name="_Toc341427247"/>
      <w:bookmarkStart w:id="114" w:name="_Toc447796829"/>
      <w:r>
        <w:rPr>
          <w:rFonts w:hint="eastAsia"/>
          <w:sz w:val="24"/>
          <w:szCs w:val="24"/>
        </w:rPr>
        <w:t>附件11 实质性要求响应及偏离表</w:t>
      </w:r>
      <w:bookmarkEnd w:id="105"/>
      <w:bookmarkEnd w:id="106"/>
    </w:p>
    <w:tbl>
      <w:tblPr>
        <w:tblStyle w:val="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4692"/>
        <w:gridCol w:w="2234"/>
        <w:gridCol w:w="1526"/>
      </w:tblGrid>
      <w:tr w14:paraId="44D28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14:paraId="43CD2A3D">
            <w:pPr>
              <w:spacing w:line="400" w:lineRule="exact"/>
              <w:jc w:val="center"/>
              <w:rPr>
                <w:sz w:val="24"/>
                <w:szCs w:val="24"/>
              </w:rPr>
            </w:pPr>
            <w:r>
              <w:rPr>
                <w:rFonts w:hint="eastAsia"/>
                <w:sz w:val="24"/>
                <w:szCs w:val="24"/>
              </w:rPr>
              <w:t>序号</w:t>
            </w:r>
          </w:p>
        </w:tc>
        <w:tc>
          <w:tcPr>
            <w:tcW w:w="4692" w:type="dxa"/>
            <w:vAlign w:val="center"/>
          </w:tcPr>
          <w:p w14:paraId="65EB42C9">
            <w:pPr>
              <w:spacing w:line="400" w:lineRule="exact"/>
              <w:jc w:val="center"/>
              <w:rPr>
                <w:sz w:val="24"/>
                <w:szCs w:val="24"/>
              </w:rPr>
            </w:pPr>
            <w:r>
              <w:rPr>
                <w:rFonts w:hint="eastAsia"/>
                <w:sz w:val="24"/>
                <w:szCs w:val="24"/>
              </w:rPr>
              <w:t>技术</w:t>
            </w:r>
            <w:r>
              <w:rPr>
                <w:sz w:val="24"/>
                <w:szCs w:val="24"/>
              </w:rPr>
              <w:t>要求和商务要求中的实质性要求</w:t>
            </w:r>
          </w:p>
        </w:tc>
        <w:tc>
          <w:tcPr>
            <w:tcW w:w="2234" w:type="dxa"/>
            <w:vAlign w:val="center"/>
          </w:tcPr>
          <w:p w14:paraId="3661379E">
            <w:pPr>
              <w:spacing w:line="400" w:lineRule="exact"/>
              <w:jc w:val="center"/>
              <w:rPr>
                <w:sz w:val="24"/>
                <w:szCs w:val="24"/>
              </w:rPr>
            </w:pPr>
            <w:r>
              <w:rPr>
                <w:rFonts w:hint="eastAsia"/>
                <w:sz w:val="24"/>
                <w:szCs w:val="24"/>
              </w:rPr>
              <w:t>投标响应情况</w:t>
            </w:r>
          </w:p>
        </w:tc>
        <w:tc>
          <w:tcPr>
            <w:tcW w:w="1526" w:type="dxa"/>
            <w:vAlign w:val="center"/>
          </w:tcPr>
          <w:p w14:paraId="5EB7BDC7">
            <w:pPr>
              <w:spacing w:line="400" w:lineRule="exact"/>
              <w:jc w:val="center"/>
              <w:rPr>
                <w:sz w:val="24"/>
                <w:szCs w:val="24"/>
              </w:rPr>
            </w:pPr>
            <w:r>
              <w:rPr>
                <w:rFonts w:hint="eastAsia"/>
                <w:sz w:val="24"/>
                <w:szCs w:val="24"/>
              </w:rPr>
              <w:t>超出、符合或偏离</w:t>
            </w:r>
          </w:p>
        </w:tc>
      </w:tr>
      <w:tr w14:paraId="07DE9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vAlign w:val="center"/>
          </w:tcPr>
          <w:p w14:paraId="66CB0085">
            <w:pPr>
              <w:spacing w:line="400" w:lineRule="exact"/>
              <w:jc w:val="center"/>
              <w:rPr>
                <w:sz w:val="24"/>
                <w:szCs w:val="24"/>
              </w:rPr>
            </w:pPr>
            <w:r>
              <w:rPr>
                <w:rFonts w:hint="eastAsia"/>
                <w:sz w:val="24"/>
                <w:szCs w:val="24"/>
              </w:rPr>
              <w:t>1</w:t>
            </w:r>
          </w:p>
        </w:tc>
        <w:tc>
          <w:tcPr>
            <w:tcW w:w="4692" w:type="dxa"/>
          </w:tcPr>
          <w:p w14:paraId="7A420648">
            <w:pPr>
              <w:spacing w:line="440" w:lineRule="exact"/>
              <w:ind w:right="216"/>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rPr>
              <w:t>★</w:t>
            </w:r>
            <w:r>
              <w:rPr>
                <w:rFonts w:hint="eastAsia" w:ascii="宋体" w:hAnsi="宋体" w:cs="宋体"/>
                <w:b/>
                <w:bCs/>
                <w:sz w:val="24"/>
                <w:szCs w:val="24"/>
                <w:highlight w:val="none"/>
                <w:lang w:val="en-US" w:eastAsia="zh-CN"/>
              </w:rPr>
              <w:t>5</w:t>
            </w:r>
            <w:r>
              <w:rPr>
                <w:rFonts w:hint="eastAsia" w:ascii="宋体" w:hAnsi="宋体" w:cs="宋体"/>
                <w:b/>
                <w:bCs/>
                <w:sz w:val="24"/>
                <w:szCs w:val="24"/>
                <w:highlight w:val="none"/>
              </w:rPr>
              <w:t>、付款方式：</w:t>
            </w:r>
          </w:p>
          <w:p w14:paraId="3D09C73F">
            <w:pPr>
              <w:spacing w:line="440" w:lineRule="exact"/>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.1自合同签订后</w:t>
            </w:r>
            <w:r>
              <w:rPr>
                <w:rFonts w:hint="eastAsia"/>
                <w:b w:val="0"/>
                <w:bCs w:val="0"/>
                <w:sz w:val="24"/>
                <w:szCs w:val="24"/>
                <w:highlight w:val="none"/>
                <w:lang w:val="en-US" w:eastAsia="zh-CN"/>
              </w:rPr>
              <w:t>一个月内</w:t>
            </w:r>
            <w:r>
              <w:rPr>
                <w:rFonts w:hint="eastAsia"/>
                <w:b w:val="0"/>
                <w:bCs w:val="0"/>
                <w:sz w:val="24"/>
                <w:szCs w:val="24"/>
                <w:highlight w:val="none"/>
              </w:rPr>
              <w:t>，采购人向成交供应商支付合同价的10%作为预付款</w:t>
            </w:r>
            <w:r>
              <w:rPr>
                <w:rFonts w:hint="eastAsia"/>
                <w:b w:val="0"/>
                <w:bCs w:val="0"/>
                <w:sz w:val="24"/>
                <w:szCs w:val="24"/>
                <w:highlight w:val="none"/>
                <w:lang w:eastAsia="zh-CN"/>
              </w:rPr>
              <w:t>。</w:t>
            </w:r>
          </w:p>
          <w:p w14:paraId="2EC3B109">
            <w:pPr>
              <w:spacing w:line="440" w:lineRule="exact"/>
              <w:rPr>
                <w:rFonts w:hint="eastAsia" w:eastAsia="宋体"/>
                <w:b w:val="0"/>
                <w:bCs w:val="0"/>
                <w:sz w:val="24"/>
                <w:szCs w:val="24"/>
                <w:highlight w:val="none"/>
                <w:lang w:eastAsia="zh-CN"/>
              </w:rPr>
            </w:pPr>
            <w:r>
              <w:rPr>
                <w:rFonts w:hint="eastAsia"/>
                <w:b w:val="0"/>
                <w:bCs w:val="0"/>
                <w:sz w:val="24"/>
                <w:szCs w:val="24"/>
                <w:highlight w:val="none"/>
                <w:lang w:val="en-US" w:eastAsia="zh-CN"/>
              </w:rPr>
              <w:t>5</w:t>
            </w:r>
            <w:r>
              <w:rPr>
                <w:rFonts w:hint="eastAsia"/>
                <w:b w:val="0"/>
                <w:bCs w:val="0"/>
                <w:sz w:val="24"/>
                <w:szCs w:val="24"/>
                <w:highlight w:val="none"/>
              </w:rPr>
              <w:t>.2项目通过验收后</w:t>
            </w:r>
            <w:r>
              <w:rPr>
                <w:rFonts w:hint="eastAsia"/>
                <w:b w:val="0"/>
                <w:bCs w:val="0"/>
                <w:sz w:val="24"/>
                <w:szCs w:val="24"/>
                <w:highlight w:val="none"/>
                <w:lang w:val="en-US" w:eastAsia="zh-CN"/>
              </w:rPr>
              <w:t>的一个月内，</w:t>
            </w:r>
            <w:r>
              <w:rPr>
                <w:rFonts w:hint="eastAsia"/>
                <w:b w:val="0"/>
                <w:bCs w:val="0"/>
                <w:sz w:val="24"/>
                <w:szCs w:val="24"/>
                <w:highlight w:val="none"/>
              </w:rPr>
              <w:t>采购人向成交供应商支付合同价的</w:t>
            </w:r>
            <w:r>
              <w:rPr>
                <w:rFonts w:hint="eastAsia"/>
                <w:b w:val="0"/>
                <w:bCs w:val="0"/>
                <w:sz w:val="24"/>
                <w:szCs w:val="24"/>
                <w:highlight w:val="none"/>
                <w:lang w:val="en-US" w:eastAsia="zh-CN"/>
              </w:rPr>
              <w:t>80</w:t>
            </w:r>
            <w:r>
              <w:rPr>
                <w:rFonts w:hint="eastAsia"/>
                <w:b w:val="0"/>
                <w:bCs w:val="0"/>
                <w:sz w:val="24"/>
                <w:szCs w:val="24"/>
                <w:highlight w:val="none"/>
              </w:rPr>
              <w:t>%</w:t>
            </w:r>
            <w:r>
              <w:rPr>
                <w:rFonts w:hint="eastAsia"/>
                <w:b w:val="0"/>
                <w:bCs w:val="0"/>
                <w:sz w:val="24"/>
                <w:szCs w:val="24"/>
                <w:highlight w:val="none"/>
                <w:lang w:eastAsia="zh-CN"/>
              </w:rPr>
              <w:t>。</w:t>
            </w:r>
          </w:p>
          <w:p w14:paraId="517F3D02">
            <w:pPr>
              <w:spacing w:line="440" w:lineRule="exact"/>
              <w:rPr>
                <w:rFonts w:hint="default" w:eastAsia="宋体"/>
                <w:b w:val="0"/>
                <w:bCs w:val="0"/>
                <w:sz w:val="24"/>
                <w:szCs w:val="24"/>
                <w:highlight w:val="none"/>
                <w:lang w:val="en-US" w:eastAsia="zh-CN"/>
              </w:rPr>
            </w:pPr>
            <w:r>
              <w:rPr>
                <w:rFonts w:hint="eastAsia"/>
                <w:b w:val="0"/>
                <w:bCs w:val="0"/>
                <w:sz w:val="24"/>
                <w:szCs w:val="24"/>
                <w:highlight w:val="none"/>
                <w:lang w:val="en-US" w:eastAsia="zh-CN"/>
              </w:rPr>
              <w:t>5</w:t>
            </w:r>
            <w:r>
              <w:rPr>
                <w:rFonts w:hint="eastAsia"/>
                <w:b w:val="0"/>
                <w:bCs w:val="0"/>
                <w:sz w:val="24"/>
                <w:szCs w:val="24"/>
                <w:highlight w:val="none"/>
              </w:rPr>
              <w:t>.3项目验收</w:t>
            </w:r>
            <w:r>
              <w:rPr>
                <w:rFonts w:hint="eastAsia"/>
                <w:b w:val="0"/>
                <w:bCs w:val="0"/>
                <w:sz w:val="24"/>
                <w:szCs w:val="24"/>
                <w:highlight w:val="none"/>
                <w:lang w:val="en-US" w:eastAsia="zh-CN"/>
              </w:rPr>
              <w:t>合格</w:t>
            </w:r>
            <w:r>
              <w:rPr>
                <w:rFonts w:hint="eastAsia"/>
                <w:b w:val="0"/>
                <w:bCs w:val="0"/>
                <w:sz w:val="24"/>
                <w:szCs w:val="24"/>
                <w:highlight w:val="none"/>
              </w:rPr>
              <w:t>后</w:t>
            </w:r>
            <w:r>
              <w:rPr>
                <w:rFonts w:hint="eastAsia"/>
                <w:b w:val="0"/>
                <w:bCs w:val="0"/>
                <w:sz w:val="24"/>
                <w:szCs w:val="24"/>
                <w:highlight w:val="none"/>
                <w:lang w:val="en-US" w:eastAsia="zh-CN"/>
              </w:rPr>
              <w:t>的一个年内</w:t>
            </w:r>
            <w:r>
              <w:rPr>
                <w:rFonts w:hint="eastAsia"/>
                <w:b w:val="0"/>
                <w:bCs w:val="0"/>
                <w:sz w:val="24"/>
                <w:szCs w:val="24"/>
                <w:highlight w:val="none"/>
              </w:rPr>
              <w:t>，采购人向成交供应商支付</w:t>
            </w:r>
            <w:r>
              <w:rPr>
                <w:rFonts w:hint="eastAsia"/>
                <w:b w:val="0"/>
                <w:bCs w:val="0"/>
                <w:sz w:val="24"/>
                <w:szCs w:val="24"/>
                <w:highlight w:val="none"/>
                <w:lang w:val="en-US" w:eastAsia="zh-CN"/>
              </w:rPr>
              <w:t>剩余款项。</w:t>
            </w:r>
          </w:p>
          <w:p w14:paraId="7846DBF3">
            <w:pPr>
              <w:spacing w:line="440" w:lineRule="exact"/>
              <w:rPr>
                <w:b/>
                <w:bCs/>
                <w:sz w:val="24"/>
                <w:szCs w:val="24"/>
              </w:rPr>
            </w:pPr>
            <w:r>
              <w:rPr>
                <w:rFonts w:hint="eastAsia"/>
                <w:b/>
                <w:bCs/>
                <w:sz w:val="24"/>
                <w:szCs w:val="24"/>
                <w:highlight w:val="none"/>
              </w:rPr>
              <w:t>注：1)支付方式包括但不限于数字人民币、现金、支票、汇票</w:t>
            </w:r>
            <w:r>
              <w:rPr>
                <w:rFonts w:hint="eastAsia"/>
                <w:b/>
                <w:bCs/>
                <w:sz w:val="24"/>
                <w:szCs w:val="24"/>
              </w:rPr>
              <w:t>等。</w:t>
            </w:r>
          </w:p>
          <w:p w14:paraId="503ED961">
            <w:pPr>
              <w:numPr>
                <w:ilvl w:val="0"/>
                <w:numId w:val="0"/>
              </w:numPr>
              <w:spacing w:line="440" w:lineRule="exact"/>
              <w:rPr>
                <w:b/>
                <w:bCs/>
                <w:sz w:val="24"/>
                <w:szCs w:val="24"/>
              </w:rPr>
            </w:pPr>
            <w:r>
              <w:rPr>
                <w:rFonts w:ascii="Times New Roman" w:hAnsi="Times New Roman" w:eastAsia="宋体" w:cs="Times New Roman"/>
                <w:b/>
                <w:bCs/>
                <w:sz w:val="24"/>
                <w:szCs w:val="24"/>
                <w:lang w:val="en-US" w:eastAsia="zh-CN" w:bidi="ar-SA"/>
              </w:rPr>
              <w:t>2）</w:t>
            </w:r>
            <w:r>
              <w:rPr>
                <w:rFonts w:hint="eastAsia"/>
                <w:b/>
                <w:bCs/>
                <w:sz w:val="24"/>
                <w:szCs w:val="24"/>
              </w:rPr>
              <w:t>签订合同时，成交供应商明确表示无需预付款的，可不执行</w:t>
            </w:r>
            <w:r>
              <w:rPr>
                <w:rFonts w:hint="eastAsia"/>
                <w:b/>
                <w:bCs/>
                <w:sz w:val="24"/>
                <w:szCs w:val="24"/>
                <w:lang w:val="en-US" w:eastAsia="zh-CN"/>
              </w:rPr>
              <w:t>5.1</w:t>
            </w:r>
            <w:r>
              <w:rPr>
                <w:rFonts w:hint="eastAsia"/>
                <w:b/>
                <w:bCs/>
                <w:sz w:val="24"/>
                <w:szCs w:val="24"/>
              </w:rPr>
              <w:t>预付款。以上每次付款前成交供应商均应提供符合采购人要求的同等金额的合法有效发票。否则，采购人有权顺延付款时间且不承担任何违约或赔偿责任。</w:t>
            </w:r>
          </w:p>
        </w:tc>
        <w:tc>
          <w:tcPr>
            <w:tcW w:w="2234" w:type="dxa"/>
          </w:tcPr>
          <w:p w14:paraId="4FCD7C5A">
            <w:pPr>
              <w:spacing w:line="400" w:lineRule="exact"/>
              <w:jc w:val="center"/>
              <w:rPr>
                <w:sz w:val="24"/>
                <w:szCs w:val="24"/>
              </w:rPr>
            </w:pPr>
          </w:p>
        </w:tc>
        <w:tc>
          <w:tcPr>
            <w:tcW w:w="1526" w:type="dxa"/>
          </w:tcPr>
          <w:p w14:paraId="42BADDD7">
            <w:pPr>
              <w:spacing w:line="400" w:lineRule="exact"/>
              <w:jc w:val="center"/>
              <w:rPr>
                <w:sz w:val="24"/>
                <w:szCs w:val="24"/>
              </w:rPr>
            </w:pPr>
          </w:p>
        </w:tc>
      </w:tr>
    </w:tbl>
    <w:p w14:paraId="082961CA">
      <w:pPr>
        <w:spacing w:line="400" w:lineRule="exact"/>
        <w:rPr>
          <w:sz w:val="24"/>
          <w:szCs w:val="24"/>
        </w:rPr>
      </w:pPr>
      <w:r>
        <w:rPr>
          <w:rFonts w:hint="eastAsia"/>
          <w:sz w:val="24"/>
          <w:szCs w:val="24"/>
        </w:rPr>
        <w:t>备注</w:t>
      </w:r>
      <w:r>
        <w:rPr>
          <w:sz w:val="24"/>
          <w:szCs w:val="24"/>
        </w:rPr>
        <w:t>：</w:t>
      </w:r>
    </w:p>
    <w:p w14:paraId="07F012F5">
      <w:pPr>
        <w:spacing w:line="400" w:lineRule="exact"/>
        <w:rPr>
          <w:sz w:val="24"/>
          <w:szCs w:val="24"/>
        </w:rPr>
      </w:pPr>
      <w:r>
        <w:rPr>
          <w:rFonts w:hint="eastAsia"/>
          <w:sz w:val="24"/>
          <w:szCs w:val="24"/>
        </w:rPr>
        <w:t>1.供应商必须</w:t>
      </w:r>
      <w:r>
        <w:rPr>
          <w:sz w:val="24"/>
          <w:szCs w:val="24"/>
        </w:rPr>
        <w:t>对</w:t>
      </w:r>
      <w:r>
        <w:rPr>
          <w:rFonts w:hint="eastAsia"/>
          <w:sz w:val="24"/>
          <w:szCs w:val="24"/>
        </w:rPr>
        <w:t>服务要求</w:t>
      </w:r>
      <w:r>
        <w:rPr>
          <w:sz w:val="24"/>
          <w:szCs w:val="24"/>
        </w:rPr>
        <w:t>和商务要求中的实质性要求逐条做出明确响应</w:t>
      </w:r>
      <w:r>
        <w:rPr>
          <w:rFonts w:hint="eastAsia"/>
          <w:sz w:val="24"/>
          <w:szCs w:val="24"/>
        </w:rPr>
        <w:t>，</w:t>
      </w:r>
      <w:r>
        <w:rPr>
          <w:rFonts w:hint="eastAsia"/>
          <w:sz w:val="24"/>
        </w:rPr>
        <w:t>否则作无效响应处理</w:t>
      </w:r>
      <w:r>
        <w:rPr>
          <w:sz w:val="24"/>
        </w:rPr>
        <w:t>。</w:t>
      </w:r>
    </w:p>
    <w:p w14:paraId="7BD9BF44">
      <w:pPr>
        <w:spacing w:line="400" w:lineRule="exact"/>
        <w:rPr>
          <w:sz w:val="24"/>
          <w:szCs w:val="24"/>
        </w:rPr>
      </w:pPr>
      <w:r>
        <w:rPr>
          <w:rFonts w:hint="eastAsia"/>
          <w:sz w:val="24"/>
          <w:szCs w:val="24"/>
        </w:rPr>
        <w:t>2.如果磋商</w:t>
      </w:r>
      <w:r>
        <w:rPr>
          <w:sz w:val="24"/>
          <w:szCs w:val="24"/>
        </w:rPr>
        <w:t>文件要求提供</w:t>
      </w:r>
      <w:r>
        <w:rPr>
          <w:rFonts w:hint="eastAsia"/>
          <w:sz w:val="24"/>
          <w:szCs w:val="24"/>
        </w:rPr>
        <w:t>证明</w:t>
      </w:r>
      <w:r>
        <w:rPr>
          <w:sz w:val="24"/>
          <w:szCs w:val="24"/>
        </w:rPr>
        <w:t>材料，</w:t>
      </w:r>
      <w:r>
        <w:rPr>
          <w:rFonts w:hint="eastAsia"/>
          <w:sz w:val="24"/>
          <w:szCs w:val="24"/>
        </w:rPr>
        <w:t>供应商必须</w:t>
      </w:r>
      <w:r>
        <w:rPr>
          <w:sz w:val="24"/>
          <w:szCs w:val="24"/>
        </w:rPr>
        <w:t>将证明材料</w:t>
      </w:r>
      <w:r>
        <w:rPr>
          <w:rFonts w:hint="eastAsia"/>
          <w:sz w:val="24"/>
          <w:szCs w:val="24"/>
        </w:rPr>
        <w:t>列于</w:t>
      </w:r>
      <w:r>
        <w:rPr>
          <w:sz w:val="24"/>
          <w:szCs w:val="24"/>
        </w:rPr>
        <w:t>该表之下。</w:t>
      </w:r>
    </w:p>
    <w:p w14:paraId="79494532">
      <w:pPr>
        <w:spacing w:line="400" w:lineRule="exact"/>
        <w:rPr>
          <w:sz w:val="24"/>
          <w:szCs w:val="24"/>
        </w:rPr>
      </w:pPr>
      <w:r>
        <w:rPr>
          <w:rFonts w:hint="eastAsia"/>
          <w:sz w:val="24"/>
          <w:szCs w:val="24"/>
        </w:rPr>
        <w:t>3.供应商未对实质性要求逐条作出明确响应的，或未按磋商文件要求提供证明材料的，该项目作无效响应处理。</w:t>
      </w:r>
      <w:bookmarkEnd w:id="107"/>
      <w:bookmarkEnd w:id="108"/>
    </w:p>
    <w:p w14:paraId="3AD26CF0">
      <w:pPr>
        <w:pStyle w:val="5"/>
        <w:spacing w:line="440" w:lineRule="exact"/>
        <w:rPr>
          <w:sz w:val="24"/>
          <w:szCs w:val="24"/>
        </w:rPr>
      </w:pPr>
      <w:r>
        <w:rPr>
          <w:rFonts w:hint="eastAsia"/>
          <w:b w:val="0"/>
          <w:sz w:val="24"/>
          <w:szCs w:val="24"/>
        </w:rPr>
        <w:br w:type="page" w:clear="all"/>
      </w:r>
      <w:bookmarkStart w:id="115" w:name="_Toc15434"/>
      <w:bookmarkStart w:id="116" w:name="_Toc159312670"/>
      <w:r>
        <w:rPr>
          <w:rFonts w:hint="eastAsia"/>
          <w:sz w:val="24"/>
          <w:szCs w:val="24"/>
        </w:rPr>
        <w:t>附件12</w:t>
      </w:r>
      <w:r>
        <w:rPr>
          <w:sz w:val="24"/>
          <w:szCs w:val="24"/>
        </w:rPr>
        <w:t xml:space="preserve"> </w:t>
      </w:r>
      <w:r>
        <w:rPr>
          <w:rFonts w:hint="eastAsia"/>
          <w:sz w:val="24"/>
          <w:szCs w:val="24"/>
        </w:rPr>
        <w:t>项目实施方案</w:t>
      </w:r>
      <w:bookmarkEnd w:id="115"/>
      <w:bookmarkEnd w:id="116"/>
    </w:p>
    <w:p w14:paraId="7EA240A3">
      <w:pPr>
        <w:spacing w:line="500" w:lineRule="exact"/>
        <w:rPr>
          <w:sz w:val="24"/>
          <w:szCs w:val="24"/>
        </w:rPr>
      </w:pPr>
      <w:r>
        <w:rPr>
          <w:rFonts w:hint="eastAsia"/>
          <w:sz w:val="24"/>
          <w:szCs w:val="24"/>
        </w:rPr>
        <w:t>主要内容应包括但不限于以下方面：</w:t>
      </w:r>
    </w:p>
    <w:p w14:paraId="0830479A">
      <w:pPr>
        <w:ind w:firstLine="240" w:firstLineChars="100"/>
        <w:rPr>
          <w:rFonts w:hint="eastAsia"/>
          <w:sz w:val="24"/>
          <w:szCs w:val="24"/>
        </w:rPr>
      </w:pPr>
    </w:p>
    <w:p w14:paraId="4AA167DE">
      <w:pPr>
        <w:ind w:firstLine="240" w:firstLineChars="100"/>
      </w:pPr>
      <w:r>
        <w:rPr>
          <w:rFonts w:hint="eastAsia"/>
          <w:sz w:val="24"/>
          <w:szCs w:val="24"/>
        </w:rPr>
        <w:t>按照“第五章</w:t>
      </w:r>
      <w:r>
        <w:rPr>
          <w:sz w:val="24"/>
          <w:szCs w:val="24"/>
        </w:rPr>
        <w:t xml:space="preserve">  </w:t>
      </w:r>
      <w:r>
        <w:rPr>
          <w:rFonts w:hint="eastAsia"/>
          <w:sz w:val="24"/>
          <w:szCs w:val="24"/>
        </w:rPr>
        <w:t xml:space="preserve"> 评审方法与评审标准”提供方案</w:t>
      </w:r>
    </w:p>
    <w:p w14:paraId="7F17FFA4">
      <w:pPr>
        <w:pStyle w:val="5"/>
        <w:spacing w:line="440" w:lineRule="exact"/>
        <w:rPr>
          <w:sz w:val="24"/>
          <w:szCs w:val="24"/>
        </w:rPr>
      </w:pPr>
      <w:r>
        <w:rPr>
          <w:sz w:val="24"/>
          <w:szCs w:val="24"/>
        </w:rPr>
        <w:br w:type="page" w:clear="all"/>
      </w:r>
      <w:bookmarkEnd w:id="109"/>
      <w:bookmarkEnd w:id="110"/>
      <w:bookmarkEnd w:id="111"/>
      <w:bookmarkEnd w:id="112"/>
      <w:bookmarkEnd w:id="113"/>
      <w:bookmarkEnd w:id="114"/>
      <w:bookmarkStart w:id="117" w:name="_Toc103080659"/>
      <w:bookmarkStart w:id="118" w:name="_Toc159312671"/>
      <w:bookmarkStart w:id="119" w:name="_Toc29197"/>
      <w:r>
        <w:rPr>
          <w:rFonts w:hint="eastAsia"/>
          <w:sz w:val="24"/>
          <w:szCs w:val="24"/>
        </w:rPr>
        <w:t>附件13 项目组人员一览表</w:t>
      </w:r>
      <w:bookmarkEnd w:id="117"/>
      <w:bookmarkEnd w:id="118"/>
      <w:bookmarkEnd w:id="119"/>
    </w:p>
    <w:tbl>
      <w:tblPr>
        <w:tblStyle w:val="55"/>
        <w:tblW w:w="0" w:type="auto"/>
        <w:tblInd w:w="1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843"/>
        <w:gridCol w:w="662"/>
        <w:gridCol w:w="1155"/>
        <w:gridCol w:w="1900"/>
        <w:gridCol w:w="3228"/>
      </w:tblGrid>
      <w:tr w14:paraId="57122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vAlign w:val="center"/>
          </w:tcPr>
          <w:p w14:paraId="263BE6ED">
            <w:pPr>
              <w:topLinePunct/>
              <w:spacing w:before="4"/>
              <w:jc w:val="center"/>
              <w:rPr>
                <w:rFonts w:ascii="宋体" w:hAnsi="宋体" w:cs="宋体"/>
                <w:b/>
                <w:bCs/>
                <w:sz w:val="24"/>
                <w:szCs w:val="24"/>
              </w:rPr>
            </w:pPr>
            <w:r>
              <w:rPr>
                <w:rFonts w:hint="eastAsia" w:ascii="宋体" w:hAnsi="宋体" w:cs="宋体"/>
                <w:b/>
                <w:bCs/>
                <w:sz w:val="24"/>
                <w:szCs w:val="24"/>
              </w:rPr>
              <w:t>序号</w:t>
            </w:r>
          </w:p>
        </w:tc>
        <w:tc>
          <w:tcPr>
            <w:tcW w:w="1843" w:type="dxa"/>
            <w:vAlign w:val="center"/>
          </w:tcPr>
          <w:p w14:paraId="55FD287B">
            <w:pPr>
              <w:topLinePunct/>
              <w:spacing w:before="4"/>
              <w:jc w:val="center"/>
              <w:rPr>
                <w:rFonts w:ascii="宋体" w:hAnsi="宋体" w:cs="宋体"/>
                <w:b/>
                <w:bCs/>
                <w:sz w:val="24"/>
                <w:szCs w:val="24"/>
              </w:rPr>
            </w:pPr>
            <w:r>
              <w:rPr>
                <w:rFonts w:hint="eastAsia" w:ascii="宋体" w:hAnsi="宋体" w:cs="宋体"/>
                <w:b/>
                <w:bCs/>
                <w:sz w:val="24"/>
                <w:szCs w:val="24"/>
              </w:rPr>
              <w:t>在本项目中担任的职务</w:t>
            </w:r>
          </w:p>
        </w:tc>
        <w:tc>
          <w:tcPr>
            <w:tcW w:w="662" w:type="dxa"/>
            <w:vAlign w:val="center"/>
          </w:tcPr>
          <w:p w14:paraId="636A0F02">
            <w:pPr>
              <w:topLinePunct/>
              <w:spacing w:before="4"/>
              <w:jc w:val="center"/>
              <w:rPr>
                <w:rFonts w:ascii="宋体" w:hAnsi="宋体" w:cs="宋体"/>
                <w:b/>
                <w:bCs/>
                <w:sz w:val="24"/>
                <w:szCs w:val="24"/>
              </w:rPr>
            </w:pPr>
            <w:r>
              <w:rPr>
                <w:rFonts w:hint="eastAsia" w:ascii="宋体" w:hAnsi="宋体" w:cs="宋体"/>
                <w:b/>
                <w:bCs/>
                <w:sz w:val="24"/>
                <w:szCs w:val="24"/>
              </w:rPr>
              <w:t>姓名</w:t>
            </w:r>
          </w:p>
        </w:tc>
        <w:tc>
          <w:tcPr>
            <w:tcW w:w="1155" w:type="dxa"/>
            <w:vAlign w:val="center"/>
          </w:tcPr>
          <w:p w14:paraId="1A739BEE">
            <w:pPr>
              <w:topLinePunct/>
              <w:spacing w:before="4"/>
              <w:jc w:val="center"/>
              <w:rPr>
                <w:rFonts w:ascii="宋体" w:hAnsi="宋体" w:cs="宋体"/>
                <w:b/>
                <w:bCs/>
                <w:sz w:val="24"/>
                <w:szCs w:val="24"/>
              </w:rPr>
            </w:pPr>
            <w:r>
              <w:rPr>
                <w:rFonts w:hint="eastAsia" w:ascii="宋体" w:hAnsi="宋体" w:cs="宋体"/>
                <w:b/>
                <w:bCs/>
                <w:sz w:val="24"/>
                <w:szCs w:val="24"/>
              </w:rPr>
              <w:t>职称/资格认证</w:t>
            </w:r>
          </w:p>
        </w:tc>
        <w:tc>
          <w:tcPr>
            <w:tcW w:w="1900" w:type="dxa"/>
            <w:vAlign w:val="center"/>
          </w:tcPr>
          <w:p w14:paraId="5F1FBF05">
            <w:pPr>
              <w:topLinePunct/>
              <w:spacing w:before="4"/>
              <w:jc w:val="center"/>
              <w:rPr>
                <w:rFonts w:ascii="宋体" w:hAnsi="宋体" w:cs="宋体"/>
                <w:b/>
                <w:bCs/>
                <w:sz w:val="24"/>
                <w:szCs w:val="24"/>
              </w:rPr>
            </w:pPr>
            <w:r>
              <w:rPr>
                <w:rFonts w:hint="eastAsia" w:ascii="宋体" w:hAnsi="宋体" w:cs="宋体"/>
                <w:b/>
                <w:bCs/>
                <w:sz w:val="24"/>
                <w:szCs w:val="24"/>
              </w:rPr>
              <w:t>身份证号码</w:t>
            </w:r>
          </w:p>
        </w:tc>
        <w:tc>
          <w:tcPr>
            <w:tcW w:w="3228" w:type="dxa"/>
            <w:vAlign w:val="center"/>
          </w:tcPr>
          <w:p w14:paraId="28A44912">
            <w:pPr>
              <w:topLinePunct/>
              <w:spacing w:before="4"/>
              <w:jc w:val="center"/>
              <w:rPr>
                <w:rFonts w:ascii="宋体" w:hAnsi="宋体" w:cs="宋体"/>
                <w:b/>
                <w:bCs/>
                <w:sz w:val="24"/>
                <w:szCs w:val="24"/>
              </w:rPr>
            </w:pPr>
            <w:r>
              <w:rPr>
                <w:rFonts w:hint="eastAsia" w:ascii="宋体" w:hAnsi="宋体" w:cs="宋体"/>
                <w:b/>
                <w:bCs/>
                <w:sz w:val="24"/>
                <w:szCs w:val="24"/>
              </w:rPr>
              <w:t>主要资历、经验</w:t>
            </w:r>
          </w:p>
          <w:p w14:paraId="2A74274C">
            <w:pPr>
              <w:topLinePunct/>
              <w:spacing w:before="4"/>
              <w:jc w:val="center"/>
              <w:rPr>
                <w:rFonts w:ascii="宋体" w:hAnsi="宋体" w:cs="宋体"/>
                <w:b/>
                <w:bCs/>
                <w:sz w:val="24"/>
                <w:szCs w:val="24"/>
              </w:rPr>
            </w:pPr>
            <w:r>
              <w:rPr>
                <w:rFonts w:hint="eastAsia" w:ascii="宋体" w:hAnsi="宋体" w:cs="宋体"/>
                <w:b/>
                <w:bCs/>
                <w:sz w:val="24"/>
                <w:szCs w:val="24"/>
              </w:rPr>
              <w:t>及承担过的项目</w:t>
            </w:r>
          </w:p>
        </w:tc>
      </w:tr>
      <w:tr w14:paraId="2963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7" w:hRule="atLeast"/>
        </w:trPr>
        <w:tc>
          <w:tcPr>
            <w:tcW w:w="709" w:type="dxa"/>
            <w:vAlign w:val="center"/>
          </w:tcPr>
          <w:p w14:paraId="41871D50">
            <w:pPr>
              <w:topLinePunct/>
              <w:spacing w:before="4"/>
              <w:jc w:val="center"/>
              <w:rPr>
                <w:rFonts w:ascii="宋体" w:hAnsi="宋体" w:cs="宋体"/>
                <w:sz w:val="24"/>
                <w:szCs w:val="24"/>
              </w:rPr>
            </w:pPr>
            <w:r>
              <w:rPr>
                <w:rFonts w:hint="eastAsia" w:ascii="宋体" w:hAnsi="宋体" w:cs="宋体"/>
                <w:sz w:val="24"/>
                <w:szCs w:val="24"/>
              </w:rPr>
              <w:t>1</w:t>
            </w:r>
          </w:p>
        </w:tc>
        <w:tc>
          <w:tcPr>
            <w:tcW w:w="1843" w:type="dxa"/>
            <w:vAlign w:val="center"/>
          </w:tcPr>
          <w:p w14:paraId="3CA452E8">
            <w:pPr>
              <w:topLinePunct/>
              <w:spacing w:before="4"/>
              <w:jc w:val="center"/>
              <w:rPr>
                <w:rFonts w:ascii="宋体" w:hAnsi="宋体" w:cs="宋体"/>
                <w:sz w:val="24"/>
                <w:szCs w:val="24"/>
              </w:rPr>
            </w:pPr>
            <w:r>
              <w:rPr>
                <w:rFonts w:hint="eastAsia" w:ascii="宋体" w:hAnsi="宋体" w:cs="宋体"/>
                <w:sz w:val="24"/>
                <w:szCs w:val="24"/>
              </w:rPr>
              <w:t>项目负责人</w:t>
            </w:r>
          </w:p>
        </w:tc>
        <w:tc>
          <w:tcPr>
            <w:tcW w:w="662" w:type="dxa"/>
            <w:vAlign w:val="center"/>
          </w:tcPr>
          <w:p w14:paraId="2757AF0E">
            <w:pPr>
              <w:topLinePunct/>
              <w:spacing w:before="4"/>
              <w:jc w:val="center"/>
              <w:rPr>
                <w:rFonts w:ascii="宋体" w:hAnsi="宋体" w:cs="宋体"/>
                <w:sz w:val="24"/>
                <w:szCs w:val="24"/>
              </w:rPr>
            </w:pPr>
          </w:p>
        </w:tc>
        <w:tc>
          <w:tcPr>
            <w:tcW w:w="1155" w:type="dxa"/>
            <w:vAlign w:val="center"/>
          </w:tcPr>
          <w:p w14:paraId="0E9E0A81">
            <w:pPr>
              <w:topLinePunct/>
              <w:spacing w:before="4"/>
              <w:jc w:val="center"/>
              <w:rPr>
                <w:rFonts w:ascii="宋体" w:hAnsi="宋体" w:cs="宋体"/>
                <w:sz w:val="24"/>
                <w:szCs w:val="24"/>
              </w:rPr>
            </w:pPr>
          </w:p>
        </w:tc>
        <w:tc>
          <w:tcPr>
            <w:tcW w:w="1900" w:type="dxa"/>
            <w:vAlign w:val="center"/>
          </w:tcPr>
          <w:p w14:paraId="54296208">
            <w:pPr>
              <w:topLinePunct/>
              <w:spacing w:before="4"/>
              <w:jc w:val="center"/>
              <w:rPr>
                <w:rFonts w:ascii="宋体" w:hAnsi="宋体" w:cs="宋体"/>
                <w:sz w:val="24"/>
                <w:szCs w:val="24"/>
              </w:rPr>
            </w:pPr>
          </w:p>
        </w:tc>
        <w:tc>
          <w:tcPr>
            <w:tcW w:w="3228" w:type="dxa"/>
            <w:vAlign w:val="center"/>
          </w:tcPr>
          <w:p w14:paraId="322CB2AE">
            <w:pPr>
              <w:topLinePunct/>
              <w:spacing w:before="4"/>
              <w:jc w:val="center"/>
              <w:rPr>
                <w:rFonts w:ascii="宋体" w:hAnsi="宋体" w:cs="宋体"/>
                <w:sz w:val="24"/>
                <w:szCs w:val="24"/>
              </w:rPr>
            </w:pPr>
          </w:p>
        </w:tc>
      </w:tr>
      <w:tr w14:paraId="56995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atLeast"/>
        </w:trPr>
        <w:tc>
          <w:tcPr>
            <w:tcW w:w="709" w:type="dxa"/>
            <w:vMerge w:val="restart"/>
            <w:vAlign w:val="center"/>
          </w:tcPr>
          <w:p w14:paraId="688CFA96">
            <w:pPr>
              <w:topLinePunct/>
              <w:spacing w:before="4"/>
              <w:jc w:val="center"/>
              <w:rPr>
                <w:rFonts w:ascii="宋体" w:hAnsi="宋体" w:cs="宋体"/>
                <w:sz w:val="24"/>
                <w:szCs w:val="24"/>
              </w:rPr>
            </w:pPr>
            <w:r>
              <w:rPr>
                <w:rFonts w:hint="eastAsia" w:ascii="宋体" w:hAnsi="宋体" w:cs="宋体"/>
                <w:sz w:val="24"/>
                <w:szCs w:val="24"/>
              </w:rPr>
              <w:t>2</w:t>
            </w:r>
          </w:p>
        </w:tc>
        <w:tc>
          <w:tcPr>
            <w:tcW w:w="1843" w:type="dxa"/>
            <w:vMerge w:val="restart"/>
            <w:vAlign w:val="center"/>
          </w:tcPr>
          <w:p w14:paraId="20E78B19">
            <w:pPr>
              <w:topLinePunct/>
              <w:spacing w:before="4"/>
              <w:jc w:val="center"/>
              <w:rPr>
                <w:rFonts w:ascii="宋体" w:hAnsi="宋体" w:cs="宋体"/>
                <w:sz w:val="24"/>
                <w:szCs w:val="24"/>
              </w:rPr>
            </w:pPr>
            <w:r>
              <w:rPr>
                <w:rFonts w:hint="eastAsia" w:ascii="宋体" w:hAnsi="宋体" w:cs="宋体"/>
                <w:sz w:val="24"/>
                <w:szCs w:val="24"/>
              </w:rPr>
              <w:t>……</w:t>
            </w:r>
          </w:p>
        </w:tc>
        <w:tc>
          <w:tcPr>
            <w:tcW w:w="662" w:type="dxa"/>
            <w:vAlign w:val="center"/>
          </w:tcPr>
          <w:p w14:paraId="78A34D42">
            <w:pPr>
              <w:topLinePunct/>
              <w:spacing w:before="4"/>
              <w:jc w:val="center"/>
              <w:rPr>
                <w:rFonts w:ascii="宋体" w:hAnsi="宋体" w:cs="宋体"/>
                <w:sz w:val="24"/>
                <w:szCs w:val="24"/>
              </w:rPr>
            </w:pPr>
          </w:p>
        </w:tc>
        <w:tc>
          <w:tcPr>
            <w:tcW w:w="1155" w:type="dxa"/>
            <w:vAlign w:val="center"/>
          </w:tcPr>
          <w:p w14:paraId="0D7059B0">
            <w:pPr>
              <w:topLinePunct/>
              <w:spacing w:before="4"/>
              <w:jc w:val="center"/>
              <w:rPr>
                <w:rFonts w:ascii="宋体" w:hAnsi="宋体" w:cs="宋体"/>
                <w:sz w:val="24"/>
                <w:szCs w:val="24"/>
              </w:rPr>
            </w:pPr>
          </w:p>
        </w:tc>
        <w:tc>
          <w:tcPr>
            <w:tcW w:w="1900" w:type="dxa"/>
            <w:vAlign w:val="center"/>
          </w:tcPr>
          <w:p w14:paraId="7B41E54E">
            <w:pPr>
              <w:topLinePunct/>
              <w:spacing w:before="4"/>
              <w:jc w:val="center"/>
              <w:rPr>
                <w:rFonts w:ascii="宋体" w:hAnsi="宋体" w:cs="宋体"/>
                <w:sz w:val="24"/>
                <w:szCs w:val="24"/>
              </w:rPr>
            </w:pPr>
          </w:p>
        </w:tc>
        <w:tc>
          <w:tcPr>
            <w:tcW w:w="3228" w:type="dxa"/>
            <w:vAlign w:val="center"/>
          </w:tcPr>
          <w:p w14:paraId="4781B3FD">
            <w:pPr>
              <w:topLinePunct/>
              <w:spacing w:before="4"/>
              <w:jc w:val="center"/>
              <w:rPr>
                <w:rFonts w:ascii="宋体" w:hAnsi="宋体" w:cs="宋体"/>
                <w:sz w:val="24"/>
                <w:szCs w:val="24"/>
              </w:rPr>
            </w:pPr>
          </w:p>
        </w:tc>
      </w:tr>
      <w:tr w14:paraId="717C72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4" w:hRule="atLeast"/>
        </w:trPr>
        <w:tc>
          <w:tcPr>
            <w:tcW w:w="709" w:type="dxa"/>
            <w:vMerge w:val="continue"/>
            <w:vAlign w:val="center"/>
          </w:tcPr>
          <w:p w14:paraId="6EC915FA">
            <w:pPr>
              <w:topLinePunct/>
              <w:spacing w:before="4"/>
              <w:jc w:val="center"/>
              <w:rPr>
                <w:rFonts w:ascii="宋体" w:hAnsi="宋体" w:cs="宋体"/>
                <w:sz w:val="24"/>
                <w:szCs w:val="24"/>
              </w:rPr>
            </w:pPr>
          </w:p>
        </w:tc>
        <w:tc>
          <w:tcPr>
            <w:tcW w:w="1843" w:type="dxa"/>
            <w:vMerge w:val="continue"/>
            <w:vAlign w:val="center"/>
          </w:tcPr>
          <w:p w14:paraId="79106B81">
            <w:pPr>
              <w:topLinePunct/>
              <w:spacing w:before="4"/>
              <w:jc w:val="center"/>
              <w:rPr>
                <w:rFonts w:ascii="宋体" w:hAnsi="宋体" w:cs="宋体"/>
                <w:sz w:val="24"/>
                <w:szCs w:val="24"/>
              </w:rPr>
            </w:pPr>
          </w:p>
        </w:tc>
        <w:tc>
          <w:tcPr>
            <w:tcW w:w="662" w:type="dxa"/>
            <w:vAlign w:val="center"/>
          </w:tcPr>
          <w:p w14:paraId="45B3A58F">
            <w:pPr>
              <w:topLinePunct/>
              <w:spacing w:before="4"/>
              <w:jc w:val="center"/>
              <w:rPr>
                <w:rFonts w:ascii="宋体" w:hAnsi="宋体" w:cs="宋体"/>
                <w:sz w:val="24"/>
                <w:szCs w:val="24"/>
              </w:rPr>
            </w:pPr>
          </w:p>
        </w:tc>
        <w:tc>
          <w:tcPr>
            <w:tcW w:w="1155" w:type="dxa"/>
            <w:vAlign w:val="center"/>
          </w:tcPr>
          <w:p w14:paraId="0B1E52D9">
            <w:pPr>
              <w:topLinePunct/>
              <w:spacing w:before="4"/>
              <w:jc w:val="center"/>
              <w:rPr>
                <w:rFonts w:ascii="宋体" w:hAnsi="宋体" w:cs="宋体"/>
                <w:sz w:val="24"/>
                <w:szCs w:val="24"/>
              </w:rPr>
            </w:pPr>
          </w:p>
        </w:tc>
        <w:tc>
          <w:tcPr>
            <w:tcW w:w="1900" w:type="dxa"/>
            <w:vAlign w:val="center"/>
          </w:tcPr>
          <w:p w14:paraId="23F2F008">
            <w:pPr>
              <w:topLinePunct/>
              <w:spacing w:before="4"/>
              <w:jc w:val="center"/>
              <w:rPr>
                <w:rFonts w:ascii="宋体" w:hAnsi="宋体" w:cs="宋体"/>
                <w:sz w:val="24"/>
                <w:szCs w:val="24"/>
              </w:rPr>
            </w:pPr>
          </w:p>
        </w:tc>
        <w:tc>
          <w:tcPr>
            <w:tcW w:w="3228" w:type="dxa"/>
            <w:vAlign w:val="center"/>
          </w:tcPr>
          <w:p w14:paraId="5BA22742">
            <w:pPr>
              <w:topLinePunct/>
              <w:spacing w:before="4"/>
              <w:jc w:val="center"/>
              <w:rPr>
                <w:rFonts w:ascii="宋体" w:hAnsi="宋体" w:cs="宋体"/>
                <w:sz w:val="24"/>
                <w:szCs w:val="24"/>
              </w:rPr>
            </w:pPr>
          </w:p>
        </w:tc>
      </w:tr>
      <w:tr w14:paraId="48F77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1" w:hRule="atLeast"/>
        </w:trPr>
        <w:tc>
          <w:tcPr>
            <w:tcW w:w="709" w:type="dxa"/>
            <w:vMerge w:val="restart"/>
            <w:vAlign w:val="center"/>
          </w:tcPr>
          <w:p w14:paraId="04548658">
            <w:pPr>
              <w:topLinePunct/>
              <w:spacing w:before="4"/>
              <w:jc w:val="center"/>
              <w:rPr>
                <w:rFonts w:ascii="宋体" w:hAnsi="宋体" w:cs="宋体"/>
                <w:sz w:val="24"/>
                <w:szCs w:val="24"/>
              </w:rPr>
            </w:pPr>
            <w:r>
              <w:rPr>
                <w:rFonts w:hint="eastAsia" w:ascii="宋体" w:hAnsi="宋体" w:cs="宋体"/>
                <w:sz w:val="24"/>
                <w:szCs w:val="24"/>
              </w:rPr>
              <w:t>3</w:t>
            </w:r>
          </w:p>
        </w:tc>
        <w:tc>
          <w:tcPr>
            <w:tcW w:w="1843" w:type="dxa"/>
            <w:vMerge w:val="restart"/>
            <w:vAlign w:val="center"/>
          </w:tcPr>
          <w:p w14:paraId="35F0BCED">
            <w:pPr>
              <w:topLinePunct/>
              <w:spacing w:before="4"/>
              <w:jc w:val="center"/>
              <w:rPr>
                <w:rFonts w:ascii="宋体" w:hAnsi="宋体" w:cs="宋体"/>
                <w:sz w:val="24"/>
                <w:szCs w:val="24"/>
              </w:rPr>
            </w:pPr>
            <w:r>
              <w:rPr>
                <w:rFonts w:hint="eastAsia" w:ascii="宋体" w:hAnsi="宋体" w:cs="宋体"/>
                <w:sz w:val="24"/>
                <w:szCs w:val="24"/>
              </w:rPr>
              <w:t>……</w:t>
            </w:r>
          </w:p>
        </w:tc>
        <w:tc>
          <w:tcPr>
            <w:tcW w:w="662" w:type="dxa"/>
            <w:vAlign w:val="center"/>
          </w:tcPr>
          <w:p w14:paraId="46595AF1">
            <w:pPr>
              <w:topLinePunct/>
              <w:spacing w:before="4"/>
              <w:jc w:val="center"/>
              <w:rPr>
                <w:rFonts w:ascii="宋体" w:hAnsi="宋体" w:cs="宋体"/>
                <w:sz w:val="24"/>
                <w:szCs w:val="24"/>
              </w:rPr>
            </w:pPr>
          </w:p>
        </w:tc>
        <w:tc>
          <w:tcPr>
            <w:tcW w:w="1155" w:type="dxa"/>
            <w:vAlign w:val="center"/>
          </w:tcPr>
          <w:p w14:paraId="390C6189">
            <w:pPr>
              <w:topLinePunct/>
              <w:spacing w:before="4"/>
              <w:jc w:val="center"/>
              <w:rPr>
                <w:rFonts w:ascii="宋体" w:hAnsi="宋体" w:cs="宋体"/>
                <w:sz w:val="24"/>
                <w:szCs w:val="24"/>
              </w:rPr>
            </w:pPr>
          </w:p>
        </w:tc>
        <w:tc>
          <w:tcPr>
            <w:tcW w:w="1900" w:type="dxa"/>
            <w:vAlign w:val="center"/>
          </w:tcPr>
          <w:p w14:paraId="02011F8A">
            <w:pPr>
              <w:topLinePunct/>
              <w:spacing w:before="4"/>
              <w:jc w:val="center"/>
              <w:rPr>
                <w:rFonts w:ascii="宋体" w:hAnsi="宋体" w:cs="宋体"/>
                <w:sz w:val="24"/>
                <w:szCs w:val="24"/>
              </w:rPr>
            </w:pPr>
          </w:p>
        </w:tc>
        <w:tc>
          <w:tcPr>
            <w:tcW w:w="3228" w:type="dxa"/>
            <w:vAlign w:val="center"/>
          </w:tcPr>
          <w:p w14:paraId="5086C355">
            <w:pPr>
              <w:topLinePunct/>
              <w:spacing w:before="4"/>
              <w:jc w:val="center"/>
              <w:rPr>
                <w:rFonts w:ascii="宋体" w:hAnsi="宋体" w:cs="宋体"/>
                <w:sz w:val="24"/>
                <w:szCs w:val="24"/>
              </w:rPr>
            </w:pPr>
          </w:p>
        </w:tc>
      </w:tr>
      <w:tr w14:paraId="48619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5" w:hRule="atLeast"/>
        </w:trPr>
        <w:tc>
          <w:tcPr>
            <w:tcW w:w="709" w:type="dxa"/>
            <w:vMerge w:val="continue"/>
            <w:vAlign w:val="center"/>
          </w:tcPr>
          <w:p w14:paraId="59DBF53D">
            <w:pPr>
              <w:topLinePunct/>
              <w:spacing w:before="4"/>
              <w:jc w:val="center"/>
            </w:pPr>
          </w:p>
        </w:tc>
        <w:tc>
          <w:tcPr>
            <w:tcW w:w="1843" w:type="dxa"/>
            <w:vMerge w:val="continue"/>
            <w:vAlign w:val="center"/>
          </w:tcPr>
          <w:p w14:paraId="32DA0896">
            <w:pPr>
              <w:topLinePunct/>
              <w:spacing w:before="4"/>
              <w:jc w:val="center"/>
            </w:pPr>
          </w:p>
        </w:tc>
        <w:tc>
          <w:tcPr>
            <w:tcW w:w="662" w:type="dxa"/>
            <w:vAlign w:val="center"/>
          </w:tcPr>
          <w:p w14:paraId="0B4CE582">
            <w:pPr>
              <w:topLinePunct/>
              <w:spacing w:before="4"/>
              <w:jc w:val="center"/>
            </w:pPr>
          </w:p>
        </w:tc>
        <w:tc>
          <w:tcPr>
            <w:tcW w:w="1155" w:type="dxa"/>
            <w:vAlign w:val="center"/>
          </w:tcPr>
          <w:p w14:paraId="3BBC045A">
            <w:pPr>
              <w:topLinePunct/>
              <w:spacing w:before="4"/>
              <w:jc w:val="center"/>
            </w:pPr>
          </w:p>
        </w:tc>
        <w:tc>
          <w:tcPr>
            <w:tcW w:w="1900" w:type="dxa"/>
            <w:vAlign w:val="center"/>
          </w:tcPr>
          <w:p w14:paraId="1A004CCE">
            <w:pPr>
              <w:topLinePunct/>
              <w:spacing w:before="4"/>
              <w:jc w:val="center"/>
            </w:pPr>
          </w:p>
        </w:tc>
        <w:tc>
          <w:tcPr>
            <w:tcW w:w="3228" w:type="dxa"/>
            <w:vAlign w:val="center"/>
          </w:tcPr>
          <w:p w14:paraId="4C20DED7">
            <w:pPr>
              <w:topLinePunct/>
              <w:spacing w:before="4"/>
              <w:jc w:val="center"/>
            </w:pPr>
          </w:p>
        </w:tc>
      </w:tr>
    </w:tbl>
    <w:p w14:paraId="762E4AF2">
      <w:pPr>
        <w:spacing w:line="440" w:lineRule="exact"/>
        <w:rPr>
          <w:sz w:val="24"/>
          <w:szCs w:val="24"/>
        </w:rPr>
      </w:pPr>
      <w:r>
        <w:rPr>
          <w:rFonts w:hint="eastAsia"/>
          <w:sz w:val="24"/>
          <w:szCs w:val="24"/>
        </w:rPr>
        <w:t>注：1、供应商应将承担所投入的有关人员配备情况依次填报在上述表格中。</w:t>
      </w:r>
    </w:p>
    <w:p w14:paraId="58EE1E50">
      <w:pPr>
        <w:spacing w:line="460" w:lineRule="exact"/>
        <w:ind w:firstLine="480"/>
        <w:rPr>
          <w:b/>
          <w:sz w:val="24"/>
          <w:szCs w:val="24"/>
        </w:rPr>
      </w:pPr>
      <w:r>
        <w:rPr>
          <w:rFonts w:hint="eastAsia"/>
          <w:sz w:val="24"/>
          <w:szCs w:val="24"/>
        </w:rPr>
        <w:t>2、</w:t>
      </w:r>
      <w:r>
        <w:rPr>
          <w:rFonts w:hint="eastAsia" w:ascii="宋体" w:hAnsi="宋体" w:cs="宋体"/>
          <w:b/>
          <w:bCs/>
          <w:color w:val="000000"/>
          <w:sz w:val="24"/>
          <w:szCs w:val="24"/>
          <w:lang w:bidi="ar"/>
        </w:rPr>
        <w:t>响应文件中须按照“第五章   评审方法与评审标准”中要求提供相关证明材料</w:t>
      </w:r>
      <w:r>
        <w:rPr>
          <w:rFonts w:hint="eastAsia"/>
          <w:b/>
          <w:sz w:val="24"/>
          <w:szCs w:val="24"/>
        </w:rPr>
        <w:t>。</w:t>
      </w:r>
    </w:p>
    <w:p w14:paraId="65A09423">
      <w:pPr>
        <w:spacing w:line="440" w:lineRule="exact"/>
        <w:ind w:firstLine="480"/>
        <w:rPr>
          <w:bCs/>
          <w:sz w:val="24"/>
          <w:szCs w:val="24"/>
        </w:rPr>
      </w:pPr>
      <w:r>
        <w:rPr>
          <w:rFonts w:hint="eastAsia"/>
          <w:sz w:val="24"/>
          <w:szCs w:val="24"/>
        </w:rPr>
        <w:t>3、</w:t>
      </w:r>
      <w:r>
        <w:rPr>
          <w:rFonts w:hint="eastAsia"/>
          <w:bCs/>
          <w:sz w:val="24"/>
          <w:szCs w:val="24"/>
        </w:rPr>
        <w:t>因表述含糊导致的评标风险将由</w:t>
      </w:r>
      <w:r>
        <w:rPr>
          <w:rFonts w:hint="eastAsia"/>
          <w:sz w:val="24"/>
          <w:szCs w:val="24"/>
        </w:rPr>
        <w:t>供应商自行</w:t>
      </w:r>
      <w:r>
        <w:rPr>
          <w:rFonts w:hint="eastAsia"/>
          <w:bCs/>
          <w:sz w:val="24"/>
          <w:szCs w:val="24"/>
        </w:rPr>
        <w:t>承担。</w:t>
      </w:r>
    </w:p>
    <w:p w14:paraId="328D0E17">
      <w:pPr>
        <w:spacing w:line="440" w:lineRule="exact"/>
        <w:ind w:firstLine="480"/>
        <w:rPr>
          <w:bCs/>
          <w:sz w:val="24"/>
          <w:szCs w:val="24"/>
        </w:rPr>
      </w:pPr>
      <w:r>
        <w:rPr>
          <w:rFonts w:hint="eastAsia"/>
          <w:bCs/>
          <w:sz w:val="24"/>
          <w:szCs w:val="24"/>
        </w:rPr>
        <w:t>4、如有需要说明的事项，请在备注中列明。</w:t>
      </w:r>
    </w:p>
    <w:p w14:paraId="6916EED1">
      <w:pPr>
        <w:spacing w:line="360" w:lineRule="auto"/>
        <w:rPr>
          <w:bCs/>
        </w:rPr>
      </w:pPr>
      <w:r>
        <w:rPr>
          <w:rFonts w:hint="eastAsia"/>
          <w:bCs/>
        </w:rPr>
        <w:br w:type="page" w:clear="all"/>
      </w:r>
    </w:p>
    <w:p w14:paraId="2BA8CBEF">
      <w:pPr>
        <w:pStyle w:val="5"/>
        <w:spacing w:line="440" w:lineRule="exact"/>
        <w:rPr>
          <w:sz w:val="24"/>
          <w:szCs w:val="24"/>
        </w:rPr>
      </w:pPr>
      <w:bookmarkStart w:id="120" w:name="_Toc159312672"/>
      <w:bookmarkStart w:id="121" w:name="_Toc13632"/>
      <w:bookmarkStart w:id="122" w:name="_Toc21964"/>
      <w:bookmarkStart w:id="123" w:name="_Toc103080661"/>
      <w:bookmarkStart w:id="124" w:name="_Toc414881347"/>
      <w:bookmarkStart w:id="125" w:name="_Toc447796831"/>
      <w:bookmarkStart w:id="126" w:name="_Toc345248158"/>
      <w:bookmarkStart w:id="127" w:name="_Toc341427249"/>
      <w:r>
        <w:rPr>
          <w:rFonts w:hint="eastAsia"/>
          <w:sz w:val="24"/>
          <w:szCs w:val="24"/>
        </w:rPr>
        <w:t xml:space="preserve">附件14 </w:t>
      </w:r>
      <w:r>
        <w:rPr>
          <w:sz w:val="24"/>
          <w:szCs w:val="24"/>
        </w:rPr>
        <w:t>业绩一览表</w:t>
      </w:r>
      <w:bookmarkEnd w:id="120"/>
      <w:bookmarkEnd w:id="121"/>
      <w:bookmarkEnd w:id="122"/>
      <w:bookmarkEnd w:id="123"/>
    </w:p>
    <w:tbl>
      <w:tblPr>
        <w:tblStyle w:val="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5"/>
        <w:gridCol w:w="2400"/>
        <w:gridCol w:w="1500"/>
        <w:gridCol w:w="1798"/>
        <w:gridCol w:w="1735"/>
        <w:gridCol w:w="1116"/>
      </w:tblGrid>
      <w:tr w14:paraId="13011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55" w:type="dxa"/>
            <w:vAlign w:val="center"/>
          </w:tcPr>
          <w:p w14:paraId="683E6B8C">
            <w:pPr>
              <w:pStyle w:val="21"/>
              <w:jc w:val="center"/>
              <w:rPr>
                <w:rFonts w:ascii="Times New Roman" w:hAnsi="Times New Roman" w:eastAsia="宋体"/>
                <w:sz w:val="24"/>
              </w:rPr>
            </w:pPr>
            <w:r>
              <w:rPr>
                <w:rFonts w:ascii="Times New Roman" w:hAnsi="Times New Roman" w:eastAsia="宋体"/>
                <w:sz w:val="24"/>
              </w:rPr>
              <w:t>序号</w:t>
            </w:r>
          </w:p>
        </w:tc>
        <w:tc>
          <w:tcPr>
            <w:tcW w:w="2400" w:type="dxa"/>
            <w:vAlign w:val="center"/>
          </w:tcPr>
          <w:p w14:paraId="5F9BE99E">
            <w:pPr>
              <w:pStyle w:val="21"/>
              <w:jc w:val="center"/>
              <w:rPr>
                <w:rFonts w:ascii="Times New Roman" w:hAnsi="Times New Roman" w:eastAsia="宋体"/>
                <w:sz w:val="24"/>
              </w:rPr>
            </w:pPr>
            <w:r>
              <w:rPr>
                <w:rFonts w:ascii="Times New Roman" w:hAnsi="Times New Roman" w:eastAsia="宋体"/>
                <w:sz w:val="24"/>
              </w:rPr>
              <w:t>项目名称</w:t>
            </w:r>
          </w:p>
        </w:tc>
        <w:tc>
          <w:tcPr>
            <w:tcW w:w="1500" w:type="dxa"/>
            <w:vAlign w:val="center"/>
          </w:tcPr>
          <w:p w14:paraId="741EC172">
            <w:pPr>
              <w:pStyle w:val="21"/>
              <w:jc w:val="center"/>
              <w:rPr>
                <w:rFonts w:ascii="Times New Roman" w:hAnsi="Times New Roman" w:eastAsia="宋体"/>
                <w:sz w:val="24"/>
              </w:rPr>
            </w:pPr>
            <w:r>
              <w:rPr>
                <w:rFonts w:hint="eastAsia" w:ascii="Times New Roman" w:hAnsi="Times New Roman" w:eastAsia="宋体"/>
                <w:sz w:val="24"/>
              </w:rPr>
              <w:t>项目地址</w:t>
            </w:r>
          </w:p>
        </w:tc>
        <w:tc>
          <w:tcPr>
            <w:tcW w:w="1798" w:type="dxa"/>
            <w:vAlign w:val="center"/>
          </w:tcPr>
          <w:p w14:paraId="708C6090">
            <w:pPr>
              <w:pStyle w:val="21"/>
              <w:jc w:val="center"/>
              <w:rPr>
                <w:rFonts w:ascii="Times New Roman" w:hAnsi="Times New Roman" w:eastAsia="宋体"/>
                <w:sz w:val="24"/>
              </w:rPr>
            </w:pPr>
            <w:r>
              <w:rPr>
                <w:rFonts w:hint="eastAsia" w:ascii="Times New Roman" w:hAnsi="Times New Roman" w:eastAsia="宋体"/>
                <w:sz w:val="24"/>
              </w:rPr>
              <w:t>合同签订时间</w:t>
            </w:r>
          </w:p>
        </w:tc>
        <w:tc>
          <w:tcPr>
            <w:tcW w:w="1735" w:type="dxa"/>
            <w:vAlign w:val="center"/>
          </w:tcPr>
          <w:p w14:paraId="4548C393">
            <w:pPr>
              <w:pStyle w:val="21"/>
              <w:jc w:val="center"/>
              <w:rPr>
                <w:rFonts w:ascii="Times New Roman" w:hAnsi="Times New Roman" w:eastAsia="宋体"/>
                <w:sz w:val="24"/>
              </w:rPr>
            </w:pPr>
            <w:r>
              <w:rPr>
                <w:rFonts w:ascii="Times New Roman" w:hAnsi="Times New Roman" w:eastAsia="宋体"/>
                <w:sz w:val="24"/>
              </w:rPr>
              <w:t>业主联系人及联系电话</w:t>
            </w:r>
          </w:p>
        </w:tc>
        <w:tc>
          <w:tcPr>
            <w:tcW w:w="1116" w:type="dxa"/>
            <w:vAlign w:val="center"/>
          </w:tcPr>
          <w:p w14:paraId="1B2A2B1B">
            <w:pPr>
              <w:pStyle w:val="21"/>
              <w:jc w:val="center"/>
              <w:rPr>
                <w:rFonts w:ascii="Times New Roman" w:hAnsi="Times New Roman" w:eastAsia="宋体"/>
                <w:sz w:val="24"/>
              </w:rPr>
            </w:pPr>
            <w:r>
              <w:rPr>
                <w:rFonts w:ascii="Times New Roman" w:hAnsi="Times New Roman" w:eastAsia="宋体"/>
                <w:sz w:val="24"/>
              </w:rPr>
              <w:t>备  注</w:t>
            </w:r>
          </w:p>
        </w:tc>
      </w:tr>
      <w:tr w14:paraId="15685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vAlign w:val="center"/>
          </w:tcPr>
          <w:p w14:paraId="0A8810A5">
            <w:pPr>
              <w:pStyle w:val="21"/>
              <w:jc w:val="center"/>
              <w:rPr>
                <w:rFonts w:ascii="Times New Roman" w:hAnsi="Times New Roman" w:eastAsia="宋体"/>
                <w:sz w:val="24"/>
              </w:rPr>
            </w:pPr>
            <w:r>
              <w:rPr>
                <w:rFonts w:ascii="Times New Roman" w:hAnsi="Times New Roman" w:eastAsia="宋体"/>
                <w:sz w:val="24"/>
              </w:rPr>
              <w:t>1</w:t>
            </w:r>
          </w:p>
        </w:tc>
        <w:tc>
          <w:tcPr>
            <w:tcW w:w="2400" w:type="dxa"/>
            <w:vAlign w:val="center"/>
          </w:tcPr>
          <w:p w14:paraId="7FC4B82E">
            <w:pPr>
              <w:pStyle w:val="21"/>
              <w:jc w:val="center"/>
              <w:rPr>
                <w:rFonts w:ascii="Times New Roman" w:hAnsi="Times New Roman" w:eastAsia="宋体"/>
                <w:sz w:val="24"/>
              </w:rPr>
            </w:pPr>
          </w:p>
        </w:tc>
        <w:tc>
          <w:tcPr>
            <w:tcW w:w="1500" w:type="dxa"/>
            <w:vAlign w:val="center"/>
          </w:tcPr>
          <w:p w14:paraId="5BEFCA46">
            <w:pPr>
              <w:pStyle w:val="21"/>
              <w:jc w:val="center"/>
              <w:rPr>
                <w:rFonts w:ascii="Times New Roman" w:hAnsi="Times New Roman" w:eastAsia="宋体"/>
                <w:sz w:val="24"/>
              </w:rPr>
            </w:pPr>
          </w:p>
        </w:tc>
        <w:tc>
          <w:tcPr>
            <w:tcW w:w="1798" w:type="dxa"/>
            <w:vAlign w:val="center"/>
          </w:tcPr>
          <w:p w14:paraId="2E3DC6A6">
            <w:pPr>
              <w:pStyle w:val="21"/>
              <w:jc w:val="center"/>
              <w:rPr>
                <w:rFonts w:ascii="Times New Roman" w:hAnsi="Times New Roman" w:eastAsia="宋体"/>
                <w:sz w:val="24"/>
              </w:rPr>
            </w:pPr>
          </w:p>
        </w:tc>
        <w:tc>
          <w:tcPr>
            <w:tcW w:w="1735" w:type="dxa"/>
            <w:vAlign w:val="center"/>
          </w:tcPr>
          <w:p w14:paraId="09FF36DD">
            <w:pPr>
              <w:pStyle w:val="21"/>
              <w:jc w:val="center"/>
              <w:rPr>
                <w:rFonts w:ascii="Times New Roman" w:hAnsi="Times New Roman" w:eastAsia="宋体"/>
                <w:sz w:val="24"/>
              </w:rPr>
            </w:pPr>
          </w:p>
        </w:tc>
        <w:tc>
          <w:tcPr>
            <w:tcW w:w="1116" w:type="dxa"/>
            <w:vAlign w:val="center"/>
          </w:tcPr>
          <w:p w14:paraId="1DDA2296">
            <w:pPr>
              <w:pStyle w:val="21"/>
              <w:jc w:val="center"/>
              <w:rPr>
                <w:rFonts w:ascii="Times New Roman" w:hAnsi="Times New Roman" w:eastAsia="宋体"/>
                <w:sz w:val="24"/>
              </w:rPr>
            </w:pPr>
          </w:p>
        </w:tc>
      </w:tr>
      <w:tr w14:paraId="1011A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vAlign w:val="center"/>
          </w:tcPr>
          <w:p w14:paraId="3F5F13E3">
            <w:pPr>
              <w:pStyle w:val="21"/>
              <w:jc w:val="center"/>
              <w:rPr>
                <w:rFonts w:ascii="Times New Roman" w:hAnsi="Times New Roman" w:eastAsia="宋体"/>
                <w:sz w:val="24"/>
              </w:rPr>
            </w:pPr>
            <w:r>
              <w:rPr>
                <w:rFonts w:ascii="Times New Roman" w:hAnsi="Times New Roman" w:eastAsia="宋体"/>
                <w:sz w:val="24"/>
              </w:rPr>
              <w:t>2</w:t>
            </w:r>
          </w:p>
        </w:tc>
        <w:tc>
          <w:tcPr>
            <w:tcW w:w="2400" w:type="dxa"/>
            <w:vAlign w:val="center"/>
          </w:tcPr>
          <w:p w14:paraId="2FF8351F">
            <w:pPr>
              <w:pStyle w:val="21"/>
              <w:jc w:val="center"/>
              <w:rPr>
                <w:rFonts w:ascii="Times New Roman" w:hAnsi="Times New Roman" w:eastAsia="宋体"/>
                <w:sz w:val="24"/>
              </w:rPr>
            </w:pPr>
          </w:p>
        </w:tc>
        <w:tc>
          <w:tcPr>
            <w:tcW w:w="1500" w:type="dxa"/>
            <w:vAlign w:val="center"/>
          </w:tcPr>
          <w:p w14:paraId="7449BC95">
            <w:pPr>
              <w:pStyle w:val="21"/>
              <w:jc w:val="center"/>
              <w:rPr>
                <w:rFonts w:ascii="Times New Roman" w:hAnsi="Times New Roman" w:eastAsia="宋体"/>
                <w:sz w:val="24"/>
              </w:rPr>
            </w:pPr>
          </w:p>
        </w:tc>
        <w:tc>
          <w:tcPr>
            <w:tcW w:w="1798" w:type="dxa"/>
            <w:vAlign w:val="center"/>
          </w:tcPr>
          <w:p w14:paraId="0C7F4087">
            <w:pPr>
              <w:pStyle w:val="21"/>
              <w:jc w:val="center"/>
              <w:rPr>
                <w:rFonts w:ascii="Times New Roman" w:hAnsi="Times New Roman" w:eastAsia="宋体"/>
                <w:sz w:val="24"/>
              </w:rPr>
            </w:pPr>
          </w:p>
        </w:tc>
        <w:tc>
          <w:tcPr>
            <w:tcW w:w="1735" w:type="dxa"/>
            <w:vAlign w:val="center"/>
          </w:tcPr>
          <w:p w14:paraId="6C2A4311">
            <w:pPr>
              <w:pStyle w:val="21"/>
              <w:jc w:val="center"/>
              <w:rPr>
                <w:rFonts w:ascii="Times New Roman" w:hAnsi="Times New Roman" w:eastAsia="宋体"/>
                <w:sz w:val="24"/>
              </w:rPr>
            </w:pPr>
          </w:p>
        </w:tc>
        <w:tc>
          <w:tcPr>
            <w:tcW w:w="1116" w:type="dxa"/>
            <w:vAlign w:val="center"/>
          </w:tcPr>
          <w:p w14:paraId="0826E9D8">
            <w:pPr>
              <w:pStyle w:val="21"/>
              <w:jc w:val="center"/>
              <w:rPr>
                <w:rFonts w:ascii="Times New Roman" w:hAnsi="Times New Roman" w:eastAsia="宋体"/>
                <w:sz w:val="24"/>
              </w:rPr>
            </w:pPr>
          </w:p>
        </w:tc>
      </w:tr>
      <w:tr w14:paraId="42ED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vAlign w:val="center"/>
          </w:tcPr>
          <w:p w14:paraId="3927591F">
            <w:pPr>
              <w:pStyle w:val="21"/>
              <w:jc w:val="center"/>
              <w:rPr>
                <w:rFonts w:ascii="Times New Roman" w:hAnsi="Times New Roman" w:eastAsia="宋体"/>
                <w:sz w:val="24"/>
              </w:rPr>
            </w:pPr>
            <w:r>
              <w:rPr>
                <w:rFonts w:ascii="Times New Roman" w:hAnsi="Times New Roman" w:eastAsia="宋体"/>
                <w:sz w:val="24"/>
              </w:rPr>
              <w:t>3</w:t>
            </w:r>
          </w:p>
        </w:tc>
        <w:tc>
          <w:tcPr>
            <w:tcW w:w="2400" w:type="dxa"/>
            <w:vAlign w:val="center"/>
          </w:tcPr>
          <w:p w14:paraId="4CBA37E0">
            <w:pPr>
              <w:pStyle w:val="21"/>
              <w:jc w:val="center"/>
              <w:rPr>
                <w:rFonts w:ascii="Times New Roman" w:hAnsi="Times New Roman" w:eastAsia="宋体"/>
                <w:sz w:val="24"/>
              </w:rPr>
            </w:pPr>
          </w:p>
        </w:tc>
        <w:tc>
          <w:tcPr>
            <w:tcW w:w="1500" w:type="dxa"/>
            <w:vAlign w:val="center"/>
          </w:tcPr>
          <w:p w14:paraId="13142AAD">
            <w:pPr>
              <w:pStyle w:val="21"/>
              <w:jc w:val="center"/>
              <w:rPr>
                <w:rFonts w:ascii="Times New Roman" w:hAnsi="Times New Roman" w:eastAsia="宋体"/>
                <w:sz w:val="24"/>
              </w:rPr>
            </w:pPr>
          </w:p>
        </w:tc>
        <w:tc>
          <w:tcPr>
            <w:tcW w:w="1798" w:type="dxa"/>
            <w:vAlign w:val="center"/>
          </w:tcPr>
          <w:p w14:paraId="29586D0D">
            <w:pPr>
              <w:pStyle w:val="21"/>
              <w:jc w:val="center"/>
              <w:rPr>
                <w:rFonts w:ascii="Times New Roman" w:hAnsi="Times New Roman" w:eastAsia="宋体"/>
                <w:sz w:val="24"/>
              </w:rPr>
            </w:pPr>
          </w:p>
        </w:tc>
        <w:tc>
          <w:tcPr>
            <w:tcW w:w="1735" w:type="dxa"/>
            <w:vAlign w:val="center"/>
          </w:tcPr>
          <w:p w14:paraId="7778B685">
            <w:pPr>
              <w:pStyle w:val="21"/>
              <w:jc w:val="center"/>
              <w:rPr>
                <w:rFonts w:ascii="Times New Roman" w:hAnsi="Times New Roman" w:eastAsia="宋体"/>
                <w:sz w:val="24"/>
              </w:rPr>
            </w:pPr>
          </w:p>
        </w:tc>
        <w:tc>
          <w:tcPr>
            <w:tcW w:w="1116" w:type="dxa"/>
            <w:vAlign w:val="center"/>
          </w:tcPr>
          <w:p w14:paraId="7883F410">
            <w:pPr>
              <w:pStyle w:val="21"/>
              <w:jc w:val="center"/>
              <w:rPr>
                <w:rFonts w:ascii="Times New Roman" w:hAnsi="Times New Roman" w:eastAsia="宋体"/>
                <w:sz w:val="24"/>
              </w:rPr>
            </w:pPr>
          </w:p>
        </w:tc>
      </w:tr>
      <w:tr w14:paraId="3D578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vAlign w:val="center"/>
          </w:tcPr>
          <w:p w14:paraId="50E40B21">
            <w:pPr>
              <w:pStyle w:val="21"/>
              <w:jc w:val="center"/>
              <w:rPr>
                <w:rFonts w:ascii="Times New Roman" w:hAnsi="Times New Roman" w:eastAsia="宋体"/>
                <w:sz w:val="24"/>
              </w:rPr>
            </w:pPr>
            <w:r>
              <w:rPr>
                <w:rFonts w:ascii="Times New Roman" w:hAnsi="Times New Roman" w:eastAsia="宋体"/>
                <w:sz w:val="24"/>
              </w:rPr>
              <w:t>4</w:t>
            </w:r>
          </w:p>
        </w:tc>
        <w:tc>
          <w:tcPr>
            <w:tcW w:w="2400" w:type="dxa"/>
            <w:vAlign w:val="center"/>
          </w:tcPr>
          <w:p w14:paraId="58ABBFCB">
            <w:pPr>
              <w:pStyle w:val="21"/>
              <w:jc w:val="center"/>
              <w:rPr>
                <w:rFonts w:ascii="Times New Roman" w:hAnsi="Times New Roman" w:eastAsia="宋体"/>
                <w:sz w:val="24"/>
              </w:rPr>
            </w:pPr>
          </w:p>
        </w:tc>
        <w:tc>
          <w:tcPr>
            <w:tcW w:w="1500" w:type="dxa"/>
            <w:vAlign w:val="center"/>
          </w:tcPr>
          <w:p w14:paraId="238CBF13">
            <w:pPr>
              <w:pStyle w:val="21"/>
              <w:jc w:val="center"/>
              <w:rPr>
                <w:rFonts w:ascii="Times New Roman" w:hAnsi="Times New Roman" w:eastAsia="宋体"/>
                <w:sz w:val="24"/>
              </w:rPr>
            </w:pPr>
          </w:p>
        </w:tc>
        <w:tc>
          <w:tcPr>
            <w:tcW w:w="1798" w:type="dxa"/>
            <w:vAlign w:val="center"/>
          </w:tcPr>
          <w:p w14:paraId="0F08ED17">
            <w:pPr>
              <w:pStyle w:val="21"/>
              <w:jc w:val="center"/>
              <w:rPr>
                <w:rFonts w:ascii="Times New Roman" w:hAnsi="Times New Roman" w:eastAsia="宋体"/>
                <w:sz w:val="24"/>
              </w:rPr>
            </w:pPr>
          </w:p>
        </w:tc>
        <w:tc>
          <w:tcPr>
            <w:tcW w:w="1735" w:type="dxa"/>
            <w:vAlign w:val="center"/>
          </w:tcPr>
          <w:p w14:paraId="3531DB3C">
            <w:pPr>
              <w:pStyle w:val="21"/>
              <w:jc w:val="center"/>
              <w:rPr>
                <w:rFonts w:ascii="Times New Roman" w:hAnsi="Times New Roman" w:eastAsia="宋体"/>
                <w:sz w:val="24"/>
              </w:rPr>
            </w:pPr>
          </w:p>
        </w:tc>
        <w:tc>
          <w:tcPr>
            <w:tcW w:w="1116" w:type="dxa"/>
            <w:vAlign w:val="center"/>
          </w:tcPr>
          <w:p w14:paraId="2E4C297D">
            <w:pPr>
              <w:pStyle w:val="21"/>
              <w:jc w:val="center"/>
              <w:rPr>
                <w:rFonts w:ascii="Times New Roman" w:hAnsi="Times New Roman" w:eastAsia="宋体"/>
                <w:sz w:val="24"/>
              </w:rPr>
            </w:pPr>
          </w:p>
        </w:tc>
      </w:tr>
      <w:tr w14:paraId="219F2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5" w:type="dxa"/>
            <w:vAlign w:val="center"/>
          </w:tcPr>
          <w:p w14:paraId="127D7515">
            <w:pPr>
              <w:pStyle w:val="21"/>
              <w:jc w:val="center"/>
              <w:rPr>
                <w:rFonts w:ascii="Times New Roman" w:hAnsi="Times New Roman" w:eastAsia="宋体"/>
                <w:sz w:val="24"/>
              </w:rPr>
            </w:pPr>
            <w:r>
              <w:rPr>
                <w:rFonts w:hint="eastAsia" w:ascii="宋体" w:hAnsi="宋体" w:eastAsia="宋体"/>
                <w:sz w:val="24"/>
              </w:rPr>
              <w:t>…</w:t>
            </w:r>
          </w:p>
        </w:tc>
        <w:tc>
          <w:tcPr>
            <w:tcW w:w="2400" w:type="dxa"/>
            <w:tcBorders>
              <w:bottom w:val="single" w:color="auto" w:sz="4" w:space="0"/>
            </w:tcBorders>
            <w:vAlign w:val="center"/>
          </w:tcPr>
          <w:p w14:paraId="63B431BC">
            <w:pPr>
              <w:pStyle w:val="21"/>
              <w:jc w:val="center"/>
              <w:rPr>
                <w:rFonts w:ascii="Times New Roman" w:hAnsi="Times New Roman" w:eastAsia="宋体"/>
                <w:sz w:val="24"/>
              </w:rPr>
            </w:pPr>
          </w:p>
        </w:tc>
        <w:tc>
          <w:tcPr>
            <w:tcW w:w="1500" w:type="dxa"/>
            <w:tcBorders>
              <w:bottom w:val="single" w:color="auto" w:sz="4" w:space="0"/>
            </w:tcBorders>
            <w:vAlign w:val="center"/>
          </w:tcPr>
          <w:p w14:paraId="54C394B7">
            <w:pPr>
              <w:pStyle w:val="21"/>
              <w:jc w:val="center"/>
              <w:rPr>
                <w:rFonts w:ascii="Times New Roman" w:hAnsi="Times New Roman" w:eastAsia="宋体"/>
                <w:sz w:val="24"/>
              </w:rPr>
            </w:pPr>
          </w:p>
        </w:tc>
        <w:tc>
          <w:tcPr>
            <w:tcW w:w="1798" w:type="dxa"/>
            <w:tcBorders>
              <w:bottom w:val="single" w:color="auto" w:sz="4" w:space="0"/>
            </w:tcBorders>
            <w:vAlign w:val="center"/>
          </w:tcPr>
          <w:p w14:paraId="0CFC877A">
            <w:pPr>
              <w:pStyle w:val="21"/>
              <w:jc w:val="center"/>
              <w:rPr>
                <w:rFonts w:ascii="Times New Roman" w:hAnsi="Times New Roman" w:eastAsia="宋体"/>
                <w:sz w:val="24"/>
              </w:rPr>
            </w:pPr>
          </w:p>
        </w:tc>
        <w:tc>
          <w:tcPr>
            <w:tcW w:w="1735" w:type="dxa"/>
            <w:tcBorders>
              <w:bottom w:val="single" w:color="auto" w:sz="4" w:space="0"/>
            </w:tcBorders>
            <w:vAlign w:val="center"/>
          </w:tcPr>
          <w:p w14:paraId="3BC7C024">
            <w:pPr>
              <w:pStyle w:val="21"/>
              <w:jc w:val="center"/>
              <w:rPr>
                <w:rFonts w:ascii="Times New Roman" w:hAnsi="Times New Roman" w:eastAsia="宋体"/>
                <w:sz w:val="24"/>
              </w:rPr>
            </w:pPr>
          </w:p>
          <w:bookmarkEnd w:id="124"/>
          <w:bookmarkEnd w:id="125"/>
          <w:bookmarkEnd w:id="126"/>
          <w:bookmarkEnd w:id="127"/>
        </w:tc>
        <w:tc>
          <w:tcPr>
            <w:tcW w:w="1116" w:type="dxa"/>
            <w:tcBorders>
              <w:bottom w:val="single" w:color="auto" w:sz="4" w:space="0"/>
            </w:tcBorders>
            <w:vAlign w:val="center"/>
          </w:tcPr>
          <w:p w14:paraId="335A2336">
            <w:pPr>
              <w:pStyle w:val="21"/>
              <w:jc w:val="center"/>
              <w:rPr>
                <w:rFonts w:ascii="Times New Roman" w:hAnsi="Times New Roman" w:eastAsia="宋体"/>
                <w:sz w:val="24"/>
              </w:rPr>
            </w:pPr>
          </w:p>
        </w:tc>
      </w:tr>
    </w:tbl>
    <w:p w14:paraId="37DAC246">
      <w:pPr>
        <w:spacing w:line="440" w:lineRule="exact"/>
        <w:rPr>
          <w:rFonts w:ascii="宋体" w:hAnsi="宋体" w:cs="宋体"/>
          <w:b/>
          <w:bCs/>
          <w:kern w:val="2"/>
          <w:sz w:val="24"/>
          <w:szCs w:val="24"/>
        </w:rPr>
      </w:pPr>
      <w:r>
        <w:rPr>
          <w:rFonts w:hint="eastAsia"/>
          <w:sz w:val="24"/>
          <w:szCs w:val="22"/>
        </w:rPr>
        <w:t>注：</w:t>
      </w:r>
      <w:r>
        <w:rPr>
          <w:rFonts w:hint="eastAsia"/>
          <w:sz w:val="24"/>
          <w:szCs w:val="22"/>
          <w:lang w:val="en-US" w:eastAsia="zh-CN"/>
        </w:rPr>
        <w:t>1、</w:t>
      </w:r>
      <w:r>
        <w:rPr>
          <w:rFonts w:hint="eastAsia"/>
          <w:bCs/>
          <w:kern w:val="0"/>
          <w:sz w:val="24"/>
          <w:szCs w:val="24"/>
          <w:lang w:val="en-US" w:eastAsia="zh-CN"/>
        </w:rPr>
        <w:t>供应商</w:t>
      </w:r>
      <w:r>
        <w:rPr>
          <w:rFonts w:hint="eastAsia" w:ascii="Times New Roman" w:hAnsi="Times New Roman" w:eastAsia="宋体" w:cs="Times New Roman"/>
          <w:bCs/>
          <w:sz w:val="24"/>
          <w:szCs w:val="24"/>
          <w:highlight w:val="none"/>
        </w:rPr>
        <w:t xml:space="preserve">根据“第五章  </w:t>
      </w:r>
      <w:r>
        <w:rPr>
          <w:rFonts w:hint="eastAsia" w:ascii="宋体" w:hAnsi="宋体"/>
          <w:sz w:val="24"/>
          <w:szCs w:val="24"/>
          <w:lang w:val="en-US" w:eastAsia="zh-CN"/>
        </w:rPr>
        <w:t>评审方法与评审标准</w:t>
      </w:r>
      <w:r>
        <w:rPr>
          <w:rFonts w:hint="eastAsia" w:ascii="Times New Roman" w:hAnsi="Times New Roman" w:eastAsia="宋体" w:cs="Times New Roman"/>
          <w:bCs/>
          <w:sz w:val="24"/>
          <w:szCs w:val="24"/>
          <w:highlight w:val="none"/>
        </w:rPr>
        <w:t>”要求提供相关证明材料</w:t>
      </w:r>
      <w:r>
        <w:rPr>
          <w:rFonts w:hint="eastAsia"/>
          <w:sz w:val="24"/>
          <w:szCs w:val="24"/>
        </w:rPr>
        <w:t>。</w:t>
      </w:r>
    </w:p>
    <w:p w14:paraId="4B61A99E">
      <w:pPr>
        <w:spacing w:line="440" w:lineRule="exact"/>
        <w:ind w:firstLine="480"/>
        <w:rPr>
          <w:bCs/>
          <w:sz w:val="24"/>
          <w:szCs w:val="22"/>
        </w:rPr>
      </w:pPr>
      <w:r>
        <w:rPr>
          <w:rFonts w:hint="eastAsia"/>
          <w:bCs/>
          <w:sz w:val="24"/>
          <w:szCs w:val="22"/>
          <w:lang w:val="en-US" w:eastAsia="zh-CN"/>
        </w:rPr>
        <w:t>2</w:t>
      </w:r>
      <w:r>
        <w:rPr>
          <w:rFonts w:hint="eastAsia"/>
          <w:bCs/>
          <w:sz w:val="24"/>
          <w:szCs w:val="22"/>
        </w:rPr>
        <w:t>、如有需要说明的事项，请在备注中列明。</w:t>
      </w:r>
    </w:p>
    <w:p w14:paraId="429C0999">
      <w:pPr>
        <w:spacing w:line="440" w:lineRule="exact"/>
        <w:ind w:firstLine="480"/>
        <w:rPr>
          <w:sz w:val="24"/>
          <w:szCs w:val="22"/>
        </w:rPr>
      </w:pPr>
      <w:r>
        <w:rPr>
          <w:rFonts w:hint="eastAsia"/>
          <w:bCs/>
          <w:sz w:val="24"/>
          <w:szCs w:val="22"/>
          <w:lang w:val="en-US" w:eastAsia="zh-CN"/>
        </w:rPr>
        <w:t>3</w:t>
      </w:r>
      <w:r>
        <w:rPr>
          <w:rFonts w:hint="eastAsia"/>
          <w:bCs/>
          <w:sz w:val="24"/>
          <w:szCs w:val="22"/>
        </w:rPr>
        <w:t>、</w:t>
      </w:r>
      <w:r>
        <w:rPr>
          <w:rFonts w:hint="eastAsia"/>
          <w:sz w:val="24"/>
          <w:szCs w:val="22"/>
        </w:rPr>
        <w:t>我方在此声明，我方所提供的以上资料均真实和准确；我方保证上述信息的真实和准确，并愿意承担因我方就此弄虚作假所引起的一切法律后果。</w:t>
      </w:r>
    </w:p>
    <w:p w14:paraId="39293F76">
      <w:pPr>
        <w:rPr>
          <w:rFonts w:hint="eastAsia" w:ascii="Times New Roman" w:hAnsi="Times New Roman"/>
          <w:b/>
          <w:bCs/>
          <w:color w:val="000000"/>
          <w:sz w:val="28"/>
          <w:szCs w:val="28"/>
          <w:highlight w:val="none"/>
        </w:rPr>
      </w:pPr>
      <w:bookmarkStart w:id="128" w:name="_Toc22184"/>
      <w:r>
        <w:rPr>
          <w:rFonts w:hint="eastAsia" w:ascii="Times New Roman" w:hAnsi="Times New Roman"/>
          <w:b/>
          <w:bCs/>
          <w:color w:val="000000"/>
          <w:sz w:val="28"/>
          <w:szCs w:val="28"/>
          <w:highlight w:val="none"/>
        </w:rPr>
        <w:br w:type="page"/>
      </w:r>
    </w:p>
    <w:p w14:paraId="175370F8">
      <w:pPr>
        <w:spacing w:line="440" w:lineRule="exact"/>
        <w:ind w:firstLine="482"/>
        <w:jc w:val="center"/>
        <w:outlineLvl w:val="1"/>
        <w:rPr>
          <w:rFonts w:ascii="Times New Roman" w:hAnsi="Times New Roman"/>
          <w:b/>
          <w:bCs/>
          <w:color w:val="000000"/>
          <w:sz w:val="28"/>
          <w:szCs w:val="28"/>
          <w:highlight w:val="none"/>
        </w:rPr>
      </w:pPr>
      <w:bookmarkStart w:id="129" w:name="_Toc9184"/>
      <w:r>
        <w:rPr>
          <w:rFonts w:hint="eastAsia" w:ascii="Times New Roman" w:hAnsi="Times New Roman"/>
          <w:b/>
          <w:bCs/>
          <w:color w:val="000000"/>
          <w:sz w:val="28"/>
          <w:szCs w:val="28"/>
          <w:highlight w:val="none"/>
        </w:rPr>
        <w:t>附件</w:t>
      </w:r>
      <w:r>
        <w:rPr>
          <w:rFonts w:hint="eastAsia" w:ascii="Times New Roman" w:hAnsi="Times New Roman"/>
          <w:b/>
          <w:bCs/>
          <w:color w:val="000000"/>
          <w:sz w:val="28"/>
          <w:szCs w:val="28"/>
          <w:highlight w:val="none"/>
          <w:lang w:val="en-US" w:eastAsia="zh-CN"/>
        </w:rPr>
        <w:t>15</w:t>
      </w:r>
      <w:r>
        <w:rPr>
          <w:rFonts w:hint="eastAsia" w:ascii="Times New Roman" w:hAnsi="Times New Roman"/>
          <w:b/>
          <w:bCs/>
          <w:color w:val="000000"/>
          <w:sz w:val="28"/>
          <w:szCs w:val="28"/>
          <w:highlight w:val="none"/>
        </w:rPr>
        <w:t xml:space="preserve"> 联合体协议书</w:t>
      </w:r>
      <w:bookmarkEnd w:id="128"/>
      <w:bookmarkEnd w:id="129"/>
    </w:p>
    <w:p w14:paraId="46435A03">
      <w:pPr>
        <w:jc w:val="center"/>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（联合体参加的须提供）</w:t>
      </w:r>
    </w:p>
    <w:p w14:paraId="5177D03A">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u w:val="single"/>
          <w:lang w:bidi="ar"/>
        </w:rPr>
        <w:t xml:space="preserve">          （所有成员单位名称）</w:t>
      </w:r>
      <w:r>
        <w:rPr>
          <w:rFonts w:hint="eastAsia" w:ascii="宋体" w:hAnsi="宋体" w:cs="宋体"/>
          <w:color w:val="000000"/>
          <w:sz w:val="24"/>
          <w:szCs w:val="24"/>
          <w:highlight w:val="none"/>
          <w:lang w:bidi="ar"/>
        </w:rPr>
        <w:t>自愿组成联合体，共同参加</w:t>
      </w:r>
      <w:r>
        <w:rPr>
          <w:rFonts w:hint="eastAsia" w:ascii="宋体" w:hAnsi="宋体"/>
          <w:color w:val="000000"/>
          <w:sz w:val="24"/>
          <w:szCs w:val="24"/>
          <w:highlight w:val="none"/>
          <w:u w:val="single"/>
          <w:lang w:eastAsia="zh-CN"/>
        </w:rPr>
        <w:t>常熟市地籍一张图编制项目（二期）</w:t>
      </w:r>
      <w:r>
        <w:rPr>
          <w:rFonts w:hint="eastAsia" w:ascii="宋体" w:hAnsi="宋体" w:cs="宋体"/>
          <w:color w:val="000000"/>
          <w:sz w:val="24"/>
          <w:szCs w:val="24"/>
          <w:highlight w:val="none"/>
          <w:lang w:bidi="ar"/>
        </w:rPr>
        <w:t>（项目编号：</w:t>
      </w:r>
      <w:r>
        <w:rPr>
          <w:rFonts w:hint="eastAsia" w:ascii="宋体" w:hAnsi="宋体" w:cs="宋体"/>
          <w:color w:val="000000"/>
          <w:sz w:val="24"/>
          <w:szCs w:val="24"/>
          <w:highlight w:val="none"/>
          <w:lang w:eastAsia="zh-CN" w:bidi="ar"/>
        </w:rPr>
        <w:t>JSZC-320581-CSXC-C2026-0004</w:t>
      </w: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竞争性磋商</w:t>
      </w:r>
      <w:r>
        <w:rPr>
          <w:rFonts w:hint="eastAsia" w:ascii="宋体" w:hAnsi="宋体" w:cs="宋体"/>
          <w:color w:val="000000"/>
          <w:sz w:val="24"/>
          <w:szCs w:val="24"/>
          <w:highlight w:val="none"/>
          <w:lang w:bidi="ar"/>
        </w:rPr>
        <w:t>项目。现就联合体投标事宜订立如下协议。</w:t>
      </w:r>
    </w:p>
    <w:p w14:paraId="764DBB05">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（某成员单位名称）为牵头人。</w:t>
      </w:r>
    </w:p>
    <w:p w14:paraId="19AA6C6D">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2、联合体牵头人合法代表联合体各成员负责本</w:t>
      </w:r>
      <w:r>
        <w:rPr>
          <w:rFonts w:hint="eastAsia" w:ascii="宋体" w:hAnsi="宋体" w:cs="宋体"/>
          <w:color w:val="000000"/>
          <w:sz w:val="24"/>
          <w:szCs w:val="24"/>
          <w:highlight w:val="none"/>
          <w:lang w:val="en-US" w:eastAsia="zh-CN" w:bidi="ar"/>
        </w:rPr>
        <w:t>采购</w:t>
      </w:r>
      <w:r>
        <w:rPr>
          <w:rFonts w:hint="eastAsia" w:ascii="宋体" w:hAnsi="宋体" w:cs="宋体"/>
          <w:color w:val="000000"/>
          <w:sz w:val="24"/>
          <w:szCs w:val="24"/>
          <w:highlight w:val="none"/>
          <w:lang w:bidi="ar"/>
        </w:rPr>
        <w:t>项目投标文件编制和合同谈判活动，并代表联合体提交和接收相关的资料、信息及指示，并处理与之有关的一切事务，负责合同实施阶段的主办、组织和协调工作。</w:t>
      </w:r>
    </w:p>
    <w:p w14:paraId="7BEC92AC">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3、联合体将严格按照</w:t>
      </w:r>
      <w:r>
        <w:rPr>
          <w:rFonts w:hint="eastAsia" w:ascii="宋体" w:hAnsi="宋体" w:cs="宋体"/>
          <w:color w:val="000000"/>
          <w:sz w:val="24"/>
          <w:szCs w:val="24"/>
          <w:highlight w:val="none"/>
          <w:lang w:val="en-US" w:eastAsia="zh-CN" w:bidi="ar"/>
        </w:rPr>
        <w:t>磋商文件</w:t>
      </w:r>
      <w:r>
        <w:rPr>
          <w:rFonts w:hint="eastAsia" w:ascii="宋体" w:hAnsi="宋体" w:cs="宋体"/>
          <w:color w:val="000000"/>
          <w:sz w:val="24"/>
          <w:szCs w:val="24"/>
          <w:highlight w:val="none"/>
          <w:lang w:bidi="ar"/>
        </w:rPr>
        <w:t>的各项要求，递交</w:t>
      </w:r>
      <w:r>
        <w:rPr>
          <w:rFonts w:hint="eastAsia" w:ascii="宋体" w:hAnsi="宋体" w:cs="宋体"/>
          <w:color w:val="000000"/>
          <w:sz w:val="24"/>
          <w:szCs w:val="24"/>
          <w:highlight w:val="none"/>
          <w:lang w:val="en-US" w:eastAsia="zh-CN" w:bidi="ar"/>
        </w:rPr>
        <w:t>响应</w:t>
      </w:r>
      <w:r>
        <w:rPr>
          <w:rFonts w:hint="eastAsia" w:ascii="宋体" w:hAnsi="宋体" w:cs="宋体"/>
          <w:color w:val="000000"/>
          <w:sz w:val="24"/>
          <w:szCs w:val="24"/>
          <w:highlight w:val="none"/>
          <w:lang w:bidi="ar"/>
        </w:rPr>
        <w:t>文件，履行合同，并对外承担连带责任。</w:t>
      </w:r>
    </w:p>
    <w:p w14:paraId="69A9B2A8">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4、联合体各成员单位内部的职责分工如下：</w: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 。</w:t>
      </w:r>
    </w:p>
    <w:p w14:paraId="43036C07">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5、本协议书自签署之日起生效，合同履行完毕后自动失效。</w:t>
      </w:r>
    </w:p>
    <w:p w14:paraId="1C6C60A8">
      <w:pPr>
        <w:spacing w:line="440" w:lineRule="exact"/>
        <w:rPr>
          <w:rFonts w:ascii="宋体" w:hAnsi="宋体" w:cs="宋体"/>
          <w:color w:val="000000"/>
          <w:sz w:val="24"/>
          <w:szCs w:val="24"/>
          <w:highlight w:val="none"/>
        </w:rPr>
      </w:pPr>
    </w:p>
    <w:p w14:paraId="7A8EE121">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注：本协议书由委托代理人签字的，应附法定代表人签字的授权委托书。</w:t>
      </w:r>
    </w:p>
    <w:p w14:paraId="5528C309">
      <w:pPr>
        <w:spacing w:line="440" w:lineRule="exact"/>
        <w:rPr>
          <w:rFonts w:ascii="宋体" w:hAnsi="宋体" w:cs="宋体"/>
          <w:color w:val="000000"/>
          <w:sz w:val="24"/>
          <w:szCs w:val="24"/>
          <w:highlight w:val="none"/>
        </w:rPr>
      </w:pPr>
    </w:p>
    <w:p w14:paraId="531EF456">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牵头人名称：（盖单位章）</w:t>
      </w:r>
    </w:p>
    <w:p w14:paraId="28CCF76B">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法定代表人或其委托代理人：（签字）</w:t>
      </w:r>
    </w:p>
    <w:p w14:paraId="063C9307">
      <w:pPr>
        <w:spacing w:line="440" w:lineRule="exact"/>
        <w:rPr>
          <w:rFonts w:ascii="宋体" w:hAnsi="宋体" w:cs="宋体"/>
          <w:color w:val="000000"/>
          <w:sz w:val="24"/>
          <w:szCs w:val="24"/>
          <w:highlight w:val="none"/>
        </w:rPr>
      </w:pPr>
    </w:p>
    <w:p w14:paraId="59D3E00E">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成员一名称：（盖单位章）</w:t>
      </w:r>
    </w:p>
    <w:p w14:paraId="04ED0524">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法定代表人或其委托代理人：（签字）</w:t>
      </w:r>
    </w:p>
    <w:p w14:paraId="19207EB1">
      <w:pPr>
        <w:spacing w:line="440" w:lineRule="exact"/>
        <w:rPr>
          <w:rFonts w:ascii="宋体" w:hAnsi="宋体" w:cs="宋体"/>
          <w:color w:val="000000"/>
          <w:sz w:val="24"/>
          <w:szCs w:val="24"/>
          <w:highlight w:val="none"/>
        </w:rPr>
      </w:pPr>
    </w:p>
    <w:p w14:paraId="79F3B2D7">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成员</w:t>
      </w:r>
      <w:r>
        <w:rPr>
          <w:rFonts w:hint="eastAsia" w:ascii="宋体" w:hAnsi="宋体" w:cs="宋体"/>
          <w:color w:val="000000"/>
          <w:sz w:val="24"/>
          <w:szCs w:val="24"/>
          <w:highlight w:val="none"/>
          <w:lang w:val="en-US" w:eastAsia="zh-CN" w:bidi="ar"/>
        </w:rPr>
        <w:t>二</w:t>
      </w:r>
      <w:r>
        <w:rPr>
          <w:rFonts w:hint="eastAsia" w:ascii="宋体" w:hAnsi="宋体" w:cs="宋体"/>
          <w:color w:val="000000"/>
          <w:sz w:val="24"/>
          <w:szCs w:val="24"/>
          <w:highlight w:val="none"/>
          <w:lang w:bidi="ar"/>
        </w:rPr>
        <w:t>名称：（盖单位章）</w:t>
      </w:r>
    </w:p>
    <w:p w14:paraId="049D6377">
      <w:pPr>
        <w:spacing w:line="440" w:lineRule="exact"/>
        <w:ind w:firstLine="480"/>
        <w:rPr>
          <w:rFonts w:ascii="宋体" w:hAnsi="宋体" w:cs="宋体"/>
          <w:color w:val="000000"/>
          <w:sz w:val="24"/>
          <w:szCs w:val="24"/>
          <w:highlight w:val="none"/>
        </w:rPr>
      </w:pPr>
      <w:r>
        <w:rPr>
          <w:rFonts w:hint="eastAsia" w:ascii="宋体" w:hAnsi="宋体" w:cs="宋体"/>
          <w:color w:val="000000"/>
          <w:sz w:val="24"/>
          <w:szCs w:val="24"/>
          <w:highlight w:val="none"/>
          <w:lang w:bidi="ar"/>
        </w:rPr>
        <w:t>法定代表人或其委托代理人：（签字）</w:t>
      </w:r>
    </w:p>
    <w:p w14:paraId="6730F803">
      <w:pPr>
        <w:spacing w:line="440" w:lineRule="exact"/>
        <w:rPr>
          <w:rFonts w:ascii="宋体" w:hAnsi="宋体" w:cs="宋体"/>
          <w:color w:val="000000"/>
          <w:sz w:val="24"/>
          <w:szCs w:val="24"/>
          <w:highlight w:val="none"/>
        </w:rPr>
      </w:pPr>
    </w:p>
    <w:p w14:paraId="5AA0EA9E">
      <w:pPr>
        <w:ind w:firstLine="6168"/>
        <w:rPr>
          <w:rFonts w:hint="eastAsia" w:ascii="宋体" w:hAnsi="宋体" w:cs="宋体"/>
          <w:color w:val="000000"/>
          <w:sz w:val="24"/>
          <w:szCs w:val="24"/>
          <w:highlight w:val="none"/>
          <w:lang w:eastAsia="zh-CN" w:bidi="ar"/>
        </w:rPr>
      </w:pPr>
    </w:p>
    <w:p w14:paraId="0BC13EB2">
      <w:pPr>
        <w:ind w:firstLine="6168"/>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eastAsia="zh-CN" w:bidi="ar"/>
        </w:rPr>
        <w:t>2026</w:t>
      </w:r>
      <w:r>
        <w:rPr>
          <w:rFonts w:hint="eastAsia" w:ascii="宋体" w:hAnsi="宋体" w:cs="宋体"/>
          <w:color w:val="000000"/>
          <w:sz w:val="24"/>
          <w:szCs w:val="24"/>
          <w:highlight w:val="none"/>
          <w:lang w:bidi="ar"/>
        </w:rPr>
        <w:t>年  月   日</w:t>
      </w:r>
    </w:p>
    <w:p w14:paraId="718737BD">
      <w:pPr>
        <w:ind w:firstLine="6168"/>
        <w:rPr>
          <w:rFonts w:hint="eastAsia" w:ascii="宋体" w:hAnsi="宋体" w:cs="宋体"/>
          <w:color w:val="000000"/>
          <w:sz w:val="24"/>
          <w:szCs w:val="24"/>
          <w:highlight w:val="none"/>
          <w:lang w:bidi="ar"/>
        </w:rPr>
      </w:pPr>
    </w:p>
    <w:p w14:paraId="4F248CD9">
      <w:pPr>
        <w:ind w:firstLine="6168"/>
        <w:rPr>
          <w:rFonts w:hint="eastAsia" w:ascii="宋体" w:hAnsi="宋体" w:cs="宋体"/>
          <w:color w:val="000000"/>
          <w:sz w:val="24"/>
          <w:szCs w:val="24"/>
          <w:highlight w:val="none"/>
          <w:lang w:bidi="ar"/>
        </w:rPr>
      </w:pPr>
    </w:p>
    <w:p w14:paraId="1AC23ADA">
      <w:pPr>
        <w:ind w:firstLine="6168"/>
        <w:rPr>
          <w:rFonts w:hint="eastAsia" w:ascii="宋体" w:hAnsi="宋体" w:cs="宋体"/>
          <w:color w:val="000000"/>
          <w:sz w:val="24"/>
          <w:szCs w:val="24"/>
          <w:highlight w:val="none"/>
          <w:lang w:bidi="ar"/>
        </w:rPr>
      </w:pPr>
    </w:p>
    <w:p w14:paraId="71AD5BC8">
      <w:pPr>
        <w:rPr>
          <w:rFonts w:hint="eastAsia" w:ascii="宋体" w:hAnsi="宋体" w:cs="宋体"/>
          <w:color w:val="000000"/>
          <w:sz w:val="24"/>
          <w:szCs w:val="24"/>
          <w:highlight w:val="none"/>
          <w:lang w:bidi="ar"/>
        </w:rPr>
      </w:pPr>
      <w:r>
        <w:rPr>
          <w:rFonts w:hint="eastAsia" w:ascii="宋体" w:hAnsi="宋体" w:cs="宋体"/>
          <w:b/>
          <w:color w:val="000000"/>
          <w:sz w:val="32"/>
          <w:szCs w:val="32"/>
          <w:highlight w:val="none"/>
          <w:lang w:val="en-US" w:eastAsia="zh-CN" w:bidi="ar"/>
        </w:rPr>
        <w:t>注：非联合体参加的此处附营业执照</w:t>
      </w:r>
    </w:p>
    <w:p w14:paraId="41CDC86E">
      <w:pPr>
        <w:spacing w:line="400" w:lineRule="exact"/>
        <w:rPr>
          <w:rFonts w:ascii="Times New Roman" w:hAnsi="Times New Roman"/>
          <w:color w:val="000000"/>
          <w:sz w:val="24"/>
          <w:szCs w:val="20"/>
          <w:highlight w:val="none"/>
        </w:rPr>
      </w:pPr>
    </w:p>
    <w:sectPr>
      <w:footerReference r:id="rId11" w:type="first"/>
      <w:headerReference r:id="rId8" w:type="default"/>
      <w:footerReference r:id="rId9" w:type="default"/>
      <w:footerReference r:id="rId10" w:type="even"/>
      <w:pgSz w:w="11907" w:h="16840"/>
      <w:pgMar w:top="1440" w:right="1080" w:bottom="1440" w:left="1080" w:header="567"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Segoe UI Symbol">
    <w:panose1 w:val="020B0502040204020203"/>
    <w:charset w:val="00"/>
    <w:family w:val="auto"/>
    <w:pitch w:val="default"/>
    <w:sig w:usb0="800001E3" w:usb1="1200FFEF" w:usb2="00040000" w:usb3="04000000" w:csb0="00000001" w:csb1="40000000"/>
  </w:font>
  <w:font w:name="等线 Light">
    <w:panose1 w:val="02010600030101010101"/>
    <w:charset w:val="86"/>
    <w:family w:val="auto"/>
    <w:pitch w:val="default"/>
    <w:sig w:usb0="A00002BF" w:usb1="38CF7CFA" w:usb2="00000016" w:usb3="00000000" w:csb0="0004000F" w:csb1="00000000"/>
  </w:font>
  <w:font w:name="幼圆">
    <w:altName w:val="宋体"/>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B62CE0">
    <w:pPr>
      <w:pStyle w:val="33"/>
      <w:jc w:val="center"/>
    </w:pPr>
  </w:p>
  <w:p w14:paraId="48CFC768">
    <w:pPr>
      <w:pStyle w:val="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C7EEBA">
    <w:pPr>
      <w:pStyle w:val="33"/>
      <w:jc w:val="center"/>
    </w:pPr>
    <w:r>
      <mc:AlternateContent>
        <mc:Choice Requires="wps">
          <w:drawing>
            <wp:anchor distT="0" distB="0" distL="114300" distR="114300" simplePos="0" relativeHeight="251659264" behindDoc="0" locked="0" layoutInCell="1" allowOverlap="1">
              <wp:simplePos x="0" y="0"/>
              <wp:positionH relativeFrom="margin">
                <wp:posOffset>2639060</wp:posOffset>
              </wp:positionH>
              <wp:positionV relativeFrom="paragraph">
                <wp:posOffset>-111760</wp:posOffset>
              </wp:positionV>
              <wp:extent cx="1057275" cy="18224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057275" cy="182245"/>
                      </a:xfrm>
                      <a:prstGeom prst="rect">
                        <a:avLst/>
                      </a:prstGeom>
                      <a:noFill/>
                      <a:ln>
                        <a:noFill/>
                        <a:miter/>
                      </a:ln>
                    </wps:spPr>
                    <wps:txbx>
                      <w:txbxContent>
                        <w:p w14:paraId="1384D324">
                          <w:pPr>
                            <w:pStyle w:val="33"/>
                          </w:pPr>
                          <w:r>
                            <w:t xml:space="preserve">第 </w:t>
                          </w:r>
                          <w:r>
                            <w:fldChar w:fldCharType="begin"/>
                          </w:r>
                          <w:r>
                            <w:instrText xml:space="preserve"> PAGE  \* MERGEFORMAT </w:instrText>
                          </w:r>
                          <w:r>
                            <w:fldChar w:fldCharType="separate"/>
                          </w:r>
                          <w:r>
                            <w:t>20</w:t>
                          </w:r>
                          <w:r>
                            <w:fldChar w:fldCharType="end"/>
                          </w:r>
                          <w:r>
                            <w:t xml:space="preserve"> 页 共</w:t>
                          </w:r>
                          <w:r>
                            <w:rPr>
                              <w:rFonts w:hint="eastAsia"/>
                              <w:lang w:val="en-US" w:eastAsia="zh-CN"/>
                            </w:rPr>
                            <w:t>50</w:t>
                          </w:r>
                          <w:r>
                            <w:t>页</w:t>
                          </w:r>
                        </w:p>
                      </w:txbxContent>
                    </wps:txbx>
                    <wps:bodyPr wrap="square" lIns="0" tIns="0" rIns="0" bIns="0" upright="1"/>
                  </wps:wsp>
                </a:graphicData>
              </a:graphic>
            </wp:anchor>
          </w:drawing>
        </mc:Choice>
        <mc:Fallback>
          <w:pict>
            <v:shape id="_x0000_s1026" o:spid="_x0000_s1026" o:spt="202" type="#_x0000_t202" style="position:absolute;left:0pt;margin-left:207.8pt;margin-top:-8.8pt;height:14.35pt;width:83.25pt;mso-position-horizontal-relative:margin;z-index:251659264;mso-width-relative:page;mso-height-relative:page;" filled="f" stroked="f" coordsize="21600,21600" o:gfxdata="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plRadkAAAAKAQAADwAAAAAAAAABACAA&#10;AAAiAAAAZHJzL2Rvd25yZXYueG1sUEsBAhQAFAAAAAgAh07iQHqj1e3TAQAAmAMAAA4AAAAAAAAA&#10;AQAgAAAAKAEAAGRycy9lMm9Eb2MueG1sUEsFBgAAAAAGAAYAWQEAAG0FAAAAAA==&#10;">
              <v:fill on="f" focussize="0,0"/>
              <v:stroke on="f" joinstyle="miter"/>
              <v:imagedata o:title=""/>
              <o:lock v:ext="edit" aspectratio="f"/>
              <v:textbox inset="0mm,0mm,0mm,0mm">
                <w:txbxContent>
                  <w:p w14:paraId="1384D324">
                    <w:pPr>
                      <w:pStyle w:val="33"/>
                    </w:pPr>
                    <w:r>
                      <w:t xml:space="preserve">第 </w:t>
                    </w:r>
                    <w:r>
                      <w:fldChar w:fldCharType="begin"/>
                    </w:r>
                    <w:r>
                      <w:instrText xml:space="preserve"> PAGE  \* MERGEFORMAT </w:instrText>
                    </w:r>
                    <w:r>
                      <w:fldChar w:fldCharType="separate"/>
                    </w:r>
                    <w:r>
                      <w:t>20</w:t>
                    </w:r>
                    <w:r>
                      <w:fldChar w:fldCharType="end"/>
                    </w:r>
                    <w:r>
                      <w:t xml:space="preserve"> 页 共</w:t>
                    </w:r>
                    <w:r>
                      <w:rPr>
                        <w:rFonts w:hint="eastAsia"/>
                        <w:lang w:val="en-US" w:eastAsia="zh-CN"/>
                      </w:rPr>
                      <w:t>50</w:t>
                    </w:r>
                    <w:r>
                      <w:t>页</w:t>
                    </w:r>
                  </w:p>
                </w:txbxContent>
              </v:textbox>
            </v:shape>
          </w:pict>
        </mc:Fallback>
      </mc:AlternateContent>
    </w:r>
  </w:p>
  <w:p w14:paraId="5213D5D2">
    <w:pPr>
      <w:pStyle w:val="3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8ABE0C">
    <w:pPr>
      <w:pStyle w:val="33"/>
    </w:pPr>
    <w:r>
      <mc:AlternateContent>
        <mc:Choice Requires="wps">
          <w:drawing>
            <wp:anchor distT="0" distB="0" distL="114300" distR="114300" simplePos="0" relativeHeight="251660288" behindDoc="0" locked="0" layoutInCell="1" allowOverlap="1">
              <wp:simplePos x="0" y="0"/>
              <wp:positionH relativeFrom="margin">
                <wp:posOffset>2639060</wp:posOffset>
              </wp:positionH>
              <wp:positionV relativeFrom="paragraph">
                <wp:posOffset>-111760</wp:posOffset>
              </wp:positionV>
              <wp:extent cx="1828800" cy="191135"/>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91135"/>
                      </a:xfrm>
                      <a:prstGeom prst="rect">
                        <a:avLst/>
                      </a:prstGeom>
                      <a:noFill/>
                      <a:ln>
                        <a:noFill/>
                        <a:miter/>
                      </a:ln>
                    </wps:spPr>
                    <wps:txbx>
                      <w:txbxContent>
                        <w:p w14:paraId="5284553F">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50</w:t>
                          </w:r>
                          <w:r>
                            <w:t xml:space="preserve"> 页</w:t>
                          </w:r>
                        </w:p>
                      </w:txbxContent>
                    </wps:txbx>
                    <wps:bodyPr wrap="none" lIns="0" tIns="0" rIns="0" bIns="0" upright="1"/>
                  </wps:wsp>
                </a:graphicData>
              </a:graphic>
            </wp:anchor>
          </w:drawing>
        </mc:Choice>
        <mc:Fallback>
          <w:pict>
            <v:shape id="_x0000_s1026" o:spid="_x0000_s1026" o:spt="202" type="#_x0000_t202" style="position:absolute;left:0pt;margin-left:207.8pt;margin-top:-8.8pt;height:15.05pt;width:144pt;mso-position-horizontal-relative:margin;mso-wrap-style:none;z-index:251660288;mso-width-relative:page;mso-height-relative:page;" filled="f" stroked="f" coordsize="21600,21600" o:gfxdata="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jEwyf1wAAAAoBAAAPAAAAAAAAAAEAIAAAACIAAABk&#10;cnMvZG93bnJldi54bWxQSwECFAAUAAAACACHTuJA9wlQc84BAACWAwAADgAAAAAAAAABACAAAAAm&#10;AQAAZHJzL2Uyb0RvYy54bWxQSwUGAAAAAAYABgBZAQAAZgUAAAAA&#10;">
              <v:fill on="f" focussize="0,0"/>
              <v:stroke on="f" joinstyle="miter"/>
              <v:imagedata o:title=""/>
              <o:lock v:ext="edit" aspectratio="f"/>
              <v:textbox inset="0mm,0mm,0mm,0mm">
                <w:txbxContent>
                  <w:p w14:paraId="5284553F">
                    <w:pPr>
                      <w:pStyle w:val="33"/>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50</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CFF755">
    <w:pPr>
      <w:pStyle w:val="33"/>
      <w:ind w:right="360"/>
      <w:jc w:val="center"/>
    </w:pPr>
    <w:r>
      <mc:AlternateContent>
        <mc:Choice Requires="wps">
          <w:drawing>
            <wp:anchor distT="0" distB="0" distL="114300" distR="114300" simplePos="0" relativeHeight="251661312" behindDoc="0" locked="0" layoutInCell="1" allowOverlap="1">
              <wp:simplePos x="0" y="0"/>
              <wp:positionH relativeFrom="margin">
                <wp:posOffset>2694305</wp:posOffset>
              </wp:positionH>
              <wp:positionV relativeFrom="paragraph">
                <wp:posOffset>9525</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2DB9A33A">
                          <w:pPr>
                            <w:pStyle w:val="33"/>
                          </w:pPr>
                          <w:r>
                            <w:t xml:space="preserve">第 </w:t>
                          </w:r>
                          <w:r>
                            <w:fldChar w:fldCharType="begin"/>
                          </w:r>
                          <w:r>
                            <w:instrText xml:space="preserve"> PAGE  \* MERGEFORMAT </w:instrText>
                          </w:r>
                          <w:r>
                            <w:fldChar w:fldCharType="separate"/>
                          </w:r>
                          <w:r>
                            <w:t>44</w:t>
                          </w:r>
                          <w:r>
                            <w:fldChar w:fldCharType="end"/>
                          </w:r>
                          <w:r>
                            <w:t xml:space="preserve"> 页 共</w:t>
                          </w:r>
                          <w:r>
                            <w:rPr>
                              <w:rFonts w:hint="eastAsia"/>
                              <w:lang w:val="en-US" w:eastAsia="zh-CN"/>
                            </w:rPr>
                            <w:t>51</w:t>
                          </w:r>
                          <w:r>
                            <w:t>页</w:t>
                          </w:r>
                        </w:p>
                      </w:txbxContent>
                    </wps:txbx>
                    <wps:bodyPr wrap="none" lIns="0" tIns="0" rIns="0" bIns="0" upright="1">
                      <a:spAutoFit/>
                    </wps:bodyPr>
                  </wps:wsp>
                </a:graphicData>
              </a:graphic>
            </wp:anchor>
          </w:drawing>
        </mc:Choice>
        <mc:Fallback>
          <w:pict>
            <v:shape id="_x0000_s1026" o:spid="_x0000_s1026" o:spt="202" type="#_x0000_t202" style="position:absolute;left:0pt;margin-left:212.15pt;margin-top:0.75pt;height:144pt;width:144pt;mso-position-horizontal-relative:margin;mso-wrap-style:none;z-index:251661312;mso-width-relative:page;mso-height-relative:page;" filled="f" stroked="f" coordsize="21600,21600" o:gfxdata="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Cmej2z1QAAAAkBAAAPAAAAAAAAAAEAIAAA&#10;ACIAAABkcnMvZG93bnJldi54bWxQSwECFAAUAAAACACHTuJAkk2Zl9YBAACxAwAADgAAAAAAAAAB&#10;ACAAAAAkAQAAZHJzL2Uyb0RvYy54bWxQSwUGAAAAAAYABgBZAQAAbAUAAAAA&#10;">
              <v:fill on="f" focussize="0,0"/>
              <v:stroke on="f" joinstyle="miter"/>
              <v:imagedata o:title=""/>
              <o:lock v:ext="edit" aspectratio="f"/>
              <v:textbox inset="0mm,0mm,0mm,0mm" style="mso-fit-shape-to-text:t;">
                <w:txbxContent>
                  <w:p w14:paraId="2DB9A33A">
                    <w:pPr>
                      <w:pStyle w:val="33"/>
                    </w:pPr>
                    <w:r>
                      <w:t xml:space="preserve">第 </w:t>
                    </w:r>
                    <w:r>
                      <w:fldChar w:fldCharType="begin"/>
                    </w:r>
                    <w:r>
                      <w:instrText xml:space="preserve"> PAGE  \* MERGEFORMAT </w:instrText>
                    </w:r>
                    <w:r>
                      <w:fldChar w:fldCharType="separate"/>
                    </w:r>
                    <w:r>
                      <w:t>44</w:t>
                    </w:r>
                    <w:r>
                      <w:fldChar w:fldCharType="end"/>
                    </w:r>
                    <w:r>
                      <w:t xml:space="preserve"> 页 共</w:t>
                    </w:r>
                    <w:r>
                      <w:rPr>
                        <w:rFonts w:hint="eastAsia"/>
                        <w:lang w:val="en-US" w:eastAsia="zh-CN"/>
                      </w:rPr>
                      <w:t>51</w:t>
                    </w:r>
                    <w:r>
                      <w:t>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3FB540">
    <w:pPr>
      <w:pStyle w:val="33"/>
      <w:framePr w:wrap="around" w:vAnchor="text" w:hAnchor="margin" w:xAlign="right" w:y="1"/>
      <w:rPr>
        <w:rStyle w:val="60"/>
      </w:rPr>
    </w:pPr>
    <w:r>
      <w:fldChar w:fldCharType="begin"/>
    </w:r>
    <w:r>
      <w:rPr>
        <w:rStyle w:val="60"/>
      </w:rPr>
      <w:instrText xml:space="preserve">PAGE  </w:instrText>
    </w:r>
    <w:r>
      <w:fldChar w:fldCharType="separate"/>
    </w:r>
    <w:r>
      <w:rPr>
        <w:rStyle w:val="60"/>
      </w:rPr>
      <w:t>16</w:t>
    </w:r>
    <w:r>
      <w:fldChar w:fldCharType="end"/>
    </w:r>
  </w:p>
  <w:p w14:paraId="059E5AB3">
    <w:pPr>
      <w:pStyle w:val="33"/>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8EDE6">
    <w:pPr>
      <w:pStyle w:val="3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07F0F8EC">
                          <w:pPr>
                            <w:pStyle w:val="33"/>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&#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ubIzKdYBAACxAwAADgAAAAAAAAABACAAAAAe&#10;AQAAZHJzL2Uyb0RvYy54bWxQSwUGAAAAAAYABgBZAQAAZgUAAAAA&#10;">
              <v:fill on="f" focussize="0,0"/>
              <v:stroke on="f" joinstyle="miter"/>
              <v:imagedata o:title=""/>
              <o:lock v:ext="edit" aspectratio="f"/>
              <v:textbox inset="0mm,0mm,0mm,0mm" style="mso-fit-shape-to-text:t;">
                <w:txbxContent>
                  <w:p w14:paraId="07F0F8EC">
                    <w:pPr>
                      <w:pStyle w:val="33"/>
                    </w:pPr>
                    <w:r>
                      <w:t xml:space="preserve">第 </w:t>
                    </w:r>
                    <w:r>
                      <w:fldChar w:fldCharType="begin"/>
                    </w:r>
                    <w:r>
                      <w:instrText xml:space="preserve"> PAGE  \* MERGEFORMAT </w:instrText>
                    </w:r>
                    <w:r>
                      <w:fldChar w:fldCharType="separate"/>
                    </w:r>
                    <w:r>
                      <w:t>21</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B124CD">
    <w:pPr>
      <w:pStyle w:val="34"/>
      <w:jc w:val="both"/>
      <w:rPr>
        <w:sz w:val="21"/>
        <w:szCs w:val="22"/>
      </w:rPr>
    </w:pPr>
  </w:p>
  <w:p w14:paraId="313C835D">
    <w:pPr>
      <w:pStyle w:val="34"/>
      <w:jc w:val="both"/>
      <w:rPr>
        <w:b/>
        <w:bCs/>
        <w:spacing w:val="6"/>
        <w:sz w:val="21"/>
      </w:rPr>
    </w:pPr>
  </w:p>
  <w:p w14:paraId="4E649EB0">
    <w:pPr>
      <w:pStyle w:val="34"/>
      <w:jc w:val="both"/>
      <w:rPr>
        <w:sz w:val="21"/>
        <w:szCs w:val="22"/>
      </w:rPr>
    </w:pPr>
    <w:r>
      <w:rPr>
        <w:rFonts w:hint="eastAsia"/>
        <w:b/>
        <w:bCs/>
        <w:spacing w:val="6"/>
        <w:sz w:val="21"/>
      </w:rPr>
      <w:t>江苏协诚工程咨询有限公司 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3E20D2">
    <w:pPr>
      <w:pStyle w:val="34"/>
      <w:jc w:val="both"/>
      <w:rPr>
        <w:b/>
        <w:bCs/>
        <w:spacing w:val="6"/>
        <w:sz w:val="21"/>
      </w:rPr>
    </w:pPr>
  </w:p>
  <w:p w14:paraId="38F56CAF">
    <w:pPr>
      <w:pStyle w:val="34"/>
      <w:jc w:val="both"/>
    </w:pPr>
    <w:r>
      <w:rPr>
        <w:rFonts w:hint="eastAsia"/>
        <w:b/>
        <w:bCs/>
        <w:spacing w:val="6"/>
        <w:sz w:val="21"/>
      </w:rPr>
      <w:t>江苏协诚工程咨询有限公司 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83DA07">
    <w:pPr>
      <w:pStyle w:val="34"/>
      <w:jc w:val="both"/>
      <w:rPr>
        <w:sz w:val="21"/>
        <w:szCs w:val="22"/>
      </w:rPr>
    </w:pPr>
  </w:p>
  <w:p w14:paraId="7B3714A2">
    <w:pPr>
      <w:pStyle w:val="34"/>
      <w:jc w:val="both"/>
      <w:rPr>
        <w:b/>
        <w:bCs/>
        <w:spacing w:val="6"/>
        <w:sz w:val="21"/>
      </w:rPr>
    </w:pPr>
  </w:p>
  <w:p w14:paraId="1C13104E">
    <w:pPr>
      <w:pStyle w:val="34"/>
      <w:jc w:val="both"/>
      <w:rPr>
        <w:sz w:val="21"/>
        <w:szCs w:val="22"/>
      </w:rPr>
    </w:pPr>
    <w:r>
      <w:rPr>
        <w:rFonts w:hint="eastAsia"/>
        <w:b/>
        <w:bCs/>
        <w:spacing w:val="6"/>
        <w:sz w:val="21"/>
      </w:rPr>
      <w:t>江苏协诚工程咨询有限公司 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5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auto"/>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
    <w:nsid w:val="0053208E"/>
    <w:multiLevelType w:val="multilevel"/>
    <w:tmpl w:val="0053208E"/>
    <w:lvl w:ilvl="0" w:tentative="0">
      <w:start w:val="1"/>
      <w:numFmt w:val="decimal"/>
      <w:pStyle w:val="254"/>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59ADCABA"/>
    <w:multiLevelType w:val="multilevel"/>
    <w:tmpl w:val="59ADCABA"/>
    <w:lvl w:ilvl="0" w:tentative="0">
      <w:start w:val="1"/>
      <w:numFmt w:val="decimal"/>
      <w:pStyle w:val="258"/>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lM2EyZjRlMjYwMWIxZmMzNTg2ZDk4NTA5ZDM4YzEifQ=="/>
  </w:docVars>
  <w:rsids>
    <w:rsidRoot w:val="00000000"/>
    <w:rsid w:val="00876121"/>
    <w:rsid w:val="00AD10E6"/>
    <w:rsid w:val="01963C79"/>
    <w:rsid w:val="01EC0334"/>
    <w:rsid w:val="03413667"/>
    <w:rsid w:val="03854C44"/>
    <w:rsid w:val="038D0EAF"/>
    <w:rsid w:val="047D2C2B"/>
    <w:rsid w:val="04C64E6C"/>
    <w:rsid w:val="04E12E1C"/>
    <w:rsid w:val="054D2E98"/>
    <w:rsid w:val="0626799C"/>
    <w:rsid w:val="06A27213"/>
    <w:rsid w:val="07B973B9"/>
    <w:rsid w:val="08536A17"/>
    <w:rsid w:val="08D4742C"/>
    <w:rsid w:val="09A03EDE"/>
    <w:rsid w:val="09B47989"/>
    <w:rsid w:val="09CA0F5B"/>
    <w:rsid w:val="09D70950"/>
    <w:rsid w:val="0A0F2E11"/>
    <w:rsid w:val="0A2D5046"/>
    <w:rsid w:val="0A5E16A3"/>
    <w:rsid w:val="0ADF263F"/>
    <w:rsid w:val="0AF67B2D"/>
    <w:rsid w:val="0B4A607C"/>
    <w:rsid w:val="0C60355A"/>
    <w:rsid w:val="0C9475FE"/>
    <w:rsid w:val="0CA77331"/>
    <w:rsid w:val="0D2C3CDA"/>
    <w:rsid w:val="0D444B80"/>
    <w:rsid w:val="0E083E00"/>
    <w:rsid w:val="0E19425F"/>
    <w:rsid w:val="0E56100F"/>
    <w:rsid w:val="0E8D5152"/>
    <w:rsid w:val="0EF40828"/>
    <w:rsid w:val="0F476BAA"/>
    <w:rsid w:val="101A606C"/>
    <w:rsid w:val="10354C54"/>
    <w:rsid w:val="1041184B"/>
    <w:rsid w:val="1081433D"/>
    <w:rsid w:val="1090022C"/>
    <w:rsid w:val="10BE733F"/>
    <w:rsid w:val="10ED66D5"/>
    <w:rsid w:val="11172385"/>
    <w:rsid w:val="11212085"/>
    <w:rsid w:val="11C537B4"/>
    <w:rsid w:val="11DF2684"/>
    <w:rsid w:val="11F50B3F"/>
    <w:rsid w:val="12080872"/>
    <w:rsid w:val="13801CF4"/>
    <w:rsid w:val="13F41240"/>
    <w:rsid w:val="141C5B9E"/>
    <w:rsid w:val="14FE41AE"/>
    <w:rsid w:val="15131432"/>
    <w:rsid w:val="154A73F4"/>
    <w:rsid w:val="15C34AB0"/>
    <w:rsid w:val="16AD080C"/>
    <w:rsid w:val="16FE6D5C"/>
    <w:rsid w:val="17056FEF"/>
    <w:rsid w:val="17C0574B"/>
    <w:rsid w:val="18FD70B1"/>
    <w:rsid w:val="190653E0"/>
    <w:rsid w:val="19200A1D"/>
    <w:rsid w:val="194C4127"/>
    <w:rsid w:val="198253AE"/>
    <w:rsid w:val="1A646862"/>
    <w:rsid w:val="1A937147"/>
    <w:rsid w:val="1B9D1AF2"/>
    <w:rsid w:val="1C017DE1"/>
    <w:rsid w:val="1C3A0C5F"/>
    <w:rsid w:val="1CC01D49"/>
    <w:rsid w:val="1D24052A"/>
    <w:rsid w:val="1D33076D"/>
    <w:rsid w:val="1DAC2BE5"/>
    <w:rsid w:val="1DAC5A06"/>
    <w:rsid w:val="1E026ABD"/>
    <w:rsid w:val="1EBD4792"/>
    <w:rsid w:val="1EC51899"/>
    <w:rsid w:val="1EF95BC5"/>
    <w:rsid w:val="206C46C2"/>
    <w:rsid w:val="208A47DC"/>
    <w:rsid w:val="20A32B32"/>
    <w:rsid w:val="2250591D"/>
    <w:rsid w:val="22E9024C"/>
    <w:rsid w:val="232A420F"/>
    <w:rsid w:val="238B6312"/>
    <w:rsid w:val="23FA61BA"/>
    <w:rsid w:val="24A106B2"/>
    <w:rsid w:val="24E85A75"/>
    <w:rsid w:val="253432D4"/>
    <w:rsid w:val="254E5E55"/>
    <w:rsid w:val="25B151F6"/>
    <w:rsid w:val="262E41C8"/>
    <w:rsid w:val="26450AF1"/>
    <w:rsid w:val="267C3185"/>
    <w:rsid w:val="27DC3D83"/>
    <w:rsid w:val="28453CE7"/>
    <w:rsid w:val="28CF3A40"/>
    <w:rsid w:val="28E21F6C"/>
    <w:rsid w:val="29705919"/>
    <w:rsid w:val="29AE18A7"/>
    <w:rsid w:val="2AA1765E"/>
    <w:rsid w:val="2AC342AA"/>
    <w:rsid w:val="2B8723B0"/>
    <w:rsid w:val="2B8C150A"/>
    <w:rsid w:val="2B8E1990"/>
    <w:rsid w:val="2BDD31D9"/>
    <w:rsid w:val="2C027C88"/>
    <w:rsid w:val="2CEA6C07"/>
    <w:rsid w:val="2D5269EE"/>
    <w:rsid w:val="2DA52FC1"/>
    <w:rsid w:val="2DE24215"/>
    <w:rsid w:val="2E1912BA"/>
    <w:rsid w:val="2E870919"/>
    <w:rsid w:val="2ED578D6"/>
    <w:rsid w:val="2F264A51"/>
    <w:rsid w:val="2FA06136"/>
    <w:rsid w:val="2FB35E69"/>
    <w:rsid w:val="30DE3E7E"/>
    <w:rsid w:val="31083F93"/>
    <w:rsid w:val="314F3970"/>
    <w:rsid w:val="317C228B"/>
    <w:rsid w:val="31994871"/>
    <w:rsid w:val="31FD2881"/>
    <w:rsid w:val="320F7288"/>
    <w:rsid w:val="32A80688"/>
    <w:rsid w:val="33E7450B"/>
    <w:rsid w:val="34755306"/>
    <w:rsid w:val="34825821"/>
    <w:rsid w:val="34A22009"/>
    <w:rsid w:val="34F52F7B"/>
    <w:rsid w:val="354F4FDF"/>
    <w:rsid w:val="35954D12"/>
    <w:rsid w:val="35D72186"/>
    <w:rsid w:val="36160F00"/>
    <w:rsid w:val="363262C9"/>
    <w:rsid w:val="364E048D"/>
    <w:rsid w:val="371D62BE"/>
    <w:rsid w:val="377A726D"/>
    <w:rsid w:val="3787514E"/>
    <w:rsid w:val="380D6333"/>
    <w:rsid w:val="387D347B"/>
    <w:rsid w:val="38AD7454"/>
    <w:rsid w:val="38CF35E8"/>
    <w:rsid w:val="39212142"/>
    <w:rsid w:val="392E47B3"/>
    <w:rsid w:val="392F746D"/>
    <w:rsid w:val="397228F1"/>
    <w:rsid w:val="39984A95"/>
    <w:rsid w:val="39E15381"/>
    <w:rsid w:val="39F61980"/>
    <w:rsid w:val="3A674C3C"/>
    <w:rsid w:val="3A9D64C0"/>
    <w:rsid w:val="3B7912DE"/>
    <w:rsid w:val="3B7F30A4"/>
    <w:rsid w:val="3B9F72A2"/>
    <w:rsid w:val="3BBC60A6"/>
    <w:rsid w:val="3C5C31AC"/>
    <w:rsid w:val="3CA64660"/>
    <w:rsid w:val="3CE77152"/>
    <w:rsid w:val="3CFD4BC8"/>
    <w:rsid w:val="3D3F6F8E"/>
    <w:rsid w:val="3E391C30"/>
    <w:rsid w:val="3EF54ACE"/>
    <w:rsid w:val="3FA26098"/>
    <w:rsid w:val="3FDB0AC5"/>
    <w:rsid w:val="3FF73B50"/>
    <w:rsid w:val="40A17BF5"/>
    <w:rsid w:val="40E33BD7"/>
    <w:rsid w:val="436F1C50"/>
    <w:rsid w:val="43B9111D"/>
    <w:rsid w:val="43E806AC"/>
    <w:rsid w:val="440209DD"/>
    <w:rsid w:val="44586B88"/>
    <w:rsid w:val="447D214A"/>
    <w:rsid w:val="44C14EBD"/>
    <w:rsid w:val="44D206E8"/>
    <w:rsid w:val="44E623E5"/>
    <w:rsid w:val="45AD2F03"/>
    <w:rsid w:val="45BE4981"/>
    <w:rsid w:val="45D05F8E"/>
    <w:rsid w:val="45E05087"/>
    <w:rsid w:val="472A72A7"/>
    <w:rsid w:val="47705F96"/>
    <w:rsid w:val="478A52AA"/>
    <w:rsid w:val="479E0D55"/>
    <w:rsid w:val="48074B4D"/>
    <w:rsid w:val="491F1641"/>
    <w:rsid w:val="494616A5"/>
    <w:rsid w:val="49B84D3E"/>
    <w:rsid w:val="4A0D6F03"/>
    <w:rsid w:val="4A325785"/>
    <w:rsid w:val="4A7B35D0"/>
    <w:rsid w:val="4B5856BF"/>
    <w:rsid w:val="4B661CB7"/>
    <w:rsid w:val="4CDB6444"/>
    <w:rsid w:val="4D4128AF"/>
    <w:rsid w:val="4D6E11CA"/>
    <w:rsid w:val="4DAB5F7A"/>
    <w:rsid w:val="4EA41F28"/>
    <w:rsid w:val="4EB96475"/>
    <w:rsid w:val="4ED92673"/>
    <w:rsid w:val="4F225E13"/>
    <w:rsid w:val="4F432860"/>
    <w:rsid w:val="4F4A41BB"/>
    <w:rsid w:val="4F50502B"/>
    <w:rsid w:val="4F5945FF"/>
    <w:rsid w:val="4FDA48F5"/>
    <w:rsid w:val="4FE8529C"/>
    <w:rsid w:val="50412BC6"/>
    <w:rsid w:val="505B3546"/>
    <w:rsid w:val="50AF56DB"/>
    <w:rsid w:val="51DD247A"/>
    <w:rsid w:val="520F4054"/>
    <w:rsid w:val="52A71AD7"/>
    <w:rsid w:val="534B11A9"/>
    <w:rsid w:val="53513120"/>
    <w:rsid w:val="538708F0"/>
    <w:rsid w:val="53D8739D"/>
    <w:rsid w:val="5485037B"/>
    <w:rsid w:val="549E4143"/>
    <w:rsid w:val="55543C02"/>
    <w:rsid w:val="55FF1707"/>
    <w:rsid w:val="56151E95"/>
    <w:rsid w:val="57B679F5"/>
    <w:rsid w:val="57F14ED1"/>
    <w:rsid w:val="57FB7AFE"/>
    <w:rsid w:val="58A14071"/>
    <w:rsid w:val="58B54151"/>
    <w:rsid w:val="5A5A4FB0"/>
    <w:rsid w:val="5A8E07B6"/>
    <w:rsid w:val="5AB32912"/>
    <w:rsid w:val="5AFA22EF"/>
    <w:rsid w:val="5B261AA6"/>
    <w:rsid w:val="5B3C4B61"/>
    <w:rsid w:val="5B8027F4"/>
    <w:rsid w:val="5BE8004D"/>
    <w:rsid w:val="5C4B1054"/>
    <w:rsid w:val="5C5044CE"/>
    <w:rsid w:val="5CB169DD"/>
    <w:rsid w:val="5DCF37AB"/>
    <w:rsid w:val="5DEC4171"/>
    <w:rsid w:val="5F1C2834"/>
    <w:rsid w:val="5F217E4A"/>
    <w:rsid w:val="5F6146EB"/>
    <w:rsid w:val="5F631071"/>
    <w:rsid w:val="5F781924"/>
    <w:rsid w:val="5F8328B3"/>
    <w:rsid w:val="5F903833"/>
    <w:rsid w:val="5FCA6734"/>
    <w:rsid w:val="600734E4"/>
    <w:rsid w:val="605D72C6"/>
    <w:rsid w:val="60651FB9"/>
    <w:rsid w:val="611C2FBF"/>
    <w:rsid w:val="61A82AA5"/>
    <w:rsid w:val="630C1982"/>
    <w:rsid w:val="63DA4A6C"/>
    <w:rsid w:val="63EE0517"/>
    <w:rsid w:val="640E15A7"/>
    <w:rsid w:val="64575A83"/>
    <w:rsid w:val="64E77440"/>
    <w:rsid w:val="64ED51E6"/>
    <w:rsid w:val="654A5C21"/>
    <w:rsid w:val="65AC27E1"/>
    <w:rsid w:val="672D1422"/>
    <w:rsid w:val="67EA08E7"/>
    <w:rsid w:val="68064081"/>
    <w:rsid w:val="68246BFD"/>
    <w:rsid w:val="6873723D"/>
    <w:rsid w:val="68A044D6"/>
    <w:rsid w:val="68DE42B5"/>
    <w:rsid w:val="68DE4FFE"/>
    <w:rsid w:val="68EB3277"/>
    <w:rsid w:val="699E02E9"/>
    <w:rsid w:val="69BA3375"/>
    <w:rsid w:val="69D117D1"/>
    <w:rsid w:val="6A086941"/>
    <w:rsid w:val="6A5640D1"/>
    <w:rsid w:val="6B2D5DC9"/>
    <w:rsid w:val="6B5627E6"/>
    <w:rsid w:val="6B616E18"/>
    <w:rsid w:val="6B824366"/>
    <w:rsid w:val="6B8C0E7F"/>
    <w:rsid w:val="6D451097"/>
    <w:rsid w:val="6DEB3003"/>
    <w:rsid w:val="6E032975"/>
    <w:rsid w:val="6E501C11"/>
    <w:rsid w:val="6EAB3BD4"/>
    <w:rsid w:val="6FB40867"/>
    <w:rsid w:val="6FC50CC6"/>
    <w:rsid w:val="70CE4490"/>
    <w:rsid w:val="70E246FF"/>
    <w:rsid w:val="714A1482"/>
    <w:rsid w:val="717A67C5"/>
    <w:rsid w:val="720C6738"/>
    <w:rsid w:val="725105EF"/>
    <w:rsid w:val="726447C6"/>
    <w:rsid w:val="73E7745D"/>
    <w:rsid w:val="74CE5F27"/>
    <w:rsid w:val="74FE1306"/>
    <w:rsid w:val="75082C2E"/>
    <w:rsid w:val="75971FE0"/>
    <w:rsid w:val="75A1363B"/>
    <w:rsid w:val="75A35605"/>
    <w:rsid w:val="75BF1D13"/>
    <w:rsid w:val="76191810"/>
    <w:rsid w:val="768F16E6"/>
    <w:rsid w:val="779E42D6"/>
    <w:rsid w:val="779F1DFC"/>
    <w:rsid w:val="788A03B6"/>
    <w:rsid w:val="788C2381"/>
    <w:rsid w:val="78CA2EA9"/>
    <w:rsid w:val="78E55F35"/>
    <w:rsid w:val="79507852"/>
    <w:rsid w:val="7B3310FB"/>
    <w:rsid w:val="7D760F8C"/>
    <w:rsid w:val="7DBB54B6"/>
    <w:rsid w:val="7E2F2101"/>
    <w:rsid w:val="7EE226EE"/>
    <w:rsid w:val="7F5B67EE"/>
    <w:rsid w:val="7F6000C3"/>
    <w:rsid w:val="7F7E75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qFormat="1"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35" w:name="caption"/>
    <w:lsdException w:qFormat="1" w:unhideWhenUsed="0" w:uiPriority="0"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99"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iPriority="99"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224"/>
    <w:qFormat/>
    <w:uiPriority w:val="0"/>
    <w:pPr>
      <w:keepNext/>
      <w:tabs>
        <w:tab w:val="left" w:pos="200"/>
      </w:tabs>
      <w:jc w:val="center"/>
      <w:outlineLvl w:val="0"/>
    </w:pPr>
    <w:rPr>
      <w:b/>
      <w:sz w:val="36"/>
    </w:rPr>
  </w:style>
  <w:style w:type="paragraph" w:styleId="5">
    <w:name w:val="heading 2"/>
    <w:basedOn w:val="1"/>
    <w:next w:val="1"/>
    <w:link w:val="225"/>
    <w:qFormat/>
    <w:uiPriority w:val="0"/>
    <w:pPr>
      <w:keepNext/>
      <w:jc w:val="center"/>
      <w:outlineLvl w:val="1"/>
    </w:pPr>
    <w:rPr>
      <w:b/>
      <w:bCs/>
      <w:sz w:val="28"/>
      <w:szCs w:val="28"/>
    </w:rPr>
  </w:style>
  <w:style w:type="paragraph" w:styleId="6">
    <w:name w:val="heading 3"/>
    <w:basedOn w:val="1"/>
    <w:next w:val="1"/>
    <w:link w:val="226"/>
    <w:qFormat/>
    <w:uiPriority w:val="0"/>
    <w:pPr>
      <w:keepNext/>
      <w:jc w:val="center"/>
      <w:outlineLvl w:val="2"/>
    </w:pPr>
    <w:rPr>
      <w:sz w:val="28"/>
    </w:rPr>
  </w:style>
  <w:style w:type="paragraph" w:styleId="7">
    <w:name w:val="heading 4"/>
    <w:basedOn w:val="1"/>
    <w:next w:val="1"/>
    <w:link w:val="227"/>
    <w:qFormat/>
    <w:uiPriority w:val="0"/>
    <w:pPr>
      <w:keepNext/>
      <w:outlineLvl w:val="3"/>
    </w:pPr>
    <w:rPr>
      <w:b/>
      <w:bCs/>
      <w:sz w:val="18"/>
    </w:rPr>
  </w:style>
  <w:style w:type="paragraph" w:styleId="8">
    <w:name w:val="heading 5"/>
    <w:basedOn w:val="1"/>
    <w:next w:val="1"/>
    <w:link w:val="228"/>
    <w:qFormat/>
    <w:uiPriority w:val="0"/>
    <w:pPr>
      <w:keepNext/>
      <w:jc w:val="center"/>
      <w:outlineLvl w:val="4"/>
    </w:pPr>
    <w:rPr>
      <w:b/>
      <w:bCs/>
      <w:sz w:val="18"/>
    </w:rPr>
  </w:style>
  <w:style w:type="paragraph" w:styleId="9">
    <w:name w:val="heading 6"/>
    <w:basedOn w:val="1"/>
    <w:next w:val="1"/>
    <w:link w:val="82"/>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83"/>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84"/>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85"/>
    <w:unhideWhenUsed/>
    <w:qFormat/>
    <w:uiPriority w:val="9"/>
    <w:pPr>
      <w:keepNext/>
      <w:keepLines/>
      <w:spacing w:before="320" w:after="200"/>
      <w:outlineLvl w:val="8"/>
    </w:pPr>
    <w:rPr>
      <w:rFonts w:ascii="Arial" w:hAnsi="Arial" w:eastAsia="Arial" w:cs="Arial"/>
      <w:i/>
      <w:iCs/>
      <w:szCs w:val="21"/>
    </w:rPr>
  </w:style>
  <w:style w:type="character" w:default="1" w:styleId="57">
    <w:name w:val="Default Paragraph Font"/>
    <w:semiHidden/>
    <w:unhideWhenUsed/>
    <w:qFormat/>
    <w:uiPriority w:val="1"/>
  </w:style>
  <w:style w:type="table" w:default="1" w:styleId="5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3"/>
    <w:link w:val="233"/>
    <w:qFormat/>
    <w:uiPriority w:val="0"/>
    <w:pPr>
      <w:spacing w:line="312" w:lineRule="atLeast"/>
      <w:ind w:firstLine="574"/>
    </w:pPr>
    <w:rPr>
      <w:sz w:val="28"/>
    </w:rPr>
  </w:style>
  <w:style w:type="paragraph" w:styleId="3">
    <w:name w:val="envelope return"/>
    <w:basedOn w:val="1"/>
    <w:qFormat/>
    <w:uiPriority w:val="0"/>
    <w:pPr>
      <w:snapToGrid w:val="0"/>
    </w:pPr>
    <w:rPr>
      <w:rFonts w:ascii="Arial" w:hAnsi="Arial"/>
    </w:rPr>
  </w:style>
  <w:style w:type="paragraph" w:styleId="13">
    <w:name w:val="toc 7"/>
    <w:basedOn w:val="1"/>
    <w:next w:val="1"/>
    <w:qFormat/>
    <w:uiPriority w:val="0"/>
    <w:pPr>
      <w:ind w:left="1260"/>
      <w:jc w:val="left"/>
    </w:pPr>
    <w:rPr>
      <w:szCs w:val="21"/>
    </w:rPr>
  </w:style>
  <w:style w:type="paragraph" w:styleId="14">
    <w:name w:val="index 8"/>
    <w:basedOn w:val="1"/>
    <w:next w:val="1"/>
    <w:qFormat/>
    <w:uiPriority w:val="0"/>
    <w:pPr>
      <w:ind w:left="1400"/>
    </w:pPr>
  </w:style>
  <w:style w:type="paragraph" w:styleId="15">
    <w:name w:val="Normal Indent"/>
    <w:basedOn w:val="1"/>
    <w:link w:val="229"/>
    <w:qFormat/>
    <w:uiPriority w:val="99"/>
    <w:pPr>
      <w:ind w:firstLine="420"/>
    </w:pPr>
  </w:style>
  <w:style w:type="paragraph" w:styleId="16">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7">
    <w:name w:val="index 5"/>
    <w:basedOn w:val="1"/>
    <w:next w:val="1"/>
    <w:qFormat/>
    <w:uiPriority w:val="0"/>
    <w:pPr>
      <w:ind w:left="800"/>
    </w:pPr>
  </w:style>
  <w:style w:type="paragraph" w:styleId="18">
    <w:name w:val="Document Map"/>
    <w:basedOn w:val="1"/>
    <w:link w:val="230"/>
    <w:qFormat/>
    <w:uiPriority w:val="0"/>
    <w:pPr>
      <w:shd w:val="clear" w:color="auto" w:fill="000080"/>
    </w:pPr>
  </w:style>
  <w:style w:type="paragraph" w:styleId="19">
    <w:name w:val="annotation text"/>
    <w:basedOn w:val="1"/>
    <w:link w:val="231"/>
    <w:qFormat/>
    <w:uiPriority w:val="0"/>
    <w:pPr>
      <w:jc w:val="left"/>
    </w:pPr>
  </w:style>
  <w:style w:type="paragraph" w:styleId="20">
    <w:name w:val="index 6"/>
    <w:basedOn w:val="1"/>
    <w:next w:val="1"/>
    <w:qFormat/>
    <w:uiPriority w:val="0"/>
    <w:pPr>
      <w:ind w:left="1000"/>
    </w:pPr>
  </w:style>
  <w:style w:type="paragraph" w:styleId="21">
    <w:name w:val="Body Text"/>
    <w:basedOn w:val="1"/>
    <w:next w:val="1"/>
    <w:link w:val="232"/>
    <w:qFormat/>
    <w:uiPriority w:val="0"/>
    <w:rPr>
      <w:rFonts w:ascii="楷体_GB2312" w:hAnsi="Arial" w:eastAsia="楷体_GB2312"/>
      <w:sz w:val="28"/>
    </w:rPr>
  </w:style>
  <w:style w:type="paragraph" w:styleId="22">
    <w:name w:val="Block Text"/>
    <w:basedOn w:val="1"/>
    <w:qFormat/>
    <w:uiPriority w:val="0"/>
    <w:pPr>
      <w:tabs>
        <w:tab w:val="left" w:pos="822"/>
        <w:tab w:val="left" w:pos="2205"/>
        <w:tab w:val="left" w:pos="9000"/>
      </w:tabs>
      <w:spacing w:before="89"/>
      <w:ind w:left="1890" w:right="11" w:hanging="1409"/>
    </w:pPr>
    <w:rPr>
      <w:sz w:val="24"/>
    </w:rPr>
  </w:style>
  <w:style w:type="paragraph" w:styleId="23">
    <w:name w:val="index 4"/>
    <w:basedOn w:val="1"/>
    <w:next w:val="1"/>
    <w:qFormat/>
    <w:uiPriority w:val="0"/>
    <w:pPr>
      <w:ind w:left="600"/>
    </w:pPr>
  </w:style>
  <w:style w:type="paragraph" w:styleId="24">
    <w:name w:val="toc 5"/>
    <w:basedOn w:val="1"/>
    <w:next w:val="1"/>
    <w:qFormat/>
    <w:uiPriority w:val="0"/>
    <w:pPr>
      <w:ind w:left="840"/>
      <w:jc w:val="left"/>
    </w:pPr>
    <w:rPr>
      <w:szCs w:val="21"/>
    </w:rPr>
  </w:style>
  <w:style w:type="paragraph" w:styleId="25">
    <w:name w:val="toc 3"/>
    <w:basedOn w:val="1"/>
    <w:next w:val="1"/>
    <w:qFormat/>
    <w:uiPriority w:val="39"/>
    <w:pPr>
      <w:ind w:left="420"/>
      <w:jc w:val="left"/>
    </w:pPr>
    <w:rPr>
      <w:i/>
      <w:iCs/>
      <w:szCs w:val="24"/>
    </w:rPr>
  </w:style>
  <w:style w:type="paragraph" w:styleId="26">
    <w:name w:val="Plain Text"/>
    <w:basedOn w:val="1"/>
    <w:link w:val="234"/>
    <w:qFormat/>
    <w:uiPriority w:val="0"/>
    <w:rPr>
      <w:rFonts w:hAnsi="Courier New"/>
    </w:rPr>
  </w:style>
  <w:style w:type="paragraph" w:styleId="27">
    <w:name w:val="toc 8"/>
    <w:basedOn w:val="1"/>
    <w:next w:val="1"/>
    <w:qFormat/>
    <w:uiPriority w:val="0"/>
    <w:pPr>
      <w:ind w:left="1470"/>
      <w:jc w:val="left"/>
    </w:pPr>
    <w:rPr>
      <w:szCs w:val="21"/>
    </w:rPr>
  </w:style>
  <w:style w:type="paragraph" w:styleId="28">
    <w:name w:val="index 3"/>
    <w:basedOn w:val="1"/>
    <w:next w:val="1"/>
    <w:qFormat/>
    <w:uiPriority w:val="0"/>
    <w:pPr>
      <w:ind w:left="400"/>
    </w:pPr>
  </w:style>
  <w:style w:type="paragraph" w:styleId="29">
    <w:name w:val="Date"/>
    <w:basedOn w:val="1"/>
    <w:next w:val="1"/>
    <w:link w:val="235"/>
    <w:qFormat/>
    <w:uiPriority w:val="0"/>
    <w:pPr>
      <w:spacing w:line="312" w:lineRule="atLeast"/>
    </w:pPr>
    <w:rPr>
      <w:sz w:val="28"/>
    </w:rPr>
  </w:style>
  <w:style w:type="paragraph" w:styleId="30">
    <w:name w:val="Body Text Indent 2"/>
    <w:basedOn w:val="1"/>
    <w:link w:val="236"/>
    <w:qFormat/>
    <w:uiPriority w:val="0"/>
    <w:pPr>
      <w:tabs>
        <w:tab w:val="left" w:pos="1785"/>
        <w:tab w:val="left" w:pos="1887"/>
        <w:tab w:val="left" w:pos="2112"/>
        <w:tab w:val="left" w:pos="9000"/>
      </w:tabs>
      <w:ind w:left="1890" w:hanging="1409"/>
    </w:pPr>
    <w:rPr>
      <w:sz w:val="24"/>
    </w:rPr>
  </w:style>
  <w:style w:type="paragraph" w:styleId="31">
    <w:name w:val="endnote text"/>
    <w:basedOn w:val="1"/>
    <w:link w:val="222"/>
    <w:semiHidden/>
    <w:unhideWhenUsed/>
    <w:qFormat/>
    <w:uiPriority w:val="99"/>
    <w:rPr>
      <w:sz w:val="20"/>
    </w:rPr>
  </w:style>
  <w:style w:type="paragraph" w:styleId="32">
    <w:name w:val="Balloon Text"/>
    <w:basedOn w:val="1"/>
    <w:link w:val="237"/>
    <w:unhideWhenUsed/>
    <w:qFormat/>
    <w:uiPriority w:val="99"/>
    <w:rPr>
      <w:sz w:val="18"/>
      <w:szCs w:val="18"/>
    </w:rPr>
  </w:style>
  <w:style w:type="paragraph" w:styleId="33">
    <w:name w:val="footer"/>
    <w:basedOn w:val="1"/>
    <w:link w:val="238"/>
    <w:qFormat/>
    <w:uiPriority w:val="99"/>
    <w:pPr>
      <w:tabs>
        <w:tab w:val="center" w:pos="4153"/>
        <w:tab w:val="right" w:pos="8306"/>
      </w:tabs>
      <w:jc w:val="left"/>
    </w:pPr>
    <w:rPr>
      <w:sz w:val="18"/>
    </w:rPr>
  </w:style>
  <w:style w:type="paragraph" w:styleId="34">
    <w:name w:val="header"/>
    <w:basedOn w:val="1"/>
    <w:link w:val="239"/>
    <w:qFormat/>
    <w:uiPriority w:val="99"/>
    <w:pPr>
      <w:pBdr>
        <w:bottom w:val="single" w:color="auto" w:sz="6" w:space="1"/>
      </w:pBdr>
      <w:tabs>
        <w:tab w:val="center" w:pos="4153"/>
        <w:tab w:val="right" w:pos="8306"/>
      </w:tabs>
      <w:jc w:val="center"/>
    </w:pPr>
    <w:rPr>
      <w:sz w:val="18"/>
    </w:rPr>
  </w:style>
  <w:style w:type="paragraph" w:styleId="35">
    <w:name w:val="Signature"/>
    <w:basedOn w:val="1"/>
    <w:link w:val="240"/>
    <w:qFormat/>
    <w:uiPriority w:val="0"/>
    <w:pPr>
      <w:spacing w:after="600" w:line="312" w:lineRule="atLeast"/>
      <w:jc w:val="center"/>
    </w:pPr>
    <w:rPr>
      <w:rFonts w:eastAsia="仿宋_GB2312"/>
      <w:sz w:val="24"/>
    </w:rPr>
  </w:style>
  <w:style w:type="paragraph" w:styleId="36">
    <w:name w:val="toc 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styleId="37">
    <w:name w:val="toc 4"/>
    <w:basedOn w:val="1"/>
    <w:next w:val="1"/>
    <w:qFormat/>
    <w:uiPriority w:val="0"/>
    <w:pPr>
      <w:ind w:left="630"/>
      <w:jc w:val="left"/>
    </w:pPr>
    <w:rPr>
      <w:szCs w:val="21"/>
    </w:rPr>
  </w:style>
  <w:style w:type="paragraph" w:styleId="38">
    <w:name w:val="index heading"/>
    <w:basedOn w:val="1"/>
    <w:next w:val="39"/>
    <w:autoRedefine/>
    <w:qFormat/>
    <w:uiPriority w:val="0"/>
  </w:style>
  <w:style w:type="paragraph" w:styleId="39">
    <w:name w:val="index 1"/>
    <w:basedOn w:val="1"/>
    <w:next w:val="1"/>
    <w:qFormat/>
    <w:uiPriority w:val="0"/>
  </w:style>
  <w:style w:type="paragraph" w:styleId="40">
    <w:name w:val="Subtitle"/>
    <w:basedOn w:val="1"/>
    <w:next w:val="1"/>
    <w:link w:val="88"/>
    <w:qFormat/>
    <w:uiPriority w:val="11"/>
    <w:pPr>
      <w:spacing w:before="200" w:after="200"/>
    </w:pPr>
    <w:rPr>
      <w:sz w:val="24"/>
      <w:szCs w:val="24"/>
    </w:rPr>
  </w:style>
  <w:style w:type="paragraph" w:styleId="41">
    <w:name w:val="footnote text"/>
    <w:basedOn w:val="1"/>
    <w:link w:val="221"/>
    <w:semiHidden/>
    <w:unhideWhenUsed/>
    <w:qFormat/>
    <w:uiPriority w:val="99"/>
    <w:pPr>
      <w:spacing w:after="40"/>
    </w:pPr>
    <w:rPr>
      <w:sz w:val="18"/>
    </w:rPr>
  </w:style>
  <w:style w:type="paragraph" w:styleId="42">
    <w:name w:val="toc 6"/>
    <w:basedOn w:val="1"/>
    <w:next w:val="1"/>
    <w:qFormat/>
    <w:uiPriority w:val="0"/>
    <w:pPr>
      <w:ind w:left="1050"/>
      <w:jc w:val="left"/>
    </w:pPr>
    <w:rPr>
      <w:szCs w:val="21"/>
    </w:rPr>
  </w:style>
  <w:style w:type="paragraph" w:styleId="43">
    <w:name w:val="Body Text Indent 3"/>
    <w:basedOn w:val="1"/>
    <w:link w:val="241"/>
    <w:qFormat/>
    <w:uiPriority w:val="0"/>
    <w:pPr>
      <w:ind w:firstLine="555"/>
    </w:pPr>
    <w:rPr>
      <w:b/>
      <w:bCs/>
      <w:sz w:val="28"/>
      <w:u w:val="single"/>
    </w:rPr>
  </w:style>
  <w:style w:type="paragraph" w:styleId="44">
    <w:name w:val="index 7"/>
    <w:basedOn w:val="1"/>
    <w:next w:val="1"/>
    <w:qFormat/>
    <w:uiPriority w:val="0"/>
    <w:pPr>
      <w:ind w:left="1200"/>
    </w:pPr>
  </w:style>
  <w:style w:type="paragraph" w:styleId="45">
    <w:name w:val="index 9"/>
    <w:basedOn w:val="1"/>
    <w:next w:val="1"/>
    <w:qFormat/>
    <w:uiPriority w:val="0"/>
    <w:pPr>
      <w:ind w:left="1600"/>
    </w:pPr>
  </w:style>
  <w:style w:type="paragraph" w:styleId="46">
    <w:name w:val="table of figures"/>
    <w:basedOn w:val="1"/>
    <w:next w:val="1"/>
    <w:qFormat/>
    <w:uiPriority w:val="0"/>
    <w:pPr>
      <w:ind w:left="840" w:hanging="420"/>
    </w:pPr>
  </w:style>
  <w:style w:type="paragraph" w:styleId="47">
    <w:name w:val="toc 2"/>
    <w:basedOn w:val="1"/>
    <w:next w:val="1"/>
    <w:qFormat/>
    <w:uiPriority w:val="39"/>
    <w:pPr>
      <w:tabs>
        <w:tab w:val="right" w:leader="dot" w:pos="9450"/>
      </w:tabs>
      <w:spacing w:line="400" w:lineRule="exact"/>
      <w:ind w:left="250"/>
      <w:jc w:val="left"/>
    </w:pPr>
    <w:rPr>
      <w:bCs/>
      <w:smallCaps/>
      <w:sz w:val="24"/>
      <w:szCs w:val="24"/>
    </w:rPr>
  </w:style>
  <w:style w:type="paragraph" w:styleId="48">
    <w:name w:val="toc 9"/>
    <w:basedOn w:val="1"/>
    <w:next w:val="1"/>
    <w:qFormat/>
    <w:uiPriority w:val="0"/>
    <w:pPr>
      <w:ind w:left="1680"/>
      <w:jc w:val="left"/>
    </w:pPr>
    <w:rPr>
      <w:szCs w:val="21"/>
    </w:rPr>
  </w:style>
  <w:style w:type="paragraph" w:styleId="49">
    <w:name w:val="Body Text 2"/>
    <w:basedOn w:val="1"/>
    <w:unhideWhenUsed/>
    <w:qFormat/>
    <w:uiPriority w:val="99"/>
    <w:pPr>
      <w:spacing w:after="120" w:line="480" w:lineRule="auto"/>
    </w:pPr>
    <w:rPr>
      <w:rFonts w:hint="eastAsia"/>
    </w:rPr>
  </w:style>
  <w:style w:type="paragraph" w:styleId="50">
    <w:name w:val="Normal (Web)"/>
    <w:basedOn w:val="1"/>
    <w:semiHidden/>
    <w:unhideWhenUsed/>
    <w:qFormat/>
    <w:uiPriority w:val="99"/>
    <w:pPr>
      <w:spacing w:beforeAutospacing="1" w:afterAutospacing="1"/>
      <w:jc w:val="left"/>
    </w:pPr>
    <w:rPr>
      <w:sz w:val="24"/>
    </w:rPr>
  </w:style>
  <w:style w:type="paragraph" w:styleId="51">
    <w:name w:val="index 2"/>
    <w:basedOn w:val="1"/>
    <w:next w:val="1"/>
    <w:qFormat/>
    <w:uiPriority w:val="0"/>
    <w:pPr>
      <w:ind w:left="200"/>
    </w:pPr>
  </w:style>
  <w:style w:type="paragraph" w:styleId="52">
    <w:name w:val="Title"/>
    <w:basedOn w:val="1"/>
    <w:next w:val="1"/>
    <w:link w:val="242"/>
    <w:qFormat/>
    <w:uiPriority w:val="0"/>
    <w:pPr>
      <w:spacing w:before="240" w:after="60"/>
      <w:jc w:val="center"/>
      <w:outlineLvl w:val="0"/>
    </w:pPr>
    <w:rPr>
      <w:rFonts w:ascii="Cambria" w:hAnsi="Cambria"/>
      <w:b/>
      <w:bCs/>
      <w:sz w:val="32"/>
      <w:szCs w:val="32"/>
    </w:rPr>
  </w:style>
  <w:style w:type="paragraph" w:styleId="53">
    <w:name w:val="annotation subject"/>
    <w:basedOn w:val="19"/>
    <w:next w:val="19"/>
    <w:link w:val="243"/>
    <w:qFormat/>
    <w:uiPriority w:val="0"/>
    <w:rPr>
      <w:b/>
      <w:bCs/>
    </w:rPr>
  </w:style>
  <w:style w:type="paragraph" w:styleId="54">
    <w:name w:val="Body Text First Indent 2"/>
    <w:basedOn w:val="2"/>
    <w:link w:val="244"/>
    <w:qFormat/>
    <w:uiPriority w:val="0"/>
    <w:pPr>
      <w:spacing w:after="120" w:line="240" w:lineRule="auto"/>
      <w:ind w:left="420" w:firstLine="420"/>
    </w:pPr>
    <w:rPr>
      <w:sz w:val="21"/>
    </w:rPr>
  </w:style>
  <w:style w:type="table" w:styleId="56">
    <w:name w:val="Table Grid"/>
    <w:basedOn w:val="5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8">
    <w:name w:val="Strong"/>
    <w:qFormat/>
    <w:uiPriority w:val="0"/>
    <w:rPr>
      <w:b/>
      <w:bCs/>
    </w:rPr>
  </w:style>
  <w:style w:type="character" w:styleId="59">
    <w:name w:val="endnote reference"/>
    <w:basedOn w:val="57"/>
    <w:semiHidden/>
    <w:unhideWhenUsed/>
    <w:qFormat/>
    <w:uiPriority w:val="99"/>
    <w:rPr>
      <w:vertAlign w:val="superscript"/>
    </w:rPr>
  </w:style>
  <w:style w:type="character" w:styleId="60">
    <w:name w:val="page number"/>
    <w:qFormat/>
    <w:uiPriority w:val="0"/>
  </w:style>
  <w:style w:type="character" w:styleId="61">
    <w:name w:val="FollowedHyperlink"/>
    <w:qFormat/>
    <w:uiPriority w:val="0"/>
    <w:rPr>
      <w:color w:val="800080"/>
      <w:u w:val="none"/>
    </w:rPr>
  </w:style>
  <w:style w:type="character" w:styleId="62">
    <w:name w:val="Emphasis"/>
    <w:qFormat/>
    <w:uiPriority w:val="0"/>
  </w:style>
  <w:style w:type="character" w:styleId="63">
    <w:name w:val="HTML Definition"/>
    <w:qFormat/>
    <w:uiPriority w:val="0"/>
  </w:style>
  <w:style w:type="character" w:styleId="64">
    <w:name w:val="HTML Typewriter"/>
    <w:qFormat/>
    <w:uiPriority w:val="0"/>
    <w:rPr>
      <w:rFonts w:hint="default" w:ascii="monospace" w:hAnsi="monospace" w:eastAsia="monospace" w:cs="monospace"/>
      <w:sz w:val="20"/>
    </w:rPr>
  </w:style>
  <w:style w:type="character" w:styleId="65">
    <w:name w:val="HTML Acronym"/>
    <w:qFormat/>
    <w:uiPriority w:val="0"/>
  </w:style>
  <w:style w:type="character" w:styleId="66">
    <w:name w:val="HTML Variable"/>
    <w:qFormat/>
    <w:uiPriority w:val="0"/>
  </w:style>
  <w:style w:type="character" w:styleId="67">
    <w:name w:val="Hyperlink"/>
    <w:qFormat/>
    <w:uiPriority w:val="99"/>
    <w:rPr>
      <w:color w:val="0000FF"/>
      <w:u w:val="none"/>
    </w:rPr>
  </w:style>
  <w:style w:type="character" w:styleId="68">
    <w:name w:val="HTML Code"/>
    <w:qFormat/>
    <w:uiPriority w:val="0"/>
    <w:rPr>
      <w:rFonts w:hint="default" w:ascii="monospace" w:hAnsi="monospace" w:eastAsia="monospace" w:cs="monospace"/>
      <w:sz w:val="20"/>
    </w:rPr>
  </w:style>
  <w:style w:type="character" w:styleId="69">
    <w:name w:val="annotation reference"/>
    <w:qFormat/>
    <w:uiPriority w:val="0"/>
    <w:rPr>
      <w:sz w:val="21"/>
      <w:szCs w:val="21"/>
    </w:rPr>
  </w:style>
  <w:style w:type="character" w:styleId="70">
    <w:name w:val="HTML Cite"/>
    <w:qFormat/>
    <w:uiPriority w:val="0"/>
  </w:style>
  <w:style w:type="character" w:styleId="71">
    <w:name w:val="footnote reference"/>
    <w:basedOn w:val="57"/>
    <w:unhideWhenUsed/>
    <w:qFormat/>
    <w:uiPriority w:val="99"/>
    <w:rPr>
      <w:vertAlign w:val="superscript"/>
    </w:rPr>
  </w:style>
  <w:style w:type="character" w:styleId="72">
    <w:name w:val="HTML Keyboard"/>
    <w:qFormat/>
    <w:uiPriority w:val="0"/>
    <w:rPr>
      <w:rFonts w:hint="default" w:ascii="monospace" w:hAnsi="monospace" w:eastAsia="monospace" w:cs="monospace"/>
      <w:sz w:val="20"/>
    </w:rPr>
  </w:style>
  <w:style w:type="character" w:styleId="73">
    <w:name w:val="HTML Sample"/>
    <w:qFormat/>
    <w:uiPriority w:val="0"/>
    <w:rPr>
      <w:rFonts w:ascii="monospace" w:hAnsi="monospace" w:eastAsia="monospace" w:cs="monospace"/>
    </w:rPr>
  </w:style>
  <w:style w:type="paragraph" w:customStyle="1" w:styleId="74">
    <w:name w:val="正文文本缩进1"/>
    <w:basedOn w:val="1"/>
    <w:next w:val="75"/>
    <w:qFormat/>
    <w:uiPriority w:val="0"/>
    <w:pPr>
      <w:spacing w:line="312" w:lineRule="atLeast"/>
      <w:ind w:firstLine="574"/>
    </w:pPr>
    <w:rPr>
      <w:rFonts w:ascii="宋体"/>
      <w:sz w:val="28"/>
    </w:rPr>
  </w:style>
  <w:style w:type="paragraph" w:customStyle="1" w:styleId="75">
    <w:name w:val="寄信人地址1"/>
    <w:basedOn w:val="1"/>
    <w:qFormat/>
    <w:uiPriority w:val="0"/>
    <w:rPr>
      <w:rFonts w:ascii="Arial" w:hAnsi="Arial"/>
    </w:rPr>
  </w:style>
  <w:style w:type="paragraph" w:customStyle="1" w:styleId="76">
    <w:name w:val="段"/>
    <w:basedOn w:val="1"/>
    <w:next w:val="1"/>
    <w:qFormat/>
    <w:uiPriority w:val="0"/>
    <w:pPr>
      <w:widowControl/>
      <w:spacing w:line="360" w:lineRule="auto"/>
      <w:ind w:firstLine="200"/>
    </w:pPr>
    <w:rPr>
      <w:sz w:val="24"/>
      <w:szCs w:val="24"/>
    </w:rPr>
  </w:style>
  <w:style w:type="character" w:customStyle="1" w:styleId="77">
    <w:name w:val="Heading 1 Char"/>
    <w:basedOn w:val="57"/>
    <w:qFormat/>
    <w:uiPriority w:val="9"/>
    <w:rPr>
      <w:rFonts w:ascii="Arial" w:hAnsi="Arial" w:eastAsia="Arial" w:cs="Arial"/>
      <w:sz w:val="40"/>
      <w:szCs w:val="40"/>
    </w:rPr>
  </w:style>
  <w:style w:type="character" w:customStyle="1" w:styleId="78">
    <w:name w:val="Heading 2 Char"/>
    <w:basedOn w:val="57"/>
    <w:qFormat/>
    <w:uiPriority w:val="9"/>
    <w:rPr>
      <w:rFonts w:ascii="Arial" w:hAnsi="Arial" w:eastAsia="Arial" w:cs="Arial"/>
      <w:sz w:val="34"/>
    </w:rPr>
  </w:style>
  <w:style w:type="character" w:customStyle="1" w:styleId="79">
    <w:name w:val="Heading 3 Char"/>
    <w:basedOn w:val="57"/>
    <w:qFormat/>
    <w:uiPriority w:val="9"/>
    <w:rPr>
      <w:rFonts w:ascii="Arial" w:hAnsi="Arial" w:eastAsia="Arial" w:cs="Arial"/>
      <w:sz w:val="30"/>
      <w:szCs w:val="30"/>
    </w:rPr>
  </w:style>
  <w:style w:type="character" w:customStyle="1" w:styleId="80">
    <w:name w:val="Heading 4 Char"/>
    <w:basedOn w:val="57"/>
    <w:qFormat/>
    <w:uiPriority w:val="9"/>
    <w:rPr>
      <w:rFonts w:ascii="Arial" w:hAnsi="Arial" w:eastAsia="Arial" w:cs="Arial"/>
      <w:b/>
      <w:bCs/>
      <w:sz w:val="26"/>
      <w:szCs w:val="26"/>
    </w:rPr>
  </w:style>
  <w:style w:type="character" w:customStyle="1" w:styleId="81">
    <w:name w:val="Heading 5 Char"/>
    <w:basedOn w:val="57"/>
    <w:autoRedefine/>
    <w:qFormat/>
    <w:uiPriority w:val="9"/>
    <w:rPr>
      <w:rFonts w:ascii="Arial" w:hAnsi="Arial" w:eastAsia="Arial" w:cs="Arial"/>
      <w:b/>
      <w:bCs/>
      <w:sz w:val="24"/>
      <w:szCs w:val="24"/>
    </w:rPr>
  </w:style>
  <w:style w:type="character" w:customStyle="1" w:styleId="82">
    <w:name w:val="标题 6 字符"/>
    <w:basedOn w:val="57"/>
    <w:link w:val="9"/>
    <w:qFormat/>
    <w:uiPriority w:val="9"/>
    <w:rPr>
      <w:rFonts w:ascii="Arial" w:hAnsi="Arial" w:eastAsia="Arial" w:cs="Arial"/>
      <w:b/>
      <w:bCs/>
      <w:sz w:val="22"/>
      <w:szCs w:val="22"/>
    </w:rPr>
  </w:style>
  <w:style w:type="character" w:customStyle="1" w:styleId="83">
    <w:name w:val="标题 7 字符"/>
    <w:basedOn w:val="57"/>
    <w:link w:val="10"/>
    <w:qFormat/>
    <w:uiPriority w:val="9"/>
    <w:rPr>
      <w:rFonts w:ascii="Arial" w:hAnsi="Arial" w:eastAsia="Arial" w:cs="Arial"/>
      <w:b/>
      <w:bCs/>
      <w:i/>
      <w:iCs/>
      <w:sz w:val="22"/>
      <w:szCs w:val="22"/>
    </w:rPr>
  </w:style>
  <w:style w:type="character" w:customStyle="1" w:styleId="84">
    <w:name w:val="标题 8 字符"/>
    <w:basedOn w:val="57"/>
    <w:link w:val="11"/>
    <w:autoRedefine/>
    <w:qFormat/>
    <w:uiPriority w:val="9"/>
    <w:rPr>
      <w:rFonts w:ascii="Arial" w:hAnsi="Arial" w:eastAsia="Arial" w:cs="Arial"/>
      <w:i/>
      <w:iCs/>
      <w:sz w:val="22"/>
      <w:szCs w:val="22"/>
    </w:rPr>
  </w:style>
  <w:style w:type="character" w:customStyle="1" w:styleId="85">
    <w:name w:val="标题 9 字符"/>
    <w:basedOn w:val="57"/>
    <w:link w:val="12"/>
    <w:qFormat/>
    <w:uiPriority w:val="9"/>
    <w:rPr>
      <w:rFonts w:ascii="Arial" w:hAnsi="Arial" w:eastAsia="Arial" w:cs="Arial"/>
      <w:i/>
      <w:iCs/>
      <w:sz w:val="21"/>
      <w:szCs w:val="21"/>
    </w:rPr>
  </w:style>
  <w:style w:type="paragraph" w:styleId="86">
    <w:name w:val="No Spacing"/>
    <w:qFormat/>
    <w:uiPriority w:val="1"/>
    <w:rPr>
      <w:rFonts w:ascii="Times New Roman" w:hAnsi="Times New Roman" w:eastAsia="宋体" w:cs="Times New Roman"/>
      <w:lang w:val="en-US" w:eastAsia="zh-CN" w:bidi="ar-SA"/>
    </w:rPr>
  </w:style>
  <w:style w:type="character" w:customStyle="1" w:styleId="87">
    <w:name w:val="Title Char"/>
    <w:basedOn w:val="57"/>
    <w:qFormat/>
    <w:uiPriority w:val="10"/>
    <w:rPr>
      <w:sz w:val="48"/>
      <w:szCs w:val="48"/>
    </w:rPr>
  </w:style>
  <w:style w:type="character" w:customStyle="1" w:styleId="88">
    <w:name w:val="副标题 字符"/>
    <w:basedOn w:val="57"/>
    <w:link w:val="40"/>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Header Char"/>
    <w:basedOn w:val="57"/>
    <w:qFormat/>
    <w:uiPriority w:val="99"/>
  </w:style>
  <w:style w:type="character" w:customStyle="1" w:styleId="94">
    <w:name w:val="Footer Char"/>
    <w:basedOn w:val="57"/>
    <w:qFormat/>
    <w:uiPriority w:val="99"/>
  </w:style>
  <w:style w:type="character" w:customStyle="1" w:styleId="95">
    <w:name w:val="Caption Char"/>
    <w:qFormat/>
    <w:uiPriority w:val="99"/>
  </w:style>
  <w:style w:type="table" w:customStyle="1" w:styleId="96">
    <w:name w:val="Table Grid Light"/>
    <w:basedOn w:val="5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7">
    <w:name w:val="无格式表格 11"/>
    <w:basedOn w:val="55"/>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8">
    <w:name w:val="无格式表格 21"/>
    <w:basedOn w:val="55"/>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9">
    <w:name w:val="无格式表格 31"/>
    <w:basedOn w:val="55"/>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0">
    <w:name w:val="无格式表格 41"/>
    <w:basedOn w:val="55"/>
    <w:autoRedefine/>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1">
    <w:name w:val="无格式表格 51"/>
    <w:basedOn w:val="55"/>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2">
    <w:name w:val="网格表 1 浅色1"/>
    <w:basedOn w:val="55"/>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3">
    <w:name w:val="Grid Table 1 Light - Accent 1"/>
    <w:basedOn w:val="5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04">
    <w:name w:val="Grid Table 1 Light - Accent 2"/>
    <w:basedOn w:val="5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05">
    <w:name w:val="Grid Table 1 Light - Accent 3"/>
    <w:basedOn w:val="5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6">
    <w:name w:val="Grid Table 1 Light - Accent 4"/>
    <w:basedOn w:val="5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7">
    <w:name w:val="Grid Table 1 Light - Accent 5"/>
    <w:basedOn w:val="5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8">
    <w:name w:val="Grid Table 1 Light - Accent 6"/>
    <w:basedOn w:val="5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9">
    <w:name w:val="网格表 21"/>
    <w:basedOn w:val="55"/>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0">
    <w:name w:val="Grid Table 2 - Accent 1"/>
    <w:basedOn w:val="55"/>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1">
    <w:name w:val="Grid Table 2 - Accent 2"/>
    <w:basedOn w:val="55"/>
    <w:autoRedefine/>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2">
    <w:name w:val="Grid Table 2 - Accent 3"/>
    <w:basedOn w:val="55"/>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3">
    <w:name w:val="Grid Table 2 - Accent 4"/>
    <w:basedOn w:val="5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4">
    <w:name w:val="Grid Table 2 - Accent 5"/>
    <w:basedOn w:val="55"/>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5">
    <w:name w:val="Grid Table 2 - Accent 6"/>
    <w:basedOn w:val="5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6">
    <w:name w:val="网格表 31"/>
    <w:basedOn w:val="55"/>
    <w:autoRedefine/>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7">
    <w:name w:val="Grid Table 3 - Accent 1"/>
    <w:basedOn w:val="55"/>
    <w:autoRedefine/>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8">
    <w:name w:val="Grid Table 3 - Accent 2"/>
    <w:basedOn w:val="55"/>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9">
    <w:name w:val="Grid Table 3 - Accent 3"/>
    <w:basedOn w:val="55"/>
    <w:autoRedefine/>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0">
    <w:name w:val="Grid Table 3 - Accent 4"/>
    <w:basedOn w:val="55"/>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1">
    <w:name w:val="Grid Table 3 - Accent 5"/>
    <w:basedOn w:val="55"/>
    <w:autoRedefine/>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2">
    <w:name w:val="Grid Table 3 - Accent 6"/>
    <w:basedOn w:val="55"/>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3">
    <w:name w:val="网格表 41"/>
    <w:basedOn w:val="55"/>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4">
    <w:name w:val="Grid Table 4 - Accent 1"/>
    <w:basedOn w:val="55"/>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25">
    <w:name w:val="Grid Table 4 - Accent 2"/>
    <w:basedOn w:val="55"/>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6">
    <w:name w:val="Grid Table 4 - Accent 3"/>
    <w:basedOn w:val="55"/>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7">
    <w:name w:val="Grid Table 4 - Accent 4"/>
    <w:basedOn w:val="55"/>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8">
    <w:name w:val="Grid Table 4 - Accent 5"/>
    <w:basedOn w:val="5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9">
    <w:name w:val="Grid Table 4 - Accent 6"/>
    <w:basedOn w:val="55"/>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0">
    <w:name w:val="网格表 5 深色1"/>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1">
    <w:name w:val="Grid Table 5 Dark- Accent 1"/>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32">
    <w:name w:val="Grid Table 5 Dark - Accent 2"/>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33">
    <w:name w:val="Grid Table 5 Dark - Accent 3"/>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34">
    <w:name w:val="Grid Table 5 Dark- Accent 4"/>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35">
    <w:name w:val="Grid Table 5 Dark - Accent 5"/>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6">
    <w:name w:val="Grid Table 5 Dark - Accent 6"/>
    <w:basedOn w:val="5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7">
    <w:name w:val="网格表 6 彩色1"/>
    <w:basedOn w:val="55"/>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8">
    <w:name w:val="Grid Table 6 Colorful - Accent 1"/>
    <w:basedOn w:val="55"/>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9">
    <w:name w:val="Grid Table 6 Colorful - Accent 2"/>
    <w:basedOn w:val="55"/>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0">
    <w:name w:val="Grid Table 6 Colorful - Accent 3"/>
    <w:basedOn w:val="55"/>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1">
    <w:name w:val="Grid Table 6 Colorful - Accent 4"/>
    <w:basedOn w:val="55"/>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2">
    <w:name w:val="Grid Table 6 Colorful - Accent 5"/>
    <w:basedOn w:val="5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3">
    <w:name w:val="Grid Table 6 Colorful - Accent 6"/>
    <w:basedOn w:val="55"/>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44">
    <w:name w:val="网格表 7 彩色1"/>
    <w:basedOn w:val="55"/>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5">
    <w:name w:val="Grid Table 7 Colorful - Accent 1"/>
    <w:basedOn w:val="55"/>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6">
    <w:name w:val="Grid Table 7 Colorful - Accent 2"/>
    <w:basedOn w:val="55"/>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Grid Table 7 Colorful - Accent 3"/>
    <w:basedOn w:val="55"/>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8">
    <w:name w:val="Grid Table 7 Colorful - Accent 4"/>
    <w:basedOn w:val="55"/>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Grid Table 7 Colorful - Accent 5"/>
    <w:basedOn w:val="5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0">
    <w:name w:val="Grid Table 7 Colorful - Accent 6"/>
    <w:basedOn w:val="55"/>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1">
    <w:name w:val="清单表 1 浅色1"/>
    <w:basedOn w:val="55"/>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2">
    <w:name w:val="List Table 1 Light - Accent 1"/>
    <w:basedOn w:val="55"/>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3">
    <w:name w:val="List Table 1 Light - Accent 2"/>
    <w:basedOn w:val="55"/>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54">
    <w:name w:val="List Table 1 Light - Accent 3"/>
    <w:basedOn w:val="55"/>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55">
    <w:name w:val="List Table 1 Light - Accent 4"/>
    <w:basedOn w:val="55"/>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6">
    <w:name w:val="List Table 1 Light - Accent 5"/>
    <w:basedOn w:val="55"/>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7">
    <w:name w:val="List Table 1 Light - Accent 6"/>
    <w:basedOn w:val="55"/>
    <w:autoRedefine/>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8">
    <w:name w:val="清单表 21"/>
    <w:basedOn w:val="55"/>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9">
    <w:name w:val="List Table 2 - Accent 1"/>
    <w:basedOn w:val="55"/>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0">
    <w:name w:val="List Table 2 - Accent 2"/>
    <w:basedOn w:val="55"/>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1">
    <w:name w:val="List Table 2 - Accent 3"/>
    <w:basedOn w:val="55"/>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2">
    <w:name w:val="List Table 2 - Accent 4"/>
    <w:basedOn w:val="55"/>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3">
    <w:name w:val="List Table 2 - Accent 5"/>
    <w:basedOn w:val="5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4">
    <w:name w:val="List Table 2 - Accent 6"/>
    <w:basedOn w:val="55"/>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5">
    <w:name w:val="清单表 31"/>
    <w:basedOn w:val="55"/>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6">
    <w:name w:val="List Table 3 - Accent 1"/>
    <w:basedOn w:val="55"/>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7">
    <w:name w:val="List Table 3 - Accent 2"/>
    <w:basedOn w:val="55"/>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8">
    <w:name w:val="List Table 3 - Accent 3"/>
    <w:basedOn w:val="55"/>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9">
    <w:name w:val="List Table 3 - Accent 4"/>
    <w:basedOn w:val="55"/>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0">
    <w:name w:val="List Table 3 - Accent 5"/>
    <w:basedOn w:val="5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1">
    <w:name w:val="List Table 3 - Accent 6"/>
    <w:basedOn w:val="55"/>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2">
    <w:name w:val="清单表 41"/>
    <w:basedOn w:val="55"/>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3">
    <w:name w:val="List Table 4 - Accent 1"/>
    <w:basedOn w:val="55"/>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4">
    <w:name w:val="List Table 4 - Accent 2"/>
    <w:basedOn w:val="55"/>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5">
    <w:name w:val="List Table 4 - Accent 3"/>
    <w:basedOn w:val="55"/>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6">
    <w:name w:val="List Table 4 - Accent 4"/>
    <w:basedOn w:val="55"/>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7">
    <w:name w:val="List Table 4 - Accent 5"/>
    <w:basedOn w:val="5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8">
    <w:name w:val="List Table 4 - Accent 6"/>
    <w:basedOn w:val="55"/>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9">
    <w:name w:val="清单表 5 深色1"/>
    <w:basedOn w:val="55"/>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0">
    <w:name w:val="List Table 5 Dark - Accent 1"/>
    <w:basedOn w:val="55"/>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1">
    <w:name w:val="List Table 5 Dark - Accent 2"/>
    <w:basedOn w:val="55"/>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2">
    <w:name w:val="List Table 5 Dark - Accent 3"/>
    <w:basedOn w:val="55"/>
    <w:autoRedefine/>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3">
    <w:name w:val="List Table 5 Dark - Accent 4"/>
    <w:basedOn w:val="55"/>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4">
    <w:name w:val="List Table 5 Dark - Accent 5"/>
    <w:basedOn w:val="5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5">
    <w:name w:val="List Table 5 Dark - Accent 6"/>
    <w:basedOn w:val="55"/>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6">
    <w:name w:val="清单表 6 彩色1"/>
    <w:basedOn w:val="55"/>
    <w:autoRedefine/>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87">
    <w:name w:val="List Table 6 Colorful - Accent 1"/>
    <w:basedOn w:val="55"/>
    <w:autoRedefine/>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8">
    <w:name w:val="List Table 6 Colorful - Accent 2"/>
    <w:basedOn w:val="55"/>
    <w:autoRedefine/>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9">
    <w:name w:val="List Table 6 Colorful - Accent 3"/>
    <w:basedOn w:val="55"/>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0">
    <w:name w:val="List Table 6 Colorful - Accent 4"/>
    <w:basedOn w:val="55"/>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1">
    <w:name w:val="List Table 6 Colorful - Accent 5"/>
    <w:basedOn w:val="55"/>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2">
    <w:name w:val="List Table 6 Colorful - Accent 6"/>
    <w:basedOn w:val="55"/>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3">
    <w:name w:val="清单表 7 彩色1"/>
    <w:basedOn w:val="55"/>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94">
    <w:name w:val="List Table 7 Colorful - Accent 1"/>
    <w:basedOn w:val="55"/>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7 Colorful - Accent 2"/>
    <w:basedOn w:val="55"/>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55"/>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55"/>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55"/>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55"/>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55"/>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55"/>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Lined - Accent 2"/>
    <w:basedOn w:val="55"/>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Lined - Accent 3"/>
    <w:basedOn w:val="55"/>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Lined - Accent 4"/>
    <w:basedOn w:val="55"/>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Lined - Accent 5"/>
    <w:basedOn w:val="55"/>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Lined - Accent 6"/>
    <w:basedOn w:val="55"/>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amp; Lined - Accent"/>
    <w:basedOn w:val="55"/>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55"/>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Bordered &amp; Lined - Accent 2"/>
    <w:basedOn w:val="55"/>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Bordered &amp; Lined - Accent 3"/>
    <w:basedOn w:val="55"/>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Bordered &amp; Lined - Accent 4"/>
    <w:basedOn w:val="55"/>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Bordered &amp; Lined - Accent 5"/>
    <w:basedOn w:val="5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Bordered &amp; Lined - Accent 6"/>
    <w:basedOn w:val="55"/>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w:basedOn w:val="55"/>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55"/>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6">
    <w:name w:val="Bordered - Accent 2"/>
    <w:basedOn w:val="55"/>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7">
    <w:name w:val="Bordered - Accent 3"/>
    <w:basedOn w:val="55"/>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8">
    <w:name w:val="Bordered - Accent 4"/>
    <w:basedOn w:val="55"/>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9">
    <w:name w:val="Bordered - Accent 5"/>
    <w:basedOn w:val="5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0">
    <w:name w:val="Bordered - Accent 6"/>
    <w:basedOn w:val="55"/>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1">
    <w:name w:val="脚注文本 字符"/>
    <w:link w:val="41"/>
    <w:qFormat/>
    <w:uiPriority w:val="99"/>
    <w:rPr>
      <w:sz w:val="18"/>
    </w:rPr>
  </w:style>
  <w:style w:type="character" w:customStyle="1" w:styleId="222">
    <w:name w:val="尾注文本 字符"/>
    <w:link w:val="31"/>
    <w:qFormat/>
    <w:uiPriority w:val="99"/>
    <w:rPr>
      <w:sz w:val="20"/>
    </w:rPr>
  </w:style>
  <w:style w:type="paragraph" w:customStyle="1" w:styleId="223">
    <w:name w:val="TOC 标题1"/>
    <w:unhideWhenUsed/>
    <w:qFormat/>
    <w:uiPriority w:val="39"/>
    <w:rPr>
      <w:rFonts w:ascii="Times New Roman" w:hAnsi="Times New Roman" w:eastAsia="宋体" w:cs="Times New Roman"/>
      <w:lang w:val="en-US" w:eastAsia="zh-CN" w:bidi="ar-SA"/>
    </w:rPr>
  </w:style>
  <w:style w:type="character" w:customStyle="1" w:styleId="224">
    <w:name w:val="标题 1 字符"/>
    <w:link w:val="4"/>
    <w:qFormat/>
    <w:uiPriority w:val="0"/>
    <w:rPr>
      <w:rFonts w:ascii="宋体" w:hAnsi="宋体"/>
      <w:b/>
      <w:sz w:val="36"/>
    </w:rPr>
  </w:style>
  <w:style w:type="character" w:customStyle="1" w:styleId="225">
    <w:name w:val="标题 2 字符"/>
    <w:link w:val="5"/>
    <w:qFormat/>
    <w:uiPriority w:val="0"/>
    <w:rPr>
      <w:rFonts w:ascii="宋体" w:hAnsi="宋体" w:eastAsia="宋体"/>
      <w:b/>
      <w:bCs/>
      <w:sz w:val="28"/>
      <w:szCs w:val="28"/>
    </w:rPr>
  </w:style>
  <w:style w:type="character" w:customStyle="1" w:styleId="226">
    <w:name w:val="标题 3 字符"/>
    <w:link w:val="6"/>
    <w:qFormat/>
    <w:uiPriority w:val="0"/>
    <w:rPr>
      <w:rFonts w:ascii="宋体" w:hAnsi="宋体"/>
      <w:sz w:val="28"/>
    </w:rPr>
  </w:style>
  <w:style w:type="character" w:customStyle="1" w:styleId="227">
    <w:name w:val="标题 4 字符"/>
    <w:link w:val="7"/>
    <w:qFormat/>
    <w:uiPriority w:val="0"/>
    <w:rPr>
      <w:b/>
      <w:bCs/>
      <w:sz w:val="18"/>
    </w:rPr>
  </w:style>
  <w:style w:type="character" w:customStyle="1" w:styleId="228">
    <w:name w:val="标题 5 字符"/>
    <w:link w:val="8"/>
    <w:qFormat/>
    <w:uiPriority w:val="0"/>
    <w:rPr>
      <w:b/>
      <w:bCs/>
      <w:sz w:val="18"/>
    </w:rPr>
  </w:style>
  <w:style w:type="character" w:customStyle="1" w:styleId="229">
    <w:name w:val="正文缩进 字符"/>
    <w:link w:val="15"/>
    <w:qFormat/>
    <w:uiPriority w:val="99"/>
    <w:rPr>
      <w:sz w:val="21"/>
    </w:rPr>
  </w:style>
  <w:style w:type="character" w:customStyle="1" w:styleId="230">
    <w:name w:val="文档结构图 字符"/>
    <w:link w:val="18"/>
    <w:qFormat/>
    <w:uiPriority w:val="0"/>
    <w:rPr>
      <w:sz w:val="21"/>
      <w:shd w:val="clear" w:color="auto" w:fill="000080"/>
    </w:rPr>
  </w:style>
  <w:style w:type="character" w:customStyle="1" w:styleId="231">
    <w:name w:val="批注文字 字符"/>
    <w:link w:val="19"/>
    <w:qFormat/>
    <w:uiPriority w:val="0"/>
    <w:rPr>
      <w:sz w:val="21"/>
    </w:rPr>
  </w:style>
  <w:style w:type="character" w:customStyle="1" w:styleId="232">
    <w:name w:val="正文文本 字符"/>
    <w:link w:val="21"/>
    <w:qFormat/>
    <w:uiPriority w:val="0"/>
    <w:rPr>
      <w:rFonts w:ascii="楷体_GB2312" w:hAnsi="Arial" w:eastAsia="楷体_GB2312"/>
      <w:sz w:val="28"/>
    </w:rPr>
  </w:style>
  <w:style w:type="character" w:customStyle="1" w:styleId="233">
    <w:name w:val="正文文本缩进 字符"/>
    <w:link w:val="2"/>
    <w:qFormat/>
    <w:uiPriority w:val="0"/>
    <w:rPr>
      <w:rFonts w:ascii="宋体"/>
      <w:sz w:val="28"/>
    </w:rPr>
  </w:style>
  <w:style w:type="character" w:customStyle="1" w:styleId="234">
    <w:name w:val="纯文本 字符"/>
    <w:link w:val="26"/>
    <w:qFormat/>
    <w:uiPriority w:val="0"/>
    <w:rPr>
      <w:rFonts w:ascii="宋体" w:hAnsi="Courier New"/>
      <w:sz w:val="21"/>
    </w:rPr>
  </w:style>
  <w:style w:type="character" w:customStyle="1" w:styleId="235">
    <w:name w:val="日期 字符"/>
    <w:link w:val="29"/>
    <w:qFormat/>
    <w:uiPriority w:val="0"/>
    <w:rPr>
      <w:rFonts w:ascii="宋体"/>
      <w:sz w:val="28"/>
    </w:rPr>
  </w:style>
  <w:style w:type="character" w:customStyle="1" w:styleId="236">
    <w:name w:val="正文文本缩进 2 字符"/>
    <w:link w:val="30"/>
    <w:qFormat/>
    <w:uiPriority w:val="0"/>
    <w:rPr>
      <w:sz w:val="24"/>
    </w:rPr>
  </w:style>
  <w:style w:type="character" w:customStyle="1" w:styleId="237">
    <w:name w:val="批注框文本 字符"/>
    <w:link w:val="32"/>
    <w:qFormat/>
    <w:uiPriority w:val="99"/>
    <w:rPr>
      <w:sz w:val="18"/>
      <w:szCs w:val="18"/>
    </w:rPr>
  </w:style>
  <w:style w:type="character" w:customStyle="1" w:styleId="238">
    <w:name w:val="页脚 字符"/>
    <w:link w:val="33"/>
    <w:qFormat/>
    <w:uiPriority w:val="99"/>
    <w:rPr>
      <w:sz w:val="18"/>
    </w:rPr>
  </w:style>
  <w:style w:type="character" w:customStyle="1" w:styleId="239">
    <w:name w:val="页眉 字符"/>
    <w:link w:val="34"/>
    <w:qFormat/>
    <w:uiPriority w:val="99"/>
    <w:rPr>
      <w:sz w:val="18"/>
    </w:rPr>
  </w:style>
  <w:style w:type="character" w:customStyle="1" w:styleId="240">
    <w:name w:val="签名 字符"/>
    <w:link w:val="35"/>
    <w:qFormat/>
    <w:uiPriority w:val="0"/>
    <w:rPr>
      <w:rFonts w:eastAsia="仿宋_GB2312"/>
      <w:sz w:val="24"/>
    </w:rPr>
  </w:style>
  <w:style w:type="character" w:customStyle="1" w:styleId="241">
    <w:name w:val="正文文本缩进 3 字符"/>
    <w:link w:val="43"/>
    <w:qFormat/>
    <w:uiPriority w:val="0"/>
    <w:rPr>
      <w:b/>
      <w:bCs/>
      <w:sz w:val="28"/>
      <w:u w:val="single"/>
    </w:rPr>
  </w:style>
  <w:style w:type="character" w:customStyle="1" w:styleId="242">
    <w:name w:val="标题 字符"/>
    <w:link w:val="52"/>
    <w:qFormat/>
    <w:uiPriority w:val="0"/>
    <w:rPr>
      <w:rFonts w:ascii="Cambria" w:hAnsi="Cambria" w:cs="Times New Roman"/>
      <w:b/>
      <w:bCs/>
      <w:sz w:val="32"/>
      <w:szCs w:val="32"/>
    </w:rPr>
  </w:style>
  <w:style w:type="character" w:customStyle="1" w:styleId="243">
    <w:name w:val="批注主题 字符"/>
    <w:link w:val="53"/>
    <w:qFormat/>
    <w:uiPriority w:val="0"/>
    <w:rPr>
      <w:b/>
      <w:bCs/>
      <w:sz w:val="21"/>
    </w:rPr>
  </w:style>
  <w:style w:type="character" w:customStyle="1" w:styleId="244">
    <w:name w:val="正文首行缩进 2 字符"/>
    <w:link w:val="54"/>
    <w:qFormat/>
    <w:uiPriority w:val="0"/>
    <w:rPr>
      <w:rFonts w:ascii="宋体"/>
      <w:sz w:val="21"/>
    </w:rPr>
  </w:style>
  <w:style w:type="character" w:customStyle="1" w:styleId="245">
    <w:name w:val="正文文本缩进 字符1"/>
    <w:qFormat/>
    <w:uiPriority w:val="0"/>
    <w:rPr>
      <w:rFonts w:ascii="宋体"/>
      <w:sz w:val="28"/>
    </w:rPr>
  </w:style>
  <w:style w:type="paragraph" w:customStyle="1" w:styleId="246">
    <w:name w:val="Char Char1 Char Char Char Char Char Char Char"/>
    <w:basedOn w:val="1"/>
    <w:qFormat/>
    <w:uiPriority w:val="0"/>
    <w:rPr>
      <w:rFonts w:ascii="Tahoma" w:hAnsi="Tahoma"/>
      <w:sz w:val="24"/>
    </w:rPr>
  </w:style>
  <w:style w:type="paragraph" w:customStyle="1" w:styleId="247">
    <w:name w:val="p0"/>
    <w:basedOn w:val="1"/>
    <w:qFormat/>
    <w:uiPriority w:val="0"/>
    <w:pPr>
      <w:widowControl/>
    </w:pPr>
    <w:rPr>
      <w:szCs w:val="21"/>
    </w:rPr>
  </w:style>
  <w:style w:type="paragraph" w:customStyle="1" w:styleId="248">
    <w:name w:val="Plain Text1"/>
    <w:basedOn w:val="1"/>
    <w:qFormat/>
    <w:uiPriority w:val="0"/>
    <w:rPr>
      <w:rFonts w:ascii="宋体" w:hAnsi="Courier New" w:eastAsia="楷体_GB2312"/>
      <w:sz w:val="28"/>
    </w:rPr>
  </w:style>
  <w:style w:type="paragraph" w:customStyle="1" w:styleId="249">
    <w:name w:val="纯文本1"/>
    <w:basedOn w:val="1"/>
    <w:qFormat/>
    <w:uiPriority w:val="0"/>
    <w:rPr>
      <w:rFonts w:ascii="宋体" w:hAnsi="Courier New" w:eastAsia="楷体_GB2312"/>
      <w:sz w:val="28"/>
    </w:rPr>
  </w:style>
  <w:style w:type="paragraph" w:customStyle="1" w:styleId="250">
    <w:name w:val="纯文本2"/>
    <w:basedOn w:val="1"/>
    <w:qFormat/>
    <w:uiPriority w:val="0"/>
    <w:pPr>
      <w:widowControl/>
      <w:jc w:val="left"/>
    </w:pPr>
    <w:rPr>
      <w:rFonts w:ascii="宋体" w:hAnsi="Courier New" w:eastAsia="楷体_GB2312"/>
      <w:sz w:val="26"/>
    </w:rPr>
  </w:style>
  <w:style w:type="paragraph" w:customStyle="1" w:styleId="251">
    <w:name w:val="Char Char Char"/>
    <w:basedOn w:val="1"/>
    <w:qFormat/>
    <w:uiPriority w:val="0"/>
    <w:pPr>
      <w:tabs>
        <w:tab w:val="left" w:pos="375"/>
        <w:tab w:val="left" w:pos="1545"/>
      </w:tabs>
      <w:ind w:left="375" w:hanging="375"/>
    </w:pPr>
  </w:style>
  <w:style w:type="paragraph" w:customStyle="1" w:styleId="252">
    <w:name w:val="List Paragraph1"/>
    <w:basedOn w:val="1"/>
    <w:qFormat/>
    <w:uiPriority w:val="99"/>
    <w:pPr>
      <w:ind w:firstLine="420"/>
    </w:pPr>
  </w:style>
  <w:style w:type="paragraph" w:styleId="253">
    <w:name w:val="List Paragraph"/>
    <w:basedOn w:val="1"/>
    <w:qFormat/>
    <w:uiPriority w:val="99"/>
    <w:pPr>
      <w:ind w:firstLine="420"/>
    </w:pPr>
    <w:rPr>
      <w:rFonts w:ascii="Calibri" w:hAnsi="Calibri"/>
      <w:szCs w:val="22"/>
    </w:rPr>
  </w:style>
  <w:style w:type="paragraph" w:customStyle="1" w:styleId="254">
    <w:name w:val="Char Char Char1"/>
    <w:basedOn w:val="1"/>
    <w:qFormat/>
    <w:uiPriority w:val="0"/>
    <w:pPr>
      <w:numPr>
        <w:ilvl w:val="0"/>
        <w:numId w:val="1"/>
      </w:numPr>
      <w:tabs>
        <w:tab w:val="left" w:pos="1545"/>
      </w:tabs>
    </w:pPr>
  </w:style>
  <w:style w:type="paragraph" w:customStyle="1" w:styleId="255">
    <w:name w:val="Char1 Char Char Char"/>
    <w:basedOn w:val="1"/>
    <w:qFormat/>
    <w:uiPriority w:val="0"/>
    <w:rPr>
      <w:rFonts w:ascii="Tahoma" w:hAnsi="Tahoma"/>
      <w:sz w:val="24"/>
    </w:rPr>
  </w:style>
  <w:style w:type="paragraph" w:customStyle="1" w:styleId="256">
    <w:name w:val="样式1"/>
    <w:basedOn w:val="1"/>
    <w:qFormat/>
    <w:uiPriority w:val="0"/>
    <w:pPr>
      <w:numPr>
        <w:ilvl w:val="0"/>
        <w:numId w:val="2"/>
      </w:numPr>
    </w:pPr>
    <w:rPr>
      <w:rFonts w:ascii="宋体" w:hAnsi="宋体"/>
      <w:szCs w:val="21"/>
    </w:rPr>
  </w:style>
  <w:style w:type="paragraph" w:customStyle="1" w:styleId="257">
    <w:name w:val="Char Char Char Char"/>
    <w:basedOn w:val="18"/>
    <w:qFormat/>
    <w:uiPriority w:val="0"/>
    <w:pPr>
      <w:spacing w:line="360" w:lineRule="auto"/>
    </w:pPr>
    <w:rPr>
      <w:rFonts w:ascii="Tahoma" w:hAnsi="Tahoma"/>
      <w:sz w:val="24"/>
      <w:szCs w:val="24"/>
    </w:rPr>
  </w:style>
  <w:style w:type="paragraph" w:customStyle="1" w:styleId="258">
    <w:name w:val="Char"/>
    <w:basedOn w:val="1"/>
    <w:qFormat/>
    <w:uiPriority w:val="0"/>
    <w:pPr>
      <w:numPr>
        <w:ilvl w:val="0"/>
        <w:numId w:val="3"/>
      </w:numPr>
    </w:pPr>
    <w:rPr>
      <w:sz w:val="24"/>
      <w:szCs w:val="24"/>
    </w:rPr>
  </w:style>
  <w:style w:type="paragraph" w:customStyle="1" w:styleId="259">
    <w:name w:val="Char Char1 Char Char Char Char Char Char Char1"/>
    <w:basedOn w:val="1"/>
    <w:qFormat/>
    <w:uiPriority w:val="0"/>
    <w:rPr>
      <w:rFonts w:ascii="Tahoma" w:hAnsi="Tahoma"/>
      <w:sz w:val="24"/>
    </w:rPr>
  </w:style>
  <w:style w:type="paragraph" w:customStyle="1" w:styleId="260">
    <w:name w:val="首行缩进"/>
    <w:basedOn w:val="1"/>
    <w:qFormat/>
    <w:uiPriority w:val="0"/>
    <w:pPr>
      <w:widowControl/>
      <w:spacing w:before="100" w:beforeAutospacing="1" w:after="100" w:afterAutospacing="1"/>
      <w:ind w:left="1024" w:firstLine="480"/>
    </w:pPr>
    <w:rPr>
      <w:rFonts w:ascii="Calibri" w:hAnsi="Calibri"/>
      <w:sz w:val="24"/>
      <w:szCs w:val="24"/>
    </w:rPr>
  </w:style>
  <w:style w:type="character" w:customStyle="1" w:styleId="261">
    <w:name w:val="font21"/>
    <w:basedOn w:val="57"/>
    <w:qFormat/>
    <w:uiPriority w:val="0"/>
    <w:rPr>
      <w:rFonts w:hint="default" w:ascii="Times New Roman" w:hAnsi="Times New Roman" w:cs="Times New Roman"/>
      <w:color w:val="000000"/>
      <w:sz w:val="24"/>
      <w:szCs w:val="24"/>
      <w:u w:val="none"/>
    </w:rPr>
  </w:style>
  <w:style w:type="character" w:customStyle="1" w:styleId="262">
    <w:name w:val="font01"/>
    <w:basedOn w:val="57"/>
    <w:qFormat/>
    <w:uiPriority w:val="0"/>
    <w:rPr>
      <w:rFonts w:hint="eastAsia" w:ascii="宋体" w:hAnsi="宋体" w:eastAsia="宋体" w:cs="宋体"/>
      <w:color w:val="000000"/>
      <w:sz w:val="24"/>
      <w:szCs w:val="24"/>
      <w:u w:val="none"/>
    </w:rPr>
  </w:style>
  <w:style w:type="paragraph" w:customStyle="1" w:styleId="263">
    <w:name w:val="正文文本1"/>
    <w:basedOn w:val="1"/>
    <w:next w:val="264"/>
    <w:qFormat/>
    <w:uiPriority w:val="0"/>
    <w:rPr>
      <w:rFonts w:ascii="楷体_GB2312" w:hAnsi="Arial" w:eastAsia="楷体_GB2312"/>
      <w:sz w:val="28"/>
    </w:rPr>
  </w:style>
  <w:style w:type="paragraph" w:customStyle="1" w:styleId="264">
    <w:name w:val="正文首行缩进1"/>
    <w:basedOn w:val="263"/>
    <w:next w:val="265"/>
    <w:unhideWhenUsed/>
    <w:qFormat/>
    <w:uiPriority w:val="99"/>
    <w:pPr>
      <w:ind w:firstLine="420"/>
    </w:pPr>
  </w:style>
  <w:style w:type="paragraph" w:customStyle="1" w:styleId="265">
    <w:name w:val="正文首行缩进 21"/>
    <w:basedOn w:val="74"/>
    <w:next w:val="264"/>
    <w:qFormat/>
    <w:uiPriority w:val="0"/>
    <w:pPr>
      <w:ind w:firstLine="420"/>
    </w:pPr>
  </w:style>
  <w:style w:type="paragraph" w:customStyle="1" w:styleId="266">
    <w:name w:val="A5"/>
    <w:basedOn w:val="1"/>
    <w:qFormat/>
    <w:uiPriority w:val="4"/>
    <w:pPr>
      <w:spacing w:line="360" w:lineRule="auto"/>
      <w:ind w:firstLine="560" w:firstLineChars="200"/>
    </w:pPr>
    <w:rPr>
      <w:rFonts w:eastAsia="仿宋_GB2312"/>
      <w:sz w:val="28"/>
      <w:szCs w:val="28"/>
    </w:rPr>
  </w:style>
  <w:style w:type="paragraph" w:customStyle="1" w:styleId="267">
    <w:name w:val="A3"/>
    <w:basedOn w:val="21"/>
    <w:qFormat/>
    <w:uiPriority w:val="3"/>
    <w:pPr>
      <w:widowControl/>
      <w:kinsoku w:val="0"/>
      <w:autoSpaceDE w:val="0"/>
      <w:autoSpaceDN w:val="0"/>
      <w:adjustRightInd w:val="0"/>
      <w:snapToGrid w:val="0"/>
      <w:spacing w:before="156" w:beforeLines="50" w:after="156" w:afterLines="50"/>
      <w:ind w:left="28"/>
      <w:textAlignment w:val="baseline"/>
      <w:outlineLvl w:val="2"/>
    </w:pPr>
    <w:rPr>
      <w:rFonts w:ascii="Times New Roman" w:hAnsi="Times New Roman" w:eastAsia="黑体"/>
      <w:snapToGrid w:val="0"/>
      <w:color w:val="000000"/>
      <w:spacing w:val="-3"/>
      <w:szCs w:val="28"/>
      <w:lang w:eastAsia="en-US"/>
    </w:rPr>
  </w:style>
  <w:style w:type="paragraph" w:customStyle="1" w:styleId="268">
    <w:name w:val="正文1"/>
    <w:qFormat/>
    <w:uiPriority w:val="0"/>
    <w:pPr>
      <w:widowControl w:val="0"/>
      <w:suppressAutoHyphens w:val="0"/>
      <w:bidi w:val="0"/>
      <w:spacing w:beforeLines="0" w:beforeAutospacing="0" w:afterLines="0" w:afterAutospacing="0"/>
      <w:jc w:val="both"/>
    </w:pPr>
    <w:rPr>
      <w:rFonts w:asciiTheme="minorHAnsi" w:hAnsiTheme="minorHAnsi" w:eastAsiaTheme="minorEastAsia" w:cstheme="minorBidi"/>
      <w:color w:val="auto"/>
      <w:kern w:val="2"/>
      <w:sz w:val="21"/>
      <w:szCs w:val="24"/>
      <w:lang w:val="en-US" w:eastAsia="zh-CN" w:bidi="ar-SA"/>
    </w:rPr>
  </w:style>
  <w:style w:type="paragraph" w:customStyle="1" w:styleId="269">
    <w:name w:val="省级报告三级（正文一级）标题"/>
    <w:basedOn w:val="1"/>
    <w:qFormat/>
    <w:uiPriority w:val="0"/>
    <w:pPr>
      <w:spacing w:line="640" w:lineRule="exact"/>
      <w:jc w:val="left"/>
      <w:outlineLvl w:val="0"/>
    </w:pPr>
    <w:rPr>
      <w:rFonts w:eastAsia="黑体" w:asciiTheme="minorHAnsi" w:hAnsiTheme="minorHAnsi" w:cstheme="minorBidi"/>
      <w:kern w:val="2"/>
      <w:sz w:val="32"/>
      <w:szCs w:val="22"/>
    </w:rPr>
  </w:style>
  <w:style w:type="paragraph" w:customStyle="1" w:styleId="270">
    <w:name w:val="省级报告正文内容"/>
    <w:basedOn w:val="1"/>
    <w:qFormat/>
    <w:uiPriority w:val="0"/>
    <w:pPr>
      <w:spacing w:line="640" w:lineRule="exact"/>
      <w:ind w:firstLine="200" w:firstLineChars="200"/>
    </w:pPr>
    <w:rPr>
      <w:rFonts w:eastAsia="仿宋_GB2312" w:asciiTheme="minorHAnsi" w:hAnsiTheme="minorHAnsi" w:cstheme="minorBidi"/>
      <w:kern w:val="2"/>
      <w:sz w:val="28"/>
      <w:szCs w:val="22"/>
    </w:rPr>
  </w:style>
  <w:style w:type="paragraph" w:customStyle="1" w:styleId="271">
    <w:name w:val="省级报告四级（正文二级）标题"/>
    <w:basedOn w:val="1"/>
    <w:qFormat/>
    <w:uiPriority w:val="0"/>
    <w:pPr>
      <w:spacing w:line="640" w:lineRule="exact"/>
      <w:jc w:val="left"/>
      <w:outlineLvl w:val="1"/>
    </w:pPr>
    <w:rPr>
      <w:rFonts w:eastAsia="楷体" w:asciiTheme="minorHAnsi" w:hAnsiTheme="minorHAnsi" w:cstheme="minorBidi"/>
      <w:b/>
      <w:bCs/>
      <w:kern w:val="2"/>
      <w:sz w:val="3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52</Pages>
  <Words>22026</Words>
  <Characters>23666</Characters>
  <Lines>212</Lines>
  <Paragraphs>59</Paragraphs>
  <TotalTime>93</TotalTime>
  <ScaleCrop>false</ScaleCrop>
  <LinksUpToDate>false</LinksUpToDate>
  <CharactersWithSpaces>24283</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2024-03-07T05:30:00Z</dcterms:created>
  <dc:creator>user</dc:creator>
  <cp:lastModifiedBy>静亚</cp:lastModifiedBy>
  <cp:lastPrinted>2025-06-05T08:22:00Z</cp:lastPrinted>
  <dcterms:modified xsi:type="dcterms:W3CDTF">2026-02-05T08:34:03Z</dcterms:modified>
  <dc:title>招  标  文  件</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7C4FEDFEBF29466CA03A63B0F9ACE30C_13</vt:lpwstr>
  </property>
  <property fmtid="{D5CDD505-2E9C-101B-9397-08002B2CF9AE}" pid="4" name="KSOTemplateDocerSaveRecord">
    <vt:lpwstr>eyJoZGlkIjoiZmYxZGRiZTI0ODgyZGVkNWM4NTJjZjdhNTRiNTZkODEiLCJ1c2VySWQiOiIxMjAyODkwMzI4In0=</vt:lpwstr>
  </property>
</Properties>
</file>