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仿宋" w:hAnsi="仿宋" w:eastAsia="仿宋" w:cs="仿宋"/>
          <w:b/>
          <w:bCs/>
          <w:color w:val="000000"/>
          <w:sz w:val="84"/>
          <w:szCs w:val="24"/>
        </w:rPr>
      </w:pPr>
      <w:r>
        <w:rPr>
          <w:rFonts w:hint="eastAsia" w:ascii="仿宋" w:hAnsi="仿宋" w:eastAsia="仿宋" w:cs="仿宋"/>
          <w:b/>
          <w:bCs/>
          <w:color w:val="000000"/>
          <w:sz w:val="84"/>
          <w:szCs w:val="24"/>
        </w:rPr>
        <w:t xml:space="preserve">                                               </w:t>
      </w:r>
      <w:r/>
    </w:p>
    <w:p>
      <w:pPr>
        <w:jc w:val="center"/>
        <w:spacing w:before="120" w:after="120" w:line="360" w:lineRule="auto"/>
        <w:rPr>
          <w:rFonts w:ascii="仿宋" w:hAnsi="仿宋" w:eastAsia="仿宋" w:cs="仿宋"/>
          <w:b/>
          <w:bCs/>
          <w:color w:val="000000"/>
          <w:sz w:val="84"/>
          <w:szCs w:val="24"/>
        </w:rPr>
      </w:pPr>
      <w:r>
        <w:rPr>
          <w:rFonts w:hint="eastAsia" w:ascii="仿宋" w:hAnsi="仿宋" w:eastAsia="仿宋" w:cs="仿宋"/>
          <w:b/>
          <w:bCs/>
          <w:color w:val="000000"/>
          <w:sz w:val="84"/>
          <w:szCs w:val="24"/>
        </w:rPr>
        <w:t xml:space="preserve">招　标　文　件</w:t>
      </w:r>
      <w:r/>
    </w:p>
    <w:p>
      <w:pPr>
        <w:jc w:val="center"/>
        <w:spacing w:before="120" w:after="120" w:line="360" w:lineRule="auto"/>
        <w:rPr>
          <w:rFonts w:ascii="仿宋" w:hAnsi="仿宋" w:eastAsia="仿宋" w:cs="仿宋"/>
          <w:b/>
          <w:bCs/>
          <w:color w:val="000000"/>
          <w:sz w:val="32"/>
          <w:szCs w:val="24"/>
        </w:rPr>
      </w:pPr>
      <w:r>
        <w:rPr>
          <w:rFonts w:hint="eastAsia" w:ascii="仿宋" w:hAnsi="仿宋" w:eastAsia="仿宋" w:cs="仿宋"/>
          <w:b/>
          <w:bCs/>
          <w:color w:val="000000"/>
          <w:sz w:val="32"/>
          <w:szCs w:val="24"/>
        </w:rPr>
        <w:t xml:space="preserve">项目名称：如东县丰利人民法庭家具采购及安装项目</w:t>
      </w:r>
      <w:r/>
    </w:p>
    <w:p>
      <w:pPr>
        <w:jc w:val="center"/>
        <w:spacing w:before="120" w:after="120" w:line="360" w:lineRule="auto"/>
        <w:rPr>
          <w:rFonts w:ascii="仿宋" w:hAnsi="仿宋" w:eastAsia="仿宋" w:cs="仿宋"/>
          <w:b/>
          <w:bCs/>
          <w:sz w:val="32"/>
          <w:szCs w:val="24"/>
        </w:rPr>
      </w:pPr>
      <w:r>
        <w:rPr>
          <w:rFonts w:hint="eastAsia" w:ascii="仿宋" w:hAnsi="仿宋" w:eastAsia="仿宋" w:cs="仿宋"/>
          <w:b/>
          <w:bCs/>
          <w:sz w:val="32"/>
          <w:szCs w:val="24"/>
        </w:rPr>
        <w:t xml:space="preserve">项目编号：JSZC-320623-JZCG-G2026-0004</w:t>
      </w:r>
      <w:r/>
    </w:p>
    <w:p>
      <w:pPr>
        <w:ind w:left="2800" w:hanging="2800"/>
        <w:rPr>
          <w:rFonts w:ascii="仿宋" w:hAnsi="仿宋" w:eastAsia="仿宋" w:cs="仿宋"/>
          <w:b/>
          <w:sz w:val="28"/>
          <w:szCs w:val="28"/>
        </w:rPr>
      </w:pP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  </w:t>
      </w:r>
      <w:r>
        <w:rPr>
          <w:rFonts w:hint="eastAsia" w:ascii="仿宋" w:hAnsi="仿宋" w:eastAsia="仿宋" w:cs="仿宋"/>
          <w:b/>
          <w:sz w:val="28"/>
          <w:szCs w:val="28"/>
        </w:rPr>
        <w:t xml:space="preserve"> </w:t>
      </w:r>
      <w:r/>
    </w:p>
    <w:p>
      <w:pPr>
        <w:jc w:val="center"/>
        <w:rPr>
          <w:rFonts w:ascii="仿宋" w:hAnsi="仿宋" w:eastAsia="仿宋" w:cs="仿宋"/>
          <w:b/>
          <w:color w:val="ff0000"/>
          <w:sz w:val="28"/>
          <w:szCs w:val="28"/>
        </w:rPr>
      </w:pPr>
      <w:r>
        <w:rPr>
          <w:rFonts w:hint="eastAsia" w:ascii="仿宋" w:hAnsi="仿宋" w:eastAsia="仿宋" w:cs="仿宋"/>
          <w:b/>
          <w:color w:val="ff0000"/>
          <w:sz w:val="28"/>
          <w:szCs w:val="28"/>
        </w:rPr>
        <w:t xml:space="preserve">（全流程电子化-货物类项目，适用苏采云系统）</w:t>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center"/>
        <w:spacing w:before="120" w:after="120" w:line="360" w:lineRule="auto"/>
        <w:rPr>
          <w:rFonts w:ascii="仿宋" w:hAnsi="仿宋" w:eastAsia="仿宋" w:cs="仿宋"/>
          <w:b/>
          <w:bCs/>
          <w:color w:val="000000"/>
          <w:sz w:val="32"/>
          <w:szCs w:val="24"/>
        </w:rPr>
      </w:pPr>
      <w:r>
        <w:rPr>
          <w:rFonts w:hint="eastAsia" w:ascii="仿宋" w:hAnsi="仿宋" w:eastAsia="仿宋" w:cs="仿宋"/>
          <w:b/>
          <w:bCs/>
          <w:color w:val="000000"/>
          <w:sz w:val="32"/>
          <w:szCs w:val="24"/>
        </w:rPr>
        <w:t xml:space="preserve">如东县公共资源交易中心</w:t>
      </w:r>
      <w:r/>
    </w:p>
    <w:p>
      <w:pPr>
        <w:jc w:val="center"/>
        <w:spacing w:before="120" w:after="120" w:line="360" w:lineRule="auto"/>
        <w:rPr>
          <w:rFonts w:ascii="仿宋" w:hAnsi="仿宋" w:eastAsia="仿宋" w:cs="仿宋"/>
          <w:b/>
          <w:bCs/>
          <w:color w:val="000000"/>
          <w:sz w:val="32"/>
          <w:szCs w:val="24"/>
        </w:rPr>
      </w:pPr>
      <w:r>
        <w:rPr>
          <w:rFonts w:hint="eastAsia" w:ascii="仿宋" w:hAnsi="仿宋" w:eastAsia="仿宋" w:cs="仿宋"/>
          <w:b/>
          <w:bCs/>
          <w:color w:val="000000"/>
          <w:sz w:val="32"/>
          <w:szCs w:val="24"/>
        </w:rPr>
        <w:t xml:space="preserve">202</w:t>
      </w:r>
      <w:r>
        <w:rPr>
          <w:rFonts w:hint="eastAsia" w:ascii="仿宋" w:hAnsi="仿宋" w:eastAsia="仿宋" w:cs="仿宋"/>
          <w:b/>
          <w:bCs/>
          <w:color w:val="000000"/>
          <w:sz w:val="32"/>
          <w:szCs w:val="24"/>
          <w:lang w:val="en-US" w:eastAsia="zh-CN"/>
        </w:rPr>
        <w:t xml:space="preserve">6</w:t>
      </w:r>
      <w:r>
        <w:rPr>
          <w:rFonts w:hint="eastAsia" w:ascii="仿宋" w:hAnsi="仿宋" w:eastAsia="仿宋" w:cs="仿宋"/>
          <w:b/>
          <w:bCs/>
          <w:color w:val="000000"/>
          <w:sz w:val="32"/>
          <w:szCs w:val="24"/>
        </w:rPr>
        <w:t xml:space="preserve">年1月</w:t>
      </w:r>
      <w:r/>
    </w:p>
    <w:p>
      <w:pPr>
        <w:jc w:val="left"/>
        <w:spacing w:before="120" w:after="120"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                        </w:t>
      </w:r>
      <w:r/>
    </w:p>
    <w:p>
      <w:pPr>
        <w:jc w:val="center"/>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center"/>
        <w:spacing w:line="480" w:lineRule="auto"/>
        <w:rPr>
          <w:rFonts w:ascii="仿宋" w:hAnsi="仿宋" w:eastAsia="仿宋" w:cs="仿宋"/>
          <w:b/>
          <w:color w:val="000000"/>
          <w:sz w:val="44"/>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pPr>
      <w:r/>
      <w:bookmarkStart w:id="0" w:name="_Toc120614210"/>
      <w:r/>
      <w:bookmarkStart w:id="1" w:name="_Toc16938516"/>
      <w:r/>
      <w:bookmarkStart w:id="2" w:name="_Toc479757206"/>
      <w:r/>
      <w:bookmarkStart w:id="3" w:name="_Toc523127445"/>
      <w:r/>
      <w:bookmarkStart w:id="4" w:name="_Toc513029200"/>
      <w:r/>
      <w:bookmarkStart w:id="5" w:name="_Toc20823272"/>
      <w:r/>
      <w:r/>
    </w:p>
    <w:p>
      <w:pPr>
        <w:jc w:val="center"/>
        <w:spacing w:line="480" w:lineRule="auto"/>
        <w:rPr>
          <w:rFonts w:ascii="仿宋" w:hAnsi="仿宋" w:eastAsia="仿宋" w:cs="仿宋"/>
          <w:b/>
          <w:color w:val="000000"/>
          <w:sz w:val="44"/>
          <w:szCs w:val="21"/>
        </w:rPr>
      </w:pPr>
      <w:r>
        <w:rPr>
          <w:rFonts w:hint="eastAsia" w:ascii="仿宋" w:hAnsi="仿宋" w:eastAsia="仿宋" w:cs="仿宋"/>
          <w:b/>
          <w:color w:val="000000"/>
          <w:sz w:val="44"/>
          <w:szCs w:val="21"/>
        </w:rPr>
        <w:t xml:space="preserve">总  目  录</w:t>
      </w:r>
      <w:r/>
    </w:p>
    <w:p>
      <w:pPr>
        <w:spacing w:line="480" w:lineRule="auto"/>
        <w:rPr>
          <w:rFonts w:ascii="仿宋" w:hAnsi="仿宋" w:eastAsia="仿宋" w:cs="仿宋"/>
          <w:b/>
          <w:color w:val="000000"/>
          <w:sz w:val="28"/>
          <w:szCs w:val="21"/>
        </w:rPr>
      </w:pPr>
      <w:r>
        <w:rPr>
          <w:rFonts w:ascii="仿宋" w:hAnsi="仿宋" w:eastAsia="仿宋" w:cs="仿宋"/>
          <w:b/>
          <w:color w:val="000000"/>
          <w:sz w:val="28"/>
          <w:szCs w:val="21"/>
        </w:rPr>
      </w:r>
      <w:r/>
    </w:p>
    <w:p>
      <w:pPr>
        <w:pStyle w:val="755"/>
        <w:tabs>
          <w:tab w:val="clear" w:pos="8720" w:leader="none"/>
          <w:tab w:val="right" w:pos="8953" w:leader="dot"/>
        </w:tabs>
        <w:rPr>
          <w:rFonts w:ascii="仿宋" w:hAnsi="仿宋" w:eastAsia="仿宋" w:cs="仿宋"/>
          <w:sz w:val="36"/>
          <w:szCs w:val="36"/>
        </w:rPr>
      </w:pPr>
      <w:r>
        <w:rPr>
          <w:rFonts w:hint="eastAsia" w:ascii="仿宋" w:hAnsi="仿宋" w:eastAsia="仿宋" w:cs="仿宋"/>
          <w:color w:val="000000"/>
          <w:sz w:val="36"/>
          <w:szCs w:val="36"/>
        </w:rPr>
        <w:fldChar w:fldCharType="begin"/>
      </w:r>
      <w:r>
        <w:rPr>
          <w:rFonts w:hint="eastAsia" w:ascii="仿宋" w:hAnsi="仿宋" w:eastAsia="仿宋" w:cs="仿宋"/>
          <w:color w:val="000000"/>
          <w:sz w:val="36"/>
          <w:szCs w:val="36"/>
        </w:rPr>
        <w:instrText xml:space="preserve">TOC \o "1-1" \h \u </w:instrText>
      </w:r>
      <w:r>
        <w:rPr>
          <w:rFonts w:hint="eastAsia" w:ascii="仿宋" w:hAnsi="仿宋" w:eastAsia="仿宋" w:cs="仿宋"/>
          <w:color w:val="000000"/>
          <w:sz w:val="36"/>
          <w:szCs w:val="36"/>
        </w:rPr>
        <w:fldChar w:fldCharType="separate"/>
      </w:r>
      <w:r>
        <w:fldChar w:fldCharType="begin"/>
      </w:r>
      <w:r>
        <w:instrText xml:space="preserve"> HYPERLINK \l "_Toc28938" </w:instrText>
      </w:r>
      <w:r>
        <w:fldChar w:fldCharType="separate"/>
      </w:r>
      <w:r>
        <w:rPr>
          <w:rFonts w:hint="eastAsia" w:ascii="仿宋" w:hAnsi="仿宋" w:eastAsia="仿宋" w:cs="仿宋"/>
          <w:sz w:val="36"/>
          <w:szCs w:val="56"/>
        </w:rPr>
        <w:t xml:space="preserve">第一章  投标邀请</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_Toc28938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2</w:t>
      </w:r>
      <w:r>
        <w:rPr>
          <w:rFonts w:hint="eastAsia" w:ascii="仿宋" w:hAnsi="仿宋" w:eastAsia="仿宋" w:cs="仿宋"/>
          <w:sz w:val="36"/>
          <w:szCs w:val="36"/>
        </w:rPr>
        <w:fldChar w:fldCharType="end"/>
      </w:r>
      <w:r>
        <w:rPr>
          <w:rFonts w:hint="eastAsia" w:ascii="仿宋" w:hAnsi="仿宋" w:eastAsia="仿宋" w:cs="仿宋"/>
          <w:sz w:val="36"/>
          <w:szCs w:val="36"/>
        </w:rPr>
        <w:fldChar w:fldCharType="end"/>
      </w:r>
      <w:r/>
    </w:p>
    <w:p>
      <w:pPr>
        <w:pStyle w:val="755"/>
        <w:tabs>
          <w:tab w:val="clear" w:pos="8720" w:leader="none"/>
          <w:tab w:val="right" w:pos="8953" w:leader="dot"/>
        </w:tabs>
        <w:rPr>
          <w:rFonts w:ascii="仿宋" w:hAnsi="仿宋" w:eastAsia="仿宋" w:cs="仿宋"/>
          <w:sz w:val="36"/>
          <w:szCs w:val="36"/>
        </w:rPr>
      </w:pPr>
      <w:r>
        <w:fldChar w:fldCharType="begin"/>
      </w:r>
      <w:r>
        <w:instrText xml:space="preserve"> HYPERLINK \l "_Toc8900" </w:instrText>
      </w:r>
      <w:r>
        <w:fldChar w:fldCharType="separate"/>
      </w:r>
      <w:r>
        <w:rPr>
          <w:rFonts w:hint="eastAsia" w:ascii="仿宋" w:hAnsi="仿宋" w:eastAsia="仿宋" w:cs="仿宋"/>
          <w:bCs/>
          <w:sz w:val="36"/>
          <w:szCs w:val="56"/>
        </w:rPr>
        <w:t xml:space="preserve">第二章  投标人须知</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_Toc8900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6</w:t>
      </w:r>
      <w:r>
        <w:rPr>
          <w:rFonts w:hint="eastAsia" w:ascii="仿宋" w:hAnsi="仿宋" w:eastAsia="仿宋" w:cs="仿宋"/>
          <w:sz w:val="36"/>
          <w:szCs w:val="36"/>
        </w:rPr>
        <w:fldChar w:fldCharType="end"/>
      </w:r>
      <w:r>
        <w:rPr>
          <w:rFonts w:hint="eastAsia" w:ascii="仿宋" w:hAnsi="仿宋" w:eastAsia="仿宋" w:cs="仿宋"/>
          <w:sz w:val="36"/>
          <w:szCs w:val="36"/>
        </w:rPr>
        <w:fldChar w:fldCharType="end"/>
      </w:r>
      <w:r/>
    </w:p>
    <w:p>
      <w:pPr>
        <w:pStyle w:val="755"/>
        <w:tabs>
          <w:tab w:val="clear" w:pos="8720" w:leader="none"/>
          <w:tab w:val="right" w:pos="8953" w:leader="dot"/>
        </w:tabs>
        <w:rPr>
          <w:rFonts w:ascii="仿宋" w:hAnsi="仿宋" w:eastAsia="仿宋" w:cs="仿宋"/>
          <w:sz w:val="36"/>
          <w:szCs w:val="36"/>
        </w:rPr>
      </w:pPr>
      <w:r>
        <w:fldChar w:fldCharType="begin"/>
      </w:r>
      <w:r>
        <w:instrText xml:space="preserve"> HYPERLINK \l "_Toc15715" </w:instrText>
      </w:r>
      <w:r>
        <w:fldChar w:fldCharType="separate"/>
      </w:r>
      <w:r>
        <w:rPr>
          <w:rFonts w:hint="eastAsia" w:ascii="仿宋" w:hAnsi="仿宋" w:eastAsia="仿宋" w:cs="仿宋"/>
          <w:bCs/>
          <w:sz w:val="36"/>
          <w:szCs w:val="40"/>
        </w:rPr>
        <w:t xml:space="preserve">第三章  合同文本</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_Toc15715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16</w:t>
      </w:r>
      <w:r>
        <w:rPr>
          <w:rFonts w:hint="eastAsia" w:ascii="仿宋" w:hAnsi="仿宋" w:eastAsia="仿宋" w:cs="仿宋"/>
          <w:sz w:val="36"/>
          <w:szCs w:val="36"/>
        </w:rPr>
        <w:fldChar w:fldCharType="end"/>
      </w:r>
      <w:r>
        <w:rPr>
          <w:rFonts w:hint="eastAsia" w:ascii="仿宋" w:hAnsi="仿宋" w:eastAsia="仿宋" w:cs="仿宋"/>
          <w:sz w:val="36"/>
          <w:szCs w:val="36"/>
        </w:rPr>
        <w:fldChar w:fldCharType="end"/>
      </w:r>
      <w:r/>
    </w:p>
    <w:p>
      <w:pPr>
        <w:pStyle w:val="755"/>
        <w:tabs>
          <w:tab w:val="clear" w:pos="8720" w:leader="none"/>
          <w:tab w:val="right" w:pos="8953" w:leader="dot"/>
        </w:tabs>
        <w:rPr>
          <w:rFonts w:ascii="仿宋" w:hAnsi="仿宋" w:eastAsia="仿宋" w:cs="仿宋"/>
          <w:sz w:val="36"/>
          <w:szCs w:val="36"/>
        </w:rPr>
      </w:pPr>
      <w:r>
        <w:fldChar w:fldCharType="begin"/>
      </w:r>
      <w:r>
        <w:instrText xml:space="preserve"> HYPERLINK \l "_Toc26382" </w:instrText>
      </w:r>
      <w:r>
        <w:fldChar w:fldCharType="separate"/>
      </w:r>
      <w:r>
        <w:rPr>
          <w:rFonts w:hint="eastAsia" w:ascii="仿宋" w:hAnsi="仿宋" w:eastAsia="仿宋" w:cs="仿宋"/>
          <w:bCs/>
          <w:sz w:val="36"/>
          <w:szCs w:val="28"/>
        </w:rPr>
        <w:t xml:space="preserve">第四章  采购需求</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_Toc26382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20</w:t>
      </w:r>
      <w:r>
        <w:rPr>
          <w:rFonts w:hint="eastAsia" w:ascii="仿宋" w:hAnsi="仿宋" w:eastAsia="仿宋" w:cs="仿宋"/>
          <w:sz w:val="36"/>
          <w:szCs w:val="36"/>
        </w:rPr>
        <w:fldChar w:fldCharType="end"/>
      </w:r>
      <w:r>
        <w:rPr>
          <w:rFonts w:hint="eastAsia" w:ascii="仿宋" w:hAnsi="仿宋" w:eastAsia="仿宋" w:cs="仿宋"/>
          <w:sz w:val="36"/>
          <w:szCs w:val="36"/>
        </w:rPr>
        <w:fldChar w:fldCharType="end"/>
      </w:r>
      <w:r/>
    </w:p>
    <w:p>
      <w:pPr>
        <w:pStyle w:val="755"/>
        <w:tabs>
          <w:tab w:val="clear" w:pos="8720" w:leader="none"/>
          <w:tab w:val="right" w:pos="8953" w:leader="dot"/>
        </w:tabs>
        <w:rPr>
          <w:rFonts w:ascii="仿宋" w:hAnsi="仿宋" w:eastAsia="仿宋" w:cs="仿宋"/>
          <w:sz w:val="36"/>
          <w:szCs w:val="36"/>
        </w:rPr>
      </w:pPr>
      <w:r>
        <w:fldChar w:fldCharType="begin"/>
      </w:r>
      <w:r>
        <w:instrText xml:space="preserve"> HYPERLINK \l "_Toc8870" </w:instrText>
      </w:r>
      <w:r>
        <w:fldChar w:fldCharType="separate"/>
      </w:r>
      <w:r>
        <w:rPr>
          <w:rFonts w:hint="eastAsia" w:ascii="仿宋" w:hAnsi="仿宋" w:eastAsia="仿宋" w:cs="仿宋"/>
          <w:bCs/>
          <w:sz w:val="36"/>
          <w:szCs w:val="40"/>
        </w:rPr>
        <w:t xml:space="preserve">第五章  评标方法与评标标准</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_Toc8870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41</w:t>
      </w:r>
      <w:r>
        <w:rPr>
          <w:rFonts w:hint="eastAsia" w:ascii="仿宋" w:hAnsi="仿宋" w:eastAsia="仿宋" w:cs="仿宋"/>
          <w:sz w:val="36"/>
          <w:szCs w:val="36"/>
        </w:rPr>
        <w:fldChar w:fldCharType="end"/>
      </w:r>
      <w:r>
        <w:rPr>
          <w:rFonts w:hint="eastAsia" w:ascii="仿宋" w:hAnsi="仿宋" w:eastAsia="仿宋" w:cs="仿宋"/>
          <w:sz w:val="36"/>
          <w:szCs w:val="36"/>
        </w:rPr>
        <w:fldChar w:fldCharType="end"/>
      </w:r>
      <w:r/>
    </w:p>
    <w:p>
      <w:pPr>
        <w:pStyle w:val="755"/>
        <w:tabs>
          <w:tab w:val="clear" w:pos="8720" w:leader="none"/>
          <w:tab w:val="right" w:pos="8953" w:leader="dot"/>
        </w:tabs>
        <w:rPr>
          <w:rFonts w:ascii="仿宋" w:hAnsi="仿宋" w:eastAsia="仿宋" w:cs="仿宋"/>
        </w:rPr>
      </w:pPr>
      <w:r>
        <w:fldChar w:fldCharType="begin"/>
      </w:r>
      <w:r>
        <w:instrText xml:space="preserve"> HYPERLINK \l "_Toc5763" </w:instrText>
      </w:r>
      <w:r>
        <w:fldChar w:fldCharType="separate"/>
      </w:r>
      <w:r>
        <w:rPr>
          <w:rFonts w:hint="eastAsia" w:ascii="仿宋" w:hAnsi="仿宋" w:eastAsia="仿宋" w:cs="仿宋"/>
          <w:bCs/>
          <w:sz w:val="36"/>
          <w:szCs w:val="40"/>
        </w:rPr>
        <w:t xml:space="preserve">第六章  投标文件格式</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_Toc5763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45</w:t>
      </w:r>
      <w:r>
        <w:rPr>
          <w:rFonts w:hint="eastAsia" w:ascii="仿宋" w:hAnsi="仿宋" w:eastAsia="仿宋" w:cs="仿宋"/>
          <w:sz w:val="36"/>
          <w:szCs w:val="36"/>
        </w:rPr>
        <w:fldChar w:fldCharType="end"/>
      </w:r>
      <w:r>
        <w:rPr>
          <w:rFonts w:hint="eastAsia" w:ascii="仿宋" w:hAnsi="仿宋" w:eastAsia="仿宋" w:cs="仿宋"/>
          <w:sz w:val="36"/>
          <w:szCs w:val="36"/>
        </w:rPr>
        <w:fldChar w:fldCharType="end"/>
      </w:r>
      <w:r/>
    </w:p>
    <w:p>
      <w:pPr>
        <w:rPr>
          <w:rFonts w:ascii="仿宋" w:hAnsi="仿宋" w:eastAsia="仿宋" w:cs="仿宋"/>
          <w:color w:val="000000"/>
          <w:sz w:val="36"/>
          <w:szCs w:val="36"/>
        </w:rPr>
      </w:pPr>
      <w:r>
        <w:rPr>
          <w:rFonts w:hint="eastAsia" w:ascii="仿宋" w:hAnsi="仿宋" w:eastAsia="仿宋" w:cs="仿宋"/>
          <w:color w:val="000000"/>
          <w:szCs w:val="36"/>
        </w:rPr>
        <w:fldChar w:fldCharType="end"/>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jc w:val="center"/>
        <w:keepNext/>
        <w:rPr>
          <w:rFonts w:ascii="仿宋" w:hAnsi="仿宋" w:eastAsia="仿宋" w:cs="仿宋"/>
          <w:b/>
          <w:bCs/>
          <w:color w:val="000000"/>
          <w:sz w:val="44"/>
          <w:szCs w:val="44"/>
        </w:rPr>
        <w:outlineLvl w:val="0"/>
      </w:pPr>
      <w:r/>
      <w:bookmarkStart w:id="6" w:name="_Toc28938"/>
      <w:r>
        <w:rPr>
          <w:rFonts w:hint="eastAsia" w:ascii="仿宋" w:hAnsi="仿宋" w:eastAsia="仿宋" w:cs="仿宋"/>
          <w:b/>
          <w:bCs/>
          <w:color w:val="000000"/>
          <w:sz w:val="44"/>
          <w:szCs w:val="44"/>
        </w:rPr>
        <w:t xml:space="preserve">第一章  </w:t>
      </w:r>
      <w:bookmarkEnd w:id="0"/>
      <w:r>
        <w:rPr>
          <w:rFonts w:hint="eastAsia" w:ascii="仿宋" w:hAnsi="仿宋" w:eastAsia="仿宋" w:cs="仿宋"/>
          <w:b/>
          <w:bCs/>
          <w:color w:val="000000"/>
          <w:sz w:val="44"/>
          <w:szCs w:val="44"/>
        </w:rPr>
        <w:t xml:space="preserve">投标邀请</w:t>
      </w:r>
      <w:bookmarkEnd w:id="6"/>
      <w:r/>
      <w:r/>
    </w:p>
    <w:p>
      <w:pPr>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受如东县人民法院的委托，如东县公共资源交易中心就如东县丰利人民法庭家具采购</w:t>
      </w:r>
      <w:r>
        <w:rPr>
          <w:rFonts w:hint="eastAsia" w:ascii="仿宋" w:hAnsi="仿宋" w:eastAsia="仿宋" w:cs="仿宋"/>
          <w:color w:val="000000"/>
          <w:sz w:val="24"/>
          <w:szCs w:val="24"/>
          <w:lang w:eastAsia="zh-CN"/>
        </w:rPr>
        <w:t xml:space="preserve">及安装</w:t>
      </w:r>
      <w:r>
        <w:rPr>
          <w:rFonts w:hint="eastAsia" w:ascii="仿宋" w:hAnsi="仿宋" w:eastAsia="仿宋" w:cs="仿宋"/>
          <w:color w:val="000000"/>
          <w:sz w:val="24"/>
          <w:szCs w:val="24"/>
        </w:rPr>
        <w:t xml:space="preserve">项目</w:t>
      </w:r>
      <w:r>
        <w:rPr>
          <w:rFonts w:hint="eastAsia" w:ascii="仿宋" w:hAnsi="仿宋" w:eastAsia="仿宋" w:cs="仿宋"/>
          <w:color w:val="000000"/>
          <w:sz w:val="24"/>
          <w:szCs w:val="24"/>
          <w:highlight w:val="none"/>
        </w:rPr>
        <w:t xml:space="preserve">([JSZC-320623-JZCG-G2026-0004])</w:t>
      </w:r>
      <w:r>
        <w:rPr>
          <w:rFonts w:hint="eastAsia" w:ascii="仿宋" w:hAnsi="仿宋" w:eastAsia="仿宋" w:cs="仿宋"/>
          <w:color w:val="000000"/>
          <w:sz w:val="24"/>
          <w:szCs w:val="24"/>
        </w:rPr>
        <w:t xml:space="preserve">项目进行公开招标采购，欢迎符合条件的供应商投标。</w:t>
      </w:r>
      <w:r/>
    </w:p>
    <w:p>
      <w:pPr>
        <w:ind w:firstLine="480"/>
        <w:rPr>
          <w:rFonts w:ascii="仿宋" w:hAnsi="仿宋" w:eastAsia="仿宋" w:cs="仿宋"/>
          <w:color w:val="000000"/>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rPr>
        <w:t xml:space="preserve">项目概况</w:t>
      </w:r>
      <w:r/>
    </w:p>
    <w:p>
      <w:pPr>
        <w:ind w:firstLine="480"/>
        <w:rPr>
          <w:rFonts w:ascii="仿宋" w:hAnsi="仿宋" w:eastAsia="仿宋" w:cs="仿宋"/>
          <w:color w:val="000000"/>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u w:val="single"/>
        </w:rPr>
        <w:t xml:space="preserve">如东县丰利人民法庭家具采购</w:t>
      </w:r>
      <w:r>
        <w:rPr>
          <w:rFonts w:hint="eastAsia" w:ascii="仿宋" w:hAnsi="仿宋" w:eastAsia="仿宋" w:cs="仿宋"/>
          <w:color w:val="000000"/>
          <w:sz w:val="24"/>
          <w:szCs w:val="24"/>
          <w:u w:val="single"/>
          <w:lang w:eastAsia="zh-CN"/>
        </w:rPr>
        <w:t xml:space="preserve">及安装</w:t>
      </w:r>
      <w:r>
        <w:rPr>
          <w:rFonts w:hint="eastAsia" w:ascii="仿宋" w:hAnsi="仿宋" w:eastAsia="仿宋" w:cs="仿宋"/>
          <w:color w:val="000000"/>
          <w:sz w:val="24"/>
          <w:szCs w:val="24"/>
          <w:u w:val="single"/>
        </w:rPr>
        <w:t xml:space="preserve">项目 </w:t>
      </w:r>
      <w:r>
        <w:rPr>
          <w:rFonts w:hint="eastAsia" w:ascii="仿宋" w:hAnsi="仿宋" w:eastAsia="仿宋" w:cs="仿宋"/>
          <w:color w:val="000000"/>
          <w:sz w:val="24"/>
          <w:szCs w:val="24"/>
        </w:rPr>
        <w:t xml:space="preserve">招标项目的潜在投标人可在</w:t>
      </w:r>
      <w:r>
        <w:rPr>
          <w:rFonts w:hint="eastAsia" w:ascii="仿宋" w:hAnsi="仿宋" w:eastAsia="仿宋" w:cs="仿宋"/>
          <w:color w:val="000000"/>
          <w:sz w:val="24"/>
          <w:szCs w:val="24"/>
          <w:u w:val="single"/>
        </w:rPr>
        <w:t xml:space="preserve">“江苏政府采购网”自行免费下载</w:t>
      </w:r>
      <w:r>
        <w:rPr>
          <w:rFonts w:hint="eastAsia" w:ascii="仿宋" w:hAnsi="仿宋" w:eastAsia="仿宋" w:cs="仿宋"/>
          <w:color w:val="000000"/>
          <w:sz w:val="24"/>
          <w:szCs w:val="24"/>
        </w:rPr>
        <w:t xml:space="preserve">招标文件，并于</w:t>
      </w:r>
      <w:r>
        <w:rPr>
          <w:rFonts w:hint="eastAsia" w:ascii="仿宋" w:hAnsi="仿宋" w:eastAsia="仿宋" w:cs="仿宋"/>
          <w:color w:val="000000"/>
          <w:sz w:val="24"/>
          <w:szCs w:val="24"/>
          <w:u w:val="single"/>
          <w:lang w:val="en-US" w:eastAsia="zh-CN"/>
        </w:rPr>
        <w:t xml:space="preserve">2026</w:t>
      </w:r>
      <w:r>
        <w:rPr>
          <w:rFonts w:hint="eastAsia" w:ascii="仿宋" w:hAnsi="仿宋" w:eastAsia="仿宋" w:cs="仿宋"/>
          <w:bCs/>
          <w:color w:val="000000"/>
          <w:sz w:val="24"/>
          <w:szCs w:val="24"/>
          <w:highlight w:val="none"/>
          <w:u w:val="single"/>
        </w:rPr>
        <w:t xml:space="preserve">年</w:t>
      </w:r>
      <w:r>
        <w:rPr>
          <w:rFonts w:hint="eastAsia" w:ascii="仿宋" w:hAnsi="仿宋" w:eastAsia="仿宋" w:cs="仿宋"/>
          <w:bCs/>
          <w:color w:val="000000"/>
          <w:sz w:val="24"/>
          <w:szCs w:val="24"/>
          <w:highlight w:val="none"/>
          <w:u w:val="single"/>
          <w:lang w:val="en-US" w:eastAsia="zh-CN"/>
        </w:rPr>
        <w:t xml:space="preserve">2</w:t>
      </w:r>
      <w:r>
        <w:rPr>
          <w:rFonts w:hint="eastAsia" w:ascii="仿宋" w:hAnsi="仿宋" w:eastAsia="仿宋" w:cs="仿宋"/>
          <w:bCs/>
          <w:color w:val="000000"/>
          <w:sz w:val="24"/>
          <w:szCs w:val="24"/>
          <w:highlight w:val="none"/>
          <w:u w:val="single"/>
        </w:rPr>
        <w:t xml:space="preserve">月</w:t>
      </w:r>
      <w:r>
        <w:rPr>
          <w:rFonts w:hint="eastAsia" w:ascii="仿宋" w:hAnsi="仿宋" w:eastAsia="仿宋" w:cs="仿宋"/>
          <w:bCs/>
          <w:color w:val="000000"/>
          <w:sz w:val="24"/>
          <w:szCs w:val="24"/>
          <w:highlight w:val="none"/>
          <w:u w:val="single"/>
          <w:lang w:val="en-US" w:eastAsia="zh-CN"/>
        </w:rPr>
        <w:t xml:space="preserve">27</w:t>
      </w:r>
      <w:r>
        <w:rPr>
          <w:rFonts w:hint="eastAsia" w:ascii="仿宋" w:hAnsi="仿宋" w:eastAsia="仿宋" w:cs="仿宋"/>
          <w:bCs/>
          <w:color w:val="000000"/>
          <w:sz w:val="24"/>
          <w:szCs w:val="24"/>
          <w:highlight w:val="none"/>
          <w:u w:val="single"/>
        </w:rPr>
        <w:t xml:space="preserve">日8点30分（</w:t>
      </w:r>
      <w:r>
        <w:rPr>
          <w:rFonts w:hint="eastAsia" w:ascii="仿宋" w:hAnsi="仿宋" w:eastAsia="仿宋" w:cs="仿宋"/>
          <w:bCs/>
          <w:color w:val="000000"/>
          <w:sz w:val="24"/>
          <w:szCs w:val="24"/>
        </w:rPr>
        <w:t xml:space="preserve">北京时间）前递交投标文件</w:t>
      </w:r>
      <w:r>
        <w:rPr>
          <w:rFonts w:hint="eastAsia" w:ascii="仿宋" w:hAnsi="仿宋" w:eastAsia="仿宋" w:cs="仿宋"/>
          <w:color w:val="000000"/>
          <w:sz w:val="24"/>
          <w:szCs w:val="24"/>
        </w:rPr>
        <w:t xml:space="preserve">。</w:t>
      </w:r>
      <w:r/>
    </w:p>
    <w:p>
      <w:pPr>
        <w:ind w:firstLine="498"/>
        <w:keepLines/>
        <w:keepNext/>
        <w:spacing w:before="145" w:after="145" w:line="400" w:lineRule="exact"/>
        <w:rPr>
          <w:rFonts w:ascii="仿宋" w:hAnsi="仿宋" w:eastAsia="仿宋" w:cs="仿宋"/>
          <w:b/>
          <w:bCs/>
          <w:color w:val="000000"/>
          <w:sz w:val="32"/>
          <w:szCs w:val="32"/>
        </w:rPr>
      </w:pPr>
      <w:r/>
      <w:bookmarkStart w:id="7" w:name="_Toc28359079"/>
      <w:r/>
      <w:bookmarkStart w:id="8" w:name="_Toc35393790"/>
      <w:r/>
      <w:bookmarkStart w:id="9" w:name="_Toc35393621"/>
      <w:r/>
      <w:bookmarkStart w:id="10" w:name="_Toc38985263"/>
      <w:r/>
      <w:bookmarkStart w:id="11" w:name="_Toc28359002"/>
      <w:r/>
      <w:bookmarkStart w:id="12" w:name="_Hlk24379207"/>
      <w:r>
        <w:rPr>
          <w:rFonts w:hint="eastAsia" w:ascii="仿宋" w:hAnsi="仿宋" w:eastAsia="仿宋" w:cs="仿宋"/>
          <w:b/>
          <w:bCs/>
          <w:color w:val="000000"/>
          <w:sz w:val="32"/>
          <w:szCs w:val="32"/>
        </w:rPr>
        <w:t xml:space="preserve">一、项目基本情况</w:t>
      </w:r>
      <w:bookmarkEnd w:id="7"/>
      <w:r/>
      <w:bookmarkEnd w:id="8"/>
      <w:r/>
      <w:bookmarkEnd w:id="9"/>
      <w:r/>
      <w:bookmarkEnd w:id="10"/>
      <w:r/>
      <w:bookmarkEnd w:id="11"/>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1.项目编号：JSZC-320623-JZCG-G2026-0004</w:t>
      </w:r>
      <w:r/>
    </w:p>
    <w:p>
      <w:pPr>
        <w:ind w:firstLine="480"/>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2.项目名称：如东县丰利人民法庭家具采购及安装项目</w:t>
      </w:r>
      <w:r/>
    </w:p>
    <w:p>
      <w:pPr>
        <w:ind w:firstLine="480"/>
        <w:rPr>
          <w:rFonts w:ascii="仿宋" w:hAnsi="仿宋" w:eastAsia="仿宋" w:cs="仿宋"/>
          <w:sz w:val="24"/>
          <w:szCs w:val="24"/>
        </w:rPr>
      </w:pPr>
      <w:r>
        <w:rPr>
          <w:rFonts w:hint="eastAsia" w:ascii="仿宋" w:hAnsi="仿宋" w:eastAsia="仿宋" w:cs="仿宋"/>
          <w:sz w:val="24"/>
          <w:szCs w:val="24"/>
        </w:rPr>
        <w:t xml:space="preserve">3.采购方式：公开招标</w:t>
      </w:r>
      <w:r/>
    </w:p>
    <w:p>
      <w:pPr>
        <w:ind w:firstLine="480"/>
        <w:rPr>
          <w:rFonts w:ascii="仿宋" w:hAnsi="仿宋" w:eastAsia="仿宋" w:cs="仿宋"/>
          <w:sz w:val="24"/>
          <w:szCs w:val="24"/>
        </w:rPr>
      </w:pPr>
      <w:r>
        <w:rPr>
          <w:rFonts w:hint="eastAsia" w:ascii="仿宋" w:hAnsi="仿宋" w:eastAsia="仿宋" w:cs="仿宋"/>
          <w:sz w:val="24"/>
          <w:szCs w:val="24"/>
        </w:rPr>
        <w:t xml:space="preserve">4.项目类型：货物</w:t>
      </w:r>
      <w:r/>
    </w:p>
    <w:p>
      <w:pPr>
        <w:ind w:firstLine="480"/>
        <w:rPr>
          <w:rFonts w:ascii="仿宋" w:hAnsi="仿宋" w:eastAsia="仿宋" w:cs="仿宋"/>
          <w:sz w:val="24"/>
          <w:szCs w:val="24"/>
        </w:rPr>
      </w:pPr>
      <w:r>
        <w:rPr>
          <w:rFonts w:hint="eastAsia" w:ascii="仿宋" w:hAnsi="仿宋" w:eastAsia="仿宋" w:cs="仿宋"/>
          <w:sz w:val="24"/>
          <w:szCs w:val="24"/>
        </w:rPr>
        <w:t xml:space="preserve">5.所属行业：工业</w:t>
      </w:r>
      <w:r/>
    </w:p>
    <w:p>
      <w:pPr>
        <w:ind w:firstLine="480"/>
        <w:rPr>
          <w:rFonts w:ascii="仿宋" w:hAnsi="仿宋" w:eastAsia="仿宋" w:cs="仿宋"/>
          <w:sz w:val="24"/>
          <w:szCs w:val="24"/>
        </w:rPr>
      </w:pPr>
      <w:r>
        <w:rPr>
          <w:rFonts w:hint="eastAsia" w:ascii="仿宋" w:hAnsi="仿宋" w:eastAsia="仿宋" w:cs="仿宋"/>
          <w:sz w:val="24"/>
          <w:szCs w:val="24"/>
        </w:rPr>
        <w:t xml:space="preserve">6.</w:t>
      </w:r>
      <w:bookmarkEnd w:id="12"/>
      <w:r>
        <w:rPr>
          <w:rFonts w:hint="eastAsia" w:ascii="仿宋" w:hAnsi="仿宋" w:eastAsia="仿宋" w:cs="仿宋"/>
          <w:sz w:val="24"/>
          <w:szCs w:val="24"/>
        </w:rPr>
        <w:t xml:space="preserve">预算金额：</w:t>
      </w:r>
      <w:r>
        <w:rPr>
          <w:rFonts w:hint="eastAsia" w:ascii="仿宋" w:hAnsi="仿宋" w:eastAsia="仿宋" w:cs="仿宋"/>
          <w:sz w:val="24"/>
          <w:szCs w:val="24"/>
        </w:rPr>
        <w:t xml:space="preserve">83.098万元</w:t>
      </w:r>
      <w:r/>
    </w:p>
    <w:p>
      <w:pPr>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7.最高限价：80万元</w:t>
      </w:r>
      <w:r/>
    </w:p>
    <w:p>
      <w:pPr>
        <w:ind w:firstLine="480"/>
        <w:rPr>
          <w:rFonts w:ascii="仿宋" w:hAnsi="仿宋" w:eastAsia="仿宋" w:cs="仿宋"/>
          <w:sz w:val="24"/>
          <w:szCs w:val="24"/>
          <w:u w:val="single"/>
        </w:rPr>
      </w:pPr>
      <w:r/>
      <w:bookmarkStart w:id="13" w:name="_Toc35393791"/>
      <w:r/>
      <w:bookmarkStart w:id="14" w:name="_Toc35393622"/>
      <w:r/>
      <w:bookmarkStart w:id="15" w:name="_Toc28359080"/>
      <w:r/>
      <w:bookmarkStart w:id="16" w:name="_Toc28359003"/>
      <w:r/>
      <w:bookmarkStart w:id="17" w:name="_Toc38985264"/>
      <w:r>
        <w:rPr>
          <w:rFonts w:hint="eastAsia" w:ascii="仿宋" w:hAnsi="仿宋" w:eastAsia="仿宋" w:cs="仿宋"/>
          <w:sz w:val="24"/>
          <w:szCs w:val="24"/>
        </w:rPr>
        <w:t xml:space="preserve">8.采购需求（简介）：</w:t>
      </w:r>
      <w:r>
        <w:rPr>
          <w:rFonts w:hint="eastAsia" w:ascii="仿宋" w:hAnsi="仿宋" w:eastAsia="仿宋" w:cs="仿宋"/>
          <w:sz w:val="24"/>
          <w:szCs w:val="24"/>
        </w:rPr>
        <w:t xml:space="preserve">详细内容见本招标文件第四章</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9.合同履行期限：合同签订后，40个日历天内按采购清单和标书要求，完成本项目产品的供货安装调试，并通过采购人验收。</w:t>
      </w:r>
      <w:r/>
    </w:p>
    <w:p>
      <w:pPr>
        <w:ind w:firstLine="480"/>
        <w:keepLines/>
        <w:keepNext/>
        <w:spacing w:before="145" w:after="145"/>
        <w:rPr>
          <w:rFonts w:ascii="仿宋" w:hAnsi="仿宋" w:eastAsia="仿宋" w:cs="仿宋"/>
          <w:sz w:val="24"/>
          <w:szCs w:val="24"/>
        </w:rPr>
      </w:pPr>
      <w:r>
        <w:rPr>
          <w:rFonts w:hint="eastAsia" w:ascii="仿宋" w:hAnsi="仿宋" w:eastAsia="仿宋" w:cs="仿宋"/>
          <w:sz w:val="24"/>
          <w:szCs w:val="24"/>
        </w:rPr>
        <w:t xml:space="preserve">10.本项目是否接受联合体投标：不接受。</w:t>
      </w:r>
      <w:r/>
    </w:p>
    <w:p>
      <w:pPr>
        <w:ind w:firstLine="480"/>
        <w:keepLines/>
        <w:keepNext/>
        <w:spacing w:before="145" w:after="145" w:line="360" w:lineRule="auto"/>
        <w:rPr>
          <w:rFonts w:ascii="仿宋" w:hAnsi="仿宋" w:eastAsia="仿宋" w:cs="仿宋"/>
          <w:sz w:val="24"/>
          <w:szCs w:val="24"/>
        </w:rPr>
      </w:pPr>
      <w:r>
        <w:rPr>
          <w:rFonts w:hint="eastAsia" w:ascii="仿宋" w:hAnsi="仿宋" w:eastAsia="仿宋" w:cs="仿宋"/>
          <w:sz w:val="24"/>
          <w:szCs w:val="24"/>
        </w:rPr>
        <w:t xml:space="preserve">11.本项目是否接受分包：否。</w:t>
      </w:r>
      <w:r/>
    </w:p>
    <w:p>
      <w:pPr>
        <w:ind w:firstLine="498"/>
        <w:keepLines/>
        <w:keepNext/>
        <w:spacing w:before="145" w:after="145" w:line="360" w:lineRule="auto"/>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二、申请人的资格要求</w:t>
      </w:r>
      <w:bookmarkEnd w:id="13"/>
      <w:r/>
      <w:bookmarkEnd w:id="14"/>
      <w:r/>
      <w:bookmarkEnd w:id="15"/>
      <w:r/>
      <w:bookmarkEnd w:id="16"/>
      <w:r/>
      <w:bookmarkEnd w:id="17"/>
      <w:r/>
      <w:r/>
    </w:p>
    <w:p>
      <w:pPr>
        <w:ind w:firstLine="560"/>
        <w:rPr>
          <w:rFonts w:ascii="仿宋" w:hAnsi="仿宋" w:eastAsia="仿宋" w:cs="仿宋"/>
          <w:sz w:val="28"/>
          <w:szCs w:val="28"/>
        </w:rPr>
      </w:pPr>
      <w:r/>
      <w:bookmarkStart w:id="18" w:name="_Toc38985265"/>
      <w:r/>
      <w:bookmarkStart w:id="19" w:name="_Toc28359004"/>
      <w:r/>
      <w:bookmarkStart w:id="20" w:name="_Toc35393792"/>
      <w:r/>
      <w:bookmarkStart w:id="21" w:name="_Toc28359081"/>
      <w:r/>
      <w:bookmarkStart w:id="22" w:name="_Toc35393623"/>
      <w:r>
        <w:rPr>
          <w:rFonts w:hint="eastAsia" w:ascii="仿宋" w:hAnsi="仿宋" w:eastAsia="仿宋" w:cs="仿宋"/>
          <w:sz w:val="28"/>
          <w:szCs w:val="28"/>
        </w:rPr>
        <w:t xml:space="preserve">（一）通用资格要求</w:t>
      </w:r>
      <w:r/>
    </w:p>
    <w:p>
      <w:pPr>
        <w:ind w:firstLine="480"/>
        <w:rPr>
          <w:rFonts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1.满足《中华人民共和国政府采购法》第二十二条规定；（按附件3格式进行声明，投标文件中无需提供其他证明材料）；</w:t>
      </w:r>
      <w:r/>
    </w:p>
    <w:p>
      <w:pPr>
        <w:ind w:firstLine="480"/>
        <w:rPr>
          <w:rFonts w:ascii="仿宋" w:hAnsi="仿宋" w:eastAsia="仿宋" w:cs="仿宋"/>
          <w:sz w:val="24"/>
          <w:szCs w:val="24"/>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仿宋" w:hAnsi="仿宋" w:eastAsia="仿宋" w:cs="仿宋"/>
          <w:color w:val="000000"/>
          <w:sz w:val="24"/>
          <w:szCs w:val="24"/>
        </w:rPr>
      </w:pPr>
      <w:r>
        <w:rPr>
          <w:rFonts w:hint="eastAsia" w:ascii="仿宋" w:hAnsi="仿宋" w:eastAsia="仿宋" w:cs="仿宋"/>
          <w:sz w:val="24"/>
          <w:szCs w:val="24"/>
        </w:rPr>
        <w:t xml:space="preserve">3.落实政府采购政策需满足的资格要求：本项目属于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560"/>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（二）本项目的特定资格要求</w:t>
      </w:r>
      <w:r/>
    </w:p>
    <w:p>
      <w:pPr>
        <w:ind w:firstLine="480"/>
        <w:rPr>
          <w:rFonts w:ascii="仿宋" w:hAnsi="仿宋" w:eastAsia="仿宋" w:cs="仿宋"/>
          <w:sz w:val="24"/>
          <w:szCs w:val="24"/>
        </w:rPr>
      </w:pPr>
      <w:r>
        <w:rPr>
          <w:rFonts w:hint="eastAsia" w:ascii="仿宋" w:hAnsi="仿宋" w:eastAsia="仿宋" w:cs="仿宋"/>
          <w:sz w:val="24"/>
          <w:szCs w:val="24"/>
        </w:rPr>
        <w:t xml:space="preserve">无。</w:t>
      </w:r>
      <w:r/>
    </w:p>
    <w:p>
      <w:pPr>
        <w:ind w:firstLine="498"/>
        <w:keepLines/>
        <w:keepNext/>
        <w:spacing w:before="145" w:after="145" w:line="40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三、获取招标文件</w:t>
      </w:r>
      <w:bookmarkEnd w:id="18"/>
      <w:r/>
      <w:bookmarkEnd w:id="19"/>
      <w:r/>
      <w:bookmarkEnd w:id="20"/>
      <w:r/>
      <w:bookmarkEnd w:id="21"/>
      <w:r/>
      <w:bookmarkEnd w:id="22"/>
      <w:r/>
      <w:r/>
    </w:p>
    <w:p>
      <w:pPr>
        <w:ind w:firstLine="480"/>
        <w:spacing w:line="440" w:lineRule="exact"/>
        <w:rPr>
          <w:rFonts w:ascii="仿宋" w:hAnsi="仿宋" w:eastAsia="仿宋" w:cs="仿宋"/>
          <w:sz w:val="24"/>
        </w:rPr>
      </w:pPr>
      <w:r/>
      <w:bookmarkStart w:id="23" w:name="_Toc28359005"/>
      <w:r/>
      <w:bookmarkStart w:id="24" w:name="_Toc28359082"/>
      <w:r/>
      <w:bookmarkStart w:id="25" w:name="_Toc35393624"/>
      <w:r/>
      <w:bookmarkStart w:id="26" w:name="_Toc35393793"/>
      <w:r/>
      <w:bookmarkStart w:id="27" w:name="_Toc38985266"/>
      <w:r>
        <w:rPr>
          <w:rFonts w:hint="eastAsia" w:ascii="仿宋" w:hAnsi="仿宋" w:eastAsia="仿宋" w:cs="仿宋"/>
          <w:color w:val="000000"/>
          <w:sz w:val="24"/>
          <w:szCs w:val="24"/>
        </w:rPr>
        <w:t xml:space="preserve">1.时间：</w:t>
      </w:r>
      <w:r>
        <w:rPr>
          <w:rFonts w:hint="eastAsia" w:ascii="仿宋" w:hAnsi="仿宋" w:eastAsia="仿宋" w:cs="仿宋"/>
          <w:sz w:val="24"/>
        </w:rPr>
        <w:t xml:space="preserve">自本公告发布之日起5个工作日。</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2.地点：“江苏政府采购网”</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3.方式：凡有意参与投标的供应商须登录江苏政府采购网首页点击“苏采云”→通过CA锁进行响应确认，并自行在招标文件有效获取期内及时下载获取。</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4.售价：免费</w:t>
      </w:r>
      <w:r/>
    </w:p>
    <w:p>
      <w:pPr>
        <w:ind w:firstLine="498"/>
        <w:keepLines/>
        <w:keepNext/>
        <w:spacing w:before="145" w:after="145" w:line="40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四、提交投标文件</w:t>
      </w:r>
      <w:bookmarkEnd w:id="23"/>
      <w:r/>
      <w:bookmarkEnd w:id="24"/>
      <w:r>
        <w:rPr>
          <w:rFonts w:hint="eastAsia" w:ascii="仿宋" w:hAnsi="仿宋" w:eastAsia="仿宋" w:cs="仿宋"/>
          <w:b/>
          <w:bCs/>
          <w:color w:val="000000"/>
          <w:sz w:val="32"/>
          <w:szCs w:val="32"/>
        </w:rPr>
        <w:t xml:space="preserve">截止时间、开标时间和地点</w:t>
      </w:r>
      <w:bookmarkEnd w:id="25"/>
      <w:r/>
      <w:bookmarkEnd w:id="26"/>
      <w:r/>
      <w:bookmarkEnd w:id="27"/>
      <w:r/>
      <w:r/>
    </w:p>
    <w:p>
      <w:pPr>
        <w:ind w:firstLine="480"/>
        <w:spacing w:line="440" w:lineRule="exact"/>
        <w:rPr>
          <w:rFonts w:ascii="仿宋" w:hAnsi="仿宋" w:eastAsia="仿宋" w:cs="仿宋"/>
          <w:bCs/>
          <w:color w:val="000000"/>
          <w:sz w:val="24"/>
          <w:szCs w:val="24"/>
          <w:highlight w:val="cyan"/>
          <w:u w:val="singl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2026</w:t>
      </w: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eastAsia="zh-CN"/>
        </w:rPr>
        <w:t xml:space="preserve">27</w:t>
      </w:r>
      <w:r>
        <w:rPr>
          <w:rFonts w:hint="eastAsia" w:ascii="仿宋" w:hAnsi="仿宋" w:eastAsia="仿宋" w:cs="仿宋"/>
          <w:bCs/>
          <w:color w:val="000000"/>
          <w:sz w:val="24"/>
          <w:szCs w:val="24"/>
          <w:highlight w:val="none"/>
        </w:rPr>
        <w:t xml:space="preserve">日08点30分（北京时间）。</w:t>
      </w:r>
      <w:r>
        <w:rPr>
          <w:rFonts w:hint="eastAsia" w:ascii="仿宋" w:hAnsi="仿宋" w:eastAsia="仿宋" w:cs="仿宋"/>
          <w:sz w:val="24"/>
          <w:szCs w:val="24"/>
          <w:highlight w:val="none"/>
        </w:rPr>
        <w:t xml:space="preserve">逾</w:t>
      </w:r>
      <w:r>
        <w:rPr>
          <w:rFonts w:hint="eastAsia" w:ascii="仿宋" w:hAnsi="仿宋" w:eastAsia="仿宋" w:cs="仿宋"/>
          <w:sz w:val="24"/>
          <w:szCs w:val="24"/>
        </w:rPr>
        <w:t xml:space="preserve">时，系统将拒绝接受上传投标文件电子文档。</w:t>
      </w:r>
      <w:r/>
    </w:p>
    <w:p>
      <w:pPr>
        <w:ind w:firstLine="480"/>
        <w:rPr>
          <w:rFonts w:ascii="仿宋" w:hAnsi="仿宋" w:eastAsia="仿宋" w:cs="仿宋"/>
          <w:bCs/>
          <w:sz w:val="24"/>
          <w:szCs w:val="24"/>
          <w:u w:val="single"/>
        </w:rPr>
      </w:pPr>
      <w:r/>
      <w:bookmarkStart w:id="28" w:name="_Toc35393794"/>
      <w:r/>
      <w:bookmarkStart w:id="29" w:name="_Toc35393625"/>
      <w:r/>
      <w:bookmarkStart w:id="30" w:name="_Toc28359084"/>
      <w:r/>
      <w:bookmarkStart w:id="31" w:name="_Toc28359007"/>
      <w:r/>
      <w:bookmarkStart w:id="32" w:name="_Toc38985267"/>
      <w:r>
        <w:rPr>
          <w:rFonts w:hint="eastAsia" w:ascii="仿宋" w:hAnsi="仿宋" w:eastAsia="仿宋" w:cs="仿宋"/>
          <w:sz w:val="24"/>
          <w:szCs w:val="24"/>
        </w:rPr>
        <w:t xml:space="preserve">2.地点：“苏采云”政府采购一体化平台</w:t>
      </w:r>
      <w:r>
        <w:rPr>
          <w:rFonts w:hint="eastAsia" w:ascii="仿宋" w:hAnsi="仿宋" w:eastAsia="仿宋"/>
          <w:sz w:val="28"/>
          <w:szCs w:val="28"/>
        </w:rPr>
        <w:t xml:space="preserve">。</w:t>
      </w:r>
      <w:r/>
    </w:p>
    <w:p>
      <w:pPr>
        <w:ind w:firstLine="498"/>
        <w:keepLines/>
        <w:keepNext/>
        <w:spacing w:before="145" w:after="145" w:line="40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五、公告期限</w:t>
      </w:r>
      <w:bookmarkEnd w:id="28"/>
      <w:r/>
      <w:bookmarkEnd w:id="29"/>
      <w:r/>
      <w:bookmarkEnd w:id="30"/>
      <w:r/>
      <w:bookmarkEnd w:id="31"/>
      <w:r/>
      <w:bookmarkEnd w:id="32"/>
      <w:r/>
      <w:r/>
    </w:p>
    <w:p>
      <w:pPr>
        <w:ind w:firstLine="480"/>
        <w:spacing w:line="400" w:lineRule="exact"/>
        <w:rPr>
          <w:rFonts w:ascii="仿宋" w:hAnsi="仿宋" w:eastAsia="仿宋" w:cs="仿宋"/>
          <w:color w:val="000000"/>
          <w:sz w:val="24"/>
          <w:szCs w:val="24"/>
        </w:rPr>
      </w:pPr>
      <w:r/>
      <w:bookmarkStart w:id="33" w:name="_Toc38985268"/>
      <w:r/>
      <w:bookmarkStart w:id="34" w:name="_Toc35393795"/>
      <w:r/>
      <w:bookmarkStart w:id="35" w:name="_Toc35393626"/>
      <w:r>
        <w:rPr>
          <w:rFonts w:hint="eastAsia" w:ascii="仿宋" w:hAnsi="仿宋" w:eastAsia="仿宋" w:cs="仿宋"/>
          <w:color w:val="000000"/>
          <w:sz w:val="24"/>
          <w:szCs w:val="24"/>
        </w:rPr>
        <w:t xml:space="preserve">自本公告发布之日起5个工作日。</w:t>
      </w:r>
      <w:r/>
    </w:p>
    <w:p>
      <w:pPr>
        <w:numPr>
          <w:ilvl w:val="0"/>
          <w:numId w:val="1"/>
        </w:numPr>
        <w:ind w:firstLine="498"/>
        <w:keepLines/>
        <w:keepNext/>
        <w:spacing w:before="145" w:after="145" w:line="40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其他补充事宜</w:t>
      </w:r>
      <w:bookmarkEnd w:id="33"/>
      <w:r/>
      <w:bookmarkEnd w:id="34"/>
      <w:r/>
      <w:bookmarkEnd w:id="35"/>
      <w:r/>
      <w:r/>
    </w:p>
    <w:p>
      <w:pPr>
        <w:pStyle w:val="799"/>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1.项目开标活动模式：不见面远程开标模式。</w:t>
      </w:r>
      <w:r/>
    </w:p>
    <w:p>
      <w:pPr>
        <w:ind w:firstLine="540"/>
        <w:spacing w:line="360" w:lineRule="auto"/>
        <w:rPr>
          <w:rFonts w:ascii="仿宋" w:hAnsi="仿宋" w:eastAsia="仿宋" w:cs="仿宋"/>
          <w:color w:val="000000"/>
          <w:sz w:val="24"/>
          <w:szCs w:val="24"/>
        </w:rPr>
      </w:pPr>
      <w:r/>
      <w:bookmarkStart w:id="36" w:name="_Toc35393796"/>
      <w:r/>
      <w:bookmarkStart w:id="37" w:name="_Toc28359085"/>
      <w:r/>
      <w:bookmarkStart w:id="38" w:name="_Toc28359008"/>
      <w:r/>
      <w:bookmarkStart w:id="39" w:name="_Toc35393627"/>
      <w:r/>
      <w:bookmarkStart w:id="40" w:name="_Toc38985269"/>
      <w:r>
        <w:rPr>
          <w:rFonts w:hint="eastAsia" w:ascii="仿宋" w:hAnsi="仿宋" w:eastAsia="仿宋" w:cs="仿宋"/>
          <w:color w:val="000000"/>
          <w:sz w:val="24"/>
          <w:szCs w:val="24"/>
        </w:rPr>
        <w:t xml:space="preserve">2.投标人</w:t>
      </w:r>
      <w:r>
        <w:rPr>
          <w:rFonts w:hint="eastAsia" w:ascii="仿宋" w:hAnsi="仿宋" w:eastAsia="仿宋" w:cs="仿宋"/>
          <w:sz w:val="24"/>
          <w:szCs w:val="24"/>
        </w:rPr>
        <w:t xml:space="preserve">（含潜在投标人）对采购方式、招标文件中项目需求、供应商资格条件、评标方法和评标标准、资格审查部分、合同文本等应当由采购人答复的询问、质疑，请向采购人提出，由采购人负责答复。投标人对其他事项的询问、质疑请向交易中心提出，由交易中心负责答复。对在“苏采云”系统操作阶段的询问请向交易系统软件维护人员提出。</w:t>
      </w:r>
      <w:r/>
    </w:p>
    <w:p>
      <w:pPr>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4.开标当天投标人应及时登录“苏采云</w:t>
      </w:r>
      <w:r>
        <w:rPr>
          <w:rFonts w:hint="eastAsia" w:ascii="仿宋" w:hAnsi="仿宋" w:eastAsia="仿宋" w:cs="仿宋"/>
          <w:color w:val="000000"/>
          <w:sz w:val="24"/>
          <w:szCs w:val="24"/>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p>
    <w:p>
      <w:pPr>
        <w:ind w:firstLine="498"/>
        <w:keepLines/>
        <w:keepNext/>
        <w:spacing w:before="145" w:after="145" w:line="40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七、对本次招标</w:t>
      </w:r>
      <w:bookmarkEnd w:id="36"/>
      <w:r/>
      <w:bookmarkEnd w:id="37"/>
      <w:r/>
      <w:bookmarkEnd w:id="38"/>
      <w:r/>
      <w:bookmarkEnd w:id="39"/>
      <w:r/>
      <w:bookmarkEnd w:id="40"/>
      <w:r>
        <w:rPr>
          <w:rFonts w:hint="eastAsia" w:ascii="仿宋" w:hAnsi="仿宋" w:eastAsia="仿宋" w:cs="仿宋"/>
          <w:b/>
          <w:bCs/>
          <w:color w:val="000000"/>
          <w:sz w:val="32"/>
          <w:szCs w:val="32"/>
        </w:rPr>
        <w:t xml:space="preserve">提出询问，请按以下方式联系</w:t>
      </w:r>
      <w:r/>
    </w:p>
    <w:p>
      <w:pPr>
        <w:jc w:val="left"/>
        <w:widowControl/>
        <w:rPr>
          <w:rFonts w:ascii="仿宋" w:hAnsi="仿宋" w:eastAsia="仿宋" w:cs="仿宋"/>
          <w:color w:val="000000"/>
          <w:sz w:val="24"/>
          <w:szCs w:val="24"/>
        </w:rPr>
      </w:pPr>
      <w:r>
        <w:rPr>
          <w:rFonts w:hint="eastAsia" w:ascii="仿宋" w:hAnsi="仿宋" w:eastAsia="仿宋" w:cs="仿宋"/>
          <w:color w:val="000000"/>
          <w:sz w:val="28"/>
          <w:szCs w:val="28"/>
        </w:rPr>
        <w:t xml:space="preserve">　　</w:t>
      </w:r>
      <w:r>
        <w:rPr>
          <w:rFonts w:hint="eastAsia" w:ascii="仿宋" w:hAnsi="仿宋" w:eastAsia="仿宋" w:cs="仿宋"/>
          <w:color w:val="000000"/>
          <w:sz w:val="24"/>
          <w:szCs w:val="24"/>
        </w:rPr>
        <w:t xml:space="preserve">1.采购人信息</w:t>
      </w:r>
      <w:r/>
    </w:p>
    <w:p>
      <w:pPr>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u w:val="single"/>
        </w:rPr>
        <w:t xml:space="preserve">　如东县人民法院　　</w:t>
      </w:r>
      <w:r/>
    </w:p>
    <w:p>
      <w:pPr>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地 址：</w:t>
      </w:r>
      <w:r>
        <w:rPr>
          <w:rFonts w:hint="eastAsia" w:ascii="仿宋" w:hAnsi="仿宋" w:eastAsia="仿宋" w:cs="仿宋"/>
          <w:color w:val="000000"/>
          <w:sz w:val="24"/>
          <w:szCs w:val="24"/>
          <w:u w:val="single"/>
        </w:rPr>
        <w:t xml:space="preserve">　　如东县城中街道钟山路　　</w:t>
      </w:r>
      <w:r/>
    </w:p>
    <w:p>
      <w:pPr>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董女士        </w:t>
      </w:r>
      <w:r/>
    </w:p>
    <w:p>
      <w:pPr>
        <w:ind w:firstLine="480"/>
        <w:jc w:val="lef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rPr>
        <w:t xml:space="preserve">　</w:t>
      </w:r>
      <w:bookmarkStart w:id="41" w:name="_Hlk217914282"/>
      <w:r>
        <w:rPr>
          <w:rFonts w:hint="eastAsia" w:ascii="仿宋" w:hAnsi="仿宋" w:eastAsia="仿宋" w:cs="仿宋"/>
          <w:color w:val="000000"/>
          <w:sz w:val="24"/>
          <w:szCs w:val="24"/>
          <w:u w:val="single"/>
        </w:rPr>
        <w:t xml:space="preserve">0513-80866881</w:t>
      </w:r>
      <w:bookmarkEnd w:id="41"/>
      <w:r>
        <w:rPr>
          <w:rFonts w:hint="eastAsia" w:ascii="仿宋" w:hAnsi="仿宋" w:eastAsia="仿宋" w:cs="仿宋"/>
          <w:color w:val="000000"/>
          <w:sz w:val="24"/>
          <w:szCs w:val="24"/>
          <w:u w:val="single"/>
        </w:rPr>
        <w:t xml:space="preserve">　　　　　</w:t>
      </w:r>
      <w:bookmarkStart w:id="42" w:name="_Toc28359009"/>
      <w:r/>
      <w:bookmarkStart w:id="43" w:name="_Toc28359086"/>
      <w:r/>
      <w:r/>
    </w:p>
    <w:p>
      <w:pPr>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2.如东县公共资源交易中心信息</w:t>
      </w:r>
      <w:bookmarkEnd w:id="42"/>
      <w:r/>
      <w:bookmarkEnd w:id="43"/>
      <w:r/>
      <w:r/>
    </w:p>
    <w:p>
      <w:pPr>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地　址：</w:t>
      </w:r>
      <w:r>
        <w:rPr>
          <w:rFonts w:hint="eastAsia" w:ascii="仿宋" w:hAnsi="仿宋" w:eastAsia="仿宋" w:cs="仿宋"/>
          <w:sz w:val="24"/>
          <w:szCs w:val="24"/>
          <w:u w:val="single"/>
        </w:rPr>
        <w:t xml:space="preserve">如东县城中街道泰山路东侧建设大厦一楼</w:t>
      </w:r>
      <w:r/>
    </w:p>
    <w:p>
      <w:pPr>
        <w:ind w:firstLine="480"/>
        <w:jc w:val="left"/>
        <w:rPr>
          <w:rFonts w:ascii="仿宋" w:hAnsi="仿宋" w:eastAsia="仿宋" w:cs="仿宋"/>
          <w:color w:val="000000"/>
          <w:sz w:val="24"/>
          <w:szCs w:val="24"/>
        </w:rPr>
      </w:pPr>
      <w:r/>
      <w:bookmarkStart w:id="44" w:name="_Toc28359010"/>
      <w:r/>
      <w:bookmarkStart w:id="45" w:name="_Toc28359087"/>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rPr>
        <w:t xml:space="preserve">  见项目联系方式 </w:t>
      </w:r>
      <w:r>
        <w:rPr>
          <w:rFonts w:hint="eastAsia" w:ascii="仿宋" w:hAnsi="仿宋" w:eastAsia="仿宋" w:cs="仿宋"/>
          <w:color w:val="000000"/>
          <w:sz w:val="24"/>
          <w:szCs w:val="24"/>
        </w:rPr>
        <w:t xml:space="preserve">　　　　　　　　　　　　</w:t>
      </w:r>
      <w:r/>
    </w:p>
    <w:p>
      <w:pPr>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3.项目联系方式</w:t>
      </w:r>
      <w:r/>
    </w:p>
    <w:p>
      <w:pPr>
        <w:ind w:firstLine="480"/>
        <w:jc w:val="lef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项目联系人：</w:t>
      </w:r>
      <w:r>
        <w:rPr>
          <w:rFonts w:hint="eastAsia" w:ascii="仿宋" w:hAnsi="仿宋" w:eastAsia="仿宋" w:cs="仿宋"/>
          <w:color w:val="000000"/>
          <w:sz w:val="24"/>
          <w:szCs w:val="24"/>
          <w:u w:val="single"/>
        </w:rPr>
        <w:t xml:space="preserve">  杨女士 </w:t>
      </w:r>
      <w:r/>
    </w:p>
    <w:p>
      <w:pPr>
        <w:ind w:firstLine="480"/>
        <w:jc w:val="lef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电    话：</w:t>
      </w:r>
      <w:r>
        <w:rPr>
          <w:rFonts w:hint="eastAsia" w:ascii="仿宋" w:hAnsi="仿宋" w:eastAsia="仿宋" w:cs="仿宋"/>
          <w:color w:val="000000"/>
          <w:sz w:val="24"/>
          <w:szCs w:val="24"/>
          <w:u w:val="single"/>
        </w:rPr>
        <w:t xml:space="preserve">0513-68508522   </w:t>
      </w:r>
      <w:r/>
    </w:p>
    <w:p>
      <w:pPr>
        <w:numPr>
          <w:ilvl w:val="0"/>
          <w:numId w:val="2"/>
        </w:numPr>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软件维护人员</w:t>
      </w:r>
      <w:r/>
    </w:p>
    <w:p>
      <w:pPr>
        <w:ind w:firstLine="480"/>
        <w:jc w:val="lef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rPr>
        <w:t xml:space="preserve">0519-86722801、0519-86722806  </w:t>
      </w:r>
      <w:bookmarkEnd w:id="44"/>
      <w:bookmarkEnd w:id="45"/>
      <w:r/>
    </w:p>
    <w:p>
      <w:pPr>
        <w:numPr>
          <w:ilvl w:val="0"/>
          <w:numId w:val="3"/>
        </w:numPr>
        <w:ind w:firstLine="498"/>
        <w:jc w:val="left"/>
        <w:keepLines/>
        <w:keepNext/>
        <w:spacing w:before="145" w:after="145" w:line="360" w:lineRule="auto"/>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其他</w:t>
      </w:r>
      <w:r/>
    </w:p>
    <w:p>
      <w:pPr>
        <w:ind w:firstLine="480"/>
        <w:jc w:val="lef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1. 根据省财政厅《关于更换全省政府采购交易系统CA数字证书和电子签章的通知》（苏财购〔2023〕</w:t>
      </w:r>
      <w:r>
        <w:rPr>
          <w:rFonts w:hint="eastAsia" w:ascii="仿宋" w:hAnsi="仿宋" w:eastAsia="仿宋" w:cs="仿宋"/>
          <w:bCs/>
          <w:sz w:val="24"/>
          <w:szCs w:val="24"/>
        </w:rPr>
        <w:t xml:space="preserve">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tabs>
          <w:tab w:val="left" w:pos="900" w:leader="none"/>
        </w:tabs>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bCs/>
          <w:sz w:val="24"/>
          <w:szCs w:val="24"/>
        </w:rPr>
        <w:t xml:space="preserve">有关本次招标的事项若存在变动或修改，敬请及时关注如东县公共资源交易中心在“江苏政府采购网”发布的更正公告。</w:t>
      </w:r>
      <w:r/>
    </w:p>
    <w:p>
      <w:pPr>
        <w:ind w:firstLine="480"/>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3.本次招标不收取投标保证金。</w:t>
      </w:r>
      <w:r/>
    </w:p>
    <w:p>
      <w:pPr>
        <w:ind w:right="840"/>
        <w:jc w:val="center"/>
        <w:rPr>
          <w:rFonts w:ascii="仿宋" w:hAnsi="仿宋" w:eastAsia="仿宋" w:cs="仿宋"/>
          <w:color w:val="000000"/>
          <w:sz w:val="44"/>
          <w:szCs w:val="44"/>
        </w:rPr>
        <w:outlineLvl w:val="0"/>
      </w:pPr>
      <w:r>
        <w:rPr>
          <w:rFonts w:hint="eastAsia" w:ascii="仿宋" w:hAnsi="仿宋" w:eastAsia="仿宋" w:cs="仿宋"/>
          <w:color w:val="000000"/>
          <w:sz w:val="24"/>
          <w:szCs w:val="24"/>
        </w:rPr>
        <w:br w:type="page" w:clear="all"/>
      </w:r>
      <w:bookmarkStart w:id="46" w:name="_Toc120614211"/>
      <w:r/>
      <w:bookmarkStart w:id="47" w:name="_Toc8900"/>
      <w:r>
        <w:rPr>
          <w:rFonts w:hint="eastAsia" w:ascii="仿宋" w:hAnsi="仿宋" w:eastAsia="仿宋" w:cs="仿宋"/>
          <w:b/>
          <w:bCs/>
          <w:color w:val="000000"/>
          <w:sz w:val="44"/>
          <w:szCs w:val="44"/>
        </w:rPr>
        <w:t xml:space="preserve">第二章  </w:t>
      </w:r>
      <w:bookmarkEnd w:id="1"/>
      <w:r/>
      <w:bookmarkEnd w:id="2"/>
      <w:r/>
      <w:bookmarkEnd w:id="3"/>
      <w:r/>
      <w:bookmarkEnd w:id="4"/>
      <w:r/>
      <w:bookmarkEnd w:id="5"/>
      <w:r/>
      <w:bookmarkEnd w:id="46"/>
      <w:r/>
      <w:bookmarkStart w:id="48" w:name="_Toc120614213"/>
      <w:r/>
      <w:bookmarkStart w:id="49" w:name="_Toc16938518"/>
      <w:r/>
      <w:bookmarkStart w:id="50" w:name="_Toc20823274"/>
      <w:r/>
      <w:bookmarkStart w:id="51" w:name="_Toc513029202"/>
      <w:r>
        <w:rPr>
          <w:rFonts w:hint="eastAsia" w:ascii="仿宋" w:hAnsi="仿宋" w:eastAsia="仿宋" w:cs="仿宋"/>
          <w:b/>
          <w:bCs/>
          <w:color w:val="000000"/>
          <w:sz w:val="44"/>
          <w:szCs w:val="44"/>
        </w:rPr>
        <w:t xml:space="preserve">投标人须知</w:t>
      </w:r>
      <w:bookmarkEnd w:id="47"/>
      <w:r/>
      <w:bookmarkEnd w:id="48"/>
      <w:r/>
      <w:bookmarkEnd w:id="49"/>
      <w:r/>
      <w:bookmarkEnd w:id="50"/>
      <w:r/>
      <w:bookmarkEnd w:id="51"/>
      <w:r/>
      <w:r/>
    </w:p>
    <w:p>
      <w:pPr>
        <w:ind w:firstLine="498"/>
        <w:keepLines/>
        <w:keepNext/>
        <w:spacing w:before="145" w:after="145" w:line="400" w:lineRule="exact"/>
        <w:rPr>
          <w:rFonts w:ascii="仿宋" w:hAnsi="仿宋" w:eastAsia="仿宋" w:cs="仿宋"/>
          <w:b/>
          <w:bCs/>
          <w:color w:val="000000"/>
          <w:sz w:val="32"/>
          <w:szCs w:val="32"/>
        </w:rPr>
      </w:pPr>
      <w:r/>
      <w:bookmarkStart w:id="52" w:name="_Toc120614214"/>
      <w:r/>
      <w:bookmarkStart w:id="53" w:name="_Toc20823275"/>
      <w:r/>
      <w:bookmarkStart w:id="54" w:name="_Toc513029203"/>
      <w:r/>
      <w:bookmarkStart w:id="55" w:name="_Toc16938519"/>
      <w:r/>
      <w:bookmarkStart w:id="56" w:name="_Toc20823314"/>
      <w:r/>
      <w:bookmarkStart w:id="57" w:name="_Toc513029242"/>
      <w:r/>
      <w:bookmarkStart w:id="58" w:name="_Toc16938558"/>
      <w:r/>
      <w:bookmarkStart w:id="59" w:name="_Toc120614221"/>
      <w:r/>
      <w:bookmarkStart w:id="60" w:name="_Toc479757207"/>
      <w:r>
        <w:rPr>
          <w:rFonts w:hint="eastAsia" w:ascii="仿宋" w:hAnsi="仿宋" w:eastAsia="仿宋" w:cs="仿宋"/>
          <w:b/>
          <w:bCs/>
          <w:color w:val="000000"/>
          <w:sz w:val="32"/>
          <w:szCs w:val="32"/>
        </w:rPr>
        <w:t xml:space="preserve">一、总则</w:t>
      </w:r>
      <w:bookmarkEnd w:id="52"/>
      <w:r/>
      <w:bookmarkEnd w:id="53"/>
      <w:r/>
      <w:bookmarkEnd w:id="54"/>
      <w:r/>
      <w:bookmarkEnd w:id="55"/>
      <w:r/>
      <w:r/>
    </w:p>
    <w:p>
      <w:pPr>
        <w:ind w:firstLine="422"/>
        <w:keepLines/>
        <w:keepNext/>
        <w:spacing w:line="400" w:lineRule="exact"/>
        <w:rPr>
          <w:rFonts w:ascii="仿宋" w:hAnsi="仿宋" w:eastAsia="仿宋" w:cs="仿宋"/>
          <w:b/>
          <w:bCs/>
          <w:color w:val="000000"/>
          <w:sz w:val="28"/>
          <w:szCs w:val="28"/>
        </w:rPr>
      </w:pPr>
      <w:r/>
      <w:bookmarkStart w:id="61" w:name="_Hlt16619475"/>
      <w:r/>
      <w:bookmarkEnd w:id="61"/>
      <w:r/>
      <w:bookmarkStart w:id="62" w:name="_Toc458694821"/>
      <w:r/>
      <w:bookmarkStart w:id="63" w:name="_Toc16938520"/>
      <w:r/>
      <w:bookmarkStart w:id="64" w:name="_Toc20823276"/>
      <w:r/>
      <w:bookmarkStart w:id="65" w:name="_Toc513029204"/>
      <w:r>
        <w:rPr>
          <w:rFonts w:hint="eastAsia" w:ascii="仿宋" w:hAnsi="仿宋" w:eastAsia="仿宋" w:cs="仿宋"/>
          <w:b/>
          <w:bCs/>
          <w:color w:val="000000"/>
          <w:sz w:val="28"/>
          <w:szCs w:val="28"/>
        </w:rPr>
        <w:t xml:space="preserve">1</w:t>
      </w:r>
      <w:bookmarkEnd w:id="62"/>
      <w:r>
        <w:rPr>
          <w:rFonts w:hint="eastAsia" w:ascii="仿宋" w:hAnsi="仿宋" w:eastAsia="仿宋" w:cs="仿宋"/>
          <w:b/>
          <w:bCs/>
          <w:color w:val="000000"/>
          <w:sz w:val="28"/>
          <w:szCs w:val="28"/>
        </w:rPr>
        <w:t xml:space="preserve">、招标方式</w:t>
      </w:r>
      <w:bookmarkEnd w:id="63"/>
      <w:r/>
      <w:bookmarkEnd w:id="64"/>
      <w:r/>
      <w:bookmarkEnd w:id="65"/>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1.1 本次招标采取公开招标方式，本招标文件仅适用于招标公告中所述项目。</w:t>
      </w:r>
      <w:r/>
    </w:p>
    <w:p>
      <w:pPr>
        <w:ind w:firstLine="422"/>
        <w:keepLines/>
        <w:keepNext/>
        <w:spacing w:line="400" w:lineRule="exact"/>
        <w:rPr>
          <w:rFonts w:ascii="仿宋" w:hAnsi="仿宋" w:eastAsia="仿宋" w:cs="仿宋"/>
          <w:b/>
          <w:bCs/>
          <w:color w:val="000000"/>
          <w:sz w:val="28"/>
          <w:szCs w:val="28"/>
        </w:rPr>
      </w:pPr>
      <w:r/>
      <w:bookmarkStart w:id="66" w:name="_Toc20823277"/>
      <w:r/>
      <w:bookmarkStart w:id="67" w:name="_Toc513029205"/>
      <w:r/>
      <w:bookmarkStart w:id="68" w:name="_Toc16938521"/>
      <w:r>
        <w:rPr>
          <w:rFonts w:hint="eastAsia" w:ascii="仿宋" w:hAnsi="仿宋" w:eastAsia="仿宋" w:cs="仿宋"/>
          <w:b/>
          <w:bCs/>
          <w:color w:val="000000"/>
          <w:sz w:val="28"/>
          <w:szCs w:val="28"/>
        </w:rPr>
        <w:t xml:space="preserve">2、合格的投标人</w:t>
      </w:r>
      <w:bookmarkEnd w:id="66"/>
      <w:r/>
      <w:bookmarkEnd w:id="67"/>
      <w:r/>
      <w:bookmarkEnd w:id="68"/>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2.1满足招标公告中供应商的资格要求的规定。</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2.2 满足本文件实质性要求的规定。</w:t>
      </w:r>
      <w:r/>
    </w:p>
    <w:p>
      <w:pPr>
        <w:ind w:firstLine="422"/>
        <w:keepLines/>
        <w:keepNext/>
        <w:spacing w:line="400" w:lineRule="exact"/>
        <w:rPr>
          <w:rFonts w:ascii="仿宋" w:hAnsi="仿宋" w:eastAsia="仿宋" w:cs="仿宋"/>
          <w:b/>
          <w:bCs/>
          <w:color w:val="000000"/>
          <w:sz w:val="28"/>
          <w:szCs w:val="28"/>
        </w:rPr>
      </w:pPr>
      <w:r/>
      <w:bookmarkStart w:id="69" w:name="_Toc513029206"/>
      <w:r/>
      <w:bookmarkStart w:id="70" w:name="_Toc20823278"/>
      <w:r/>
      <w:bookmarkStart w:id="71" w:name="_Toc16938522"/>
      <w:r>
        <w:rPr>
          <w:rFonts w:hint="eastAsia" w:ascii="仿宋" w:hAnsi="仿宋" w:eastAsia="仿宋" w:cs="仿宋"/>
          <w:b/>
          <w:bCs/>
          <w:color w:val="000000"/>
          <w:sz w:val="28"/>
          <w:szCs w:val="28"/>
        </w:rPr>
        <w:t xml:space="preserve">3、适用法律</w:t>
      </w:r>
      <w:bookmarkEnd w:id="69"/>
      <w:r/>
      <w:bookmarkEnd w:id="70"/>
      <w:r/>
      <w:bookmarkEnd w:id="71"/>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3.1 本次招标及由此产生的合同受中华人民共和国有关的法律法规制约和保护。</w:t>
      </w:r>
      <w:r/>
    </w:p>
    <w:p>
      <w:pPr>
        <w:ind w:firstLine="422"/>
        <w:keepLines/>
        <w:keepNext/>
        <w:spacing w:line="400" w:lineRule="exact"/>
        <w:rPr>
          <w:rFonts w:ascii="仿宋" w:hAnsi="仿宋" w:eastAsia="仿宋" w:cs="仿宋"/>
          <w:b/>
          <w:bCs/>
          <w:color w:val="000000"/>
          <w:sz w:val="28"/>
          <w:szCs w:val="28"/>
        </w:rPr>
      </w:pPr>
      <w:r/>
      <w:bookmarkStart w:id="72" w:name="_Toc20823279"/>
      <w:r/>
      <w:bookmarkStart w:id="73" w:name="_Toc513029207"/>
      <w:r/>
      <w:bookmarkStart w:id="74" w:name="_Toc462564067"/>
      <w:r/>
      <w:bookmarkStart w:id="75" w:name="_Toc16938523"/>
      <w:r>
        <w:rPr>
          <w:rFonts w:hint="eastAsia" w:ascii="仿宋" w:hAnsi="仿宋" w:eastAsia="仿宋" w:cs="仿宋"/>
          <w:b/>
          <w:bCs/>
          <w:color w:val="000000"/>
          <w:sz w:val="28"/>
          <w:szCs w:val="28"/>
        </w:rPr>
        <w:t xml:space="preserve">4、投标费用</w:t>
      </w:r>
      <w:bookmarkEnd w:id="72"/>
      <w:r/>
      <w:bookmarkEnd w:id="73"/>
      <w:r/>
      <w:bookmarkEnd w:id="74"/>
      <w:r/>
      <w:bookmarkEnd w:id="75"/>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4.1</w:t>
      </w:r>
      <w:r>
        <w:rPr>
          <w:rFonts w:hint="eastAsia" w:ascii="仿宋" w:hAnsi="仿宋" w:eastAsia="仿宋" w:cs="仿宋"/>
          <w:color w:val="000000"/>
          <w:sz w:val="24"/>
          <w:szCs w:val="21"/>
        </w:rPr>
        <w:t xml:space="preserve"> 投标人应自行承担所有与参加投标有关的费用，无论投标过程中的做法和结果如何，如东县公共资源交易中心（以下简称交易中心）在任何情况下均无义务和责任承担这些费用。</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4.2本次招标交易中心和采购人不收取标书工本费与中标服务费。</w:t>
      </w:r>
      <w:r/>
    </w:p>
    <w:p>
      <w:pPr>
        <w:ind w:firstLine="452"/>
        <w:keepLines/>
        <w:keepNext/>
        <w:spacing w:line="400" w:lineRule="exact"/>
        <w:rPr>
          <w:rFonts w:ascii="仿宋" w:hAnsi="仿宋" w:eastAsia="仿宋" w:cs="仿宋"/>
          <w:b/>
          <w:bCs/>
          <w:color w:val="000000"/>
          <w:sz w:val="28"/>
          <w:szCs w:val="28"/>
        </w:rPr>
      </w:pPr>
      <w:r>
        <w:rPr>
          <w:rFonts w:hint="eastAsia" w:ascii="仿宋" w:hAnsi="仿宋" w:eastAsia="仿宋" w:cs="仿宋"/>
          <w:b/>
          <w:bCs/>
          <w:color w:val="000000"/>
          <w:sz w:val="30"/>
          <w:szCs w:val="28"/>
        </w:rPr>
        <w:t xml:space="preserve">5、</w:t>
      </w:r>
      <w:r>
        <w:rPr>
          <w:rFonts w:hint="eastAsia" w:ascii="仿宋" w:hAnsi="仿宋" w:eastAsia="仿宋" w:cs="仿宋"/>
          <w:b/>
          <w:bCs/>
          <w:color w:val="000000"/>
          <w:sz w:val="28"/>
          <w:szCs w:val="28"/>
        </w:rPr>
        <w:t xml:space="preserve">招标文件的约束力</w:t>
      </w:r>
      <w:r/>
    </w:p>
    <w:p>
      <w:pPr>
        <w:ind w:firstLine="480"/>
        <w:spacing w:line="40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 投标人一旦参加本项目采购活动，即被认为接受了本招标文件的规定和约束。</w:t>
      </w:r>
      <w:r/>
    </w:p>
    <w:p>
      <w:pPr>
        <w:ind w:firstLine="321"/>
        <w:keepLines/>
        <w:keepNext/>
        <w:spacing w:before="145" w:after="145" w:line="400" w:lineRule="exact"/>
        <w:rPr>
          <w:rFonts w:ascii="仿宋" w:hAnsi="仿宋" w:eastAsia="仿宋" w:cs="仿宋"/>
          <w:b/>
          <w:bCs/>
          <w:color w:val="000000"/>
          <w:sz w:val="32"/>
          <w:szCs w:val="32"/>
        </w:rPr>
      </w:pPr>
      <w:r/>
      <w:bookmarkStart w:id="76" w:name="_Toc16938525"/>
      <w:r/>
      <w:bookmarkStart w:id="77" w:name="_Toc120614215"/>
      <w:r/>
      <w:bookmarkStart w:id="78" w:name="_Toc20823281"/>
      <w:r/>
      <w:bookmarkStart w:id="79" w:name="_Toc513029209"/>
      <w:r>
        <w:rPr>
          <w:rFonts w:hint="eastAsia" w:ascii="仿宋" w:hAnsi="仿宋" w:eastAsia="仿宋" w:cs="仿宋"/>
          <w:b/>
          <w:bCs/>
          <w:color w:val="000000"/>
          <w:sz w:val="32"/>
          <w:szCs w:val="32"/>
        </w:rPr>
        <w:t xml:space="preserve">二、招标文件</w:t>
      </w:r>
      <w:bookmarkEnd w:id="76"/>
      <w:r/>
      <w:bookmarkEnd w:id="77"/>
      <w:r/>
      <w:bookmarkEnd w:id="78"/>
      <w:r/>
      <w:bookmarkEnd w:id="79"/>
      <w:r/>
      <w:r/>
    </w:p>
    <w:p>
      <w:pPr>
        <w:ind w:firstLine="422"/>
        <w:keepLines/>
        <w:keepNext/>
        <w:spacing w:line="400" w:lineRule="exact"/>
        <w:rPr>
          <w:rFonts w:ascii="仿宋" w:hAnsi="仿宋" w:eastAsia="仿宋" w:cs="仿宋"/>
          <w:b/>
          <w:bCs/>
          <w:color w:val="000000"/>
          <w:sz w:val="28"/>
          <w:szCs w:val="28"/>
        </w:rPr>
      </w:pPr>
      <w:r/>
      <w:bookmarkStart w:id="80" w:name="_Toc16938526"/>
      <w:r/>
      <w:bookmarkStart w:id="81" w:name="_Toc20823282"/>
      <w:r/>
      <w:bookmarkStart w:id="82" w:name="_Toc513029210"/>
      <w:r>
        <w:rPr>
          <w:rFonts w:hint="eastAsia" w:ascii="仿宋" w:hAnsi="仿宋" w:eastAsia="仿宋" w:cs="仿宋"/>
          <w:b/>
          <w:bCs/>
          <w:color w:val="000000"/>
          <w:sz w:val="28"/>
          <w:szCs w:val="28"/>
        </w:rPr>
        <w:t xml:space="preserve">6、招标文件构成</w:t>
      </w:r>
      <w:bookmarkEnd w:id="80"/>
      <w:r/>
      <w:bookmarkEnd w:id="81"/>
      <w:r/>
      <w:bookmarkEnd w:id="82"/>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6.1</w:t>
      </w:r>
      <w:r>
        <w:rPr>
          <w:rFonts w:hint="eastAsia" w:ascii="仿宋" w:hAnsi="仿宋" w:eastAsia="仿宋" w:cs="仿宋"/>
          <w:color w:val="000000"/>
          <w:sz w:val="24"/>
          <w:szCs w:val="21"/>
        </w:rPr>
        <w:t xml:space="preserve"> 招标文件由以下部分组成：</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（1）投标邀请</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（2）投标人须知</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（3）合同文本</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（4）采购需求</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（5）评标方法与评标标准</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（6）投标文件格式</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请仔细检查招标文件是否齐全，如有缺漏请立即与交易中心联系解决。</w:t>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6.2</w:t>
      </w:r>
      <w:r>
        <w:rPr>
          <w:rFonts w:hint="eastAsia" w:ascii="仿宋" w:hAnsi="仿宋" w:eastAsia="仿宋" w:cs="仿宋"/>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keepLines/>
        <w:keepNext/>
        <w:spacing w:line="400" w:lineRule="exact"/>
        <w:rPr>
          <w:rFonts w:ascii="仿宋" w:hAnsi="仿宋" w:eastAsia="仿宋" w:cs="仿宋"/>
          <w:b/>
          <w:bCs/>
          <w:color w:val="000000"/>
          <w:sz w:val="28"/>
          <w:szCs w:val="28"/>
        </w:rPr>
      </w:pPr>
      <w:r/>
      <w:bookmarkStart w:id="83" w:name="_Toc462564070"/>
      <w:r/>
      <w:bookmarkStart w:id="84" w:name="_Toc20823283"/>
      <w:r/>
      <w:bookmarkStart w:id="85" w:name="_Toc513029211"/>
      <w:r/>
      <w:bookmarkStart w:id="86" w:name="_Toc16938527"/>
      <w:r>
        <w:rPr>
          <w:rFonts w:hint="eastAsia" w:ascii="仿宋" w:hAnsi="仿宋" w:eastAsia="仿宋" w:cs="仿宋"/>
          <w:b/>
          <w:bCs/>
          <w:color w:val="000000"/>
          <w:sz w:val="28"/>
          <w:szCs w:val="28"/>
        </w:rPr>
        <w:t xml:space="preserve">7、招标文件的澄清</w:t>
      </w:r>
      <w:bookmarkEnd w:id="83"/>
      <w:r/>
      <w:bookmarkEnd w:id="84"/>
      <w:r/>
      <w:bookmarkEnd w:id="85"/>
      <w:r/>
      <w:bookmarkEnd w:id="86"/>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7.1</w:t>
      </w:r>
      <w:r>
        <w:rPr>
          <w:rFonts w:hint="eastAsia" w:ascii="仿宋" w:hAnsi="仿宋" w:eastAsia="仿宋" w:cs="仿宋"/>
          <w:color w:val="000000"/>
          <w:sz w:val="24"/>
          <w:szCs w:val="21"/>
        </w:rPr>
        <w:t xml:space="preserve"> 任何要求对招标文件进行澄清的投标人，应在投标截止期</w:t>
      </w:r>
      <w:r>
        <w:rPr>
          <w:rFonts w:hint="eastAsia" w:ascii="仿宋" w:hAnsi="仿宋" w:eastAsia="仿宋" w:cs="仿宋"/>
          <w:b/>
          <w:color w:val="000000"/>
          <w:sz w:val="24"/>
          <w:szCs w:val="24"/>
        </w:rPr>
        <w:t xml:space="preserve">十日</w:t>
      </w:r>
      <w:r>
        <w:rPr>
          <w:rFonts w:hint="eastAsia" w:ascii="仿宋" w:hAnsi="仿宋" w:eastAsia="仿宋" w:cs="仿宋"/>
          <w:color w:val="000000"/>
          <w:sz w:val="24"/>
          <w:szCs w:val="24"/>
        </w:rPr>
        <w:t xml:space="preserve">前</w:t>
      </w:r>
      <w:r>
        <w:rPr>
          <w:rFonts w:hint="eastAsia" w:ascii="仿宋" w:hAnsi="仿宋" w:eastAsia="仿宋" w:cs="仿宋"/>
          <w:color w:val="000000"/>
          <w:sz w:val="24"/>
          <w:szCs w:val="21"/>
        </w:rPr>
        <w:t xml:space="preserve">按招标公告中的通讯地址，以书面形式通知采购人。采购人有权对发出的招标文件进行必要的澄清或修改。</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7.2采购人视情组织答疑会</w:t>
      </w:r>
      <w:r/>
    </w:p>
    <w:p>
      <w:pPr>
        <w:ind w:firstLine="562"/>
        <w:keepLines/>
        <w:keepNext/>
        <w:spacing w:line="400" w:lineRule="exact"/>
        <w:rPr>
          <w:rFonts w:ascii="仿宋" w:hAnsi="仿宋" w:eastAsia="仿宋" w:cs="仿宋"/>
          <w:b/>
          <w:bCs/>
          <w:color w:val="000000"/>
          <w:sz w:val="28"/>
          <w:szCs w:val="28"/>
        </w:rPr>
      </w:pPr>
      <w:r/>
      <w:bookmarkStart w:id="87" w:name="_Toc462564071"/>
      <w:r/>
      <w:bookmarkStart w:id="88" w:name="_Toc20823284"/>
      <w:r/>
      <w:bookmarkStart w:id="89" w:name="_Toc16938528"/>
      <w:r/>
      <w:bookmarkStart w:id="90" w:name="_Toc513029212"/>
      <w:r>
        <w:rPr>
          <w:rFonts w:hint="eastAsia" w:ascii="仿宋" w:hAnsi="仿宋" w:eastAsia="仿宋" w:cs="仿宋"/>
          <w:b/>
          <w:bCs/>
          <w:color w:val="000000"/>
          <w:sz w:val="28"/>
          <w:szCs w:val="28"/>
        </w:rPr>
        <w:t xml:space="preserve">8、招标文件的修改</w:t>
      </w:r>
      <w:bookmarkEnd w:id="87"/>
      <w:r/>
      <w:bookmarkEnd w:id="88"/>
      <w:r/>
      <w:bookmarkEnd w:id="89"/>
      <w:r/>
      <w:bookmarkEnd w:id="90"/>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8.1</w:t>
      </w:r>
      <w:r>
        <w:rPr>
          <w:rFonts w:hint="eastAsia" w:ascii="仿宋" w:hAnsi="仿宋" w:eastAsia="仿宋" w:cs="仿宋"/>
          <w:color w:val="000000"/>
          <w:sz w:val="24"/>
          <w:szCs w:val="21"/>
        </w:rPr>
        <w:t xml:space="preserve"> 在投标截止时间前，交易中心可以对招标文件进行修改。</w:t>
      </w:r>
      <w:r/>
    </w:p>
    <w:p>
      <w:pPr>
        <w:ind w:firstLine="480"/>
        <w:spacing w:line="400" w:lineRule="exact"/>
        <w:rPr>
          <w:rFonts w:ascii="仿宋" w:hAnsi="仿宋" w:eastAsia="仿宋" w:cs="仿宋"/>
          <w:color w:val="000000"/>
          <w:sz w:val="28"/>
          <w:szCs w:val="21"/>
        </w:rPr>
      </w:pPr>
      <w:r>
        <w:rPr>
          <w:rFonts w:hint="eastAsia" w:ascii="仿宋" w:hAnsi="仿宋" w:eastAsia="仿宋" w:cs="仿宋"/>
          <w:bCs/>
          <w:color w:val="000000"/>
          <w:sz w:val="24"/>
          <w:szCs w:val="21"/>
        </w:rPr>
        <w:t xml:space="preserve">8.2 </w:t>
      </w:r>
      <w:r>
        <w:rPr>
          <w:rFonts w:hint="eastAsia" w:ascii="仿宋" w:hAnsi="仿宋" w:eastAsia="仿宋" w:cs="仿宋"/>
          <w:color w:val="000000"/>
          <w:sz w:val="24"/>
          <w:szCs w:val="21"/>
        </w:rPr>
        <w:t xml:space="preserve">交易中心</w:t>
      </w:r>
      <w:r>
        <w:rPr>
          <w:rFonts w:hint="eastAsia" w:ascii="仿宋" w:hAnsi="仿宋" w:eastAsia="仿宋" w:cs="仿宋"/>
          <w:color w:val="000000"/>
          <w:sz w:val="24"/>
          <w:szCs w:val="24"/>
        </w:rPr>
        <w:t xml:space="preserve">有权按照法定的要求</w:t>
      </w:r>
      <w:r>
        <w:rPr>
          <w:rFonts w:hint="eastAsia" w:ascii="仿宋" w:hAnsi="仿宋" w:eastAsia="仿宋" w:cs="仿宋"/>
          <w:color w:val="000000"/>
          <w:sz w:val="24"/>
          <w:szCs w:val="21"/>
        </w:rPr>
        <w:t xml:space="preserve">推迟投标截止日期和开标日期。</w:t>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8.3 </w:t>
      </w:r>
      <w:r>
        <w:rPr>
          <w:rFonts w:hint="eastAsia" w:ascii="仿宋" w:hAnsi="仿宋" w:eastAsia="仿宋" w:cs="仿宋"/>
          <w:color w:val="000000"/>
          <w:sz w:val="24"/>
          <w:szCs w:val="21"/>
        </w:rPr>
        <w:t xml:space="preserve">招标文件的修改将在江苏政府采购网公布，</w:t>
      </w:r>
      <w:r>
        <w:rPr>
          <w:rFonts w:hint="eastAsia" w:ascii="仿宋" w:hAnsi="仿宋" w:eastAsia="仿宋" w:cs="仿宋"/>
          <w:color w:val="000000"/>
          <w:sz w:val="24"/>
          <w:szCs w:val="24"/>
        </w:rPr>
        <w:t xml:space="preserve">补充文件将作为招标文件的组成部分，</w:t>
      </w:r>
      <w:r>
        <w:rPr>
          <w:rFonts w:hint="eastAsia" w:ascii="仿宋" w:hAnsi="仿宋" w:eastAsia="仿宋" w:cs="仿宋"/>
          <w:color w:val="000000"/>
          <w:sz w:val="24"/>
          <w:szCs w:val="21"/>
        </w:rPr>
        <w:t xml:space="preserve">并对投标人具有约束力。</w:t>
      </w:r>
      <w:r/>
    </w:p>
    <w:p>
      <w:pPr>
        <w:ind w:firstLine="482"/>
        <w:keepLines/>
        <w:keepNext/>
        <w:spacing w:before="145" w:after="145" w:line="400" w:lineRule="exact"/>
        <w:rPr>
          <w:rFonts w:ascii="仿宋" w:hAnsi="仿宋" w:eastAsia="仿宋" w:cs="仿宋"/>
          <w:b/>
          <w:bCs/>
          <w:color w:val="000000"/>
          <w:sz w:val="32"/>
          <w:szCs w:val="32"/>
        </w:rPr>
      </w:pPr>
      <w:r/>
      <w:bookmarkStart w:id="91" w:name="_Toc513029213"/>
      <w:r/>
      <w:bookmarkStart w:id="92" w:name="_Toc20823285"/>
      <w:r/>
      <w:bookmarkStart w:id="93" w:name="_Toc462564072"/>
      <w:r/>
      <w:bookmarkStart w:id="94" w:name="_Toc120614216"/>
      <w:r/>
      <w:bookmarkStart w:id="95" w:name="_Toc16938529"/>
      <w:r>
        <w:rPr>
          <w:rFonts w:hint="eastAsia" w:ascii="仿宋" w:hAnsi="仿宋" w:eastAsia="仿宋" w:cs="仿宋"/>
          <w:b/>
          <w:bCs/>
          <w:color w:val="000000"/>
          <w:sz w:val="32"/>
          <w:szCs w:val="32"/>
        </w:rPr>
        <w:t xml:space="preserve">三、投标文件的编制</w:t>
      </w:r>
      <w:bookmarkEnd w:id="91"/>
      <w:r/>
      <w:bookmarkEnd w:id="92"/>
      <w:r/>
      <w:bookmarkEnd w:id="93"/>
      <w:r/>
      <w:bookmarkEnd w:id="94"/>
      <w:r/>
      <w:bookmarkEnd w:id="95"/>
      <w:r/>
      <w:r/>
    </w:p>
    <w:p>
      <w:pPr>
        <w:ind w:firstLine="562"/>
        <w:keepLines/>
        <w:keepNext/>
        <w:spacing w:line="400" w:lineRule="exact"/>
        <w:rPr>
          <w:rFonts w:ascii="仿宋" w:hAnsi="仿宋" w:eastAsia="仿宋" w:cs="仿宋"/>
          <w:b/>
          <w:bCs/>
          <w:color w:val="000000"/>
          <w:sz w:val="28"/>
          <w:szCs w:val="28"/>
        </w:rPr>
      </w:pPr>
      <w:r/>
      <w:bookmarkStart w:id="96" w:name="_Toc462564073"/>
      <w:r/>
      <w:bookmarkStart w:id="97" w:name="_Toc513029214"/>
      <w:r/>
      <w:bookmarkStart w:id="98" w:name="_Toc16938530"/>
      <w:r/>
      <w:bookmarkStart w:id="99" w:name="_Toc20823286"/>
      <w:r>
        <w:rPr>
          <w:rFonts w:hint="eastAsia" w:ascii="仿宋" w:hAnsi="仿宋" w:eastAsia="仿宋" w:cs="仿宋"/>
          <w:b/>
          <w:bCs/>
          <w:color w:val="000000"/>
          <w:sz w:val="28"/>
          <w:szCs w:val="28"/>
        </w:rPr>
        <w:t xml:space="preserve">9、投标文件的语言及度量衡单位</w:t>
      </w:r>
      <w:bookmarkEnd w:id="96"/>
      <w:r/>
      <w:bookmarkEnd w:id="97"/>
      <w:r/>
      <w:bookmarkEnd w:id="98"/>
      <w:r/>
      <w:bookmarkEnd w:id="99"/>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9.1</w:t>
      </w:r>
      <w:r>
        <w:rPr>
          <w:rFonts w:hint="eastAsia" w:ascii="仿宋" w:hAnsi="仿宋" w:eastAsia="仿宋" w:cs="仿宋"/>
          <w:color w:val="000000"/>
          <w:sz w:val="24"/>
          <w:szCs w:val="21"/>
        </w:rPr>
        <w:t xml:space="preserve"> 投标人提交的投标文件以及投标人与交易中心及采购人就有关投标的所有来往通知、函件和文件均应使用</w:t>
      </w:r>
      <w:r>
        <w:rPr>
          <w:rFonts w:hint="eastAsia" w:ascii="仿宋" w:hAnsi="仿宋" w:eastAsia="仿宋" w:cs="仿宋"/>
          <w:b/>
          <w:bCs/>
          <w:color w:val="000000"/>
          <w:sz w:val="24"/>
          <w:szCs w:val="21"/>
        </w:rPr>
        <w:t xml:space="preserve">简体中文</w:t>
      </w:r>
      <w:r>
        <w:rPr>
          <w:rFonts w:hint="eastAsia" w:ascii="仿宋" w:hAnsi="仿宋" w:eastAsia="仿宋" w:cs="仿宋"/>
          <w:color w:val="000000"/>
          <w:sz w:val="24"/>
          <w:szCs w:val="21"/>
        </w:rPr>
        <w:t xml:space="preserve">。</w:t>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9.2</w:t>
      </w:r>
      <w:r>
        <w:rPr>
          <w:rFonts w:hint="eastAsia" w:ascii="仿宋" w:hAnsi="仿宋" w:eastAsia="仿宋" w:cs="仿宋"/>
          <w:color w:val="000000"/>
          <w:sz w:val="24"/>
          <w:szCs w:val="21"/>
        </w:rPr>
        <w:t xml:space="preserve"> 除技术性能另有规定外，投标文件所使用的度量衡单位，均须采用国家法定计量单位。</w:t>
      </w:r>
      <w:r/>
    </w:p>
    <w:p>
      <w:pPr>
        <w:ind w:firstLine="422"/>
        <w:keepLines/>
        <w:keepNext/>
        <w:spacing w:line="400" w:lineRule="exact"/>
        <w:rPr>
          <w:rFonts w:ascii="仿宋" w:hAnsi="仿宋" w:eastAsia="仿宋" w:cs="仿宋"/>
          <w:b/>
          <w:bCs/>
          <w:color w:val="000000"/>
          <w:sz w:val="28"/>
          <w:szCs w:val="28"/>
        </w:rPr>
      </w:pPr>
      <w:r/>
      <w:bookmarkStart w:id="100" w:name="_Toc16938531"/>
      <w:r/>
      <w:bookmarkStart w:id="101" w:name="_Toc513029215"/>
      <w:r/>
      <w:bookmarkStart w:id="102" w:name="_Toc462564074"/>
      <w:r/>
      <w:bookmarkStart w:id="103" w:name="_Toc20823287"/>
      <w:r>
        <w:rPr>
          <w:rFonts w:hint="eastAsia" w:ascii="仿宋" w:hAnsi="仿宋" w:eastAsia="仿宋" w:cs="仿宋"/>
          <w:b/>
          <w:bCs/>
          <w:color w:val="000000"/>
          <w:sz w:val="28"/>
          <w:szCs w:val="28"/>
        </w:rPr>
        <w:t xml:space="preserve">10、投标文件构成</w:t>
      </w:r>
      <w:bookmarkEnd w:id="100"/>
      <w:r/>
      <w:bookmarkEnd w:id="101"/>
      <w:r/>
      <w:bookmarkEnd w:id="102"/>
      <w:r/>
      <w:bookmarkEnd w:id="103"/>
      <w:r/>
      <w:r/>
    </w:p>
    <w:p>
      <w:pPr>
        <w:ind w:firstLine="480"/>
        <w:spacing w:line="400" w:lineRule="exact"/>
        <w:rPr>
          <w:rFonts w:ascii="仿宋" w:hAnsi="仿宋" w:eastAsia="仿宋" w:cs="仿宋"/>
          <w:color w:val="auto"/>
          <w:sz w:val="24"/>
          <w:szCs w:val="21"/>
        </w:rPr>
      </w:pPr>
      <w:r>
        <w:rPr>
          <w:rFonts w:hint="eastAsia" w:ascii="仿宋" w:hAnsi="仿宋" w:eastAsia="仿宋" w:cs="仿宋"/>
          <w:bCs/>
          <w:sz w:val="24"/>
          <w:szCs w:val="21"/>
        </w:rPr>
        <w:t xml:space="preserve">10.1</w:t>
      </w:r>
      <w:r>
        <w:rPr>
          <w:rFonts w:hint="eastAsia" w:ascii="仿宋" w:hAnsi="仿宋" w:eastAsia="仿宋" w:cs="仿宋"/>
          <w:sz w:val="24"/>
          <w:szCs w:val="21"/>
        </w:rPr>
        <w:t xml:space="preserve"> 投标人编写的投标文件应包括资格证明文</w:t>
      </w:r>
      <w:r>
        <w:rPr>
          <w:rFonts w:hint="eastAsia" w:ascii="仿宋" w:hAnsi="仿宋" w:eastAsia="仿宋" w:cs="仿宋"/>
          <w:color w:val="000000"/>
          <w:sz w:val="24"/>
          <w:szCs w:val="21"/>
        </w:rPr>
        <w:t xml:space="preserve">件、</w:t>
      </w:r>
      <w:r>
        <w:rPr>
          <w:rFonts w:hint="eastAsia" w:ascii="仿宋" w:hAnsi="仿宋" w:eastAsia="仿宋" w:cs="仿宋"/>
          <w:color w:val="000000"/>
          <w:sz w:val="24"/>
          <w:szCs w:val="24"/>
        </w:rPr>
        <w:t xml:space="preserve">实质性要求响应及偏离表</w:t>
      </w:r>
      <w:r>
        <w:rPr>
          <w:rFonts w:hint="eastAsia" w:ascii="仿宋" w:hAnsi="仿宋" w:eastAsia="仿宋" w:cs="仿宋"/>
          <w:color w:val="000000"/>
          <w:sz w:val="24"/>
          <w:szCs w:val="21"/>
        </w:rPr>
        <w:t xml:space="preserve">、投</w:t>
      </w:r>
      <w:r>
        <w:rPr>
          <w:rFonts w:hint="eastAsia" w:ascii="仿宋" w:hAnsi="仿宋" w:eastAsia="仿宋" w:cs="仿宋"/>
          <w:sz w:val="24"/>
          <w:szCs w:val="21"/>
        </w:rPr>
        <w:t xml:space="preserve">标分项报价表、</w:t>
      </w:r>
      <w:r>
        <w:rPr>
          <w:rFonts w:hint="eastAsia" w:ascii="仿宋" w:hAnsi="仿宋" w:eastAsia="仿宋" w:cs="仿宋"/>
          <w:color w:val="auto"/>
          <w:sz w:val="24"/>
          <w:szCs w:val="21"/>
        </w:rPr>
        <w:t xml:space="preserve">技术要求响应及偏离表、商务要求响应及偏离表、其他证明文件、投标函、开标一览表等部分。投标人按“第六章  投标文件格式”要求编写投标文件。</w:t>
      </w:r>
      <w:r/>
    </w:p>
    <w:p>
      <w:pPr>
        <w:ind w:firstLine="480"/>
        <w:spacing w:line="400" w:lineRule="exact"/>
        <w:rPr>
          <w:rFonts w:ascii="仿宋" w:hAnsi="仿宋" w:eastAsia="仿宋" w:cs="仿宋"/>
          <w:color w:val="auto"/>
          <w:sz w:val="24"/>
          <w:szCs w:val="21"/>
        </w:rPr>
      </w:pPr>
      <w:r>
        <w:rPr>
          <w:rFonts w:hint="eastAsia" w:ascii="仿宋" w:hAnsi="仿宋" w:eastAsia="仿宋" w:cs="仿宋"/>
          <w:color w:val="auto"/>
          <w:sz w:val="24"/>
          <w:szCs w:val="21"/>
        </w:rPr>
        <w:t xml:space="preserve">10.2 如标书制作工具中格式和内容与“江苏政府采购网”发布的招标文件不一致，请以“江苏政府采购网”发布的招标文件为准。</w:t>
      </w:r>
      <w:r/>
    </w:p>
    <w:p>
      <w:pPr>
        <w:ind w:firstLine="422"/>
        <w:keepLines/>
        <w:keepNext/>
        <w:spacing w:line="400" w:lineRule="exact"/>
        <w:rPr>
          <w:rFonts w:ascii="仿宋" w:hAnsi="仿宋" w:eastAsia="仿宋" w:cs="仿宋"/>
          <w:b/>
          <w:bCs/>
          <w:color w:val="auto"/>
          <w:sz w:val="28"/>
          <w:szCs w:val="28"/>
        </w:rPr>
      </w:pPr>
      <w:r/>
      <w:bookmarkStart w:id="104" w:name="_Hlt26668975"/>
      <w:r/>
      <w:bookmarkEnd w:id="104"/>
      <w:r/>
      <w:bookmarkStart w:id="105" w:name="_Hlt26954838"/>
      <w:r/>
      <w:bookmarkEnd w:id="105"/>
      <w:r/>
      <w:bookmarkStart w:id="106" w:name="_Hlt26670360"/>
      <w:r/>
      <w:bookmarkEnd w:id="106"/>
      <w:r/>
      <w:bookmarkStart w:id="107" w:name="_Toc513029219"/>
      <w:r/>
      <w:bookmarkStart w:id="108" w:name="_Toc49090509"/>
      <w:r/>
      <w:bookmarkStart w:id="109" w:name="_Toc14577357"/>
      <w:r/>
      <w:bookmarkStart w:id="110" w:name="_Toc14577354"/>
      <w:r/>
      <w:bookmarkStart w:id="111" w:name="_Toc49090507"/>
      <w:r/>
      <w:bookmarkStart w:id="112" w:name="_Toc513029216"/>
      <w:r/>
      <w:bookmarkStart w:id="113" w:name="_Toc14577355"/>
      <w:r/>
      <w:bookmarkStart w:id="114" w:name="_Toc49090508"/>
      <w:r>
        <w:rPr>
          <w:rFonts w:hint="eastAsia" w:ascii="仿宋" w:hAnsi="仿宋" w:eastAsia="仿宋" w:cs="仿宋"/>
          <w:b/>
          <w:bCs/>
          <w:color w:val="auto"/>
          <w:sz w:val="28"/>
          <w:szCs w:val="28"/>
        </w:rPr>
        <w:t xml:space="preserve">11、证明投标人及投标标的符合招标文件规定的文件</w:t>
      </w:r>
      <w:bookmarkEnd w:id="107"/>
      <w:r/>
      <w:bookmarkEnd w:id="108"/>
      <w:r/>
      <w:bookmarkEnd w:id="109"/>
      <w:r/>
      <w:bookmarkEnd w:id="110"/>
      <w:bookmarkEnd w:id="111"/>
      <w:bookmarkEnd w:id="112"/>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    11.1 投标人应按照招标文件要求提交证明文件，证明其及投标标的符合招标文件规定。</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11.2招标文件对证明文件无明确形式要求的，证明文件可以以文字资料、图纸和数据等形式提交。</w:t>
      </w:r>
      <w:bookmarkEnd w:id="113"/>
      <w:bookmarkEnd w:id="114"/>
      <w:r/>
    </w:p>
    <w:p>
      <w:pPr>
        <w:ind w:firstLine="422"/>
        <w:keepLines/>
        <w:keepNext/>
        <w:spacing w:line="40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12、投标分项报价表</w:t>
      </w:r>
      <w:r/>
    </w:p>
    <w:p>
      <w:pPr>
        <w:ind w:firstLine="480"/>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12.1</w:t>
      </w:r>
      <w:r>
        <w:rPr>
          <w:rFonts w:hint="eastAsia" w:ascii="仿宋" w:hAnsi="仿宋" w:eastAsia="仿宋" w:cs="仿宋"/>
          <w:color w:val="auto"/>
          <w:sz w:val="24"/>
          <w:szCs w:val="21"/>
        </w:rPr>
        <w:t xml:space="preserve"> 投</w:t>
      </w:r>
      <w:bookmarkStart w:id="115" w:name="_Hlt26954840"/>
      <w:r/>
      <w:bookmarkEnd w:id="115"/>
      <w:r>
        <w:rPr>
          <w:rFonts w:hint="eastAsia" w:ascii="仿宋" w:hAnsi="仿宋" w:eastAsia="仿宋" w:cs="仿宋"/>
          <w:color w:val="auto"/>
          <w:sz w:val="24"/>
          <w:szCs w:val="21"/>
        </w:rPr>
        <w:t xml:space="preserve">标人按照招标文件规定格式填报投标分项报价表</w:t>
      </w:r>
      <w:bookmarkStart w:id="116" w:name="_Hlt26670399"/>
      <w:r/>
      <w:bookmarkEnd w:id="116"/>
      <w:r>
        <w:rPr>
          <w:rFonts w:hint="eastAsia" w:ascii="仿宋" w:hAnsi="仿宋" w:eastAsia="仿宋" w:cs="仿宋"/>
          <w:color w:val="auto"/>
          <w:sz w:val="24"/>
          <w:szCs w:val="21"/>
        </w:rPr>
        <w:t xml:space="preserve">。</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12.2</w:t>
      </w:r>
      <w:r>
        <w:rPr>
          <w:rFonts w:hint="eastAsia" w:ascii="仿宋" w:hAnsi="仿宋" w:eastAsia="仿宋" w:cs="仿宋"/>
          <w:bCs/>
          <w:color w:val="000000"/>
          <w:sz w:val="24"/>
          <w:szCs w:val="21"/>
        </w:rPr>
        <w:t xml:space="preserve">投标货币。投标文件中的单价和总价无特殊规定的采用人民币报价，以元为单位标注。</w:t>
      </w:r>
      <w:r>
        <w:rPr>
          <w:rFonts w:hint="eastAsia" w:ascii="仿宋" w:hAnsi="仿宋" w:eastAsia="仿宋" w:cs="仿宋"/>
          <w:color w:val="000000"/>
          <w:sz w:val="24"/>
          <w:szCs w:val="21"/>
        </w:rPr>
        <w:t xml:space="preserve">招标文件中另有规定的按规定执行。</w:t>
      </w:r>
      <w:r/>
    </w:p>
    <w:p>
      <w:pPr>
        <w:ind w:firstLine="422"/>
        <w:keepLines/>
        <w:keepNext/>
        <w:spacing w:line="400" w:lineRule="exact"/>
        <w:rPr>
          <w:rFonts w:ascii="仿宋" w:hAnsi="仿宋" w:eastAsia="仿宋" w:cs="仿宋"/>
          <w:b/>
          <w:bCs/>
          <w:color w:val="000000"/>
          <w:sz w:val="28"/>
          <w:szCs w:val="28"/>
        </w:rPr>
      </w:pPr>
      <w:r/>
      <w:bookmarkStart w:id="117" w:name="_Hlt26670486"/>
      <w:r/>
      <w:bookmarkEnd w:id="117"/>
      <w:r/>
      <w:bookmarkStart w:id="118" w:name="_Hlt26954731"/>
      <w:r/>
      <w:bookmarkEnd w:id="118"/>
      <w:r/>
      <w:bookmarkStart w:id="119" w:name="_Hlt26670482"/>
      <w:r/>
      <w:bookmarkEnd w:id="119"/>
      <w:r/>
      <w:bookmarkStart w:id="120" w:name="_Hlt26954848"/>
      <w:r/>
      <w:bookmarkEnd w:id="120"/>
      <w:r/>
      <w:bookmarkStart w:id="121" w:name="_Hlt26954846"/>
      <w:r/>
      <w:bookmarkEnd w:id="121"/>
      <w:r>
        <w:rPr>
          <w:rFonts w:hint="eastAsia" w:ascii="仿宋" w:hAnsi="仿宋" w:eastAsia="仿宋" w:cs="仿宋"/>
          <w:b/>
          <w:bCs/>
          <w:color w:val="000000"/>
          <w:sz w:val="28"/>
          <w:szCs w:val="28"/>
        </w:rPr>
        <w:t xml:space="preserve">13、技术要求响应及偏离表、商务要求响应及偏离表</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13.1</w:t>
      </w:r>
      <w:r>
        <w:rPr>
          <w:rFonts w:hint="eastAsia" w:ascii="仿宋" w:hAnsi="仿宋" w:eastAsia="仿宋" w:cs="仿宋"/>
          <w:sz w:val="24"/>
          <w:szCs w:val="21"/>
        </w:rPr>
        <w:t xml:space="preserve">投标人</w:t>
      </w:r>
      <w:r>
        <w:rPr>
          <w:rFonts w:hint="eastAsia" w:ascii="仿宋" w:hAnsi="仿宋" w:eastAsia="仿宋" w:cs="仿宋"/>
          <w:sz w:val="24"/>
          <w:szCs w:val="21"/>
          <w:lang w:val="zh-CN"/>
        </w:rPr>
        <w:t xml:space="preserve">需对招标文件中的技术要求与商务要求作出响应，</w:t>
      </w:r>
      <w:r>
        <w:rPr>
          <w:rFonts w:hint="eastAsia" w:ascii="仿宋" w:hAnsi="仿宋" w:eastAsia="仿宋" w:cs="仿宋"/>
          <w:sz w:val="24"/>
          <w:szCs w:val="21"/>
        </w:rPr>
        <w:t xml:space="preserve">如有偏离的，应逐条填列在偏离表中，</w:t>
      </w:r>
      <w:r>
        <w:rPr>
          <w:rFonts w:hint="eastAsia" w:ascii="仿宋" w:hAnsi="仿宋" w:eastAsia="仿宋" w:cs="仿宋"/>
          <w:b/>
          <w:bCs/>
          <w:sz w:val="24"/>
          <w:szCs w:val="21"/>
        </w:rPr>
        <w:t xml:space="preserve">并说明偏离情况</w:t>
      </w:r>
      <w:r>
        <w:rPr>
          <w:rFonts w:hint="eastAsia" w:ascii="仿宋" w:hAnsi="仿宋" w:eastAsia="仿宋" w:cs="仿宋"/>
          <w:sz w:val="24"/>
          <w:szCs w:val="21"/>
        </w:rPr>
        <w:t xml:space="preserve">。</w:t>
      </w:r>
      <w:r/>
    </w:p>
    <w:p>
      <w:pPr>
        <w:ind w:firstLine="480"/>
        <w:spacing w:line="400" w:lineRule="exact"/>
        <w:rPr>
          <w:rFonts w:ascii="仿宋" w:hAnsi="仿宋" w:eastAsia="仿宋" w:cs="仿宋"/>
          <w:sz w:val="24"/>
          <w:szCs w:val="21"/>
          <w:lang w:val="zh-CN"/>
        </w:rPr>
      </w:pPr>
      <w:r>
        <w:rPr>
          <w:rFonts w:hint="eastAsia" w:ascii="仿宋" w:hAnsi="仿宋" w:eastAsia="仿宋" w:cs="仿宋"/>
          <w:sz w:val="24"/>
          <w:szCs w:val="21"/>
          <w:lang w:val="zh-CN"/>
        </w:rPr>
        <w:t xml:space="preserve">13.2 投标人需按照招标文件要求，在投标文件中提供与技术要求和商务要求相关的证明材料。</w:t>
      </w:r>
      <w:r/>
    </w:p>
    <w:p>
      <w:pPr>
        <w:ind w:firstLine="422"/>
        <w:keepLines/>
        <w:keepNext/>
        <w:spacing w:line="40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14、服务承诺、培训计划、人员安排及其他</w:t>
      </w:r>
      <w:r/>
    </w:p>
    <w:p>
      <w:pPr>
        <w:ind w:firstLine="480"/>
        <w:spacing w:line="40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14.1 </w:t>
      </w:r>
      <w:r>
        <w:rPr>
          <w:rFonts w:hint="eastAsia" w:ascii="仿宋" w:hAnsi="仿宋" w:eastAsia="仿宋" w:cs="仿宋"/>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14.2 投标人需根据招标文件要求提供培训计划。</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14.3 投标人需根据招标文件要求提供</w:t>
      </w:r>
      <w:r>
        <w:rPr>
          <w:rFonts w:hint="eastAsia" w:ascii="仿宋" w:hAnsi="仿宋" w:eastAsia="仿宋" w:cs="仿宋"/>
          <w:color w:val="000000"/>
          <w:sz w:val="24"/>
          <w:szCs w:val="21"/>
          <w:lang w:val="zh-CN"/>
        </w:rPr>
        <w:t xml:space="preserve">所投标的的主要组成部分、功能设计、实现思路及关键技术等。</w:t>
      </w:r>
      <w:r/>
    </w:p>
    <w:p>
      <w:pPr>
        <w:ind w:firstLine="422"/>
        <w:keepLines/>
        <w:keepNext/>
        <w:spacing w:line="400" w:lineRule="exact"/>
        <w:rPr>
          <w:rFonts w:ascii="仿宋" w:hAnsi="仿宋" w:eastAsia="仿宋" w:cs="仿宋"/>
          <w:b/>
          <w:bCs/>
          <w:color w:val="000000"/>
          <w:sz w:val="28"/>
          <w:szCs w:val="28"/>
        </w:rPr>
      </w:pPr>
      <w:r/>
      <w:bookmarkStart w:id="122" w:name="_Toc14577359"/>
      <w:r/>
      <w:bookmarkStart w:id="123" w:name="_Toc49090510"/>
      <w:r>
        <w:rPr>
          <w:rFonts w:hint="eastAsia" w:ascii="仿宋" w:hAnsi="仿宋" w:eastAsia="仿宋" w:cs="仿宋"/>
          <w:b/>
          <w:bCs/>
          <w:color w:val="000000"/>
          <w:sz w:val="28"/>
          <w:szCs w:val="28"/>
        </w:rPr>
        <w:t xml:space="preserve">15、投标函和开标一览表</w:t>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15.1</w:t>
      </w:r>
      <w:r>
        <w:rPr>
          <w:rFonts w:hint="eastAsia" w:ascii="仿宋" w:hAnsi="仿宋" w:eastAsia="仿宋" w:cs="仿宋"/>
          <w:color w:val="000000"/>
          <w:sz w:val="24"/>
          <w:szCs w:val="21"/>
        </w:rPr>
        <w:t xml:space="preserve"> 投标人应按照招标文件中提供的格式完整、正确填写投标函、开标一览表。</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bookmarkEnd w:id="122"/>
      <w:bookmarkEnd w:id="123"/>
      <w:r/>
    </w:p>
    <w:p>
      <w:pPr>
        <w:ind w:firstLine="422"/>
        <w:keepLines/>
        <w:keepNext/>
        <w:spacing w:line="400" w:lineRule="exact"/>
        <w:rPr>
          <w:rFonts w:ascii="仿宋" w:hAnsi="仿宋" w:eastAsia="仿宋" w:cs="仿宋"/>
          <w:b/>
          <w:bCs/>
          <w:color w:val="000000"/>
          <w:sz w:val="28"/>
          <w:szCs w:val="28"/>
        </w:rPr>
      </w:pPr>
      <w:r/>
      <w:bookmarkStart w:id="124" w:name="_Toc14577360"/>
      <w:r/>
      <w:bookmarkStart w:id="125" w:name="_Toc49090511"/>
      <w:r>
        <w:rPr>
          <w:rFonts w:hint="eastAsia" w:ascii="仿宋" w:hAnsi="仿宋" w:eastAsia="仿宋" w:cs="仿宋"/>
          <w:b/>
          <w:bCs/>
          <w:color w:val="000000"/>
          <w:sz w:val="28"/>
          <w:szCs w:val="28"/>
        </w:rPr>
        <w:t xml:space="preserve">16、投标有效期</w:t>
      </w:r>
      <w:bookmarkEnd w:id="124"/>
      <w:r/>
      <w:bookmarkEnd w:id="125"/>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16.1投标有效期为交易中心规定的开标之日后</w:t>
      </w:r>
      <w:r>
        <w:rPr>
          <w:rFonts w:hint="eastAsia" w:ascii="仿宋" w:hAnsi="仿宋" w:eastAsia="仿宋" w:cs="仿宋"/>
          <w:b/>
          <w:color w:val="000000"/>
          <w:sz w:val="24"/>
          <w:szCs w:val="21"/>
          <w:u w:val="single"/>
        </w:rPr>
        <w:t xml:space="preserve">六十（60）天</w:t>
      </w:r>
      <w:r>
        <w:rPr>
          <w:rFonts w:hint="eastAsia" w:ascii="仿宋" w:hAnsi="仿宋" w:eastAsia="仿宋" w:cs="仿宋"/>
          <w:bCs/>
          <w:color w:val="000000"/>
          <w:sz w:val="24"/>
          <w:szCs w:val="21"/>
        </w:rPr>
        <w:t xml:space="preserve">。投标有效期比规定短的将被视为未实质性响应招标文件而予以拒绝。</w:t>
      </w:r>
      <w:r/>
    </w:p>
    <w:p>
      <w:pPr>
        <w:ind w:firstLine="422"/>
        <w:keepLines/>
        <w:keepNext/>
        <w:spacing w:line="40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17、投标有效期的延长</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仿宋" w:hAnsi="仿宋" w:eastAsia="仿宋" w:cs="仿宋"/>
          <w:color w:val="000000"/>
          <w:sz w:val="24"/>
          <w:szCs w:val="24"/>
        </w:rPr>
        <w:t xml:space="preserve">受投标有效期约束的所有权利与义务均延长至新的有效期</w:t>
      </w:r>
      <w:r>
        <w:rPr>
          <w:rFonts w:hint="eastAsia" w:ascii="仿宋" w:hAnsi="仿宋" w:eastAsia="仿宋" w:cs="仿宋"/>
          <w:bCs/>
          <w:color w:val="000000"/>
          <w:sz w:val="24"/>
          <w:szCs w:val="21"/>
        </w:rPr>
        <w:t xml:space="preserve">。</w:t>
      </w:r>
      <w:r/>
    </w:p>
    <w:p>
      <w:pPr>
        <w:keepLines/>
        <w:keepNext/>
        <w:spacing w:before="145" w:after="145" w:line="400" w:lineRule="exact"/>
        <w:rPr>
          <w:rFonts w:ascii="仿宋" w:hAnsi="仿宋" w:eastAsia="仿宋" w:cs="仿宋"/>
          <w:b/>
          <w:bCs/>
          <w:color w:val="000000"/>
          <w:sz w:val="32"/>
          <w:szCs w:val="32"/>
        </w:rPr>
      </w:pPr>
      <w:r/>
      <w:bookmarkStart w:id="126" w:name="_Hlt26954852"/>
      <w:r/>
      <w:bookmarkEnd w:id="126"/>
      <w:r/>
      <w:bookmarkStart w:id="127" w:name="_Hlt26954739"/>
      <w:r/>
      <w:bookmarkEnd w:id="127"/>
      <w:r/>
      <w:bookmarkStart w:id="128" w:name="_Toc120614217"/>
      <w:r/>
      <w:bookmarkStart w:id="129" w:name="_Toc16938540"/>
      <w:r/>
      <w:bookmarkStart w:id="130" w:name="_Toc20823296"/>
      <w:r/>
      <w:bookmarkStart w:id="131" w:name="_Toc513029224"/>
      <w:r>
        <w:rPr>
          <w:rFonts w:hint="eastAsia" w:ascii="仿宋" w:hAnsi="仿宋" w:eastAsia="仿宋" w:cs="仿宋"/>
          <w:b/>
          <w:bCs/>
          <w:color w:val="000000"/>
          <w:sz w:val="32"/>
          <w:szCs w:val="32"/>
        </w:rPr>
        <w:t xml:space="preserve">四、投标文件的递交</w:t>
      </w:r>
      <w:bookmarkEnd w:id="128"/>
      <w:r/>
      <w:bookmarkEnd w:id="129"/>
      <w:r/>
      <w:bookmarkEnd w:id="130"/>
      <w:r/>
      <w:bookmarkEnd w:id="131"/>
      <w:r/>
      <w:r/>
    </w:p>
    <w:p>
      <w:pPr>
        <w:ind w:firstLine="422"/>
        <w:keepLines/>
        <w:keepNext/>
        <w:spacing w:line="400" w:lineRule="exact"/>
        <w:rPr>
          <w:rFonts w:ascii="仿宋" w:hAnsi="仿宋" w:eastAsia="仿宋" w:cs="仿宋"/>
          <w:b/>
          <w:bCs/>
          <w:color w:val="000000"/>
          <w:sz w:val="28"/>
          <w:szCs w:val="28"/>
        </w:rPr>
      </w:pPr>
      <w:r/>
      <w:bookmarkStart w:id="132" w:name="_Toc462564084"/>
      <w:r/>
      <w:bookmarkStart w:id="133" w:name="_Toc16938541"/>
      <w:r/>
      <w:bookmarkStart w:id="134" w:name="_Toc20823297"/>
      <w:r/>
      <w:bookmarkStart w:id="135" w:name="_Toc513029225"/>
      <w:r>
        <w:rPr>
          <w:rFonts w:hint="eastAsia" w:ascii="仿宋" w:hAnsi="仿宋" w:eastAsia="仿宋" w:cs="仿宋"/>
          <w:b/>
          <w:bCs/>
          <w:color w:val="000000"/>
          <w:sz w:val="28"/>
          <w:szCs w:val="28"/>
        </w:rPr>
        <w:t xml:space="preserve">18、电子投标文件</w:t>
      </w:r>
      <w:bookmarkEnd w:id="132"/>
      <w:r/>
      <w:bookmarkEnd w:id="133"/>
      <w:r/>
      <w:bookmarkEnd w:id="134"/>
      <w:r/>
      <w:bookmarkEnd w:id="135"/>
      <w:r>
        <w:rPr>
          <w:rFonts w:hint="eastAsia" w:ascii="仿宋" w:hAnsi="仿宋" w:eastAsia="仿宋" w:cs="仿宋"/>
          <w:b/>
          <w:bCs/>
          <w:color w:val="000000"/>
          <w:sz w:val="28"/>
          <w:szCs w:val="28"/>
        </w:rPr>
        <w:t xml:space="preserve">的递交</w:t>
      </w:r>
      <w:r/>
    </w:p>
    <w:p>
      <w:pPr>
        <w:ind w:left="525"/>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18.1投标人应当按照《操作指南》规定，在投标截止时间前制作并上传电子投标</w:t>
      </w:r>
      <w:r/>
    </w:p>
    <w:p>
      <w:pPr>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文件。</w:t>
      </w:r>
      <w:bookmarkStart w:id="136" w:name="_Toc16938542"/>
      <w:r/>
      <w:bookmarkStart w:id="137" w:name="_Toc20823298"/>
      <w:r/>
      <w:bookmarkStart w:id="138" w:name="_Toc513029226"/>
      <w:r/>
      <w:r/>
    </w:p>
    <w:p>
      <w:pPr>
        <w:ind w:firstLine="422"/>
        <w:keepLines/>
        <w:keepNext/>
        <w:spacing w:line="40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19、投标截止日期</w:t>
      </w:r>
      <w:bookmarkEnd w:id="136"/>
      <w:r/>
      <w:bookmarkEnd w:id="137"/>
      <w:r/>
      <w:bookmarkEnd w:id="138"/>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19.1</w:t>
      </w:r>
      <w:r>
        <w:rPr>
          <w:rFonts w:hint="eastAsia" w:ascii="仿宋" w:hAnsi="仿宋" w:eastAsia="仿宋" w:cs="仿宋"/>
          <w:bCs/>
          <w:color w:val="000000"/>
          <w:sz w:val="24"/>
          <w:szCs w:val="21"/>
        </w:rPr>
        <w:t xml:space="preserve"> 投标人上传电子投标文件的时间不得迟于招标公告中规定的投标截止时间。</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投标人应充分考虑到网络环境、网络带宽等风险因素，如因投标人自身原因造成的电子投标文件上传不成功的按照本招标文</w:t>
      </w:r>
      <w:r>
        <w:rPr>
          <w:rFonts w:hint="eastAsia" w:ascii="仿宋" w:hAnsi="仿宋" w:eastAsia="仿宋" w:cs="仿宋"/>
          <w:bCs/>
          <w:color w:val="000000"/>
          <w:sz w:val="24"/>
          <w:szCs w:val="21"/>
          <w:highlight w:val="none"/>
        </w:rPr>
        <w:t xml:space="preserve">件第二章第27.1.2条规</w:t>
      </w:r>
      <w:r>
        <w:rPr>
          <w:rFonts w:hint="eastAsia" w:ascii="仿宋" w:hAnsi="仿宋" w:eastAsia="仿宋" w:cs="仿宋"/>
          <w:bCs/>
          <w:color w:val="000000"/>
          <w:sz w:val="24"/>
          <w:szCs w:val="21"/>
        </w:rPr>
        <w:t xml:space="preserve">定做无效投标处理。</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19.2</w:t>
      </w:r>
      <w:r>
        <w:rPr>
          <w:rFonts w:hint="eastAsia" w:ascii="仿宋" w:hAnsi="仿宋" w:eastAsia="仿宋" w:cs="仿宋"/>
          <w:bCs/>
          <w:color w:val="000000"/>
          <w:sz w:val="24"/>
          <w:szCs w:val="21"/>
        </w:rPr>
        <w:t xml:space="preserve"> 交易中心可以按照规定，通过修改招标文件酌情延长投标截止日期，在此情况下，投标人的所有权利和义务以及投标人受制的截止日期均应以延长后新的截止日期为准。</w:t>
      </w:r>
      <w:r/>
    </w:p>
    <w:p>
      <w:pPr>
        <w:ind w:firstLine="422"/>
        <w:keepLines/>
        <w:keepNext/>
        <w:spacing w:line="400" w:lineRule="exact"/>
        <w:rPr>
          <w:rFonts w:ascii="仿宋" w:hAnsi="仿宋" w:eastAsia="仿宋" w:cs="仿宋"/>
          <w:b/>
          <w:bCs/>
          <w:color w:val="000000"/>
          <w:sz w:val="28"/>
          <w:szCs w:val="28"/>
        </w:rPr>
      </w:pPr>
      <w:r/>
      <w:bookmarkStart w:id="139" w:name="_Toc513029227"/>
      <w:r/>
      <w:bookmarkStart w:id="140" w:name="_Toc20823299"/>
      <w:r/>
      <w:bookmarkStart w:id="141" w:name="_Toc16938543"/>
      <w:r>
        <w:rPr>
          <w:rFonts w:hint="eastAsia" w:ascii="仿宋" w:hAnsi="仿宋" w:eastAsia="仿宋" w:cs="仿宋"/>
          <w:b/>
          <w:bCs/>
          <w:color w:val="000000"/>
          <w:sz w:val="28"/>
          <w:szCs w:val="28"/>
        </w:rPr>
        <w:t xml:space="preserve">20、投标文件</w:t>
      </w:r>
      <w:bookmarkEnd w:id="139"/>
      <w:r/>
      <w:bookmarkEnd w:id="140"/>
      <w:r/>
      <w:bookmarkEnd w:id="141"/>
      <w:r>
        <w:rPr>
          <w:rFonts w:hint="eastAsia" w:ascii="仿宋" w:hAnsi="仿宋" w:eastAsia="仿宋" w:cs="仿宋"/>
          <w:b/>
          <w:bCs/>
          <w:color w:val="000000"/>
          <w:sz w:val="28"/>
          <w:szCs w:val="28"/>
        </w:rPr>
        <w:t xml:space="preserve">的拒收</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20.1 交易中心拒绝接收在其规定的投标截止时间后上传的任何投标文件。</w:t>
      </w:r>
      <w:r/>
    </w:p>
    <w:p>
      <w:pPr>
        <w:ind w:firstLine="422"/>
        <w:keepLines/>
        <w:keepNext/>
        <w:spacing w:line="400" w:lineRule="exact"/>
        <w:rPr>
          <w:rFonts w:ascii="仿宋" w:hAnsi="仿宋" w:eastAsia="仿宋" w:cs="仿宋"/>
          <w:b/>
          <w:bCs/>
          <w:color w:val="000000"/>
          <w:sz w:val="28"/>
          <w:szCs w:val="28"/>
        </w:rPr>
      </w:pPr>
      <w:r/>
      <w:bookmarkStart w:id="142" w:name="_Toc20823300"/>
      <w:r/>
      <w:bookmarkStart w:id="143" w:name="_Toc16938544"/>
      <w:r/>
      <w:bookmarkStart w:id="144" w:name="_Toc513029228"/>
      <w:r>
        <w:rPr>
          <w:rFonts w:hint="eastAsia" w:ascii="仿宋" w:hAnsi="仿宋" w:eastAsia="仿宋" w:cs="仿宋"/>
          <w:b/>
          <w:bCs/>
          <w:color w:val="000000"/>
          <w:sz w:val="28"/>
          <w:szCs w:val="28"/>
        </w:rPr>
        <w:t xml:space="preserve">21、投标文件的撤回和修改</w:t>
      </w:r>
      <w:bookmarkEnd w:id="142"/>
      <w:r/>
      <w:bookmarkEnd w:id="143"/>
      <w:r/>
      <w:bookmarkEnd w:id="144"/>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21.1 投标文件的撤回</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21.1.1 电子投标文件的撤回</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投标人可在投标截止时间前，撤回其电子投标文件，具体操作方法见《操作指南》。</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21.1.2 投标人撤回电子投标文件，则认为其不再参与本项目投标活动。</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21.2 投标文件的修改</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21.2.1投标人可在投标截止时间前，对其电子投标文件进行修改，具体操作方法见《操作指南》。</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21.2.2</w:t>
      </w:r>
      <w:r>
        <w:rPr>
          <w:rFonts w:hint="eastAsia" w:ascii="仿宋" w:hAnsi="仿宋" w:eastAsia="仿宋" w:cs="仿宋"/>
          <w:bCs/>
          <w:color w:val="000000"/>
          <w:sz w:val="24"/>
          <w:szCs w:val="21"/>
        </w:rPr>
        <w:t xml:space="preserve"> 在投标截止时间之后，投标人不得对其电子投标文件作任何修改。</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21.3</w:t>
      </w:r>
      <w:r>
        <w:rPr>
          <w:rFonts w:hint="eastAsia" w:ascii="仿宋" w:hAnsi="仿宋" w:eastAsia="仿宋" w:cs="仿宋"/>
          <w:bCs/>
          <w:color w:val="000000"/>
          <w:sz w:val="24"/>
          <w:szCs w:val="21"/>
        </w:rPr>
        <w:t xml:space="preserve"> 在投标截止时间至招标文件中规定的投标有效期满之间的这段时间内，投标人不得撤回其投标。</w:t>
      </w:r>
      <w:r/>
    </w:p>
    <w:p>
      <w:pPr>
        <w:ind w:firstLine="482"/>
        <w:keepLines/>
        <w:keepNext/>
        <w:spacing w:before="145" w:after="145" w:line="400" w:lineRule="exact"/>
        <w:rPr>
          <w:rFonts w:ascii="仿宋" w:hAnsi="仿宋" w:eastAsia="仿宋" w:cs="仿宋"/>
          <w:b/>
          <w:bCs/>
          <w:color w:val="000000"/>
          <w:sz w:val="32"/>
          <w:szCs w:val="32"/>
        </w:rPr>
      </w:pPr>
      <w:r/>
      <w:bookmarkStart w:id="145" w:name="_Toc20823301"/>
      <w:r/>
      <w:bookmarkStart w:id="146" w:name="_Toc120614218"/>
      <w:r/>
      <w:bookmarkStart w:id="147" w:name="_Toc513029229"/>
      <w:r/>
      <w:bookmarkStart w:id="148" w:name="_Toc16938545"/>
      <w:r>
        <w:rPr>
          <w:rFonts w:hint="eastAsia" w:ascii="仿宋" w:hAnsi="仿宋" w:eastAsia="仿宋" w:cs="仿宋"/>
          <w:b/>
          <w:bCs/>
          <w:color w:val="000000"/>
          <w:sz w:val="32"/>
          <w:szCs w:val="32"/>
        </w:rPr>
        <w:t xml:space="preserve">五、开标与评标</w:t>
      </w:r>
      <w:bookmarkEnd w:id="145"/>
      <w:r/>
      <w:bookmarkEnd w:id="146"/>
      <w:r/>
      <w:bookmarkEnd w:id="147"/>
      <w:r/>
      <w:bookmarkEnd w:id="148"/>
      <w:r/>
      <w:r/>
    </w:p>
    <w:p>
      <w:pPr>
        <w:ind w:firstLine="422"/>
        <w:keepLines/>
        <w:keepNext/>
        <w:spacing w:line="400" w:lineRule="exact"/>
        <w:rPr>
          <w:rFonts w:ascii="仿宋" w:hAnsi="仿宋" w:eastAsia="仿宋" w:cs="仿宋"/>
          <w:b/>
          <w:bCs/>
          <w:color w:val="000000"/>
          <w:sz w:val="28"/>
          <w:szCs w:val="28"/>
        </w:rPr>
      </w:pPr>
      <w:r/>
      <w:bookmarkStart w:id="149" w:name="_Toc513029230"/>
      <w:r/>
      <w:bookmarkStart w:id="150" w:name="_Toc16938546"/>
      <w:r/>
      <w:bookmarkStart w:id="151" w:name="_Toc20823302"/>
      <w:r>
        <w:rPr>
          <w:rFonts w:hint="eastAsia" w:ascii="仿宋" w:hAnsi="仿宋" w:eastAsia="仿宋" w:cs="仿宋"/>
          <w:b/>
          <w:bCs/>
          <w:color w:val="000000"/>
          <w:sz w:val="28"/>
          <w:szCs w:val="28"/>
        </w:rPr>
        <w:t xml:space="preserve">22、开标</w:t>
      </w:r>
      <w:bookmarkEnd w:id="149"/>
      <w:r/>
      <w:bookmarkEnd w:id="150"/>
      <w:r/>
      <w:bookmarkEnd w:id="151"/>
      <w:r/>
      <w:r/>
    </w:p>
    <w:p>
      <w:pPr>
        <w:ind w:firstLine="480"/>
        <w:spacing w:line="400" w:lineRule="exact"/>
        <w:rPr>
          <w:rFonts w:ascii="仿宋" w:hAnsi="仿宋" w:eastAsia="仿宋" w:cs="仿宋"/>
          <w:szCs w:val="21"/>
        </w:rPr>
      </w:pPr>
      <w:r>
        <w:rPr>
          <w:rFonts w:hint="eastAsia" w:ascii="仿宋" w:hAnsi="仿宋" w:eastAsia="仿宋" w:cs="仿宋"/>
          <w:sz w:val="24"/>
          <w:szCs w:val="21"/>
        </w:rPr>
        <w:t xml:space="preserve">22.1</w:t>
      </w:r>
      <w:r>
        <w:rPr>
          <w:rFonts w:hint="eastAsia" w:ascii="仿宋" w:hAnsi="仿宋" w:eastAsia="仿宋" w:cs="仿宋"/>
          <w:bCs/>
          <w:sz w:val="24"/>
          <w:szCs w:val="21"/>
        </w:rPr>
        <w:t xml:space="preserve"> 交易中心将在招标公告中规定的时间和地点组织公开开标</w:t>
      </w:r>
      <w:r>
        <w:rPr>
          <w:rFonts w:hint="eastAsia" w:ascii="仿宋" w:hAnsi="仿宋" w:eastAsia="仿宋" w:cs="仿宋"/>
          <w:sz w:val="24"/>
          <w:szCs w:val="24"/>
        </w:rPr>
        <w:t xml:space="preserve">。投标人应当按照《操作指南》规定，参加开标活动和在苏采云系统规定的时间内对投标文件进行解密。</w:t>
      </w:r>
      <w:r/>
    </w:p>
    <w:p>
      <w:pPr>
        <w:ind w:firstLine="480"/>
        <w:spacing w:line="400" w:lineRule="exact"/>
        <w:rPr>
          <w:rFonts w:ascii="仿宋" w:hAnsi="仿宋" w:eastAsia="仿宋" w:cs="仿宋"/>
          <w:sz w:val="24"/>
          <w:szCs w:val="24"/>
        </w:rPr>
      </w:pPr>
      <w:r>
        <w:rPr>
          <w:rFonts w:hint="eastAsia" w:ascii="仿宋" w:hAnsi="仿宋" w:eastAsia="仿宋" w:cs="仿宋"/>
          <w:bCs/>
          <w:sz w:val="24"/>
          <w:szCs w:val="24"/>
        </w:rPr>
        <w:t xml:space="preserve">22.2</w:t>
      </w:r>
      <w:r>
        <w:rPr>
          <w:rFonts w:hint="eastAsia" w:ascii="仿宋" w:hAnsi="仿宋" w:eastAsia="仿宋" w:cs="仿宋"/>
          <w:sz w:val="24"/>
          <w:szCs w:val="24"/>
        </w:rPr>
        <w:t xml:space="preserve">开标仪式由交易中心组织。苏采云系统将自动对项目进行开标，并宣布各投标人名称和投标价格。</w:t>
      </w:r>
      <w:r/>
    </w:p>
    <w:p>
      <w:pPr>
        <w:ind w:firstLine="480"/>
        <w:spacing w:line="400" w:lineRule="exact"/>
        <w:rPr>
          <w:rFonts w:ascii="仿宋" w:hAnsi="仿宋" w:eastAsia="仿宋" w:cs="仿宋"/>
          <w:sz w:val="24"/>
          <w:szCs w:val="24"/>
        </w:rPr>
      </w:pPr>
      <w:r>
        <w:rPr>
          <w:rFonts w:hint="eastAsia" w:ascii="仿宋" w:hAnsi="仿宋" w:eastAsia="仿宋" w:cs="仿宋"/>
          <w:bCs/>
          <w:sz w:val="24"/>
          <w:szCs w:val="21"/>
        </w:rPr>
        <w:t xml:space="preserve">22.3投标人在开标过程中涉及到的投标文件解密、开标结果确认等工作，应按照《操作指南》规定执行。</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22.4投标人如果对开标过程和开标记录有疑义，应当根据《操作指南》规定提出，如苏采云系统中《开标记录表》宣布后5分钟内未提出的，视同认可开标结果。</w:t>
      </w:r>
      <w:r/>
    </w:p>
    <w:p>
      <w:pPr>
        <w:ind w:firstLine="422"/>
        <w:keepLines/>
        <w:keepNext/>
        <w:spacing w:line="400" w:lineRule="exact"/>
        <w:rPr>
          <w:rFonts w:ascii="仿宋" w:hAnsi="仿宋" w:eastAsia="仿宋" w:cs="仿宋"/>
          <w:b/>
          <w:bCs/>
          <w:sz w:val="28"/>
          <w:szCs w:val="28"/>
        </w:rPr>
      </w:pPr>
      <w:r/>
      <w:bookmarkStart w:id="152" w:name="_Toc16938547"/>
      <w:r/>
      <w:bookmarkStart w:id="153" w:name="_Toc513029231"/>
      <w:r/>
      <w:bookmarkStart w:id="154" w:name="_Toc20823303"/>
      <w:r>
        <w:rPr>
          <w:rFonts w:hint="eastAsia" w:ascii="仿宋" w:hAnsi="仿宋" w:eastAsia="仿宋" w:cs="仿宋"/>
          <w:b/>
          <w:bCs/>
          <w:sz w:val="28"/>
          <w:szCs w:val="28"/>
        </w:rPr>
        <w:t xml:space="preserve">23、评标委员会</w:t>
      </w:r>
      <w:r/>
    </w:p>
    <w:p>
      <w:pPr>
        <w:spacing w:line="40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23.1</w:t>
      </w: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开标后，交易中心将立即组织评标委员会（以下简称评委会）进行评标。</w:t>
      </w:r>
      <w:r/>
    </w:p>
    <w:p>
      <w:pPr>
        <w:spacing w:line="400" w:lineRule="exact"/>
        <w:rPr>
          <w:rFonts w:ascii="仿宋" w:hAnsi="仿宋" w:eastAsia="仿宋" w:cs="仿宋"/>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23.2 评委会由采购人代表和有关技术、经济等方面的专家组成，且人员构成符合政府采购有关规定。</w:t>
      </w:r>
      <w:r/>
    </w:p>
    <w:p>
      <w:pPr>
        <w:spacing w:line="400" w:lineRule="exact"/>
        <w:rPr>
          <w:rFonts w:ascii="仿宋" w:hAnsi="仿宋" w:eastAsia="仿宋" w:cs="仿宋"/>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23.3评委会独立工作，负责评审所有投标文件并确定中标侯选人。</w:t>
      </w:r>
      <w:r/>
    </w:p>
    <w:p>
      <w:pPr>
        <w:ind w:firstLine="422"/>
        <w:keepLines/>
        <w:keepNext/>
        <w:spacing w:line="400" w:lineRule="exact"/>
        <w:rPr>
          <w:rFonts w:ascii="仿宋" w:hAnsi="仿宋" w:eastAsia="仿宋" w:cs="仿宋"/>
          <w:b/>
          <w:bCs/>
          <w:sz w:val="28"/>
          <w:szCs w:val="28"/>
        </w:rPr>
      </w:pPr>
      <w:r>
        <w:rPr>
          <w:rFonts w:hint="eastAsia" w:ascii="仿宋" w:hAnsi="仿宋" w:eastAsia="仿宋" w:cs="仿宋"/>
          <w:b/>
          <w:bCs/>
          <w:sz w:val="28"/>
          <w:szCs w:val="28"/>
        </w:rPr>
        <w:t xml:space="preserve">24、评标过程的保密与公正</w:t>
      </w:r>
      <w:bookmarkEnd w:id="152"/>
      <w:bookmarkEnd w:id="153"/>
      <w:bookmarkEnd w:id="154"/>
      <w:r/>
    </w:p>
    <w:p>
      <w:pPr>
        <w:pStyle w:val="742"/>
        <w:rPr>
          <w:rFonts w:ascii="仿宋" w:hAnsi="仿宋" w:eastAsia="仿宋" w:cs="仿宋"/>
          <w:bCs/>
          <w:color w:val="000000"/>
          <w:sz w:val="24"/>
          <w:szCs w:val="21"/>
        </w:rPr>
      </w:pPr>
      <w:r>
        <w:rPr>
          <w:rFonts w:hint="eastAsia" w:ascii="仿宋" w:hAnsi="仿宋" w:eastAsia="仿宋" w:cs="仿宋"/>
          <w:color w:val="000000"/>
          <w:sz w:val="24"/>
          <w:szCs w:val="21"/>
        </w:rPr>
        <w:t xml:space="preserve">24.1</w:t>
      </w:r>
      <w:r>
        <w:rPr>
          <w:rFonts w:hint="eastAsia" w:ascii="仿宋" w:hAnsi="仿宋" w:eastAsia="仿宋" w:cs="仿宋"/>
          <w:bCs/>
          <w:color w:val="000000"/>
          <w:sz w:val="24"/>
          <w:szCs w:val="21"/>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1"/>
        </w:rPr>
        <w:t xml:space="preserve">24.2</w:t>
      </w:r>
      <w:r>
        <w:rPr>
          <w:rFonts w:hint="eastAsia" w:ascii="仿宋" w:hAnsi="仿宋" w:eastAsia="仿宋" w:cs="仿宋"/>
          <w:color w:val="000000"/>
          <w:sz w:val="24"/>
          <w:szCs w:val="24"/>
        </w:rPr>
        <w:t xml:space="preserve">在评标过程中，投标人不得以任何行为影响评标过程，否则其投标文件将被作为无效投标文件。</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24.3在评标期间，交易中心将设专门人员与投标人联系。</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24.4 交易中心和评标委员会不向未中标的投标人解释未中标原因，也不公布评标过程中的相关细节。</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24.5 采用综合评分法的项目，未中标的投标人可于中标结果公告期限届满之日起通过苏采云系统查看自己的评审得分及排序情况。</w:t>
      </w:r>
      <w:r/>
    </w:p>
    <w:p>
      <w:pPr>
        <w:ind w:firstLine="422"/>
        <w:keepLines/>
        <w:keepNext/>
        <w:spacing w:line="400" w:lineRule="exact"/>
        <w:rPr>
          <w:rFonts w:ascii="仿宋" w:hAnsi="仿宋" w:eastAsia="仿宋" w:cs="仿宋"/>
          <w:b/>
          <w:bCs/>
          <w:color w:val="000000"/>
          <w:sz w:val="28"/>
          <w:szCs w:val="28"/>
        </w:rPr>
      </w:pPr>
      <w:r/>
      <w:bookmarkStart w:id="155" w:name="_Toc16938548"/>
      <w:r/>
      <w:bookmarkStart w:id="156" w:name="_Toc20823304"/>
      <w:r/>
      <w:bookmarkStart w:id="157" w:name="_Toc513029232"/>
      <w:r>
        <w:rPr>
          <w:rFonts w:hint="eastAsia" w:ascii="仿宋" w:hAnsi="仿宋" w:eastAsia="仿宋" w:cs="仿宋"/>
          <w:b/>
          <w:bCs/>
          <w:color w:val="000000"/>
          <w:sz w:val="28"/>
          <w:szCs w:val="28"/>
        </w:rPr>
        <w:t xml:space="preserve">25、投标文件的澄清</w:t>
      </w:r>
      <w:bookmarkEnd w:id="155"/>
      <w:r/>
      <w:bookmarkEnd w:id="156"/>
      <w:r/>
      <w:bookmarkEnd w:id="157"/>
      <w:r/>
      <w:r/>
    </w:p>
    <w:p>
      <w:pPr>
        <w:ind w:firstLine="480"/>
        <w:spacing w:line="400" w:lineRule="exact"/>
        <w:rPr>
          <w:rFonts w:ascii="仿宋" w:hAnsi="仿宋" w:eastAsia="仿宋" w:cs="仿宋"/>
          <w:color w:val="000000"/>
          <w:sz w:val="24"/>
          <w:szCs w:val="24"/>
        </w:rPr>
      </w:pPr>
      <w:r/>
      <w:bookmarkStart w:id="158" w:name="_Toc16938549"/>
      <w:r/>
      <w:bookmarkStart w:id="159" w:name="_Toc20823305"/>
      <w:r/>
      <w:bookmarkStart w:id="160" w:name="_Toc513029233"/>
      <w:r>
        <w:rPr>
          <w:rFonts w:hint="eastAsia" w:ascii="仿宋" w:hAnsi="仿宋" w:eastAsia="仿宋" w:cs="仿宋"/>
          <w:color w:val="000000"/>
          <w:sz w:val="24"/>
          <w:szCs w:val="24"/>
        </w:rPr>
        <w:t xml:space="preserve">25.1评标期间，评委会对投标文件中含义不明确、同类问题表述不一致或者有明显文字和计算错误的内容 ，有权要求投标人作出必要的澄清、说明或者补正。</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投标人的澄清、说明或者补正不得超出投标文件的范围或者改变投标文件的实质性内容。</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评标委员会并非对每个投标人都做澄清要求。</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25.2需要投标人进行澄清、说明和补正的，评委</w:t>
      </w:r>
      <w:r>
        <w:rPr>
          <w:rFonts w:hint="eastAsia" w:ascii="仿宋" w:hAnsi="仿宋" w:eastAsia="仿宋" w:cs="仿宋"/>
          <w:sz w:val="24"/>
          <w:szCs w:val="24"/>
        </w:rPr>
        <w:t xml:space="preserve">会将通过苏采云系统向投标人发出“澄清要求函”，接到“澄清要求函”的投标人应当按照要求在苏采云系统中提交“澄清响应函”并加盖CA电子公章。澄清、说明和补正的内容作为投标文件的补充部分，具体操作方式见《操作指南》。</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25.3 接到评委会澄清、说明和补正要求的投标人如未按规定做出澄清、说明和补正，其风险由投标人自行承担。</w:t>
      </w:r>
      <w:r/>
    </w:p>
    <w:p>
      <w:pPr>
        <w:ind w:firstLine="422"/>
        <w:keepLines/>
        <w:keepNext/>
        <w:spacing w:line="40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26、对投标文件的初审</w:t>
      </w:r>
      <w:bookmarkEnd w:id="158"/>
      <w:r/>
      <w:bookmarkEnd w:id="159"/>
      <w:r/>
      <w:bookmarkEnd w:id="160"/>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26.1</w:t>
      </w:r>
      <w:r>
        <w:rPr>
          <w:rFonts w:hint="eastAsia" w:ascii="仿宋" w:hAnsi="仿宋" w:eastAsia="仿宋" w:cs="仿宋"/>
          <w:bCs/>
          <w:color w:val="000000"/>
          <w:sz w:val="24"/>
          <w:szCs w:val="21"/>
        </w:rPr>
        <w:t xml:space="preserve">投标文件初审分为资格审查和符合性审查。</w:t>
      </w:r>
      <w:r/>
    </w:p>
    <w:p>
      <w:pPr>
        <w:ind w:firstLine="480"/>
        <w:jc w:val="left"/>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仿宋" w:hAnsi="仿宋" w:eastAsia="仿宋" w:cs="仿宋"/>
          <w:bCs/>
          <w:sz w:val="24"/>
          <w:szCs w:val="21"/>
        </w:rPr>
      </w:pPr>
      <w:r>
        <w:rPr>
          <w:rFonts w:hint="eastAsia" w:ascii="仿宋" w:hAnsi="仿宋" w:eastAsia="仿宋" w:cs="仿宋"/>
          <w:bCs/>
          <w:color w:val="000000"/>
          <w:sz w:val="24"/>
          <w:szCs w:val="21"/>
        </w:rPr>
        <w:t xml:space="preserve">26.1.3 未通过资格审查或符合性审查的投标人，交易中心将</w:t>
      </w:r>
      <w:r>
        <w:rPr>
          <w:rFonts w:hint="eastAsia" w:ascii="仿宋" w:hAnsi="仿宋" w:eastAsia="仿宋" w:cs="仿宋"/>
          <w:bCs/>
          <w:sz w:val="24"/>
          <w:szCs w:val="21"/>
        </w:rPr>
        <w:t xml:space="preserve">在</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ascii="仿宋" w:hAnsi="仿宋" w:eastAsia="仿宋" w:cs="仿宋"/>
          <w:color w:val="000000"/>
          <w:sz w:val="24"/>
          <w:szCs w:val="24"/>
        </w:rPr>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在详细评标之前，评委会</w:t>
      </w:r>
      <w:r>
        <w:rPr>
          <w:rFonts w:hint="eastAsia" w:ascii="仿宋" w:hAnsi="仿宋" w:eastAsia="仿宋" w:cs="仿宋"/>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cs="仿宋"/>
          <w:bCs/>
          <w:color w:val="000000"/>
          <w:sz w:val="24"/>
          <w:szCs w:val="21"/>
        </w:rPr>
        <w:t xml:space="preserve">评委决定投标文件的响应性只根据投标文件本身的内容，而不寻求外部的证据。</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26.3</w:t>
      </w:r>
      <w:r>
        <w:rPr>
          <w:rFonts w:hint="eastAsia" w:ascii="仿宋" w:hAnsi="仿宋" w:eastAsia="仿宋" w:cs="仿宋"/>
          <w:bCs/>
          <w:color w:val="000000"/>
          <w:sz w:val="24"/>
          <w:szCs w:val="21"/>
        </w:rPr>
        <w:t xml:space="preserve">如果投标文件实质上没有响应招标文件的要求，评委会将按无效响应处理，投标人不得通过修改或撤销不合要求的偏离或保留而使其成为实质性响应的投标。</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26.4</w:t>
      </w:r>
      <w:r>
        <w:rPr>
          <w:rFonts w:hint="eastAsia" w:ascii="仿宋" w:hAnsi="仿宋" w:eastAsia="仿宋" w:cs="仿宋"/>
          <w:bCs/>
          <w:color w:val="000000"/>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（1）投标文件中开标一览表内容与投标文件中相应内容不一致的，以开标一览表为准。</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（2）大写金额和小写金额不一致的，以大写金额为准。</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（3）单价金额小数点或者百分比有明显错位的，以开标一览表的总价为准，并修改单价。</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（4）总价金额与按单价汇总金额不一致的，以单价金额计算结果为准。</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同时出现两种以上错误的，按照前款规定的顺序修正。</w:t>
      </w:r>
      <w:r/>
    </w:p>
    <w:p>
      <w:pPr>
        <w:ind w:firstLine="480"/>
        <w:spacing w:line="400" w:lineRule="exact"/>
        <w:rPr>
          <w:rFonts w:ascii="仿宋" w:hAnsi="仿宋" w:eastAsia="仿宋" w:cs="仿宋"/>
        </w:rPr>
      </w:pPr>
      <w:r>
        <w:rPr>
          <w:rFonts w:hint="eastAsia" w:ascii="仿宋" w:hAnsi="仿宋" w:eastAsia="仿宋" w:cs="仿宋"/>
          <w:color w:val="000000"/>
          <w:sz w:val="24"/>
          <w:szCs w:val="21"/>
        </w:rPr>
        <w:t xml:space="preserve">26.5</w:t>
      </w:r>
      <w:r>
        <w:rPr>
          <w:rFonts w:hint="eastAsia" w:ascii="仿宋" w:hAnsi="仿宋" w:eastAsia="仿宋" w:cs="仿宋"/>
          <w:bCs/>
          <w:color w:val="000000"/>
          <w:sz w:val="24"/>
          <w:szCs w:val="21"/>
        </w:rPr>
        <w:t xml:space="preserve">评委会将按上述修正错误的方法调整投标文件中的投标报价</w:t>
      </w:r>
      <w:r>
        <w:rPr>
          <w:rFonts w:hint="eastAsia" w:ascii="仿宋" w:hAnsi="仿宋" w:eastAsia="仿宋" w:cs="仿宋"/>
          <w:bCs/>
          <w:sz w:val="24"/>
          <w:szCs w:val="21"/>
        </w:rPr>
        <w:t xml:space="preserve">，并通过</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告知投标人，调整后的价格应对投标人具有约束力。如果投标人不接受修正后的价格，则其投标将被拒绝。</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26.6评委会将允许修正投标文件中不构成重大偏离的、微小的、非正规的、不一致的或不规则的地方，但这些修改不能影响任何投标人相应的名次排列。</w:t>
      </w:r>
      <w:bookmarkStart w:id="161" w:name="_Toc513029234"/>
      <w:r/>
      <w:bookmarkStart w:id="162" w:name="_Toc16938550"/>
      <w:r/>
      <w:bookmarkStart w:id="163" w:name="_Toc20823306"/>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非单一产品采购项目，招标文件中将载明其中的核心产品。多家投标人提供的核心产品品牌相同的，按前两款规定处理。</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26.8投标人在开、评标全过程中应保持通讯畅通，及时登录苏采云系统查阅、答复相关信息，并安排专人与交易中心及评标委员会联系。</w:t>
      </w:r>
      <w:r/>
    </w:p>
    <w:p>
      <w:pPr>
        <w:ind w:firstLine="420"/>
        <w:spacing w:line="400" w:lineRule="exact"/>
        <w:rPr>
          <w:rFonts w:ascii="仿宋" w:hAnsi="仿宋" w:eastAsia="仿宋" w:cs="仿宋"/>
          <w:b/>
          <w:bCs/>
          <w:color w:val="000000"/>
          <w:sz w:val="24"/>
          <w:szCs w:val="21"/>
        </w:rPr>
      </w:pPr>
      <w:r>
        <w:rPr>
          <w:rFonts w:hint="eastAsia" w:ascii="仿宋" w:hAnsi="仿宋" w:eastAsia="仿宋" w:cs="仿宋"/>
          <w:b/>
          <w:bCs/>
          <w:color w:val="000000"/>
          <w:sz w:val="24"/>
          <w:szCs w:val="21"/>
        </w:rPr>
        <w:t xml:space="preserve">26.9异常低价审查</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26.9.1根据省财政厅《关于推动解决政府采购异常低价问题相关工作的通知》（苏财购〔2025〕62号）要求，评审过程中出现下列情形的，评审委员会应当启动异常低价投标（响应）审查程序：</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25.9.1.1投标(响应)报价低于采购项目最高限价45%的，即投标(响应)报价&lt;采购项目最高限价×45%;</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25.9.1.2评审委员会认定的供应商报价过低、有可能影响产品质量或者不能诚信履约的其他情形。</w:t>
      </w:r>
      <w:r/>
    </w:p>
    <w:p>
      <w:pPr>
        <w:ind w:firstLine="420"/>
        <w:spacing w:line="400" w:lineRule="exact"/>
        <w:rPr>
          <w:rFonts w:eastAsia="楷体_GB2312"/>
        </w:rPr>
      </w:pPr>
      <w:r>
        <w:rPr>
          <w:rFonts w:hint="eastAsia" w:ascii="仿宋" w:hAnsi="仿宋" w:eastAsia="仿宋" w:cs="仿宋"/>
          <w:color w:val="000000"/>
          <w:sz w:val="24"/>
          <w:szCs w:val="21"/>
        </w:rPr>
        <w:t xml:space="preserve">25.9.2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keepLines/>
        <w:keepNext/>
        <w:spacing w:line="400" w:lineRule="exact"/>
        <w:rPr>
          <w:rFonts w:ascii="仿宋" w:hAnsi="仿宋" w:eastAsia="仿宋" w:cs="仿宋"/>
          <w:b/>
          <w:bCs/>
          <w:sz w:val="28"/>
          <w:szCs w:val="28"/>
        </w:rPr>
      </w:pPr>
      <w:r>
        <w:rPr>
          <w:rFonts w:hint="eastAsia" w:ascii="仿宋" w:hAnsi="仿宋" w:eastAsia="仿宋" w:cs="仿宋"/>
          <w:b/>
          <w:bCs/>
          <w:sz w:val="28"/>
          <w:szCs w:val="28"/>
        </w:rPr>
        <w:t xml:space="preserve">27、</w:t>
      </w:r>
      <w:bookmarkEnd w:id="161"/>
      <w:r/>
      <w:bookmarkEnd w:id="162"/>
      <w:r/>
      <w:bookmarkEnd w:id="163"/>
      <w:r>
        <w:rPr>
          <w:rFonts w:hint="eastAsia" w:ascii="仿宋" w:hAnsi="仿宋" w:eastAsia="仿宋" w:cs="仿宋"/>
          <w:b/>
          <w:bCs/>
          <w:sz w:val="28"/>
          <w:szCs w:val="28"/>
        </w:rPr>
        <w:t xml:space="preserve">无效投标条款和废标条款</w:t>
      </w:r>
      <w:r/>
    </w:p>
    <w:p>
      <w:pPr>
        <w:ind w:left="479"/>
        <w:spacing w:line="400" w:lineRule="exact"/>
        <w:rPr>
          <w:rFonts w:ascii="仿宋" w:hAnsi="仿宋" w:eastAsia="仿宋" w:cs="仿宋"/>
          <w:bCs/>
          <w:sz w:val="24"/>
          <w:szCs w:val="21"/>
        </w:rPr>
      </w:pPr>
      <w:r/>
      <w:bookmarkStart w:id="164" w:name="_Toc20823307"/>
      <w:r/>
      <w:bookmarkStart w:id="165" w:name="_Toc513029235"/>
      <w:r/>
      <w:bookmarkStart w:id="166" w:name="_Toc16938551"/>
      <w:r>
        <w:rPr>
          <w:rFonts w:hint="eastAsia" w:ascii="仿宋" w:hAnsi="仿宋" w:eastAsia="仿宋" w:cs="仿宋"/>
          <w:bCs/>
          <w:sz w:val="24"/>
          <w:szCs w:val="21"/>
        </w:rPr>
        <w:t xml:space="preserve">27.1无效投标条款</w:t>
      </w:r>
      <w:r/>
    </w:p>
    <w:p>
      <w:pPr>
        <w:ind w:firstLine="480"/>
        <w:spacing w:line="400" w:lineRule="exact"/>
        <w:rPr>
          <w:rFonts w:ascii="仿宋" w:hAnsi="仿宋" w:eastAsia="仿宋" w:cs="仿宋"/>
          <w:bCs/>
          <w:sz w:val="24"/>
          <w:szCs w:val="21"/>
        </w:rPr>
      </w:pPr>
      <w:r>
        <w:rPr>
          <w:rFonts w:hint="eastAsia" w:ascii="仿宋" w:hAnsi="仿宋" w:eastAsia="仿宋" w:cs="仿宋"/>
          <w:bCs/>
          <w:sz w:val="24"/>
          <w:szCs w:val="21"/>
        </w:rPr>
        <w:t xml:space="preserve">27.1.1 投标人在“</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”规定的时间内未成功解密电子投标文件的。</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sz w:val="24"/>
          <w:szCs w:val="21"/>
        </w:rPr>
        <w:t xml:space="preserve">27.1.2 投标人未按照招标文件</w:t>
      </w:r>
      <w:r>
        <w:rPr>
          <w:rFonts w:hint="eastAsia" w:ascii="仿宋" w:hAnsi="仿宋" w:eastAsia="仿宋" w:cs="仿宋"/>
          <w:bCs/>
          <w:color w:val="000000"/>
          <w:sz w:val="24"/>
          <w:szCs w:val="21"/>
        </w:rPr>
        <w:t xml:space="preserve">要求上传电子投标文件的。</w:t>
      </w:r>
      <w:r/>
    </w:p>
    <w:p>
      <w:pPr>
        <w:ind w:left="479"/>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27.1.3 投标人</w:t>
      </w:r>
      <w:r>
        <w:rPr>
          <w:rFonts w:hint="eastAsia" w:ascii="仿宋" w:hAnsi="仿宋" w:eastAsia="仿宋" w:cs="仿宋"/>
          <w:bCs/>
          <w:color w:val="auto"/>
          <w:sz w:val="24"/>
          <w:szCs w:val="21"/>
        </w:rPr>
        <w:t xml:space="preserve">同一分包</w:t>
      </w:r>
      <w:r>
        <w:rPr>
          <w:rFonts w:hint="eastAsia" w:ascii="仿宋" w:hAnsi="仿宋" w:eastAsia="仿宋" w:cs="仿宋"/>
          <w:bCs/>
          <w:color w:val="000000"/>
          <w:sz w:val="24"/>
          <w:szCs w:val="21"/>
        </w:rPr>
        <w:t xml:space="preserve">提交两个（含两个）以上不同的投标报价的。</w:t>
      </w:r>
      <w:r/>
    </w:p>
    <w:p>
      <w:pPr>
        <w:ind w:left="479"/>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27.1.4投标人不具备招标文件中规定资格要求的。</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27.1.5投标人的报价超过了采购预算或最高限价的。</w:t>
      </w:r>
      <w:r/>
    </w:p>
    <w:p>
      <w:pPr>
        <w:ind w:firstLine="480"/>
        <w:spacing w:line="400" w:lineRule="exact"/>
        <w:rPr>
          <w:rFonts w:ascii="仿宋" w:hAnsi="仿宋" w:eastAsia="仿宋" w:cs="仿宋"/>
          <w:bCs/>
          <w:i/>
          <w:color w:val="000000"/>
          <w:sz w:val="24"/>
          <w:szCs w:val="21"/>
          <w:u w:val="single"/>
        </w:rPr>
      </w:pPr>
      <w:r>
        <w:rPr>
          <w:rFonts w:hint="eastAsia" w:ascii="仿宋" w:hAnsi="仿宋" w:eastAsia="仿宋" w:cs="仿宋"/>
          <w:bCs/>
          <w:color w:val="000000"/>
          <w:sz w:val="24"/>
          <w:szCs w:val="21"/>
        </w:rPr>
        <w:t xml:space="preserve">27.1.6未通过符合性审查的。</w:t>
      </w:r>
      <w:r/>
    </w:p>
    <w:p>
      <w:pPr>
        <w:ind w:firstLine="360"/>
        <w:spacing w:line="400" w:lineRule="exact"/>
        <w:rPr>
          <w:rFonts w:ascii="仿宋" w:hAnsi="仿宋" w:eastAsia="仿宋" w:cs="仿宋"/>
          <w:bCs/>
          <w:i/>
          <w:color w:val="0000ff"/>
          <w:sz w:val="24"/>
          <w:szCs w:val="21"/>
          <w:u w:val="single"/>
        </w:rPr>
      </w:pPr>
      <w:r>
        <w:rPr>
          <w:rFonts w:hint="eastAsia" w:ascii="仿宋" w:hAnsi="仿宋" w:eastAsia="仿宋" w:cs="仿宋"/>
          <w:bCs/>
          <w:color w:val="000000"/>
          <w:sz w:val="24"/>
          <w:szCs w:val="21"/>
        </w:rPr>
        <w:t xml:space="preserve"> 27.1.7不符合招标文件中规定的实质性要求的</w:t>
      </w:r>
      <w:r>
        <w:rPr>
          <w:rFonts w:hint="eastAsia" w:ascii="仿宋" w:hAnsi="仿宋" w:eastAsia="仿宋" w:cs="仿宋"/>
          <w:bCs/>
          <w:color w:val="0000ff"/>
          <w:sz w:val="24"/>
          <w:szCs w:val="21"/>
        </w:rPr>
        <w:t xml:space="preserve">（</w:t>
      </w:r>
      <w:r>
        <w:rPr>
          <w:rFonts w:hint="eastAsia" w:ascii="仿宋" w:hAnsi="仿宋" w:eastAsia="仿宋" w:cs="仿宋"/>
          <w:bCs/>
          <w:i/>
          <w:color w:val="0000ff"/>
          <w:sz w:val="24"/>
          <w:szCs w:val="21"/>
          <w:u w:val="single"/>
        </w:rPr>
        <w:t xml:space="preserve">本招标文件中斜体且有下划线部分为实质性要求）。</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27.1.9  投标文件含有采购人不能接受的附加条件的。</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27.1.10评标委员会认为投标人的报价</w:t>
      </w:r>
      <w:r>
        <w:rPr>
          <w:rFonts w:hint="eastAsia" w:ascii="仿宋" w:hAnsi="仿宋" w:eastAsia="仿宋" w:cs="仿宋"/>
          <w:bCs/>
          <w:sz w:val="24"/>
          <w:szCs w:val="21"/>
        </w:rPr>
        <w:t xml:space="preserve">明显低于其他通过符合性审查投标人的报价，有可能影响产品质量或者不能诚信履约的，将通过</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要求其在合理的时间内提供说明，必要时提交相关证明材料；投标人不能证明其报价合理性的，评标委员会应当将其作为无效投标处理。</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27.1.12 投标文件未按照招标文件要求加盖CA电子公章的。</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27.1.13其他法律、法规及本招标文件规定的属无效投标的情形。</w:t>
      </w:r>
      <w:r/>
    </w:p>
    <w:p>
      <w:pPr>
        <w:ind w:left="479"/>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27.2废标条款</w:t>
      </w:r>
      <w:r/>
    </w:p>
    <w:p>
      <w:pPr>
        <w:ind w:left="479"/>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27.2.1符合专业条件的投标人或者对招标文件作实质响应的投标人不足三家的。27.2.2出现影响采购公正的违法、违规行为的。</w:t>
      </w:r>
      <w:r/>
    </w:p>
    <w:p>
      <w:pPr>
        <w:ind w:left="479"/>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27.2.3因重大变故，采购任务取消的。</w:t>
      </w:r>
      <w:r/>
    </w:p>
    <w:p>
      <w:pPr>
        <w:ind w:left="479"/>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27.2.4评标委员会认定招标文件存在歧义、重大缺陷导致评审工作无法进行。</w:t>
      </w:r>
      <w:r/>
    </w:p>
    <w:p>
      <w:pPr>
        <w:ind w:left="479"/>
        <w:spacing w:line="400" w:lineRule="exact"/>
        <w:rPr>
          <w:rFonts w:ascii="仿宋" w:hAnsi="仿宋" w:eastAsia="仿宋" w:cs="仿宋"/>
          <w:bCs/>
          <w:sz w:val="24"/>
          <w:szCs w:val="21"/>
        </w:rPr>
      </w:pPr>
      <w:r>
        <w:rPr>
          <w:rFonts w:hint="eastAsia" w:ascii="仿宋" w:hAnsi="仿宋" w:eastAsia="仿宋" w:cs="仿宋"/>
          <w:bCs/>
          <w:color w:val="000000"/>
          <w:sz w:val="24"/>
          <w:szCs w:val="21"/>
        </w:rPr>
        <w:t xml:space="preserve">27.2</w:t>
      </w:r>
      <w:r>
        <w:rPr>
          <w:rFonts w:hint="eastAsia" w:ascii="仿宋" w:hAnsi="仿宋" w:eastAsia="仿宋" w:cs="仿宋"/>
          <w:bCs/>
          <w:sz w:val="24"/>
          <w:szCs w:val="21"/>
        </w:rPr>
        <w:t xml:space="preserve">.5 因</w:t>
      </w:r>
      <w:r>
        <w:rPr>
          <w:rFonts w:hint="eastAsia" w:ascii="仿宋" w:hAnsi="仿宋" w:eastAsia="仿宋" w:cs="仿宋"/>
          <w:sz w:val="24"/>
          <w:szCs w:val="24"/>
        </w:rPr>
        <w:t xml:space="preserve">苏采云</w:t>
      </w:r>
      <w:r>
        <w:rPr>
          <w:rFonts w:hint="eastAsia" w:ascii="仿宋" w:hAnsi="仿宋" w:eastAsia="仿宋" w:cs="仿宋"/>
          <w:bCs/>
          <w:sz w:val="24"/>
          <w:szCs w:val="21"/>
        </w:rPr>
        <w:t xml:space="preserve">系统故障原因造成开标不成功的。</w:t>
      </w:r>
      <w:r/>
    </w:p>
    <w:p>
      <w:pPr>
        <w:ind w:left="479"/>
        <w:spacing w:line="400" w:lineRule="exact"/>
        <w:rPr>
          <w:rFonts w:ascii="仿宋" w:hAnsi="仿宋" w:eastAsia="仿宋" w:cs="仿宋"/>
          <w:bCs/>
          <w:color w:val="000000"/>
          <w:sz w:val="24"/>
          <w:szCs w:val="21"/>
        </w:rPr>
      </w:pPr>
      <w:r>
        <w:rPr>
          <w:rFonts w:hint="eastAsia" w:ascii="仿宋" w:hAnsi="仿宋" w:eastAsia="仿宋" w:cs="仿宋"/>
          <w:bCs/>
          <w:sz w:val="24"/>
          <w:szCs w:val="21"/>
        </w:rPr>
        <w:t xml:space="preserve">27.3 投标截止时间结束后</w:t>
      </w:r>
      <w:r>
        <w:rPr>
          <w:rFonts w:hint="eastAsia" w:ascii="仿宋" w:hAnsi="仿宋" w:eastAsia="仿宋" w:cs="仿宋"/>
          <w:bCs/>
          <w:color w:val="000000"/>
          <w:sz w:val="24"/>
          <w:szCs w:val="21"/>
        </w:rPr>
        <w:t xml:space="preserve">参加投标的供应商不足三家的处理：</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27.3.1如出现投标截止时间结束后参加投标的供应商或者在评标期间对招标文件做出实质响应的供应商不足三家情况，按政府采购相关规定执行。</w:t>
      </w:r>
      <w:r/>
    </w:p>
    <w:p>
      <w:pPr>
        <w:ind w:firstLine="482"/>
        <w:keepLines/>
        <w:keepNext/>
        <w:spacing w:before="145" w:after="145" w:line="400" w:lineRule="exact"/>
        <w:rPr>
          <w:rFonts w:ascii="仿宋" w:hAnsi="仿宋" w:eastAsia="仿宋" w:cs="仿宋"/>
          <w:b/>
          <w:bCs/>
          <w:color w:val="000000"/>
          <w:sz w:val="32"/>
          <w:szCs w:val="32"/>
        </w:rPr>
      </w:pPr>
      <w:r/>
      <w:bookmarkStart w:id="167" w:name="_Toc120614219"/>
      <w:r>
        <w:rPr>
          <w:rFonts w:hint="eastAsia" w:ascii="仿宋" w:hAnsi="仿宋" w:eastAsia="仿宋" w:cs="仿宋"/>
          <w:b/>
          <w:bCs/>
          <w:color w:val="000000"/>
          <w:sz w:val="32"/>
          <w:szCs w:val="32"/>
        </w:rPr>
        <w:t xml:space="preserve">六、</w:t>
      </w:r>
      <w:bookmarkEnd w:id="164"/>
      <w:r/>
      <w:bookmarkEnd w:id="165"/>
      <w:r/>
      <w:bookmarkEnd w:id="166"/>
      <w:r>
        <w:rPr>
          <w:rFonts w:hint="eastAsia" w:ascii="仿宋" w:hAnsi="仿宋" w:eastAsia="仿宋" w:cs="仿宋"/>
          <w:b/>
          <w:bCs/>
          <w:color w:val="000000"/>
          <w:sz w:val="32"/>
          <w:szCs w:val="32"/>
        </w:rPr>
        <w:t xml:space="preserve">定标</w:t>
      </w:r>
      <w:bookmarkEnd w:id="167"/>
      <w:r/>
      <w:r/>
    </w:p>
    <w:p>
      <w:pPr>
        <w:ind w:firstLine="422"/>
        <w:keepLines/>
        <w:keepNext/>
        <w:spacing w:line="400" w:lineRule="exact"/>
        <w:rPr>
          <w:rFonts w:ascii="仿宋" w:hAnsi="仿宋" w:eastAsia="仿宋" w:cs="仿宋"/>
          <w:b/>
          <w:bCs/>
          <w:sz w:val="28"/>
          <w:szCs w:val="28"/>
        </w:rPr>
      </w:pPr>
      <w:r/>
      <w:bookmarkStart w:id="168" w:name="_Toc513029238"/>
      <w:r/>
      <w:bookmarkStart w:id="169" w:name="_Toc20823310"/>
      <w:r/>
      <w:bookmarkStart w:id="170" w:name="_Toc16938554"/>
      <w:r>
        <w:rPr>
          <w:rFonts w:hint="eastAsia" w:ascii="仿宋" w:hAnsi="仿宋" w:eastAsia="仿宋" w:cs="仿宋"/>
          <w:b/>
          <w:bCs/>
          <w:sz w:val="28"/>
          <w:szCs w:val="28"/>
        </w:rPr>
        <w:t xml:space="preserve">28、</w:t>
      </w:r>
      <w:bookmarkEnd w:id="168"/>
      <w:r>
        <w:rPr>
          <w:rFonts w:hint="eastAsia" w:ascii="仿宋" w:hAnsi="仿宋" w:eastAsia="仿宋" w:cs="仿宋"/>
          <w:b/>
          <w:bCs/>
          <w:sz w:val="28"/>
          <w:szCs w:val="28"/>
        </w:rPr>
        <w:t xml:space="preserve">确定</w:t>
      </w:r>
      <w:bookmarkEnd w:id="169"/>
      <w:r/>
      <w:bookmarkEnd w:id="170"/>
      <w:r>
        <w:rPr>
          <w:rFonts w:hint="eastAsia" w:ascii="仿宋" w:hAnsi="仿宋" w:eastAsia="仿宋" w:cs="仿宋"/>
          <w:b/>
          <w:bCs/>
          <w:sz w:val="28"/>
          <w:szCs w:val="28"/>
        </w:rPr>
        <w:t xml:space="preserve">中标单位</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28.1中标候选人的选取原则和数量见招标文件第五章规定。</w:t>
      </w:r>
      <w:r/>
    </w:p>
    <w:p>
      <w:pPr>
        <w:ind w:firstLine="480"/>
        <w:spacing w:line="400" w:lineRule="exact"/>
        <w:rPr>
          <w:rFonts w:ascii="仿宋" w:hAnsi="仿宋" w:eastAsia="仿宋" w:cs="仿宋"/>
          <w:bCs/>
          <w:color w:val="auto"/>
          <w:sz w:val="24"/>
          <w:szCs w:val="24"/>
        </w:rPr>
      </w:pPr>
      <w:r>
        <w:rPr>
          <w:rFonts w:hint="eastAsia" w:ascii="仿宋" w:hAnsi="仿宋" w:eastAsia="仿宋" w:cs="仿宋"/>
          <w:bCs/>
          <w:color w:val="000000"/>
          <w:sz w:val="24"/>
          <w:szCs w:val="24"/>
        </w:rPr>
        <w:t xml:space="preserve">28.2 </w:t>
      </w:r>
      <w:r>
        <w:rPr>
          <w:rFonts w:hint="eastAsia" w:ascii="仿宋" w:hAnsi="仿宋" w:eastAsia="仿宋" w:cs="仿宋"/>
          <w:bCs/>
          <w:color w:val="auto"/>
          <w:sz w:val="24"/>
          <w:szCs w:val="24"/>
        </w:rPr>
        <w:t xml:space="preserve">采购人在评标报告确定的中标候选人名单中按顺序确定中标人。</w:t>
      </w:r>
      <w:r/>
    </w:p>
    <w:p>
      <w:pPr>
        <w:ind w:firstLine="480"/>
        <w:spacing w:line="40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28.3 </w:t>
      </w:r>
      <w:r>
        <w:rPr>
          <w:rFonts w:hint="eastAsia" w:ascii="仿宋" w:hAnsi="仿宋" w:eastAsia="仿宋" w:cs="仿宋"/>
          <w:color w:val="000000"/>
          <w:sz w:val="24"/>
          <w:szCs w:val="24"/>
        </w:rPr>
        <w:t xml:space="preserve">交易中心将在“江苏政府采购网”发布中标公告，公告期限为1个工作日。</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28.4 若有充分证据证明，中标人出现下列情况之一的，一经查实，将被取消中标资格：</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28.4.1提供虚假材料谋取中标的。</w:t>
      </w:r>
      <w:r/>
    </w:p>
    <w:p>
      <w:pPr>
        <w:ind w:firstLine="480"/>
        <w:spacing w:line="400" w:lineRule="exact"/>
        <w:rPr>
          <w:rFonts w:ascii="仿宋" w:hAnsi="仿宋" w:eastAsia="仿宋" w:cs="仿宋"/>
        </w:rPr>
      </w:pPr>
      <w:r>
        <w:rPr>
          <w:rFonts w:hint="eastAsia" w:ascii="仿宋" w:hAnsi="仿宋" w:eastAsia="仿宋" w:cs="仿宋"/>
          <w:color w:val="000000"/>
          <w:sz w:val="24"/>
          <w:szCs w:val="24"/>
        </w:rPr>
        <w:t xml:space="preserve">28.4.2向采购人、交易中心行贿或者提供其他不正当利益的。</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28.4.3 属于本文件规定的无效条件，但在评标过程中又未被评委会发现的。</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28.4.4与采购人或者其他供应商恶意串通的。</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28.4.5采取不正当手段诋毁、排挤其他供应商的。</w:t>
      </w:r>
      <w:r/>
    </w:p>
    <w:p>
      <w:pPr>
        <w:ind w:firstLine="480"/>
        <w:spacing w:line="400" w:lineRule="exact"/>
        <w:rPr>
          <w:rFonts w:ascii="仿宋" w:hAnsi="仿宋" w:eastAsia="仿宋" w:cs="仿宋"/>
          <w:color w:val="000000"/>
          <w:sz w:val="24"/>
          <w:szCs w:val="24"/>
        </w:rPr>
      </w:pPr>
      <w:r/>
      <w:bookmarkStart w:id="171" w:name="_Toc200451960"/>
      <w:r>
        <w:rPr>
          <w:rFonts w:hint="eastAsia" w:ascii="仿宋" w:hAnsi="仿宋" w:eastAsia="仿宋" w:cs="仿宋"/>
          <w:color w:val="000000"/>
          <w:sz w:val="24"/>
          <w:szCs w:val="24"/>
        </w:rPr>
        <w:t xml:space="preserve">28.5</w:t>
      </w:r>
      <w:r>
        <w:rPr>
          <w:rFonts w:hint="eastAsia" w:ascii="仿宋" w:hAnsi="仿宋" w:eastAsia="仿宋" w:cs="仿宋"/>
          <w:color w:val="000000"/>
          <w:sz w:val="24"/>
          <w:szCs w:val="24"/>
        </w:rPr>
        <w:t xml:space="preserve">有下列情形之一的，视为投标人串通投标，投标无效：</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28.5.1不同投标人的投标文件由同一单位或者个人编制。</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28.5.2不同投标人委托同一单位或者个人办理投标事宜。</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28.5.3 不同投标人的投标文件载明的项目管理成员或者联系人员为同一人。</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28.5.4不同投标人的投标文件异常一致或者投标报价呈规律性差异。</w:t>
      </w:r>
      <w:r/>
    </w:p>
    <w:p>
      <w:pPr>
        <w:ind w:firstLine="422"/>
        <w:keepLines/>
        <w:keepNext/>
        <w:spacing w:line="400" w:lineRule="exact"/>
        <w:rPr>
          <w:rFonts w:ascii="仿宋" w:hAnsi="仿宋" w:eastAsia="仿宋" w:cs="仿宋"/>
          <w:b/>
          <w:bCs/>
          <w:sz w:val="28"/>
          <w:szCs w:val="28"/>
        </w:rPr>
      </w:pPr>
      <w:r>
        <w:rPr>
          <w:rFonts w:hint="eastAsia" w:ascii="仿宋" w:hAnsi="仿宋" w:eastAsia="仿宋" w:cs="仿宋"/>
          <w:b/>
          <w:bCs/>
          <w:sz w:val="28"/>
          <w:szCs w:val="28"/>
        </w:rPr>
        <w:t xml:space="preserve">29、质疑处理</w:t>
      </w:r>
      <w:bookmarkEnd w:id="171"/>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29.1 提出质疑的供应商应当是参与所质疑项目采购活动的供应商。潜在供应商依法获取其可质疑的采购文件的，可以对采购文件提出质疑。</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交易中心提出质疑。上述应知其权益受到损害之日，是指：</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29.2.1</w:t>
      </w:r>
      <w:r>
        <w:rPr>
          <w:rFonts w:hint="eastAsia" w:ascii="仿宋" w:hAnsi="仿宋" w:eastAsia="仿宋" w:cs="仿宋"/>
          <w:color w:val="000000"/>
          <w:sz w:val="24"/>
          <w:szCs w:val="24"/>
        </w:rPr>
        <w:t xml:space="preserve">对可以质疑的采购文件提出质疑的，为收到采购文件之日或者采购文件公告期限届满之日；</w:t>
      </w:r>
      <w:r/>
    </w:p>
    <w:p>
      <w:pPr>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t xml:space="preserve">29.2.2</w:t>
      </w:r>
      <w:r>
        <w:rPr>
          <w:rFonts w:hint="eastAsia" w:ascii="仿宋" w:hAnsi="仿宋" w:eastAsia="仿宋" w:cs="仿宋"/>
          <w:color w:val="000000"/>
          <w:sz w:val="24"/>
          <w:szCs w:val="24"/>
        </w:rPr>
        <w:t xml:space="preserve">对采购过程提出质疑的，为各采购程序环节结束之日；</w:t>
      </w:r>
      <w:r/>
    </w:p>
    <w:p>
      <w:pPr>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29.2.3</w:t>
      </w:r>
      <w:r>
        <w:rPr>
          <w:rFonts w:hint="eastAsia" w:ascii="仿宋" w:hAnsi="仿宋" w:eastAsia="仿宋" w:cs="仿宋"/>
          <w:color w:val="000000"/>
          <w:sz w:val="24"/>
          <w:szCs w:val="24"/>
        </w:rPr>
        <w:t xml:space="preserve">对中标或者成交结果提出质疑的，为中标或者成交结果公告期限届满之日。</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29.3质疑函必须按照本招标文件中《质疑函范本》（附件13）要求的格式和内容进行填写。供应商如组成联合体参加投标，则《质疑函范本》中要求签字、盖章、加盖公章之处，联合体各方均须按要求签字、盖章、加盖公章。</w:t>
      </w:r>
      <w:r/>
    </w:p>
    <w:p>
      <w:pPr>
        <w:ind w:firstLine="480"/>
        <w:spacing w:line="400" w:lineRule="exact"/>
        <w:rPr>
          <w:rFonts w:ascii="仿宋" w:hAnsi="仿宋" w:eastAsia="仿宋" w:cs="仿宋"/>
          <w:b/>
          <w:sz w:val="24"/>
          <w:szCs w:val="24"/>
        </w:rPr>
      </w:pPr>
      <w:r>
        <w:rPr>
          <w:rFonts w:hint="eastAsia" w:ascii="仿宋" w:hAnsi="仿宋" w:eastAsia="仿宋" w:cs="仿宋"/>
          <w:sz w:val="24"/>
          <w:szCs w:val="24"/>
        </w:rPr>
        <w:t xml:space="preserve">29.4 投标人（含潜在投标人）对采购方式、招标文件中采购需求、供应商资格条件、评标方法和评标标准、合同文本及资格审查结果的询问、质疑请向采购人提出，由采购人负责答复。投标人对其他事项的询问、质疑请向交易中心提出，由交易中心负责答复。</w:t>
      </w:r>
      <w:r/>
    </w:p>
    <w:p>
      <w:pPr>
        <w:ind w:firstLine="480"/>
        <w:spacing w:line="400" w:lineRule="exact"/>
        <w:rPr>
          <w:rFonts w:ascii="仿宋" w:hAnsi="仿宋" w:eastAsia="仿宋" w:cs="仿宋"/>
          <w:color w:val="auto"/>
          <w:sz w:val="24"/>
          <w:szCs w:val="24"/>
        </w:rPr>
      </w:pPr>
      <w:r>
        <w:rPr>
          <w:rFonts w:hint="eastAsia" w:ascii="仿宋" w:hAnsi="仿宋" w:eastAsia="仿宋" w:cs="仿宋"/>
          <w:sz w:val="24"/>
          <w:szCs w:val="24"/>
        </w:rPr>
        <w:t xml:space="preserve">采购人及交易中心只接收以纸质原件形式送达的质疑,建议投标人尽量通过邮寄方式提交质疑（采购人和交易中</w:t>
      </w:r>
      <w:r>
        <w:rPr>
          <w:rFonts w:hint="eastAsia" w:ascii="仿宋" w:hAnsi="仿宋" w:eastAsia="仿宋" w:cs="仿宋"/>
          <w:color w:val="auto"/>
          <w:sz w:val="24"/>
          <w:szCs w:val="24"/>
        </w:rPr>
        <w:t xml:space="preserve">心不接受无快递运单号的快递）。</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采购人质疑接收人及联系方式，见本招标文件第一章。</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交易中心质疑受理部门及联系方式，见本招标文件第一章。</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 以下情形的质疑不予受理</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29.5.1 内容不符合《政府采购质疑和投诉办法》第十二条规定的质疑。</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29.5.2 超出政府采购法定期限的质疑。</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29.5.3 以传真、电子邮件等方式递交的非原件形式的质疑。</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29.5.4 未参加投标活动的供应商或在投标活动中自身权益未受到损害的供应商所提出的质疑。</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29.5.5供应商组成联合体参加投标，联合体中任何一方或多方未按要求签字、盖章、加盖公章的质疑。</w:t>
      </w:r>
      <w:r/>
    </w:p>
    <w:p>
      <w:pPr>
        <w:ind w:firstLine="468"/>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29.6 供应商提出书面质疑必须有理、有据，不得捏造事实、提供虚假材料进行恶意质疑。否则，一经查实，采购人及交易中心有权依据政府采购的有关规定，报请政府采购监管部门对该供应商进行相应的行政处罚和记录该供应商的失信信息。</w:t>
      </w:r>
      <w:r/>
    </w:p>
    <w:p>
      <w:pPr>
        <w:ind w:firstLine="422"/>
        <w:keepLines/>
        <w:keepNext/>
        <w:spacing w:line="400" w:lineRule="exact"/>
        <w:rPr>
          <w:rFonts w:ascii="仿宋" w:hAnsi="仿宋" w:eastAsia="仿宋" w:cs="仿宋"/>
          <w:b/>
          <w:bCs/>
          <w:sz w:val="28"/>
          <w:szCs w:val="28"/>
        </w:rPr>
      </w:pPr>
      <w:r>
        <w:rPr>
          <w:rFonts w:hint="eastAsia" w:ascii="仿宋" w:hAnsi="仿宋" w:eastAsia="仿宋" w:cs="仿宋"/>
          <w:b/>
          <w:bCs/>
          <w:sz w:val="28"/>
          <w:szCs w:val="28"/>
        </w:rPr>
        <w:t xml:space="preserve">30、中标通知书</w:t>
      </w:r>
      <w:r/>
    </w:p>
    <w:p>
      <w:pPr>
        <w:ind w:firstLine="600"/>
        <w:spacing w:line="400" w:lineRule="exact"/>
        <w:rPr>
          <w:rFonts w:ascii="仿宋" w:hAnsi="仿宋" w:eastAsia="仿宋" w:cs="仿宋"/>
          <w:sz w:val="24"/>
          <w:szCs w:val="24"/>
        </w:rPr>
      </w:pPr>
      <w:r>
        <w:rPr>
          <w:rFonts w:hint="eastAsia" w:ascii="仿宋" w:hAnsi="仿宋" w:eastAsia="仿宋" w:cs="仿宋"/>
          <w:color w:val="000000"/>
          <w:sz w:val="24"/>
          <w:szCs w:val="24"/>
        </w:rPr>
        <w:t xml:space="preserve">30.l中标结果确定后，交易中心将向中标人发出中标通知书。请中标人在中标结果公告届满之日起30日内,使用CA</w:t>
      </w:r>
      <w:r>
        <w:rPr>
          <w:rFonts w:hint="eastAsia" w:ascii="仿宋" w:hAnsi="仿宋" w:eastAsia="仿宋" w:cs="仿宋"/>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00" w:lineRule="exact"/>
        <w:rPr>
          <w:rFonts w:ascii="仿宋" w:hAnsi="仿宋" w:eastAsia="仿宋" w:cs="仿宋"/>
          <w:sz w:val="24"/>
          <w:szCs w:val="24"/>
        </w:rPr>
      </w:pPr>
      <w:r>
        <w:rPr>
          <w:rFonts w:hint="eastAsia" w:ascii="仿宋" w:hAnsi="仿宋" w:eastAsia="仿宋" w:cs="仿宋"/>
          <w:sz w:val="24"/>
          <w:szCs w:val="24"/>
        </w:rPr>
        <w:t xml:space="preserve">30.2中标通知书将是合同的一个组成部分。对采购人和中标人均具有法律效力。中标通知书发出后，采购人改变中标结果的，或者中标人放弃中标项目的，应当依法承担法律责任。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400" w:lineRule="exact"/>
        <w:rPr>
          <w:rFonts w:ascii="仿宋" w:hAnsi="仿宋" w:eastAsia="仿宋" w:cs="仿宋"/>
          <w:b/>
          <w:bCs/>
          <w:color w:val="000000"/>
          <w:sz w:val="32"/>
          <w:szCs w:val="32"/>
        </w:rPr>
      </w:pPr>
      <w:r/>
      <w:bookmarkStart w:id="172" w:name="_Toc120614220"/>
      <w:r/>
      <w:bookmarkStart w:id="173" w:name="_Toc20823308"/>
      <w:r/>
      <w:bookmarkStart w:id="174" w:name="_Toc16938552"/>
      <w:r/>
      <w:bookmarkStart w:id="175" w:name="_Toc513029236"/>
      <w:r>
        <w:rPr>
          <w:rFonts w:hint="eastAsia" w:ascii="仿宋" w:hAnsi="仿宋" w:eastAsia="仿宋" w:cs="仿宋"/>
          <w:b/>
          <w:bCs/>
          <w:color w:val="000000"/>
          <w:sz w:val="32"/>
          <w:szCs w:val="32"/>
        </w:rPr>
        <w:t xml:space="preserve">七、授予合同</w:t>
      </w:r>
      <w:bookmarkEnd w:id="172"/>
      <w:r/>
      <w:bookmarkEnd w:id="173"/>
      <w:bookmarkEnd w:id="174"/>
      <w:bookmarkEnd w:id="175"/>
      <w:r/>
    </w:p>
    <w:p>
      <w:pPr>
        <w:ind w:firstLine="422"/>
        <w:keepLines/>
        <w:keepNext/>
        <w:spacing w:line="400" w:lineRule="exact"/>
        <w:rPr>
          <w:rFonts w:ascii="仿宋" w:hAnsi="仿宋" w:eastAsia="仿宋" w:cs="仿宋"/>
          <w:b/>
          <w:bCs/>
          <w:sz w:val="28"/>
          <w:szCs w:val="28"/>
        </w:rPr>
      </w:pPr>
      <w:r/>
      <w:bookmarkStart w:id="176" w:name="_Toc16938553"/>
      <w:r/>
      <w:bookmarkStart w:id="177" w:name="_Toc20823309"/>
      <w:r/>
      <w:bookmarkStart w:id="178" w:name="_Toc513029237"/>
      <w:r>
        <w:rPr>
          <w:rFonts w:hint="eastAsia" w:ascii="仿宋" w:hAnsi="仿宋" w:eastAsia="仿宋" w:cs="仿宋"/>
          <w:b/>
          <w:bCs/>
          <w:sz w:val="28"/>
          <w:szCs w:val="28"/>
        </w:rPr>
        <w:t xml:space="preserve">31、签订合同</w:t>
      </w:r>
      <w:r/>
    </w:p>
    <w:p>
      <w:pPr>
        <w:ind w:firstLine="600"/>
        <w:spacing w:line="480" w:lineRule="exact"/>
        <w:rPr>
          <w:rFonts w:ascii="仿宋" w:hAnsi="仿宋" w:eastAsia="仿宋" w:cs="仿宋"/>
          <w:b/>
          <w:bCs/>
          <w:sz w:val="24"/>
          <w:szCs w:val="24"/>
        </w:rPr>
      </w:pPr>
      <w:r>
        <w:rPr>
          <w:rFonts w:hint="eastAsia" w:ascii="仿宋" w:hAnsi="仿宋" w:eastAsia="仿宋" w:cs="仿宋"/>
          <w:bCs/>
          <w:color w:val="000000"/>
          <w:sz w:val="24"/>
          <w:szCs w:val="24"/>
        </w:rPr>
        <w:t xml:space="preserve">31</w:t>
      </w:r>
      <w:r>
        <w:rPr>
          <w:rFonts w:hint="eastAsia" w:ascii="仿宋" w:hAnsi="仿宋" w:eastAsia="仿宋" w:cs="仿宋"/>
          <w:color w:val="000000"/>
          <w:sz w:val="24"/>
          <w:szCs w:val="24"/>
        </w:rPr>
        <w:t xml:space="preserve">.l中标人应当在中标通知书发出之日起三十日内，按照招标文件确定的事项与采购人签订政府采购合同。</w:t>
      </w:r>
      <w:r>
        <w:rPr>
          <w:rFonts w:hint="eastAsia" w:ascii="仿宋" w:hAnsi="仿宋" w:eastAsia="仿宋" w:cs="仿宋"/>
          <w:b/>
          <w:bCs/>
          <w:color w:val="000000"/>
          <w:sz w:val="24"/>
          <w:szCs w:val="24"/>
        </w:rPr>
        <w:t xml:space="preserve">中标</w:t>
      </w:r>
      <w:r>
        <w:rPr>
          <w:rFonts w:hint="eastAsia" w:ascii="仿宋" w:hAnsi="仿宋" w:eastAsia="仿宋" w:cs="仿宋"/>
          <w:b/>
          <w:bCs/>
          <w:sz w:val="24"/>
          <w:szCs w:val="24"/>
          <w:lang w:val="zh-CN"/>
        </w:rPr>
        <w:t xml:space="preserve">人应在中标结果公告之日起五个工作日内向</w:t>
      </w:r>
      <w:r>
        <w:rPr>
          <w:rFonts w:hint="eastAsia" w:ascii="仿宋" w:hAnsi="仿宋" w:eastAsia="仿宋" w:cs="仿宋"/>
          <w:b/>
          <w:bCs/>
          <w:sz w:val="24"/>
          <w:szCs w:val="24"/>
        </w:rPr>
        <w:t xml:space="preserve">交易中心和采购人各提供一份纸质版投标文件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，否则不予签订合同。</w:t>
      </w:r>
      <w:r/>
    </w:p>
    <w:p>
      <w:pPr>
        <w:ind w:firstLine="60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31.2</w:t>
      </w: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招标文件、中标人的投标文件及招标过程中有关澄清、承诺文件均应作为合同附件。</w:t>
      </w:r>
      <w:r/>
    </w:p>
    <w:p>
      <w:pPr>
        <w:ind w:firstLine="60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22"/>
        <w:keepLines/>
        <w:keepNext/>
        <w:spacing w:line="400" w:lineRule="exact"/>
        <w:rPr>
          <w:rFonts w:ascii="仿宋" w:hAnsi="仿宋" w:eastAsia="仿宋" w:cs="仿宋"/>
          <w:b/>
          <w:bCs/>
          <w:sz w:val="28"/>
          <w:szCs w:val="28"/>
        </w:rPr>
      </w:pPr>
      <w:r>
        <w:rPr>
          <w:rFonts w:hint="eastAsia" w:ascii="仿宋" w:hAnsi="仿宋" w:eastAsia="仿宋" w:cs="仿宋"/>
          <w:b/>
          <w:bCs/>
          <w:sz w:val="28"/>
          <w:szCs w:val="28"/>
        </w:rPr>
        <w:t xml:space="preserve">32、货物（包含与货物相关的服务）的追加、减少和添购。</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500" w:lineRule="exact"/>
        <w:rPr>
          <w:rFonts w:ascii="仿宋" w:hAnsi="仿宋" w:eastAsia="仿宋" w:cs="仿宋"/>
          <w:b/>
          <w:sz w:val="24"/>
          <w:szCs w:val="24"/>
        </w:rPr>
      </w:pPr>
      <w:r>
        <w:rPr>
          <w:rFonts w:hint="eastAsia" w:ascii="仿宋" w:hAnsi="仿宋" w:eastAsia="仿宋" w:cs="仿宋"/>
          <w:sz w:val="24"/>
          <w:szCs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bookmarkEnd w:id="176"/>
      <w:bookmarkEnd w:id="177"/>
      <w:bookmarkEnd w:id="178"/>
      <w:r/>
    </w:p>
    <w:p>
      <w:pPr>
        <w:ind w:firstLine="422"/>
        <w:keepLines/>
        <w:keepNext/>
        <w:spacing w:line="400" w:lineRule="exact"/>
        <w:rPr>
          <w:rFonts w:ascii="仿宋" w:hAnsi="仿宋" w:eastAsia="仿宋" w:cs="仿宋"/>
          <w:b/>
          <w:bCs/>
          <w:sz w:val="28"/>
          <w:szCs w:val="28"/>
        </w:rPr>
      </w:pPr>
      <w:r>
        <w:rPr>
          <w:rFonts w:hint="eastAsia" w:ascii="仿宋" w:hAnsi="仿宋" w:eastAsia="仿宋" w:cs="仿宋"/>
          <w:b/>
          <w:bCs/>
          <w:sz w:val="28"/>
          <w:szCs w:val="28"/>
        </w:rPr>
        <w:t xml:space="preserve">33、政府采购履约资金扶持政策</w:t>
      </w:r>
      <w:r/>
    </w:p>
    <w:p>
      <w:pPr>
        <w:ind w:firstLine="555"/>
        <w:jc w:val="left"/>
        <w:spacing w:line="40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33.1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p>
    <w:p>
      <w:pPr>
        <w:ind w:firstLine="555"/>
        <w:jc w:val="left"/>
        <w:spacing w:line="40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spacing w:line="500" w:lineRule="exact"/>
        <w:rPr>
          <w:rFonts w:ascii="仿宋" w:hAnsi="仿宋" w:eastAsia="仿宋" w:cs="仿宋"/>
          <w:bCs/>
          <w:color w:val="000000"/>
          <w:sz w:val="24"/>
          <w:szCs w:val="24"/>
        </w:rPr>
      </w:pPr>
      <w:r>
        <w:rPr>
          <w:rFonts w:ascii="仿宋" w:hAnsi="仿宋" w:eastAsia="仿宋" w:cs="仿宋"/>
          <w:bCs/>
          <w:color w:val="000000"/>
          <w:sz w:val="24"/>
          <w:szCs w:val="24"/>
        </w:rPr>
      </w:r>
      <w:r/>
    </w:p>
    <w:p>
      <w:pPr>
        <w:jc w:val="left"/>
        <w:keepNext/>
        <w:rPr>
          <w:rFonts w:ascii="仿宋" w:hAnsi="仿宋" w:eastAsia="仿宋" w:cs="仿宋"/>
          <w:bCs/>
          <w:color w:val="000000"/>
          <w:sz w:val="44"/>
          <w:szCs w:val="28"/>
        </w:rPr>
      </w:pPr>
      <w:r>
        <w:rPr>
          <w:rFonts w:ascii="仿宋" w:hAnsi="仿宋" w:eastAsia="仿宋" w:cs="仿宋"/>
          <w:bCs/>
          <w:color w:val="000000"/>
          <w:sz w:val="44"/>
          <w:szCs w:val="28"/>
        </w:rPr>
      </w:r>
      <w:r/>
    </w:p>
    <w:p>
      <w:pPr>
        <w:ind w:firstLine="2640"/>
        <w:jc w:val="left"/>
        <w:keepNext/>
        <w:rPr>
          <w:rFonts w:ascii="仿宋" w:hAnsi="仿宋" w:eastAsia="仿宋" w:cs="仿宋"/>
          <w:bCs/>
          <w:color w:val="000000"/>
          <w:sz w:val="44"/>
          <w:szCs w:val="28"/>
        </w:rPr>
      </w:pPr>
      <w:r>
        <w:rPr>
          <w:rFonts w:ascii="仿宋" w:hAnsi="仿宋" w:eastAsia="仿宋" w:cs="仿宋"/>
          <w:bCs/>
          <w:color w:val="000000"/>
          <w:sz w:val="44"/>
          <w:szCs w:val="28"/>
        </w:rPr>
      </w:r>
      <w:r/>
    </w:p>
    <w:p>
      <w:pPr>
        <w:ind w:firstLine="2640"/>
        <w:jc w:val="left"/>
        <w:keepNext/>
        <w:rPr>
          <w:rFonts w:ascii="仿宋" w:hAnsi="仿宋" w:eastAsia="仿宋" w:cs="仿宋"/>
          <w:b/>
          <w:color w:val="000000"/>
          <w:sz w:val="44"/>
          <w:szCs w:val="28"/>
        </w:rPr>
        <w:outlineLvl w:val="0"/>
      </w:pPr>
      <w:r>
        <w:rPr>
          <w:rFonts w:hint="eastAsia" w:ascii="仿宋" w:hAnsi="仿宋" w:eastAsia="仿宋" w:cs="仿宋"/>
          <w:bCs/>
          <w:color w:val="000000"/>
          <w:sz w:val="44"/>
          <w:szCs w:val="28"/>
        </w:rPr>
        <w:br w:type="page" w:clear="all"/>
      </w:r>
      <w:bookmarkStart w:id="179" w:name="_Toc15715"/>
      <w:r>
        <w:rPr>
          <w:rFonts w:hint="eastAsia" w:ascii="仿宋" w:hAnsi="仿宋" w:eastAsia="仿宋" w:cs="仿宋"/>
          <w:b/>
          <w:color w:val="000000"/>
          <w:sz w:val="44"/>
          <w:szCs w:val="28"/>
        </w:rPr>
        <w:t xml:space="preserve">第三章  合同</w:t>
      </w:r>
      <w:bookmarkEnd w:id="56"/>
      <w:r/>
      <w:bookmarkEnd w:id="57"/>
      <w:r/>
      <w:bookmarkEnd w:id="58"/>
      <w:r/>
      <w:bookmarkEnd w:id="59"/>
      <w:r/>
      <w:bookmarkEnd w:id="60"/>
      <w:r>
        <w:rPr>
          <w:rFonts w:hint="eastAsia" w:ascii="仿宋" w:hAnsi="仿宋" w:eastAsia="仿宋" w:cs="仿宋"/>
          <w:b/>
          <w:color w:val="000000"/>
          <w:sz w:val="44"/>
          <w:szCs w:val="28"/>
        </w:rPr>
        <w:t xml:space="preserve">文本</w:t>
      </w:r>
      <w:bookmarkEnd w:id="179"/>
      <w:r/>
      <w:r/>
    </w:p>
    <w:p>
      <w:pPr>
        <w:ind w:firstLine="480"/>
        <w:spacing w:line="500" w:lineRule="exact"/>
        <w:rPr>
          <w:rFonts w:ascii="仿宋" w:hAnsi="仿宋" w:eastAsia="仿宋" w:cs="仿宋"/>
          <w:bCs/>
          <w:color w:val="000000"/>
          <w:sz w:val="24"/>
          <w:szCs w:val="21"/>
        </w:rPr>
      </w:pPr>
      <w:r/>
      <w:bookmarkStart w:id="180" w:name="_Toc16938559"/>
      <w:r/>
      <w:bookmarkStart w:id="181" w:name="_Toc20823315"/>
      <w:r/>
      <w:bookmarkStart w:id="182" w:name="_Toc513029243"/>
      <w:r>
        <w:rPr>
          <w:rFonts w:hint="eastAsia" w:ascii="仿宋" w:hAnsi="仿宋" w:eastAsia="仿宋" w:cs="仿宋"/>
          <w:bCs/>
          <w:color w:val="000000"/>
          <w:sz w:val="24"/>
          <w:szCs w:val="21"/>
        </w:rPr>
        <w:t xml:space="preserve">以下为中标后签定本项目合同的通用条款，中标人不得提出实质性的修改。</w:t>
      </w:r>
      <w:r/>
    </w:p>
    <w:p>
      <w:pPr>
        <w:pStyle w:val="735"/>
      </w:pPr>
      <w:r/>
      <w:r/>
    </w:p>
    <w:p>
      <w:pPr>
        <w:jc w:val="center"/>
        <w:spacing w:before="145" w:after="145"/>
        <w:rPr>
          <w:rFonts w:ascii="仿宋" w:hAnsi="仿宋" w:eastAsia="仿宋" w:cs="仿宋"/>
          <w:b/>
          <w:bCs/>
          <w:color w:val="000000"/>
          <w:sz w:val="30"/>
          <w:szCs w:val="20"/>
        </w:rPr>
      </w:pPr>
      <w:r>
        <w:rPr>
          <w:rFonts w:hint="eastAsia" w:ascii="仿宋" w:hAnsi="仿宋" w:eastAsia="仿宋" w:cs="仿宋"/>
          <w:b/>
          <w:color w:val="000000"/>
          <w:sz w:val="30"/>
          <w:szCs w:val="21"/>
        </w:rPr>
        <w:t xml:space="preserve">江苏省政府采购合同（货物）（合同编号）</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项目名称：如东县丰利人民法庭家具采购及安装项目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ff0000"/>
          <w:sz w:val="24"/>
          <w:szCs w:val="24"/>
        </w:rPr>
        <w:t xml:space="preserve"> </w:t>
      </w:r>
      <w:r/>
    </w:p>
    <w:p>
      <w:pPr>
        <w:spacing w:before="120" w:after="120"/>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甲方：（买方）</w:t>
      </w:r>
      <w:r>
        <w:rPr>
          <w:rFonts w:hint="eastAsia" w:ascii="仿宋" w:hAnsi="仿宋" w:eastAsia="仿宋" w:cs="仿宋"/>
          <w:color w:val="000000"/>
          <w:sz w:val="24"/>
          <w:szCs w:val="24"/>
          <w:u w:val="single"/>
        </w:rPr>
        <w:t xml:space="preserve">*****</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乙方：（卖方）</w:t>
      </w:r>
      <w:r>
        <w:rPr>
          <w:rFonts w:hint="eastAsia" w:ascii="仿宋" w:hAnsi="仿宋" w:eastAsia="仿宋" w:cs="仿宋"/>
          <w:color w:val="000000"/>
          <w:sz w:val="24"/>
          <w:szCs w:val="24"/>
          <w:u w:val="single"/>
        </w:rPr>
        <w:t xml:space="preserve">*****</w:t>
      </w:r>
      <w:r/>
    </w:p>
    <w:p>
      <w:pPr>
        <w:ind w:firstLine="480"/>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依据《中华人民共和国民法典》、《中华人民共和国政府采购法》等有关的法律法规，以及本采购项目的招标文件、乙方的《投标文件》及《中标通知书》，甲乙双方同意签订本合同。具体情况及要求如下:</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一、合同内容</w:t>
      </w:r>
      <w:r/>
    </w:p>
    <w:p>
      <w:pPr>
        <w:spacing w:before="120" w:after="120"/>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1.1 标的名称：</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1.2 标的质量：</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1.3 标的数量（规模）：</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1.4 履行时间（期限）：</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1.5 履行地点：</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1.6 履行方式：</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1.7 包装方式：</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二、合同金额</w:t>
      </w:r>
      <w:r/>
    </w:p>
    <w:p>
      <w:pPr>
        <w:ind w:left="410" w:hanging="410"/>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2.1 本合同金额为（大写）：</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元（</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元）人民币。</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三、技术资料</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3.1乙方应按招标文件规定的时间向甲方提供使用货物(包含与货物相关的服务)的有关技术资料。</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四、知识产权</w:t>
      </w:r>
      <w:r/>
    </w:p>
    <w:p>
      <w:pPr>
        <w:spacing w:line="0" w:lineRule="atLeast"/>
        <w:rPr>
          <w:rFonts w:ascii="仿宋" w:hAnsi="仿宋" w:eastAsia="仿宋" w:cs="仿宋"/>
          <w:color w:val="000000"/>
          <w:sz w:val="24"/>
          <w:szCs w:val="21"/>
        </w:rPr>
      </w:pPr>
      <w:r>
        <w:rPr>
          <w:rFonts w:hint="eastAsia" w:ascii="仿宋" w:hAnsi="仿宋" w:eastAsia="仿宋" w:cs="仿宋"/>
          <w:color w:val="000000"/>
          <w:sz w:val="24"/>
          <w:szCs w:val="24"/>
        </w:rPr>
        <w:t xml:space="preserve">4.1乙</w:t>
      </w:r>
      <w:r>
        <w:rPr>
          <w:rFonts w:hint="eastAsia" w:ascii="仿宋" w:hAnsi="仿宋" w:eastAsia="仿宋" w:cs="仿宋"/>
          <w:color w:val="000000"/>
          <w:sz w:val="24"/>
          <w:szCs w:val="21"/>
        </w:rPr>
        <w:t xml:space="preserve">方应保证甲方在使用、接受本合同货物</w:t>
      </w:r>
      <w:r>
        <w:rPr>
          <w:rFonts w:hint="eastAsia" w:ascii="仿宋" w:hAnsi="仿宋" w:eastAsia="仿宋" w:cs="仿宋"/>
          <w:color w:val="000000"/>
          <w:sz w:val="24"/>
          <w:szCs w:val="24"/>
        </w:rPr>
        <w:t xml:space="preserve">（包含与货物相关的服务）</w:t>
      </w:r>
      <w:r>
        <w:rPr>
          <w:rFonts w:hint="eastAsia" w:ascii="仿宋" w:hAnsi="仿宋" w:eastAsia="仿宋" w:cs="仿宋"/>
          <w:color w:val="000000"/>
          <w:sz w:val="24"/>
          <w:szCs w:val="21"/>
        </w:rPr>
        <w:t xml:space="preserve">或其任何一部分时不受第三方提出侵犯其专利权、版权、商标权和工业设计权等知识产权的起诉。一旦出现侵权，由乙方负全部责任。</w:t>
      </w:r>
      <w:r/>
    </w:p>
    <w:p>
      <w:pPr>
        <w:spacing w:before="120" w:after="120"/>
        <w:rPr>
          <w:rFonts w:ascii="仿宋" w:hAnsi="仿宋" w:eastAsia="仿宋" w:cs="仿宋"/>
          <w:color w:val="000000"/>
          <w:sz w:val="24"/>
          <w:szCs w:val="24"/>
          <w:u w:val="single"/>
        </w:rPr>
      </w:pPr>
      <w:r>
        <w:rPr>
          <w:rFonts w:hint="eastAsia" w:ascii="仿宋" w:hAnsi="仿宋" w:eastAsia="仿宋" w:cs="仿宋"/>
          <w:b/>
          <w:color w:val="000000"/>
          <w:sz w:val="24"/>
          <w:szCs w:val="24"/>
        </w:rPr>
        <w:t xml:space="preserve">五、产权担保</w:t>
      </w:r>
      <w:r/>
    </w:p>
    <w:p>
      <w:pPr>
        <w:spacing w:before="120" w:after="120"/>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5.1 乙方保证所交付的货物（包含与货物相关的服务）的所有权完全属于乙方且无任何抵押、查封等产权瑕疵。</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六、履约保证金</w:t>
      </w:r>
      <w:r/>
    </w:p>
    <w:p>
      <w:pPr>
        <w:spacing w:before="120" w:after="120"/>
        <w:rPr>
          <w:rFonts w:ascii="仿宋" w:hAnsi="仿宋" w:eastAsia="仿宋" w:cs="仿宋"/>
          <w:b/>
          <w:bCs/>
          <w:color w:val="000000"/>
          <w:sz w:val="24"/>
          <w:szCs w:val="24"/>
        </w:rPr>
      </w:pPr>
      <w:r>
        <w:rPr>
          <w:rFonts w:hint="eastAsia" w:ascii="仿宋" w:hAnsi="仿宋" w:eastAsia="仿宋" w:cs="仿宋"/>
          <w:color w:val="000000"/>
          <w:sz w:val="24"/>
          <w:szCs w:val="24"/>
        </w:rPr>
        <w:t xml:space="preserve">6.1 乙方交纳人民币</w:t>
      </w:r>
      <w:r>
        <w:rPr>
          <w:rFonts w:hint="eastAsia" w:ascii="仿宋" w:hAnsi="仿宋" w:eastAsia="仿宋" w:cs="仿宋"/>
          <w:color w:val="000000"/>
          <w:sz w:val="24"/>
          <w:szCs w:val="24"/>
          <w:u w:val="single"/>
        </w:rPr>
        <w:t xml:space="preserve">  伍万 </w:t>
      </w:r>
      <w:r>
        <w:rPr>
          <w:rFonts w:hint="eastAsia" w:ascii="仿宋" w:hAnsi="仿宋" w:eastAsia="仿宋" w:cs="仿宋"/>
          <w:color w:val="000000"/>
          <w:sz w:val="24"/>
          <w:szCs w:val="24"/>
        </w:rPr>
        <w:t xml:space="preserve">元作为本合同的履约保证金。</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6.2合同履行结束后，甲方应及时退还交纳的履约保证金。</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6.2.1履约保证金退还方式：</w:t>
      </w:r>
      <w:r>
        <w:rPr>
          <w:rFonts w:hint="eastAsia" w:ascii="仿宋" w:hAnsi="仿宋" w:eastAsia="仿宋" w:cs="仿宋"/>
          <w:color w:val="000000"/>
          <w:sz w:val="24"/>
          <w:szCs w:val="24"/>
          <w:u w:val="single"/>
        </w:rPr>
        <w:t xml:space="preserve"> 根据采购人提交   </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6.2.2履约保证金退还时间：</w:t>
      </w:r>
      <w:r>
        <w:rPr>
          <w:rFonts w:hint="eastAsia" w:ascii="仿宋" w:hAnsi="仿宋" w:eastAsia="仿宋" w:cs="仿宋"/>
          <w:color w:val="000000"/>
          <w:sz w:val="24"/>
          <w:szCs w:val="24"/>
          <w:u w:val="single"/>
        </w:rPr>
        <w:t xml:space="preserve">  货品安装到位，验收合格。  </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6.2.3履约保证金退还条件：乙方全部履约合同义务，经甲方验收合格无质量、进度等问题的，甲方在验收合格后一次性退还履约保证金，甲方若逾期退还履约保证金的，按照逾期部分的每日0.05%支付违约金。</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6.2.4发生以下情况的，履约保证金不予退还或部分退还：</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6.2.4.1 签订合同后，乙方不履行合同义务的，甲方有权全额扣除履约保证金，全额不予退还，同时甲方亦有权终止合同，乙方还须承担相应的法律赔偿责任。</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6.2.4.2 乙方在履约过程中发生违约行为，给甲方造成损失的，甲方有权在乙方缴纳的履约保证金中予以扣款，以弥补甲方经济损失，不足的部分乙方另外补齐。</w:t>
      </w:r>
      <w:r/>
    </w:p>
    <w:p>
      <w:pPr>
        <w:spacing w:before="145" w:after="145"/>
        <w:rPr>
          <w:rFonts w:ascii="仿宋" w:hAnsi="仿宋" w:eastAsia="仿宋" w:cs="仿宋"/>
          <w:b/>
          <w:color w:val="000000"/>
          <w:sz w:val="24"/>
          <w:szCs w:val="24"/>
        </w:rPr>
      </w:pPr>
      <w:r>
        <w:rPr>
          <w:rFonts w:hint="eastAsia" w:ascii="仿宋" w:hAnsi="仿宋" w:eastAsia="仿宋" w:cs="仿宋"/>
          <w:b/>
          <w:color w:val="000000"/>
          <w:sz w:val="24"/>
          <w:szCs w:val="24"/>
        </w:rPr>
        <w:t xml:space="preserve">七、合同转包或分包</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7.1乙方不得将合同标的转包给他人履行。</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7.2乙方不得将合同标的分包给他人履行。</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7.3乙方如有转包或未经甲方同意的分包行为，甲方有权给予终止合同。</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八、合同款项支付</w:t>
      </w:r>
      <w:r/>
    </w:p>
    <w:p>
      <w:pPr>
        <w:spacing w:before="120" w:after="120" w:line="48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8.1合同款项的支付方式及进度安排</w:t>
      </w:r>
      <w:r/>
    </w:p>
    <w:p>
      <w:pPr>
        <w:ind w:firstLine="480"/>
        <w:spacing w:line="48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采购标的安装完成后，支付合同金额的50%；产品验收通过,支付合同金额的40%；产品验收通过满一年后,支付合同金额的10%。采购人应在收到发票后10个工作日内将资金支付到合同约定的成交供应商账户。</w:t>
      </w:r>
      <w:r/>
    </w:p>
    <w:p>
      <w:pPr>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8.2当采购数量与实际使用数量不一致时，乙方应根据实际使用量供货，合同的最终结算金额按实际使用量乘以成交单价进行计算。</w:t>
      </w:r>
      <w:r/>
    </w:p>
    <w:p>
      <w:pPr>
        <w:spacing w:before="145" w:after="145"/>
        <w:rPr>
          <w:rFonts w:ascii="仿宋" w:hAnsi="仿宋" w:eastAsia="仿宋" w:cs="仿宋"/>
          <w:b/>
          <w:color w:val="000000"/>
          <w:sz w:val="24"/>
          <w:szCs w:val="24"/>
        </w:rPr>
      </w:pPr>
      <w:r>
        <w:rPr>
          <w:rFonts w:hint="eastAsia" w:ascii="仿宋" w:hAnsi="仿宋" w:eastAsia="仿宋" w:cs="仿宋"/>
          <w:b/>
          <w:color w:val="000000"/>
          <w:sz w:val="24"/>
          <w:szCs w:val="24"/>
        </w:rPr>
        <w:t xml:space="preserve">九、税费</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9.1本合同执行中相关的一切税费均由乙方负担。</w:t>
      </w:r>
      <w:r/>
    </w:p>
    <w:p>
      <w:pPr>
        <w:spacing w:before="120" w:after="120"/>
        <w:rPr>
          <w:rFonts w:ascii="仿宋" w:hAnsi="仿宋" w:eastAsia="仿宋" w:cs="仿宋"/>
          <w:color w:val="000000"/>
          <w:sz w:val="24"/>
          <w:szCs w:val="24"/>
        </w:rPr>
      </w:pPr>
      <w:r>
        <w:rPr>
          <w:rFonts w:hint="eastAsia" w:ascii="仿宋" w:hAnsi="仿宋" w:eastAsia="仿宋" w:cs="仿宋"/>
          <w:b/>
          <w:color w:val="000000"/>
          <w:sz w:val="24"/>
          <w:szCs w:val="24"/>
        </w:rPr>
        <w:t xml:space="preserve">十、质量保修范围和保修期及售后服务</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10.1 乙方应按招标文件规定的货物性能、技术要求、质量标准向甲方提供未经使用的</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全新产品。</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10.2 乙方提供的货物在质量期内因货物本身的质量问题发生故障，乙方应负责免费更</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换。对达不到技术要求者，根据实际情况，经双方协商，可按以下办法处理：</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⑴更换：由乙方承担所发生的全部费用。</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⑵贬值处理：由甲乙双方合议定价。</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⑶退货处理：乙方应退还甲方支付的合同款，同时应承担该货物的直接费用（运输、保险、检验、货款利息及银行手续费等）。</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10.3 如在使用过程中发生质量问题，乙方在接到甲方通知后在</w:t>
      </w:r>
      <w:r>
        <w:rPr>
          <w:rFonts w:hint="eastAsia" w:ascii="仿宋" w:hAnsi="仿宋" w:eastAsia="仿宋" w:cs="仿宋"/>
          <w:color w:val="000000"/>
          <w:sz w:val="24"/>
          <w:szCs w:val="24"/>
          <w:highlight w:val="yellow"/>
          <w:u w:val="single"/>
        </w:rPr>
        <w:t xml:space="preserve">  6  </w:t>
      </w:r>
      <w:r>
        <w:rPr>
          <w:rFonts w:hint="eastAsia" w:ascii="仿宋" w:hAnsi="仿宋" w:eastAsia="仿宋" w:cs="仿宋"/>
          <w:color w:val="000000"/>
          <w:sz w:val="24"/>
          <w:szCs w:val="24"/>
          <w:highlight w:val="yellow"/>
        </w:rPr>
        <w:t xml:space="preserve">小</w:t>
      </w:r>
      <w:r>
        <w:rPr>
          <w:rFonts w:hint="eastAsia" w:ascii="仿宋" w:hAnsi="仿宋" w:eastAsia="仿宋" w:cs="仿宋"/>
          <w:color w:val="000000"/>
          <w:sz w:val="24"/>
          <w:szCs w:val="24"/>
        </w:rPr>
        <w:t xml:space="preserve">时内到达甲方现场。</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10.4 在质保期内，乙方应对货物出现的质量及安全问题负责处理解决并承担一切费用。</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10.5上述的货物免费保修期为</w:t>
      </w:r>
      <w:r>
        <w:rPr>
          <w:rFonts w:hint="eastAsia" w:ascii="仿宋" w:hAnsi="仿宋" w:eastAsia="仿宋" w:cs="仿宋"/>
          <w:color w:val="000000"/>
          <w:sz w:val="24"/>
          <w:szCs w:val="24"/>
          <w:highlight w:val="yellow"/>
          <w:u w:val="single"/>
        </w:rPr>
        <w:t xml:space="preserve"> 三   </w:t>
      </w:r>
      <w:r>
        <w:rPr>
          <w:rFonts w:hint="eastAsia" w:ascii="仿宋" w:hAnsi="仿宋" w:eastAsia="仿宋" w:cs="仿宋"/>
          <w:color w:val="000000"/>
          <w:sz w:val="24"/>
          <w:szCs w:val="24"/>
        </w:rPr>
        <w:t xml:space="preserve">年（自交货验收合格之日起计），因人为因素出现</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的故障不在免费保修范围内。超过保修期的机器设备，终生维修，维修时只收部件成</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本费。</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十一、项目验收</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11.1 甲方依法组织履约验收工作。</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11.3 对于实际使用人和甲方分离的项目，甲方邀请实际使用人参与验收。</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11.4 如有必要，甲方邀请参加本项目的其他供应商或第三方专业机构及专家参与验收，相关意见将作为验收书的参考资料。</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十二、货物的包装、发运及运输</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12.1 乙方应在货物发运前对其进行满足运输距离、防潮、防震、防锈和防破损装卸等</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要求包装，以保证货物安全运达甲方指定地点。乙方对货物的包装应符合《商品包装</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政府采购需求标准（试行）》、《快递包装政府采购需求标准（试行）》的规定。</w:t>
      </w:r>
      <w:r/>
    </w:p>
    <w:p>
      <w:pPr>
        <w:spacing w:before="120" w:after="120"/>
        <w:rPr>
          <w:rFonts w:ascii="仿宋" w:hAnsi="仿宋" w:eastAsia="仿宋" w:cs="仿宋"/>
          <w:sz w:val="24"/>
          <w:szCs w:val="24"/>
        </w:rPr>
      </w:pPr>
      <w:r>
        <w:rPr>
          <w:rFonts w:hint="eastAsia" w:ascii="仿宋" w:hAnsi="仿宋" w:eastAsia="仿宋" w:cs="仿宋"/>
          <w:sz w:val="24"/>
          <w:szCs w:val="24"/>
        </w:rPr>
        <w:t xml:space="preserve">12.2 使用说明书、质量检验证明书、随配附件和工具以及清单一并附于货物内。</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12.3 乙方在货物发运手续办理完毕后</w:t>
      </w:r>
      <w:r>
        <w:rPr>
          <w:rFonts w:hint="eastAsia" w:ascii="仿宋" w:hAnsi="仿宋" w:eastAsia="仿宋" w:cs="仿宋"/>
          <w:color w:val="000000"/>
          <w:sz w:val="24"/>
          <w:szCs w:val="24"/>
          <w:u w:val="single"/>
        </w:rPr>
        <w:t xml:space="preserve"> 48</w:t>
      </w:r>
      <w:r>
        <w:rPr>
          <w:rFonts w:hint="eastAsia" w:ascii="仿宋" w:hAnsi="仿宋" w:eastAsia="仿宋" w:cs="仿宋"/>
          <w:color w:val="000000"/>
          <w:sz w:val="24"/>
          <w:szCs w:val="24"/>
        </w:rPr>
        <w:t xml:space="preserve">小时内或货到甲方</w:t>
      </w:r>
      <w:r>
        <w:rPr>
          <w:rFonts w:hint="eastAsia" w:ascii="仿宋" w:hAnsi="仿宋" w:eastAsia="仿宋" w:cs="仿宋"/>
          <w:color w:val="000000"/>
          <w:sz w:val="24"/>
          <w:szCs w:val="24"/>
          <w:u w:val="single"/>
        </w:rPr>
        <w:t xml:space="preserve">  48 </w:t>
      </w:r>
      <w:r>
        <w:rPr>
          <w:rFonts w:hint="eastAsia" w:ascii="仿宋" w:hAnsi="仿宋" w:eastAsia="仿宋" w:cs="仿宋"/>
          <w:color w:val="000000"/>
          <w:sz w:val="24"/>
          <w:szCs w:val="24"/>
        </w:rPr>
        <w:t xml:space="preserve">小时前通知甲方，以准备接货。</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12.4 货物在交付甲方前发生的风险均由乙方负责。</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12.5 货物在规定的交付期限内由乙方送达甲方指定的地点视为交付，乙方同时需通知甲方货物已送达。</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十三、违约责任</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13.1 甲方无正当理由拒收货物的，甲方向乙方偿付拒收货款总值</w:t>
      </w:r>
      <w:r>
        <w:rPr>
          <w:rFonts w:hint="eastAsia" w:ascii="仿宋" w:hAnsi="仿宋" w:eastAsia="仿宋" w:cs="仿宋"/>
          <w:color w:val="000000"/>
          <w:sz w:val="24"/>
          <w:szCs w:val="24"/>
          <w:u w:val="single"/>
        </w:rPr>
        <w:t xml:space="preserve">的5%   </w:t>
      </w:r>
      <w:r>
        <w:rPr>
          <w:rFonts w:hint="eastAsia" w:ascii="仿宋" w:hAnsi="仿宋" w:eastAsia="仿宋" w:cs="仿宋"/>
          <w:color w:val="000000"/>
          <w:sz w:val="24"/>
          <w:szCs w:val="24"/>
        </w:rPr>
        <w:t xml:space="preserve">的违约金。</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13.2 甲方无故逾期验收和办理货款支付手续的,甲方应按逾期付款总额每日</w:t>
      </w:r>
      <w:r>
        <w:rPr>
          <w:rFonts w:hint="eastAsia" w:ascii="仿宋" w:hAnsi="仿宋" w:eastAsia="仿宋" w:cs="仿宋"/>
          <w:color w:val="000000"/>
          <w:sz w:val="24"/>
          <w:szCs w:val="24"/>
          <w:u w:val="single"/>
        </w:rPr>
        <w:t xml:space="preserve">  1000元  </w:t>
      </w:r>
      <w:r>
        <w:rPr>
          <w:rFonts w:hint="eastAsia" w:ascii="仿宋" w:hAnsi="仿宋" w:eastAsia="仿宋" w:cs="仿宋"/>
          <w:color w:val="000000"/>
          <w:sz w:val="24"/>
          <w:szCs w:val="24"/>
        </w:rPr>
        <w:t xml:space="preserve">向乙方支付违约金。</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13.3 乙方逾期交付货物的，乙方应按逾期交货总额每日</w:t>
      </w:r>
      <w:r>
        <w:rPr>
          <w:rFonts w:hint="eastAsia" w:ascii="仿宋" w:hAnsi="仿宋" w:eastAsia="仿宋" w:cs="仿宋"/>
          <w:color w:val="000000"/>
          <w:sz w:val="24"/>
          <w:szCs w:val="24"/>
          <w:u w:val="single"/>
        </w:rPr>
        <w:t xml:space="preserve">  2000元   </w:t>
      </w:r>
      <w:r>
        <w:rPr>
          <w:rFonts w:hint="eastAsia" w:ascii="仿宋" w:hAnsi="仿宋" w:eastAsia="仿宋" w:cs="仿宋"/>
          <w:color w:val="000000"/>
          <w:sz w:val="24"/>
          <w:szCs w:val="24"/>
        </w:rPr>
        <w:t xml:space="preserve">向甲方支付违约金，由甲方从待付货款中扣除。逾期超过约定日期</w:t>
      </w:r>
      <w:r>
        <w:rPr>
          <w:rFonts w:hint="eastAsia" w:ascii="仿宋" w:hAnsi="仿宋" w:eastAsia="仿宋" w:cs="仿宋"/>
          <w:color w:val="000000"/>
          <w:sz w:val="24"/>
          <w:szCs w:val="24"/>
          <w:u w:val="single"/>
        </w:rPr>
        <w:t xml:space="preserve"> 20 </w:t>
      </w:r>
      <w:r>
        <w:rPr>
          <w:rFonts w:hint="eastAsia" w:ascii="仿宋" w:hAnsi="仿宋" w:eastAsia="仿宋" w:cs="仿宋"/>
          <w:color w:val="000000"/>
          <w:sz w:val="24"/>
          <w:szCs w:val="24"/>
        </w:rPr>
        <w:t xml:space="preserve">个工作日不能交货的，甲方可解除本合同。乙方因逾期交货或因其他违约行为导致甲方解除合同的，乙方应向甲方支付合同总值</w:t>
      </w:r>
      <w:r>
        <w:rPr>
          <w:rFonts w:hint="eastAsia" w:ascii="仿宋" w:hAnsi="仿宋" w:eastAsia="仿宋" w:cs="仿宋"/>
          <w:color w:val="000000"/>
          <w:sz w:val="24"/>
          <w:szCs w:val="24"/>
          <w:u w:val="single"/>
        </w:rPr>
        <w:t xml:space="preserve">的5% </w:t>
      </w:r>
      <w:r>
        <w:rPr>
          <w:rFonts w:hint="eastAsia" w:ascii="仿宋" w:hAnsi="仿宋" w:eastAsia="仿宋" w:cs="仿宋"/>
          <w:color w:val="000000"/>
          <w:sz w:val="24"/>
          <w:szCs w:val="24"/>
        </w:rPr>
        <w:t xml:space="preserve">的违约金，如造成甲方损失超过违约金的，超出部分由乙方继续承担赔偿责任。 </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13.4 乙方所交的货物品种、型号、规格、技术参数、质量不符合合同规定及招标文件</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规定标准的，甲方有权拒收该货物，乙方愿意更换货物但逾期交货的，按乙方逾期交</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货处理。乙方拒绝更换货物的，甲方可单方面解除合同。</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十四、不可抗力事件处理</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14.1 在合同有效期内，任何一方因不可抗力事件导致不能履行合同，则合同履行期可</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延长，其延长期与不可抗力影响期相同。</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14.2 不可抗力事件发生后，应立即通知对方，并寄送有关权威机构出具的证明。</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14.3 不可抗力事件延续</w:t>
      </w:r>
      <w:r>
        <w:rPr>
          <w:rFonts w:hint="eastAsia" w:ascii="仿宋" w:hAnsi="仿宋" w:eastAsia="仿宋" w:cs="仿宋"/>
          <w:color w:val="000000"/>
          <w:sz w:val="24"/>
          <w:szCs w:val="24"/>
          <w:u w:val="single"/>
        </w:rPr>
        <w:t xml:space="preserve"> 30 </w:t>
      </w:r>
      <w:r>
        <w:rPr>
          <w:rFonts w:hint="eastAsia" w:ascii="仿宋" w:hAnsi="仿宋" w:eastAsia="仿宋" w:cs="仿宋"/>
          <w:color w:val="000000"/>
          <w:sz w:val="24"/>
          <w:szCs w:val="24"/>
        </w:rPr>
        <w:t xml:space="preserve">天以上，双方应通过友好协商，确定是否继续履行合同。</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十五、解决争议的方法</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15.1甲乙双方因合同签订、履行而发生的一切争议，应通过友好协商解决。如协商不</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成由甲方住所地人民法院管辖。</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十六、合同生效及其它</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16.1 合同经双方法定代表人或授权委托代表人签字并加盖单位公章后生效。</w:t>
      </w:r>
      <w:r/>
    </w:p>
    <w:p>
      <w:pPr>
        <w:ind w:left="480" w:hanging="480"/>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16.2 本合同未尽事宜，遵照中华人民共和国现行法律法规有关条文执行。</w:t>
      </w:r>
      <w:r/>
    </w:p>
    <w:p>
      <w:pPr>
        <w:ind w:left="480" w:hanging="480"/>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16.3 本合同正本一式</w:t>
      </w:r>
      <w:r>
        <w:rPr>
          <w:rFonts w:hint="eastAsia" w:ascii="仿宋" w:hAnsi="仿宋" w:eastAsia="仿宋" w:cs="仿宋"/>
          <w:color w:val="000000"/>
          <w:sz w:val="24"/>
          <w:szCs w:val="24"/>
          <w:highlight w:val="yellow"/>
          <w:u w:val="single"/>
        </w:rPr>
        <w:t xml:space="preserve">****** </w:t>
      </w:r>
      <w:r>
        <w:rPr>
          <w:rFonts w:hint="eastAsia" w:ascii="仿宋" w:hAnsi="仿宋" w:eastAsia="仿宋" w:cs="仿宋"/>
          <w:color w:val="000000"/>
          <w:sz w:val="24"/>
          <w:szCs w:val="24"/>
        </w:rPr>
        <w:t xml:space="preserve">份，具有同等法律效力。</w:t>
      </w:r>
      <w:r/>
    </w:p>
    <w:p>
      <w:pPr>
        <w:ind w:left="480" w:hanging="480"/>
        <w:spacing w:before="120" w:after="120"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  甲方：                        乙方： </w:t>
      </w:r>
      <w:r/>
    </w:p>
    <w:p>
      <w:pPr>
        <w:spacing w:before="120" w:after="120"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  地址：                        地址： </w:t>
      </w:r>
      <w:r/>
    </w:p>
    <w:p>
      <w:pPr>
        <w:spacing w:before="120" w:after="120"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  法定代表人或授权代表：        法定代表人或授权代表：</w:t>
      </w:r>
      <w:r/>
    </w:p>
    <w:p>
      <w:pPr>
        <w:ind w:firstLine="240"/>
        <w:spacing w:before="120" w:after="120" w:line="0" w:lineRule="atLeast"/>
        <w:rPr>
          <w:rFonts w:ascii="仿宋" w:hAnsi="仿宋" w:eastAsia="仿宋" w:cs="仿宋"/>
          <w:color w:val="000000"/>
          <w:szCs w:val="21"/>
        </w:rPr>
      </w:pPr>
      <w:r>
        <w:rPr>
          <w:rFonts w:hint="eastAsia" w:ascii="仿宋" w:hAnsi="仿宋" w:eastAsia="仿宋" w:cs="仿宋"/>
          <w:color w:val="000000"/>
          <w:sz w:val="24"/>
          <w:szCs w:val="24"/>
        </w:rPr>
        <w:t xml:space="preserve">联系电话：                    联系电话：          </w:t>
      </w:r>
      <w:r/>
    </w:p>
    <w:p>
      <w:pPr>
        <w:jc w:val="center"/>
        <w:spacing w:before="120" w:after="120" w:line="0" w:lineRule="atLeast"/>
        <w:rPr>
          <w:rFonts w:ascii="仿宋" w:hAnsi="仿宋" w:eastAsia="仿宋" w:cs="仿宋"/>
          <w:color w:val="000000"/>
          <w:sz w:val="24"/>
          <w:szCs w:val="24"/>
        </w:rPr>
      </w:pPr>
      <w:r>
        <w:rPr>
          <w:rFonts w:hint="eastAsia" w:ascii="仿宋" w:hAnsi="仿宋" w:eastAsia="仿宋" w:cs="仿宋"/>
          <w:color w:val="000000"/>
          <w:szCs w:val="21"/>
        </w:rPr>
        <w:t xml:space="preserve">                 </w:t>
      </w:r>
      <w:r>
        <w:rPr>
          <w:rFonts w:hint="eastAsia" w:ascii="仿宋" w:hAnsi="仿宋" w:eastAsia="仿宋" w:cs="仿宋"/>
          <w:color w:val="000000"/>
          <w:sz w:val="24"/>
          <w:szCs w:val="24"/>
        </w:rPr>
        <w:t xml:space="preserve">   </w:t>
      </w:r>
      <w:r/>
    </w:p>
    <w:p>
      <w:pPr>
        <w:jc w:val="center"/>
        <w:spacing w:before="120" w:after="120" w:line="0" w:lineRule="atLeast"/>
        <w:rPr>
          <w:rFonts w:ascii="仿宋" w:hAnsi="仿宋" w:eastAsia="仿宋" w:cs="仿宋"/>
          <w:color w:val="000000"/>
          <w:sz w:val="24"/>
          <w:szCs w:val="24"/>
        </w:rPr>
      </w:pPr>
      <w:r>
        <w:rPr>
          <w:rFonts w:ascii="仿宋" w:hAnsi="仿宋" w:eastAsia="仿宋" w:cs="仿宋"/>
          <w:color w:val="000000"/>
          <w:sz w:val="24"/>
          <w:szCs w:val="24"/>
        </w:rPr>
      </w:r>
      <w:r/>
    </w:p>
    <w:p>
      <w:pPr>
        <w:jc w:val="center"/>
        <w:spacing w:before="120" w:after="120"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                    签订日期：</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rPr>
        <w:t xml:space="preserve">日</w:t>
      </w:r>
      <w:bookmarkEnd w:id="180"/>
      <w:r/>
      <w:bookmarkEnd w:id="181"/>
      <w:r/>
      <w:bookmarkEnd w:id="182"/>
      <w:r/>
      <w:bookmarkStart w:id="183" w:name="_Hlt16619369"/>
      <w:r/>
      <w:bookmarkEnd w:id="183"/>
      <w:r/>
      <w:bookmarkStart w:id="184" w:name="_Hlt16619350"/>
      <w:r/>
      <w:bookmarkStart w:id="185" w:name="_Toc120614244"/>
      <w:r/>
      <w:bookmarkStart w:id="186" w:name="_Toc16938590"/>
      <w:r/>
      <w:bookmarkStart w:id="187" w:name="_Toc20823346"/>
      <w:r/>
      <w:bookmarkStart w:id="188" w:name="_Toc479757211"/>
      <w:r/>
      <w:bookmarkStart w:id="189" w:name="_Toc462564139"/>
      <w:r/>
      <w:r/>
    </w:p>
    <w:p>
      <w:pPr>
        <w:jc w:val="center"/>
        <w:spacing w:before="120" w:after="120" w:line="0" w:lineRule="atLeast"/>
        <w:rPr>
          <w:rFonts w:ascii="仿宋" w:hAnsi="仿宋" w:eastAsia="仿宋" w:cs="仿宋"/>
          <w:color w:val="000000"/>
          <w:sz w:val="24"/>
          <w:szCs w:val="24"/>
        </w:rPr>
      </w:pPr>
      <w:r>
        <w:rPr>
          <w:rFonts w:ascii="仿宋" w:hAnsi="仿宋" w:eastAsia="仿宋" w:cs="仿宋"/>
          <w:color w:val="000000"/>
          <w:sz w:val="24"/>
          <w:szCs w:val="24"/>
        </w:rPr>
      </w:r>
      <w:r/>
    </w:p>
    <w:p>
      <w:pPr>
        <w:jc w:val="center"/>
        <w:spacing w:before="120" w:after="120" w:line="0" w:lineRule="atLeast"/>
        <w:rPr>
          <w:rFonts w:ascii="仿宋" w:hAnsi="仿宋" w:eastAsia="仿宋" w:cs="仿宋"/>
          <w:b/>
          <w:color w:val="000000"/>
          <w:sz w:val="24"/>
          <w:szCs w:val="24"/>
        </w:rPr>
        <w:outlineLvl w:val="0"/>
      </w:pPr>
      <w:r>
        <w:rPr>
          <w:rFonts w:hint="eastAsia" w:ascii="仿宋" w:hAnsi="仿宋" w:eastAsia="仿宋" w:cs="仿宋"/>
          <w:bCs/>
          <w:color w:val="000000"/>
          <w:sz w:val="44"/>
          <w:szCs w:val="21"/>
        </w:rPr>
        <w:br w:type="page" w:clear="all"/>
      </w:r>
      <w:bookmarkStart w:id="190" w:name="_Toc26382"/>
      <w:r>
        <w:rPr>
          <w:rFonts w:hint="eastAsia" w:ascii="仿宋" w:hAnsi="仿宋" w:eastAsia="仿宋" w:cs="仿宋"/>
          <w:b/>
          <w:color w:val="000000"/>
          <w:sz w:val="44"/>
          <w:szCs w:val="21"/>
        </w:rPr>
        <w:t xml:space="preserve">第</w:t>
      </w:r>
      <w:bookmarkEnd w:id="184"/>
      <w:r>
        <w:rPr>
          <w:rFonts w:hint="eastAsia" w:ascii="仿宋" w:hAnsi="仿宋" w:eastAsia="仿宋" w:cs="仿宋"/>
          <w:b/>
          <w:color w:val="000000"/>
          <w:sz w:val="44"/>
          <w:szCs w:val="21"/>
        </w:rPr>
        <w:t xml:space="preserve">四章 采购需求</w:t>
      </w:r>
      <w:bookmarkEnd w:id="185"/>
      <w:r/>
      <w:bookmarkEnd w:id="186"/>
      <w:r/>
      <w:bookmarkEnd w:id="187"/>
      <w:r/>
      <w:bookmarkEnd w:id="190"/>
      <w:r/>
      <w:r/>
    </w:p>
    <w:p>
      <w:pPr>
        <w:spacing w:line="0" w:lineRule="atLeast"/>
        <w:rPr>
          <w:rFonts w:ascii="仿宋" w:hAnsi="仿宋" w:eastAsia="仿宋" w:cs="仿宋"/>
          <w:color w:val="000000"/>
          <w:sz w:val="24"/>
          <w:szCs w:val="24"/>
        </w:rPr>
      </w:pPr>
      <w:r/>
      <w:bookmarkStart w:id="191" w:name="_Toc26554093"/>
      <w:r/>
      <w:bookmarkStart w:id="192" w:name="_Toc49090575"/>
      <w:r/>
      <w:r/>
    </w:p>
    <w:p>
      <w:pPr>
        <w:ind w:firstLine="560"/>
        <w:spacing w:line="0" w:lineRule="atLeast"/>
        <w:rPr>
          <w:rFonts w:ascii="仿宋" w:hAnsi="仿宋" w:eastAsia="仿宋" w:cs="仿宋"/>
          <w:bCs/>
          <w:sz w:val="28"/>
          <w:szCs w:val="28"/>
        </w:rPr>
      </w:pPr>
      <w:r/>
      <w:bookmarkStart w:id="193" w:name="_Toc120614281"/>
      <w:r>
        <w:rPr>
          <w:rFonts w:hint="eastAsia" w:ascii="仿宋" w:hAnsi="仿宋" w:eastAsia="仿宋" w:cs="仿宋"/>
          <w:bCs/>
          <w:sz w:val="28"/>
          <w:szCs w:val="28"/>
        </w:rPr>
        <w:t xml:space="preserve">投标人在制作投标文件时仔细研究项目需求说明。项目需求包括技术要求和商务要求:</w:t>
      </w:r>
      <w:r/>
    </w:p>
    <w:p>
      <w:pPr>
        <w:ind w:firstLine="560"/>
        <w:spacing w:line="0" w:lineRule="atLeast"/>
        <w:rPr>
          <w:rFonts w:ascii="仿宋" w:hAnsi="仿宋" w:eastAsia="仿宋" w:cs="仿宋"/>
          <w:bCs/>
          <w:sz w:val="28"/>
          <w:szCs w:val="28"/>
        </w:rPr>
      </w:pPr>
      <w:r>
        <w:rPr>
          <w:rFonts w:hint="eastAsia" w:ascii="仿宋" w:hAnsi="仿宋" w:eastAsia="仿宋" w:cs="仿宋"/>
          <w:bCs/>
          <w:sz w:val="28"/>
          <w:szCs w:val="28"/>
        </w:rPr>
        <w:t xml:space="preserve">技术要求是指对采购标的功能和质量要求，包括性能、材料、结构、外观、安全，或者服务内容和标准等,</w:t>
      </w:r>
      <w:r>
        <w:rPr>
          <w:rFonts w:hint="eastAsia" w:ascii="仿宋" w:hAnsi="仿宋" w:eastAsia="仿宋" w:cs="仿宋"/>
          <w:b/>
          <w:i/>
          <w:iCs/>
          <w:sz w:val="28"/>
          <w:szCs w:val="28"/>
          <w:u w:val="single"/>
        </w:rPr>
        <w:t xml:space="preserve">其中必须满足的实质性要求加斜体下划线。</w:t>
      </w:r>
      <w:r/>
    </w:p>
    <w:p>
      <w:pPr>
        <w:ind w:firstLine="560"/>
        <w:spacing w:line="0" w:lineRule="atLeast"/>
        <w:rPr>
          <w:rFonts w:ascii="仿宋" w:hAnsi="仿宋" w:eastAsia="仿宋" w:cs="仿宋"/>
          <w:bCs/>
          <w:sz w:val="28"/>
          <w:szCs w:val="28"/>
        </w:rPr>
      </w:pPr>
      <w:r>
        <w:rPr>
          <w:rFonts w:hint="eastAsia" w:ascii="仿宋" w:hAnsi="仿宋" w:eastAsia="仿宋" w:cs="仿宋"/>
          <w:bCs/>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sz w:val="28"/>
          <w:szCs w:val="28"/>
          <w:u w:val="single"/>
        </w:rPr>
        <w:t xml:space="preserve">其中必须满足的实质性要求加斜体下划线。</w:t>
      </w:r>
      <w:r/>
    </w:p>
    <w:p>
      <w:pPr>
        <w:spacing w:line="0" w:lineRule="atLeast"/>
        <w:rPr>
          <w:rFonts w:ascii="仿宋" w:hAnsi="仿宋" w:eastAsia="仿宋" w:cs="仿宋"/>
          <w:bCs/>
          <w:sz w:val="24"/>
          <w:szCs w:val="24"/>
        </w:rPr>
      </w:pPr>
      <w:r>
        <w:rPr>
          <w:rFonts w:ascii="仿宋" w:hAnsi="仿宋" w:eastAsia="仿宋" w:cs="仿宋"/>
          <w:bCs/>
          <w:sz w:val="24"/>
          <w:szCs w:val="24"/>
        </w:rPr>
      </w:r>
      <w:r/>
    </w:p>
    <w:p>
      <w:pPr>
        <w:ind w:firstLine="482"/>
        <w:spacing w:line="500" w:lineRule="exact"/>
        <w:rPr>
          <w:rFonts w:ascii="仿宋" w:hAnsi="仿宋" w:eastAsia="仿宋" w:cs="仿宋"/>
          <w:b/>
          <w:sz w:val="24"/>
          <w:szCs w:val="24"/>
        </w:rPr>
      </w:pPr>
      <w:r>
        <w:rPr>
          <w:rFonts w:hint="eastAsia" w:ascii="仿宋" w:hAnsi="仿宋" w:eastAsia="仿宋" w:cs="仿宋"/>
          <w:b/>
          <w:bCs/>
          <w:sz w:val="24"/>
          <w:szCs w:val="24"/>
        </w:rPr>
        <w:t xml:space="preserve">一、其内容包含：</w:t>
      </w:r>
      <w:r/>
    </w:p>
    <w:p>
      <w:pPr>
        <w:spacing w:line="0" w:lineRule="atLeast"/>
        <w:rPr>
          <w:rFonts w:ascii="仿宋" w:hAnsi="仿宋" w:eastAsia="仿宋" w:cs="仿宋"/>
          <w:sz w:val="24"/>
          <w:szCs w:val="24"/>
        </w:rPr>
      </w:pPr>
      <w:r>
        <w:rPr>
          <w:rFonts w:ascii="仿宋" w:hAnsi="仿宋" w:eastAsia="仿宋" w:cs="仿宋"/>
          <w:sz w:val="24"/>
          <w:szCs w:val="24"/>
        </w:rPr>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（一）采购标的需实现的功能或者目标，以及为落实政府采购政策需满足的要求；</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本项目采购产品为生产技术先进、品质优良、符合相关检验检测要求的全新产品。是从设计、制造、包装、运输、安装、调试、验收直至最后交付使用及质保的都符合完整性的产品项目。</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（二）采购标的需执行的国家相关标准、行业标准、地方标准或者其他标准、规范；</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应符合但不限于下面列出的关于实木类家具安全、试验和检测要求，实木类家具搬运、家具安装等相关标准。如：</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28202-2020《家具工业术语》</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3324-2024  《木家具通用技术条件》</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32445-2015《家具用材料分类》</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24430.2-2009 《家用双层床安全第 2 部分:试验》</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QB/T 4452-2013 《木家具 极限与配合》</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10357.1-2024  《家具力学性能试验  第1部分：桌类强度和耐久性》</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 28008-2024 《家具结构安全技术规范》</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QB/T 8096-2024 《五金配件 阻尼导轨通用技术条件》</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35607-2024 《绿色产品评价 家具》</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4893 《家具表面漆膜理化性能试验》系列国家标准</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4893.10-2024 《家具表面漆膜理化性能试验 第10部分：耐划痕测定法》</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 18584-2024 家具中有害物质限量。</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（三）采购标的需满足的质量、安全、技术规格、物理特性等要求；</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1、所投产品须为参考或优于图示（例）参数要求生产的产品。</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2、中标供应商与采购人签订合同后，应当根据采购人要求或建议，优化产品设计，并提供样品参考，等待采购人最终确认后方可批量生产。</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3、中标产品的技术标准按国家标准执行，但在招标文件中有特别要求的，须按招标文件中规定的要求执行。</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（四）采购标的的数量、采购项目交付或者实施的时间和地点（货物类项目采购清单中必须列明主要标的、强制节能产品）；</w:t>
      </w:r>
      <w:r/>
    </w:p>
    <w:p>
      <w:pPr>
        <w:ind w:firstLine="420"/>
        <w:spacing w:line="500" w:lineRule="exact"/>
        <w:rPr>
          <w:rFonts w:ascii="仿宋" w:hAnsi="仿宋" w:eastAsia="仿宋" w:cs="仿宋"/>
          <w:sz w:val="24"/>
          <w:szCs w:val="24"/>
        </w:rPr>
        <w:sectPr>
          <w:footerReference w:type="default" r:id="rId12"/>
          <w:footerReference w:type="first" r:id="rId13"/>
          <w:footnotePr/>
          <w:endnotePr/>
          <w:type w:val="nextPage"/>
          <w:pgSz w:w="11906" w:h="16838" w:orient="portrait"/>
          <w:pgMar w:top="1418" w:right="1081" w:bottom="1418" w:left="1365" w:header="851" w:footer="907" w:gutter="0"/>
          <w:pgNumType w:start="1"/>
          <w:cols w:num="1" w:sep="0" w:space="720" w:equalWidth="1"/>
          <w:docGrid w:linePitch="360"/>
        </w:sectPr>
      </w:pPr>
      <w:r>
        <w:rPr>
          <w:rFonts w:ascii="仿宋" w:hAnsi="仿宋" w:eastAsia="仿宋" w:cs="仿宋"/>
          <w:sz w:val="24"/>
          <w:szCs w:val="24"/>
        </w:rPr>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4.1标的数量：</w:t>
      </w:r>
      <w:r/>
    </w:p>
    <w:tbl>
      <w:tblPr>
        <w:tblStyle w:val="734"/>
        <w:tblW w:w="14284" w:type="dxa"/>
        <w:tblInd w:w="93" w:type="dxa"/>
        <w:tblLayout w:type="fixed"/>
        <w:tblCellMar>
          <w:left w:w="108" w:type="dxa"/>
          <w:top w:w="0" w:type="dxa"/>
          <w:right w:w="108" w:type="dxa"/>
          <w:bottom w:w="0" w:type="dxa"/>
        </w:tblCellMar>
        <w:tblLook w:val="04A0" w:firstRow="1" w:lastRow="0" w:firstColumn="1" w:lastColumn="0" w:noHBand="0" w:noVBand="1"/>
      </w:tblPr>
      <w:tblGrid>
        <w:gridCol w:w="615"/>
        <w:gridCol w:w="1079"/>
        <w:gridCol w:w="2705"/>
        <w:gridCol w:w="1545"/>
        <w:gridCol w:w="5625"/>
        <w:gridCol w:w="510"/>
        <w:gridCol w:w="555"/>
        <w:gridCol w:w="1650"/>
      </w:tblGrid>
      <w:tr>
        <w:trPr>
          <w:trHeight w:val="1535"/>
        </w:trPr>
        <w:tc>
          <w:tcPr>
            <w:shd w:val="clear" w:color="auto" w:fill="bdd7ee"/>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序号</w:t>
            </w:r>
            <w:r/>
          </w:p>
        </w:tc>
        <w:tc>
          <w:tcPr>
            <w:shd w:val="clear" w:color="auto" w:fill="bdd7ee"/>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产品</w:t>
            </w:r>
            <w:r>
              <w:rPr>
                <w:rFonts w:hint="eastAsia" w:ascii="微软雅黑" w:hAnsi="微软雅黑" w:eastAsia="微软雅黑" w:cs="微软雅黑"/>
                <w:b/>
                <w:bCs/>
                <w:color w:val="000000"/>
                <w:sz w:val="22"/>
                <w:lang w:val="en-US" w:eastAsia="zh-CN" w:bidi="ar"/>
              </w:rPr>
              <w:t xml:space="preserve">  </w:t>
            </w:r>
            <w:r>
              <w:rPr>
                <w:rFonts w:hint="eastAsia" w:ascii="微软雅黑" w:hAnsi="微软雅黑" w:eastAsia="微软雅黑" w:cs="微软雅黑"/>
                <w:b/>
                <w:bCs/>
                <w:color w:val="000000"/>
                <w:sz w:val="22"/>
                <w:lang w:bidi="ar"/>
              </w:rPr>
              <w:t xml:space="preserve">名称</w:t>
            </w:r>
            <w:r/>
          </w:p>
        </w:tc>
        <w:tc>
          <w:tcPr>
            <w:shd w:val="clear" w:color="auto" w:fill="bdd7ee"/>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val="en-US" w:eastAsia="zh-CN" w:bidi="ar"/>
              </w:rPr>
              <w:t xml:space="preserve">参考</w:t>
            </w:r>
            <w:r>
              <w:rPr>
                <w:rFonts w:hint="eastAsia" w:ascii="微软雅黑" w:hAnsi="微软雅黑" w:eastAsia="微软雅黑" w:cs="微软雅黑"/>
                <w:b/>
                <w:bCs/>
                <w:color w:val="000000"/>
                <w:sz w:val="22"/>
                <w:lang w:bidi="ar"/>
              </w:rPr>
              <w:t xml:space="preserve">图片</w:t>
            </w:r>
            <w:r/>
          </w:p>
        </w:tc>
        <w:tc>
          <w:tcPr>
            <w:shd w:val="clear" w:color="auto" w:fill="bdd7ee"/>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微软雅黑" w:hAnsi="微软雅黑" w:eastAsia="微软雅黑" w:cs="微软雅黑"/>
                <w:b/>
                <w:bCs/>
                <w:color w:val="000000"/>
                <w:sz w:val="22"/>
                <w:lang w:bidi="ar"/>
              </w:rPr>
            </w:pPr>
            <w:r>
              <w:rPr>
                <w:rFonts w:hint="eastAsia" w:ascii="微软雅黑" w:hAnsi="微软雅黑" w:eastAsia="微软雅黑" w:cs="微软雅黑"/>
                <w:b/>
                <w:bCs/>
                <w:color w:val="000000"/>
                <w:sz w:val="22"/>
                <w:lang w:bidi="ar"/>
              </w:rPr>
              <w:t xml:space="preserve">尺寸规格</w:t>
            </w:r>
            <w:r/>
          </w:p>
          <w:p>
            <w:pPr>
              <w:pStyle w:val="735"/>
              <w:ind w:firstLine="0"/>
              <w:rPr>
                <w:rFonts w:eastAsia="微软雅黑"/>
              </w:rPr>
            </w:pPr>
            <w:r>
              <w:rPr>
                <w:rFonts w:hint="eastAsia" w:ascii="微软雅黑" w:hAnsi="微软雅黑" w:eastAsia="微软雅黑" w:cs="微软雅黑"/>
                <w:b/>
                <w:bCs/>
                <w:color w:val="000000"/>
                <w:sz w:val="22"/>
                <w:lang w:bidi="ar"/>
              </w:rPr>
              <w:t xml:space="preserve">（mm*mm*mm）</w:t>
            </w:r>
            <w:r/>
          </w:p>
        </w:tc>
        <w:tc>
          <w:tcPr>
            <w:shd w:val="clear" w:color="auto" w:fill="bdd7ee"/>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center"/>
              <w:widowControl/>
              <w:rPr>
                <w:rFonts w:hint="default" w:ascii="微软雅黑" w:hAnsi="微软雅黑" w:eastAsia="微软雅黑" w:cs="微软雅黑"/>
                <w:b/>
                <w:bCs/>
                <w:color w:val="000000"/>
                <w:sz w:val="22"/>
                <w:lang w:val="en-US" w:eastAsia="zh-CN"/>
              </w:rPr>
            </w:pPr>
            <w:r>
              <w:rPr>
                <w:rFonts w:hint="eastAsia" w:ascii="微软雅黑" w:hAnsi="微软雅黑" w:eastAsia="微软雅黑" w:cs="微软雅黑"/>
                <w:b/>
                <w:bCs/>
                <w:color w:val="000000"/>
                <w:sz w:val="22"/>
                <w:lang w:bidi="ar"/>
              </w:rPr>
              <w:t xml:space="preserve">材质说明</w:t>
            </w:r>
            <w:r>
              <w:rPr>
                <w:rFonts w:hint="eastAsia" w:ascii="微软雅黑" w:hAnsi="微软雅黑" w:eastAsia="微软雅黑" w:cs="微软雅黑"/>
                <w:b/>
                <w:bCs/>
                <w:color w:val="000000"/>
                <w:sz w:val="22"/>
                <w:lang w:val="en-US" w:eastAsia="zh-CN" w:bidi="ar"/>
              </w:rPr>
              <w:t xml:space="preserve">及参数要求</w:t>
            </w:r>
            <w:r/>
          </w:p>
        </w:tc>
        <w:tc>
          <w:tcPr>
            <w:shd w:val="clear" w:color="auto" w:fill="bdd7ee"/>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数量</w:t>
            </w:r>
            <w:r/>
          </w:p>
        </w:tc>
        <w:tc>
          <w:tcPr>
            <w:shd w:val="clear" w:color="auto" w:fill="bdd7ee"/>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单位</w:t>
            </w:r>
            <w:r/>
          </w:p>
        </w:tc>
        <w:tc>
          <w:tcPr>
            <w:shd w:val="clear" w:color="auto" w:fill="bdd7ee"/>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widowControl/>
              <w:rPr>
                <w:rFonts w:hint="eastAsia" w:ascii="微软雅黑" w:hAnsi="微软雅黑" w:eastAsia="微软雅黑" w:cs="微软雅黑"/>
                <w:b/>
                <w:bCs/>
                <w:color w:val="000000"/>
                <w:sz w:val="22"/>
                <w:lang w:eastAsia="zh-CN"/>
              </w:rPr>
            </w:pPr>
            <w:r>
              <w:rPr>
                <w:rFonts w:hint="eastAsia" w:ascii="微软雅黑" w:hAnsi="微软雅黑" w:eastAsia="微软雅黑" w:cs="微软雅黑"/>
                <w:b/>
                <w:bCs/>
                <w:color w:val="000000"/>
                <w:sz w:val="22"/>
                <w:lang w:bidi="ar"/>
              </w:rPr>
              <w:t xml:space="preserve">备</w:t>
            </w:r>
            <w:r>
              <w:rPr>
                <w:rFonts w:hint="eastAsia" w:ascii="微软雅黑" w:hAnsi="微软雅黑" w:eastAsia="微软雅黑" w:cs="微软雅黑"/>
                <w:b/>
                <w:bCs/>
                <w:color w:val="000000"/>
                <w:sz w:val="22"/>
                <w:lang w:val="en-US" w:eastAsia="zh-CN" w:bidi="ar"/>
              </w:rPr>
              <w:t xml:space="preserve"> </w:t>
            </w:r>
            <w:r>
              <w:rPr>
                <w:rFonts w:hint="eastAsia" w:ascii="微软雅黑" w:hAnsi="微软雅黑" w:eastAsia="微软雅黑" w:cs="微软雅黑"/>
                <w:b/>
                <w:bCs/>
                <w:color w:val="000000"/>
                <w:sz w:val="22"/>
                <w:lang w:bidi="ar"/>
              </w:rPr>
              <w:t xml:space="preserve">注</w:t>
            </w:r>
            <w:r>
              <w:rPr>
                <w:rFonts w:hint="eastAsia" w:ascii="微软雅黑" w:hAnsi="微软雅黑" w:eastAsia="微软雅黑" w:cs="微软雅黑"/>
                <w:b/>
                <w:bCs/>
                <w:color w:val="000000"/>
                <w:sz w:val="22"/>
                <w:lang w:val="en-US" w:eastAsia="zh-CN" w:bidi="ar"/>
              </w:rPr>
              <w:t xml:space="preserve">      </w:t>
            </w:r>
            <w:r>
              <w:rPr>
                <w:rFonts w:hint="eastAsia" w:ascii="微软雅黑" w:hAnsi="微软雅黑" w:eastAsia="微软雅黑" w:cs="微软雅黑"/>
                <w:b/>
                <w:bCs/>
                <w:color w:val="000000"/>
                <w:sz w:val="22"/>
                <w:lang w:eastAsia="zh-CN" w:bidi="ar"/>
              </w:rPr>
              <w:t xml:space="preserve">（</w:t>
            </w:r>
            <w:r>
              <w:rPr>
                <w:rFonts w:hint="eastAsia" w:ascii="微软雅黑" w:hAnsi="微软雅黑" w:eastAsia="微软雅黑" w:cs="微软雅黑"/>
                <w:b/>
                <w:bCs/>
                <w:color w:val="000000"/>
                <w:sz w:val="22"/>
                <w:lang w:val="en-US" w:eastAsia="zh-CN" w:bidi="ar"/>
              </w:rPr>
              <w:t xml:space="preserve">结构组成</w:t>
            </w:r>
            <w:r>
              <w:rPr>
                <w:rFonts w:hint="eastAsia" w:ascii="微软雅黑" w:hAnsi="微软雅黑" w:eastAsia="微软雅黑" w:cs="微软雅黑"/>
                <w:b/>
                <w:bCs/>
                <w:color w:val="000000"/>
                <w:sz w:val="22"/>
                <w:lang w:eastAsia="zh-CN" w:bidi="ar"/>
              </w:rPr>
              <w:t xml:space="preserve">）</w:t>
            </w:r>
            <w:r/>
          </w:p>
        </w:tc>
      </w:tr>
      <w:tr>
        <w:trPr>
          <w:trHeight w:val="213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办公桌 -1                       </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mc:AlternateContent>
                <mc:Choice Requires="wpg">
                  <w:drawing>
                    <wp:inline xmlns:wp="http://schemas.openxmlformats.org/drawingml/2006/wordprocessingDrawing" distT="0" distB="0" distL="0" distR="0">
                      <wp:extent cx="1226185" cy="824230"/>
                      <wp:effectExtent l="0" t="0" r="12065" b="13970"/>
                      <wp:docPr id="3"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200"/>
                              <pic:cNvPicPr>
                                <a:picLocks noChangeAspect="1"/>
                              </pic:cNvPicPr>
                              <pic:nvPr/>
                            </pic:nvPicPr>
                            <pic:blipFill>
                              <a:blip r:embed="rId16"/>
                              <a:stretch/>
                            </pic:blipFill>
                            <pic:spPr bwMode="auto">
                              <a:xfrm>
                                <a:off x="0" y="0"/>
                                <a:ext cx="1226185" cy="8242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6.5pt;height:64.9pt;mso-wrap-distance-left:0.0pt;mso-wrap-distance-top:0.0pt;mso-wrap-distance-right:0.0pt;mso-wrap-distance-bottom:0.0pt;" stroked="f" strokeweight="0.75pt">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1400*700*760</w:t>
            </w:r>
            <w:r/>
          </w:p>
        </w:tc>
        <w:tc>
          <w:tcPr>
            <w:tcBorders>
              <w:top w:val="singl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1、面材：采用优等品的胡桃木皮，木皮无节疤，无裂纹，无朽木，色差过渡自然，木纹清晰，色泽一致，木皮拼接必须顺纹交圈，拼接自然，胶粘牢固，平整不得透胶，无鼓泡，无龟裂，无分层，无干湿花。</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2、基材：采用优等品牌环保▲中密度纤维板，符合GB/T11718-2021、GB/T39600-2021、GB/T35607-2017、JC/T 2039-2010、GB 8624-2012标准要求的检测报告其中静曲强度合格；弹性模量合格；内胶合强度合格；表面胶合强度合格；吸水厚度膨胀率合格；甲醛释放量（气候箱法）达E0级及以上；苯、甲苯、二甲苯、总挥发性有机化合物（TVOC）均未检出；表皮葡萄球菌抗菌性能≥96%；绳状青霉防霉性能达0级；燃烧性能等级B1级合格。</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3、油漆：优质环保品牌▲油漆，符合 HJ2537-2014、GB18581-</w:t>
            </w:r>
            <w:r>
              <w:rPr>
                <w:rFonts w:hint="eastAsia" w:ascii="新宋体" w:hAnsi="新宋体" w:eastAsia="新宋体" w:cs="新宋体"/>
                <w:color w:val="000000"/>
                <w:sz w:val="18"/>
                <w:szCs w:val="18"/>
                <w:lang w:bidi="ar"/>
              </w:rPr>
              <w:t xml:space="preserve">2020、 GB/T 23999-2009、 GB/T 21866-2008、 HG/T 3950-2007标准要求的检测报告其中甲醛含量、总铅含量、可溶性重金属含量（镉含量、铬含量、汞含量）、乙二醇醚及醚酯的总和含量、苯系物总和含量、烷基酚聚氧乙烯醚总和含量均未检出；挥发性有机化合物（VOC）合格；在容器中状态、细度、不挥发物、涂膜外观、光泽、硬度（擦伤）、附着力、耐冲击性、抗粘连性、耐磨性、耐划伤性、耐污染性（醋、绿茶）、耐干热性、耐黄变性均合格；铜绿假单胞菌抗细菌性能≥93%、宛氏拟青霉抗霉性能达1级</w:t>
            </w:r>
            <w:r>
              <w:rPr>
                <w:rFonts w:hint="eastAsia" w:ascii="新宋体" w:hAnsi="新宋体" w:eastAsia="新宋体" w:cs="新宋体"/>
                <w:color w:val="000000"/>
                <w:sz w:val="18"/>
                <w:szCs w:val="18"/>
                <w:lang w:eastAsia="zh-CN" w:bidi="ar"/>
              </w:rPr>
              <w:t xml:space="preserve">；</w:t>
            </w:r>
            <w:r>
              <w:rPr>
                <w:rFonts w:hint="eastAsia" w:ascii="新宋体" w:hAnsi="新宋体" w:eastAsia="新宋体" w:cs="新宋体"/>
                <w:color w:val="000000"/>
                <w:sz w:val="18"/>
                <w:szCs w:val="18"/>
                <w:lang w:val="en-US" w:eastAsia="zh-CN" w:bidi="ar"/>
              </w:rPr>
              <w:t xml:space="preserve">水性</w:t>
            </w:r>
            <w:r>
              <w:rPr>
                <w:rFonts w:hint="eastAsia" w:ascii="新宋体" w:hAnsi="新宋体" w:eastAsia="新宋体" w:cs="新宋体"/>
                <w:color w:val="000000"/>
                <w:sz w:val="18"/>
                <w:szCs w:val="18"/>
                <w:lang w:bidi="ar"/>
              </w:rPr>
              <w:t xml:space="preserve">油漆：经“五底三面”工艺处理，做成全封闭。</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4、选用优质五金配件</w:t>
            </w:r>
            <w:r>
              <w:rPr>
                <w:rFonts w:hint="eastAsia" w:ascii="新宋体" w:hAnsi="新宋体" w:eastAsia="新宋体" w:cs="新宋体"/>
                <w:color w:val="000000"/>
                <w:sz w:val="18"/>
                <w:szCs w:val="18"/>
                <w:lang w:val="en-US" w:eastAsia="zh-CN" w:bidi="ar"/>
              </w:rPr>
              <w:t xml:space="preserve">配置阻尼三节导轨和铰链</w:t>
            </w:r>
            <w:r>
              <w:rPr>
                <w:rFonts w:hint="eastAsia" w:ascii="新宋体" w:hAnsi="新宋体" w:eastAsia="新宋体" w:cs="新宋体"/>
                <w:color w:val="000000"/>
                <w:sz w:val="18"/>
                <w:szCs w:val="18"/>
                <w:lang w:bidi="ar"/>
              </w:rPr>
              <w:t xml:space="preserve">：▲锁具符合GB/T3325-2017、QB/T1621-201</w:t>
            </w:r>
            <w:r>
              <w:rPr>
                <w:rFonts w:hint="eastAsia" w:ascii="新宋体" w:hAnsi="新宋体" w:eastAsia="新宋体" w:cs="新宋体"/>
                <w:color w:val="000000"/>
                <w:sz w:val="18"/>
                <w:szCs w:val="18"/>
                <w:lang w:bidi="ar"/>
              </w:rPr>
              <w:t xml:space="preserve">5、GB/T35607-2017标准要求的检测报告其中金属件外观（喷涂层）合格；保密度：锁舌伸出长度合格；牢固度：锁头固定连接静拉力、锁头固定连接扭矩均合格；灵活度：钥匙插拔、旋转、钥匙拔出静拉力、钥匙开启扭矩均合格；家具涂层可迁移元素8个均合格；▲导轨符合 QB/T 2454-2013、 QB/T3826-1999、 QB/T3827-1999、 QB/T3828-1999、 QB/T3832-1999标准要求的检测报告其中功能（耐久性（8万次）垂直向下静载荷、水平侧向静载荷）合格；中性盐雾18h合格；乙</w:t>
            </w:r>
            <w:r>
              <w:rPr>
                <w:rFonts w:hint="eastAsia" w:ascii="新宋体" w:hAnsi="新宋体" w:eastAsia="新宋体" w:cs="新宋体"/>
                <w:color w:val="000000"/>
                <w:sz w:val="18"/>
                <w:szCs w:val="18"/>
                <w:lang w:bidi="ar"/>
              </w:rPr>
              <w:t xml:space="preserve">酸盐雾18h合格；铜盐加速乙酸盐雾18h合格。▲铰链符合GB/T3325-2017、QB/T 2189-2013 、QB/T 3832-1999 、QB/T3826-1999、QB/T3827-1999、QB/T3832-1999标准要求的检测报告其中金属件外观性能要求（电镀层）合格；功能：耐久性（8万次）合格、垂直静载荷20kg合格、水平静载荷40N合格；中性盐雾18h达10级；乙酸盐雾18h达10级；铜盐加速乙酸盐雾18h达10级。                                    </w:t>
            </w:r>
            <w:r>
              <w:rPr>
                <w:rFonts w:hint="eastAsia" w:ascii="新宋体" w:hAnsi="新宋体" w:eastAsia="新宋体" w:cs="新宋体"/>
                <w:color w:val="000000"/>
                <w:sz w:val="18"/>
                <w:szCs w:val="18"/>
                <w:lang w:bidi="ar"/>
              </w:rPr>
              <w:t xml:space="preserve">                         5、环保要求：甲醛释放量≤0.05mg/m³，TVOC未检出。                                                                      6、▲办公桌：符合GB/T3325-2017、QB/T 1951.2-2013、GB/T39600-2021、GB/T35607-2017、QB/T 4371-2012、JC/T 2039-2010、GB 8624-2012标准其中金属件外观（喷涂层）合格，木</w:t>
            </w:r>
            <w:r>
              <w:rPr>
                <w:rFonts w:hint="eastAsia" w:ascii="新宋体" w:hAnsi="新宋体" w:eastAsia="新宋体" w:cs="新宋体"/>
                <w:color w:val="000000"/>
                <w:sz w:val="18"/>
                <w:szCs w:val="18"/>
                <w:lang w:bidi="ar"/>
              </w:rPr>
              <w:t xml:space="preserve">制件外观合格；金属喷漆（塑）涂层：硬度≥3H,冲击强度合格，耐腐蚀100h，附着力0级；木制件表面贴面层理化性能：耐冷热循环合格，耐干热5级，耐湿热5级，耐划痕合格，耐污染性能5级，表面耐磨性（素色）合格，抗冲击1级，耐光色牢度（灰色样卡）5级；人造板理化性能：吸水厚度膨胀率，表面胶合强度均合格；甲醛释放量（气候箱法）达E0级及以上；苯、甲苯、二甲苯，总挥发性有机化合物（TVOC）均未检出；产品寿命：桌面水平耐久性（6万次）合格；金黄色葡萄球菌抗菌性能≥97%；黑曲霉防霉性能达0级；燃烧性能等级B1级合格。</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台面厚度≥60mm，其余部位板材厚度≥16mm，台面预留2个线盒孔，配置木质键盘架、三抽屉柜（配三联锁）、主机单开门柜。</w:t>
            </w:r>
            <w:r/>
          </w:p>
        </w:tc>
      </w:tr>
      <w:tr>
        <w:trPr>
          <w:trHeight w:val="20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办公桌 -2                       </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rPr>
                <w:rFonts w:ascii="新宋体" w:hAnsi="新宋体" w:eastAsia="新宋体" w:cs="新宋体"/>
                <w:color w:val="000000"/>
                <w:sz w:val="20"/>
                <w:szCs w:val="20"/>
              </w:rPr>
            </w:pPr>
            <w:r>
              <mc:AlternateContent>
                <mc:Choice Requires="wpg">
                  <w:drawing>
                    <wp:inline xmlns:wp="http://schemas.openxmlformats.org/drawingml/2006/wordprocessingDrawing" distT="0" distB="0" distL="0" distR="0">
                      <wp:extent cx="1162050" cy="781050"/>
                      <wp:effectExtent l="0" t="0" r="0" b="0"/>
                      <wp:docPr id="4"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00"/>
                              <pic:cNvPicPr>
                                <a:picLocks noChangeAspect="1"/>
                              </pic:cNvPicPr>
                              <pic:nvPr/>
                            </pic:nvPicPr>
                            <pic:blipFill>
                              <a:blip r:embed="rId16"/>
                              <a:stretch/>
                            </pic:blipFill>
                            <pic:spPr bwMode="auto">
                              <a:xfrm>
                                <a:off x="0" y="0"/>
                                <a:ext cx="1162050"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1.5pt;height:61.5pt;mso-wrap-distance-left:0.0pt;mso-wrap-distance-top:0.0pt;mso-wrap-distance-right:0.0pt;mso-wrap-distance-bottom:0.0pt;" stroked="f" strokeweight="0.75pt">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1600*800*760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23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办公桌 -3                       </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228600</wp:posOffset>
                      </wp:positionH>
                      <wp:positionV relativeFrom="paragraph">
                        <wp:posOffset>203200</wp:posOffset>
                      </wp:positionV>
                      <wp:extent cx="1133475" cy="802640"/>
                      <wp:effectExtent l="0" t="0" r="9525" b="16510"/>
                      <wp:wrapNone/>
                      <wp:docPr id="5" name="图片_137"/>
                      <wp:cNvGraphicFramePr/>
                      <a:graphic xmlns:a="http://schemas.openxmlformats.org/drawingml/2006/main">
                        <a:graphicData uri="http://schemas.openxmlformats.org/drawingml/2006/picture">
                          <pic:pic xmlns:pic="http://schemas.openxmlformats.org/drawingml/2006/picture">
                            <pic:nvPicPr>
                              <pic:cNvPr id="40" name="图片_137"/>
                              <pic:cNvPicPr>
                                <a:picLocks noChangeArrowheads="1"/>
                              </pic:cNvPicPr>
                              <pic:nvPr/>
                            </pic:nvPicPr>
                            <pic:blipFill>
                              <a:blip r:embed="rId17"/>
                              <a:stretch/>
                            </pic:blipFill>
                            <pic:spPr bwMode="auto">
                              <a:xfrm>
                                <a:off x="0" y="0"/>
                                <a:ext cx="1133475" cy="802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8.0pt;mso-position-horizontal:absolute;mso-position-vertical-relative:text;margin-top:16.0pt;mso-position-vertical:absolute;width:89.2pt;height:63.2pt;mso-wrap-distance-left:9.0pt;mso-wrap-distance-top:0.0pt;mso-wrap-distance-right:9.0pt;mso-wrap-distance-bottom:0.0pt;" stroked="f">
                      <v:path textboxrect="0,0,0,0"/>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1200*600*760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tabs>
                <w:tab w:val="left" w:pos="597" w:leader="none"/>
              </w:tabs>
              <w:rPr>
                <w:rFonts w:hint="eastAsia" w:ascii="新宋体" w:hAnsi="新宋体" w:eastAsia="新宋体" w:cs="新宋体"/>
                <w:color w:val="000000"/>
                <w:sz w:val="20"/>
                <w:szCs w:val="20"/>
                <w:lang w:eastAsia="zh-CN"/>
              </w:rPr>
            </w:pPr>
            <w:r>
              <w:rPr>
                <w:rFonts w:hint="eastAsia" w:ascii="新宋体" w:hAnsi="新宋体" w:eastAsia="新宋体" w:cs="新宋体"/>
                <w:color w:val="000000"/>
                <w:sz w:val="20"/>
                <w:szCs w:val="20"/>
                <w:lang w:val="en-US" w:eastAsia="zh-CN"/>
              </w:rPr>
              <w:t xml:space="preserve">台面厚度≥40mm，其余部位板材厚度≥16mm，台面预留1个线盒孔，配置木质键盘架、三抽屉柜（配三联锁）。</w:t>
            </w:r>
            <w:r/>
          </w:p>
        </w:tc>
      </w:tr>
      <w:tr>
        <w:trPr>
          <w:trHeight w:val="36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办公桌 -4                       </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mc:AlternateContent>
                <mc:Choice Requires="wpg">
                  <w:drawing>
                    <wp:inline xmlns:wp="http://schemas.openxmlformats.org/drawingml/2006/wordprocessingDrawing" distT="0" distB="0" distL="0" distR="0">
                      <wp:extent cx="1487805" cy="657860"/>
                      <wp:effectExtent l="0" t="0" r="17145" b="8890"/>
                      <wp:docPr id="6" name="图片 146" descr="F5E201-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6" descr="F5E201-正"/>
                              <pic:cNvPicPr>
                                <a:picLocks noChangeAspect="1"/>
                              </pic:cNvPicPr>
                              <pic:nvPr/>
                            </pic:nvPicPr>
                            <pic:blipFill>
                              <a:blip r:embed="rId18"/>
                              <a:stretch/>
                            </pic:blipFill>
                            <pic:spPr bwMode="auto">
                              <a:xfrm>
                                <a:off x="0" y="0"/>
                                <a:ext cx="1487805" cy="657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7.1pt;height:51.8pt;mso-wrap-distance-left:0.0pt;mso-wrap-distance-top:0.0pt;mso-wrap-distance-right:0.0pt;mso-wrap-distance-bottom:0.0pt;" stroked="false">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新宋体" w:hAnsi="新宋体" w:eastAsia="新宋体" w:cs="新宋体"/>
                <w:color w:val="000000"/>
                <w:sz w:val="20"/>
                <w:szCs w:val="20"/>
                <w:lang w:eastAsia="zh-CN" w:bidi="ar"/>
              </w:rPr>
            </w:pPr>
            <w:r>
              <w:rPr>
                <w:rFonts w:hint="eastAsia" w:ascii="新宋体" w:hAnsi="新宋体" w:eastAsia="新宋体" w:cs="新宋体"/>
                <w:color w:val="000000"/>
                <w:sz w:val="20"/>
                <w:szCs w:val="20"/>
                <w:lang w:val="en-US" w:eastAsia="zh-CN" w:bidi="ar"/>
              </w:rPr>
              <w:t xml:space="preserve">主台：</w:t>
            </w:r>
            <w:r>
              <w:rPr>
                <w:rFonts w:hint="eastAsia" w:ascii="新宋体" w:hAnsi="新宋体" w:eastAsia="新宋体" w:cs="新宋体"/>
                <w:color w:val="000000"/>
                <w:sz w:val="20"/>
                <w:szCs w:val="20"/>
                <w:lang w:bidi="ar"/>
              </w:rPr>
              <w:t xml:space="preserve">1600*800*760</w:t>
            </w:r>
            <w:r>
              <w:rPr>
                <w:rFonts w:hint="eastAsia" w:ascii="新宋体" w:hAnsi="新宋体" w:eastAsia="新宋体" w:cs="新宋体"/>
                <w:color w:val="000000"/>
                <w:sz w:val="20"/>
                <w:szCs w:val="20"/>
                <w:lang w:eastAsia="zh-CN" w:bidi="ar"/>
              </w:rPr>
              <w:t xml:space="preserve">；</w:t>
            </w:r>
            <w:r>
              <w:rPr>
                <w:rFonts w:hint="eastAsia" w:ascii="新宋体" w:hAnsi="新宋体" w:eastAsia="新宋体" w:cs="新宋体"/>
                <w:color w:val="000000"/>
                <w:sz w:val="20"/>
                <w:szCs w:val="20"/>
                <w:lang w:bidi="ar"/>
              </w:rPr>
              <w:t xml:space="preserve">                        副柜：1182*400*655</w:t>
            </w:r>
            <w:r>
              <w:rPr>
                <w:rFonts w:hint="eastAsia" w:ascii="新宋体" w:hAnsi="新宋体" w:eastAsia="新宋体" w:cs="新宋体"/>
                <w:color w:val="000000"/>
                <w:sz w:val="20"/>
                <w:szCs w:val="20"/>
                <w:lang w:eastAsia="zh-CN" w:bidi="ar"/>
              </w:rPr>
              <w:t xml:space="preserve">；</w:t>
            </w:r>
            <w:r/>
          </w:p>
          <w:p>
            <w:pPr>
              <w:jc w:val="center"/>
              <w:widowControl/>
              <w:rPr>
                <w:rFonts w:hint="eastAsia" w:ascii="新宋体" w:hAnsi="新宋体" w:eastAsia="新宋体" w:cs="新宋体"/>
                <w:color w:val="000000"/>
                <w:sz w:val="20"/>
                <w:szCs w:val="20"/>
                <w:lang w:eastAsia="zh-CN"/>
              </w:rPr>
            </w:pPr>
            <w:r>
              <w:rPr>
                <w:rFonts w:hint="eastAsia" w:ascii="新宋体" w:hAnsi="新宋体" w:eastAsia="新宋体" w:cs="新宋体"/>
                <w:color w:val="000000"/>
                <w:sz w:val="20"/>
                <w:szCs w:val="20"/>
                <w:lang w:bidi="ar"/>
              </w:rPr>
              <w:t xml:space="preserve">活动柜：402*482*655</w:t>
            </w:r>
            <w:r>
              <w:rPr>
                <w:rFonts w:hint="eastAsia" w:ascii="新宋体" w:hAnsi="新宋体" w:eastAsia="新宋体" w:cs="新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新宋体" w:hAnsi="新宋体" w:eastAsia="新宋体" w:cs="新宋体"/>
                <w:color w:val="000000"/>
                <w:sz w:val="20"/>
                <w:szCs w:val="20"/>
              </w:rPr>
            </w:pPr>
            <w:r>
              <w:rPr>
                <w:rFonts w:hint="eastAsia" w:ascii="新宋体" w:hAnsi="新宋体" w:eastAsia="新宋体" w:cs="新宋体"/>
                <w:color w:val="000000"/>
                <w:sz w:val="20"/>
                <w:szCs w:val="20"/>
                <w:lang w:val="en-US" w:eastAsia="zh-CN"/>
              </w:rPr>
              <w:t xml:space="preserve">办公桌由主台、副台、三抽屉活动柜组成；主台面厚度≥60mm，其余部位板材厚度≥16mm，台面预留2个线盒孔配置笔抽、无皮革写字板；副台配置木质键盘架、电脑主机箱空格、单开门柜，三抽屉活动柜配置三联锁。</w:t>
            </w:r>
            <w:r/>
          </w:p>
        </w:tc>
      </w:tr>
      <w:tr>
        <w:trPr>
          <w:trHeight w:val="21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定制            固定矮柜</w:t>
            </w:r>
            <w:r>
              <w:rPr>
                <w:rFonts w:hint="eastAsia" w:ascii="新宋体" w:hAnsi="新宋体" w:eastAsia="新宋体" w:cs="新宋体"/>
                <w:color w:val="000000"/>
                <w:sz w:val="20"/>
                <w:szCs w:val="20"/>
                <w:lang w:eastAsia="zh-CN" w:bidi="ar"/>
              </w:rPr>
              <w:t xml:space="preserve">（</w:t>
            </w:r>
            <w:r>
              <w:rPr>
                <w:rFonts w:hint="eastAsia" w:ascii="新宋体" w:hAnsi="新宋体" w:eastAsia="新宋体" w:cs="新宋体"/>
                <w:color w:val="000000"/>
                <w:sz w:val="20"/>
                <w:szCs w:val="20"/>
                <w:lang w:val="en-US" w:eastAsia="zh-CN" w:bidi="ar"/>
              </w:rPr>
              <w:t xml:space="preserve">7门</w:t>
            </w:r>
            <w:r>
              <w:rPr>
                <w:rFonts w:hint="eastAsia" w:ascii="新宋体" w:hAnsi="新宋体" w:eastAsia="新宋体" w:cs="新宋体"/>
                <w:color w:val="000000"/>
                <w:sz w:val="20"/>
                <w:szCs w:val="20"/>
                <w:lang w:eastAsia="zh-CN" w:bidi="ar"/>
              </w:rPr>
              <w:t xml:space="preserve">）</w:t>
            </w:r>
            <w:r/>
          </w:p>
        </w:tc>
        <w:tc>
          <w:tcPr>
            <w:tcBorders>
              <w:top w:val="none" w:color="000000" w:sz="4" w:space="0"/>
              <w:left w:val="single" w:color="000000" w:sz="4" w:space="0"/>
              <w:bottom w:val="single" w:color="000000" w:sz="4" w:space="0"/>
              <w:right w:val="single" w:color="000000" w:sz="4" w:space="0"/>
            </w:tcBorders>
            <w:tcW w:w="2705" w:type="dxa"/>
            <w:vAlign w:val="center"/>
            <w:vMerge w:val="restart"/>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19050</wp:posOffset>
                      </wp:positionH>
                      <wp:positionV relativeFrom="paragraph">
                        <wp:posOffset>1174750</wp:posOffset>
                      </wp:positionV>
                      <wp:extent cx="1497330" cy="401320"/>
                      <wp:effectExtent l="0" t="0" r="7620" b="17780"/>
                      <wp:wrapNone/>
                      <wp:docPr id="7" name="图片_58"/>
                      <wp:cNvGraphicFramePr/>
                      <a:graphic xmlns:a="http://schemas.openxmlformats.org/drawingml/2006/main">
                        <a:graphicData uri="http://schemas.openxmlformats.org/drawingml/2006/picture">
                          <pic:pic xmlns:pic="http://schemas.openxmlformats.org/drawingml/2006/picture">
                            <pic:nvPicPr>
                              <pic:cNvPr id="42" name="图片_58"/>
                              <pic:cNvPicPr>
                                <a:picLocks noChangeArrowheads="1"/>
                              </pic:cNvPicPr>
                              <pic:nvPr/>
                            </pic:nvPicPr>
                            <pic:blipFill>
                              <a:blip r:embed="rId19"/>
                              <a:stretch/>
                            </pic:blipFill>
                            <pic:spPr bwMode="auto">
                              <a:xfrm>
                                <a:off x="0" y="0"/>
                                <a:ext cx="1497330" cy="401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1.5pt;mso-position-horizontal:absolute;mso-position-vertical-relative:text;margin-top:92.5pt;mso-position-vertical:absolute;width:117.9pt;height:31.6pt;mso-wrap-distance-left:9.0pt;mso-wrap-distance-top:0.0pt;mso-wrap-distance-right:9.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3000*600*800</w:t>
            </w:r>
            <w:r/>
          </w:p>
        </w:tc>
        <w:tc>
          <w:tcPr>
            <w:tcBorders>
              <w:top w:val="non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1、基材：优质品牌▲刨花板，</w:t>
            </w:r>
            <w:r>
              <w:rPr>
                <w:rFonts w:hint="eastAsia" w:ascii="新宋体" w:hAnsi="新宋体" w:eastAsia="新宋体" w:cs="新宋体"/>
                <w:color w:val="000000"/>
                <w:sz w:val="18"/>
                <w:szCs w:val="18"/>
                <w:lang w:val="en-US" w:eastAsia="zh-CN" w:bidi="ar"/>
              </w:rPr>
              <w:t xml:space="preserve">板材厚度</w:t>
            </w:r>
            <w:r>
              <w:rPr>
                <w:rFonts w:hint="eastAsia" w:ascii="新宋体" w:hAnsi="新宋体" w:eastAsia="新宋体" w:cs="新宋体"/>
                <w:color w:val="000000"/>
                <w:sz w:val="20"/>
                <w:szCs w:val="20"/>
                <w:lang w:val="en-US" w:eastAsia="zh-CN" w:bidi="ar"/>
              </w:rPr>
              <w:t xml:space="preserve">≥18mm,</w:t>
            </w:r>
            <w:r>
              <w:rPr>
                <w:rFonts w:hint="eastAsia" w:ascii="新宋体" w:hAnsi="新宋体" w:eastAsia="新宋体" w:cs="新宋体"/>
                <w:color w:val="000000"/>
                <w:sz w:val="18"/>
                <w:szCs w:val="18"/>
                <w:lang w:bidi="ar"/>
              </w:rPr>
              <w:t xml:space="preserve">符合GB/T4897-2015 、GB/T39600-2021、GB/T35607-2017、JC/T 2039-2010、GB 8624-2012标准要求的检测报告其中含水率均合格；静曲强度合格；弹性模量合格；内胶合强度合格；表面胶合强度合格；2h吸水厚度膨胀率合格；甲醛释放量（气候箱法）达E0级及以上；苯、甲苯、二甲苯、总挥发性有机化合物（TVOC）均未检出；大肠埃希氏菌抗菌性能≥96%；赭绿青霉防霉性能达0级；燃烧性能等级B1级合格。</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2、贴面：优质耐磨三聚氢胺浸渍饰面。                                                       </w:t>
            </w:r>
            <w:r>
              <w:rPr>
                <w:rFonts w:hint="eastAsia" w:ascii="新宋体" w:hAnsi="新宋体" w:eastAsia="新宋体" w:cs="新宋体"/>
                <w:color w:val="000000"/>
                <w:sz w:val="18"/>
                <w:szCs w:val="18"/>
                <w:lang w:bidi="ar"/>
              </w:rPr>
              <w:t xml:space="preserve">                          3、封边：桌面采用同色▲PVC封边条，符合QB/T4463-2013、GB28481-2012、GB/T35607-2017、GB/T 31402-2015、GB/T 24128-2018、GB 20286-2006标准要求的检测报告其中耐干热性合格，耐磨性合格，甲醛释放量合格；氯乙烯单体合格；可迁移元素（可溶性重金属）8个合格；邻苯二甲酸酯的总量合格，多溴联苯合格，多溴联苯醚合格；重金属4个合格；金黄色葡萄球菌合格；大毛霉合格；（塑料/橡胶）：阻燃1级。</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4、选用优质五金配件</w:t>
            </w:r>
            <w:r>
              <w:rPr>
                <w:rFonts w:hint="eastAsia" w:ascii="新宋体" w:hAnsi="新宋体" w:eastAsia="新宋体" w:cs="新宋体"/>
                <w:color w:val="000000"/>
                <w:sz w:val="18"/>
                <w:szCs w:val="18"/>
                <w:lang w:val="en-US" w:eastAsia="zh-CN" w:bidi="ar"/>
              </w:rPr>
              <w:t xml:space="preserve">配置阻尼三节导轨和铰链</w:t>
            </w:r>
            <w:r>
              <w:rPr>
                <w:rFonts w:hint="eastAsia" w:ascii="新宋体" w:hAnsi="新宋体" w:eastAsia="新宋体" w:cs="新宋体"/>
                <w:color w:val="000000"/>
                <w:sz w:val="18"/>
                <w:szCs w:val="18"/>
                <w:lang w:bidi="ar"/>
              </w:rPr>
              <w:t xml:space="preserve">：锁具符合GB/T3325-2017、QB/T1621-2015、GB/T35607-2017标准要求的检测报告其中金属件外观（喷涂层）合格；保密度：锁舌伸出长度合格；牢固度：锁头固定连接静拉力、锁头固定连接扭矩均合格；灵活度：钥匙插拔、旋转、钥匙拔出静拉力、钥匙开启扭矩均合格；家具涂层可迁移元素8个均合格；导轨符合 QB/T 2454-2013、 QB/T3826-1999、 QB/T3827-1999、 QB/T3828-1999、 QB/T3832-1999标准要求的检测报告其中功能（耐久性</w:t>
            </w:r>
            <w:r>
              <w:rPr>
                <w:rFonts w:hint="eastAsia" w:ascii="新宋体" w:hAnsi="新宋体" w:eastAsia="新宋体" w:cs="新宋体"/>
                <w:color w:val="000000"/>
                <w:sz w:val="18"/>
                <w:szCs w:val="18"/>
                <w:lang w:bidi="ar"/>
              </w:rPr>
              <w:t xml:space="preserve">（8万次）垂直向下静载荷、水平侧向静载荷）合格；中性盐雾18h合格；乙酸盐雾18h合格；铜盐加速乙酸盐雾18h合格。铰链符合GB/T3325-2017、QB/T 2189-2013 、QB/T 3832-1999 、QB/T3826-1999、QB/T3827-1999、QB/T3832-1999标准要求的检测报告其中金属件外观性能要求（电镀层）合格；功能：耐久性（8万次）合格、垂直静载荷20kg合格、水平静载荷40N合格；中性盐雾18h达10级；乙酸盐雾18h达10级；铜盐加速乙酸盐雾18h达10级。  </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5、环保要求：甲醛释放量≤0.05mg/m³，TVOC未检出。</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矮柜采用石英石台面</w:t>
            </w:r>
            <w:r>
              <w:rPr>
                <w:rFonts w:hint="eastAsia" w:ascii="新宋体" w:hAnsi="新宋体" w:eastAsia="新宋体" w:cs="新宋体"/>
                <w:color w:val="000000"/>
                <w:sz w:val="20"/>
                <w:szCs w:val="20"/>
                <w:lang w:eastAsia="zh-CN" w:bidi="ar"/>
              </w:rPr>
              <w:t xml:space="preserve">，</w:t>
            </w:r>
            <w:r>
              <w:rPr>
                <w:rFonts w:hint="eastAsia" w:ascii="新宋体" w:hAnsi="新宋体" w:eastAsia="新宋体" w:cs="新宋体"/>
                <w:color w:val="000000"/>
                <w:sz w:val="20"/>
                <w:szCs w:val="20"/>
                <w:lang w:val="en-US" w:eastAsia="zh-CN" w:bidi="ar"/>
              </w:rPr>
              <w:t xml:space="preserve">厚度≥12mm；其余板材厚度≥16mm，表面需打磨、抛光平整，柜门全部配锁和拉手，柜体内部至少配置两块木质隔板</w:t>
            </w:r>
            <w:r>
              <w:rPr>
                <w:rFonts w:hint="eastAsia" w:ascii="新宋体" w:hAnsi="新宋体" w:eastAsia="新宋体" w:cs="新宋体"/>
                <w:color w:val="000000"/>
                <w:sz w:val="20"/>
                <w:szCs w:val="20"/>
                <w:lang w:bidi="ar"/>
              </w:rPr>
              <w:t xml:space="preserve">。</w:t>
            </w:r>
            <w:r/>
          </w:p>
        </w:tc>
      </w:tr>
      <w:tr>
        <w:trPr>
          <w:trHeight w:val="21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新宋体" w:hAnsi="新宋体" w:eastAsia="新宋体" w:cs="新宋体"/>
                <w:color w:val="000000"/>
                <w:sz w:val="20"/>
                <w:szCs w:val="20"/>
                <w:lang w:eastAsia="zh-CN"/>
              </w:rPr>
            </w:pPr>
            <w:r>
              <w:rPr>
                <w:rFonts w:hint="eastAsia" w:ascii="新宋体" w:hAnsi="新宋体" w:eastAsia="新宋体" w:cs="新宋体"/>
                <w:color w:val="000000"/>
                <w:sz w:val="20"/>
                <w:szCs w:val="20"/>
                <w:lang w:bidi="ar"/>
              </w:rPr>
              <w:t xml:space="preserve">定制            固定矮柜</w:t>
            </w:r>
            <w:r>
              <w:rPr>
                <w:rFonts w:hint="eastAsia" w:ascii="新宋体" w:hAnsi="新宋体" w:eastAsia="新宋体" w:cs="新宋体"/>
                <w:color w:val="000000"/>
                <w:sz w:val="20"/>
                <w:szCs w:val="20"/>
                <w:lang w:eastAsia="zh-CN" w:bidi="ar"/>
              </w:rPr>
              <w:t xml:space="preserve">（</w:t>
            </w:r>
            <w:r>
              <w:rPr>
                <w:rFonts w:hint="eastAsia" w:ascii="新宋体" w:hAnsi="新宋体" w:eastAsia="新宋体" w:cs="新宋体"/>
                <w:color w:val="000000"/>
                <w:sz w:val="20"/>
                <w:szCs w:val="20"/>
                <w:lang w:val="en-US" w:eastAsia="zh-CN" w:bidi="ar"/>
              </w:rPr>
              <w:t xml:space="preserve">4门</w:t>
            </w:r>
            <w:r>
              <w:rPr>
                <w:rFonts w:hint="eastAsia" w:ascii="新宋体" w:hAnsi="新宋体" w:eastAsia="新宋体" w:cs="新宋体"/>
                <w:color w:val="000000"/>
                <w:sz w:val="20"/>
                <w:szCs w:val="20"/>
                <w:lang w:eastAsia="zh-CN" w:bidi="ar"/>
              </w:rPr>
              <w:t xml:space="preserve">）</w:t>
            </w:r>
            <w:r/>
          </w:p>
        </w:tc>
        <w:tc>
          <w:tcPr>
            <w:tcBorders>
              <w:top w:val="none" w:color="000000" w:sz="4" w:space="0"/>
              <w:left w:val="single" w:color="000000" w:sz="4" w:space="0"/>
              <w:bottom w:val="single" w:color="000000" w:sz="4" w:space="0"/>
              <w:right w:val="single" w:color="000000" w:sz="4" w:space="0"/>
            </w:tcBorders>
            <w:tcW w:w="2705" w:type="dxa"/>
            <w:vAlign w:val="center"/>
            <w:vMerge w:val="continue"/>
            <w:textDirection w:val="lrTb"/>
            <w:noWrap/>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1860*600*800</w:t>
            </w:r>
            <w:r/>
          </w:p>
        </w:tc>
        <w:tc>
          <w:tcPr>
            <w:tcBorders>
              <w:top w:val="non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26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定制值班桌</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66675</wp:posOffset>
                      </wp:positionH>
                      <wp:positionV relativeFrom="paragraph">
                        <wp:posOffset>271780</wp:posOffset>
                      </wp:positionV>
                      <wp:extent cx="1497965" cy="958850"/>
                      <wp:effectExtent l="0" t="0" r="0" b="0"/>
                      <wp:wrapNone/>
                      <wp:docPr id="8" name="图片_18"/>
                      <wp:cNvGraphicFramePr/>
                      <a:graphic xmlns:a="http://schemas.openxmlformats.org/drawingml/2006/main">
                        <a:graphicData uri="http://schemas.openxmlformats.org/drawingml/2006/picture">
                          <pic:pic xmlns:pic="http://schemas.openxmlformats.org/drawingml/2006/picture">
                            <pic:nvPicPr>
                              <pic:cNvPr id="43" name="图片_18"/>
                              <pic:cNvPicPr>
                                <a:picLocks noChangeArrowheads="1"/>
                              </pic:cNvPicPr>
                              <pic:nvPr/>
                            </pic:nvPicPr>
                            <pic:blipFill>
                              <a:blip r:embed="rId20"/>
                              <a:stretch/>
                            </pic:blipFill>
                            <pic:spPr bwMode="auto">
                              <a:xfrm>
                                <a:off x="0" y="0"/>
                                <a:ext cx="1497965" cy="958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5.2pt;mso-position-horizontal:absolute;mso-position-vertical-relative:text;margin-top:21.4pt;mso-position-vertical:absolute;width:117.9pt;height:75.5pt;mso-wrap-distance-left:9.0pt;mso-wrap-distance-top:0.0pt;mso-wrap-distance-right:9.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2700*600*760</w:t>
            </w:r>
            <w:r/>
          </w:p>
        </w:tc>
        <w:tc>
          <w:tcPr>
            <w:tcBorders>
              <w:top w:val="non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定制桌由2个三抽柜和2个单开门柜组成，三抽柜配置三联锁，台面厚度</w:t>
            </w:r>
            <w:r>
              <w:rPr>
                <w:rFonts w:hint="eastAsia" w:ascii="新宋体" w:hAnsi="新宋体" w:eastAsia="新宋体" w:cs="新宋体"/>
                <w:color w:val="000000"/>
                <w:sz w:val="20"/>
                <w:szCs w:val="20"/>
                <w:lang w:val="en-US" w:eastAsia="zh-CN" w:bidi="ar"/>
              </w:rPr>
              <w:t xml:space="preserve">≥25mm，其余板材厚度≥16mm。</w:t>
            </w:r>
            <w:r/>
          </w:p>
        </w:tc>
      </w:tr>
      <w:tr>
        <w:trPr>
          <w:trHeight w:val="27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定制隔断双面书柜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342900</wp:posOffset>
                      </wp:positionH>
                      <wp:positionV relativeFrom="paragraph">
                        <wp:posOffset>102870</wp:posOffset>
                      </wp:positionV>
                      <wp:extent cx="1006475" cy="1412240"/>
                      <wp:effectExtent l="0" t="0" r="0" b="0"/>
                      <wp:wrapNone/>
                      <wp:docPr id="9" name="图片_2"/>
                      <wp:cNvGraphicFramePr/>
                      <a:graphic xmlns:a="http://schemas.openxmlformats.org/drawingml/2006/main">
                        <a:graphicData uri="http://schemas.openxmlformats.org/drawingml/2006/picture">
                          <pic:pic xmlns:pic="http://schemas.openxmlformats.org/drawingml/2006/picture">
                            <pic:nvPicPr>
                              <pic:cNvPr id="44" name="图片_2"/>
                              <pic:cNvPicPr>
                                <a:picLocks noChangeArrowheads="1"/>
                              </pic:cNvPicPr>
                              <pic:nvPr/>
                            </pic:nvPicPr>
                            <pic:blipFill>
                              <a:blip r:embed="rId21"/>
                              <a:stretch/>
                            </pic:blipFill>
                            <pic:spPr bwMode="auto">
                              <a:xfrm>
                                <a:off x="0" y="0"/>
                                <a:ext cx="1006474" cy="1412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text;margin-left:27.0pt;mso-position-horizontal:absolute;mso-position-vertical-relative:text;margin-top:8.1pt;mso-position-vertical:absolute;width:79.2pt;height:111.2pt;mso-wrap-distance-left:9.0pt;mso-wrap-distance-top:0.0pt;mso-wrap-distance-right:9.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5600*640*2780</w:t>
            </w:r>
            <w:r/>
          </w:p>
        </w:tc>
        <w:tc>
          <w:tcPr>
            <w:tcBorders>
              <w:top w:val="non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书柜上、下部为木质对开门，中部为铝合金框架玻璃门，柜体内置不少于4块木质隔板；下柜门配置锁和拉手；柜体板材厚度</w:t>
            </w:r>
            <w:r>
              <w:rPr>
                <w:rFonts w:hint="eastAsia" w:ascii="新宋体" w:hAnsi="新宋体" w:eastAsia="新宋体" w:cs="新宋体"/>
                <w:color w:val="000000"/>
                <w:sz w:val="20"/>
                <w:szCs w:val="20"/>
                <w:lang w:val="en-US" w:eastAsia="zh-CN" w:bidi="ar"/>
              </w:rPr>
              <w:t xml:space="preserve">≥16mm</w:t>
            </w:r>
            <w:r>
              <w:rPr>
                <w:rFonts w:hint="eastAsia" w:ascii="新宋体" w:hAnsi="新宋体" w:eastAsia="新宋体" w:cs="新宋体"/>
                <w:color w:val="000000"/>
                <w:sz w:val="20"/>
                <w:szCs w:val="20"/>
                <w:lang w:val="en-US" w:eastAsia="zh-CN"/>
              </w:rPr>
              <w:t xml:space="preserve">。</w:t>
            </w:r>
            <w:r/>
          </w:p>
        </w:tc>
      </w:tr>
      <w:tr>
        <w:trPr>
          <w:trHeight w:val="211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二门文件柜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487045</wp:posOffset>
                      </wp:positionH>
                      <wp:positionV relativeFrom="paragraph">
                        <wp:posOffset>76835</wp:posOffset>
                      </wp:positionV>
                      <wp:extent cx="544830" cy="966470"/>
                      <wp:effectExtent l="0" t="0" r="7620" b="5080"/>
                      <wp:wrapNone/>
                      <wp:docPr id="10" name="图片_9"/>
                      <wp:cNvGraphicFramePr/>
                      <a:graphic xmlns:a="http://schemas.openxmlformats.org/drawingml/2006/main">
                        <a:graphicData uri="http://schemas.openxmlformats.org/drawingml/2006/picture">
                          <pic:pic xmlns:pic="http://schemas.openxmlformats.org/drawingml/2006/picture">
                            <pic:nvPicPr>
                              <pic:cNvPr id="45" name="图片_9"/>
                              <pic:cNvPicPr>
                                <a:picLocks noChangeArrowheads="1"/>
                              </pic:cNvPicPr>
                              <pic:nvPr/>
                            </pic:nvPicPr>
                            <pic:blipFill>
                              <a:blip r:embed="rId22"/>
                              <a:srcRect l="-8333" t="4228" r="0" b="0"/>
                              <a:stretch/>
                            </pic:blipFill>
                            <pic:spPr bwMode="auto">
                              <a:xfrm>
                                <a:off x="0" y="0"/>
                                <a:ext cx="544830" cy="966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3360;o:allowoverlap:true;o:allowincell:true;mso-position-horizontal-relative:text;margin-left:38.4pt;mso-position-horizontal:absolute;mso-position-vertical-relative:text;margin-top:6.0pt;mso-position-vertical:absolute;width:42.9pt;height:76.1pt;mso-wrap-distance-left:9.0pt;mso-wrap-distance-top:0.0pt;mso-wrap-distance-right:9.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800*400*2000</w:t>
            </w:r>
            <w:r/>
          </w:p>
        </w:tc>
        <w:tc>
          <w:tcPr>
            <w:tcBorders>
              <w:top w:val="none" w:color="000000" w:sz="4" w:space="0"/>
              <w:left w:val="single" w:color="000000" w:sz="4" w:space="0"/>
              <w:bottom w:val="none" w:color="000000" w:sz="4" w:space="0"/>
              <w:right w:val="single" w:color="000000" w:sz="4" w:space="0"/>
            </w:tcBorders>
            <w:tcW w:w="5625" w:type="dxa"/>
            <w:vAlign w:val="center"/>
            <w:vMerge w:val="restart"/>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1、面材：采用优等品的胡桃木皮，木皮无节疤，无裂纹，无朽木，色差过渡自然，木纹清晰，色泽一致，木皮拼接必须顺纹交圈，拼接自然，胶粘牢固，平整不得透胶，无鼓泡，无龟裂，无分层，无干湿花。</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2、基材：采用优等品牌环保中密度纤维板，符合GB/T11718-2021、GB/T39600-2021、GB/T35607-2017、JC/T 2039-2010、GB 8624-2012标准要求的检测报告其中静曲强度合格；弹性模量合格；内胶合强度合格；表面胶合强度合格；吸水厚度膨胀率合格；甲醛释放量（气候箱法）达E0级及以上；苯、甲苯、二甲苯、总挥发性有机化合物（TVOC）均未检出；表皮葡萄球菌抗菌性能≥96%；绳状青霉防霉性能达0级；燃烧性能等级B1级合格。</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3、油漆：优质环保品牌油漆，符合 HJ2537-2014、GB18581-</w:t>
            </w:r>
            <w:r>
              <w:rPr>
                <w:rFonts w:hint="eastAsia" w:ascii="新宋体" w:hAnsi="新宋体" w:eastAsia="新宋体" w:cs="新宋体"/>
                <w:color w:val="000000"/>
                <w:sz w:val="18"/>
                <w:szCs w:val="18"/>
                <w:lang w:bidi="ar"/>
              </w:rPr>
              <w:t xml:space="preserve">2020、 GB/T 23999-2009、 GB/T 21866-2008、 HG/T 3950-2007标准要求的检测报告其中甲醛含量、总铅含量、可溶性重金属含量（镉含量、铬含量、汞含量）、乙二醇醚及醚酯的总和含量、苯系物总和含量、烷基酚聚氧乙烯醚总和含量均未检出；挥发性有机化合物（VOC）合格；在容器中状态、细度、不挥发物、涂膜外观、光泽、硬度（擦伤）、附着力、耐冲击性、抗粘连性、耐磨性、耐划伤性、耐污染性（醋、绿茶）、耐干热性、耐黄变性均合格；铜绿假单胞菌抗细菌性能≥93%、宛氏拟青霉抗霉性能达1级</w:t>
            </w:r>
            <w:r>
              <w:rPr>
                <w:rFonts w:hint="eastAsia" w:ascii="新宋体" w:hAnsi="新宋体" w:eastAsia="新宋体" w:cs="新宋体"/>
                <w:color w:val="000000"/>
                <w:sz w:val="18"/>
                <w:szCs w:val="18"/>
                <w:lang w:eastAsia="zh-CN" w:bidi="ar"/>
              </w:rPr>
              <w:t xml:space="preserve">；</w:t>
            </w:r>
            <w:r>
              <w:rPr>
                <w:rFonts w:hint="eastAsia" w:ascii="新宋体" w:hAnsi="新宋体" w:eastAsia="新宋体" w:cs="新宋体"/>
                <w:color w:val="000000"/>
                <w:sz w:val="18"/>
                <w:szCs w:val="18"/>
                <w:lang w:val="en-US" w:eastAsia="zh-CN" w:bidi="ar"/>
              </w:rPr>
              <w:t xml:space="preserve">水性</w:t>
            </w:r>
            <w:r>
              <w:rPr>
                <w:rFonts w:hint="eastAsia" w:ascii="新宋体" w:hAnsi="新宋体" w:eastAsia="新宋体" w:cs="新宋体"/>
                <w:color w:val="000000"/>
                <w:sz w:val="18"/>
                <w:szCs w:val="18"/>
                <w:lang w:bidi="ar"/>
              </w:rPr>
              <w:t xml:space="preserve">油漆：经“五底三面”工艺处理，做成全封闭。</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                                                                            4、选用优质五金配件</w:t>
            </w:r>
            <w:r>
              <w:rPr>
                <w:rFonts w:hint="eastAsia" w:ascii="新宋体" w:hAnsi="新宋体" w:eastAsia="新宋体" w:cs="新宋体"/>
                <w:color w:val="000000"/>
                <w:sz w:val="18"/>
                <w:szCs w:val="18"/>
                <w:lang w:val="en-US" w:eastAsia="zh-CN" w:bidi="ar"/>
              </w:rPr>
              <w:t xml:space="preserve">配置阻尼三节导轨和铰链</w:t>
            </w:r>
            <w:r>
              <w:rPr>
                <w:rFonts w:hint="eastAsia" w:ascii="新宋体" w:hAnsi="新宋体" w:eastAsia="新宋体" w:cs="新宋体"/>
                <w:color w:val="000000"/>
                <w:sz w:val="18"/>
                <w:szCs w:val="18"/>
                <w:lang w:bidi="ar"/>
              </w:rPr>
              <w:t xml:space="preserve">：锁具符合GB/T3325-2017、QB/T1621-2015、GB/T35607-</w:t>
            </w:r>
            <w:r>
              <w:rPr>
                <w:rFonts w:hint="eastAsia" w:ascii="新宋体" w:hAnsi="新宋体" w:eastAsia="新宋体" w:cs="新宋体"/>
                <w:color w:val="000000"/>
                <w:sz w:val="18"/>
                <w:szCs w:val="18"/>
                <w:lang w:bidi="ar"/>
              </w:rPr>
              <w:t xml:space="preserve">2017标准要求的检测报告其中金属件外观（喷涂层）合格；保密度：锁舌伸出长度合格；牢固度：锁头固定连接静拉力、锁头固定连接扭矩均合格；灵活度：钥匙插拔、旋转、钥匙拔出静拉力、钥匙开启扭矩均合格；家具涂层可迁移元素8个均合格；导轨符合 QB/T 2454-2013、 QB/T3826-1999、 QB/T3827-1999、 QB/T3828-1999、 QB/T3832-1999标准要求的检测报告其中功能（耐久性（8万次）垂直向下静载荷、水平侧向静载荷）合格；中性盐雾18h合格；乙酸盐雾18h合格；铜盐加速</w:t>
            </w:r>
            <w:r>
              <w:rPr>
                <w:rFonts w:hint="eastAsia" w:ascii="新宋体" w:hAnsi="新宋体" w:eastAsia="新宋体" w:cs="新宋体"/>
                <w:color w:val="000000"/>
                <w:sz w:val="18"/>
                <w:szCs w:val="18"/>
                <w:lang w:bidi="ar"/>
              </w:rPr>
              <w:t xml:space="preserve">乙酸盐雾18h合格。铰链符合GB/T3325-2017、QB/T 2189-2013 、QB/T 3832-1999 、QB/T3826-1999、QB/T3827-1999、QB/T3832-1999标准要求的检测报告其中金属件外观性能要求（电镀层）合格；功能：耐久性（8万次）合格、垂直静载荷20kg合格、水平静载荷40N合格；中性盐雾18h达10级；乙酸盐雾18h达10级；铜盐加速乙酸盐雾18h达10级。                                                  </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5、环保要求：甲醛释放量≤0.05mg/m³，TVOC未检出。 </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新宋体" w:hAnsi="新宋体" w:eastAsia="新宋体" w:cs="新宋体"/>
                <w:color w:val="000000"/>
                <w:sz w:val="20"/>
                <w:szCs w:val="20"/>
              </w:rPr>
            </w:pPr>
            <w:r>
              <w:rPr>
                <w:rFonts w:hint="eastAsia" w:ascii="新宋体" w:hAnsi="新宋体" w:eastAsia="新宋体" w:cs="新宋体"/>
                <w:color w:val="000000"/>
                <w:sz w:val="20"/>
                <w:szCs w:val="20"/>
                <w:lang w:val="en-US" w:eastAsia="zh-CN"/>
              </w:rPr>
              <w:t xml:space="preserve">文件柜上部为木框玻璃门，下部为木质门（配置锁），柜体内置不少于4块木质隔板；柜体板材厚度</w:t>
            </w:r>
            <w:r>
              <w:rPr>
                <w:rFonts w:hint="eastAsia" w:ascii="新宋体" w:hAnsi="新宋体" w:eastAsia="新宋体" w:cs="新宋体"/>
                <w:color w:val="000000"/>
                <w:sz w:val="20"/>
                <w:szCs w:val="20"/>
                <w:lang w:val="en-US" w:eastAsia="zh-CN" w:bidi="ar"/>
              </w:rPr>
              <w:t xml:space="preserve">≥16mm</w:t>
            </w:r>
            <w:r>
              <w:rPr>
                <w:rFonts w:hint="eastAsia" w:ascii="新宋体" w:hAnsi="新宋体" w:eastAsia="新宋体" w:cs="新宋体"/>
                <w:color w:val="000000"/>
                <w:sz w:val="20"/>
                <w:szCs w:val="20"/>
                <w:lang w:val="en-US" w:eastAsia="zh-CN"/>
              </w:rPr>
              <w:t xml:space="preserve">。</w:t>
            </w:r>
            <w:r/>
          </w:p>
        </w:tc>
      </w:tr>
      <w:tr>
        <w:trPr>
          <w:trHeight w:val="20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六门文件柜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257175</wp:posOffset>
                      </wp:positionH>
                      <wp:positionV relativeFrom="paragraph">
                        <wp:posOffset>44450</wp:posOffset>
                      </wp:positionV>
                      <wp:extent cx="995045" cy="960755"/>
                      <wp:effectExtent l="0" t="0" r="14604" b="10795"/>
                      <wp:wrapNone/>
                      <wp:docPr id="11" name="组合_77"/>
                      <wp:cNvGraphicFramePr/>
                      <a:graphic xmlns:a="http://schemas.openxmlformats.org/drawingml/2006/main">
                        <a:graphicData uri="http://schemas.openxmlformats.org/drawingml/2006/picture">
                          <pic:pic xmlns:pic="http://schemas.openxmlformats.org/drawingml/2006/picture">
                            <pic:nvPicPr>
                              <pic:cNvPr id="46" name="组合_77"/>
                              <pic:cNvPicPr>
                                <a:picLocks noChangeArrowheads="1"/>
                              </pic:cNvPicPr>
                              <pic:nvPr/>
                            </pic:nvPicPr>
                            <pic:blipFill>
                              <a:blip r:embed="rId23"/>
                              <a:stretch/>
                            </pic:blipFill>
                            <pic:spPr bwMode="auto">
                              <a:xfrm>
                                <a:off x="0" y="0"/>
                                <a:ext cx="995045" cy="960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4384;o:allowoverlap:true;o:allowincell:true;mso-position-horizontal-relative:text;margin-left:20.2pt;mso-position-horizontal:absolute;mso-position-vertical-relative:text;margin-top:3.5pt;mso-position-vertical:absolute;width:78.3pt;height:75.6pt;mso-wrap-distance-left:9.0pt;mso-wrap-distance-top:0.0pt;mso-wrap-distance-right:9.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2400*400*2000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组</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ascii="新宋体" w:hAnsi="新宋体" w:eastAsia="新宋体" w:cs="新宋体"/>
                <w:color w:val="000000"/>
                <w:sz w:val="20"/>
                <w:szCs w:val="20"/>
              </w:rPr>
            </w:pPr>
            <w:r>
              <w:rPr>
                <w:rFonts w:hint="eastAsia" w:ascii="新宋体" w:hAnsi="新宋体" w:eastAsia="新宋体" w:cs="新宋体"/>
                <w:color w:val="000000"/>
                <w:sz w:val="20"/>
                <w:szCs w:val="20"/>
                <w:lang w:val="en-US" w:eastAsia="zh-CN"/>
              </w:rPr>
              <w:t xml:space="preserve">文件柜上部为木框玻璃门，下部为木质门，两侧为通体门，柜体内置不少于4块木质隔板；下柜门和衣柜门配置锁，柜体板材厚度</w:t>
            </w:r>
            <w:r>
              <w:rPr>
                <w:rFonts w:hint="eastAsia" w:ascii="新宋体" w:hAnsi="新宋体" w:eastAsia="新宋体" w:cs="新宋体"/>
                <w:color w:val="000000"/>
                <w:sz w:val="20"/>
                <w:szCs w:val="20"/>
                <w:lang w:val="en-US" w:eastAsia="zh-CN" w:bidi="ar"/>
              </w:rPr>
              <w:t xml:space="preserve">≥16mm</w:t>
            </w:r>
            <w:r>
              <w:rPr>
                <w:rFonts w:hint="eastAsia" w:ascii="新宋体" w:hAnsi="新宋体" w:eastAsia="新宋体" w:cs="新宋体"/>
                <w:color w:val="000000"/>
                <w:sz w:val="20"/>
                <w:szCs w:val="20"/>
                <w:lang w:val="en-US" w:eastAsia="zh-CN"/>
              </w:rPr>
              <w:t xml:space="preserve">。</w:t>
            </w:r>
            <w:r/>
          </w:p>
        </w:tc>
      </w:tr>
      <w:tr>
        <w:trPr>
          <w:trHeight w:val="21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四门文件柜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314325</wp:posOffset>
                      </wp:positionH>
                      <wp:positionV relativeFrom="paragraph">
                        <wp:posOffset>71120</wp:posOffset>
                      </wp:positionV>
                      <wp:extent cx="932180" cy="973455"/>
                      <wp:effectExtent l="0" t="0" r="1270" b="17145"/>
                      <wp:wrapNone/>
                      <wp:docPr id="12" name="组合_29"/>
                      <wp:cNvGraphicFramePr/>
                      <a:graphic xmlns:a="http://schemas.openxmlformats.org/drawingml/2006/main">
                        <a:graphicData uri="http://schemas.openxmlformats.org/drawingml/2006/picture">
                          <pic:pic xmlns:pic="http://schemas.openxmlformats.org/drawingml/2006/picture">
                            <pic:nvPicPr>
                              <pic:cNvPr id="47" name="组合_29"/>
                              <pic:cNvPicPr>
                                <a:picLocks noChangeArrowheads="1"/>
                              </pic:cNvPicPr>
                              <pic:nvPr/>
                            </pic:nvPicPr>
                            <pic:blipFill>
                              <a:blip r:embed="rId24"/>
                              <a:stretch/>
                            </pic:blipFill>
                            <pic:spPr bwMode="auto">
                              <a:xfrm>
                                <a:off x="0" y="0"/>
                                <a:ext cx="932180" cy="973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5408;o:allowoverlap:true;o:allowincell:true;mso-position-horizontal-relative:text;margin-left:24.8pt;mso-position-horizontal:absolute;mso-position-vertical-relative:text;margin-top:5.6pt;mso-position-vertical:absolute;width:73.4pt;height:76.6pt;mso-wrap-distance-left:9.0pt;mso-wrap-distance-top:0.0pt;mso-wrap-distance-right:9.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1600*400*2000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组</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20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茶水柜-1</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428625</wp:posOffset>
                      </wp:positionH>
                      <wp:positionV relativeFrom="paragraph">
                        <wp:posOffset>60325</wp:posOffset>
                      </wp:positionV>
                      <wp:extent cx="725170" cy="788670"/>
                      <wp:effectExtent l="0" t="0" r="0" b="0"/>
                      <wp:wrapNone/>
                      <wp:docPr id="13" name="图片_23"/>
                      <wp:cNvGraphicFramePr/>
                      <a:graphic xmlns:a="http://schemas.openxmlformats.org/drawingml/2006/main">
                        <a:graphicData uri="http://schemas.openxmlformats.org/drawingml/2006/picture">
                          <pic:pic xmlns:pic="http://schemas.openxmlformats.org/drawingml/2006/picture">
                            <pic:nvPicPr>
                              <pic:cNvPr id="48" name="图片_23"/>
                              <pic:cNvPicPr>
                                <a:picLocks noChangeArrowheads="1"/>
                              </pic:cNvPicPr>
                              <pic:nvPr/>
                            </pic:nvPicPr>
                            <pic:blipFill>
                              <a:blip r:embed="rId25"/>
                              <a:stretch/>
                            </pic:blipFill>
                            <pic:spPr bwMode="auto">
                              <a:xfrm>
                                <a:off x="0" y="0"/>
                                <a:ext cx="725170" cy="788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6432;o:allowoverlap:true;o:allowincell:true;mso-position-horizontal-relative:text;margin-left:33.8pt;mso-position-horizontal:absolute;mso-position-vertical-relative:text;margin-top:4.8pt;mso-position-vertical:absolute;width:57.1pt;height:62.1pt;mso-wrap-distance-left:9.0pt;mso-wrap-distance-top:0.0pt;mso-wrap-distance-right:9.0pt;mso-wrap-distance-bottom:0.0pt;" stroked="f">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800*400*860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柜体板材厚度不小于16mm，三面带挡水沿边，柜面下木质框架玻璃门，底部二抽屉结构。</w:t>
            </w:r>
            <w:r/>
          </w:p>
        </w:tc>
      </w:tr>
      <w:tr>
        <w:trPr>
          <w:trHeight w:val="15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茶水柜-2</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38100</wp:posOffset>
                      </wp:positionV>
                      <wp:extent cx="860425" cy="765810"/>
                      <wp:effectExtent l="0" t="0" r="0" b="0"/>
                      <wp:wrapNone/>
                      <wp:docPr id="14" name="图片_11"/>
                      <wp:cNvGraphicFramePr/>
                      <a:graphic xmlns:a="http://schemas.openxmlformats.org/drawingml/2006/main">
                        <a:graphicData uri="http://schemas.openxmlformats.org/drawingml/2006/picture">
                          <pic:pic xmlns:pic="http://schemas.openxmlformats.org/drawingml/2006/picture">
                            <pic:nvPicPr>
                              <pic:cNvPr id="49" name="图片_11"/>
                              <pic:cNvPicPr>
                                <a:picLocks noChangeArrowheads="1"/>
                              </pic:cNvPicPr>
                              <pic:nvPr/>
                            </pic:nvPicPr>
                            <pic:blipFill>
                              <a:blip r:embed="rId26"/>
                              <a:stretch/>
                            </pic:blipFill>
                            <pic:spPr bwMode="auto">
                              <a:xfrm>
                                <a:off x="0" y="0"/>
                                <a:ext cx="860425" cy="765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7456;o:allowoverlap:true;o:allowincell:true;mso-position-horizontal-relative:text;margin-left:30.0pt;mso-position-horizontal:absolute;mso-position-vertical-relative:text;margin-top:3.0pt;mso-position-vertical:absolute;width:67.8pt;height:60.3pt;mso-wrap-distance-left:9.0pt;mso-wrap-distance-top:0.0pt;mso-wrap-distance-right:9.0pt;mso-wrap-distance-bottom:0.0pt;" stroked="f">
                      <v:path textboxrect="0,0,0,0"/>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1200*400*860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新宋体" w:hAnsi="新宋体" w:eastAsia="新宋体" w:cs="新宋体"/>
                <w:color w:val="000000"/>
                <w:sz w:val="20"/>
                <w:szCs w:val="20"/>
              </w:rPr>
            </w:pPr>
            <w:r>
              <w:rPr>
                <w:rFonts w:hint="eastAsia" w:ascii="新宋体" w:hAnsi="新宋体" w:eastAsia="新宋体" w:cs="新宋体"/>
                <w:color w:val="000000"/>
                <w:sz w:val="20"/>
                <w:szCs w:val="20"/>
                <w:lang w:val="en-US" w:eastAsia="zh-CN"/>
              </w:rPr>
              <w:t xml:space="preserve">柜体板材厚度不小于16mm，三面带挡水沿边，柜面下木质框架玻璃门，右侧木质开门，底部二抽屉结构。</w:t>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茶几</w:t>
            </w:r>
            <w:r/>
          </w:p>
        </w:tc>
        <w:tc>
          <w:tcPr>
            <w:tcBorders>
              <w:top w:val="none" w:color="000000" w:sz="4" w:space="0"/>
              <w:left w:val="single" w:color="000000" w:sz="4" w:space="0"/>
              <w:bottom w:val="single" w:color="000000" w:sz="4" w:space="0"/>
              <w:right w:val="single" w:color="000000" w:sz="4" w:space="0"/>
            </w:tcBorders>
            <w:tcW w:w="2705" w:type="dxa"/>
            <w:vAlign w:val="center"/>
            <w:textDirection w:val="lrTb"/>
            <w:noWrap/>
          </w:tcPr>
          <w:p>
            <w:pPr>
              <w:jc w:val="left"/>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419100</wp:posOffset>
                      </wp:positionH>
                      <wp:positionV relativeFrom="paragraph">
                        <wp:posOffset>112395</wp:posOffset>
                      </wp:positionV>
                      <wp:extent cx="735330" cy="601980"/>
                      <wp:effectExtent l="0" t="0" r="0" b="0"/>
                      <wp:wrapNone/>
                      <wp:docPr id="15" name="图片_22"/>
                      <wp:cNvGraphicFramePr/>
                      <a:graphic xmlns:a="http://schemas.openxmlformats.org/drawingml/2006/main">
                        <a:graphicData uri="http://schemas.openxmlformats.org/drawingml/2006/picture">
                          <pic:pic xmlns:pic="http://schemas.openxmlformats.org/drawingml/2006/picture">
                            <pic:nvPicPr>
                              <pic:cNvPr id="50" name="图片_22"/>
                              <pic:cNvPicPr>
                                <a:picLocks noChangeArrowheads="1"/>
                              </pic:cNvPicPr>
                              <pic:nvPr/>
                            </pic:nvPicPr>
                            <pic:blipFill>
                              <a:blip r:embed="rId27"/>
                              <a:stretch/>
                            </pic:blipFill>
                            <pic:spPr bwMode="auto">
                              <a:xfrm>
                                <a:off x="0" y="0"/>
                                <a:ext cx="735330" cy="601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8480;o:allowoverlap:true;o:allowincell:true;mso-position-horizontal-relative:text;margin-left:33.0pt;mso-position-horizontal:absolute;mso-position-vertical-relative:text;margin-top:8.8pt;mso-position-vertical:absolute;width:57.9pt;height:47.4pt;mso-wrap-distance-left:9.0pt;mso-wrap-distance-top:0.0pt;mso-wrap-distance-right:9.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600*600*450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茶几脚宽度不小于35mm。</w:t>
            </w:r>
            <w:r/>
          </w:p>
        </w:tc>
      </w:tr>
      <w:tr>
        <w:trPr>
          <w:trHeight w:val="13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谈话桌</w:t>
            </w:r>
            <w:r/>
          </w:p>
        </w:tc>
        <w:tc>
          <w:tcPr>
            <w:tcBorders>
              <w:top w:val="none" w:color="000000" w:sz="4" w:space="0"/>
              <w:left w:val="single" w:color="000000" w:sz="4" w:space="0"/>
              <w:bottom w:val="none" w:color="000000" w:sz="4" w:space="0"/>
              <w:right w:val="single" w:color="000000" w:sz="4" w:space="0"/>
            </w:tcBorders>
            <w:tcW w:w="2705" w:type="dxa"/>
            <w:vAlign w:val="center"/>
            <w:vMerge w:val="restart"/>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133350</wp:posOffset>
                      </wp:positionH>
                      <wp:positionV relativeFrom="paragraph">
                        <wp:posOffset>942975</wp:posOffset>
                      </wp:positionV>
                      <wp:extent cx="1302385" cy="556895"/>
                      <wp:effectExtent l="0" t="0" r="12065" b="14604"/>
                      <wp:wrapNone/>
                      <wp:docPr id="16" name="图片_12"/>
                      <wp:cNvGraphicFramePr/>
                      <a:graphic xmlns:a="http://schemas.openxmlformats.org/drawingml/2006/main">
                        <a:graphicData uri="http://schemas.openxmlformats.org/drawingml/2006/picture">
                          <pic:pic xmlns:pic="http://schemas.openxmlformats.org/drawingml/2006/picture">
                            <pic:nvPicPr>
                              <pic:cNvPr id="51" name="图片_12"/>
                              <pic:cNvPicPr>
                                <a:picLocks noChangeArrowheads="1"/>
                              </pic:cNvPicPr>
                              <pic:nvPr/>
                            </pic:nvPicPr>
                            <pic:blipFill>
                              <a:blip r:embed="rId28"/>
                              <a:stretch/>
                            </pic:blipFill>
                            <pic:spPr bwMode="auto">
                              <a:xfrm>
                                <a:off x="0" y="0"/>
                                <a:ext cx="1302385" cy="556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9504;o:allowoverlap:true;o:allowincell:true;mso-position-horizontal-relative:text;margin-left:10.5pt;mso-position-horizontal:absolute;mso-position-vertical-relative:text;margin-top:74.2pt;mso-position-vertical:absolute;width:102.5pt;height:43.9pt;mso-wrap-distance-left:9.0pt;mso-wrap-distance-top:0.0pt;mso-wrap-distance-right:9.0pt;mso-wrap-distance-bottom:0.0pt;" stroked="f">
                      <v:path textboxrect="0,0,0,0"/>
                      <v:imagedata r:id="rId2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2400*1200*750</w:t>
            </w:r>
            <w:r/>
          </w:p>
        </w:tc>
        <w:tc>
          <w:tcPr>
            <w:tcBorders>
              <w:top w:val="none" w:color="000000" w:sz="4" w:space="0"/>
              <w:left w:val="single" w:color="000000" w:sz="4" w:space="0"/>
              <w:bottom w:val="none" w:color="000000" w:sz="4" w:space="0"/>
              <w:right w:val="single" w:color="000000" w:sz="4" w:space="0"/>
            </w:tcBorders>
            <w:tcW w:w="5625" w:type="dxa"/>
            <w:vAlign w:val="center"/>
            <w:vMerge w:val="restart"/>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1、面材：采用优等品的胡桃木皮，木皮无节疤，无裂纹，无朽木，色差过渡自然，木纹清晰，色泽一致，木皮拼接必须顺纹交圈，拼接自然，胶粘牢固，平整不得透胶，无鼓泡，无龟裂，无分层，无干湿花。</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2、基材：采用优等品牌环保中密度纤维板，符合GB/T11718-2021、GB/T39600-2021、GB/T35607-2017、JC/T 2039-2010、GB 8624-2012标准要求的检测报告其中静曲强度合格；弹性模量合格；内胶合强度合格；表面胶合强度合格；吸水厚度膨胀率合格；甲醛释放量（气候箱法）达E0级及以上；苯、甲苯、二甲苯、总挥发性有机化合物（TVOC）均未检出；表皮葡萄球菌抗菌性能≥96%；绳状青霉防霉性能达0级；燃烧性能等级B1级合格。</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3、油漆：优质环保品牌油漆，符合 HJ2537-2014、GB18581-</w:t>
            </w:r>
            <w:r>
              <w:rPr>
                <w:rFonts w:hint="eastAsia" w:ascii="新宋体" w:hAnsi="新宋体" w:eastAsia="新宋体" w:cs="新宋体"/>
                <w:color w:val="000000"/>
                <w:sz w:val="18"/>
                <w:szCs w:val="18"/>
                <w:lang w:bidi="ar"/>
              </w:rPr>
              <w:t xml:space="preserve">2020、 GB/T 23999-2009、 GB/T 21866-2008、 HG/T 3950-2007标准要求的检测报告其中甲醛含量、总铅含量、可溶性重金属含量（镉含量、铬含量、汞含量）、乙二醇醚及醚酯的总和含量、苯系物总和含量、烷基酚聚氧乙烯醚总和含量均未检出；挥发性有机化合物（VOC）合格；在容器中状态、细度、不挥发物、涂膜外观、光泽、硬度（擦伤）、附着力、耐冲击性、抗粘连性、耐磨性、耐划伤性、耐污染性（醋、绿茶）、耐干热性、耐黄变性均合格；铜绿假单胞菌抗细菌性能≥93%、宛氏拟青霉抗霉性能达1级</w:t>
            </w:r>
            <w:r>
              <w:rPr>
                <w:rFonts w:hint="eastAsia" w:ascii="新宋体" w:hAnsi="新宋体" w:eastAsia="新宋体" w:cs="新宋体"/>
                <w:color w:val="000000"/>
                <w:sz w:val="18"/>
                <w:szCs w:val="18"/>
                <w:lang w:eastAsia="zh-CN" w:bidi="ar"/>
              </w:rPr>
              <w:t xml:space="preserve">；</w:t>
            </w:r>
            <w:r>
              <w:rPr>
                <w:rFonts w:hint="eastAsia" w:ascii="新宋体" w:hAnsi="新宋体" w:eastAsia="新宋体" w:cs="新宋体"/>
                <w:color w:val="000000"/>
                <w:sz w:val="18"/>
                <w:szCs w:val="18"/>
                <w:lang w:val="en-US" w:eastAsia="zh-CN" w:bidi="ar"/>
              </w:rPr>
              <w:t xml:space="preserve">水性</w:t>
            </w:r>
            <w:r>
              <w:rPr>
                <w:rFonts w:hint="eastAsia" w:ascii="新宋体" w:hAnsi="新宋体" w:eastAsia="新宋体" w:cs="新宋体"/>
                <w:color w:val="000000"/>
                <w:sz w:val="18"/>
                <w:szCs w:val="18"/>
                <w:lang w:bidi="ar"/>
              </w:rPr>
              <w:t xml:space="preserve">油漆：经“五底三面”工艺处理，做成全封闭。</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4、环保要求：甲醛释放量≤0.05mg/m³，TVOC未检出。                        5、选用优质五金配件</w:t>
            </w:r>
            <w:r>
              <w:rPr>
                <w:rFonts w:hint="eastAsia" w:ascii="新宋体" w:hAnsi="新宋体" w:eastAsia="新宋体" w:cs="新宋体"/>
                <w:color w:val="000000"/>
                <w:sz w:val="18"/>
                <w:szCs w:val="18"/>
                <w:lang w:val="en-US" w:eastAsia="zh-CN" w:bidi="ar"/>
              </w:rPr>
              <w:t xml:space="preserve">配置阻尼三节导轨和铰链</w:t>
            </w:r>
            <w:r>
              <w:rPr>
                <w:rFonts w:hint="eastAsia" w:ascii="新宋体" w:hAnsi="新宋体" w:eastAsia="新宋体" w:cs="新宋体"/>
                <w:color w:val="000000"/>
                <w:sz w:val="18"/>
                <w:szCs w:val="18"/>
                <w:lang w:bidi="ar"/>
              </w:rPr>
              <w:t xml:space="preserve">：锁具符合GB/T3325-2017、QB/T1621-2015、GB/T35607-2017标准要求的检测报告其中金属件外观（喷涂层）合格；保密度：锁舌伸出长度合格；牢固度：锁头固定连接静拉力</w:t>
            </w:r>
            <w:r>
              <w:rPr>
                <w:rFonts w:hint="eastAsia" w:ascii="新宋体" w:hAnsi="新宋体" w:eastAsia="新宋体" w:cs="新宋体"/>
                <w:color w:val="000000"/>
                <w:sz w:val="18"/>
                <w:szCs w:val="18"/>
                <w:lang w:bidi="ar"/>
              </w:rPr>
              <w:t xml:space="preserve">、锁头固定连接扭矩均合格；灵活度：钥匙插拔、旋转、钥匙拔出静拉力、钥匙开启扭矩均合格；家具涂层可迁移元素8个均合格；导轨符合 QB/T 2454-2013、 QB/T3826-1999、 QB/T3827-1999、 QB/T3828-1999、 QB/T3832-1999标准要求的检测报告其中功能（耐久性（8万次）垂直向下静载荷、水平侧向静载荷）合格；中性盐雾18h合格；乙酸盐雾18h合格；铜盐加速乙酸盐雾18h合格。铰链符合GB/T3325-2017、QB/T 2189-2013 、QB/T 3832-</w:t>
            </w:r>
            <w:r>
              <w:rPr>
                <w:rFonts w:hint="eastAsia" w:ascii="新宋体" w:hAnsi="新宋体" w:eastAsia="新宋体" w:cs="新宋体"/>
                <w:color w:val="000000"/>
                <w:sz w:val="18"/>
                <w:szCs w:val="18"/>
                <w:lang w:bidi="ar"/>
              </w:rPr>
              <w:t xml:space="preserve">1999 、QB/T3826-1999、QB/T3827-1999、QB/T3832-1999标准要求的检测报告其中金属件外观性能要求（电镀层）合格；功能：耐久性（8万次）合格、垂直静载荷20kg合格、水平静载荷40N合格；中性盐雾18h达10级；乙酸盐雾18h达10级；铜盐加速乙酸盐雾18h达10级。                                                                                              6、▲会议桌：符合G</w:t>
            </w:r>
            <w:r>
              <w:rPr>
                <w:rFonts w:hint="eastAsia" w:ascii="新宋体" w:hAnsi="新宋体" w:eastAsia="新宋体" w:cs="新宋体"/>
                <w:color w:val="000000"/>
                <w:sz w:val="18"/>
                <w:szCs w:val="18"/>
                <w:lang w:bidi="ar"/>
              </w:rPr>
              <w:t xml:space="preserve">B/T3324-2017、GB/T39600-2021、 GB/T35607-2017、 QB/T 4371-2012、 JC/T 2039-2010、 GB 8624-2012标准要求的检测报告其中漆膜理化性能：耐液性1级，耐湿热1级，耐干热1级，附着力0级，耐冷热温差合格，耐磨性1级，抗冲击1级；甲醛释放量（气候箱法）E0级及以上；苯、甲苯、二甲苯、总挥发性有机化合物（TVOC）未检出；产品寿命：桌面水平耐久性（6万次）合格；金黄色葡萄球菌抗菌性能≥96%；黑曲霉防霉性能达0级；燃烧性能等级B1级合格。</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桌面和桌腿厚度</w:t>
            </w:r>
            <w:r>
              <w:rPr>
                <w:rFonts w:hint="eastAsia" w:ascii="新宋体" w:hAnsi="新宋体" w:eastAsia="新宋体" w:cs="新宋体"/>
                <w:color w:val="000000"/>
                <w:sz w:val="20"/>
                <w:szCs w:val="20"/>
                <w:lang w:val="en-US" w:eastAsia="zh-CN" w:bidi="ar"/>
              </w:rPr>
              <w:t xml:space="preserve">≥80mm，桌面预留线盒，内部配置设备走线。</w:t>
            </w:r>
            <w:r/>
          </w:p>
        </w:tc>
      </w:tr>
      <w:tr>
        <w:trPr>
          <w:trHeight w:val="12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调解桌</w:t>
            </w:r>
            <w:r/>
          </w:p>
        </w:tc>
        <w:tc>
          <w:tcPr>
            <w:tcBorders>
              <w:top w:val="none" w:color="000000" w:sz="4" w:space="0"/>
              <w:left w:val="single" w:color="000000" w:sz="4" w:space="0"/>
              <w:bottom w:val="non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2800*1200*750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会议桌-1</w:t>
            </w:r>
            <w:r/>
          </w:p>
        </w:tc>
        <w:tc>
          <w:tcPr>
            <w:tcBorders>
              <w:top w:val="none" w:color="000000" w:sz="4" w:space="0"/>
              <w:left w:val="single" w:color="000000" w:sz="4" w:space="0"/>
              <w:bottom w:val="non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2000*1050*760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23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会议桌-2</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95250</wp:posOffset>
                      </wp:positionH>
                      <wp:positionV relativeFrom="paragraph">
                        <wp:posOffset>390525</wp:posOffset>
                      </wp:positionV>
                      <wp:extent cx="1379220" cy="541020"/>
                      <wp:effectExtent l="0" t="0" r="11430" b="11430"/>
                      <wp:wrapNone/>
                      <wp:docPr id="17" name="图片_90"/>
                      <wp:cNvGraphicFramePr/>
                      <a:graphic xmlns:a="http://schemas.openxmlformats.org/drawingml/2006/main">
                        <a:graphicData uri="http://schemas.openxmlformats.org/drawingml/2006/picture">
                          <pic:pic xmlns:pic="http://schemas.openxmlformats.org/drawingml/2006/picture">
                            <pic:nvPicPr>
                              <pic:cNvPr id="52" name="图片_90"/>
                              <pic:cNvPicPr>
                                <a:picLocks noChangeArrowheads="1"/>
                              </pic:cNvPicPr>
                              <pic:nvPr/>
                            </pic:nvPicPr>
                            <pic:blipFill>
                              <a:blip r:embed="rId29"/>
                              <a:stretch/>
                            </pic:blipFill>
                            <pic:spPr bwMode="auto">
                              <a:xfrm>
                                <a:off x="0" y="0"/>
                                <a:ext cx="137922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0528;o:allowoverlap:true;o:allowincell:true;mso-position-horizontal-relative:text;margin-left:7.5pt;mso-position-horizontal:absolute;mso-position-vertical-relative:text;margin-top:30.8pt;mso-position-vertical:absolute;width:108.6pt;height:42.6pt;mso-wrap-distance-left:9.0pt;mso-wrap-distance-top:0.0pt;mso-wrap-distance-right:9.0pt;mso-wrap-distance-bottom:0.0pt;" stroked="f">
                      <v:path textboxrect="0,0,0,0"/>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4200*1800*750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19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会议桌-3</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114300</wp:posOffset>
                      </wp:positionH>
                      <wp:positionV relativeFrom="paragraph">
                        <wp:posOffset>231775</wp:posOffset>
                      </wp:positionV>
                      <wp:extent cx="1339850" cy="519430"/>
                      <wp:effectExtent l="0" t="0" r="12700" b="13970"/>
                      <wp:wrapNone/>
                      <wp:docPr id="18" name="图片_6"/>
                      <wp:cNvGraphicFramePr/>
                      <a:graphic xmlns:a="http://schemas.openxmlformats.org/drawingml/2006/main">
                        <a:graphicData uri="http://schemas.openxmlformats.org/drawingml/2006/picture">
                          <pic:pic xmlns:pic="http://schemas.openxmlformats.org/drawingml/2006/picture">
                            <pic:nvPicPr>
                              <pic:cNvPr id="53" name="图片_6"/>
                              <pic:cNvPicPr>
                                <a:picLocks noChangeArrowheads="1"/>
                              </pic:cNvPicPr>
                              <pic:nvPr/>
                            </pic:nvPicPr>
                            <pic:blipFill>
                              <a:blip r:embed="rId30"/>
                              <a:stretch/>
                            </pic:blipFill>
                            <pic:spPr bwMode="auto">
                              <a:xfrm>
                                <a:off x="0" y="0"/>
                                <a:ext cx="1339850" cy="51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1552;o:allowoverlap:true;o:allowincell:true;mso-position-horizontal-relative:text;margin-left:9.0pt;mso-position-horizontal:absolute;mso-position-vertical-relative:text;margin-top:18.2pt;mso-position-vertical:absolute;width:105.5pt;height:40.9pt;mso-wrap-distance-left:9.0pt;mso-wrap-distance-top:0.0pt;mso-wrap-distance-right:9.0pt;mso-wrap-distance-bottom:0.0pt;" stroked="f">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9600*2300*760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调解桌</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47625</wp:posOffset>
                      </wp:positionH>
                      <wp:positionV relativeFrom="paragraph">
                        <wp:posOffset>323215</wp:posOffset>
                      </wp:positionV>
                      <wp:extent cx="1496060" cy="1186180"/>
                      <wp:effectExtent l="0" t="0" r="0" b="0"/>
                      <wp:wrapNone/>
                      <wp:docPr id="19" name="图片_30"/>
                      <wp:cNvGraphicFramePr/>
                      <a:graphic xmlns:a="http://schemas.openxmlformats.org/drawingml/2006/main">
                        <a:graphicData uri="http://schemas.openxmlformats.org/drawingml/2006/picture">
                          <pic:pic xmlns:pic="http://schemas.openxmlformats.org/drawingml/2006/picture">
                            <pic:nvPicPr>
                              <pic:cNvPr id="54" name="图片_30"/>
                              <pic:cNvPicPr>
                                <a:picLocks noChangeArrowheads="1"/>
                              </pic:cNvPicPr>
                              <pic:nvPr/>
                            </pic:nvPicPr>
                            <pic:blipFill>
                              <a:blip r:embed="rId31"/>
                              <a:stretch/>
                            </pic:blipFill>
                            <pic:spPr bwMode="auto">
                              <a:xfrm>
                                <a:off x="0" y="0"/>
                                <a:ext cx="1496060" cy="1186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2576;o:allowoverlap:true;o:allowincell:true;mso-position-horizontal-relative:text;margin-left:3.8pt;mso-position-horizontal:absolute;mso-position-vertical-relative:text;margin-top:25.4pt;mso-position-vertical:absolute;width:117.8pt;height:93.4pt;mso-wrap-distance-left:9.0pt;mso-wrap-distance-top:0.0pt;mso-wrap-distance-right:9.0pt;mso-wrap-distance-bottom:0.0pt;" stroked="f">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Ø2800*760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8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审判桌-1</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66675</wp:posOffset>
                      </wp:positionH>
                      <wp:positionV relativeFrom="paragraph">
                        <wp:posOffset>273050</wp:posOffset>
                      </wp:positionV>
                      <wp:extent cx="1442085" cy="596900"/>
                      <wp:effectExtent l="0" t="0" r="5715" b="12700"/>
                      <wp:wrapNone/>
                      <wp:docPr id="20" name="图片_37"/>
                      <wp:cNvGraphicFramePr/>
                      <a:graphic xmlns:a="http://schemas.openxmlformats.org/drawingml/2006/main">
                        <a:graphicData uri="http://schemas.openxmlformats.org/drawingml/2006/picture">
                          <pic:pic xmlns:pic="http://schemas.openxmlformats.org/drawingml/2006/picture">
                            <pic:nvPicPr>
                              <pic:cNvPr id="55" name="图片_37"/>
                              <pic:cNvPicPr>
                                <a:picLocks noChangeArrowheads="1"/>
                              </pic:cNvPicPr>
                              <pic:nvPr/>
                            </pic:nvPicPr>
                            <pic:blipFill>
                              <a:blip r:embed="rId32"/>
                              <a:stretch/>
                            </pic:blipFill>
                            <pic:spPr bwMode="auto">
                              <a:xfrm>
                                <a:off x="0" y="0"/>
                                <a:ext cx="1442085" cy="596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3600;o:allowoverlap:true;o:allowincell:true;mso-position-horizontal-relative:text;margin-left:5.2pt;mso-position-horizontal:absolute;mso-position-vertical-relative:text;margin-top:21.5pt;mso-position-vertical:absolute;width:113.5pt;height:47.0pt;mso-wrap-distance-left:9.0pt;mso-wrap-distance-top:0.0pt;mso-wrap-distance-right:9.0pt;mso-wrap-distance-bottom:0.0pt;" stroked="f">
                      <v:path textboxrect="0,0,0,0"/>
                      <v:imagedata r:id="rId3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2400*950*900</w:t>
            </w:r>
            <w:r/>
          </w:p>
        </w:tc>
        <w:tc>
          <w:tcPr>
            <w:tcBorders>
              <w:top w:val="singl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numPr>
                <w:ilvl w:val="0"/>
                <w:numId w:val="4"/>
              </w:num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面材：采用优等品的胡桃木皮，木皮无节疤，无裂纹，无朽木，色差过渡自然，木纹清晰，色泽一致，木皮拼接必须顺纹交圈，拼接自然，胶粘牢固，平整不得透胶，无鼓泡，无龟裂，无分层，无干湿花。</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2、基材：采用优等品牌环保中密度纤维板，符合GB/T11718-2021、GB/T39600-2021、GB/T35607-2017、JC/T 2039-2010、GB 8624-2012标准要求的检测报告其中静曲强度合格；弹性模量合格；内胶合强度合格；表面胶合强度合格；吸水厚度膨胀率合格；甲醛释放量（气候箱法）达E0级及以上；苯、甲苯、二甲苯、总挥发性有机化合物（TVOC）均未检出；表皮葡萄球菌抗菌性能≥96%；绳状青霉防霉性能达0级；燃烧性能等级B1级合格。</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3、油漆：优质环保品牌油漆，符合 HJ2537-2014、GB18581-</w:t>
            </w:r>
            <w:r>
              <w:rPr>
                <w:rFonts w:hint="eastAsia" w:ascii="新宋体" w:hAnsi="新宋体" w:eastAsia="新宋体" w:cs="新宋体"/>
                <w:color w:val="000000"/>
                <w:sz w:val="18"/>
                <w:szCs w:val="18"/>
                <w:lang w:bidi="ar"/>
              </w:rPr>
              <w:t xml:space="preserve">2020、 GB/T 23999-2009、 GB/T 21866-2008、 HG/T 3950-2007标准要求的检测报告其中甲醛含量、总铅含量、可溶性重金属含量（镉含量、铬含量、汞含量）、乙二醇醚及醚酯的总和含量、苯系物总和含量、烷基酚聚氧乙烯醚总和含量均未检出；挥发性有机化合物（VOC）合格；在容器中状态、细度、不挥发物、涂膜外观、光泽、硬度（擦伤）、附着力、耐冲击性、抗粘连性、耐磨性、耐划伤性、耐污染性（醋、绿茶）、耐干热性、耐黄变性均合格；铜绿假单胞菌抗细菌性能≥93%、宛氏拟青霉抗霉性能达1级</w:t>
            </w:r>
            <w:r>
              <w:rPr>
                <w:rFonts w:hint="eastAsia" w:ascii="新宋体" w:hAnsi="新宋体" w:eastAsia="新宋体" w:cs="新宋体"/>
                <w:color w:val="000000"/>
                <w:sz w:val="18"/>
                <w:szCs w:val="18"/>
                <w:lang w:eastAsia="zh-CN" w:bidi="ar"/>
              </w:rPr>
              <w:t xml:space="preserve">；</w:t>
            </w:r>
            <w:r>
              <w:rPr>
                <w:rFonts w:hint="eastAsia" w:ascii="新宋体" w:hAnsi="新宋体" w:eastAsia="新宋体" w:cs="新宋体"/>
                <w:color w:val="000000"/>
                <w:sz w:val="18"/>
                <w:szCs w:val="18"/>
                <w:lang w:val="en-US" w:eastAsia="zh-CN" w:bidi="ar"/>
              </w:rPr>
              <w:t xml:space="preserve">水性</w:t>
            </w:r>
            <w:r>
              <w:rPr>
                <w:rFonts w:hint="eastAsia" w:ascii="新宋体" w:hAnsi="新宋体" w:eastAsia="新宋体" w:cs="新宋体"/>
                <w:color w:val="000000"/>
                <w:sz w:val="18"/>
                <w:szCs w:val="18"/>
                <w:lang w:bidi="ar"/>
              </w:rPr>
              <w:t xml:space="preserve">油漆：经“五底三面”工艺处理，做成全封闭。                                   </w:t>
            </w:r>
            <w:r/>
          </w:p>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4、选用优质五金配件</w:t>
            </w:r>
            <w:r>
              <w:rPr>
                <w:rFonts w:hint="eastAsia" w:ascii="新宋体" w:hAnsi="新宋体" w:eastAsia="新宋体" w:cs="新宋体"/>
                <w:color w:val="000000"/>
                <w:sz w:val="18"/>
                <w:szCs w:val="18"/>
                <w:lang w:val="en-US" w:eastAsia="zh-CN" w:bidi="ar"/>
              </w:rPr>
              <w:t xml:space="preserve">配置阻尼三节导轨和铰链</w:t>
            </w:r>
            <w:r>
              <w:rPr>
                <w:rFonts w:hint="eastAsia" w:ascii="新宋体" w:hAnsi="新宋体" w:eastAsia="新宋体" w:cs="新宋体"/>
                <w:color w:val="000000"/>
                <w:sz w:val="18"/>
                <w:szCs w:val="18"/>
                <w:lang w:bidi="ar"/>
              </w:rPr>
              <w:t xml:space="preserve">：锁具符合GB/T3325-2017、QB/T1621-2015、GB/T35607-</w:t>
            </w:r>
            <w:r>
              <w:rPr>
                <w:rFonts w:hint="eastAsia" w:ascii="新宋体" w:hAnsi="新宋体" w:eastAsia="新宋体" w:cs="新宋体"/>
                <w:color w:val="000000"/>
                <w:sz w:val="18"/>
                <w:szCs w:val="18"/>
                <w:lang w:bidi="ar"/>
              </w:rPr>
              <w:t xml:space="preserve">2017标准要求的检测报告其中金属件外观（喷涂层）合格；保密度：锁舌伸出长度合格；牢固度：锁头固定连接静拉力、锁头固定连接扭矩均合格；灵活度：钥匙插拔、旋转、钥匙拔出静拉力、钥匙开启扭矩均合格；家具涂层可迁移元素8个均合格；导轨符合 QB/T 2454-2013、 QB/T3826-1999、 QB/T3827-1999、 QB/T3828-1999、 QB/T3832-1999标准要求的检测报告其中功能（耐久性（8万次）垂直向下静载荷、水平侧向静载荷）合格；中性盐雾18h合格；乙酸盐雾18h合格；铜盐加速</w:t>
            </w:r>
            <w:r>
              <w:rPr>
                <w:rFonts w:hint="eastAsia" w:ascii="新宋体" w:hAnsi="新宋体" w:eastAsia="新宋体" w:cs="新宋体"/>
                <w:color w:val="000000"/>
                <w:sz w:val="18"/>
                <w:szCs w:val="18"/>
                <w:lang w:bidi="ar"/>
              </w:rPr>
              <w:t xml:space="preserve">乙酸盐雾18h合格。铰链符合GB/T3325-2017、QB/T 2189-2013 、QB/T 3832-1999 、QB/T3826-1999、QB/T3827-1999、QB/T3832-1999标准要求的检测报告其中金属件外观性能要求（电镀层）合格；功能：耐久性（8万次）合格、垂直静载荷20kg合格、水平静载荷40N合格；中性盐雾18h达10级；乙酸盐雾18h达10级；铜盐加速乙酸盐雾18h达10级。                                                  </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5、环保要求：甲醛释放量≤0.05mg/m³，TVOC未检出。 </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桌面和站板厚度</w:t>
            </w:r>
            <w:r>
              <w:rPr>
                <w:rFonts w:hint="eastAsia" w:ascii="新宋体" w:hAnsi="新宋体" w:eastAsia="新宋体" w:cs="新宋体"/>
                <w:color w:val="000000"/>
                <w:sz w:val="20"/>
                <w:szCs w:val="20"/>
                <w:lang w:val="en-US" w:eastAsia="zh-CN" w:bidi="ar"/>
              </w:rPr>
              <w:t xml:space="preserve">≥25mm，其余部位板材厚度≥16mm，详细做法参照审讯桌椅标准制作。</w:t>
            </w:r>
            <w:r/>
          </w:p>
        </w:tc>
      </w:tr>
      <w:tr>
        <w:trPr>
          <w:trHeight w:val="8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审判桌-2</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3500*950*900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6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诉讼台-1</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190500</wp:posOffset>
                      </wp:positionH>
                      <wp:positionV relativeFrom="paragraph">
                        <wp:posOffset>180975</wp:posOffset>
                      </wp:positionV>
                      <wp:extent cx="1087755" cy="570230"/>
                      <wp:effectExtent l="0" t="0" r="0" b="0"/>
                      <wp:wrapNone/>
                      <wp:docPr id="21" name="图片_39"/>
                      <wp:cNvGraphicFramePr/>
                      <a:graphic xmlns:a="http://schemas.openxmlformats.org/drawingml/2006/main">
                        <a:graphicData uri="http://schemas.openxmlformats.org/drawingml/2006/picture">
                          <pic:pic xmlns:pic="http://schemas.openxmlformats.org/drawingml/2006/picture">
                            <pic:nvPicPr>
                              <pic:cNvPr id="56" name="图片_39"/>
                              <pic:cNvPicPr>
                                <a:picLocks noChangeArrowheads="1"/>
                              </pic:cNvPicPr>
                              <pic:nvPr/>
                            </pic:nvPicPr>
                            <pic:blipFill>
                              <a:blip r:embed="rId33"/>
                              <a:stretch/>
                            </pic:blipFill>
                            <pic:spPr bwMode="auto">
                              <a:xfrm>
                                <a:off x="0" y="0"/>
                                <a:ext cx="1087755" cy="570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4624;o:allowoverlap:true;o:allowincell:true;mso-position-horizontal-relative:text;margin-left:15.0pt;mso-position-horizontal:absolute;mso-position-vertical-relative:text;margin-top:14.2pt;mso-position-vertical:absolute;width:85.6pt;height:44.9pt;mso-wrap-distance-left:9.0pt;mso-wrap-distance-top:0.0pt;mso-wrap-distance-right:9.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1800*800*760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7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诉讼台-2</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2200*800*760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书记员桌-1</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247650</wp:posOffset>
                      </wp:positionH>
                      <wp:positionV relativeFrom="paragraph">
                        <wp:posOffset>225425</wp:posOffset>
                      </wp:positionV>
                      <wp:extent cx="1096010" cy="586740"/>
                      <wp:effectExtent l="0" t="0" r="0" b="0"/>
                      <wp:wrapNone/>
                      <wp:docPr id="22" name="图片_41"/>
                      <wp:cNvGraphicFramePr/>
                      <a:graphic xmlns:a="http://schemas.openxmlformats.org/drawingml/2006/main">
                        <a:graphicData uri="http://schemas.openxmlformats.org/drawingml/2006/picture">
                          <pic:pic xmlns:pic="http://schemas.openxmlformats.org/drawingml/2006/picture">
                            <pic:nvPicPr>
                              <pic:cNvPr id="57" name="图片_41"/>
                              <pic:cNvPicPr>
                                <a:picLocks noChangeArrowheads="1"/>
                              </pic:cNvPicPr>
                              <pic:nvPr/>
                            </pic:nvPicPr>
                            <pic:blipFill>
                              <a:blip r:embed="rId34"/>
                              <a:stretch/>
                            </pic:blipFill>
                            <pic:spPr bwMode="auto">
                              <a:xfrm>
                                <a:off x="0" y="0"/>
                                <a:ext cx="1096010" cy="586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5648;o:allowoverlap:true;o:allowincell:true;mso-position-horizontal-relative:text;margin-left:19.5pt;mso-position-horizontal:absolute;mso-position-vertical-relative:text;margin-top:17.8pt;mso-position-vertical:absolute;width:86.3pt;height:46.2pt;mso-wrap-distance-left:9.0pt;mso-wrap-distance-top:0.0pt;mso-wrap-distance-right:9.0pt;mso-wrap-distance-bottom:0.0pt;" stroked="f">
                      <v:path textboxrect="0,0,0,0"/>
                      <v:imagedata r:id="rId3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1800*800*760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书记员桌-2</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2000*800*760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8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屏风隔断-1</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85725</wp:posOffset>
                      </wp:positionH>
                      <wp:positionV relativeFrom="paragraph">
                        <wp:posOffset>330200</wp:posOffset>
                      </wp:positionV>
                      <wp:extent cx="1372235" cy="498475"/>
                      <wp:effectExtent l="0" t="0" r="18415" b="15875"/>
                      <wp:wrapNone/>
                      <wp:docPr id="23" name="图片_62"/>
                      <wp:cNvGraphicFramePr/>
                      <a:graphic xmlns:a="http://schemas.openxmlformats.org/drawingml/2006/main">
                        <a:graphicData uri="http://schemas.openxmlformats.org/drawingml/2006/picture">
                          <pic:pic xmlns:pic="http://schemas.openxmlformats.org/drawingml/2006/picture">
                            <pic:nvPicPr>
                              <pic:cNvPr id="58" name="图片_62"/>
                              <pic:cNvPicPr>
                                <a:picLocks noChangeArrowheads="1"/>
                              </pic:cNvPicPr>
                              <pic:nvPr/>
                            </pic:nvPicPr>
                            <pic:blipFill>
                              <a:blip r:embed="rId35"/>
                              <a:stretch/>
                            </pic:blipFill>
                            <pic:spPr bwMode="auto">
                              <a:xfrm>
                                <a:off x="0" y="0"/>
                                <a:ext cx="1372235" cy="498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76672;o:allowoverlap:true;o:allowincell:true;mso-position-horizontal-relative:text;margin-left:6.8pt;mso-position-horizontal:absolute;mso-position-vertical-relative:text;margin-top:26.0pt;mso-position-vertical:absolute;width:108.0pt;height:39.2pt;mso-wrap-distance-left:9.0pt;mso-wrap-distance-top:0.0pt;mso-wrap-distance-right:9.0pt;mso-wrap-distance-bottom:0.0pt;" stroked="f">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6200*760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参照标准制作。</w:t>
            </w:r>
            <w:r/>
          </w:p>
        </w:tc>
      </w:tr>
      <w:tr>
        <w:trPr>
          <w:trHeight w:val="9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屏风隔断-2</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9800*760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130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法 槌</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152400</wp:posOffset>
                      </wp:positionH>
                      <wp:positionV relativeFrom="paragraph">
                        <wp:posOffset>69850</wp:posOffset>
                      </wp:positionV>
                      <wp:extent cx="1134110" cy="753745"/>
                      <wp:effectExtent l="0" t="0" r="0" b="0"/>
                      <wp:wrapNone/>
                      <wp:docPr id="24" name="图片_114"/>
                      <wp:cNvGraphicFramePr/>
                      <a:graphic xmlns:a="http://schemas.openxmlformats.org/drawingml/2006/main">
                        <a:graphicData uri="http://schemas.openxmlformats.org/drawingml/2006/picture">
                          <pic:pic xmlns:pic="http://schemas.openxmlformats.org/drawingml/2006/picture">
                            <pic:nvPicPr>
                              <pic:cNvPr id="59" name="图片_114"/>
                              <pic:cNvPicPr>
                                <a:picLocks noChangeArrowheads="1"/>
                              </pic:cNvPicPr>
                              <pic:nvPr/>
                            </pic:nvPicPr>
                            <pic:blipFill>
                              <a:blip r:embed="rId36"/>
                              <a:stretch/>
                            </pic:blipFill>
                            <pic:spPr bwMode="auto">
                              <a:xfrm>
                                <a:off x="0" y="0"/>
                                <a:ext cx="1134110" cy="753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77696;o:allowoverlap:true;o:allowincell:true;mso-position-horizontal-relative:text;margin-left:12.0pt;mso-position-horizontal:absolute;mso-position-vertical-relative:text;margin-top:5.5pt;mso-position-vertical:absolute;width:89.3pt;height:59.3pt;mso-wrap-distance-left:9.0pt;mso-wrap-distance-top:0.0pt;mso-wrap-distance-right:9.0pt;mso-wrap-distance-bottom:0.0pt;" stroked="f">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基座39.5.宽25，厚6 法槌直径6cm，长12cm,柄长32.5cm</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新宋体" w:hAnsi="新宋体" w:eastAsia="新宋体" w:cs="新宋体"/>
                <w:color w:val="000000"/>
                <w:sz w:val="20"/>
                <w:szCs w:val="20"/>
              </w:rPr>
            </w:pPr>
            <w:r>
              <w:rPr>
                <w:rFonts w:hint="eastAsia" w:ascii="新宋体" w:hAnsi="新宋体" w:eastAsia="新宋体" w:cs="新宋体"/>
                <w:color w:val="000000"/>
                <w:sz w:val="20"/>
                <w:szCs w:val="20"/>
                <w:lang w:val="en-US" w:eastAsia="zh-CN"/>
              </w:rPr>
              <w:t xml:space="preserve">参照标准制作。</w:t>
            </w:r>
            <w:r/>
          </w:p>
        </w:tc>
      </w:tr>
      <w:tr>
        <w:trPr>
          <w:trHeight w:val="360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旁听椅 </w:t>
            </w:r>
            <w:r>
              <w:rPr>
                <w:rFonts w:hint="eastAsia" w:ascii="新宋体" w:hAnsi="新宋体" w:eastAsia="新宋体" w:cs="新宋体"/>
                <w:b/>
                <w:bCs/>
                <w:color w:val="ff0000"/>
                <w:sz w:val="20"/>
                <w:szCs w:val="20"/>
                <w:lang w:bidi="ar"/>
              </w:rPr>
              <w:t xml:space="preserve">（出样）</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219075</wp:posOffset>
                      </wp:positionH>
                      <wp:positionV relativeFrom="paragraph">
                        <wp:posOffset>271145</wp:posOffset>
                      </wp:positionV>
                      <wp:extent cx="1259205" cy="866775"/>
                      <wp:effectExtent l="0" t="0" r="17145" b="9525"/>
                      <wp:wrapNone/>
                      <wp:docPr id="25" name="图片_63"/>
                      <wp:cNvGraphicFramePr/>
                      <a:graphic xmlns:a="http://schemas.openxmlformats.org/drawingml/2006/main">
                        <a:graphicData uri="http://schemas.openxmlformats.org/drawingml/2006/picture">
                          <pic:pic xmlns:pic="http://schemas.openxmlformats.org/drawingml/2006/picture">
                            <pic:nvPicPr>
                              <pic:cNvPr id="60" name="图片_63"/>
                              <pic:cNvPicPr>
                                <a:picLocks noChangeArrowheads="1"/>
                              </pic:cNvPicPr>
                              <pic:nvPr/>
                            </pic:nvPicPr>
                            <pic:blipFill>
                              <a:blip r:embed="rId37"/>
                              <a:stretch/>
                            </pic:blipFill>
                            <pic:spPr bwMode="auto">
                              <a:xfrm>
                                <a:off x="0" y="0"/>
                                <a:ext cx="1259205" cy="866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8720;o:allowoverlap:true;o:allowincell:true;mso-position-horizontal-relative:text;margin-left:17.2pt;mso-position-horizontal:absolute;mso-position-vertical-relative:text;margin-top:21.3pt;mso-position-vertical:absolute;width:99.1pt;height:68.2pt;mso-wrap-distance-left:9.0pt;mso-wrap-distance-top:0.0pt;mso-wrap-distance-right:9.0pt;mso-wrap-distance-bottom:0.0pt;" stroked="f">
                      <v:path textboxrect="0,0,0,0"/>
                      <v:imagedata r:id="rId3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1850*530*1000</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1、</w:t>
            </w:r>
            <w:r>
              <w:rPr>
                <w:rFonts w:hint="eastAsia" w:ascii="新宋体" w:hAnsi="新宋体" w:eastAsia="新宋体" w:cs="新宋体"/>
                <w:color w:val="000000"/>
                <w:sz w:val="18"/>
                <w:szCs w:val="18"/>
                <w:lang w:val="en-US" w:eastAsia="zh-CN" w:bidi="ar"/>
              </w:rPr>
              <w:t xml:space="preserve">基材</w:t>
            </w:r>
            <w:r>
              <w:rPr>
                <w:rFonts w:hint="eastAsia" w:ascii="新宋体" w:hAnsi="新宋体" w:eastAsia="新宋体" w:cs="新宋体"/>
                <w:color w:val="000000"/>
                <w:sz w:val="18"/>
                <w:szCs w:val="18"/>
                <w:lang w:bidi="ar"/>
              </w:rPr>
              <w:t xml:space="preserve">：采用E0级环保中密度纤维板，甲醛释放量符合国家标准，含水率≤7.4% （防潮、防虫、防腐处理）。 </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2、木皮：采用AAA级美国大西洋胡桃木皮，厚度为0.6mm，木皮纹路清晰无瑕疵。 </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3、油漆：采用优质</w:t>
            </w:r>
            <w:r>
              <w:rPr>
                <w:rFonts w:hint="eastAsia" w:ascii="新宋体" w:hAnsi="新宋体" w:eastAsia="新宋体" w:cs="新宋体"/>
                <w:color w:val="000000"/>
                <w:sz w:val="18"/>
                <w:szCs w:val="18"/>
                <w:lang w:val="en-US" w:eastAsia="zh-CN" w:bidi="ar"/>
              </w:rPr>
              <w:t xml:space="preserve">水性</w:t>
            </w:r>
            <w:r>
              <w:rPr>
                <w:rFonts w:hint="eastAsia" w:ascii="新宋体" w:hAnsi="新宋体" w:eastAsia="新宋体" w:cs="新宋体"/>
                <w:color w:val="000000"/>
                <w:sz w:val="18"/>
                <w:szCs w:val="18"/>
                <w:lang w:bidi="ar"/>
              </w:rPr>
              <w:t xml:space="preserve">面漆饰面，高聚脂环保油漆，经五底三面工艺，成品油漆表面硬度可达3H级，面漆耐磨度、硬度、耐酸均高于国家标准，漆面透明度好，色泽均匀、木纹纹理清晰，光滑耐磨、手感好，甲苯、二甲苯、乙苯含量总和≤0.5%；</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4、封边：采用实木木皮封边，双面贴木皮，表面油漆工艺。 </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5、五金配件：采用优质五金配件。                                                          6、所有板材厚度均为3</w:t>
            </w:r>
            <w:r>
              <w:rPr>
                <w:rFonts w:hint="eastAsia" w:ascii="新宋体" w:hAnsi="新宋体" w:eastAsia="新宋体" w:cs="新宋体"/>
                <w:color w:val="000000"/>
                <w:sz w:val="18"/>
                <w:szCs w:val="18"/>
                <w:lang w:val="en-US" w:eastAsia="zh-CN" w:bidi="ar"/>
              </w:rPr>
              <w:t xml:space="preserve">4</w:t>
            </w:r>
            <w:r>
              <w:rPr>
                <w:rFonts w:hint="eastAsia" w:ascii="新宋体" w:hAnsi="新宋体" w:eastAsia="新宋体" w:cs="新宋体"/>
                <w:color w:val="000000"/>
                <w:sz w:val="18"/>
                <w:szCs w:val="18"/>
                <w:lang w:bidi="ar"/>
              </w:rPr>
              <w:t xml:space="preserve">mm，扶手和靠背顶端采用实木原木造型条。</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eastAsia" w:ascii="新宋体" w:hAnsi="新宋体" w:eastAsia="新宋体" w:cs="新宋体"/>
                <w:color w:val="000000"/>
                <w:sz w:val="20"/>
                <w:szCs w:val="20"/>
                <w:lang w:eastAsia="zh-CN"/>
              </w:rPr>
            </w:pPr>
            <w:r>
              <w:rPr>
                <w:rFonts w:hint="eastAsia" w:ascii="新宋体" w:hAnsi="新宋体" w:eastAsia="新宋体" w:cs="新宋体"/>
                <w:color w:val="000000"/>
                <w:sz w:val="18"/>
                <w:szCs w:val="18"/>
                <w:lang w:bidi="ar"/>
              </w:rPr>
              <w:t xml:space="preserve">所有板材厚度均为3</w:t>
            </w:r>
            <w:r>
              <w:rPr>
                <w:rFonts w:hint="eastAsia" w:ascii="新宋体" w:hAnsi="新宋体" w:eastAsia="新宋体" w:cs="新宋体"/>
                <w:color w:val="000000"/>
                <w:sz w:val="18"/>
                <w:szCs w:val="18"/>
                <w:lang w:val="en-US" w:eastAsia="zh-CN" w:bidi="ar"/>
              </w:rPr>
              <w:t xml:space="preserve">4</w:t>
            </w:r>
            <w:r>
              <w:rPr>
                <w:rFonts w:hint="eastAsia" w:ascii="新宋体" w:hAnsi="新宋体" w:eastAsia="新宋体" w:cs="新宋体"/>
                <w:color w:val="000000"/>
                <w:sz w:val="18"/>
                <w:szCs w:val="18"/>
                <w:lang w:bidi="ar"/>
              </w:rPr>
              <w:t xml:space="preserve">mm，扶手和靠背顶端采用实木原木造型条</w:t>
            </w:r>
            <w:r>
              <w:rPr>
                <w:rFonts w:hint="eastAsia" w:ascii="新宋体" w:hAnsi="新宋体" w:eastAsia="新宋体" w:cs="新宋体"/>
                <w:color w:val="000000"/>
                <w:sz w:val="18"/>
                <w:szCs w:val="18"/>
                <w:lang w:eastAsia="zh-CN" w:bidi="ar"/>
              </w:rPr>
              <w:t xml:space="preserve">，</w:t>
            </w:r>
            <w:r>
              <w:rPr>
                <w:rFonts w:hint="eastAsia" w:ascii="新宋体" w:hAnsi="新宋体" w:eastAsia="新宋体" w:cs="新宋体"/>
                <w:b/>
                <w:bCs/>
                <w:color w:val="000000"/>
                <w:sz w:val="18"/>
                <w:szCs w:val="18"/>
                <w:lang w:val="en-US" w:eastAsia="zh-CN" w:bidi="ar"/>
              </w:rPr>
              <w:t xml:space="preserve">展示产品样品和扶手小样（含顶端实木线条部分、毛坯、小样不做油漆），扶手小样尺寸200mm*200mm</w:t>
            </w:r>
            <w:r>
              <w:rPr>
                <w:rFonts w:hint="eastAsia" w:ascii="新宋体" w:hAnsi="新宋体" w:eastAsia="新宋体" w:cs="新宋体"/>
                <w:b/>
                <w:bCs/>
                <w:color w:val="000000"/>
                <w:sz w:val="18"/>
                <w:szCs w:val="18"/>
                <w:lang w:eastAsia="zh-CN" w:bidi="ar"/>
              </w:rPr>
              <w:t xml:space="preserve">。</w:t>
            </w:r>
            <w:r/>
          </w:p>
        </w:tc>
      </w:tr>
      <w:tr>
        <w:trPr>
          <w:trHeight w:val="123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法官椅-1</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542925</wp:posOffset>
                      </wp:positionH>
                      <wp:positionV relativeFrom="paragraph">
                        <wp:posOffset>222250</wp:posOffset>
                      </wp:positionV>
                      <wp:extent cx="632460" cy="1265555"/>
                      <wp:effectExtent l="0" t="0" r="0" b="0"/>
                      <wp:wrapNone/>
                      <wp:docPr id="26" name="图片_33"/>
                      <wp:cNvGraphicFramePr/>
                      <a:graphic xmlns:a="http://schemas.openxmlformats.org/drawingml/2006/main">
                        <a:graphicData uri="http://schemas.openxmlformats.org/drawingml/2006/picture">
                          <pic:pic xmlns:pic="http://schemas.openxmlformats.org/drawingml/2006/picture">
                            <pic:nvPicPr>
                              <pic:cNvPr id="61" name="图片_33"/>
                              <pic:cNvPicPr>
                                <a:picLocks noChangeArrowheads="1"/>
                              </pic:cNvPicPr>
                              <pic:nvPr/>
                            </pic:nvPicPr>
                            <pic:blipFill>
                              <a:blip r:embed="rId38"/>
                              <a:stretch/>
                            </pic:blipFill>
                            <pic:spPr bwMode="auto">
                              <a:xfrm>
                                <a:off x="0" y="0"/>
                                <a:ext cx="632459" cy="1265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79744;o:allowoverlap:true;o:allowincell:true;mso-position-horizontal-relative:text;margin-left:42.8pt;mso-position-horizontal:absolute;mso-position-vertical-relative:text;margin-top:17.5pt;mso-position-vertical:absolute;width:49.8pt;height:99.6pt;mso-wrap-distance-left:9.0pt;mso-wrap-distance-top:0.0pt;mso-wrap-distance-right:9.0pt;mso-wrap-distance-bottom:0.0pt;" stroked="f">
                      <v:path textboxrect="0,0,0,0"/>
                      <v:imagedata r:id="rId3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680*595*1700</w:t>
            </w:r>
            <w:r/>
          </w:p>
        </w:tc>
        <w:tc>
          <w:tcPr>
            <w:tcBorders>
              <w:top w:val="singl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numPr>
                <w:ilvl w:val="0"/>
                <w:numId w:val="5"/>
              </w:numPr>
              <w:jc w:val="left"/>
              <w:widowControl/>
              <w:rPr>
                <w:rFonts w:ascii="新宋体" w:hAnsi="新宋体" w:eastAsia="新宋体" w:cs="新宋体"/>
                <w:color w:val="000000"/>
                <w:sz w:val="18"/>
                <w:szCs w:val="18"/>
                <w:lang w:bidi="ar"/>
              </w:rPr>
            </w:pPr>
            <w:r>
              <w:rPr>
                <w:rFonts w:hint="eastAsia" w:ascii="新宋体" w:hAnsi="新宋体" w:eastAsia="新宋体" w:cs="新宋体"/>
                <w:color w:val="000000"/>
                <w:sz w:val="18"/>
                <w:szCs w:val="18"/>
                <w:lang w:bidi="ar"/>
              </w:rPr>
              <w:t xml:space="preserve">面料：采用进口水性皮，厚度0.9-1.5mm，抗强度≥10N/mm2，撕裂强度≥30N/mm2，断裂伸长率≤80%，颜色摩擦牢度≥4.5/3.5级，（干/湿）涂层牢度≥2.5/10mm，皮面光泽度好，透气强，柔软且富有韧性，厚度适中，具有冬暖夏凉的效果，且手感良好。  </w:t>
            </w:r>
            <w:r/>
          </w:p>
          <w:p>
            <w:pPr>
              <w:numPr>
                <w:ilvl w:val="0"/>
                <w:numId w:val="5"/>
              </w:numPr>
              <w:jc w:val="left"/>
              <w:widowControl/>
              <w:rPr>
                <w:rFonts w:ascii="新宋体" w:hAnsi="新宋体" w:eastAsia="新宋体" w:cs="新宋体"/>
                <w:color w:val="000000"/>
                <w:sz w:val="18"/>
                <w:szCs w:val="18"/>
                <w:lang w:bidi="ar"/>
              </w:rPr>
            </w:pPr>
            <w:r>
              <w:rPr>
                <w:rFonts w:hint="eastAsia" w:ascii="新宋体" w:hAnsi="新宋体" w:eastAsia="新宋体" w:cs="新宋体"/>
                <w:color w:val="000000"/>
                <w:sz w:val="18"/>
                <w:szCs w:val="18"/>
                <w:lang w:bidi="ar"/>
              </w:rPr>
              <w:t xml:space="preserve">木架：优选橡胶木实木，符合QB/T2280国际标准，经防潮、防腐、防虫化学处理。设计依据人体工程学原理设计。 </w:t>
            </w:r>
            <w:r/>
          </w:p>
          <w:p>
            <w:pPr>
              <w:numPr>
                <w:ilvl w:val="0"/>
                <w:numId w:val="5"/>
              </w:numPr>
              <w:jc w:val="left"/>
              <w:widowControl/>
              <w:rPr>
                <w:rFonts w:ascii="新宋体" w:hAnsi="新宋体" w:eastAsia="新宋体" w:cs="新宋体"/>
                <w:color w:val="000000"/>
                <w:sz w:val="18"/>
                <w:szCs w:val="18"/>
                <w:lang w:bidi="ar"/>
              </w:rPr>
            </w:pPr>
            <w:r>
              <w:rPr>
                <w:rFonts w:hint="eastAsia" w:ascii="新宋体" w:hAnsi="新宋体" w:eastAsia="新宋体" w:cs="新宋体"/>
                <w:color w:val="000000"/>
                <w:sz w:val="18"/>
                <w:szCs w:val="18"/>
                <w:lang w:bidi="ar"/>
              </w:rPr>
              <w:t xml:space="preserve">油漆：采用优质面漆饰面，高聚脂环保油漆，经五底三面工艺，甲醛释放量达到国家环保E</w:t>
            </w:r>
            <w:r>
              <w:rPr>
                <w:rFonts w:hint="eastAsia" w:ascii="新宋体" w:hAnsi="新宋体" w:eastAsia="新宋体" w:cs="新宋体"/>
                <w:color w:val="000000"/>
                <w:sz w:val="18"/>
                <w:szCs w:val="18"/>
                <w:lang w:val="en-US" w:eastAsia="zh-CN" w:bidi="ar"/>
              </w:rPr>
              <w:t xml:space="preserve">0</w:t>
            </w:r>
            <w:r>
              <w:rPr>
                <w:rFonts w:hint="eastAsia" w:ascii="新宋体" w:hAnsi="新宋体" w:eastAsia="新宋体" w:cs="新宋体"/>
                <w:color w:val="000000"/>
                <w:sz w:val="18"/>
                <w:szCs w:val="18"/>
                <w:lang w:bidi="ar"/>
              </w:rPr>
              <w:t xml:space="preserve">级标准。  </w:t>
            </w:r>
            <w:r/>
          </w:p>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4、坐垫海绵：采用优质高密度阻燃海绵，密度45kg/m3，软硬适中，回弹性能好，不变形，根据人体工程学原理设计。</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座椅全部采用实木框架、</w:t>
            </w:r>
            <w:r>
              <w:rPr>
                <w:rFonts w:hint="eastAsia" w:ascii="新宋体" w:hAnsi="新宋体" w:eastAsia="新宋体" w:cs="新宋体"/>
                <w:color w:val="000000"/>
                <w:sz w:val="18"/>
                <w:szCs w:val="18"/>
                <w:lang w:bidi="ar"/>
              </w:rPr>
              <w:t xml:space="preserve">榫卯结构</w:t>
            </w:r>
            <w:r>
              <w:rPr>
                <w:rFonts w:hint="eastAsia" w:ascii="新宋体" w:hAnsi="新宋体" w:eastAsia="新宋体" w:cs="新宋体"/>
                <w:color w:val="000000"/>
                <w:sz w:val="18"/>
                <w:szCs w:val="18"/>
                <w:lang w:val="en-US" w:eastAsia="zh-CN" w:bidi="ar"/>
              </w:rPr>
              <w:t xml:space="preserve">工艺，软包凳面和靠背，做法参照审讯桌椅标准制作。</w:t>
            </w:r>
            <w:r/>
          </w:p>
        </w:tc>
      </w:tr>
      <w:tr>
        <w:trPr>
          <w:trHeight w:val="12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法官椅-2</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680*595*1600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189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书记员椅、辩护椅</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452120</wp:posOffset>
                      </wp:positionH>
                      <wp:positionV relativeFrom="paragraph">
                        <wp:posOffset>-34925</wp:posOffset>
                      </wp:positionV>
                      <wp:extent cx="634365" cy="892175"/>
                      <wp:effectExtent l="0" t="0" r="13335" b="3175"/>
                      <wp:wrapNone/>
                      <wp:docPr id="27" name="图片_56"/>
                      <wp:cNvGraphicFramePr/>
                      <a:graphic xmlns:a="http://schemas.openxmlformats.org/drawingml/2006/main">
                        <a:graphicData uri="http://schemas.openxmlformats.org/drawingml/2006/picture">
                          <pic:pic xmlns:pic="http://schemas.openxmlformats.org/drawingml/2006/picture">
                            <pic:nvPicPr>
                              <pic:cNvPr id="62" name="图片_56"/>
                              <pic:cNvPicPr>
                                <a:picLocks noChangeArrowheads="1"/>
                              </pic:cNvPicPr>
                              <pic:nvPr/>
                            </pic:nvPicPr>
                            <pic:blipFill>
                              <a:blip r:embed="rId39"/>
                              <a:stretch/>
                            </pic:blipFill>
                            <pic:spPr bwMode="auto">
                              <a:xfrm>
                                <a:off x="0" y="0"/>
                                <a:ext cx="634365" cy="89217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0768;o:allowoverlap:true;o:allowincell:true;mso-position-horizontal-relative:text;margin-left:35.6pt;mso-position-horizontal:absolute;mso-position-vertical-relative:text;margin-top:-2.8pt;mso-position-vertical:absolute;width:49.9pt;height:70.2pt;mso-wrap-distance-left:9.0pt;mso-wrap-distance-top:0.0pt;mso-wrap-distance-right:9.0pt;mso-wrap-distance-bottom:0.0pt;" stroked="f">
                      <v:path textboxrect="0,0,0,0"/>
                      <v:imagedata r:id="rId3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550*520*1160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21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办公椅 </w:t>
            </w:r>
            <w:r>
              <w:rPr>
                <w:rFonts w:hint="eastAsia" w:ascii="新宋体" w:hAnsi="新宋体" w:eastAsia="新宋体" w:cs="新宋体"/>
                <w:b/>
                <w:bCs/>
                <w:color w:val="ff0000"/>
                <w:sz w:val="20"/>
                <w:szCs w:val="20"/>
                <w:lang w:bidi="ar"/>
              </w:rPr>
              <w:t xml:space="preserve">（出样） </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381000</wp:posOffset>
                      </wp:positionH>
                      <wp:positionV relativeFrom="paragraph">
                        <wp:posOffset>104775</wp:posOffset>
                      </wp:positionV>
                      <wp:extent cx="768350" cy="961390"/>
                      <wp:effectExtent l="0" t="0" r="0" b="0"/>
                      <wp:wrapNone/>
                      <wp:docPr id="28" name="图片_1"/>
                      <wp:cNvGraphicFramePr/>
                      <a:graphic xmlns:a="http://schemas.openxmlformats.org/drawingml/2006/main">
                        <a:graphicData uri="http://schemas.openxmlformats.org/drawingml/2006/picture">
                          <pic:pic xmlns:pic="http://schemas.openxmlformats.org/drawingml/2006/picture">
                            <pic:nvPicPr>
                              <pic:cNvPr id="63" name="图片_1"/>
                              <pic:cNvPicPr>
                                <a:picLocks noChangeArrowheads="1"/>
                              </pic:cNvPicPr>
                              <pic:nvPr/>
                            </pic:nvPicPr>
                            <pic:blipFill>
                              <a:blip r:embed="rId40"/>
                              <a:stretch/>
                            </pic:blipFill>
                            <pic:spPr bwMode="auto">
                              <a:xfrm>
                                <a:off x="0" y="0"/>
                                <a:ext cx="768350" cy="961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1792;o:allowoverlap:true;o:allowincell:true;mso-position-horizontal-relative:text;margin-left:30.0pt;mso-position-horizontal:absolute;mso-position-vertical-relative:text;margin-top:8.2pt;mso-position-vertical:absolute;width:60.5pt;height:75.7pt;mso-wrap-distance-left:9.0pt;mso-wrap-distance-top:0.0pt;mso-wrap-distance-right:9.0pt;mso-wrap-distance-bottom:0.0pt;" stroked="f">
                      <v:path textboxrect="0,0,0,0"/>
                      <v:imagedata r:id="rId4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640*710*1020</w:t>
            </w:r>
            <w:r/>
          </w:p>
        </w:tc>
        <w:tc>
          <w:tcPr>
            <w:tcBorders>
              <w:top w:val="singl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1、饰面：采用优质水性皮，符合GB/T 16799-2018标准其中撕裂力≥90N，挥发性有机物（VOC）未检出，可萃取重金属未检出，禁用偶氮染料未检出，游离甲醛未检出。</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2、缝韧和包履要求：表面无疤痕、无结瘤，厚度一致适中，柔软手感好，不掉色和脱漆，平服饱满、无皱折，松紧均匀无松弛，工艺缝线对称均匀，嵌线圆弧处圆滑顺直。</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3、海棉：采用优质海绵，符合GB/T10802-2006、 QB/T2280-2016、 QB/T1952.1-2012、 GB17927.1-2011、 HJ 2547-2016、 QB/T 4371-2012标准要求的检测报告其中回弹率≥45%；伸长率≥140%；撕裂强度≥3.4N/cm；TVOC≤0.05mg/㎡h；泡沫塑料：表观密度（座面）≥40kg/m³；阻燃I级，通过香烟抗引燃特性试验；游离甲醛未检出；肺炎克雷伯氏菌抗菌性能≥90%。  </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4、</w:t>
            </w:r>
            <w:r>
              <w:rPr>
                <w:rFonts w:hint="eastAsia" w:ascii="新宋体" w:hAnsi="新宋体" w:eastAsia="新宋体" w:cs="新宋体"/>
                <w:color w:val="000000"/>
                <w:sz w:val="18"/>
                <w:szCs w:val="18"/>
                <w:lang w:val="en-US" w:eastAsia="zh-CN" w:bidi="ar"/>
              </w:rPr>
              <w:t xml:space="preserve">实木框架</w:t>
            </w:r>
            <w:r>
              <w:rPr>
                <w:rFonts w:hint="eastAsia" w:ascii="新宋体" w:hAnsi="新宋体" w:eastAsia="新宋体" w:cs="新宋体"/>
                <w:color w:val="000000"/>
                <w:sz w:val="18"/>
                <w:szCs w:val="18"/>
                <w:lang w:bidi="ar"/>
              </w:rPr>
              <w:t xml:space="preserve">：优选橡胶木实木，榫卯结构</w:t>
            </w:r>
            <w:r>
              <w:rPr>
                <w:rFonts w:hint="eastAsia" w:ascii="新宋体" w:hAnsi="新宋体" w:eastAsia="新宋体" w:cs="新宋体"/>
                <w:color w:val="000000"/>
                <w:sz w:val="18"/>
                <w:szCs w:val="18"/>
                <w:lang w:val="en-US" w:eastAsia="zh-CN" w:bidi="ar"/>
              </w:rPr>
              <w:t xml:space="preserve">工艺</w:t>
            </w:r>
            <w:r>
              <w:rPr>
                <w:rFonts w:hint="eastAsia" w:ascii="新宋体" w:hAnsi="新宋体" w:eastAsia="新宋体" w:cs="新宋体"/>
                <w:color w:val="000000"/>
                <w:sz w:val="18"/>
                <w:szCs w:val="18"/>
                <w:lang w:bidi="ar"/>
              </w:rPr>
              <w:t xml:space="preserve">，平整光滑，线条匀称牢固耐用。</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5、椅板：符合人体工程学原理，曲木板材经模具八层高频热压成型，（有气孔）厚度12-16mm，板材承受压力达300KG；</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6、环保要求：所供产品符合国家环保E0级标准，甲醛释放量≤0.05mg/m³。                   </w:t>
            </w:r>
            <w:r>
              <w:rPr>
                <w:rFonts w:hint="eastAsia" w:ascii="新宋体" w:hAnsi="新宋体" w:eastAsia="新宋体" w:cs="新宋体"/>
                <w:color w:val="000000"/>
                <w:sz w:val="18"/>
                <w:szCs w:val="18"/>
                <w:lang w:val="en-US" w:eastAsia="zh-CN" w:bidi="ar"/>
              </w:rPr>
              <w:t xml:space="preserve">                                      </w:t>
            </w:r>
            <w:r>
              <w:rPr>
                <w:rFonts w:hint="eastAsia" w:ascii="新宋体" w:hAnsi="新宋体" w:eastAsia="新宋体" w:cs="新宋体"/>
                <w:color w:val="000000"/>
                <w:sz w:val="18"/>
                <w:szCs w:val="18"/>
                <w:lang w:bidi="ar"/>
              </w:rPr>
              <w:t xml:space="preserve">   7、▲办公椅：符合QB/T2280-2016、GB28481-2012、GB/T35607-2017、QB/T 4371-2012、GB/T 24346-2009、GB 8624-2012标准其中软质聚氨酯泡沫塑料：密度，回弹性，75%压缩永久变形均合格；耐盐雾18h合格；干摩擦色牢度≥5级；力学性能：稳定性合格；座面冲击，底座静载荷</w:t>
            </w:r>
            <w:r>
              <w:rPr>
                <w:rFonts w:hint="eastAsia" w:ascii="新宋体" w:hAnsi="新宋体" w:eastAsia="新宋体" w:cs="新宋体"/>
                <w:color w:val="000000"/>
                <w:sz w:val="18"/>
                <w:szCs w:val="18"/>
                <w:lang w:bidi="ar"/>
              </w:rPr>
              <w:t xml:space="preserve">均合格；扶手垂直向下静载荷合格；扶手水平静载荷合格；脚轮往复磨损（10万次）合格；椅背往复耐久性（12万次）合格；倾斜机构（30万次）合格；座面回转耐久性（12万次）合格；座面耐久性（10万次）合格；跌落合格；TVOC未检出；邻苯二甲酸酯、重金属4个、多环芳烃（苯并[a]芘、16种多环芳烃（PAH）总量）均未检出；多溴联苯、多溴二苯醚均未检出；甲醛释放量（气候箱法）未检出，纺织品、皮革中五氯苯酚（PCP）、可分解芳香胺染料均未检出；大肠埃希氏菌抗菌性能≥97%；黄曲霉防霉性能达0级；燃烧性能等级B1级合格。</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right w:val="single" w:color="000000" w:sz="4" w:space="0"/>
            </w:tcBorders>
            <w:tcW w:w="1650" w:type="dxa"/>
            <w:vAlign w:val="center"/>
            <w:vMerge w:val="restart"/>
            <w:textDirection w:val="lrTb"/>
            <w:noWrap/>
          </w:tcPr>
          <w:p>
            <w:pPr>
              <w:jc w:val="center"/>
              <w:rPr>
                <w:rFonts w:hint="default" w:ascii="新宋体" w:hAnsi="新宋体" w:eastAsia="新宋体" w:cs="新宋体"/>
                <w:color w:val="000000"/>
                <w:sz w:val="20"/>
                <w:szCs w:val="20"/>
                <w:lang w:val="en-US"/>
              </w:rPr>
            </w:pPr>
            <w:r>
              <w:rPr>
                <w:rFonts w:hint="eastAsia" w:ascii="新宋体" w:hAnsi="新宋体" w:eastAsia="新宋体" w:cs="新宋体"/>
                <w:color w:val="000000"/>
                <w:sz w:val="20"/>
                <w:szCs w:val="20"/>
                <w:lang w:val="en-US" w:eastAsia="zh-CN"/>
              </w:rPr>
              <w:t xml:space="preserve">座椅全部采用实木框架、</w:t>
            </w:r>
            <w:r>
              <w:rPr>
                <w:rFonts w:hint="eastAsia" w:ascii="新宋体" w:hAnsi="新宋体" w:eastAsia="新宋体" w:cs="新宋体"/>
                <w:color w:val="000000"/>
                <w:sz w:val="18"/>
                <w:szCs w:val="18"/>
                <w:lang w:bidi="ar"/>
              </w:rPr>
              <w:t xml:space="preserve">榫卯结构</w:t>
            </w:r>
            <w:r>
              <w:rPr>
                <w:rFonts w:hint="eastAsia" w:ascii="新宋体" w:hAnsi="新宋体" w:eastAsia="新宋体" w:cs="新宋体"/>
                <w:color w:val="000000"/>
                <w:sz w:val="18"/>
                <w:szCs w:val="18"/>
                <w:lang w:val="en-US" w:eastAsia="zh-CN" w:bidi="ar"/>
              </w:rPr>
              <w:t xml:space="preserve">工艺，软包凳面和靠背，实木扶手。</w:t>
            </w:r>
            <w:r/>
          </w:p>
        </w:tc>
      </w:tr>
      <w:tr>
        <w:trPr>
          <w:trHeight w:val="17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谈话椅、调解椅、会议椅、写字椅</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466725</wp:posOffset>
                      </wp:positionH>
                      <wp:positionV relativeFrom="paragraph">
                        <wp:posOffset>98425</wp:posOffset>
                      </wp:positionV>
                      <wp:extent cx="619125" cy="820420"/>
                      <wp:effectExtent l="0" t="0" r="0" b="0"/>
                      <wp:wrapNone/>
                      <wp:docPr id="29" name="Picture_11"/>
                      <wp:cNvGraphicFramePr/>
                      <a:graphic xmlns:a="http://schemas.openxmlformats.org/drawingml/2006/main">
                        <a:graphicData uri="http://schemas.openxmlformats.org/drawingml/2006/picture">
                          <pic:pic xmlns:pic="http://schemas.openxmlformats.org/drawingml/2006/picture">
                            <pic:nvPicPr>
                              <pic:cNvPr id="64" name="Picture_11"/>
                              <pic:cNvPicPr>
                                <a:picLocks noChangeArrowheads="1"/>
                              </pic:cNvPicPr>
                              <pic:nvPr/>
                            </pic:nvPicPr>
                            <pic:blipFill>
                              <a:blip r:embed="rId41"/>
                              <a:stretch/>
                            </pic:blipFill>
                            <pic:spPr bwMode="auto">
                              <a:xfrm>
                                <a:off x="0" y="0"/>
                                <a:ext cx="619125" cy="820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2816;o:allowoverlap:true;o:allowincell:true;mso-position-horizontal-relative:text;margin-left:36.8pt;mso-position-horizontal:absolute;mso-position-vertical-relative:text;margin-top:7.8pt;mso-position-vertical:absolute;width:48.8pt;height:64.6pt;mso-wrap-distance-left:9.0pt;mso-wrap-distance-top:0.0pt;mso-wrap-distance-right:9.0pt;mso-wrap-distance-bottom:0.0pt;" stroked="f">
                      <v:path textboxrect="0,0,0,0"/>
                      <v:imagedata r:id="rId4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新宋体" w:hAnsi="新宋体" w:eastAsia="新宋体" w:cs="新宋体"/>
                <w:color w:val="000000"/>
                <w:sz w:val="20"/>
                <w:szCs w:val="20"/>
                <w:lang w:eastAsia="zh-CN"/>
              </w:rPr>
            </w:pPr>
            <w:r>
              <w:rPr>
                <w:rFonts w:hint="eastAsia" w:ascii="新宋体" w:hAnsi="新宋体" w:eastAsia="新宋体" w:cs="新宋体"/>
                <w:color w:val="000000"/>
                <w:sz w:val="20"/>
                <w:szCs w:val="20"/>
                <w:lang w:bidi="ar"/>
              </w:rPr>
              <w:t xml:space="preserve">550*470*925</w:t>
            </w:r>
            <w:r>
              <w:rPr>
                <w:rFonts w:hint="eastAsia" w:ascii="新宋体" w:hAnsi="新宋体" w:eastAsia="新宋体" w:cs="新宋体"/>
                <w:color w:val="000000"/>
                <w:sz w:val="20"/>
                <w:szCs w:val="20"/>
                <w:lang w:eastAsia="zh-CN" w:bidi="ar"/>
              </w:rPr>
              <w:t xml:space="preserve">（</w:t>
            </w:r>
            <w:r>
              <w:rPr>
                <w:rFonts w:hint="eastAsia" w:ascii="新宋体" w:hAnsi="新宋体" w:eastAsia="新宋体" w:cs="新宋体"/>
                <w:color w:val="000000"/>
                <w:sz w:val="20"/>
                <w:szCs w:val="20"/>
                <w:lang w:val="en-US" w:eastAsia="zh-CN" w:bidi="ar"/>
              </w:rPr>
              <w:t xml:space="preserve">无扶手</w:t>
            </w:r>
            <w:r>
              <w:rPr>
                <w:rFonts w:hint="eastAsia" w:ascii="新宋体" w:hAnsi="新宋体" w:eastAsia="新宋体" w:cs="新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18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会议椅</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409575</wp:posOffset>
                      </wp:positionH>
                      <wp:positionV relativeFrom="paragraph">
                        <wp:posOffset>54610</wp:posOffset>
                      </wp:positionV>
                      <wp:extent cx="660400" cy="916940"/>
                      <wp:effectExtent l="0" t="0" r="0" b="0"/>
                      <wp:wrapNone/>
                      <wp:docPr id="30" name="图片_14"/>
                      <wp:cNvGraphicFramePr/>
                      <a:graphic xmlns:a="http://schemas.openxmlformats.org/drawingml/2006/main">
                        <a:graphicData uri="http://schemas.openxmlformats.org/drawingml/2006/picture">
                          <pic:pic xmlns:pic="http://schemas.openxmlformats.org/drawingml/2006/picture">
                            <pic:nvPicPr>
                              <pic:cNvPr id="65" name="图片_14"/>
                              <pic:cNvPicPr>
                                <a:picLocks noChangeArrowheads="1"/>
                              </pic:cNvPicPr>
                              <pic:nvPr/>
                            </pic:nvPicPr>
                            <pic:blipFill>
                              <a:blip r:embed="rId42"/>
                              <a:stretch/>
                            </pic:blipFill>
                            <pic:spPr bwMode="auto">
                              <a:xfrm>
                                <a:off x="0" y="0"/>
                                <a:ext cx="660400" cy="916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3840;o:allowoverlap:true;o:allowincell:true;mso-position-horizontal-relative:text;margin-left:32.2pt;mso-position-horizontal:absolute;mso-position-vertical-relative:text;margin-top:4.3pt;mso-position-vertical:absolute;width:52.0pt;height:72.2pt;mso-wrap-distance-left:9.0pt;mso-wrap-distance-top:0.0pt;mso-wrap-distance-right:9.0pt;mso-wrap-distance-bottom:0.0pt;" stroked="f">
                      <v:path textboxrect="0,0,0,0"/>
                      <v:imagedata r:id="rId4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660*605*1110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17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会议椅</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447675</wp:posOffset>
                      </wp:positionH>
                      <wp:positionV relativeFrom="paragraph">
                        <wp:posOffset>87630</wp:posOffset>
                      </wp:positionV>
                      <wp:extent cx="641350" cy="858520"/>
                      <wp:effectExtent l="0" t="0" r="0" b="0"/>
                      <wp:wrapNone/>
                      <wp:docPr id="31" name="图片_65"/>
                      <wp:cNvGraphicFramePr/>
                      <a:graphic xmlns:a="http://schemas.openxmlformats.org/drawingml/2006/main">
                        <a:graphicData uri="http://schemas.openxmlformats.org/drawingml/2006/picture">
                          <pic:pic xmlns:pic="http://schemas.openxmlformats.org/drawingml/2006/picture">
                            <pic:nvPicPr>
                              <pic:cNvPr id="66" name="图片_65"/>
                              <pic:cNvPicPr>
                                <a:picLocks noChangeArrowheads="1"/>
                              </pic:cNvPicPr>
                              <pic:nvPr/>
                            </pic:nvPicPr>
                            <pic:blipFill>
                              <a:blip r:embed="rId43"/>
                              <a:stretch/>
                            </pic:blipFill>
                            <pic:spPr bwMode="auto">
                              <a:xfrm>
                                <a:off x="0" y="0"/>
                                <a:ext cx="641350" cy="858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4864;o:allowoverlap:true;o:allowincell:true;mso-position-horizontal-relative:text;margin-left:35.2pt;mso-position-horizontal:absolute;mso-position-vertical-relative:text;margin-top:6.9pt;mso-position-vertical:absolute;width:50.5pt;height:67.6pt;mso-wrap-distance-left:9.0pt;mso-wrap-distance-top:0.0pt;mso-wrap-distance-right:9.0pt;mso-wrap-distance-bottom:0.0pt;" stroked="f">
                      <v:path textboxrect="0,0,0,0"/>
                      <v:imagedata r:id="rId4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bidi="ar"/>
              </w:rPr>
              <w:t xml:space="preserve">630*600*950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16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接待椅       </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361950</wp:posOffset>
                      </wp:positionH>
                      <wp:positionV relativeFrom="paragraph">
                        <wp:posOffset>12700</wp:posOffset>
                      </wp:positionV>
                      <wp:extent cx="685165" cy="869315"/>
                      <wp:effectExtent l="0" t="0" r="0" b="0"/>
                      <wp:wrapNone/>
                      <wp:docPr id="32" name="图片_5"/>
                      <wp:cNvGraphicFramePr/>
                      <a:graphic xmlns:a="http://schemas.openxmlformats.org/drawingml/2006/main">
                        <a:graphicData uri="http://schemas.openxmlformats.org/drawingml/2006/picture">
                          <pic:pic xmlns:pic="http://schemas.openxmlformats.org/drawingml/2006/picture">
                            <pic:nvPicPr>
                              <pic:cNvPr id="67" name="图片_5"/>
                              <pic:cNvPicPr>
                                <a:picLocks noChangeArrowheads="1"/>
                              </pic:cNvPicPr>
                              <pic:nvPr/>
                            </pic:nvPicPr>
                            <pic:blipFill>
                              <a:blip r:embed="rId44"/>
                              <a:stretch/>
                            </pic:blipFill>
                            <pic:spPr bwMode="auto">
                              <a:xfrm>
                                <a:off x="0" y="0"/>
                                <a:ext cx="685165" cy="869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5888;o:allowoverlap:true;o:allowincell:true;mso-position-horizontal-relative:text;margin-left:28.5pt;mso-position-horizontal:absolute;mso-position-vertical-relative:text;margin-top:1.0pt;mso-position-vertical:absolute;width:53.9pt;height:68.5pt;mso-wrap-distance-left:9.0pt;mso-wrap-distance-top:0.0pt;mso-wrap-distance-right:9.0pt;mso-wrap-distance-bottom:0.0pt;" stroked="f">
                      <v:path textboxrect="0,0,0,0"/>
                      <v:imagedata r:id="rId4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标准</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1、座椅表面采用优质西皮饰面；</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2、40密度高弹力海绵；</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3、铸铁底座，表面采用不锈钢拉丝工艺；</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4、单功能底盘带升降功能，电镀汽杆；</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  </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29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val="en-US" w:eastAsia="zh-CN" w:bidi="ar"/>
              </w:rPr>
              <w:t xml:space="preserve">单人位</w:t>
            </w:r>
            <w:r>
              <w:rPr>
                <w:rFonts w:hint="eastAsia" w:ascii="新宋体" w:hAnsi="新宋体" w:eastAsia="新宋体" w:cs="新宋体"/>
                <w:color w:val="000000"/>
                <w:sz w:val="20"/>
                <w:szCs w:val="20"/>
                <w:lang w:bidi="ar"/>
              </w:rPr>
              <w:t xml:space="preserve">沙发</w:t>
            </w:r>
            <w:r>
              <w:rPr>
                <w:rFonts w:hint="eastAsia" w:ascii="新宋体" w:hAnsi="新宋体" w:eastAsia="新宋体" w:cs="新宋体"/>
                <w:b/>
                <w:bCs/>
                <w:color w:val="ff0000"/>
                <w:sz w:val="20"/>
                <w:szCs w:val="20"/>
                <w:lang w:bidi="ar"/>
              </w:rPr>
              <w:t xml:space="preserve">（出样）</w:t>
            </w:r>
            <w:r/>
          </w:p>
        </w:tc>
        <w:tc>
          <w:tcPr>
            <w:tcBorders>
              <w:top w:val="non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hint="eastAsia" w:ascii="新宋体" w:hAnsi="新宋体" w:eastAsia="新宋体" w:cs="新宋体"/>
                <w:color w:val="000000"/>
                <w:sz w:val="20"/>
                <w:szCs w:val="20"/>
                <w:lang w:eastAsia="zh-CN"/>
              </w:rPr>
            </w:pPr>
            <w:r>
              <w:rPr>
                <w:rFonts w:hint="eastAsia" w:ascii="新宋体" w:hAnsi="新宋体" w:eastAsia="新宋体" w:cs="新宋体"/>
                <w:color w:val="000000"/>
                <w:sz w:val="20"/>
                <w:szCs w:val="20"/>
                <w:lang w:eastAsia="zh-CN"/>
              </w:rPr>
              <mc:AlternateContent>
                <mc:Choice Requires="wpg">
                  <w:drawing>
                    <wp:inline xmlns:wp="http://schemas.openxmlformats.org/drawingml/2006/wordprocessingDrawing" distT="0" distB="0" distL="0" distR="0">
                      <wp:extent cx="944880" cy="1121410"/>
                      <wp:effectExtent l="0" t="0" r="7620" b="2540"/>
                      <wp:docPr id="33" name="图片 4" descr="6f21546daddffd16851f3c7fd97b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6f21546daddffd16851f3c7fd97b874"/>
                              <pic:cNvPicPr>
                                <a:picLocks noChangeAspect="1"/>
                              </pic:cNvPicPr>
                              <pic:nvPr/>
                            </pic:nvPicPr>
                            <pic:blipFill>
                              <a:blip r:embed="rId45"/>
                              <a:stretch/>
                            </pic:blipFill>
                            <pic:spPr bwMode="auto">
                              <a:xfrm>
                                <a:off x="0" y="0"/>
                                <a:ext cx="944880" cy="11214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4.4pt;height:88.3pt;mso-wrap-distance-left:0.0pt;mso-wrap-distance-top:0.0pt;mso-wrap-distance-right:0.0pt;mso-wrap-distance-bottom:0.0pt;" stroked="false">
                      <v:path textboxrect="0,0,0,0"/>
                      <v:imagedata r:id="rId4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1930*860*9</w:t>
            </w:r>
            <w:r>
              <w:rPr>
                <w:rFonts w:hint="eastAsia" w:ascii="新宋体" w:hAnsi="新宋体" w:eastAsia="新宋体" w:cs="新宋体"/>
                <w:color w:val="000000"/>
                <w:sz w:val="20"/>
                <w:szCs w:val="20"/>
                <w:lang w:val="en-US" w:eastAsia="zh-CN" w:bidi="ar"/>
              </w:rPr>
              <w:t xml:space="preserve">8</w:t>
            </w:r>
            <w:r>
              <w:rPr>
                <w:rFonts w:hint="eastAsia" w:ascii="新宋体" w:hAnsi="新宋体" w:eastAsia="新宋体" w:cs="新宋体"/>
                <w:color w:val="000000"/>
                <w:sz w:val="20"/>
                <w:szCs w:val="20"/>
                <w:lang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1、饰面：采用优质水性皮（PVC仿皮），符合GB/T 16799-2018标准其中撕裂力≥90N，挥发性有机物（VOC）未检出，可萃取重金属未检出，禁用偶氮染料未检出，游离甲醛未检出。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2、缝韧和包履要求：表面无疤痕、无结瘤，厚度一致适中，柔软手感好，不掉色和脱漆，平服饱满、无皱折，松紧均匀无松弛，工艺缝线对称均匀，嵌线圆弧处圆滑顺直。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3、海棉：采用优质▲海绵，符合GB/T10802-2006、 QB/T2280-2016、 QB/T1952.1-2012、 GB17927.1-2011、 HJ 2547-2016、 QB/T 4371-2012标准要求的检测报告其中回弹率≥45%；伸长率≥140%；撕裂强度≥3.4N/cm；TVOC≤0.05mg/㎡h；泡沫塑料：表观密度（座面）≥40kg/m³；阻燃I级，通过香烟抗引燃特性试验；游离甲醛未检出；肺炎克雷伯氏菌抗菌性能≥90%。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
              </w:rPr>
              <w:t xml:space="preserve">实木框架</w:t>
            </w:r>
            <w:r>
              <w:rPr>
                <w:rFonts w:hint="eastAsia" w:ascii="宋体" w:hAnsi="宋体" w:cs="宋体"/>
                <w:color w:val="000000"/>
                <w:sz w:val="20"/>
                <w:szCs w:val="20"/>
                <w:lang w:bidi="ar"/>
              </w:rPr>
              <w:t xml:space="preserve">：采用优质西南桦实木</w:t>
            </w:r>
            <w:r>
              <w:rPr>
                <w:rFonts w:hint="eastAsia" w:ascii="宋体" w:hAnsi="宋体" w:cs="宋体"/>
                <w:color w:val="000000"/>
                <w:sz w:val="20"/>
                <w:szCs w:val="20"/>
                <w:lang w:val="en-US" w:eastAsia="zh-CN" w:bidi="ar"/>
              </w:rPr>
              <w:t xml:space="preserve">框架</w:t>
            </w:r>
            <w:r>
              <w:rPr>
                <w:rFonts w:hint="eastAsia" w:ascii="宋体" w:hAnsi="宋体" w:cs="宋体"/>
                <w:color w:val="000000"/>
                <w:sz w:val="20"/>
                <w:szCs w:val="20"/>
                <w:lang w:bidi="ar"/>
              </w:rPr>
              <w:t xml:space="preserve">结构</w:t>
            </w:r>
            <w:r>
              <w:rPr>
                <w:rFonts w:hint="eastAsia" w:ascii="宋体" w:hAnsi="宋体" w:cs="宋体"/>
                <w:color w:val="000000"/>
                <w:sz w:val="20"/>
                <w:szCs w:val="20"/>
                <w:lang w:val="en-US" w:eastAsia="zh-CN" w:bidi="ar"/>
              </w:rPr>
              <w:t xml:space="preserve">工艺</w:t>
            </w:r>
            <w:r>
              <w:rPr>
                <w:rFonts w:hint="eastAsia" w:ascii="宋体" w:hAnsi="宋体" w:cs="宋体"/>
                <w:color w:val="000000"/>
                <w:sz w:val="20"/>
                <w:szCs w:val="20"/>
                <w:lang w:bidi="ar"/>
              </w:rPr>
              <w:t xml:space="preserve">，平整光滑，线条匀称牢固耐用。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5、椅板：符合人体工程学原理，曲木板材经模具八层中频热压成型，（有气孔）厚度12-16mm，板材承受压力达300KG；甲醛释放量≤0.05mg/m³。                                        </w:t>
            </w:r>
            <w:r>
              <w:rPr>
                <w:rFonts w:hint="eastAsia" w:ascii="宋体" w:hAnsi="宋体" w:cs="宋体"/>
                <w:color w:val="000000"/>
                <w:sz w:val="20"/>
                <w:szCs w:val="20"/>
                <w:lang w:bidi="ar"/>
              </w:rPr>
              <w:t xml:space="preserve">                                6、▲沙发：符合QB/T1952.1-2012、GB/T35607-2017、 GB8624-2012、HJ2547-2016、QB/T4371-2012、GB/T1741-2020标准要求的检测报告其中外形对称度合格，外观要求合格，覆面材料理化性能合格，力学性能合格，安全性能合格，撕裂强度≥15N/cm,苯、甲苯、二甲苯、TVOC、甲醛释放量均未检出，可迁移元素未检出，阻燃性能达B1级，抗菌率24h达99%,耐霉性能：黑曲霉、黄曲霉均达0级。</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沙发含有腿拖拉伸、靠背后仰功能，便于午休，扶手宽度不低于10cm。</w:t>
            </w:r>
            <w:r/>
          </w:p>
        </w:tc>
      </w:tr>
      <w:tr>
        <w:trPr>
          <w:trHeight w:val="466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休闲桌椅（1桌4椅）</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66675</wp:posOffset>
                      </wp:positionH>
                      <wp:positionV relativeFrom="paragraph">
                        <wp:posOffset>241300</wp:posOffset>
                      </wp:positionV>
                      <wp:extent cx="1480820" cy="944245"/>
                      <wp:effectExtent l="0" t="0" r="0" b="0"/>
                      <wp:wrapNone/>
                      <wp:docPr id="34" name="图片_16"/>
                      <wp:cNvGraphicFramePr/>
                      <a:graphic xmlns:a="http://schemas.openxmlformats.org/drawingml/2006/main">
                        <a:graphicData uri="http://schemas.openxmlformats.org/drawingml/2006/picture">
                          <pic:pic xmlns:pic="http://schemas.openxmlformats.org/drawingml/2006/picture">
                            <pic:nvPicPr>
                              <pic:cNvPr id="69" name="图片_16"/>
                              <pic:cNvPicPr>
                                <a:picLocks noChangeArrowheads="1"/>
                              </pic:cNvPicPr>
                              <pic:nvPr/>
                            </pic:nvPicPr>
                            <pic:blipFill>
                              <a:blip r:embed="rId46"/>
                              <a:stretch/>
                            </pic:blipFill>
                            <pic:spPr bwMode="auto">
                              <a:xfrm>
                                <a:off x="0" y="0"/>
                                <a:ext cx="1480820" cy="944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6912;o:allowoverlap:true;o:allowincell:true;mso-position-horizontal-relative:text;margin-left:5.2pt;mso-position-horizontal:absolute;mso-position-vertical-relative:text;margin-top:19.0pt;mso-position-vertical:absolute;width:116.6pt;height:74.3pt;mso-wrap-distance-left:9.0pt;mso-wrap-distance-top:0.0pt;mso-wrap-distance-right:9.0pt;mso-wrap-distance-bottom:0.0pt;" stroked="f">
                      <v:path textboxrect="0,0,0,0"/>
                      <v:imagedata r:id="rId4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φ800*750</w:t>
            </w:r>
            <w:r/>
          </w:p>
        </w:tc>
        <w:tc>
          <w:tcPr>
            <w:shd w:val="clear" w:color="auto" w:fill="ffffff"/>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rPr>
            </w:pPr>
            <w:r>
              <w:rPr>
                <w:rFonts w:hint="eastAsia" w:ascii="宋体" w:hAnsi="宋体" w:cs="宋体"/>
                <w:color w:val="000000"/>
                <w:sz w:val="20"/>
                <w:szCs w:val="20"/>
                <w:lang w:val="en-US" w:eastAsia="zh-CN" w:bidi="ar"/>
              </w:rPr>
              <w:t xml:space="preserve">桌椅均采用</w:t>
            </w:r>
            <w:r>
              <w:rPr>
                <w:rFonts w:hint="eastAsia" w:ascii="宋体" w:hAnsi="宋体" w:cs="宋体"/>
                <w:color w:val="000000"/>
                <w:sz w:val="20"/>
                <w:szCs w:val="20"/>
                <w:lang w:bidi="ar"/>
              </w:rPr>
              <w:t xml:space="preserve">实木</w:t>
            </w:r>
            <w:r>
              <w:rPr>
                <w:rFonts w:hint="eastAsia" w:ascii="宋体" w:hAnsi="宋体" w:cs="宋体"/>
                <w:color w:val="000000"/>
                <w:sz w:val="20"/>
                <w:szCs w:val="20"/>
                <w:lang w:val="en-US" w:eastAsia="zh-CN" w:bidi="ar"/>
              </w:rPr>
              <w:t xml:space="preserve">框架</w:t>
            </w:r>
            <w:r>
              <w:rPr>
                <w:rFonts w:hint="eastAsia" w:ascii="宋体" w:hAnsi="宋体" w:cs="宋体"/>
                <w:color w:val="000000"/>
                <w:sz w:val="20"/>
                <w:szCs w:val="20"/>
                <w:lang w:bidi="ar"/>
              </w:rPr>
              <w:t xml:space="preserve">结构</w:t>
            </w:r>
            <w:r>
              <w:rPr>
                <w:rFonts w:hint="eastAsia" w:ascii="宋体" w:hAnsi="宋体" w:cs="宋体"/>
                <w:color w:val="000000"/>
                <w:sz w:val="20"/>
                <w:szCs w:val="20"/>
                <w:lang w:val="en-US" w:eastAsia="zh-CN" w:bidi="ar"/>
              </w:rPr>
              <w:t xml:space="preserve">工艺，软体坐垫为定型海绵，水性西皮饰面，</w:t>
            </w:r>
            <w:r/>
          </w:p>
        </w:tc>
      </w:tr>
      <w:tr>
        <w:trPr>
          <w:trHeight w:val="1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实木床（含环保棕垫）</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104775</wp:posOffset>
                      </wp:positionH>
                      <wp:positionV relativeFrom="paragraph">
                        <wp:posOffset>323850</wp:posOffset>
                      </wp:positionV>
                      <wp:extent cx="1435100" cy="1112520"/>
                      <wp:effectExtent l="0" t="0" r="0" b="0"/>
                      <wp:wrapNone/>
                      <wp:docPr id="35" name="图片_142"/>
                      <wp:cNvGraphicFramePr/>
                      <a:graphic xmlns:a="http://schemas.openxmlformats.org/drawingml/2006/main">
                        <a:graphicData uri="http://schemas.openxmlformats.org/drawingml/2006/picture">
                          <pic:pic xmlns:pic="http://schemas.openxmlformats.org/drawingml/2006/picture">
                            <pic:nvPicPr>
                              <pic:cNvPr id="70" name="图片_142"/>
                              <pic:cNvPicPr>
                                <a:picLocks noChangeArrowheads="1"/>
                              </pic:cNvPicPr>
                              <pic:nvPr/>
                            </pic:nvPicPr>
                            <pic:blipFill>
                              <a:blip r:embed="rId47"/>
                              <a:stretch/>
                            </pic:blipFill>
                            <pic:spPr bwMode="auto">
                              <a:xfrm>
                                <a:off x="0" y="0"/>
                                <a:ext cx="1435100" cy="111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87936;o:allowoverlap:true;o:allowincell:true;mso-position-horizontal-relative:text;margin-left:8.2pt;mso-position-horizontal:absolute;mso-position-vertical-relative:text;margin-top:25.5pt;mso-position-vertical:absolute;width:113.0pt;height:87.6pt;mso-wrap-distance-left:9.0pt;mso-wrap-distance-top:0.0pt;mso-wrap-distance-right:9.0pt;mso-wrap-distance-bottom:0.0pt;" stroked="f">
                      <v:path textboxrect="0,0,0,0"/>
                      <v:imagedata r:id="rId4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rPr>
                <w:rFonts w:hint="eastAsia" w:ascii="新宋体" w:hAnsi="新宋体" w:eastAsia="新宋体" w:cs="新宋体"/>
                <w:color w:val="000000"/>
                <w:sz w:val="20"/>
                <w:szCs w:val="20"/>
                <w:lang w:val="en-US" w:eastAsia="zh-CN" w:bidi="ar"/>
              </w:rPr>
              <w:t xml:space="preserve">5</w:t>
            </w:r>
            <w:r>
              <w:rPr>
                <w:rFonts w:hint="eastAsia" w:ascii="新宋体" w:hAnsi="新宋体" w:eastAsia="新宋体" w:cs="新宋体"/>
                <w:color w:val="000000"/>
                <w:sz w:val="20"/>
                <w:szCs w:val="20"/>
                <w:lang w:bidi="ar"/>
              </w:rPr>
              <w:t xml:space="preserve">00*2000</w:t>
            </w:r>
            <w:r/>
          </w:p>
        </w:tc>
        <w:tc>
          <w:tcPr>
            <w:tcBorders>
              <w:top w:val="singl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基材床采用橡胶木实木制作，木材经干燥后平衡含水率&lt;12%以下，密度达到550kg/ m³以上，所使用的木材要求拥有美观漂亮的自然纹理，具有同类树种中最强韧的材质，不易受碰撞损伤并有很好的耐磨性能。要求床板使用杉木，不允许有死节、虫眼、钝楞、腐朽，床板厚度为20mm，床板</w:t>
            </w:r>
            <w:r>
              <w:rPr>
                <w:rFonts w:hint="eastAsia" w:ascii="新宋体" w:hAnsi="新宋体" w:eastAsia="新宋体" w:cs="新宋体"/>
                <w:color w:val="000000"/>
                <w:sz w:val="18"/>
                <w:szCs w:val="18"/>
                <w:lang w:val="en-US" w:eastAsia="zh-CN" w:bidi="ar"/>
              </w:rPr>
              <w:t xml:space="preserve">正</w:t>
            </w:r>
            <w:r>
              <w:rPr>
                <w:rFonts w:hint="eastAsia" w:ascii="新宋体" w:hAnsi="新宋体" w:eastAsia="新宋体" w:cs="新宋体"/>
                <w:color w:val="000000"/>
                <w:sz w:val="18"/>
                <w:szCs w:val="18"/>
                <w:lang w:bidi="ar"/>
              </w:rPr>
              <w:t xml:space="preserve">反面都应</w:t>
            </w:r>
            <w:r>
              <w:rPr>
                <w:rFonts w:hint="eastAsia" w:ascii="新宋体" w:hAnsi="新宋体" w:eastAsia="新宋体" w:cs="新宋体"/>
                <w:color w:val="000000"/>
                <w:sz w:val="18"/>
                <w:szCs w:val="18"/>
                <w:lang w:val="en-US" w:eastAsia="zh-CN" w:bidi="ar"/>
              </w:rPr>
              <w:t xml:space="preserve">抛</w:t>
            </w:r>
            <w:r>
              <w:rPr>
                <w:rFonts w:hint="eastAsia" w:ascii="新宋体" w:hAnsi="新宋体" w:eastAsia="新宋体" w:cs="新宋体"/>
                <w:color w:val="000000"/>
                <w:sz w:val="18"/>
                <w:szCs w:val="18"/>
                <w:lang w:bidi="ar"/>
              </w:rPr>
              <w:t xml:space="preserve">光</w:t>
            </w:r>
            <w:r>
              <w:rPr>
                <w:rFonts w:hint="eastAsia" w:ascii="新宋体" w:hAnsi="新宋体" w:eastAsia="新宋体" w:cs="新宋体"/>
                <w:color w:val="000000"/>
                <w:sz w:val="18"/>
                <w:szCs w:val="18"/>
                <w:lang w:val="en-US" w:eastAsia="zh-CN" w:bidi="ar"/>
              </w:rPr>
              <w:t xml:space="preserve">平整</w:t>
            </w:r>
            <w:r>
              <w:rPr>
                <w:rFonts w:hint="eastAsia" w:ascii="新宋体" w:hAnsi="新宋体" w:eastAsia="新宋体" w:cs="新宋体"/>
                <w:color w:val="000000"/>
                <w:sz w:val="18"/>
                <w:szCs w:val="18"/>
                <w:lang w:bidi="ar"/>
              </w:rPr>
              <w:t xml:space="preserve">。除床板杉木板外整床都需油漆，油漆采用环保水性油漆有害物质限量应符合GB18584的规定。床垫厚度≥8cm环保棕垫。</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套</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床脚采用40*80mm纯实木制作，其余部位板材不低于20mm。</w:t>
            </w:r>
            <w:r/>
          </w:p>
        </w:tc>
      </w:tr>
      <w:tr>
        <w:trPr>
          <w:trHeight w:val="12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床头柜</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450*450*420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18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衣柜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457200</wp:posOffset>
                      </wp:positionH>
                      <wp:positionV relativeFrom="paragraph">
                        <wp:posOffset>57150</wp:posOffset>
                      </wp:positionV>
                      <wp:extent cx="571500" cy="982980"/>
                      <wp:effectExtent l="0" t="0" r="0" b="0"/>
                      <wp:wrapNone/>
                      <wp:docPr id="36" name="图片_59"/>
                      <wp:cNvGraphicFramePr/>
                      <a:graphic xmlns:a="http://schemas.openxmlformats.org/drawingml/2006/main">
                        <a:graphicData uri="http://schemas.openxmlformats.org/drawingml/2006/picture">
                          <pic:pic xmlns:pic="http://schemas.openxmlformats.org/drawingml/2006/picture">
                            <pic:nvPicPr>
                              <pic:cNvPr id="71" name="图片_59"/>
                              <pic:cNvPicPr>
                                <a:picLocks noChangeArrowheads="1"/>
                              </pic:cNvPicPr>
                              <pic:nvPr/>
                            </pic:nvPicPr>
                            <pic:blipFill>
                              <a:blip r:embed="rId48"/>
                              <a:stretch/>
                            </pic:blipFill>
                            <pic:spPr bwMode="auto">
                              <a:xfrm>
                                <a:off x="0" y="0"/>
                                <a:ext cx="571500" cy="982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88960;o:allowoverlap:true;o:allowincell:true;mso-position-horizontal-relative:text;margin-left:36.0pt;mso-position-horizontal:absolute;mso-position-vertical-relative:text;margin-top:4.5pt;mso-position-vertical:absolute;width:45.0pt;height:77.4pt;mso-wrap-distance-left:9.0pt;mso-wrap-distance-top:0.0pt;mso-wrap-distance-right:9.0pt;mso-wrap-distance-bottom:0.0pt;" stroked="f">
                      <v:path textboxrect="0,0,0,0"/>
                      <v:imagedata r:id="rId4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900*550*2000</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numPr>
                <w:ilvl w:val="0"/>
                <w:numId w:val="6"/>
              </w:numPr>
              <w:jc w:val="left"/>
              <w:widowControl/>
              <w:rPr>
                <w:rFonts w:ascii="新宋体" w:hAnsi="新宋体" w:eastAsia="新宋体" w:cs="新宋体"/>
                <w:color w:val="000000"/>
                <w:sz w:val="18"/>
                <w:szCs w:val="18"/>
                <w:lang w:bidi="ar"/>
              </w:rPr>
            </w:pPr>
            <w:r>
              <w:rPr>
                <w:rFonts w:hint="eastAsia" w:ascii="新宋体" w:hAnsi="新宋体" w:eastAsia="新宋体" w:cs="新宋体"/>
                <w:color w:val="000000"/>
                <w:sz w:val="18"/>
                <w:szCs w:val="18"/>
                <w:lang w:bidi="ar"/>
              </w:rPr>
              <w:t xml:space="preserve">基材：采用E0级环保刨花板，甲醛释放量符合国家环保E</w:t>
            </w:r>
            <w:r>
              <w:rPr>
                <w:rFonts w:hint="eastAsia" w:ascii="新宋体" w:hAnsi="新宋体" w:eastAsia="新宋体" w:cs="新宋体"/>
                <w:color w:val="000000"/>
                <w:sz w:val="18"/>
                <w:szCs w:val="18"/>
                <w:lang w:val="en-US" w:eastAsia="zh-CN" w:bidi="ar"/>
              </w:rPr>
              <w:t xml:space="preserve">0</w:t>
            </w:r>
            <w:r>
              <w:rPr>
                <w:rFonts w:hint="eastAsia" w:ascii="新宋体" w:hAnsi="新宋体" w:eastAsia="新宋体" w:cs="新宋体"/>
                <w:color w:val="000000"/>
                <w:sz w:val="18"/>
                <w:szCs w:val="18"/>
                <w:lang w:bidi="ar"/>
              </w:rPr>
              <w:t xml:space="preserve">级标准，含水率≤7.4% （防潮、防虫、防腐处理）。</w:t>
            </w:r>
            <w:r/>
          </w:p>
          <w:p>
            <w:pPr>
              <w:numPr>
                <w:ilvl w:val="0"/>
                <w:numId w:val="6"/>
              </w:numPr>
              <w:jc w:val="left"/>
              <w:widowControl/>
              <w:rPr>
                <w:rFonts w:ascii="新宋体" w:hAnsi="新宋体" w:eastAsia="新宋体" w:cs="新宋体"/>
                <w:color w:val="000000"/>
                <w:sz w:val="18"/>
                <w:szCs w:val="18"/>
                <w:lang w:bidi="ar"/>
              </w:rPr>
            </w:pPr>
            <w:r>
              <w:rPr>
                <w:rFonts w:hint="eastAsia" w:ascii="新宋体" w:hAnsi="新宋体" w:eastAsia="新宋体" w:cs="新宋体"/>
                <w:color w:val="000000"/>
                <w:sz w:val="18"/>
                <w:szCs w:val="18"/>
                <w:lang w:bidi="ar"/>
              </w:rPr>
              <w:t xml:space="preserve">三聚氰胺贴面，贴面耐磨度、硬度、耐酸均高于国家标准，光滑耐磨、手感好，甲苯、二甲苯、乙苯含量总和≤0.5%，同色环保PVC封边条 ；</w:t>
            </w:r>
            <w:r/>
          </w:p>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3、五金配件：选用优质五金配件</w:t>
            </w:r>
            <w:r>
              <w:rPr>
                <w:rFonts w:hint="eastAsia" w:ascii="新宋体" w:hAnsi="新宋体" w:eastAsia="新宋体" w:cs="新宋体"/>
                <w:color w:val="000000"/>
                <w:sz w:val="18"/>
                <w:szCs w:val="18"/>
                <w:lang w:val="en-US" w:eastAsia="zh-CN" w:bidi="ar"/>
              </w:rPr>
              <w:t xml:space="preserve">配置阻尼铰链</w:t>
            </w:r>
            <w:r>
              <w:rPr>
                <w:rFonts w:hint="eastAsia" w:ascii="新宋体" w:hAnsi="新宋体" w:eastAsia="新宋体" w:cs="新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柜体及柜门板材厚度不低于18mm，内置上下各一块层板，中间配置挂衣杆。</w:t>
            </w:r>
            <w:r/>
          </w:p>
        </w:tc>
      </w:tr>
      <w:tr>
        <w:trPr>
          <w:trHeight w:val="13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圆桌椅  （1桌10椅）</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87630</wp:posOffset>
                      </wp:positionH>
                      <wp:positionV relativeFrom="paragraph">
                        <wp:posOffset>306070</wp:posOffset>
                      </wp:positionV>
                      <wp:extent cx="1457960" cy="1000125"/>
                      <wp:effectExtent l="0" t="0" r="0" b="0"/>
                      <wp:wrapNone/>
                      <wp:docPr id="37" name="图片_109"/>
                      <wp:cNvGraphicFramePr/>
                      <a:graphic xmlns:a="http://schemas.openxmlformats.org/drawingml/2006/main">
                        <a:graphicData uri="http://schemas.openxmlformats.org/drawingml/2006/picture">
                          <pic:pic xmlns:pic="http://schemas.openxmlformats.org/drawingml/2006/picture">
                            <pic:nvPicPr>
                              <pic:cNvPr id="72" name="图片_109"/>
                              <pic:cNvPicPr>
                                <a:picLocks noChangeArrowheads="1"/>
                              </pic:cNvPicPr>
                              <pic:nvPr/>
                            </pic:nvPicPr>
                            <pic:blipFill>
                              <a:blip r:embed="rId49"/>
                              <a:stretch/>
                            </pic:blipFill>
                            <pic:spPr bwMode="auto">
                              <a:xfrm>
                                <a:off x="0" y="0"/>
                                <a:ext cx="1457960"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89984;o:allowoverlap:true;o:allowincell:true;mso-position-horizontal-relative:text;margin-left:6.9pt;mso-position-horizontal:absolute;mso-position-vertical-relative:text;margin-top:24.1pt;mso-position-vertical:absolute;width:114.8pt;height:78.8pt;mso-wrap-distance-left:9.0pt;mso-wrap-distance-top:0.0pt;mso-wrap-distance-right:9.0pt;mso-wrap-distance-bottom:0.0pt;" stroked="f">
                      <v:path textboxrect="0,0,0,0"/>
                      <v:imagedata r:id="rId4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直径1800*760</w:t>
            </w:r>
            <w:r/>
          </w:p>
        </w:tc>
        <w:tc>
          <w:tcPr>
            <w:tcBorders>
              <w:top w:val="single" w:color="000000" w:sz="4" w:space="0"/>
              <w:left w:val="single" w:color="000000" w:sz="4" w:space="0"/>
              <w:bottom w:val="none" w:color="000000" w:sz="4" w:space="0"/>
              <w:right w:val="single" w:color="000000" w:sz="4" w:space="0"/>
            </w:tcBorders>
            <w:tcW w:w="5625" w:type="dxa"/>
            <w:vAlign w:val="center"/>
            <w:vMerge w:val="restart"/>
            <w:textDirection w:val="lrTb"/>
            <w:noWrap w:val="false"/>
          </w:tcPr>
          <w:p>
            <w:pPr>
              <w:numPr>
                <w:ilvl w:val="0"/>
                <w:numId w:val="7"/>
              </w:numPr>
              <w:jc w:val="left"/>
              <w:widowControl/>
              <w:rPr>
                <w:rFonts w:ascii="新宋体" w:hAnsi="新宋体" w:eastAsia="新宋体" w:cs="新宋体"/>
                <w:color w:val="000000"/>
                <w:sz w:val="18"/>
                <w:szCs w:val="18"/>
                <w:lang w:bidi="ar"/>
              </w:rPr>
            </w:pPr>
            <w:r>
              <w:rPr>
                <w:rFonts w:hint="eastAsia" w:ascii="新宋体" w:hAnsi="新宋体" w:eastAsia="新宋体" w:cs="新宋体"/>
                <w:color w:val="000000"/>
                <w:sz w:val="18"/>
                <w:szCs w:val="18"/>
                <w:lang w:bidi="ar"/>
              </w:rPr>
              <w:t xml:space="preserve">材质：框架选用优质实木橡胶木原木，台面E0级环保实木多层板板贴木皮。</w:t>
            </w:r>
            <w:r/>
          </w:p>
          <w:p>
            <w:pPr>
              <w:numPr>
                <w:ilvl w:val="0"/>
                <w:numId w:val="7"/>
              </w:numPr>
              <w:jc w:val="left"/>
              <w:widowControl/>
              <w:rPr>
                <w:rFonts w:ascii="新宋体" w:hAnsi="新宋体" w:eastAsia="新宋体" w:cs="新宋体"/>
                <w:color w:val="000000"/>
                <w:sz w:val="18"/>
                <w:szCs w:val="18"/>
                <w:lang w:bidi="ar"/>
              </w:rPr>
            </w:pPr>
            <w:r>
              <w:rPr>
                <w:rFonts w:hint="eastAsia" w:ascii="新宋体" w:hAnsi="新宋体" w:eastAsia="新宋体" w:cs="新宋体"/>
                <w:color w:val="000000"/>
                <w:sz w:val="18"/>
                <w:szCs w:val="18"/>
                <w:lang w:bidi="ar"/>
              </w:rPr>
              <w:t xml:space="preserve">油漆：  采用“五底三面 ”，UV底漆五遍，水性面漆三遍。</w:t>
            </w:r>
            <w:r/>
          </w:p>
          <w:p>
            <w:pPr>
              <w:numPr>
                <w:ilvl w:val="0"/>
                <w:numId w:val="7"/>
              </w:numPr>
              <w:jc w:val="left"/>
              <w:widowControl/>
              <w:rPr>
                <w:rFonts w:ascii="新宋体" w:hAnsi="新宋体" w:eastAsia="新宋体" w:cs="新宋体"/>
                <w:color w:val="000000"/>
                <w:sz w:val="18"/>
                <w:szCs w:val="18"/>
                <w:lang w:bidi="ar"/>
              </w:rPr>
            </w:pPr>
            <w:r>
              <w:rPr>
                <w:rFonts w:hint="eastAsia" w:ascii="新宋体" w:hAnsi="新宋体" w:eastAsia="新宋体" w:cs="新宋体"/>
                <w:color w:val="000000"/>
                <w:sz w:val="18"/>
                <w:szCs w:val="18"/>
                <w:lang w:bidi="ar"/>
              </w:rPr>
              <w:t xml:space="preserve">环保要求：总成品甲醛释放量≤0.5mg/L，胶黏剂符合国标要求。</w:t>
            </w:r>
            <w:r/>
          </w:p>
          <w:p>
            <w:pPr>
              <w:numPr>
                <w:ilvl w:val="0"/>
                <w:numId w:val="7"/>
              </w:numPr>
              <w:jc w:val="left"/>
              <w:widowControl/>
              <w:rPr>
                <w:rFonts w:ascii="新宋体" w:hAnsi="新宋体" w:eastAsia="新宋体" w:cs="新宋体"/>
                <w:color w:val="000000"/>
                <w:sz w:val="18"/>
                <w:szCs w:val="18"/>
                <w:lang w:bidi="ar"/>
              </w:rPr>
            </w:pPr>
            <w:r>
              <w:rPr>
                <w:rFonts w:hint="eastAsia" w:ascii="新宋体" w:hAnsi="新宋体" w:eastAsia="新宋体" w:cs="新宋体"/>
                <w:color w:val="000000"/>
                <w:sz w:val="18"/>
                <w:szCs w:val="18"/>
                <w:lang w:bidi="ar"/>
              </w:rPr>
              <w:t xml:space="preserve">餐椅实木橡胶木材质。</w:t>
            </w:r>
            <w:r/>
          </w:p>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5、配钢化玻璃转盘。</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套</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桌椅均采用传统实木</w:t>
            </w:r>
            <w:r>
              <w:rPr>
                <w:rFonts w:hint="eastAsia" w:ascii="新宋体" w:hAnsi="新宋体" w:eastAsia="新宋体" w:cs="新宋体"/>
                <w:color w:val="000000"/>
                <w:sz w:val="18"/>
                <w:szCs w:val="18"/>
                <w:lang w:bidi="ar"/>
              </w:rPr>
              <w:t xml:space="preserve">榫卯结构</w:t>
            </w:r>
            <w:r>
              <w:rPr>
                <w:rFonts w:hint="eastAsia" w:ascii="新宋体" w:hAnsi="新宋体" w:eastAsia="新宋体" w:cs="新宋体"/>
                <w:color w:val="000000"/>
                <w:sz w:val="18"/>
                <w:szCs w:val="18"/>
                <w:lang w:val="en-US" w:eastAsia="zh-CN" w:bidi="ar"/>
              </w:rPr>
              <w:t xml:space="preserve">工艺，表面水性油漆饰面。</w:t>
            </w:r>
            <w:r/>
          </w:p>
        </w:tc>
      </w:tr>
      <w:tr>
        <w:trPr>
          <w:trHeight w:val="11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圆桌椅  （1桌12椅）</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直径2000*760</w:t>
            </w:r>
            <w:r/>
          </w:p>
        </w:tc>
        <w:tc>
          <w:tcPr>
            <w:tcBorders>
              <w:top w:val="singl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套</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19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餐边柜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342900</wp:posOffset>
                      </wp:positionH>
                      <wp:positionV relativeFrom="paragraph">
                        <wp:posOffset>164465</wp:posOffset>
                      </wp:positionV>
                      <wp:extent cx="908050" cy="878840"/>
                      <wp:effectExtent l="0" t="0" r="0" b="0"/>
                      <wp:wrapNone/>
                      <wp:docPr id="38" name="图片_110"/>
                      <wp:cNvGraphicFramePr/>
                      <a:graphic xmlns:a="http://schemas.openxmlformats.org/drawingml/2006/main">
                        <a:graphicData uri="http://schemas.openxmlformats.org/drawingml/2006/picture">
                          <pic:pic xmlns:pic="http://schemas.openxmlformats.org/drawingml/2006/picture">
                            <pic:nvPicPr>
                              <pic:cNvPr id="73" name="图片_110"/>
                              <pic:cNvPicPr>
                                <a:picLocks noChangeArrowheads="1"/>
                              </pic:cNvPicPr>
                              <pic:nvPr/>
                            </pic:nvPicPr>
                            <pic:blipFill>
                              <a:blip r:embed="rId50"/>
                              <a:stretch/>
                            </pic:blipFill>
                            <pic:spPr bwMode="auto">
                              <a:xfrm>
                                <a:off x="0" y="0"/>
                                <a:ext cx="908050" cy="878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1008;o:allowoverlap:true;o:allowincell:true;mso-position-horizontal-relative:text;margin-left:27.0pt;mso-position-horizontal:absolute;mso-position-vertical-relative:text;margin-top:12.9pt;mso-position-vertical:absolute;width:71.5pt;height:69.2pt;mso-wrap-distance-left:9.0pt;mso-wrap-distance-top:0.0pt;mso-wrap-distance-right:9.0pt;mso-wrap-distance-bottom:0.0pt;" stroked="f">
                      <v:path textboxrect="0,0,0,0"/>
                      <v:imagedata r:id="rId5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800*400*860</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1、</w:t>
            </w:r>
            <w:r>
              <w:rPr>
                <w:rFonts w:hint="eastAsia" w:ascii="新宋体" w:hAnsi="新宋体" w:eastAsia="新宋体" w:cs="新宋体"/>
                <w:color w:val="000000"/>
                <w:sz w:val="18"/>
                <w:szCs w:val="18"/>
                <w:lang w:val="en-US" w:eastAsia="zh-CN" w:bidi="ar"/>
              </w:rPr>
              <w:t xml:space="preserve">基材</w:t>
            </w:r>
            <w:r>
              <w:rPr>
                <w:rFonts w:hint="eastAsia" w:ascii="新宋体" w:hAnsi="新宋体" w:eastAsia="新宋体" w:cs="新宋体"/>
                <w:color w:val="000000"/>
                <w:sz w:val="18"/>
                <w:szCs w:val="18"/>
                <w:lang w:bidi="ar"/>
              </w:rPr>
              <w:t xml:space="preserve">：采用E0级</w:t>
            </w:r>
            <w:r>
              <w:rPr>
                <w:rFonts w:hint="eastAsia" w:ascii="新宋体" w:hAnsi="新宋体" w:eastAsia="新宋体" w:cs="新宋体"/>
                <w:color w:val="000000"/>
                <w:sz w:val="18"/>
                <w:szCs w:val="18"/>
                <w:lang w:val="en-US" w:eastAsia="zh-CN" w:bidi="ar"/>
              </w:rPr>
              <w:t xml:space="preserve">18mm厚度</w:t>
            </w:r>
            <w:r>
              <w:rPr>
                <w:rFonts w:hint="eastAsia" w:ascii="新宋体" w:hAnsi="新宋体" w:eastAsia="新宋体" w:cs="新宋体"/>
                <w:color w:val="000000"/>
                <w:sz w:val="18"/>
                <w:szCs w:val="18"/>
                <w:lang w:bidi="ar"/>
              </w:rPr>
              <w:t xml:space="preserve">实木多层板，甲醛释放量符合国家标准。 </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2、木皮：采用AAA级美国大西洋胡桃木皮，厚度为0.6mm，木皮纹路清晰无瑕疵。 </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3、油漆：采用优质水性漆饰面，高聚脂环保油漆，经五底三面工艺，耐磨度、硬度、耐酸均符合国家标准；</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4、封边：采用实木木皮封边，双面贴木皮。                                              5、选用优质五金配件</w:t>
            </w:r>
            <w:r>
              <w:rPr>
                <w:rFonts w:hint="eastAsia" w:ascii="新宋体" w:hAnsi="新宋体" w:eastAsia="新宋体" w:cs="新宋体"/>
                <w:color w:val="000000"/>
                <w:sz w:val="18"/>
                <w:szCs w:val="18"/>
                <w:lang w:val="en-US" w:eastAsia="zh-CN" w:bidi="ar"/>
              </w:rPr>
              <w:t xml:space="preserve">配置阻尼三节导轨和铰链</w:t>
            </w:r>
            <w:r>
              <w:rPr>
                <w:rFonts w:hint="eastAsia" w:ascii="新宋体" w:hAnsi="新宋体" w:eastAsia="新宋体" w:cs="新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rPr>
            </w:pPr>
            <w:r>
              <w:rPr>
                <w:rFonts w:hint="eastAsia" w:ascii="新宋体" w:hAnsi="新宋体" w:eastAsia="新宋体" w:cs="新宋体"/>
                <w:color w:val="000000"/>
                <w:sz w:val="20"/>
                <w:szCs w:val="20"/>
                <w:lang w:val="en-US" w:eastAsia="zh-CN"/>
              </w:rPr>
              <w:t xml:space="preserve">柜体及柜门板材厚度不低于18mm，柜体上部分为两个抽屉，下部分为木质对开门；配置拉手。</w:t>
            </w:r>
            <w:r/>
          </w:p>
        </w:tc>
      </w:tr>
      <w:tr>
        <w:trPr>
          <w:trHeight w:val="21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资料柜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381000</wp:posOffset>
                      </wp:positionH>
                      <wp:positionV relativeFrom="paragraph">
                        <wp:posOffset>21590</wp:posOffset>
                      </wp:positionV>
                      <wp:extent cx="666750" cy="1005205"/>
                      <wp:effectExtent l="0" t="0" r="0" b="0"/>
                      <wp:wrapNone/>
                      <wp:docPr id="39" name="图片_94"/>
                      <wp:cNvGraphicFramePr/>
                      <a:graphic xmlns:a="http://schemas.openxmlformats.org/drawingml/2006/main">
                        <a:graphicData uri="http://schemas.openxmlformats.org/drawingml/2006/picture">
                          <pic:pic xmlns:pic="http://schemas.openxmlformats.org/drawingml/2006/picture">
                            <pic:nvPicPr>
                              <pic:cNvPr id="74" name="图片_94"/>
                              <pic:cNvPicPr>
                                <a:picLocks noChangeArrowheads="1"/>
                              </pic:cNvPicPr>
                              <pic:nvPr/>
                            </pic:nvPicPr>
                            <pic:blipFill>
                              <a:blip r:embed="rId51"/>
                              <a:stretch/>
                            </pic:blipFill>
                            <pic:spPr bwMode="auto">
                              <a:xfrm>
                                <a:off x="0" y="0"/>
                                <a:ext cx="666750" cy="1005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2032;o:allowoverlap:true;o:allowincell:true;mso-position-horizontal-relative:text;margin-left:30.0pt;mso-position-horizontal:absolute;mso-position-vertical-relative:text;margin-top:1.7pt;mso-position-vertical:absolute;width:52.5pt;height:79.1pt;mso-wrap-distance-left:9.0pt;mso-wrap-distance-top:0.0pt;mso-wrap-distance-right:9.0pt;mso-wrap-distance-bottom:0.0pt;" stroked="f">
                      <v:path textboxrect="0,0,0,0"/>
                      <v:imagedata r:id="rId5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850*390*1800</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1、柜体、门板：采用优质电解钢板，钢板厚度0.</w:t>
            </w:r>
            <w:r>
              <w:rPr>
                <w:rFonts w:hint="eastAsia" w:ascii="新宋体" w:hAnsi="新宋体" w:eastAsia="新宋体" w:cs="新宋体"/>
                <w:color w:val="000000"/>
                <w:sz w:val="18"/>
                <w:szCs w:val="18"/>
                <w:lang w:val="en-US" w:eastAsia="zh-CN" w:bidi="ar"/>
              </w:rPr>
              <w:t xml:space="preserve">6</w:t>
            </w:r>
            <w:r>
              <w:rPr>
                <w:rFonts w:hint="eastAsia" w:ascii="新宋体" w:hAnsi="新宋体" w:eastAsia="新宋体" w:cs="新宋体"/>
                <w:color w:val="000000"/>
                <w:sz w:val="18"/>
                <w:szCs w:val="18"/>
                <w:lang w:bidi="ar"/>
              </w:rPr>
              <w:t xml:space="preserve">mm</w:t>
            </w:r>
            <w:r>
              <w:rPr>
                <w:rFonts w:hint="eastAsia" w:ascii="新宋体" w:hAnsi="新宋体" w:eastAsia="新宋体" w:cs="新宋体"/>
                <w:color w:val="000000"/>
                <w:sz w:val="18"/>
                <w:szCs w:val="18"/>
                <w:lang w:eastAsia="zh-CN" w:bidi="ar"/>
              </w:rPr>
              <w:t xml:space="preserve">，</w:t>
            </w:r>
            <w:r>
              <w:rPr>
                <w:rFonts w:hint="eastAsia" w:ascii="新宋体" w:hAnsi="新宋体" w:eastAsia="新宋体" w:cs="新宋体"/>
                <w:color w:val="000000"/>
                <w:sz w:val="18"/>
                <w:szCs w:val="18"/>
                <w:lang w:val="en-US" w:eastAsia="zh-CN" w:bidi="ar"/>
              </w:rPr>
              <w:t xml:space="preserve">内置8块可调节隔板</w:t>
            </w:r>
            <w:r>
              <w:rPr>
                <w:rFonts w:hint="eastAsia" w:ascii="新宋体" w:hAnsi="新宋体" w:eastAsia="新宋体" w:cs="新宋体"/>
                <w:color w:val="000000"/>
                <w:sz w:val="18"/>
                <w:szCs w:val="18"/>
                <w:lang w:bidi="ar"/>
              </w:rPr>
              <w:t xml:space="preserve">；</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2、表面经优质环保药剂前处理、耐腐蚀、防锈；</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3、环氧聚酯粉末（热固性粉末）喷塑，表面光洁无颗粒。                                   4、成品检测符合国家检测标准。</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18"/>
                <w:szCs w:val="18"/>
                <w:lang w:bidi="ar"/>
              </w:rPr>
              <w:t xml:space="preserve">柜体</w:t>
            </w:r>
            <w:r>
              <w:rPr>
                <w:rFonts w:hint="eastAsia" w:ascii="新宋体" w:hAnsi="新宋体" w:eastAsia="新宋体" w:cs="新宋体"/>
                <w:color w:val="000000"/>
                <w:sz w:val="18"/>
                <w:szCs w:val="18"/>
                <w:lang w:val="en-US" w:eastAsia="zh-CN" w:bidi="ar"/>
              </w:rPr>
              <w:t xml:space="preserve">及</w:t>
            </w:r>
            <w:r>
              <w:rPr>
                <w:rFonts w:hint="eastAsia" w:ascii="新宋体" w:hAnsi="新宋体" w:eastAsia="新宋体" w:cs="新宋体"/>
                <w:color w:val="000000"/>
                <w:sz w:val="18"/>
                <w:szCs w:val="18"/>
                <w:lang w:bidi="ar"/>
              </w:rPr>
              <w:t xml:space="preserve">门板</w:t>
            </w:r>
            <w:r>
              <w:rPr>
                <w:rFonts w:hint="eastAsia" w:ascii="新宋体" w:hAnsi="新宋体" w:eastAsia="新宋体" w:cs="新宋体"/>
                <w:color w:val="000000"/>
                <w:sz w:val="18"/>
                <w:szCs w:val="18"/>
                <w:lang w:val="en-US" w:eastAsia="zh-CN" w:bidi="ar"/>
              </w:rPr>
              <w:t xml:space="preserve">厚度不低于</w:t>
            </w:r>
            <w:r>
              <w:rPr>
                <w:rFonts w:hint="eastAsia" w:ascii="新宋体" w:hAnsi="新宋体" w:eastAsia="新宋体" w:cs="新宋体"/>
                <w:color w:val="000000"/>
                <w:sz w:val="18"/>
                <w:szCs w:val="18"/>
                <w:lang w:bidi="ar"/>
              </w:rPr>
              <w:t xml:space="preserve">0.</w:t>
            </w:r>
            <w:r>
              <w:rPr>
                <w:rFonts w:hint="eastAsia" w:ascii="新宋体" w:hAnsi="新宋体" w:eastAsia="新宋体" w:cs="新宋体"/>
                <w:color w:val="000000"/>
                <w:sz w:val="18"/>
                <w:szCs w:val="18"/>
                <w:lang w:val="en-US" w:eastAsia="zh-CN" w:bidi="ar"/>
              </w:rPr>
              <w:t xml:space="preserve">6</w:t>
            </w:r>
            <w:r>
              <w:rPr>
                <w:rFonts w:hint="eastAsia" w:ascii="新宋体" w:hAnsi="新宋体" w:eastAsia="新宋体" w:cs="新宋体"/>
                <w:color w:val="000000"/>
                <w:sz w:val="18"/>
                <w:szCs w:val="18"/>
                <w:lang w:bidi="ar"/>
              </w:rPr>
              <w:t xml:space="preserve">mm</w:t>
            </w:r>
            <w:r>
              <w:rPr>
                <w:rFonts w:hint="eastAsia" w:ascii="新宋体" w:hAnsi="新宋体" w:eastAsia="新宋体" w:cs="新宋体"/>
                <w:color w:val="000000"/>
                <w:sz w:val="18"/>
                <w:szCs w:val="18"/>
                <w:lang w:eastAsia="zh-CN" w:bidi="ar"/>
              </w:rPr>
              <w:t xml:space="preserve">，</w:t>
            </w:r>
            <w:r>
              <w:rPr>
                <w:rFonts w:hint="eastAsia" w:ascii="新宋体" w:hAnsi="新宋体" w:eastAsia="新宋体" w:cs="新宋体"/>
                <w:color w:val="000000"/>
                <w:sz w:val="18"/>
                <w:szCs w:val="18"/>
                <w:lang w:val="en-US" w:eastAsia="zh-CN" w:bidi="ar"/>
              </w:rPr>
              <w:t xml:space="preserve">内置8块可上下调节隔板</w:t>
            </w:r>
            <w:r>
              <w:rPr>
                <w:rFonts w:hint="eastAsia" w:ascii="新宋体" w:hAnsi="新宋体" w:eastAsia="新宋体" w:cs="新宋体"/>
                <w:color w:val="000000"/>
                <w:sz w:val="18"/>
                <w:szCs w:val="18"/>
                <w:lang w:eastAsia="zh-CN" w:bidi="ar"/>
              </w:rPr>
              <w:t xml:space="preserve">，</w:t>
            </w:r>
            <w:r>
              <w:rPr>
                <w:rFonts w:hint="eastAsia" w:ascii="新宋体" w:hAnsi="新宋体" w:eastAsia="新宋体" w:cs="新宋体"/>
                <w:color w:val="000000"/>
                <w:sz w:val="18"/>
                <w:szCs w:val="18"/>
                <w:lang w:val="en-US" w:eastAsia="zh-CN" w:bidi="ar"/>
              </w:rPr>
              <w:t xml:space="preserve">底部调节脚。</w:t>
            </w:r>
            <w:r/>
          </w:p>
        </w:tc>
      </w:tr>
      <w:tr>
        <w:trPr>
          <w:trHeight w:val="292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新宋体" w:hAnsi="新宋体" w:eastAsia="新宋体" w:cs="新宋体"/>
                <w:color w:val="000000"/>
                <w:sz w:val="20"/>
                <w:szCs w:val="20"/>
                <w:lang w:eastAsia="zh-CN"/>
              </w:rPr>
            </w:pPr>
            <w:r>
              <w:rPr>
                <w:rFonts w:hint="eastAsia" w:ascii="新宋体" w:hAnsi="新宋体" w:eastAsia="新宋体" w:cs="新宋体"/>
                <w:color w:val="000000"/>
                <w:sz w:val="20"/>
                <w:szCs w:val="20"/>
                <w:lang w:bidi="ar"/>
              </w:rPr>
              <w:t xml:space="preserve">等候排椅</w:t>
            </w:r>
            <w:r>
              <w:rPr>
                <w:rFonts w:hint="eastAsia" w:ascii="新宋体" w:hAnsi="新宋体" w:eastAsia="新宋体" w:cs="新宋体"/>
                <w:color w:val="000000"/>
                <w:sz w:val="20"/>
                <w:szCs w:val="20"/>
                <w:lang w:eastAsia="zh-CN" w:bidi="ar"/>
              </w:rPr>
              <w:t xml:space="preserve">（</w:t>
            </w:r>
            <w:r>
              <w:rPr>
                <w:rFonts w:hint="eastAsia" w:ascii="新宋体" w:hAnsi="新宋体" w:eastAsia="新宋体" w:cs="新宋体"/>
                <w:color w:val="000000"/>
                <w:sz w:val="20"/>
                <w:szCs w:val="20"/>
                <w:lang w:val="en-US" w:eastAsia="zh-CN" w:bidi="ar"/>
              </w:rPr>
              <w:t xml:space="preserve">四人位</w:t>
            </w:r>
            <w:r>
              <w:rPr>
                <w:rFonts w:hint="eastAsia" w:ascii="新宋体" w:hAnsi="新宋体" w:eastAsia="新宋体" w:cs="新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106045</wp:posOffset>
                      </wp:positionH>
                      <wp:positionV relativeFrom="paragraph">
                        <wp:posOffset>264160</wp:posOffset>
                      </wp:positionV>
                      <wp:extent cx="1414780" cy="782955"/>
                      <wp:effectExtent l="0" t="0" r="0" b="0"/>
                      <wp:wrapNone/>
                      <wp:docPr id="40" name="图片_20"/>
                      <wp:cNvGraphicFramePr/>
                      <a:graphic xmlns:a="http://schemas.openxmlformats.org/drawingml/2006/main">
                        <a:graphicData uri="http://schemas.openxmlformats.org/drawingml/2006/picture">
                          <pic:pic xmlns:pic="http://schemas.openxmlformats.org/drawingml/2006/picture">
                            <pic:nvPicPr>
                              <pic:cNvPr id="75" name="图片_20"/>
                              <pic:cNvPicPr>
                                <a:picLocks noChangeArrowheads="1"/>
                              </pic:cNvPicPr>
                              <pic:nvPr/>
                            </pic:nvPicPr>
                            <pic:blipFill>
                              <a:blip r:embed="rId52"/>
                              <a:stretch/>
                            </pic:blipFill>
                            <pic:spPr bwMode="auto">
                              <a:xfrm>
                                <a:off x="0" y="0"/>
                                <a:ext cx="1414780" cy="78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3056;o:allowoverlap:true;o:allowincell:true;mso-position-horizontal-relative:text;margin-left:8.3pt;mso-position-horizontal:absolute;mso-position-vertical-relative:text;margin-top:20.8pt;mso-position-vertical:absolute;width:111.4pt;height:61.6pt;mso-wrap-distance-left:9.0pt;mso-wrap-distance-top:0.0pt;mso-wrap-distance-right:9.0pt;mso-wrap-distance-bottom:0.0pt;" stroked="f">
                      <v:path textboxrect="0,0,0,0"/>
                      <v:imagedata r:id="rId5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2370*640*840</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 1 ）椅面：采用聚合物多元醇制备自结皮聚氨酯</w:t>
            </w:r>
            <w:r>
              <w:rPr>
                <w:rFonts w:hint="eastAsia" w:ascii="新宋体" w:hAnsi="新宋体" w:eastAsia="新宋体" w:cs="新宋体"/>
                <w:color w:val="000000"/>
                <w:sz w:val="18"/>
                <w:szCs w:val="18"/>
                <w:lang w:bidi="ar"/>
              </w:rPr>
              <w:t xml:space="preserve">（ PU ）材质 ，座椅全PU包裹的结构 ，整张椅面采用一体式设计 ，安装简单牢固 ，座椅各部件间采用螺纹连接 ，不能采用焊接 ，PU椅面颜色可换。  座椅清洁方便 ，无需专用清洁剂；（ 2 ）横梁 ：采用形状为1.5mm厚度六边形的优质冷轧钢管拉伸成型外表喷涂 ，安装简单且结实稳固 ，不易断裂。（ 3 ）扶手 ：采用1.2mm优质冷轧钢管经模具压铸折弯焊接成型 ，外表喷涂 ，易拆装 ，无锐角 ，表面圆滑 ，外观美丽大方。（ 4 ）站脚 ：站脚为  “人”字形结构以确保最佳的支撑稳定性,管材壁厚1.5mm。</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椅架钢管厚度不低于1.5mm,表面采用喷涂工艺，凳面为</w:t>
            </w:r>
            <w:r>
              <w:rPr>
                <w:rFonts w:hint="eastAsia" w:ascii="新宋体" w:hAnsi="新宋体" w:eastAsia="新宋体" w:cs="新宋体"/>
                <w:color w:val="000000"/>
                <w:sz w:val="18"/>
                <w:szCs w:val="18"/>
                <w:lang w:bidi="ar"/>
              </w:rPr>
              <w:t xml:space="preserve">聚酯</w:t>
            </w:r>
            <w:r>
              <w:rPr>
                <w:rFonts w:hint="eastAsia" w:ascii="新宋体" w:hAnsi="新宋体" w:eastAsia="新宋体" w:cs="新宋体"/>
                <w:color w:val="000000"/>
                <w:sz w:val="18"/>
                <w:szCs w:val="18"/>
                <w:lang w:val="en-US" w:eastAsia="zh-CN" w:bidi="ar"/>
              </w:rPr>
              <w:t xml:space="preserve">材质，耐磨牢固。</w:t>
            </w:r>
            <w:r/>
          </w:p>
        </w:tc>
      </w:tr>
    </w:tbl>
    <w:p>
      <w:pPr>
        <w:ind w:firstLine="420"/>
        <w:spacing w:line="500" w:lineRule="exact"/>
        <w:rPr>
          <w:rFonts w:ascii="仿宋" w:hAnsi="仿宋" w:eastAsia="仿宋" w:cs="仿宋"/>
          <w:sz w:val="24"/>
          <w:szCs w:val="24"/>
        </w:rPr>
      </w:pPr>
      <w:r>
        <w:rPr>
          <w:rFonts w:ascii="仿宋" w:hAnsi="仿宋" w:eastAsia="仿宋" w:cs="仿宋"/>
          <w:sz w:val="24"/>
          <w:szCs w:val="24"/>
        </w:rPr>
      </w:r>
      <w:r/>
    </w:p>
    <w:p>
      <w:pPr>
        <w:ind w:firstLine="420"/>
        <w:spacing w:line="500" w:lineRule="exact"/>
        <w:rPr>
          <w:rFonts w:ascii="仿宋" w:hAnsi="仿宋" w:eastAsia="仿宋" w:cs="仿宋"/>
          <w:sz w:val="24"/>
          <w:szCs w:val="24"/>
        </w:rPr>
        <w:sectPr>
          <w:footnotePr/>
          <w:endnotePr/>
          <w:type w:val="nextPage"/>
          <w:pgSz w:w="16838" w:h="11906" w:orient="landscape"/>
          <w:pgMar w:top="1366" w:right="1418" w:bottom="1083" w:left="1418" w:header="851" w:footer="907" w:gutter="0"/>
          <w:cols w:num="1" w:sep="0" w:space="720" w:equalWidth="1"/>
          <w:docGrid w:linePitch="360"/>
        </w:sectPr>
      </w:pPr>
      <w:r>
        <w:rPr>
          <w:rFonts w:ascii="仿宋" w:hAnsi="仿宋" w:eastAsia="仿宋" w:cs="仿宋"/>
          <w:sz w:val="24"/>
          <w:szCs w:val="24"/>
        </w:rPr>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4.2供货周期：中标供应商须在签订合同前，与采购人明确生产和安装节点进度。合同签订后，40个日历天内按采购清单和标书要求，完成本项目产品的供货安装调试，并通过采购人验收。</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4.3交货地点：如东县丰利法庭内，具体按采购人指定地点送货、安装。</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（五）采购标的需满足的服务标准、期限、效率等要求；</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按照招标文件要求在规定时间内签订合同、供货并安装到位，通过验收确保可正常使用。中标供应商在项目生产安装调试中必须严格遵守相关的法规、规范和现场施工单位的规定，督促现场施工人员规范操作，采取严格有力的安全防护措施，做好安全防护工作，确保施工安装的人身安全，相关专业技术岗位必须持证上岗。</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5.1中标供应商须严格按照参数规格进行生产，产品可优于参数要求（具体参数要求详见招标文件）。低于参数要求的，适用相关违约责任条款，违约责任条款具体规定详见采购合同。</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5.2中标供应商须制定详细的项目实施方案。方案中至少应包含资金安排、原材料准备和用料明细、生产技术工艺、生产过程控制、生产进度安排、供货安装承诺、验货方案、应急预案等。</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5.3中标供应商须保证本项目所需核心产品是在中标供应商提交投标文件中指定的生产基地生产制造的，否则视为违约，适用有关违约责任条款，采购人亦有权终止合同，并没收全额履约保证金。</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5.4为保证采购人权益，中标供应商须接受采购人的生产过程监控监督。中标供应商须完全响应采购人的合理要求，无法提供相关材料或有不符合相关要求的，将适用相关违约责任条款，违约责任条款具体规定详见招标文件。过程监控监督方法和内容包括但不限于：</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（1）现场查看原材料进货合同和发票（制造商须提供原材料相应证明材料，材料包括但不限于原材料采购证明，生产单、下料单等）；</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（2）查看产品加工工艺及质量是否符合招标文件要求；</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（3）抽检产品原材料或成品，制造商须根据要求提供相应检验检测报告作为依据（具体要求参见采购标的验收标准）；</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（4）督促完成生产进度（制造商须提供产品生产进度相应证明材料，材料包括但不限于标书响应的生产进度表，原材料、人员、设备调度保障情况等）；</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（5）中标供应商在油漆前和发货前，均须通知采购人进行预验收。预验收由采购人组织不少于 3 名专业技术人员进行，预验收标准参考采购标的验收标准的部分条款。</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5.5中标供应商须在供货并安装到位后 15 天内，提供该批次产品符合标的验收标准的原材料和成品抽样检验检测报告（含封底及封面）。</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5.6报价要求：包括不限于满足本项目采购需求中生产制作、配件、包装、运输、安装、调试、培训、售后服务（免费质保）等费用，以及管理费、利润、税金等完成本项目可能发生的所有费用。</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5.7中标供应商须制定详细的售后服务保障方案。方案中至少应包含售后服务承诺及保修细则、服务质量保证标准、售后服务人员和工具配备、现场服务措施、故障解决能力、应急服务响应方案、优惠条件承诺及服务体系说明。在验收交付使用后中标供应商须定期派人员跟踪服务，及时处理运行过程中出现的问题。免费质保期限（自交货并验收合格之日起计）为3年，在免费质保期内，每年派人免费维保产品至少一次。免费质保期内主要配件和部件发生非人为原因引起的损坏，供应商应及时提供免费更换或修理。</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（六）采购标的的验收标准、方法、时间；（收到验收申请后7个工作日内采购人组织验收）</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6.1中标供应商应在不低于本招标文件参数要求的前提下，优化设计方案，尺寸规格需满足安装地点场地需求（建议现场踏勘）。中标供应商交付的货物质量不得低于招标文件中所要求的产品原材料、参数和生产工艺要求，否则采购人有权保留使用该产品直至供应商提供合格产品替换，同时将适用相关违约责任条款，违约责任条款具体规定详见招标文件。</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6.2中标供应商所供产品应按国家相关标准或行业标准进行设计和制造</w:t>
      </w:r>
      <w:r>
        <w:rPr>
          <w:rFonts w:hint="eastAsia" w:ascii="仿宋" w:hAnsi="仿宋" w:eastAsia="仿宋" w:cs="仿宋"/>
          <w:sz w:val="24"/>
          <w:szCs w:val="24"/>
          <w:lang w:val="en-US" w:eastAsia="zh-CN"/>
        </w:rPr>
        <w:t xml:space="preserve">,采购标的投入生产前须按要求提供相关证明材料</w:t>
      </w:r>
      <w:r>
        <w:rPr>
          <w:rFonts w:hint="eastAsia" w:ascii="仿宋" w:hAnsi="仿宋" w:eastAsia="仿宋" w:cs="仿宋"/>
          <w:sz w:val="24"/>
          <w:szCs w:val="24"/>
        </w:rPr>
        <w:t xml:space="preserve">。</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（1）中标供应商的原材料及产品须符合国家环保要求。</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（2）中标供应商须提供产品材质清单、材料产地证明。</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（3）中标供应商须提供产品所采用材料、配件等清单（包含但不限于品牌、规格、数量、单价等），并提供相应的技术说明书。</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（4）中标供应商须提供拥有的大型生产设备清单及证明文件。</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（5）中标供应商须提供证明所提供货物与采购文件的要求相一致的文件（可以但不限于手册、图纸、图文资料和数据等）。</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6.3中标供应商须按采购人要求，完整提供该项目相应批次产品的主要原材料供货合同和发票等原始材料复印件并加盖公章，否则适用相关违约责任条款，违约责任条款具体规定详见招标文件。</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6.4在接到中标供应商以书面形式提出的验收申请后，采购人在 5 个工作日内组织相关专业技术人员进行验收，必要时可以邀请</w:t>
      </w:r>
      <w:r>
        <w:rPr>
          <w:rFonts w:hint="eastAsia" w:ascii="仿宋" w:hAnsi="仿宋" w:eastAsia="仿宋" w:cs="仿宋"/>
          <w:sz w:val="24"/>
          <w:szCs w:val="24"/>
          <w:lang w:eastAsia="zh-CN"/>
        </w:rPr>
        <w:t xml:space="preserve">监管部门</w:t>
      </w:r>
      <w:r>
        <w:rPr>
          <w:rFonts w:hint="eastAsia" w:ascii="仿宋" w:hAnsi="仿宋" w:eastAsia="仿宋" w:cs="仿宋"/>
          <w:sz w:val="24"/>
          <w:szCs w:val="24"/>
        </w:rPr>
        <w:t xml:space="preserve">、质检等权威部门参与验收。验收以市级及以上质检部门出具的符合采购要求的抽样检验检测报告（含封底及封面）作为依据。所产生的费用和抽检样品由中标供应商承担。</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6.5采购人在验收时将随机抽取不低于 2件成品，根据采购文件要求对抽检产品由市级及以上质检部门进行破坏性检</w:t>
      </w:r>
      <w:r>
        <w:rPr>
          <w:rFonts w:hint="eastAsia" w:ascii="仿宋" w:hAnsi="仿宋" w:eastAsia="仿宋" w:cs="仿宋"/>
          <w:sz w:val="24"/>
          <w:szCs w:val="24"/>
        </w:rPr>
        <w:t xml:space="preserve">验检测。若检测合格，即视为通过验收的抽样检测环节。若抽检的某个成品检测不合格，中标供应商须在一周内紧急调拨合格产品进行更换，且费用由中标供应商负责。中标供应商更换合格产品后10天内，采购人再次随机对不合格产品所在批次的产品扩大抽取范围与数量（含更换后产品），随机抽取不少于 2 件进行破坏性送检。如检测仍不符合要求，中标供应商需继续更换。更换后如仍然不达标，启用相关违约责任条款。进行破坏性检验检测的产品，中标供应商必须负责免费补齐，并送至采购人指定地点。不论检测是否合格，相关费用和抽检样品均由中标供应商承担。</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6.6验收合格，采购人出具验收报告，作为支付货款的依据。验收不合格，适用相关违约责任条款，违约责任条款具体规定详见招标文件。</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6.7采购方对中标供应商进行过程监控监督，需对原材料或成品进行抽检时，适用以上验收标准，所产生的费用由中标供应商承担。</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（七）采购标的的其他技术、服务等要求（增加商品包装、快递包装的相关要求）；</w:t>
      </w:r>
      <w:r/>
    </w:p>
    <w:p>
      <w:pPr>
        <w:spacing w:line="500" w:lineRule="exact"/>
        <w:rPr>
          <w:rFonts w:ascii="仿宋" w:hAnsi="仿宋" w:eastAsia="仿宋" w:cs="仿宋"/>
          <w:b/>
          <w:sz w:val="24"/>
          <w:szCs w:val="24"/>
        </w:rPr>
      </w:pPr>
      <w:r>
        <w:rPr>
          <w:rFonts w:hint="eastAsia" w:ascii="仿宋" w:hAnsi="仿宋" w:eastAsia="仿宋" w:cs="仿宋"/>
          <w:b/>
          <w:sz w:val="24"/>
          <w:szCs w:val="24"/>
        </w:rPr>
        <w:t xml:space="preserve">1.商品包装环保要求：应当按《关于印发〈商品包装政府采购需求标准(试行）〉、〈快递包装政府采购需求标准(试行)〉的通知》 (财办库</w:t>
      </w:r>
      <w:r>
        <w:rPr>
          <w:rFonts w:hint="eastAsia" w:ascii="仿宋" w:hAnsi="仿宋" w:eastAsia="仿宋" w:cs="仿宋"/>
          <w:b/>
          <w:color w:val="ff0000"/>
          <w:sz w:val="24"/>
          <w:szCs w:val="24"/>
        </w:rPr>
        <w:t xml:space="preserve">〔2020〕</w:t>
      </w:r>
      <w:r>
        <w:rPr>
          <w:rFonts w:hint="eastAsia" w:ascii="仿宋" w:hAnsi="仿宋" w:eastAsia="仿宋" w:cs="仿宋"/>
          <w:b/>
          <w:sz w:val="24"/>
          <w:szCs w:val="24"/>
        </w:rPr>
        <w:t xml:space="preserve">123号)文件执行。</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（1）商品包装层数不得超过 3 层，空隙率不大于 40%；</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（2）商品包装尽可能使用单一材质的包装材料，如因功能需求必需使用不同材质，不同材质间应便于分离；</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（3）商品包装中铅、汞、镉、六价铬的总含量应不大于100mg/kg；</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（4）商品包装印刷使用的油墨中挥发性有机化合物(VOCs)含量应不大于 5%（以重量计）；</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（5）塑料材质商品包装上呈现的印刷颜色不得超过 6 色；</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（6）纸质商品包装应使用 75%以上的可再生纤维原料生产；</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（7）木质商品包装的原料应来源于可持续性森林。</w:t>
      </w:r>
      <w:r/>
    </w:p>
    <w:p>
      <w:pPr>
        <w:spacing w:line="500" w:lineRule="exact"/>
        <w:rPr>
          <w:rFonts w:ascii="仿宋" w:hAnsi="仿宋" w:eastAsia="仿宋" w:cs="仿宋"/>
          <w:b/>
          <w:sz w:val="24"/>
          <w:szCs w:val="24"/>
        </w:rPr>
      </w:pPr>
      <w:r>
        <w:rPr>
          <w:rFonts w:hint="eastAsia" w:ascii="仿宋" w:hAnsi="仿宋" w:eastAsia="仿宋" w:cs="仿宋"/>
          <w:b/>
          <w:sz w:val="24"/>
          <w:szCs w:val="24"/>
        </w:rPr>
        <w:t xml:space="preserve">2.快递包装环保要求：</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（1）快递包装中重金属（铅、汞、镉、六价铬）总量应不大于 100mg/kg；</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（2）快递包装印刷使用的油墨中不应添加邻苯二甲酸酯，其挥发性有机化合物(VOCs)含量应不大于5%（以重量计）；</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（3）快递包装中使用纸基材的包装材料，纸基材中的有机氯的含量应不大于 150 mg/kg；</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（5）快递中使用的塑料包装袋不得使用聚氯乙烯作为原料，且原料应为单一材质制成，生物分解率大于60%；</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（6）快递中使用的充气类填充物不得使用聚氯乙烯作为 原料，且原料为单一材质制成，生物分解率大于60%；</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（7）快递中使用的集装袋应为单一材质制成，其重复使用次数应不小于 80 次；</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（8）快递中应使用幅宽不大于45mm 的生物降解胶带；</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（9）快递包装中不得使用溶剂型胶粘剂；</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（10）快递应使用电子面单；</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（11）直接使用商品包装作为快递包装的商品，其商品包装满足《商品包装政府采购需求标准（试行）》即可；</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（12）快递包装产品质量和封装方式应符合相关国家或行业标准技术指标要求。</w:t>
      </w:r>
      <w:r/>
    </w:p>
    <w:p>
      <w:pPr>
        <w:ind w:firstLine="241"/>
        <w:spacing w:after="120"/>
        <w:rPr>
          <w:rFonts w:ascii="仿宋" w:hAnsi="仿宋" w:eastAsia="仿宋" w:cs="仿宋"/>
          <w:b/>
          <w:sz w:val="24"/>
          <w:szCs w:val="24"/>
        </w:rPr>
      </w:pPr>
      <w:r>
        <w:rPr>
          <w:rFonts w:hint="eastAsia" w:ascii="仿宋" w:hAnsi="仿宋" w:eastAsia="仿宋" w:cs="仿宋"/>
          <w:b/>
          <w:sz w:val="24"/>
          <w:szCs w:val="24"/>
        </w:rPr>
        <w:t xml:space="preserve">3.绿色数据中心</w:t>
      </w:r>
      <w:r/>
    </w:p>
    <w:p>
      <w:pPr>
        <w:ind w:firstLine="241"/>
        <w:spacing w:after="120"/>
        <w:rPr>
          <w:rFonts w:ascii="仿宋" w:hAnsi="仿宋" w:eastAsia="仿宋" w:cs="仿宋"/>
          <w:sz w:val="24"/>
          <w:szCs w:val="24"/>
        </w:rPr>
      </w:pPr>
      <w:r>
        <w:rPr>
          <w:rFonts w:hint="eastAsia" w:ascii="仿宋" w:hAnsi="仿宋" w:eastAsia="仿宋" w:cs="仿宋"/>
          <w:b/>
          <w:sz w:val="24"/>
          <w:szCs w:val="24"/>
        </w:rPr>
        <w:t xml:space="preserve">4.低挥发性有机化合物产品</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仿宋" w:hAnsi="仿宋" w:eastAsia="仿宋" w:cs="仿宋"/>
          <w:sz w:val="24"/>
          <w:szCs w:val="24"/>
        </w:rPr>
        <w:t xml:space="preserve">予以评审优惠。</w:t>
      </w:r>
      <w:r>
        <w:rPr>
          <w:rFonts w:hint="eastAsia" w:ascii="仿宋" w:hAnsi="仿宋" w:eastAsia="仿宋" w:cs="仿宋"/>
          <w:sz w:val="24"/>
          <w:szCs w:val="24"/>
          <w:lang w:val="zh-CN"/>
        </w:rPr>
        <w:t xml:space="preserve">在通用类货物、家具、印刷、公务车辆维修等采购项目中，供应商</w:t>
      </w:r>
      <w:r>
        <w:rPr>
          <w:rFonts w:hint="eastAsia" w:ascii="仿宋" w:hAnsi="仿宋" w:eastAsia="仿宋" w:cs="仿宋"/>
          <w:sz w:val="24"/>
          <w:szCs w:val="24"/>
        </w:rPr>
        <w:t xml:space="preserve">应</w:t>
      </w:r>
      <w:r>
        <w:rPr>
          <w:rFonts w:hint="eastAsia" w:ascii="仿宋" w:hAnsi="仿宋" w:eastAsia="仿宋" w:cs="仿宋"/>
          <w:sz w:val="24"/>
          <w:szCs w:val="24"/>
          <w:lang w:val="zh-CN"/>
        </w:rPr>
        <w:t xml:space="preserve">优先使用低挥发性原辅材料</w:t>
      </w:r>
      <w:r>
        <w:rPr>
          <w:rFonts w:hint="eastAsia" w:ascii="仿宋" w:hAnsi="仿宋" w:eastAsia="仿宋" w:cs="仿宋"/>
          <w:sz w:val="24"/>
          <w:szCs w:val="24"/>
        </w:rPr>
        <w:t xml:space="preserve">，将使用低</w:t>
      </w:r>
      <w:r>
        <w:rPr>
          <w:rFonts w:hint="eastAsia" w:ascii="仿宋" w:hAnsi="仿宋" w:eastAsia="仿宋" w:cs="仿宋"/>
          <w:sz w:val="24"/>
          <w:szCs w:val="24"/>
          <w:lang w:val="zh-CN"/>
        </w:rPr>
        <w:t xml:space="preserve">VOCs含量的</w:t>
      </w:r>
      <w:r>
        <w:rPr>
          <w:rFonts w:hint="eastAsia" w:ascii="仿宋" w:hAnsi="仿宋" w:eastAsia="仿宋" w:cs="仿宋"/>
          <w:sz w:val="24"/>
          <w:szCs w:val="24"/>
        </w:rPr>
        <w:t xml:space="preserve">涂料、</w:t>
      </w:r>
      <w:r>
        <w:rPr>
          <w:rFonts w:hint="eastAsia" w:ascii="仿宋" w:hAnsi="仿宋" w:eastAsia="仿宋" w:cs="仿宋"/>
          <w:sz w:val="24"/>
          <w:szCs w:val="24"/>
          <w:lang w:val="zh-CN"/>
        </w:rPr>
        <w:t xml:space="preserve">胶黏剂</w:t>
      </w:r>
      <w:r>
        <w:rPr>
          <w:rFonts w:hint="eastAsia" w:ascii="仿宋" w:hAnsi="仿宋" w:eastAsia="仿宋" w:cs="仿宋"/>
          <w:sz w:val="24"/>
          <w:szCs w:val="24"/>
        </w:rPr>
        <w:t xml:space="preserve">等纳入合同条款。</w:t>
      </w:r>
      <w:r/>
    </w:p>
    <w:p>
      <w:pPr>
        <w:ind w:firstLine="241"/>
        <w:spacing w:after="120"/>
        <w:rPr>
          <w:rFonts w:ascii="仿宋" w:hAnsi="仿宋" w:eastAsia="仿宋" w:cs="仿宋"/>
          <w:sz w:val="24"/>
          <w:szCs w:val="24"/>
          <w:lang w:val="zh-CN"/>
        </w:rPr>
      </w:pPr>
      <w:r>
        <w:rPr>
          <w:rFonts w:hint="eastAsia" w:ascii="仿宋" w:hAnsi="仿宋" w:eastAsia="仿宋" w:cs="仿宋"/>
          <w:b/>
          <w:sz w:val="24"/>
          <w:szCs w:val="24"/>
        </w:rPr>
        <w:t xml:space="preserve">5.节能环保产品：</w:t>
      </w:r>
      <w:r>
        <w:rPr>
          <w:rFonts w:hint="eastAsia" w:ascii="仿宋" w:hAnsi="仿宋" w:eastAsia="仿宋" w:cs="仿宋"/>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241"/>
        <w:spacing w:after="120"/>
        <w:rPr>
          <w:rFonts w:ascii="仿宋" w:hAnsi="仿宋" w:eastAsia="仿宋" w:cs="仿宋"/>
          <w:sz w:val="24"/>
          <w:szCs w:val="24"/>
        </w:rPr>
      </w:pPr>
      <w:r>
        <w:rPr>
          <w:rFonts w:hint="eastAsia" w:ascii="仿宋" w:hAnsi="仿宋" w:eastAsia="仿宋" w:cs="仿宋"/>
          <w:b/>
          <w:sz w:val="24"/>
          <w:szCs w:val="24"/>
        </w:rPr>
        <w:t xml:space="preserve">6.绿色低碳管理目标和服务要求：</w:t>
      </w:r>
      <w:r>
        <w:rPr>
          <w:rFonts w:hint="eastAsia" w:ascii="仿宋" w:hAnsi="仿宋" w:eastAsia="仿宋" w:cs="仿宋"/>
          <w:sz w:val="24"/>
          <w:szCs w:val="24"/>
        </w:rPr>
        <w:t xml:space="preserve">在物业、合同能源管理等服务类采购项目需求中，要强化绿色低碳管理目标和服务要求，促进绿色产品和服务推广应用。</w:t>
      </w:r>
      <w:r/>
    </w:p>
    <w:p>
      <w:pPr>
        <w:ind w:firstLine="240"/>
        <w:spacing w:after="120"/>
        <w:rPr>
          <w:rFonts w:ascii="仿宋" w:hAnsi="仿宋" w:eastAsia="仿宋" w:cs="仿宋"/>
          <w:sz w:val="24"/>
          <w:szCs w:val="24"/>
        </w:rPr>
      </w:pPr>
      <w:r>
        <w:rPr>
          <w:rFonts w:hint="eastAsia" w:ascii="仿宋" w:hAnsi="仿宋" w:eastAsia="仿宋" w:cs="仿宋"/>
          <w:sz w:val="24"/>
          <w:szCs w:val="24"/>
        </w:rPr>
        <w:t xml:space="preserve">7.采购的货物或者服务属信创产品目录内容内的，须遵照信创产品要求提供货物或服务。</w:t>
      </w:r>
      <w:r/>
    </w:p>
    <w:p>
      <w:pPr>
        <w:spacing w:after="120"/>
      </w:pPr>
      <w:r>
        <w:rPr>
          <w:rFonts w:hint="eastAsia" w:ascii="仿宋" w:hAnsi="仿宋" w:eastAsia="仿宋" w:cs="仿宋"/>
          <w:b/>
          <w:bCs/>
          <w:sz w:val="24"/>
          <w:szCs w:val="24"/>
        </w:rPr>
        <w:t xml:space="preserve">（八）非单一产品采购项目，采购标的中的核心产品:</w:t>
      </w:r>
      <w:r>
        <w:rPr>
          <w:rFonts w:hint="eastAsia" w:ascii="仿宋" w:hAnsi="仿宋" w:eastAsia="仿宋" w:cs="仿宋"/>
          <w:sz w:val="24"/>
          <w:szCs w:val="24"/>
        </w:rPr>
        <w:t xml:space="preserve">审判桌-1、审判桌-2、法官椅-1、法官椅-2。</w:t>
      </w:r>
      <w:r/>
    </w:p>
    <w:p>
      <w:pPr>
        <w:spacing w:after="120"/>
        <w:rPr>
          <w:rFonts w:ascii="仿宋" w:hAnsi="仿宋" w:eastAsia="仿宋" w:cs="仿宋"/>
          <w:sz w:val="24"/>
          <w:szCs w:val="24"/>
        </w:rPr>
      </w:pPr>
      <w:r>
        <w:rPr>
          <w:rFonts w:hint="eastAsia" w:ascii="仿宋" w:hAnsi="仿宋" w:eastAsia="仿宋" w:cs="仿宋"/>
          <w:b/>
          <w:bCs/>
          <w:sz w:val="24"/>
          <w:szCs w:val="24"/>
        </w:rPr>
        <w:t xml:space="preserve">（九） 付款方式：</w:t>
      </w:r>
      <w:r>
        <w:rPr>
          <w:rFonts w:hint="eastAsia" w:ascii="仿宋" w:hAnsi="仿宋" w:eastAsia="仿宋" w:cs="仿宋"/>
          <w:bCs/>
          <w:color w:val="000000"/>
          <w:sz w:val="24"/>
          <w:szCs w:val="24"/>
        </w:rPr>
        <w:t xml:space="preserve">产品进场后，支付合同金额的50%；产品验收通过,支付合同金额的40%；产品验收通过满一年后,支付合同金额的10%</w:t>
      </w:r>
      <w:r>
        <w:rPr>
          <w:rFonts w:hint="eastAsia" w:ascii="仿宋" w:hAnsi="仿宋" w:eastAsia="仿宋" w:cs="仿宋"/>
          <w:sz w:val="24"/>
          <w:szCs w:val="24"/>
        </w:rPr>
        <w:t xml:space="preserve">。采购人应在收到发票后10个工作日内将资金支付到合同约定的成交供应商账户。</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（十）履约保证金：</w:t>
      </w:r>
      <w:r/>
    </w:p>
    <w:p>
      <w:pPr>
        <w:ind w:firstLine="720"/>
        <w:spacing w:after="120"/>
        <w:rPr>
          <w:rFonts w:ascii="仿宋" w:hAnsi="仿宋" w:eastAsia="仿宋" w:cs="仿宋"/>
          <w:bCs/>
          <w:sz w:val="24"/>
          <w:szCs w:val="24"/>
        </w:rPr>
      </w:pPr>
      <w:r>
        <w:rPr>
          <w:rFonts w:hint="eastAsia" w:ascii="仿宋" w:hAnsi="仿宋" w:eastAsia="仿宋" w:cs="仿宋"/>
          <w:bCs/>
          <w:sz w:val="24"/>
          <w:szCs w:val="24"/>
        </w:rPr>
        <w:t xml:space="preserve">本项目中标后的履约保证金为伍万元整，中标人的履约保证金须在中标通知书发出之日起至合同签订前汇入采购单位账户（应当以数字人民币、支票、汇票或者金融机构、担保机构出具的保函等非现金形式提交），中标人凭中标通知书与采购单位签订合同。超期或未有协商，则视为自动放弃中标资格。</w:t>
      </w:r>
      <w:r/>
    </w:p>
    <w:p>
      <w:pPr>
        <w:spacing w:line="500" w:lineRule="exact"/>
        <w:rPr>
          <w:rFonts w:ascii="仿宋" w:hAnsi="仿宋" w:eastAsia="仿宋" w:cs="仿宋"/>
          <w:b/>
          <w:sz w:val="24"/>
          <w:szCs w:val="24"/>
        </w:rPr>
      </w:pPr>
      <w:r>
        <w:rPr>
          <w:rFonts w:hint="eastAsia" w:ascii="仿宋" w:hAnsi="仿宋" w:eastAsia="仿宋" w:cs="仿宋"/>
          <w:b/>
          <w:sz w:val="24"/>
          <w:szCs w:val="24"/>
        </w:rPr>
        <w:t xml:space="preserve">（十一）样品</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1、项目要求提供样品：</w:t>
      </w:r>
      <w:r/>
    </w:p>
    <w:p>
      <w:pPr>
        <w:pStyle w:val="735"/>
        <w:ind w:firstLine="480"/>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、旁听椅（序号30）；</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、办公椅（序号34）；</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单人位</w:t>
      </w:r>
      <w:r>
        <w:rPr>
          <w:rFonts w:hint="eastAsia" w:ascii="仿宋" w:hAnsi="仿宋" w:eastAsia="仿宋" w:cs="仿宋"/>
          <w:sz w:val="24"/>
          <w:szCs w:val="24"/>
          <w:highlight w:val="none"/>
        </w:rPr>
        <w:t xml:space="preserve">沙发（序号39）。</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2、注意事项： </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1）响应供应商应按照招标文件的要求及具体技术参数提交样品，样品的尺寸、材料、材质、结构、工艺等应美观环保，符合招标文件的要求。样品如有细微偏差，经评标小组认定其没改变产品采购实质性需求的，视为样品符合要求；否则视为样品不合格，样品评审不得分。 </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2）样品规定：响应供应商提供的样品不得出现制造商的名称、商标、品牌或供应商的名称，标识，否则一律视为未递交样品。响应供应商提供的实物样品作为参加采购活动的一部分，未能在规定时间内提供样品、样品提供不全的或样品明显与招标文件要求不符的，经评标小组评审，样品将不得分。</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（3）样品提交及安装完成时间：2026年</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月</w:t>
      </w:r>
      <w:r>
        <w:rPr>
          <w:rFonts w:hint="eastAsia" w:ascii="仿宋" w:hAnsi="仿宋" w:eastAsia="仿宋" w:cs="仿宋"/>
          <w:b/>
          <w:bCs/>
          <w:sz w:val="24"/>
          <w:szCs w:val="24"/>
          <w:lang w:val="en-US" w:eastAsia="zh-CN"/>
        </w:rPr>
        <w:t xml:space="preserve">25</w:t>
      </w:r>
      <w:r>
        <w:rPr>
          <w:rFonts w:hint="eastAsia" w:ascii="仿宋" w:hAnsi="仿宋" w:eastAsia="仿宋" w:cs="仿宋"/>
          <w:b/>
          <w:bCs/>
          <w:sz w:val="24"/>
          <w:szCs w:val="24"/>
        </w:rPr>
        <w:t xml:space="preserve">日起至2026年</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月</w:t>
      </w:r>
      <w:r>
        <w:rPr>
          <w:rFonts w:hint="eastAsia" w:ascii="仿宋" w:hAnsi="仿宋" w:eastAsia="仿宋" w:cs="仿宋"/>
          <w:b/>
          <w:bCs/>
          <w:sz w:val="24"/>
          <w:szCs w:val="24"/>
          <w:lang w:val="en-US" w:eastAsia="zh-CN"/>
        </w:rPr>
        <w:t xml:space="preserve">26</w:t>
      </w:r>
      <w:r>
        <w:rPr>
          <w:rFonts w:hint="eastAsia" w:ascii="仿宋" w:hAnsi="仿宋" w:eastAsia="仿宋" w:cs="仿宋"/>
          <w:b/>
          <w:bCs/>
          <w:sz w:val="24"/>
          <w:szCs w:val="24"/>
        </w:rPr>
        <w:t xml:space="preserve">日,9:00-11：00,14:30-16:30，采购人负责接收样品。过期采购人有权不接收样品，由此带来的后果由供应商自行承担。</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（4）样品送达地址：如东县人民法院（江苏省如东县城中街道钟山路188号），样品递交联系方式：</w:t>
      </w:r>
      <w:r>
        <w:rPr>
          <w:rFonts w:hint="eastAsia" w:ascii="仿宋" w:hAnsi="仿宋" w:eastAsia="仿宋" w:cs="仿宋"/>
          <w:b/>
          <w:bCs/>
          <w:color w:val="000000"/>
          <w:sz w:val="24"/>
          <w:szCs w:val="24"/>
        </w:rPr>
        <w:t xml:space="preserve">0513-80866881</w:t>
      </w:r>
      <w:r>
        <w:rPr>
          <w:rFonts w:hint="eastAsia" w:ascii="仿宋" w:hAnsi="仿宋" w:eastAsia="仿宋" w:cs="仿宋"/>
          <w:b/>
          <w:bCs/>
          <w:color w:val="000000"/>
          <w:sz w:val="24"/>
          <w:szCs w:val="24"/>
          <w:lang w:eastAsia="zh-CN"/>
        </w:rPr>
        <w:t xml:space="preserve">或</w:t>
      </w:r>
      <w:r>
        <w:rPr>
          <w:rFonts w:hint="eastAsia" w:ascii="仿宋" w:hAnsi="仿宋" w:eastAsia="仿宋" w:cs="仿宋"/>
          <w:b/>
          <w:bCs/>
          <w:color w:val="000000"/>
          <w:sz w:val="24"/>
          <w:szCs w:val="24"/>
          <w:lang w:val="en-US" w:eastAsia="zh-CN"/>
        </w:rPr>
        <w:t xml:space="preserve">13962716096</w:t>
      </w:r>
      <w:r>
        <w:rPr>
          <w:rFonts w:hint="eastAsia" w:ascii="仿宋" w:hAnsi="仿宋" w:eastAsia="仿宋" w:cs="仿宋"/>
          <w:b/>
          <w:bCs/>
          <w:sz w:val="24"/>
          <w:szCs w:val="24"/>
        </w:rPr>
        <w:t xml:space="preserve">。</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5）响应供应商递交样品时应服从现场工作人员要求，爱护现场公共财物，对交样区财物造成损害的，应当赔偿。各响应供应商应将样品至指定地点按要求递交样品并签到安装到位，安装完成后即离开现场，不得逗留，不得翻看他人样品及进行拍照，供应商如出现违法违规行为的，视为未提交样品并按照相应法律追究责任。各供应商应根据现场要求对自身递交的样品进行整体无任何标识的遮盖，未遮盖的视同未递交样品。</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6）采购人委托监审或纪检部门负责接收样品，对于中标样品将进行封存，用于作为中标人日后送货的验收标准。未中标供应商提交的样品在采购结束后退还，由供应商自行搬走。提供投标样品所产生的费用全部由响应供应商自行承担，无论本项目采购结果如何，采购人和交易中心在任何情况下均无义务和责任承担这些费用。</w:t>
      </w:r>
      <w:r/>
    </w:p>
    <w:p>
      <w:r/>
      <w:r/>
    </w:p>
    <w:p>
      <w:pPr>
        <w:spacing w:line="500" w:lineRule="exact"/>
        <w:rPr>
          <w:rFonts w:ascii="仿宋" w:hAnsi="仿宋" w:eastAsia="仿宋" w:cs="仿宋"/>
          <w:sz w:val="24"/>
          <w:szCs w:val="24"/>
          <w:highlight w:val="cyan"/>
        </w:rPr>
      </w:pPr>
      <w:r>
        <w:rPr>
          <w:rFonts w:hint="eastAsia" w:ascii="仿宋" w:hAnsi="仿宋" w:eastAsia="仿宋" w:cs="仿宋"/>
          <w:b/>
          <w:sz w:val="24"/>
          <w:szCs w:val="24"/>
        </w:rPr>
        <w:t xml:space="preserve">（十二）本项目不接受进口产品参与</w:t>
      </w:r>
      <w:r/>
    </w:p>
    <w:p>
      <w:pPr>
        <w:spacing w:line="500" w:lineRule="exact"/>
        <w:rPr>
          <w:rFonts w:ascii="仿宋" w:hAnsi="仿宋" w:eastAsia="仿宋" w:cs="仿宋"/>
          <w:b/>
          <w:sz w:val="24"/>
          <w:szCs w:val="24"/>
        </w:rPr>
      </w:pPr>
      <w:r>
        <w:rPr>
          <w:rFonts w:hint="eastAsia" w:ascii="仿宋" w:hAnsi="仿宋" w:eastAsia="仿宋" w:cs="仿宋"/>
          <w:b/>
          <w:sz w:val="24"/>
          <w:szCs w:val="24"/>
        </w:rPr>
        <w:t xml:space="preserve">（十三）安全责任</w:t>
      </w:r>
      <w:r/>
    </w:p>
    <w:p>
      <w:pPr>
        <w:ind w:firstLine="480"/>
        <w:jc w:val="center"/>
        <w:spacing w:line="500" w:lineRule="exact"/>
        <w:rPr>
          <w:rFonts w:ascii="仿宋" w:hAnsi="仿宋" w:eastAsia="仿宋" w:cs="仿宋"/>
          <w:sz w:val="24"/>
          <w:szCs w:val="24"/>
        </w:rPr>
      </w:pPr>
      <w:r>
        <w:rPr>
          <w:rFonts w:hint="eastAsia" w:ascii="仿宋" w:hAnsi="仿宋" w:eastAsia="仿宋" w:cs="仿宋"/>
          <w:sz w:val="24"/>
          <w:szCs w:val="24"/>
        </w:rPr>
        <w:t xml:space="preserve">中标人在本项目施工、安装、调试等过程中必须严格遵守相关的法规、规范和现场施工的规定，督促施工人员规范操作，采取严格有力的安全防护措施，做好安全防护工作，确保相关人员人身安全。中标人要使用专业人员、专业工具。本项目一切安全责任均由中</w:t>
      </w:r>
      <w:r/>
    </w:p>
    <w:p>
      <w:pPr>
        <w:jc w:val="left"/>
        <w:spacing w:line="500" w:lineRule="exact"/>
        <w:rPr>
          <w:rFonts w:ascii="仿宋" w:hAnsi="仿宋" w:eastAsia="仿宋" w:cs="仿宋"/>
          <w:sz w:val="24"/>
          <w:szCs w:val="24"/>
        </w:rPr>
      </w:pPr>
      <w:r>
        <w:rPr>
          <w:rFonts w:hint="eastAsia" w:ascii="仿宋" w:hAnsi="仿宋" w:eastAsia="仿宋" w:cs="仿宋"/>
          <w:sz w:val="24"/>
          <w:szCs w:val="24"/>
        </w:rPr>
        <w:t xml:space="preserve">标人负责，采购人不承担任何责任。</w:t>
      </w:r>
      <w:r/>
    </w:p>
    <w:p>
      <w:pPr>
        <w:jc w:val="center"/>
        <w:spacing w:line="500" w:lineRule="exact"/>
        <w:rPr>
          <w:rFonts w:ascii="仿宋" w:hAnsi="仿宋" w:eastAsia="仿宋" w:cs="仿宋"/>
          <w:bCs/>
          <w:color w:val="000000"/>
          <w:sz w:val="44"/>
          <w:szCs w:val="28"/>
        </w:rPr>
      </w:pPr>
      <w:r>
        <w:rPr>
          <w:rFonts w:hint="eastAsia" w:ascii="仿宋" w:hAnsi="仿宋" w:eastAsia="仿宋" w:cs="仿宋"/>
          <w:bCs/>
          <w:color w:val="000000"/>
          <w:sz w:val="44"/>
          <w:szCs w:val="28"/>
        </w:rPr>
        <w:br w:type="page" w:clear="all"/>
      </w:r>
      <w:bookmarkStart w:id="194" w:name="_Toc8870"/>
      <w:r>
        <w:rPr>
          <w:rFonts w:hint="eastAsia" w:ascii="仿宋" w:hAnsi="仿宋" w:eastAsia="仿宋" w:cs="仿宋"/>
          <w:b/>
          <w:color w:val="000000"/>
          <w:sz w:val="44"/>
          <w:szCs w:val="28"/>
        </w:rPr>
        <w:t xml:space="preserve">第五章  评标方法与评标</w:t>
      </w:r>
      <w:r>
        <w:rPr>
          <w:rFonts w:hint="eastAsia" w:ascii="仿宋" w:hAnsi="仿宋" w:eastAsia="仿宋" w:cs="仿宋"/>
          <w:b/>
          <w:bCs/>
          <w:color w:val="000000"/>
          <w:sz w:val="44"/>
          <w:szCs w:val="28"/>
        </w:rPr>
        <w:t xml:space="preserve">标准</w:t>
      </w:r>
      <w:bookmarkEnd w:id="194"/>
      <w:r/>
      <w:r/>
    </w:p>
    <w:p>
      <w:pPr>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一、评审方法：</w:t>
      </w:r>
      <w:r/>
    </w:p>
    <w:p>
      <w:pPr>
        <w:ind w:firstLine="555"/>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采用综合评分法，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得分。</w:t>
      </w:r>
      <w:r/>
    </w:p>
    <w:p>
      <w:pPr>
        <w:ind w:firstLine="555"/>
        <w:spacing w:line="480" w:lineRule="exact"/>
        <w:rPr>
          <w:rFonts w:ascii="仿宋" w:hAnsi="仿宋" w:eastAsia="仿宋" w:cs="仿宋"/>
          <w:sz w:val="24"/>
          <w:szCs w:val="24"/>
        </w:rPr>
      </w:pPr>
      <w:r>
        <w:rPr>
          <w:rFonts w:hint="eastAsia" w:ascii="仿宋" w:hAnsi="仿宋" w:eastAsia="仿宋" w:cs="仿宋"/>
          <w:color w:val="000000"/>
          <w:sz w:val="24"/>
          <w:szCs w:val="24"/>
        </w:rPr>
        <w:t xml:space="preserve">评标结果按评审后得分由高到低顺序排列</w:t>
      </w:r>
      <w:r>
        <w:rPr>
          <w:rFonts w:hint="eastAsia" w:ascii="仿宋" w:hAnsi="仿宋" w:eastAsia="仿宋" w:cs="仿宋"/>
          <w:sz w:val="24"/>
          <w:szCs w:val="24"/>
        </w:rPr>
        <w:t xml:space="preserve">，确定中标候选人名单并按顺序确定中标人。</w:t>
      </w:r>
      <w:r>
        <w:rPr>
          <w:rFonts w:hint="eastAsia" w:ascii="仿宋" w:hAnsi="仿宋" w:eastAsia="仿宋" w:cs="仿宋"/>
          <w:color w:val="000000"/>
          <w:sz w:val="24"/>
          <w:szCs w:val="24"/>
        </w:rPr>
        <w:t xml:space="preserve">得分相同的，按投标报价由低到高顺序排列。得分且投标报价相同的并列,</w:t>
      </w:r>
      <w:r>
        <w:rPr>
          <w:rFonts w:hint="eastAsia" w:ascii="仿宋" w:hAnsi="仿宋" w:eastAsia="仿宋" w:cs="仿宋"/>
          <w:sz w:val="24"/>
          <w:szCs w:val="24"/>
        </w:rPr>
        <w:t xml:space="preserve">按照技术指标优劣顺序推荐。</w:t>
      </w:r>
      <w:r/>
    </w:p>
    <w:p>
      <w:pPr>
        <w:pStyle w:val="744"/>
        <w:spacing w:line="480" w:lineRule="exact"/>
        <w:rPr>
          <w:rFonts w:ascii="仿宋" w:hAnsi="仿宋" w:eastAsia="仿宋" w:cs="仿宋"/>
          <w:color w:val="000000"/>
          <w:sz w:val="24"/>
          <w:szCs w:val="24"/>
          <w:highlight w:val="green"/>
        </w:rPr>
      </w:pPr>
      <w:r>
        <w:rPr>
          <w:rFonts w:hint="eastAsia"/>
        </w:rPr>
        <w:t xml:space="preserve">   </w:t>
      </w:r>
      <w:r>
        <w:rPr>
          <w:rFonts w:hint="eastAsia" w:ascii="仿宋" w:hAnsi="仿宋" w:eastAsia="仿宋" w:cs="仿宋"/>
          <w:b/>
          <w:bCs/>
          <w:color w:val="000000"/>
          <w:sz w:val="24"/>
          <w:szCs w:val="24"/>
        </w:rPr>
        <w:t xml:space="preserve">二、政府采购政策功能落实</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1、小微型企业价格扣除</w:t>
      </w:r>
      <w:r/>
    </w:p>
    <w:p>
      <w:pPr>
        <w:pStyle w:val="735"/>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（1）本项目对小型和微型企业产品给予</w:t>
      </w:r>
      <w:r>
        <w:rPr>
          <w:rFonts w:hint="eastAsia" w:ascii="仿宋" w:hAnsi="仿宋" w:eastAsia="仿宋" w:cs="仿宋"/>
          <w:b/>
          <w:sz w:val="24"/>
          <w:szCs w:val="24"/>
        </w:rPr>
        <w:t xml:space="preserve">10%的扣除价格</w:t>
      </w:r>
      <w:r>
        <w:rPr>
          <w:rFonts w:hint="eastAsia" w:ascii="仿宋" w:hAnsi="仿宋" w:eastAsia="仿宋" w:cs="仿宋"/>
          <w:bCs/>
          <w:sz w:val="24"/>
          <w:szCs w:val="24"/>
        </w:rPr>
        <w:t xml:space="preserve">，用扣除后的价格参与评审。</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（2）供应商需按照《政府采购促进中小企业发展管理办法》（财库〔2020〕46号）的规定提供相应的《中小企业声明函》。</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（3）企业标准请参照《关于印发中小企业划型标准规定的通知》（工信部联企业〔2011〕300号）文件规定自行填写。</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2、残疾人福利单位价格扣除</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（1）本项目对残疾人福利性单位，给予</w:t>
      </w:r>
      <w:r>
        <w:rPr>
          <w:rFonts w:hint="eastAsia" w:ascii="仿宋" w:hAnsi="仿宋" w:eastAsia="仿宋" w:cs="仿宋"/>
          <w:b/>
          <w:sz w:val="24"/>
          <w:szCs w:val="24"/>
        </w:rPr>
        <w:t xml:space="preserve">10%</w:t>
      </w:r>
      <w:r>
        <w:rPr>
          <w:rFonts w:hint="eastAsia" w:ascii="仿宋" w:hAnsi="仿宋" w:eastAsia="仿宋" w:cs="仿宋"/>
          <w:bCs/>
          <w:sz w:val="24"/>
          <w:szCs w:val="24"/>
        </w:rPr>
        <w:t xml:space="preserve">的价格扣除，用扣除后的价格参与评审。</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（2）残疾人福利单位需按照招标文件的要求提供《残疾人福利性单位声明函》。</w:t>
      </w:r>
      <w:r/>
    </w:p>
    <w:p>
      <w:pPr>
        <w:ind w:firstLine="570"/>
        <w:spacing w:line="480" w:lineRule="exact"/>
        <w:rPr>
          <w:rFonts w:ascii="仿宋" w:hAnsi="仿宋" w:eastAsia="仿宋" w:cs="仿宋"/>
          <w:b/>
          <w:sz w:val="24"/>
          <w:szCs w:val="24"/>
        </w:rPr>
      </w:pPr>
      <w:r>
        <w:rPr>
          <w:rFonts w:hint="eastAsia" w:ascii="仿宋" w:hAnsi="仿宋" w:eastAsia="仿宋" w:cs="仿宋"/>
          <w:bCs/>
          <w:sz w:val="24"/>
          <w:szCs w:val="24"/>
        </w:rPr>
        <w:t xml:space="preserve">（3）残疾人福利单位标准请参照《关于促进残疾人就业政府采购政策的通知》（财库〔2017〕141号）。</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3、监狱和戒毒企业价格扣除</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（1）本项目对监狱和戒毒企业（简称监狱企业）给予</w:t>
      </w:r>
      <w:r>
        <w:rPr>
          <w:rFonts w:hint="eastAsia" w:ascii="仿宋" w:hAnsi="仿宋" w:eastAsia="仿宋" w:cs="仿宋"/>
          <w:b/>
          <w:sz w:val="24"/>
          <w:szCs w:val="24"/>
        </w:rPr>
        <w:t xml:space="preserve">10%</w:t>
      </w:r>
      <w:r>
        <w:rPr>
          <w:rFonts w:hint="eastAsia" w:ascii="仿宋" w:hAnsi="仿宋" w:eastAsia="仿宋" w:cs="仿宋"/>
          <w:bCs/>
          <w:sz w:val="24"/>
          <w:szCs w:val="24"/>
        </w:rPr>
        <w:t xml:space="preserve">的价格扣除，用扣除后的价格参与评审。</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（3）监狱企业标准请参照《关于政府采购支持监狱企业发展有关问题的通知》（财库〔2014〕68号）。</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4、残疾人福利单位、监狱企业属于小型、微型企业的，不重复享受政策。</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5、如本项目同意联合体参加投标或同意分包履行合同的，大中型企业与小微企业（残疾人福利单位、监狱企业）组成联合体或者大中型企业向</w:t>
      </w:r>
      <w:r>
        <w:rPr>
          <w:rFonts w:hint="eastAsia" w:ascii="仿宋" w:hAnsi="仿宋" w:eastAsia="仿宋" w:cs="仿宋"/>
          <w:sz w:val="24"/>
          <w:szCs w:val="28"/>
        </w:rPr>
        <w:t xml:space="preserve">一家或多家</w:t>
      </w:r>
      <w:r>
        <w:rPr>
          <w:rFonts w:hint="eastAsia" w:ascii="仿宋" w:hAnsi="仿宋" w:eastAsia="仿宋" w:cs="仿宋"/>
          <w:bCs/>
          <w:sz w:val="24"/>
          <w:szCs w:val="24"/>
        </w:rPr>
        <w:t xml:space="preserve">小微企业（残疾人福利单位、监狱企业）分包的，对联合协议或者分包意向协议约定小微企业合同份额占到合同总金额30%以上的，对联合体或者大中型企业的报价给予4%的价格扣除，用扣除后的价格参与评审。</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6、联合体各方均为小型、微型企业（残疾人福利单位、监狱企业）的，联合体享受10%价格扣除，用扣除后的价格参与评审。</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7、专门面向中小企业采购的项目或者采购包，不再执行价格评审优惠的扶持政策。</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8、根据《江苏省政府采购信用管理暂行办法》的规定，供应商信用评价结果为三星的扣2分，评价结果为二星的扣3分，评价结果为一星的扣4分。</w:t>
      </w:r>
      <w:r/>
    </w:p>
    <w:p>
      <w:pPr>
        <w:ind w:firstLine="482"/>
        <w:jc w:val="left"/>
        <w:spacing w:before="120" w:after="120" w:line="48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三、评标方法与评标标准</w:t>
      </w:r>
      <w:r/>
    </w:p>
    <w:p>
      <w:pPr>
        <w:pStyle w:val="735"/>
        <w:ind w:firstLine="480"/>
        <w:spacing w:line="480" w:lineRule="exact"/>
      </w:pPr>
      <w:r>
        <w:rPr>
          <w:rFonts w:hint="eastAsia" w:ascii="仿宋" w:hAnsi="仿宋" w:eastAsia="仿宋" w:cs="仿宋"/>
          <w:sz w:val="24"/>
          <w:szCs w:val="24"/>
        </w:rPr>
        <w:t xml:space="preserve">本项目采用综合评分法。评委会将按下列评审因素与评审标准进行评分，总分值为100分。</w:t>
      </w:r>
      <w:r/>
    </w:p>
    <w:tbl>
      <w:tblPr>
        <w:tblStyle w:val="734"/>
        <w:tblW w:w="911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1338"/>
        <w:gridCol w:w="497"/>
        <w:gridCol w:w="6768"/>
      </w:tblGrid>
      <w:tr>
        <w:trPr>
          <w:trHeight w:val="753"/>
        </w:trPr>
        <w:tc>
          <w:tcPr>
            <w:tcW w:w="516"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评分点名称</w:t>
            </w:r>
            <w:r/>
          </w:p>
        </w:tc>
        <w:tc>
          <w:tcPr>
            <w:tcW w:w="497"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分值</w:t>
            </w:r>
            <w:r/>
          </w:p>
        </w:tc>
        <w:tc>
          <w:tcPr>
            <w:tcW w:w="676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评审标准</w:t>
            </w:r>
            <w:r/>
          </w:p>
        </w:tc>
      </w:tr>
      <w:tr>
        <w:trPr>
          <w:trHeight w:val="1910"/>
        </w:trPr>
        <w:tc>
          <w:tcPr>
            <w:tcW w:w="516"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企业认证</w:t>
            </w:r>
            <w:r/>
          </w:p>
        </w:tc>
        <w:tc>
          <w:tcPr>
            <w:tcW w:w="497"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2</w:t>
            </w:r>
            <w:r/>
          </w:p>
        </w:tc>
        <w:tc>
          <w:tcPr>
            <w:tcW w:w="6768" w:type="dxa"/>
            <w:vAlign w:val="center"/>
            <w:textDirection w:val="lrTb"/>
            <w:noWrap w:val="false"/>
          </w:tcPr>
          <w:p>
            <w:pPr>
              <w:numPr>
                <w:ilvl w:val="0"/>
                <w:numId w:val="8"/>
              </w:numPr>
              <w:jc w:val="left"/>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提供</w:t>
            </w:r>
            <w:r>
              <w:rPr>
                <w:rFonts w:hint="eastAsia" w:ascii="仿宋" w:hAnsi="仿宋" w:eastAsia="仿宋" w:cs="仿宋"/>
                <w:b w:val="0"/>
                <w:bCs w:val="0"/>
                <w:color w:val="auto"/>
                <w:sz w:val="24"/>
                <w:szCs w:val="24"/>
                <w:lang w:eastAsia="zh-CN"/>
              </w:rPr>
              <w:t xml:space="preserve">所投产品</w:t>
            </w:r>
            <w:r>
              <w:rPr>
                <w:rFonts w:hint="eastAsia" w:ascii="仿宋" w:hAnsi="仿宋" w:eastAsia="仿宋" w:cs="仿宋"/>
                <w:b w:val="0"/>
                <w:bCs w:val="0"/>
                <w:color w:val="auto"/>
                <w:sz w:val="24"/>
                <w:szCs w:val="24"/>
              </w:rPr>
              <w:t xml:space="preserve">生产</w:t>
            </w:r>
            <w:r>
              <w:rPr>
                <w:rFonts w:hint="eastAsia" w:ascii="仿宋" w:hAnsi="仿宋" w:eastAsia="仿宋" w:cs="仿宋"/>
                <w:b w:val="0"/>
                <w:bCs w:val="0"/>
                <w:color w:val="auto"/>
                <w:sz w:val="24"/>
                <w:szCs w:val="24"/>
                <w:lang w:eastAsia="zh-CN"/>
              </w:rPr>
              <w:t xml:space="preserve">厂</w:t>
            </w:r>
            <w:r>
              <w:rPr>
                <w:rFonts w:hint="eastAsia" w:ascii="仿宋" w:hAnsi="仿宋" w:eastAsia="仿宋" w:cs="仿宋"/>
                <w:b w:val="0"/>
                <w:bCs w:val="0"/>
                <w:color w:val="auto"/>
                <w:sz w:val="24"/>
                <w:szCs w:val="24"/>
              </w:rPr>
              <w:t xml:space="preserve">商具有有效期内的ISO9001质量管理体系认证、ISO14001环境管理体系认证、ISO45001职业健康安全管理体系认证证书。每提供一个证书得1分，最多得3分。</w:t>
            </w:r>
            <w:r>
              <w:rPr>
                <w:rFonts w:hint="eastAsia" w:ascii="仿宋" w:hAnsi="仿宋" w:eastAsia="仿宋" w:cs="仿宋"/>
                <w:b w:val="0"/>
                <w:bCs w:val="0"/>
                <w:color w:val="auto"/>
                <w:sz w:val="24"/>
                <w:szCs w:val="24"/>
              </w:rPr>
              <w:br/>
            </w:r>
            <w:r>
              <w:rPr>
                <w:rFonts w:hint="eastAsia" w:ascii="仿宋" w:hAnsi="仿宋" w:eastAsia="仿宋" w:cs="仿宋"/>
                <w:b w:val="0"/>
                <w:bCs w:val="0"/>
                <w:color w:val="auto"/>
                <w:sz w:val="24"/>
                <w:szCs w:val="24"/>
              </w:rPr>
              <w:t xml:space="preserve">2、提供</w:t>
            </w:r>
            <w:r>
              <w:rPr>
                <w:rFonts w:hint="eastAsia" w:ascii="仿宋" w:hAnsi="仿宋" w:eastAsia="仿宋" w:cs="仿宋"/>
                <w:b w:val="0"/>
                <w:bCs w:val="0"/>
                <w:color w:val="auto"/>
                <w:sz w:val="24"/>
                <w:szCs w:val="24"/>
                <w:lang w:eastAsia="zh-CN"/>
              </w:rPr>
              <w:t xml:space="preserve">所投产品</w:t>
            </w:r>
            <w:r>
              <w:rPr>
                <w:rFonts w:hint="eastAsia" w:ascii="仿宋" w:hAnsi="仿宋" w:eastAsia="仿宋" w:cs="仿宋"/>
                <w:b w:val="0"/>
                <w:bCs w:val="0"/>
                <w:color w:val="auto"/>
                <w:sz w:val="24"/>
                <w:szCs w:val="24"/>
              </w:rPr>
              <w:t xml:space="preserve">生产</w:t>
            </w:r>
            <w:r>
              <w:rPr>
                <w:rFonts w:hint="eastAsia" w:ascii="仿宋" w:hAnsi="仿宋" w:eastAsia="仿宋" w:cs="仿宋"/>
                <w:b w:val="0"/>
                <w:bCs w:val="0"/>
                <w:color w:val="auto"/>
                <w:sz w:val="24"/>
                <w:szCs w:val="24"/>
                <w:lang w:eastAsia="zh-CN"/>
              </w:rPr>
              <w:t xml:space="preserve">厂</w:t>
            </w:r>
            <w:r>
              <w:rPr>
                <w:rFonts w:hint="eastAsia" w:ascii="仿宋" w:hAnsi="仿宋" w:eastAsia="仿宋" w:cs="仿宋"/>
                <w:b w:val="0"/>
                <w:bCs w:val="0"/>
                <w:color w:val="auto"/>
                <w:sz w:val="24"/>
                <w:szCs w:val="24"/>
              </w:rPr>
              <w:t xml:space="preserve">商具有有效期内中国绿色产品认证证书，认证产品单范围中均包含本项目主要采购产品，包含：木家具、金属家具（钢木家具）、软体家具（椅类）。产品种类齐全符合的得</w:t>
            </w:r>
            <w:r>
              <w:rPr>
                <w:rFonts w:hint="eastAsia" w:ascii="仿宋" w:hAnsi="仿宋" w:eastAsia="仿宋" w:cs="仿宋"/>
                <w:b w:val="0"/>
                <w:bCs w:val="0"/>
                <w:color w:val="auto"/>
                <w:sz w:val="24"/>
                <w:szCs w:val="24"/>
                <w:lang w:val="en-US" w:eastAsia="zh-CN"/>
              </w:rPr>
              <w:t xml:space="preserve">3</w:t>
            </w:r>
            <w:r>
              <w:rPr>
                <w:rFonts w:hint="eastAsia" w:ascii="仿宋" w:hAnsi="仿宋" w:eastAsia="仿宋" w:cs="仿宋"/>
                <w:b w:val="0"/>
                <w:bCs w:val="0"/>
                <w:color w:val="auto"/>
                <w:sz w:val="24"/>
                <w:szCs w:val="24"/>
              </w:rPr>
              <w:t xml:space="preserve">分，少项或范围不符</w:t>
            </w:r>
            <w:r>
              <w:rPr>
                <w:rFonts w:hint="eastAsia" w:ascii="仿宋" w:hAnsi="仿宋" w:eastAsia="仿宋" w:cs="仿宋"/>
                <w:b w:val="0"/>
                <w:bCs w:val="0"/>
                <w:color w:val="auto"/>
                <w:sz w:val="24"/>
                <w:szCs w:val="24"/>
                <w:lang w:val="en-US" w:eastAsia="zh-CN"/>
              </w:rPr>
              <w:t xml:space="preserve">均</w:t>
            </w:r>
            <w:r>
              <w:rPr>
                <w:rFonts w:hint="eastAsia" w:ascii="仿宋" w:hAnsi="仿宋" w:eastAsia="仿宋" w:cs="仿宋"/>
                <w:b w:val="0"/>
                <w:bCs w:val="0"/>
                <w:color w:val="auto"/>
                <w:sz w:val="24"/>
                <w:szCs w:val="24"/>
              </w:rPr>
              <w:t xml:space="preserve">不得分。</w:t>
            </w:r>
            <w:r>
              <w:rPr>
                <w:rFonts w:hint="eastAsia" w:ascii="仿宋" w:hAnsi="仿宋" w:eastAsia="仿宋" w:cs="仿宋"/>
                <w:b w:val="0"/>
                <w:bCs w:val="0"/>
                <w:color w:val="auto"/>
                <w:sz w:val="24"/>
                <w:szCs w:val="24"/>
              </w:rPr>
              <w:br/>
            </w:r>
            <w:r>
              <w:rPr>
                <w:rFonts w:hint="eastAsia" w:ascii="仿宋" w:hAnsi="仿宋" w:eastAsia="仿宋" w:cs="仿宋"/>
                <w:b w:val="0"/>
                <w:bCs w:val="0"/>
                <w:color w:val="auto"/>
                <w:sz w:val="24"/>
                <w:szCs w:val="24"/>
              </w:rPr>
              <w:t xml:space="preserve">3</w:t>
            </w:r>
            <w:r>
              <w:rPr>
                <w:rFonts w:hint="eastAsia" w:ascii="仿宋" w:hAnsi="仿宋" w:eastAsia="仿宋" w:cs="仿宋"/>
                <w:b w:val="0"/>
                <w:bCs w:val="0"/>
                <w:color w:val="auto"/>
                <w:sz w:val="24"/>
                <w:szCs w:val="24"/>
              </w:rPr>
              <w:t xml:space="preserve">、提供所投产品生产厂商具有有效期内安全生产标准化认证，认证产品范围包含：人造板家具、钢木家具、软体家具、涂饰家具、屏风隔断家具、钢制家具的制造与销售所涉及的安全生产管理活动。每提供一种安全生产标准化认证得0.5分，最多得3分。                                                                     4、提供所投产品生产厂商获得有效期内的产品阻燃等级认证证书，证书范围包括：木家具、钢木家具、软体家具、其他家具。产品种类齐全符合的得3分，少项不得分</w:t>
            </w:r>
            <w:r>
              <w:rPr>
                <w:rFonts w:hint="eastAsia" w:ascii="仿宋" w:hAnsi="仿宋" w:eastAsia="仿宋" w:cs="仿宋"/>
                <w:color w:val="000000"/>
                <w:sz w:val="24"/>
                <w:szCs w:val="24"/>
              </w:rPr>
              <w:t xml:space="preserve">。      </w:t>
            </w:r>
            <w:r/>
          </w:p>
        </w:tc>
      </w:tr>
      <w:tr>
        <w:trPr>
          <w:trHeight w:val="969"/>
        </w:trPr>
        <w:tc>
          <w:tcPr>
            <w:tcW w:w="516"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产品节能  环保认证</w:t>
            </w:r>
            <w:r/>
          </w:p>
        </w:tc>
        <w:tc>
          <w:tcPr>
            <w:tcW w:w="497"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w:t>
            </w:r>
            <w:r/>
          </w:p>
        </w:tc>
        <w:tc>
          <w:tcPr>
            <w:tcW w:w="6768" w:type="dxa"/>
            <w:vAlign w:val="center"/>
            <w:textDirection w:val="lrTb"/>
            <w:noWrap w:val="false"/>
          </w:tcPr>
          <w:p>
            <w:pPr>
              <w:jc w:val="left"/>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投标产品属于财政部、生态环境部公布的“环境标志产品品目清单”范围内的产品，提供国家确定的认证机构出具在有效期内的该环保产品认证证书复印件,有1个得</w:t>
            </w:r>
            <w:r>
              <w:rPr>
                <w:rFonts w:hint="eastAsia" w:ascii="仿宋" w:hAnsi="仿宋" w:eastAsia="仿宋" w:cs="仿宋"/>
                <w:color w:val="000000"/>
                <w:sz w:val="24"/>
                <w:szCs w:val="24"/>
                <w:lang w:val="en-US" w:eastAsia="zh-CN"/>
              </w:rPr>
              <w:t xml:space="preserve">0.5</w:t>
            </w:r>
            <w:r>
              <w:rPr>
                <w:rFonts w:hint="eastAsia" w:ascii="仿宋" w:hAnsi="仿宋" w:eastAsia="仿宋" w:cs="仿宋"/>
                <w:color w:val="000000"/>
                <w:sz w:val="24"/>
                <w:szCs w:val="24"/>
              </w:rPr>
              <w:t xml:space="preserve">分,最多得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w:t>
            </w:r>
            <w:r/>
          </w:p>
          <w:p>
            <w:pPr>
              <w:pStyle w:val="735"/>
              <w:ind w:left="0" w:firstLine="0"/>
            </w:pPr>
            <w:r>
              <w:rPr>
                <w:rFonts w:hint="eastAsia" w:ascii="仿宋" w:hAnsi="仿宋" w:eastAsia="仿宋" w:cs="仿宋"/>
                <w:color w:val="000000"/>
                <w:sz w:val="24"/>
                <w:szCs w:val="24"/>
                <w:lang w:val="en-US" w:eastAsia="zh-CN" w:bidi="ar-SA"/>
              </w:rPr>
              <w:t xml:space="preserve">2.依据《江苏省财政厅关于加强政府绿色采购有关事项的通知》（苏财购〔2023〕65号），投标人或所投产品制造商提供符合推荐性标准的涂料、胶黏剂、油墨、清洗剂等挥发性有机物产品的或者在通用类货物、家具、印刷、公务车辆维修等采购项目中，优先使用低挥发性原辅材料的加1分（供应商须在投标文件中提供相应使用低VOCs 含量的有效证明材料，否则不得分）。</w:t>
            </w:r>
            <w:r/>
          </w:p>
        </w:tc>
      </w:tr>
      <w:tr>
        <w:trPr>
          <w:trHeight w:val="1948"/>
        </w:trPr>
        <w:tc>
          <w:tcPr>
            <w:tcW w:w="516"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1338" w:type="dxa"/>
            <w:vAlign w:val="center"/>
            <w:textDirection w:val="lrTb"/>
            <w:noWrap/>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产品      技术参数 （检测报告）</w:t>
            </w:r>
            <w:r/>
          </w:p>
        </w:tc>
        <w:tc>
          <w:tcPr>
            <w:tcW w:w="497"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W w:w="6768" w:type="dxa"/>
            <w:vAlign w:val="center"/>
            <w:textDirection w:val="lrTb"/>
            <w:noWrap w:val="false"/>
          </w:tcPr>
          <w:p>
            <w:pPr>
              <w:jc w:val="left"/>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提供采购清单</w:t>
            </w:r>
            <w:r>
              <w:rPr>
                <w:rFonts w:hint="eastAsia" w:ascii="仿宋" w:hAnsi="仿宋" w:eastAsia="仿宋" w:cs="仿宋"/>
                <w:color w:val="000000"/>
                <w:sz w:val="24"/>
                <w:szCs w:val="24"/>
                <w:lang w:val="en-US" w:eastAsia="zh-CN"/>
              </w:rPr>
              <w:t xml:space="preserve">中</w:t>
            </w:r>
            <w:r>
              <w:rPr>
                <w:rFonts w:hint="eastAsia" w:ascii="仿宋" w:hAnsi="仿宋" w:eastAsia="仿宋" w:cs="仿宋"/>
                <w:color w:val="000000"/>
                <w:sz w:val="24"/>
                <w:szCs w:val="24"/>
              </w:rPr>
              <w:t xml:space="preserve">原材料和成品带“▲”项（中密度纤维板、油漆、刨花板、PVC封边条、锁具、导轨、铰链、海绵、办公桌、会议桌、办公椅、沙发）的</w:t>
            </w:r>
            <w:r>
              <w:rPr>
                <w:rFonts w:hint="eastAsia" w:ascii="仿宋" w:hAnsi="仿宋" w:eastAsia="仿宋" w:cs="仿宋"/>
                <w:b/>
                <w:bCs/>
                <w:color w:val="000000"/>
                <w:sz w:val="24"/>
                <w:szCs w:val="24"/>
              </w:rPr>
              <w:t xml:space="preserve">抽样检测</w:t>
            </w:r>
            <w:r>
              <w:rPr>
                <w:rFonts w:hint="eastAsia" w:ascii="仿宋" w:hAnsi="仿宋" w:eastAsia="仿宋" w:cs="仿宋"/>
                <w:color w:val="000000"/>
                <w:sz w:val="24"/>
                <w:szCs w:val="24"/>
              </w:rPr>
              <w:t xml:space="preserve">报告进行佐证（检测报告需具有“CMA”标志和清晰二维码可扫描且检测日期在2023年以来有效期内的），检测报告参数需完全满足或优于招标文件采购清单中带“▲”的技术参数要求，全部符合满足得18分，每缺少一份或参数不满足扣1.5分，扣完为止。</w:t>
            </w:r>
            <w:r/>
          </w:p>
        </w:tc>
      </w:tr>
      <w:tr>
        <w:trPr>
          <w:trHeight w:val="1364"/>
        </w:trPr>
        <w:tc>
          <w:tcPr>
            <w:tcW w:w="516" w:type="dxa"/>
            <w:vAlign w:val="center"/>
            <w:textDirection w:val="lrTb"/>
            <w:noWrap w:val="false"/>
          </w:tcPr>
          <w:p>
            <w:pPr>
              <w:jc w:val="center"/>
              <w:spacing w:line="48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w:t>
            </w:r>
            <w:r/>
          </w:p>
        </w:tc>
        <w:tc>
          <w:tcPr>
            <w:tcW w:w="1338" w:type="dxa"/>
            <w:vAlign w:val="center"/>
            <w:textDirection w:val="lrTb"/>
            <w:noWrap w:val="false"/>
          </w:tcPr>
          <w:p>
            <w:pPr>
              <w:jc w:val="center"/>
              <w:spacing w:line="480" w:lineRule="exact"/>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实施方案</w:t>
            </w:r>
            <w:r/>
          </w:p>
        </w:tc>
        <w:tc>
          <w:tcPr>
            <w:tcW w:w="497" w:type="dxa"/>
            <w:vAlign w:val="center"/>
            <w:textDirection w:val="lrTb"/>
            <w:noWrap w:val="false"/>
          </w:tcPr>
          <w:p>
            <w:pPr>
              <w:jc w:val="center"/>
              <w:spacing w:line="48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w:t>
            </w:r>
            <w:r/>
          </w:p>
        </w:tc>
        <w:tc>
          <w:tcPr>
            <w:tcW w:w="6768" w:type="dxa"/>
            <w:vAlign w:val="center"/>
            <w:textDirection w:val="lrTb"/>
            <w:noWrap w:val="false"/>
          </w:tcPr>
          <w:p>
            <w:pPr>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制定详细的项目实施方案，</w:t>
            </w:r>
            <w:r>
              <w:rPr>
                <w:rFonts w:hint="eastAsia" w:ascii="仿宋" w:hAnsi="仿宋" w:eastAsia="仿宋" w:cs="仿宋"/>
                <w:color w:val="auto"/>
                <w:sz w:val="24"/>
                <w:szCs w:val="24"/>
              </w:rPr>
              <w:t xml:space="preserve">方案中至少应包含</w:t>
            </w:r>
            <w:r>
              <w:rPr>
                <w:rFonts w:hint="eastAsia" w:ascii="仿宋" w:hAnsi="仿宋" w:eastAsia="仿宋" w:cs="仿宋"/>
                <w:color w:val="auto"/>
                <w:sz w:val="24"/>
                <w:szCs w:val="24"/>
                <w:lang w:eastAsia="zh-CN"/>
              </w:rPr>
              <w:t xml:space="preserve">①</w:t>
            </w:r>
            <w:r>
              <w:rPr>
                <w:rFonts w:hint="eastAsia" w:ascii="仿宋" w:hAnsi="仿宋" w:eastAsia="仿宋" w:cs="仿宋"/>
                <w:color w:val="auto"/>
                <w:sz w:val="24"/>
                <w:szCs w:val="24"/>
              </w:rPr>
              <w:t xml:space="preserve">原材料准备、</w:t>
            </w:r>
            <w:r>
              <w:rPr>
                <w:rFonts w:hint="eastAsia" w:ascii="仿宋" w:hAnsi="仿宋" w:eastAsia="仿宋" w:cs="仿宋"/>
                <w:color w:val="auto"/>
                <w:sz w:val="24"/>
                <w:szCs w:val="24"/>
                <w:lang w:eastAsia="zh-CN"/>
              </w:rPr>
              <w:t xml:space="preserve">②</w:t>
            </w:r>
            <w:r>
              <w:rPr>
                <w:rFonts w:hint="eastAsia" w:ascii="仿宋" w:hAnsi="仿宋" w:eastAsia="仿宋" w:cs="仿宋"/>
                <w:color w:val="auto"/>
                <w:sz w:val="24"/>
                <w:szCs w:val="24"/>
              </w:rPr>
              <w:t xml:space="preserve">生产技术工艺、</w:t>
            </w:r>
            <w:r>
              <w:rPr>
                <w:rFonts w:hint="eastAsia" w:ascii="仿宋" w:hAnsi="仿宋" w:eastAsia="仿宋" w:cs="仿宋"/>
                <w:color w:val="auto"/>
                <w:sz w:val="24"/>
                <w:szCs w:val="24"/>
                <w:lang w:eastAsia="zh-CN"/>
              </w:rPr>
              <w:t xml:space="preserve">③</w:t>
            </w:r>
            <w:r>
              <w:rPr>
                <w:rFonts w:hint="eastAsia" w:ascii="仿宋" w:hAnsi="仿宋" w:eastAsia="仿宋" w:cs="仿宋"/>
                <w:color w:val="auto"/>
                <w:sz w:val="24"/>
                <w:szCs w:val="24"/>
              </w:rPr>
              <w:t xml:space="preserve">生产过程控制、</w:t>
            </w:r>
            <w:r>
              <w:rPr>
                <w:rFonts w:hint="eastAsia" w:ascii="仿宋" w:hAnsi="仿宋" w:eastAsia="仿宋" w:cs="仿宋"/>
                <w:color w:val="auto"/>
                <w:sz w:val="24"/>
                <w:szCs w:val="24"/>
                <w:lang w:val="en-US" w:eastAsia="zh-CN"/>
              </w:rPr>
              <w:t xml:space="preserve">④</w:t>
            </w:r>
            <w:r>
              <w:rPr>
                <w:rFonts w:hint="eastAsia" w:ascii="仿宋" w:hAnsi="仿宋" w:eastAsia="仿宋" w:cs="仿宋"/>
                <w:color w:val="auto"/>
                <w:sz w:val="24"/>
                <w:szCs w:val="24"/>
              </w:rPr>
              <w:t xml:space="preserve">生产进度安排、</w:t>
            </w:r>
            <w:r>
              <w:rPr>
                <w:rFonts w:hint="eastAsia" w:ascii="仿宋" w:hAnsi="仿宋" w:eastAsia="仿宋" w:cs="仿宋"/>
                <w:color w:val="auto"/>
                <w:sz w:val="24"/>
                <w:szCs w:val="24"/>
                <w:lang w:val="en-US" w:eastAsia="zh-CN"/>
              </w:rPr>
              <w:t xml:space="preserve">⑤</w:t>
            </w:r>
            <w:r>
              <w:rPr>
                <w:rFonts w:hint="eastAsia" w:ascii="仿宋" w:hAnsi="仿宋" w:eastAsia="仿宋" w:cs="仿宋"/>
                <w:color w:val="auto"/>
                <w:sz w:val="24"/>
                <w:szCs w:val="24"/>
              </w:rPr>
              <w:t xml:space="preserve">供货安装承诺、</w:t>
            </w:r>
            <w:r>
              <w:rPr>
                <w:rFonts w:hint="eastAsia" w:ascii="仿宋" w:hAnsi="仿宋" w:eastAsia="仿宋" w:cs="仿宋"/>
                <w:color w:val="auto"/>
                <w:sz w:val="24"/>
                <w:szCs w:val="24"/>
                <w:lang w:val="en-US" w:eastAsia="zh-CN"/>
              </w:rPr>
              <w:t xml:space="preserve">⑥产品质检</w:t>
            </w:r>
            <w:r>
              <w:rPr>
                <w:rFonts w:hint="eastAsia" w:ascii="仿宋" w:hAnsi="仿宋" w:eastAsia="仿宋" w:cs="仿宋"/>
                <w:color w:val="auto"/>
                <w:sz w:val="24"/>
                <w:szCs w:val="24"/>
              </w:rPr>
              <w:t xml:space="preserve">方案。</w:t>
            </w:r>
            <w:r>
              <w:rPr>
                <w:rFonts w:hint="eastAsia" w:ascii="仿宋" w:hAnsi="仿宋" w:eastAsia="仿宋" w:cs="仿宋"/>
                <w:b/>
                <w:bCs/>
                <w:i w:val="0"/>
                <w:iCs w:val="0"/>
                <w:color w:val="auto"/>
                <w:sz w:val="24"/>
                <w:szCs w:val="24"/>
                <w:highlight w:val="none"/>
                <w:u w:val="none"/>
                <w:lang w:val="en-US" w:eastAsia="zh-CN" w:bidi="ar"/>
              </w:rPr>
              <w:t xml:space="preserve">上述</w:t>
            </w:r>
            <w:r>
              <w:rPr>
                <w:rStyle w:val="846"/>
                <w:rFonts w:hint="eastAsia" w:ascii="仿宋" w:hAnsi="仿宋" w:eastAsia="仿宋" w:cs="仿宋"/>
                <w:b/>
                <w:bCs/>
                <w:color w:val="auto"/>
                <w:sz w:val="24"/>
                <w:szCs w:val="24"/>
                <w:highlight w:val="none"/>
                <w:lang w:val="en-US" w:eastAsia="zh-CN" w:bidi="ar"/>
              </w:rPr>
              <w:t xml:space="preserve"> 6个方面每一项内容得分1分，每有一项内容存在缺陷或不足的该点内容不得分。本项最高得分6分；照抄招标文件或未提供的不得分。</w:t>
            </w:r>
            <w:r/>
          </w:p>
        </w:tc>
      </w:tr>
      <w:tr>
        <w:trPr>
          <w:trHeight w:val="1364"/>
        </w:trPr>
        <w:tc>
          <w:tcPr>
            <w:tcW w:w="516"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5</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设计方案</w:t>
            </w:r>
            <w:r/>
          </w:p>
        </w:tc>
        <w:tc>
          <w:tcPr>
            <w:tcW w:w="497" w:type="dxa"/>
            <w:vAlign w:val="center"/>
            <w:textDirection w:val="lrTb"/>
            <w:noWrap w:val="false"/>
          </w:tcPr>
          <w:p>
            <w:pPr>
              <w:jc w:val="center"/>
              <w:spacing w:line="48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7</w:t>
            </w:r>
            <w:r/>
          </w:p>
        </w:tc>
        <w:tc>
          <w:tcPr>
            <w:tcW w:w="6768" w:type="dxa"/>
            <w:vAlign w:val="center"/>
            <w:textDirection w:val="lrTb"/>
            <w:noWrap w:val="false"/>
          </w:tcPr>
          <w:p>
            <w:pPr>
              <w:jc w:val="left"/>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投标人自行联系勘查</w:t>
            </w:r>
            <w:r>
              <w:rPr>
                <w:rFonts w:hint="eastAsia" w:ascii="仿宋" w:hAnsi="仿宋" w:eastAsia="仿宋" w:cs="仿宋"/>
                <w:color w:val="000000"/>
                <w:sz w:val="24"/>
                <w:szCs w:val="24"/>
                <w:lang w:val="en-US" w:eastAsia="zh-CN"/>
              </w:rPr>
              <w:t xml:space="preserve">测量</w:t>
            </w:r>
            <w:r>
              <w:rPr>
                <w:rFonts w:hint="eastAsia" w:ascii="仿宋" w:hAnsi="仿宋" w:eastAsia="仿宋" w:cs="仿宋"/>
                <w:color w:val="000000"/>
                <w:sz w:val="24"/>
                <w:szCs w:val="24"/>
              </w:rPr>
              <w:t xml:space="preserve">现场，综合考虑在满足招标文件要求的基础上对家具摆放等提供平面布置</w:t>
            </w:r>
            <w:r>
              <w:rPr>
                <w:rFonts w:hint="eastAsia" w:ascii="仿宋" w:hAnsi="仿宋" w:eastAsia="仿宋" w:cs="仿宋"/>
                <w:color w:val="000000"/>
                <w:sz w:val="24"/>
                <w:szCs w:val="24"/>
                <w:lang w:val="en-US" w:eastAsia="zh-CN"/>
              </w:rPr>
              <w:t xml:space="preserve">图</w:t>
            </w:r>
            <w:r>
              <w:rPr>
                <w:rFonts w:hint="eastAsia" w:ascii="仿宋" w:hAnsi="仿宋" w:eastAsia="仿宋" w:cs="仿宋"/>
                <w:color w:val="000000"/>
                <w:sz w:val="24"/>
                <w:szCs w:val="24"/>
              </w:rPr>
              <w:t xml:space="preserve">与深化设计效果展示</w:t>
            </w:r>
            <w:r>
              <w:rPr>
                <w:rFonts w:hint="eastAsia" w:ascii="仿宋" w:hAnsi="仿宋" w:eastAsia="仿宋" w:cs="仿宋"/>
                <w:color w:val="000000"/>
                <w:sz w:val="24"/>
                <w:szCs w:val="24"/>
                <w:lang w:val="en-US" w:eastAsia="zh-CN"/>
              </w:rPr>
              <w:t xml:space="preserve">图</w:t>
            </w:r>
            <w:r>
              <w:rPr>
                <w:rFonts w:hint="eastAsia" w:ascii="仿宋" w:hAnsi="仿宋" w:eastAsia="仿宋" w:cs="仿宋"/>
                <w:color w:val="000000"/>
                <w:sz w:val="24"/>
                <w:szCs w:val="24"/>
              </w:rPr>
              <w:t xml:space="preserve">。针对深化设计的技术水平和环境的配套组合，整体效果等因素综合打分。平面布置图、方案设计效果与招标清单完全符合匹配得</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分；基本匹配得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lang w:eastAsia="zh-CN"/>
              </w:rPr>
              <w:t xml:space="preserve">个别</w:t>
            </w:r>
            <w:r>
              <w:rPr>
                <w:rFonts w:hint="eastAsia" w:ascii="仿宋" w:hAnsi="仿宋" w:eastAsia="仿宋" w:cs="仿宋"/>
                <w:color w:val="000000"/>
                <w:sz w:val="24"/>
                <w:szCs w:val="24"/>
              </w:rPr>
              <w:t xml:space="preserve">不符合匹配</w:t>
            </w:r>
            <w:r>
              <w:rPr>
                <w:rFonts w:hint="eastAsia" w:ascii="仿宋" w:hAnsi="仿宋" w:eastAsia="仿宋" w:cs="仿宋"/>
                <w:color w:val="000000"/>
                <w:sz w:val="24"/>
                <w:szCs w:val="24"/>
                <w:lang w:eastAsia="zh-CN"/>
              </w:rPr>
              <w:t xml:space="preserve">、设计效果展示不佳</w:t>
            </w:r>
            <w:r>
              <w:rPr>
                <w:rFonts w:hint="eastAsia" w:ascii="仿宋" w:hAnsi="仿宋" w:eastAsia="仿宋" w:cs="仿宋"/>
                <w:color w:val="000000"/>
                <w:sz w:val="24"/>
                <w:szCs w:val="24"/>
              </w:rPr>
              <w:t xml:space="preserve">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分；不提供或设计不符者不得分。</w:t>
            </w:r>
            <w:r/>
          </w:p>
        </w:tc>
      </w:tr>
      <w:tr>
        <w:trPr>
          <w:trHeight w:val="821"/>
        </w:trPr>
        <w:tc>
          <w:tcPr>
            <w:tcW w:w="516"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6</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业绩</w:t>
            </w:r>
            <w:r/>
          </w:p>
        </w:tc>
        <w:tc>
          <w:tcPr>
            <w:tcW w:w="497" w:type="dxa"/>
            <w:vAlign w:val="center"/>
            <w:textDirection w:val="lrTb"/>
            <w:noWrap w:val="false"/>
          </w:tcPr>
          <w:p>
            <w:pPr>
              <w:jc w:val="center"/>
              <w:spacing w:line="480" w:lineRule="exact"/>
              <w:widowControl/>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w:t>
            </w:r>
            <w:r/>
          </w:p>
        </w:tc>
        <w:tc>
          <w:tcPr>
            <w:tcW w:w="6768" w:type="dxa"/>
            <w:vAlign w:val="center"/>
            <w:textDirection w:val="lrTb"/>
            <w:noWrap w:val="false"/>
          </w:tcPr>
          <w:p>
            <w:pPr>
              <w:jc w:val="left"/>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投标人2023年</w:t>
            </w:r>
            <w:r>
              <w:rPr>
                <w:rFonts w:hint="eastAsia" w:ascii="仿宋" w:hAnsi="仿宋" w:eastAsia="仿宋" w:cs="仿宋"/>
                <w:color w:val="000000"/>
                <w:sz w:val="24"/>
                <w:szCs w:val="24"/>
                <w:lang w:val="en-US" w:eastAsia="zh-CN"/>
              </w:rPr>
              <w:t xml:space="preserve">1月1日</w:t>
            </w:r>
            <w:r>
              <w:rPr>
                <w:rFonts w:hint="eastAsia" w:ascii="仿宋" w:hAnsi="仿宋" w:eastAsia="仿宋" w:cs="仿宋"/>
                <w:color w:val="000000"/>
                <w:sz w:val="24"/>
                <w:szCs w:val="24"/>
              </w:rPr>
              <w:t xml:space="preserve">以来具有家具类成功案例业绩的，有一份得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分，最多得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lang w:eastAsia="zh-CN"/>
              </w:rPr>
              <w:t xml:space="preserve">，以合同签订时间为准</w:t>
            </w:r>
            <w:r>
              <w:rPr>
                <w:rFonts w:hint="eastAsia" w:ascii="仿宋" w:hAnsi="仿宋" w:eastAsia="仿宋" w:cs="仿宋"/>
                <w:color w:val="000000"/>
                <w:sz w:val="24"/>
                <w:szCs w:val="24"/>
              </w:rPr>
              <w:t xml:space="preserve">。（需提供完整的中标</w:t>
            </w:r>
            <w:r>
              <w:rPr>
                <w:rFonts w:hint="eastAsia" w:ascii="仿宋" w:hAnsi="仿宋" w:eastAsia="仿宋" w:cs="仿宋"/>
                <w:color w:val="000000"/>
                <w:sz w:val="24"/>
                <w:szCs w:val="24"/>
                <w:lang w:eastAsia="zh-CN"/>
              </w:rPr>
              <w:t xml:space="preserve">（成交）</w:t>
            </w:r>
            <w:r>
              <w:rPr>
                <w:rFonts w:hint="eastAsia" w:ascii="仿宋" w:hAnsi="仿宋" w:eastAsia="仿宋" w:cs="仿宋"/>
                <w:color w:val="000000"/>
                <w:sz w:val="24"/>
                <w:szCs w:val="24"/>
              </w:rPr>
              <w:t xml:space="preserve">通知书、合同、采购清单，提供不全不得分。）</w:t>
            </w:r>
            <w:r/>
          </w:p>
        </w:tc>
      </w:tr>
      <w:tr>
        <w:trPr>
          <w:trHeight w:val="3684"/>
        </w:trPr>
        <w:tc>
          <w:tcPr>
            <w:tcW w:w="516"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样 品    </w:t>
            </w:r>
            <w:r>
              <w:rPr>
                <w:rFonts w:hint="eastAsia" w:ascii="仿宋" w:hAnsi="仿宋" w:eastAsia="仿宋" w:cs="仿宋"/>
                <w:b/>
                <w:sz w:val="24"/>
                <w:szCs w:val="24"/>
              </w:rPr>
              <w:t xml:space="preserve">（暗标评审）</w:t>
            </w:r>
            <w:r/>
          </w:p>
        </w:tc>
        <w:tc>
          <w:tcPr>
            <w:tcW w:w="497"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W w:w="6768"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投标人需按要求提供的样品（序号30：旁听椅；序号34：办公椅；序号39：单人位沙发），评委</w:t>
            </w:r>
            <w:r>
              <w:rPr>
                <w:rFonts w:hint="eastAsia" w:ascii="仿宋" w:hAnsi="仿宋" w:eastAsia="仿宋" w:cs="仿宋"/>
                <w:color w:val="000000"/>
                <w:sz w:val="24"/>
                <w:szCs w:val="24"/>
                <w:lang w:eastAsia="zh-CN"/>
              </w:rPr>
              <w:t xml:space="preserve">按照以下标准进行评价：①</w:t>
            </w:r>
            <w:r>
              <w:rPr>
                <w:rFonts w:hint="eastAsia" w:ascii="仿宋" w:hAnsi="仿宋" w:eastAsia="仿宋" w:cs="仿宋"/>
                <w:color w:val="000000"/>
                <w:sz w:val="24"/>
                <w:szCs w:val="24"/>
              </w:rPr>
              <w:t xml:space="preserve">材质符合文件需求</w:t>
            </w:r>
            <w:r>
              <w:rPr>
                <w:rFonts w:hint="eastAsia" w:ascii="仿宋" w:hAnsi="仿宋" w:eastAsia="仿宋" w:cs="仿宋"/>
                <w:color w:val="000000"/>
                <w:sz w:val="24"/>
                <w:szCs w:val="24"/>
                <w:lang w:eastAsia="zh-CN"/>
              </w:rPr>
              <w:t xml:space="preserve">、②</w:t>
            </w:r>
            <w:r>
              <w:rPr>
                <w:rFonts w:hint="eastAsia" w:ascii="仿宋" w:hAnsi="仿宋" w:eastAsia="仿宋" w:cs="仿宋"/>
                <w:color w:val="000000"/>
                <w:sz w:val="24"/>
                <w:szCs w:val="24"/>
              </w:rPr>
              <w:t xml:space="preserve">工艺等细节处理精良</w:t>
            </w:r>
            <w:r>
              <w:rPr>
                <w:rFonts w:hint="eastAsia" w:ascii="仿宋" w:hAnsi="仿宋" w:eastAsia="仿宋" w:cs="仿宋"/>
                <w:color w:val="000000"/>
                <w:sz w:val="24"/>
                <w:szCs w:val="24"/>
                <w:lang w:eastAsia="zh-CN"/>
              </w:rPr>
              <w:t xml:space="preserve">、③</w:t>
            </w:r>
            <w:r>
              <w:rPr>
                <w:rFonts w:hint="eastAsia" w:ascii="仿宋" w:hAnsi="仿宋" w:eastAsia="仿宋" w:cs="仿宋"/>
                <w:color w:val="000000"/>
                <w:sz w:val="24"/>
                <w:szCs w:val="24"/>
              </w:rPr>
              <w:t xml:space="preserve">整体无刺激性气味</w:t>
            </w:r>
            <w:r>
              <w:rPr>
                <w:rFonts w:hint="eastAsia" w:ascii="仿宋" w:hAnsi="仿宋" w:eastAsia="仿宋" w:cs="仿宋"/>
                <w:color w:val="000000"/>
                <w:sz w:val="24"/>
                <w:szCs w:val="24"/>
                <w:lang w:eastAsia="zh-CN"/>
              </w:rPr>
              <w:t xml:space="preserve">、④</w:t>
            </w:r>
            <w:r>
              <w:rPr>
                <w:rFonts w:hint="eastAsia" w:ascii="仿宋" w:hAnsi="仿宋" w:eastAsia="仿宋" w:cs="仿宋"/>
                <w:color w:val="000000"/>
                <w:sz w:val="24"/>
                <w:szCs w:val="24"/>
              </w:rPr>
              <w:t xml:space="preserve">产品结构符合文件要求。</w:t>
            </w:r>
            <w:r/>
          </w:p>
          <w:p>
            <w:pPr>
              <w:jc w:val="left"/>
              <w:keepLines w:val="0"/>
              <w:keepNext w:val="0"/>
              <w:pageBreakBefore w:val="0"/>
              <w:spacing w:line="44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每有一项不符合采购需求的扣1分，最多扣12分；不提供样品或样品不齐全者均得0分。（注：响应供应商提供的样品不得出现制造商的名称、商标、品牌或供应商的名称，标识，否则一律视为未递交样品</w:t>
            </w:r>
            <w:bookmarkStart w:id="205" w:name="_GoBack"/>
            <w:r/>
            <w:bookmarkEnd w:id="205"/>
            <w:r>
              <w:rPr>
                <w:rFonts w:hint="eastAsia" w:ascii="仿宋" w:hAnsi="仿宋" w:eastAsia="仿宋" w:cs="仿宋"/>
                <w:color w:val="000000"/>
                <w:sz w:val="24"/>
                <w:szCs w:val="24"/>
              </w:rPr>
              <w:t xml:space="preserve">；在样品评审过程中，如有需要将现场进行破坏性检查。）                                                 </w:t>
            </w:r>
            <w:r/>
          </w:p>
        </w:tc>
      </w:tr>
      <w:tr>
        <w:trPr>
          <w:trHeight w:val="936"/>
        </w:trPr>
        <w:tc>
          <w:tcPr>
            <w:tcW w:w="516"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8</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售后服务方案保障</w:t>
            </w:r>
            <w:r/>
          </w:p>
        </w:tc>
        <w:tc>
          <w:tcPr>
            <w:tcW w:w="497"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w:t>
            </w:r>
            <w:r/>
          </w:p>
        </w:tc>
        <w:tc>
          <w:tcPr>
            <w:tcW w:w="6768" w:type="dxa"/>
            <w:vAlign w:val="center"/>
            <w:textDirection w:val="lrTb"/>
            <w:noWrap w:val="false"/>
          </w:tcPr>
          <w:p>
            <w:pPr>
              <w:numPr>
                <w:ilvl w:val="0"/>
                <w:numId w:val="9"/>
              </w:numPr>
              <w:jc w:val="left"/>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lang w:val="en-US" w:eastAsia="zh-CN"/>
              </w:rPr>
              <w:t xml:space="preserve">提供的</w:t>
            </w:r>
            <w:r>
              <w:rPr>
                <w:rFonts w:hint="eastAsia" w:ascii="仿宋" w:hAnsi="仿宋" w:eastAsia="仿宋" w:cs="仿宋"/>
                <w:color w:val="000000"/>
                <w:sz w:val="24"/>
                <w:szCs w:val="24"/>
              </w:rPr>
              <w:t xml:space="preserve">售后服务承诺及保障措施</w:t>
            </w:r>
            <w:r>
              <w:rPr>
                <w:rFonts w:hint="eastAsia" w:ascii="仿宋" w:hAnsi="仿宋" w:eastAsia="仿宋" w:cs="仿宋"/>
                <w:color w:val="auto"/>
                <w:sz w:val="24"/>
                <w:szCs w:val="24"/>
              </w:rPr>
              <w:t xml:space="preserve">中至少应包含</w:t>
            </w:r>
            <w:r>
              <w:rPr>
                <w:rFonts w:hint="eastAsia" w:ascii="仿宋" w:hAnsi="仿宋" w:eastAsia="仿宋" w:cs="仿宋"/>
                <w:color w:val="auto"/>
                <w:sz w:val="24"/>
                <w:szCs w:val="24"/>
                <w:lang w:eastAsia="zh-CN"/>
              </w:rPr>
              <w:t xml:space="preserve">①</w:t>
            </w:r>
            <w:r>
              <w:rPr>
                <w:rFonts w:hint="eastAsia" w:ascii="仿宋" w:hAnsi="仿宋" w:eastAsia="仿宋" w:cs="仿宋"/>
                <w:color w:val="auto"/>
                <w:sz w:val="24"/>
                <w:szCs w:val="24"/>
              </w:rPr>
              <w:t xml:space="preserve">售后服务承诺及保修细则、</w:t>
            </w:r>
            <w:r>
              <w:rPr>
                <w:rFonts w:hint="eastAsia" w:ascii="仿宋" w:hAnsi="仿宋" w:eastAsia="仿宋" w:cs="仿宋"/>
                <w:color w:val="auto"/>
                <w:sz w:val="24"/>
                <w:szCs w:val="24"/>
                <w:lang w:eastAsia="zh-CN"/>
              </w:rPr>
              <w:t xml:space="preserve">②</w:t>
            </w:r>
            <w:r>
              <w:rPr>
                <w:rFonts w:hint="eastAsia" w:ascii="仿宋" w:hAnsi="仿宋" w:eastAsia="仿宋" w:cs="仿宋"/>
                <w:color w:val="auto"/>
                <w:sz w:val="24"/>
                <w:szCs w:val="24"/>
              </w:rPr>
              <w:t xml:space="preserve">服务质量保证标准、</w:t>
            </w:r>
            <w:r>
              <w:rPr>
                <w:rFonts w:hint="eastAsia" w:ascii="仿宋" w:hAnsi="仿宋" w:eastAsia="仿宋" w:cs="仿宋"/>
                <w:color w:val="auto"/>
                <w:sz w:val="24"/>
                <w:szCs w:val="24"/>
                <w:lang w:eastAsia="zh-CN"/>
              </w:rPr>
              <w:t xml:space="preserve">③</w:t>
            </w:r>
            <w:r>
              <w:rPr>
                <w:rFonts w:hint="eastAsia" w:ascii="仿宋" w:hAnsi="仿宋" w:eastAsia="仿宋" w:cs="仿宋"/>
                <w:color w:val="auto"/>
                <w:sz w:val="24"/>
                <w:szCs w:val="24"/>
              </w:rPr>
              <w:t xml:space="preserve">售后服务人员和工具配备、</w:t>
            </w:r>
            <w:r>
              <w:rPr>
                <w:rFonts w:hint="eastAsia" w:ascii="仿宋" w:hAnsi="仿宋" w:eastAsia="仿宋" w:cs="仿宋"/>
                <w:color w:val="auto"/>
                <w:sz w:val="24"/>
                <w:szCs w:val="24"/>
                <w:lang w:eastAsia="zh-CN"/>
              </w:rPr>
              <w:t xml:space="preserve">④</w:t>
            </w:r>
            <w:r>
              <w:rPr>
                <w:rFonts w:hint="eastAsia" w:ascii="仿宋" w:hAnsi="仿宋" w:eastAsia="仿宋" w:cs="仿宋"/>
                <w:color w:val="auto"/>
                <w:sz w:val="24"/>
                <w:szCs w:val="24"/>
              </w:rPr>
              <w:t xml:space="preserve">现场服务措施、</w:t>
            </w:r>
            <w:r>
              <w:rPr>
                <w:rFonts w:hint="eastAsia" w:ascii="仿宋" w:hAnsi="仿宋" w:eastAsia="仿宋" w:cs="仿宋"/>
                <w:color w:val="auto"/>
                <w:sz w:val="24"/>
                <w:szCs w:val="24"/>
                <w:lang w:eastAsia="zh-CN"/>
              </w:rPr>
              <w:t xml:space="preserve">⑤</w:t>
            </w:r>
            <w:r>
              <w:rPr>
                <w:rFonts w:hint="eastAsia" w:ascii="仿宋" w:hAnsi="仿宋" w:eastAsia="仿宋" w:cs="仿宋"/>
                <w:color w:val="auto"/>
                <w:sz w:val="24"/>
                <w:szCs w:val="24"/>
              </w:rPr>
              <w:t xml:space="preserve">故障解决能力、</w:t>
            </w:r>
            <w:r>
              <w:rPr>
                <w:rFonts w:hint="eastAsia" w:ascii="仿宋" w:hAnsi="仿宋" w:eastAsia="仿宋" w:cs="仿宋"/>
                <w:color w:val="auto"/>
                <w:sz w:val="24"/>
                <w:szCs w:val="24"/>
                <w:lang w:eastAsia="zh-CN"/>
              </w:rPr>
              <w:t xml:space="preserve">⑥</w:t>
            </w:r>
            <w:r>
              <w:rPr>
                <w:rFonts w:hint="eastAsia" w:ascii="仿宋" w:hAnsi="仿宋" w:eastAsia="仿宋" w:cs="仿宋"/>
                <w:color w:val="auto"/>
                <w:sz w:val="24"/>
                <w:szCs w:val="24"/>
              </w:rPr>
              <w:t xml:space="preserve">应急服务响应方案、</w:t>
            </w:r>
            <w:r>
              <w:rPr>
                <w:rFonts w:hint="eastAsia" w:ascii="仿宋" w:hAnsi="仿宋" w:eastAsia="仿宋" w:cs="仿宋"/>
                <w:color w:val="auto"/>
                <w:sz w:val="24"/>
                <w:szCs w:val="24"/>
                <w:lang w:eastAsia="zh-CN"/>
              </w:rPr>
              <w:t xml:space="preserve">⑦</w:t>
            </w:r>
            <w:r>
              <w:rPr>
                <w:rFonts w:hint="eastAsia" w:ascii="仿宋" w:hAnsi="仿宋" w:eastAsia="仿宋" w:cs="仿宋"/>
                <w:color w:val="auto"/>
                <w:sz w:val="24"/>
                <w:szCs w:val="24"/>
              </w:rPr>
              <w:t xml:space="preserve">优惠条件承诺及服务体系说明</w:t>
            </w:r>
            <w:r>
              <w:rPr>
                <w:rFonts w:hint="eastAsia" w:ascii="仿宋" w:hAnsi="仿宋" w:eastAsia="仿宋" w:cs="仿宋"/>
                <w:color w:val="auto"/>
                <w:sz w:val="24"/>
                <w:szCs w:val="24"/>
                <w:lang w:eastAsia="zh-CN"/>
              </w:rPr>
              <w:t xml:space="preserve">。</w:t>
            </w:r>
            <w:r>
              <w:rPr>
                <w:rFonts w:hint="eastAsia" w:ascii="仿宋" w:hAnsi="仿宋" w:eastAsia="仿宋" w:cs="仿宋"/>
                <w:b/>
                <w:bCs/>
                <w:i w:val="0"/>
                <w:iCs w:val="0"/>
                <w:color w:val="auto"/>
                <w:sz w:val="24"/>
                <w:szCs w:val="24"/>
                <w:highlight w:val="none"/>
                <w:u w:val="none"/>
                <w:lang w:val="en-US" w:eastAsia="zh-CN" w:bidi="ar"/>
              </w:rPr>
              <w:t xml:space="preserve">上述</w:t>
            </w:r>
            <w:r>
              <w:rPr>
                <w:rStyle w:val="846"/>
                <w:rFonts w:hint="eastAsia" w:ascii="仿宋" w:hAnsi="仿宋" w:eastAsia="仿宋" w:cs="仿宋"/>
                <w:b/>
                <w:bCs/>
                <w:color w:val="auto"/>
                <w:sz w:val="24"/>
                <w:szCs w:val="24"/>
                <w:highlight w:val="none"/>
                <w:lang w:val="en-US" w:eastAsia="zh-CN" w:bidi="ar"/>
              </w:rPr>
              <w:t xml:space="preserve">7个方面每一项内容得1分，每有一项内容存在缺陷或不足的该点内容不得分。本项最高得7分；照抄招标文件或未提供的不得分。</w:t>
            </w:r>
            <w:r/>
          </w:p>
        </w:tc>
      </w:tr>
      <w:tr>
        <w:trPr>
          <w:trHeight w:val="1896"/>
        </w:trPr>
        <w:tc>
          <w:tcPr>
            <w:tcW w:w="516"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9</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sz w:val="24"/>
                <w:szCs w:val="24"/>
              </w:rPr>
              <w:t xml:space="preserve">价格分</w:t>
            </w:r>
            <w:r/>
          </w:p>
        </w:tc>
        <w:tc>
          <w:tcPr>
            <w:tcW w:w="497"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30</w:t>
            </w:r>
            <w:r/>
          </w:p>
        </w:tc>
        <w:tc>
          <w:tcPr>
            <w:tcW w:w="6768" w:type="dxa"/>
            <w:vAlign w:val="center"/>
            <w:textDirection w:val="lrTb"/>
            <w:noWrap w:val="false"/>
          </w:tcPr>
          <w:p>
            <w:pPr>
              <w:spacing w:line="480" w:lineRule="exact"/>
              <w:rPr>
                <w:rFonts w:ascii="仿宋" w:hAnsi="仿宋" w:eastAsia="仿宋" w:cs="仿宋"/>
                <w:sz w:val="24"/>
                <w:szCs w:val="24"/>
              </w:rPr>
            </w:pPr>
            <w:r>
              <w:rPr>
                <w:rFonts w:hint="eastAsia" w:ascii="仿宋" w:hAnsi="仿宋" w:eastAsia="仿宋" w:cs="仿宋"/>
                <w:sz w:val="24"/>
                <w:szCs w:val="24"/>
              </w:rPr>
              <w:t xml:space="preserve">1.价格分统一采用低价优先法计算，即满足招标文件要求且投标价格最低的投标报价为评标基准价，其价格分为满分。其他投标人的价格分统一按照下列公式计算：</w:t>
            </w:r>
            <w:r/>
          </w:p>
          <w:p>
            <w:pPr>
              <w:spacing w:line="480" w:lineRule="exact"/>
              <w:rPr>
                <w:rFonts w:ascii="仿宋" w:hAnsi="仿宋" w:eastAsia="仿宋" w:cs="仿宋"/>
                <w:color w:val="000000"/>
                <w:sz w:val="24"/>
                <w:szCs w:val="24"/>
              </w:rPr>
            </w:pPr>
            <w:r>
              <w:rPr>
                <w:rFonts w:hint="eastAsia" w:ascii="仿宋" w:hAnsi="仿宋" w:eastAsia="仿宋" w:cs="仿宋"/>
                <w:sz w:val="24"/>
                <w:szCs w:val="24"/>
              </w:rPr>
              <w:t xml:space="preserve">投标报价得分=（评标基准价/投标报价）×价格权值×100</w:t>
            </w:r>
            <w:r/>
          </w:p>
        </w:tc>
      </w:tr>
      <w:tr>
        <w:trPr>
          <w:trHeight w:val="1110"/>
        </w:trPr>
        <w:tc>
          <w:tcPr>
            <w:gridSpan w:val="4"/>
            <w:tcW w:w="9119" w:type="dxa"/>
            <w:vAlign w:val="center"/>
            <w:textDirection w:val="lrTb"/>
            <w:noWrap w:val="false"/>
          </w:tcPr>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p>
        </w:tc>
      </w:tr>
    </w:tbl>
    <w:p>
      <w:pPr>
        <w:spacing w:line="480" w:lineRule="exact"/>
        <w:rPr>
          <w:rFonts w:ascii="仿宋" w:hAnsi="仿宋" w:eastAsia="仿宋" w:cs="仿宋"/>
          <w:sz w:val="24"/>
          <w:szCs w:val="24"/>
        </w:rPr>
      </w:pPr>
      <w:r>
        <w:rPr>
          <w:rFonts w:ascii="仿宋" w:hAnsi="仿宋" w:eastAsia="仿宋" w:cs="仿宋"/>
          <w:sz w:val="24"/>
          <w:szCs w:val="24"/>
        </w:rPr>
      </w:r>
      <w:r/>
    </w:p>
    <w:p>
      <w:pPr>
        <w:pStyle w:val="735"/>
        <w:ind w:firstLine="0"/>
        <w:rPr>
          <w:rFonts w:ascii="仿宋" w:hAnsi="仿宋" w:eastAsia="仿宋" w:cs="仿宋"/>
          <w:b/>
          <w:bCs/>
          <w:color w:val="0000ff"/>
          <w:sz w:val="24"/>
          <w:szCs w:val="24"/>
        </w:rPr>
      </w:pPr>
      <w:r>
        <w:rPr>
          <w:rFonts w:hint="eastAsia" w:ascii="仿宋" w:hAnsi="仿宋" w:eastAsia="仿宋" w:cs="仿宋"/>
          <w:b/>
          <w:bCs/>
          <w:color w:val="0000ff"/>
          <w:sz w:val="24"/>
          <w:szCs w:val="24"/>
        </w:rPr>
        <w:t xml:space="preserve">备</w:t>
      </w:r>
      <w:r>
        <w:rPr>
          <w:rFonts w:hint="eastAsia" w:ascii="仿宋" w:hAnsi="仿宋" w:eastAsia="仿宋" w:cs="仿宋"/>
          <w:b/>
          <w:bCs/>
          <w:color w:val="0000ff"/>
          <w:sz w:val="24"/>
          <w:szCs w:val="24"/>
          <w:lang w:val="en-US" w:eastAsia="zh-CN"/>
        </w:rPr>
        <w:t xml:space="preserve"> </w:t>
      </w:r>
      <w:r>
        <w:rPr>
          <w:rFonts w:hint="eastAsia" w:ascii="仿宋" w:hAnsi="仿宋" w:eastAsia="仿宋" w:cs="仿宋"/>
          <w:b/>
          <w:bCs/>
          <w:color w:val="0000ff"/>
          <w:sz w:val="24"/>
          <w:szCs w:val="24"/>
        </w:rPr>
        <w:t xml:space="preserve">注:以上提供的所有证书扫描件均需加盖投标人公章，中标后三日内提供原件</w:t>
      </w:r>
      <w:r>
        <w:rPr>
          <w:rFonts w:hint="eastAsia" w:ascii="仿宋" w:hAnsi="仿宋" w:eastAsia="仿宋" w:cs="仿宋"/>
          <w:b/>
          <w:bCs/>
          <w:color w:val="0000ff"/>
          <w:sz w:val="24"/>
          <w:szCs w:val="24"/>
          <w:lang w:val="en-US" w:eastAsia="zh-CN"/>
        </w:rPr>
        <w:t xml:space="preserve">至招标人</w:t>
      </w:r>
      <w:r>
        <w:rPr>
          <w:rFonts w:hint="eastAsia" w:ascii="仿宋" w:hAnsi="仿宋" w:eastAsia="仿宋" w:cs="仿宋"/>
          <w:b/>
          <w:bCs/>
          <w:color w:val="0000ff"/>
          <w:sz w:val="24"/>
          <w:szCs w:val="24"/>
        </w:rPr>
        <w:t xml:space="preserve">核查，若不能完全提供或提供不全、不真实的，将承担</w:t>
      </w:r>
      <w:r>
        <w:rPr>
          <w:rFonts w:hint="eastAsia" w:ascii="仿宋" w:hAnsi="仿宋" w:eastAsia="仿宋" w:cs="仿宋"/>
          <w:b/>
          <w:bCs/>
          <w:color w:val="0000ff"/>
          <w:sz w:val="24"/>
          <w:szCs w:val="24"/>
          <w:lang w:val="en-US" w:eastAsia="zh-CN"/>
        </w:rPr>
        <w:t xml:space="preserve">相应后果和</w:t>
      </w:r>
      <w:r>
        <w:rPr>
          <w:rFonts w:hint="eastAsia" w:ascii="仿宋" w:hAnsi="仿宋" w:eastAsia="仿宋" w:cs="仿宋"/>
          <w:b/>
          <w:bCs/>
          <w:color w:val="0000ff"/>
          <w:sz w:val="24"/>
          <w:szCs w:val="24"/>
        </w:rPr>
        <w:t xml:space="preserve">相关法律法规责任。</w:t>
      </w:r>
      <w:r/>
    </w:p>
    <w:p>
      <w:pPr>
        <w:rPr>
          <w:rFonts w:ascii="仿宋" w:hAnsi="仿宋" w:eastAsia="仿宋" w:cs="仿宋"/>
          <w:color w:val="000000"/>
          <w:szCs w:val="21"/>
        </w:rPr>
      </w:pPr>
      <w:r>
        <w:rPr>
          <w:rFonts w:ascii="仿宋" w:hAnsi="仿宋" w:eastAsia="仿宋" w:cs="仿宋"/>
          <w:color w:val="000000"/>
          <w:szCs w:val="21"/>
        </w:rPr>
      </w:r>
      <w:r/>
    </w:p>
    <w:p>
      <w:pPr>
        <w:keepNext/>
        <w:rPr>
          <w:rFonts w:ascii="仿宋" w:hAnsi="仿宋" w:eastAsia="仿宋" w:cs="仿宋"/>
          <w:bCs/>
          <w:color w:val="000000"/>
          <w:sz w:val="44"/>
          <w:szCs w:val="28"/>
        </w:rPr>
      </w:pPr>
      <w:r>
        <w:rPr>
          <w:rFonts w:ascii="仿宋" w:hAnsi="仿宋" w:eastAsia="仿宋" w:cs="仿宋"/>
          <w:bCs/>
          <w:color w:val="000000"/>
          <w:sz w:val="44"/>
          <w:szCs w:val="28"/>
        </w:rPr>
      </w:r>
      <w:r/>
    </w:p>
    <w:p>
      <w:pPr>
        <w:jc w:val="center"/>
        <w:keepNext/>
        <w:rPr>
          <w:rFonts w:ascii="仿宋" w:hAnsi="仿宋" w:eastAsia="仿宋" w:cs="仿宋"/>
          <w:b/>
          <w:color w:val="000000"/>
          <w:sz w:val="44"/>
          <w:szCs w:val="28"/>
        </w:rPr>
        <w:outlineLvl w:val="0"/>
      </w:pPr>
      <w:r/>
      <w:bookmarkStart w:id="195" w:name="_Toc5763"/>
      <w:r>
        <w:rPr>
          <w:rFonts w:hint="eastAsia" w:ascii="仿宋" w:hAnsi="仿宋" w:eastAsia="仿宋" w:cs="仿宋"/>
          <w:b/>
          <w:color w:val="000000"/>
          <w:sz w:val="44"/>
          <w:szCs w:val="28"/>
        </w:rPr>
        <w:t xml:space="preserve">第六章  投标</w:t>
      </w:r>
      <w:bookmarkEnd w:id="191"/>
      <w:r/>
      <w:bookmarkEnd w:id="192"/>
      <w:r/>
      <w:bookmarkEnd w:id="193"/>
      <w:r>
        <w:rPr>
          <w:rFonts w:hint="eastAsia" w:ascii="仿宋" w:hAnsi="仿宋" w:eastAsia="仿宋" w:cs="仿宋"/>
          <w:b/>
          <w:color w:val="000000"/>
          <w:sz w:val="44"/>
          <w:szCs w:val="28"/>
        </w:rPr>
        <w:t xml:space="preserve">文件格式</w:t>
      </w:r>
      <w:bookmarkEnd w:id="195"/>
      <w:r/>
      <w:r/>
    </w:p>
    <w:p>
      <w:pPr>
        <w:jc w:val="center"/>
        <w:rPr>
          <w:rFonts w:ascii="仿宋" w:hAnsi="仿宋" w:eastAsia="仿宋" w:cs="仿宋"/>
          <w:b/>
          <w:color w:val="000000"/>
          <w:sz w:val="72"/>
          <w:szCs w:val="21"/>
        </w:rPr>
      </w:pPr>
      <w:r/>
      <w:bookmarkStart w:id="196" w:name="_Hlt26671244"/>
      <w:r/>
      <w:bookmarkEnd w:id="196"/>
      <w:r/>
      <w:bookmarkStart w:id="197" w:name="_Hlt26955039"/>
      <w:r/>
      <w:bookmarkEnd w:id="197"/>
      <w:r/>
      <w:bookmarkStart w:id="198" w:name="_Toc120614282"/>
      <w:r/>
      <w:bookmarkStart w:id="199" w:name="_Toc49090576"/>
      <w:r/>
      <w:bookmarkStart w:id="200" w:name="_Toc26554094"/>
      <w:r/>
      <w:r/>
    </w:p>
    <w:p>
      <w:pPr>
        <w:jc w:val="center"/>
        <w:rPr>
          <w:rFonts w:ascii="仿宋" w:hAnsi="仿宋" w:eastAsia="仿宋" w:cs="仿宋"/>
          <w:b/>
          <w:color w:val="000000"/>
          <w:sz w:val="72"/>
          <w:szCs w:val="21"/>
        </w:rPr>
      </w:pPr>
      <w:r>
        <w:rPr>
          <w:rFonts w:hint="eastAsia" w:ascii="仿宋" w:hAnsi="仿宋" w:eastAsia="仿宋" w:cs="仿宋"/>
          <w:b/>
          <w:color w:val="000000"/>
          <w:sz w:val="72"/>
          <w:szCs w:val="21"/>
        </w:rPr>
        <w:t xml:space="preserve">投  标  文  件</w:t>
      </w:r>
      <w:r/>
    </w:p>
    <w:p>
      <w:pPr>
        <w:jc w:val="center"/>
        <w:rPr>
          <w:rFonts w:ascii="仿宋" w:hAnsi="仿宋" w:eastAsia="仿宋" w:cs="仿宋"/>
          <w:b/>
          <w:color w:val="000000"/>
          <w:sz w:val="72"/>
          <w:szCs w:val="21"/>
        </w:rPr>
      </w:pPr>
      <w:r>
        <w:rPr>
          <w:rFonts w:ascii="仿宋" w:hAnsi="仿宋" w:eastAsia="仿宋" w:cs="仿宋"/>
          <w:b/>
          <w:color w:val="000000"/>
          <w:sz w:val="72"/>
          <w:szCs w:val="21"/>
        </w:rPr>
      </w:r>
      <w:r/>
    </w:p>
    <w:p>
      <w:pPr>
        <w:jc w:val="center"/>
        <w:rPr>
          <w:rFonts w:ascii="仿宋" w:hAnsi="仿宋" w:eastAsia="仿宋" w:cs="仿宋"/>
          <w:b/>
          <w:color w:val="000000"/>
          <w:sz w:val="72"/>
          <w:szCs w:val="21"/>
        </w:rPr>
      </w:pPr>
      <w:r>
        <w:rPr>
          <w:rFonts w:ascii="仿宋" w:hAnsi="仿宋" w:eastAsia="仿宋" w:cs="仿宋"/>
          <w:b/>
          <w:color w:val="000000"/>
          <w:sz w:val="72"/>
          <w:szCs w:val="21"/>
        </w:rPr>
      </w:r>
      <w:r/>
    </w:p>
    <w:p>
      <w:pPr>
        <w:jc w:val="center"/>
        <w:rPr>
          <w:rFonts w:ascii="仿宋" w:hAnsi="仿宋" w:eastAsia="仿宋" w:cs="仿宋"/>
          <w:b/>
          <w:color w:val="000000"/>
          <w:sz w:val="36"/>
          <w:szCs w:val="21"/>
        </w:rPr>
      </w:pPr>
      <w:r>
        <w:rPr>
          <w:rFonts w:ascii="仿宋" w:hAnsi="仿宋" w:eastAsia="仿宋" w:cs="仿宋"/>
          <w:b/>
          <w:color w:val="000000"/>
          <w:sz w:val="36"/>
          <w:szCs w:val="21"/>
        </w:rPr>
      </w:r>
      <w:r/>
    </w:p>
    <w:p>
      <w:pPr>
        <w:jc w:val="center"/>
        <w:rPr>
          <w:rFonts w:ascii="仿宋" w:hAnsi="仿宋" w:eastAsia="仿宋" w:cs="仿宋"/>
          <w:b/>
          <w:color w:val="000000"/>
          <w:sz w:val="36"/>
          <w:szCs w:val="21"/>
        </w:rPr>
      </w:pPr>
      <w:r>
        <w:rPr>
          <w:rFonts w:ascii="仿宋" w:hAnsi="仿宋" w:eastAsia="仿宋" w:cs="仿宋"/>
          <w:b/>
          <w:color w:val="000000"/>
          <w:sz w:val="36"/>
          <w:szCs w:val="21"/>
        </w:rPr>
      </w:r>
      <w:r/>
    </w:p>
    <w:p>
      <w:pPr>
        <w:jc w:val="center"/>
        <w:rPr>
          <w:rFonts w:ascii="仿宋" w:hAnsi="仿宋" w:eastAsia="仿宋" w:cs="仿宋"/>
          <w:b/>
          <w:color w:val="000000"/>
          <w:sz w:val="36"/>
          <w:szCs w:val="21"/>
        </w:rPr>
      </w:pPr>
      <w:r>
        <w:rPr>
          <w:rFonts w:ascii="仿宋" w:hAnsi="仿宋" w:eastAsia="仿宋" w:cs="仿宋"/>
          <w:b/>
          <w:color w:val="000000"/>
          <w:sz w:val="36"/>
          <w:szCs w:val="21"/>
        </w:rPr>
      </w:r>
      <w:r/>
    </w:p>
    <w:p>
      <w:pPr>
        <w:ind w:firstLine="1084"/>
        <w:rPr>
          <w:rFonts w:ascii="仿宋" w:hAnsi="仿宋" w:eastAsia="仿宋" w:cs="仿宋"/>
          <w:b/>
          <w:color w:val="000000"/>
          <w:sz w:val="36"/>
          <w:szCs w:val="21"/>
        </w:rPr>
      </w:pPr>
      <w:r>
        <w:rPr>
          <w:rFonts w:hint="eastAsia" w:ascii="仿宋" w:hAnsi="仿宋" w:eastAsia="仿宋" w:cs="仿宋"/>
          <w:b/>
          <w:color w:val="000000"/>
          <w:sz w:val="36"/>
          <w:szCs w:val="21"/>
        </w:rPr>
        <w:t xml:space="preserve">项 目 名 称：</w:t>
      </w:r>
      <w:r>
        <w:rPr>
          <w:rFonts w:hint="eastAsia" w:ascii="仿宋" w:hAnsi="仿宋" w:eastAsia="仿宋" w:cs="仿宋"/>
          <w:b/>
          <w:color w:val="000000"/>
          <w:sz w:val="36"/>
          <w:szCs w:val="21"/>
          <w:u w:val="single"/>
        </w:rPr>
        <w:t xml:space="preserve">               </w:t>
      </w:r>
      <w:r/>
    </w:p>
    <w:p>
      <w:pPr>
        <w:ind w:firstLine="1084"/>
        <w:rPr>
          <w:rFonts w:ascii="仿宋" w:hAnsi="仿宋" w:eastAsia="仿宋" w:cs="仿宋"/>
          <w:b/>
          <w:color w:val="000000"/>
          <w:sz w:val="36"/>
          <w:szCs w:val="21"/>
          <w:u w:val="single"/>
        </w:rPr>
      </w:pPr>
      <w:r>
        <w:rPr>
          <w:rFonts w:hint="eastAsia" w:ascii="仿宋" w:hAnsi="仿宋" w:eastAsia="仿宋" w:cs="仿宋"/>
          <w:b/>
          <w:color w:val="000000"/>
          <w:sz w:val="36"/>
          <w:szCs w:val="21"/>
        </w:rPr>
        <w:t xml:space="preserve">项 目 编 号：</w:t>
      </w:r>
      <w:r>
        <w:rPr>
          <w:rFonts w:hint="eastAsia" w:ascii="仿宋" w:hAnsi="仿宋" w:eastAsia="仿宋" w:cs="仿宋"/>
          <w:b/>
          <w:color w:val="000000"/>
          <w:sz w:val="36"/>
          <w:szCs w:val="21"/>
          <w:u w:val="single"/>
        </w:rPr>
        <w:t xml:space="preserve">               </w:t>
      </w:r>
      <w:r/>
    </w:p>
    <w:p>
      <w:pPr>
        <w:rPr>
          <w:rFonts w:ascii="仿宋" w:hAnsi="仿宋" w:eastAsia="仿宋" w:cs="仿宋"/>
          <w:b/>
          <w:color w:val="000000"/>
          <w:sz w:val="36"/>
          <w:szCs w:val="21"/>
          <w:u w:val="single"/>
        </w:rPr>
      </w:pPr>
      <w:r>
        <w:rPr>
          <w:rFonts w:hint="eastAsia" w:ascii="仿宋" w:hAnsi="仿宋" w:eastAsia="仿宋" w:cs="仿宋"/>
          <w:b/>
          <w:color w:val="000000"/>
          <w:sz w:val="36"/>
          <w:szCs w:val="21"/>
        </w:rPr>
        <w:t xml:space="preserve">      投标人名称 ：</w:t>
      </w:r>
      <w:r>
        <w:rPr>
          <w:rFonts w:hint="eastAsia" w:ascii="仿宋" w:hAnsi="仿宋" w:eastAsia="仿宋" w:cs="仿宋"/>
          <w:b/>
          <w:color w:val="000000"/>
          <w:sz w:val="36"/>
          <w:szCs w:val="21"/>
          <w:u w:val="single"/>
        </w:rPr>
        <w:t xml:space="preserve">（加盖CA电子公章）</w:t>
      </w:r>
      <w:r/>
    </w:p>
    <w:p>
      <w:pPr>
        <w:rPr>
          <w:rFonts w:ascii="仿宋" w:hAnsi="仿宋" w:eastAsia="仿宋" w:cs="仿宋"/>
          <w:b/>
          <w:color w:val="000000"/>
          <w:sz w:val="36"/>
          <w:szCs w:val="21"/>
          <w:u w:val="single"/>
        </w:rPr>
      </w:pPr>
      <w:r>
        <w:rPr>
          <w:rFonts w:hint="eastAsia" w:ascii="仿宋" w:hAnsi="仿宋" w:eastAsia="仿宋" w:cs="仿宋"/>
          <w:b/>
          <w:color w:val="000000"/>
          <w:sz w:val="36"/>
          <w:szCs w:val="21"/>
        </w:rPr>
        <w:t xml:space="preserve">      日      期 ：</w:t>
      </w:r>
      <w:r>
        <w:rPr>
          <w:rFonts w:hint="eastAsia" w:ascii="仿宋" w:hAnsi="仿宋" w:eastAsia="仿宋" w:cs="仿宋"/>
          <w:b/>
          <w:color w:val="000000"/>
          <w:sz w:val="36"/>
          <w:szCs w:val="21"/>
          <w:u w:val="single"/>
        </w:rPr>
        <w:t xml:space="preserve">               </w:t>
      </w:r>
      <w:r/>
    </w:p>
    <w:p>
      <w:pPr>
        <w:jc w:val="center"/>
        <w:spacing w:line="440" w:lineRule="exact"/>
        <w:rPr>
          <w:rFonts w:ascii="仿宋" w:hAnsi="仿宋" w:eastAsia="仿宋" w:cs="仿宋"/>
          <w:b/>
          <w:bCs/>
          <w:color w:val="000000"/>
          <w:sz w:val="32"/>
          <w:szCs w:val="32"/>
        </w:rPr>
      </w:pPr>
      <w:r>
        <w:rPr>
          <w:rFonts w:ascii="仿宋" w:hAnsi="仿宋" w:eastAsia="仿宋" w:cs="仿宋"/>
          <w:b/>
          <w:bCs/>
          <w:color w:val="000000"/>
          <w:sz w:val="32"/>
          <w:szCs w:val="32"/>
        </w:rPr>
      </w:r>
      <w:r/>
    </w:p>
    <w:p>
      <w:pPr>
        <w:spacing w:line="440" w:lineRule="exact"/>
        <w:rPr>
          <w:rFonts w:ascii="仿宋" w:hAnsi="仿宋" w:eastAsia="仿宋" w:cs="仿宋"/>
          <w:color w:val="000000"/>
          <w:szCs w:val="21"/>
        </w:rPr>
      </w:pPr>
      <w:r>
        <w:rPr>
          <w:rFonts w:ascii="仿宋" w:hAnsi="仿宋" w:eastAsia="仿宋" w:cs="仿宋"/>
          <w:color w:val="000000"/>
          <w:szCs w:val="21"/>
        </w:rPr>
      </w:r>
      <w:r/>
    </w:p>
    <w:p>
      <w:pPr>
        <w:ind w:firstLine="1084"/>
        <w:jc w:val="center"/>
        <w:rPr>
          <w:rFonts w:ascii="仿宋" w:hAnsi="仿宋" w:eastAsia="仿宋" w:cs="仿宋"/>
          <w:b/>
          <w:bCs/>
          <w:sz w:val="32"/>
          <w:szCs w:val="32"/>
        </w:rPr>
      </w:pPr>
      <w:r>
        <w:rPr>
          <w:rFonts w:hint="eastAsia" w:ascii="仿宋" w:hAnsi="仿宋" w:eastAsia="仿宋" w:cs="仿宋"/>
          <w:b/>
          <w:color w:val="000000"/>
          <w:sz w:val="36"/>
          <w:szCs w:val="21"/>
          <w:u w:val="single"/>
        </w:rPr>
        <w:br w:type="page" w:clear="all"/>
      </w:r>
      <w:r>
        <w:rPr>
          <w:rFonts w:hint="eastAsia" w:ascii="仿宋" w:hAnsi="仿宋" w:eastAsia="仿宋" w:cs="仿宋"/>
          <w:b/>
          <w:bCs/>
          <w:sz w:val="32"/>
          <w:szCs w:val="32"/>
        </w:rPr>
        <w:t xml:space="preserve">投标文件的组成</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ind w:left="480"/>
        <w:spacing w:line="400" w:lineRule="exact"/>
        <w:rPr>
          <w:rFonts w:ascii="仿宋" w:hAnsi="仿宋" w:eastAsia="仿宋" w:cs="仿宋"/>
          <w:b/>
          <w:sz w:val="24"/>
          <w:szCs w:val="21"/>
        </w:rPr>
      </w:pPr>
      <w:r>
        <w:rPr>
          <w:rFonts w:hint="eastAsia" w:ascii="仿宋" w:hAnsi="仿宋" w:eastAsia="仿宋" w:cs="仿宋"/>
          <w:b/>
          <w:sz w:val="24"/>
          <w:szCs w:val="21"/>
        </w:rPr>
        <w:t xml:space="preserve">一、基本目录</w:t>
      </w:r>
      <w:r/>
    </w:p>
    <w:p>
      <w:pPr>
        <w:ind w:left="480"/>
        <w:spacing w:line="400" w:lineRule="exact"/>
        <w:rPr>
          <w:rFonts w:ascii="仿宋" w:hAnsi="仿宋" w:eastAsia="仿宋" w:cs="仿宋"/>
          <w:sz w:val="24"/>
          <w:szCs w:val="21"/>
        </w:rPr>
      </w:pPr>
      <w:r>
        <w:rPr>
          <w:rFonts w:hint="eastAsia" w:ascii="仿宋" w:hAnsi="仿宋" w:eastAsia="仿宋" w:cs="仿宋"/>
          <w:sz w:val="24"/>
          <w:szCs w:val="21"/>
        </w:rPr>
        <w:t xml:space="preserve">1.开标一览表（格式见附件1）</w:t>
      </w:r>
      <w:r/>
    </w:p>
    <w:p>
      <w:pPr>
        <w:ind w:left="480"/>
        <w:spacing w:line="400" w:lineRule="exact"/>
        <w:rPr>
          <w:rFonts w:ascii="仿宋" w:hAnsi="仿宋" w:eastAsia="仿宋" w:cs="仿宋"/>
          <w:sz w:val="24"/>
          <w:szCs w:val="21"/>
        </w:rPr>
      </w:pPr>
      <w:r>
        <w:rPr>
          <w:rFonts w:hint="eastAsia" w:ascii="仿宋" w:hAnsi="仿宋" w:eastAsia="仿宋" w:cs="仿宋"/>
          <w:sz w:val="24"/>
          <w:szCs w:val="21"/>
        </w:rPr>
        <w:t xml:space="preserve">2.投标分项报价表（格式见附件2）</w:t>
      </w:r>
      <w:r/>
    </w:p>
    <w:p>
      <w:pPr>
        <w:ind w:left="480"/>
        <w:spacing w:line="400" w:lineRule="exact"/>
        <w:rPr>
          <w:rFonts w:ascii="仿宋" w:hAnsi="仿宋" w:eastAsia="仿宋" w:cs="仿宋"/>
          <w:b/>
          <w:sz w:val="24"/>
          <w:szCs w:val="21"/>
        </w:rPr>
      </w:pPr>
      <w:r>
        <w:rPr>
          <w:rFonts w:hint="eastAsia" w:ascii="仿宋" w:hAnsi="仿宋" w:eastAsia="仿宋" w:cs="仿宋"/>
          <w:b/>
          <w:sz w:val="24"/>
          <w:szCs w:val="21"/>
        </w:rPr>
        <w:t xml:space="preserve">二、资格审查内容</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1.投标人符合《中华人民共和国政府采购法》第二十二条规定条件的声明函（</w:t>
      </w:r>
      <w:r>
        <w:rPr>
          <w:rFonts w:hint="eastAsia" w:ascii="仿宋" w:hAnsi="仿宋" w:eastAsia="仿宋" w:cs="仿宋"/>
          <w:sz w:val="24"/>
          <w:szCs w:val="21"/>
          <w:lang w:val="zh-CN"/>
        </w:rPr>
        <w:t xml:space="preserve">格式见附件</w:t>
      </w:r>
      <w:r>
        <w:rPr>
          <w:rFonts w:hint="eastAsia" w:ascii="仿宋" w:hAnsi="仿宋" w:eastAsia="仿宋" w:cs="仿宋"/>
          <w:sz w:val="24"/>
          <w:szCs w:val="21"/>
        </w:rPr>
        <w:t xml:space="preserve">3）</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2.特定资格要求的证明文件（如果本项目对投标人做出特定资格要求的，必须提供）</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3.法定代表人身份证明（格式见附件4）、</w:t>
      </w:r>
      <w:r>
        <w:rPr>
          <w:rFonts w:hint="eastAsia" w:ascii="仿宋" w:hAnsi="仿宋" w:eastAsia="仿宋" w:cs="仿宋"/>
          <w:sz w:val="24"/>
          <w:szCs w:val="21"/>
          <w:lang w:val="zh-CN"/>
        </w:rPr>
        <w:t xml:space="preserve">法定代表人的身份证</w:t>
      </w:r>
      <w:r>
        <w:rPr>
          <w:rFonts w:hint="eastAsia" w:ascii="仿宋" w:hAnsi="仿宋" w:eastAsia="仿宋" w:cs="仿宋"/>
          <w:sz w:val="24"/>
          <w:szCs w:val="21"/>
        </w:rPr>
        <w:t xml:space="preserve">扫描件</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4.法人授权书（格式见附件5）、被授权</w:t>
      </w:r>
      <w:r>
        <w:rPr>
          <w:rFonts w:hint="eastAsia" w:ascii="仿宋" w:hAnsi="仿宋" w:eastAsia="仿宋" w:cs="仿宋"/>
          <w:sz w:val="24"/>
          <w:szCs w:val="21"/>
          <w:lang w:val="zh-CN"/>
        </w:rPr>
        <w:t xml:space="preserve">人身份证</w:t>
      </w:r>
      <w:r>
        <w:rPr>
          <w:rFonts w:hint="eastAsia" w:ascii="仿宋" w:hAnsi="仿宋" w:eastAsia="仿宋" w:cs="仿宋"/>
          <w:sz w:val="24"/>
          <w:szCs w:val="21"/>
        </w:rPr>
        <w:t xml:space="preserve">扫描件</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5.投标函（格式见附件6）</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6.中小企业声明函（如果本项目专门面向中小微型企业采购，则必须提供。格式见附件7）</w:t>
      </w:r>
      <w:r/>
    </w:p>
    <w:p>
      <w:pPr>
        <w:ind w:firstLine="480"/>
        <w:spacing w:line="400" w:lineRule="exact"/>
        <w:rPr>
          <w:rFonts w:ascii="仿宋" w:hAnsi="仿宋" w:eastAsia="仿宋" w:cs="仿宋"/>
          <w:sz w:val="24"/>
          <w:szCs w:val="21"/>
          <w:highlight w:val="yellow"/>
        </w:rPr>
      </w:pPr>
      <w:r>
        <w:rPr>
          <w:rFonts w:hint="eastAsia" w:ascii="仿宋" w:hAnsi="仿宋" w:eastAsia="仿宋" w:cs="仿宋"/>
          <w:sz w:val="24"/>
          <w:szCs w:val="21"/>
        </w:rPr>
        <w:t xml:space="preserve">7.残疾人福利性单位声明函（如果本项目专门面向中小微型企业采购，供应商为残疾人福利性单位并提供本单位制造的货物，或者提供其他残疾人福利性单位制造的货物，则必须提供。格式见附件8）</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8.监狱和戒毒企业证明材料</w:t>
      </w:r>
      <w:r>
        <w:rPr>
          <w:rFonts w:hint="eastAsia" w:ascii="仿宋" w:hAnsi="仿宋" w:eastAsia="仿宋" w:cs="仿宋"/>
          <w:sz w:val="24"/>
          <w:szCs w:val="21"/>
          <w:lang w:val="zh-CN"/>
        </w:rPr>
        <w:t xml:space="preserve">（如果本项目专门面向中小微型企业采购，供应商为监狱和戒毒企业的，则必须提供。</w:t>
      </w:r>
      <w:r>
        <w:rPr>
          <w:rFonts w:hint="eastAsia" w:ascii="仿宋" w:hAnsi="仿宋" w:eastAsia="仿宋" w:cs="仿宋"/>
          <w:sz w:val="24"/>
          <w:szCs w:val="21"/>
        </w:rPr>
        <w:t xml:space="preserve">格式见附件9）</w:t>
      </w:r>
      <w:r/>
    </w:p>
    <w:p>
      <w:pPr>
        <w:ind w:firstLine="480"/>
        <w:spacing w:line="400" w:lineRule="exact"/>
        <w:rPr>
          <w:rFonts w:ascii="仿宋" w:hAnsi="仿宋" w:eastAsia="仿宋" w:cs="仿宋"/>
          <w:sz w:val="24"/>
          <w:szCs w:val="21"/>
          <w:lang w:val="zh-CN"/>
        </w:rPr>
      </w:pPr>
      <w:r>
        <w:rPr>
          <w:rFonts w:hint="eastAsia" w:ascii="仿宋" w:hAnsi="仿宋" w:eastAsia="仿宋" w:cs="仿宋"/>
          <w:sz w:val="24"/>
          <w:szCs w:val="21"/>
        </w:rPr>
        <w:t xml:space="preserve">9</w:t>
      </w:r>
      <w:r>
        <w:rPr>
          <w:rFonts w:hint="eastAsia" w:ascii="仿宋" w:hAnsi="仿宋" w:eastAsia="仿宋" w:cs="仿宋"/>
          <w:sz w:val="24"/>
          <w:szCs w:val="21"/>
          <w:lang w:val="zh-CN"/>
        </w:rPr>
        <w:t xml:space="preserve">.其它需要提交的资格审查证明材料。</w:t>
      </w:r>
      <w:r/>
    </w:p>
    <w:p>
      <w:pPr>
        <w:ind w:left="480"/>
        <w:spacing w:line="400" w:lineRule="exact"/>
        <w:rPr>
          <w:rFonts w:ascii="仿宋" w:hAnsi="仿宋" w:eastAsia="仿宋" w:cs="仿宋"/>
          <w:b/>
          <w:sz w:val="24"/>
          <w:szCs w:val="21"/>
        </w:rPr>
      </w:pPr>
      <w:r>
        <w:rPr>
          <w:rFonts w:hint="eastAsia" w:ascii="仿宋" w:hAnsi="仿宋" w:eastAsia="仿宋" w:cs="仿宋"/>
          <w:b/>
          <w:sz w:val="24"/>
          <w:szCs w:val="21"/>
        </w:rPr>
        <w:t xml:space="preserve">三、符合性审查内容</w:t>
      </w:r>
      <w:r/>
    </w:p>
    <w:p>
      <w:pPr>
        <w:ind w:left="480"/>
        <w:spacing w:line="400" w:lineRule="exact"/>
        <w:rPr>
          <w:rFonts w:ascii="仿宋" w:hAnsi="仿宋" w:eastAsia="仿宋" w:cs="仿宋"/>
          <w:sz w:val="24"/>
          <w:szCs w:val="21"/>
        </w:rPr>
      </w:pPr>
      <w:r>
        <w:rPr>
          <w:rFonts w:hint="eastAsia" w:ascii="仿宋" w:hAnsi="仿宋" w:eastAsia="仿宋" w:cs="仿宋"/>
          <w:sz w:val="24"/>
          <w:szCs w:val="21"/>
        </w:rPr>
        <w:t xml:space="preserve">1.技术要求响应及偏离表（格式见附件10）</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2.商务要求响应及偏离表（格式见附件11）</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3.实质性要求响应及偏离表（格式见附件12），投标人必须对技术要求和商务要求中加斜体下划线的实质性要求做出响应，并按照招标文件要求提供证明材料，否则做无效响应处理。</w:t>
      </w:r>
      <w:r/>
    </w:p>
    <w:p>
      <w:pPr>
        <w:ind w:firstLine="480"/>
        <w:rPr>
          <w:rFonts w:ascii="仿宋" w:hAnsi="仿宋" w:eastAsia="仿宋" w:cs="仿宋"/>
          <w:b/>
          <w:sz w:val="24"/>
          <w:szCs w:val="24"/>
        </w:rPr>
      </w:pPr>
      <w:r>
        <w:rPr>
          <w:rFonts w:hint="eastAsia" w:ascii="仿宋" w:hAnsi="仿宋" w:eastAsia="仿宋" w:cs="仿宋"/>
          <w:b/>
          <w:sz w:val="24"/>
          <w:szCs w:val="24"/>
        </w:rPr>
        <w:t xml:space="preserve">四、</w:t>
      </w:r>
      <w:r>
        <w:rPr>
          <w:rFonts w:hint="eastAsia" w:ascii="仿宋" w:hAnsi="仿宋" w:eastAsia="仿宋" w:cs="仿宋"/>
          <w:b/>
          <w:sz w:val="24"/>
          <w:szCs w:val="24"/>
          <w:lang w:val="zh-CN"/>
        </w:rPr>
        <w:t xml:space="preserve">商务技术</w:t>
      </w:r>
      <w:r>
        <w:rPr>
          <w:rFonts w:hint="eastAsia" w:ascii="仿宋" w:hAnsi="仿宋" w:eastAsia="仿宋" w:cs="仿宋"/>
          <w:b/>
          <w:sz w:val="24"/>
          <w:szCs w:val="24"/>
        </w:rPr>
        <w:t xml:space="preserve">内容</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商务技术评分标准中须提供的相关得分佐证材料</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投标人认为需要提交的其他商务技术材料。</w:t>
      </w:r>
      <w:r/>
    </w:p>
    <w:p>
      <w:pPr>
        <w:ind w:firstLine="480"/>
        <w:rPr>
          <w:rFonts w:ascii="仿宋" w:hAnsi="仿宋" w:eastAsia="仿宋" w:cs="仿宋"/>
          <w:b/>
          <w:sz w:val="24"/>
          <w:szCs w:val="24"/>
        </w:rPr>
      </w:pPr>
      <w:r>
        <w:rPr>
          <w:rFonts w:hint="eastAsia" w:ascii="仿宋" w:hAnsi="仿宋" w:eastAsia="仿宋" w:cs="仿宋"/>
          <w:b/>
          <w:sz w:val="24"/>
          <w:szCs w:val="24"/>
        </w:rPr>
        <w:t xml:space="preserve">五、价格扣除证明文件</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1.中小企业声明函（格式见附件7）</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2.残疾人福利性单位声明函（格式见附件8）</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3.监狱和戒毒企业证明材料</w:t>
      </w:r>
      <w:r>
        <w:rPr>
          <w:rFonts w:hint="eastAsia" w:ascii="仿宋" w:hAnsi="仿宋" w:eastAsia="仿宋" w:cs="仿宋"/>
          <w:sz w:val="24"/>
          <w:szCs w:val="24"/>
          <w:lang w:val="zh-CN"/>
        </w:rPr>
        <w:t xml:space="preserve">（格式见附件</w:t>
      </w:r>
      <w:r>
        <w:rPr>
          <w:rFonts w:hint="eastAsia" w:ascii="仿宋" w:hAnsi="仿宋" w:eastAsia="仿宋" w:cs="仿宋"/>
          <w:sz w:val="24"/>
          <w:szCs w:val="24"/>
        </w:rPr>
        <w:t xml:space="preserve">9</w:t>
      </w:r>
      <w:r>
        <w:rPr>
          <w:rFonts w:hint="eastAsia" w:ascii="仿宋" w:hAnsi="仿宋" w:eastAsia="仿宋" w:cs="仿宋"/>
          <w:sz w:val="24"/>
          <w:szCs w:val="24"/>
          <w:lang w:val="zh-CN"/>
        </w:rPr>
        <w:t xml:space="preserve">）</w:t>
      </w:r>
      <w:r/>
    </w:p>
    <w:p>
      <w:pPr>
        <w:rPr>
          <w:rFonts w:ascii="仿宋" w:hAnsi="仿宋" w:eastAsia="仿宋" w:cs="仿宋"/>
          <w:b/>
          <w:sz w:val="24"/>
          <w:szCs w:val="24"/>
        </w:rPr>
      </w:pPr>
      <w:r>
        <w:rPr>
          <w:rFonts w:hint="eastAsia" w:ascii="仿宋" w:hAnsi="仿宋" w:eastAsia="仿宋" w:cs="仿宋"/>
          <w:color w:val="ff0000"/>
          <w:sz w:val="24"/>
          <w:szCs w:val="21"/>
        </w:rPr>
        <w:br w:type="page" w:clear="all"/>
      </w:r>
      <w:r>
        <w:rPr>
          <w:rFonts w:hint="eastAsia" w:ascii="仿宋" w:hAnsi="仿宋" w:eastAsia="仿宋" w:cs="仿宋"/>
          <w:b/>
          <w:sz w:val="24"/>
          <w:szCs w:val="24"/>
        </w:rPr>
        <w:t xml:space="preserve">附件1 </w:t>
      </w:r>
      <w:r/>
    </w:p>
    <w:p>
      <w:pPr>
        <w:jc w:val="center"/>
        <w:rPr>
          <w:rFonts w:ascii="仿宋" w:hAnsi="仿宋" w:eastAsia="仿宋" w:cs="仿宋"/>
          <w:b/>
          <w:sz w:val="24"/>
          <w:szCs w:val="24"/>
        </w:rPr>
      </w:pPr>
      <w:r>
        <w:rPr>
          <w:rFonts w:hint="eastAsia" w:ascii="仿宋" w:hAnsi="仿宋" w:eastAsia="仿宋" w:cs="仿宋"/>
          <w:b/>
          <w:sz w:val="24"/>
          <w:szCs w:val="24"/>
        </w:rPr>
        <w:t xml:space="preserve">开标一览表</w:t>
      </w:r>
      <w:r/>
    </w:p>
    <w:p>
      <w:pPr>
        <w:ind w:firstLine="482"/>
        <w:spacing w:line="400" w:lineRule="exact"/>
        <w:rPr>
          <w:rFonts w:ascii="仿宋" w:hAnsi="仿宋" w:eastAsia="仿宋" w:cs="仿宋"/>
          <w:sz w:val="24"/>
          <w:szCs w:val="24"/>
        </w:rPr>
      </w:pPr>
      <w:r>
        <w:rPr>
          <w:rFonts w:hint="eastAsia" w:ascii="仿宋" w:hAnsi="仿宋" w:eastAsia="仿宋" w:cs="仿宋"/>
          <w:sz w:val="24"/>
          <w:szCs w:val="24"/>
        </w:rPr>
        <w:t xml:space="preserve">投标人全称（加盖CA电子签章）：</w:t>
      </w:r>
      <w:r/>
    </w:p>
    <w:p>
      <w:pPr>
        <w:ind w:firstLine="482"/>
        <w:spacing w:line="400" w:lineRule="exact"/>
        <w:rPr>
          <w:rFonts w:ascii="仿宋" w:hAnsi="仿宋" w:eastAsia="仿宋" w:cs="仿宋"/>
          <w:sz w:val="24"/>
          <w:szCs w:val="24"/>
        </w:rPr>
      </w:pPr>
      <w:r>
        <w:rPr>
          <w:rFonts w:hint="eastAsia" w:ascii="仿宋" w:hAnsi="仿宋" w:eastAsia="仿宋" w:cs="仿宋"/>
          <w:sz w:val="24"/>
          <w:szCs w:val="24"/>
        </w:rPr>
        <w:t xml:space="preserve">项目名称：</w:t>
      </w:r>
      <w:r/>
    </w:p>
    <w:p>
      <w:pPr>
        <w:ind w:firstLine="482"/>
        <w:spacing w:line="400" w:lineRule="exact"/>
        <w:rPr>
          <w:rFonts w:ascii="仿宋" w:hAnsi="仿宋" w:eastAsia="仿宋" w:cs="仿宋"/>
          <w:sz w:val="24"/>
          <w:szCs w:val="24"/>
        </w:rPr>
      </w:pPr>
      <w:r>
        <w:rPr>
          <w:rFonts w:hint="eastAsia" w:ascii="仿宋" w:hAnsi="仿宋" w:eastAsia="仿宋" w:cs="仿宋"/>
          <w:sz w:val="24"/>
          <w:szCs w:val="24"/>
        </w:rPr>
        <w:t xml:space="preserve">项目编号：                                   </w:t>
      </w:r>
      <w:r/>
    </w:p>
    <w:p>
      <w:pPr>
        <w:ind w:firstLine="482"/>
        <w:spacing w:line="400" w:lineRule="exact"/>
        <w:rPr>
          <w:rFonts w:ascii="仿宋" w:hAnsi="仿宋" w:eastAsia="仿宋" w:cs="仿宋"/>
          <w:sz w:val="24"/>
          <w:szCs w:val="24"/>
        </w:rPr>
      </w:pPr>
      <w:r>
        <w:rPr>
          <w:rFonts w:hint="eastAsia" w:ascii="仿宋" w:hAnsi="仿宋" w:eastAsia="仿宋" w:cs="仿宋"/>
          <w:sz w:val="24"/>
          <w:szCs w:val="24"/>
        </w:rPr>
        <w:t xml:space="preserve">分包号：</w:t>
      </w:r>
      <w:r/>
    </w:p>
    <w:tbl>
      <w:tblPr>
        <w:tblStyle w:val="73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                      投标总报价</w:t>
            </w:r>
            <w:r/>
          </w:p>
        </w:tc>
      </w:tr>
      <w:tr>
        <w:trPr>
          <w:cantSplit/>
          <w:trHeight w:val="612"/>
        </w:trPr>
        <w:tc>
          <w:tcPr>
            <w:gridSpan w:val="2"/>
            <w:tcW w:w="8886" w:type="dxa"/>
            <w:vAlign w:val="center"/>
            <w:textDirection w:val="lrTb"/>
            <w:noWrap w:val="false"/>
          </w:tcPr>
          <w:p>
            <w:pPr>
              <w:jc w:val="left"/>
              <w:spacing w:line="500" w:lineRule="exact"/>
              <w:rPr>
                <w:rFonts w:ascii="仿宋" w:hAnsi="仿宋" w:eastAsia="仿宋" w:cs="仿宋"/>
                <w:sz w:val="24"/>
                <w:szCs w:val="24"/>
              </w:rPr>
            </w:pPr>
            <w:r>
              <w:rPr>
                <w:rFonts w:hint="eastAsia" w:ascii="仿宋" w:hAnsi="仿宋" w:eastAsia="仿宋" w:cs="仿宋"/>
                <w:sz w:val="24"/>
                <w:szCs w:val="24"/>
              </w:rPr>
              <w:t xml:space="preserve">大写：</w:t>
            </w:r>
            <w:r/>
          </w:p>
          <w:p>
            <w:pPr>
              <w:jc w:val="left"/>
              <w:spacing w:line="500" w:lineRule="exact"/>
              <w:rPr>
                <w:rFonts w:ascii="仿宋" w:hAnsi="仿宋" w:eastAsia="仿宋" w:cs="仿宋"/>
                <w:sz w:val="24"/>
                <w:szCs w:val="21"/>
              </w:rPr>
            </w:pPr>
            <w:r>
              <w:rPr>
                <w:rFonts w:hint="eastAsia" w:ascii="仿宋" w:hAnsi="仿宋" w:eastAsia="仿宋" w:cs="仿宋"/>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仿宋" w:hAnsi="仿宋" w:eastAsia="仿宋" w:cs="仿宋"/>
                <w:sz w:val="24"/>
                <w:szCs w:val="24"/>
              </w:rPr>
            </w:pPr>
            <w:r>
              <w:rPr>
                <w:rFonts w:hint="eastAsia" w:ascii="仿宋" w:hAnsi="仿宋" w:eastAsia="仿宋" w:cs="仿宋"/>
                <w:sz w:val="24"/>
                <w:szCs w:val="24"/>
              </w:rPr>
              <w:t xml:space="preserve">核心产品品牌</w:t>
            </w:r>
            <w:r/>
          </w:p>
        </w:tc>
        <w:tc>
          <w:tcPr>
            <w:tcW w:w="6405" w:type="dxa"/>
            <w:vAlign w:val="center"/>
            <w:textDirection w:val="lrTb"/>
            <w:noWrap w:val="false"/>
          </w:tcPr>
          <w:p>
            <w:pPr>
              <w:jc w:val="left"/>
              <w:spacing w:line="500" w:lineRule="exact"/>
              <w:rPr>
                <w:rFonts w:ascii="仿宋" w:hAnsi="仿宋" w:eastAsia="仿宋" w:cs="仿宋"/>
                <w:sz w:val="24"/>
                <w:szCs w:val="24"/>
              </w:rPr>
            </w:pPr>
            <w:r>
              <w:rPr>
                <w:rFonts w:ascii="仿宋" w:hAnsi="仿宋" w:eastAsia="仿宋" w:cs="仿宋"/>
                <w:sz w:val="24"/>
                <w:szCs w:val="24"/>
              </w:rPr>
            </w:r>
            <w:r/>
          </w:p>
        </w:tc>
      </w:tr>
    </w:tbl>
    <w:p>
      <w:pPr>
        <w:rPr>
          <w:rFonts w:ascii="仿宋" w:hAnsi="仿宋" w:eastAsia="仿宋" w:cs="仿宋"/>
          <w:sz w:val="24"/>
          <w:szCs w:val="24"/>
        </w:rPr>
      </w:pPr>
      <w:r>
        <w:rPr>
          <w:rFonts w:ascii="仿宋" w:hAnsi="仿宋" w:eastAsia="仿宋" w:cs="仿宋"/>
          <w:sz w:val="24"/>
          <w:szCs w:val="24"/>
        </w:rPr>
      </w:r>
      <w:r/>
    </w:p>
    <w:p>
      <w:pPr>
        <w:ind w:firstLine="480"/>
        <w:rPr>
          <w:rFonts w:ascii="仿宋" w:hAnsi="仿宋" w:eastAsia="仿宋" w:cs="仿宋"/>
          <w:sz w:val="24"/>
          <w:szCs w:val="24"/>
        </w:rPr>
      </w:pPr>
      <w:r>
        <w:rPr>
          <w:rFonts w:hint="eastAsia" w:ascii="仿宋" w:hAnsi="仿宋" w:eastAsia="仿宋" w:cs="仿宋"/>
          <w:sz w:val="24"/>
          <w:szCs w:val="24"/>
        </w:rPr>
        <w:t xml:space="preserve">                                            </w:t>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b/>
          <w:sz w:val="24"/>
          <w:szCs w:val="24"/>
        </w:rPr>
      </w:pPr>
      <w:r>
        <w:rPr>
          <w:rFonts w:hint="eastAsia" w:ascii="仿宋" w:hAnsi="仿宋" w:eastAsia="仿宋" w:cs="仿宋"/>
          <w:b/>
          <w:sz w:val="24"/>
          <w:szCs w:val="24"/>
        </w:rPr>
        <w:br w:type="page" w:clear="all"/>
      </w:r>
      <w:r>
        <w:rPr>
          <w:rFonts w:hint="eastAsia" w:ascii="仿宋" w:hAnsi="仿宋" w:eastAsia="仿宋" w:cs="仿宋"/>
          <w:b/>
          <w:sz w:val="24"/>
          <w:szCs w:val="24"/>
        </w:rPr>
        <w:t xml:space="preserve">附件2 </w:t>
      </w:r>
      <w:r/>
    </w:p>
    <w:p>
      <w:pPr>
        <w:jc w:val="center"/>
        <w:rPr>
          <w:rFonts w:ascii="仿宋" w:hAnsi="仿宋" w:eastAsia="仿宋" w:cs="仿宋"/>
          <w:b/>
          <w:sz w:val="24"/>
          <w:szCs w:val="24"/>
        </w:rPr>
      </w:pPr>
      <w:r>
        <w:rPr>
          <w:rFonts w:hint="eastAsia" w:ascii="仿宋" w:hAnsi="仿宋" w:eastAsia="仿宋" w:cs="仿宋"/>
          <w:b/>
          <w:sz w:val="24"/>
          <w:szCs w:val="24"/>
        </w:rPr>
        <w:t xml:space="preserve">投标分项报价表</w:t>
      </w:r>
      <w:r/>
    </w:p>
    <w:tbl>
      <w:tblPr>
        <w:tblStyle w:val="734"/>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序号</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1</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2</w:t>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3</w:t>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4</w:t>
            </w:r>
            <w:r/>
          </w:p>
        </w:tc>
        <w:tc>
          <w:tcPr>
            <w:tcW w:w="110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5</w:t>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6</w:t>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7</w:t>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8</w:t>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1</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产品</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名称</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品牌</w:t>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规格</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型号</w:t>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制造商名称</w:t>
            </w:r>
            <w:r/>
          </w:p>
        </w:tc>
        <w:tc>
          <w:tcPr>
            <w:tcW w:w="110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产地</w:t>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交付期</w:t>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数量</w:t>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单价</w:t>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2</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highlight w:val="cyan"/>
              </w:rPr>
            </w:pPr>
            <w:r>
              <w:rPr>
                <w:rFonts w:ascii="仿宋" w:hAnsi="仿宋" w:eastAsia="仿宋" w:cs="仿宋"/>
                <w:sz w:val="24"/>
                <w:szCs w:val="24"/>
                <w:highlight w:val="cyan"/>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u w:val="single"/>
              </w:rPr>
            </w:pPr>
            <w:r>
              <w:rPr>
                <w:rFonts w:hint="eastAsia" w:ascii="仿宋" w:hAnsi="仿宋" w:eastAsia="仿宋" w:cs="仿宋"/>
                <w:sz w:val="24"/>
                <w:szCs w:val="24"/>
              </w:rPr>
              <w:t xml:space="preserve">合同签订后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724"/>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3</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640"/>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4</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580"/>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249"/>
        </w:trPr>
        <w:tc>
          <w:tcPr>
            <w:tcW w:w="500" w:type="dxa"/>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gridSpan w:val="8"/>
            <w:tcW w:w="7797"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投标总报价（人民币：元）</w:t>
            </w:r>
            <w:r/>
          </w:p>
        </w:tc>
        <w:tc>
          <w:tcPr>
            <w:tcW w:w="966" w:type="dxa"/>
            <w:textDirection w:val="lrTb"/>
            <w:noWrap w:val="false"/>
          </w:tcPr>
          <w:p>
            <w:pPr>
              <w:rPr>
                <w:rFonts w:ascii="仿宋" w:hAnsi="仿宋" w:eastAsia="仿宋" w:cs="仿宋"/>
                <w:sz w:val="24"/>
                <w:szCs w:val="24"/>
              </w:rPr>
            </w:pPr>
            <w:r>
              <w:rPr>
                <w:rFonts w:ascii="仿宋" w:hAnsi="仿宋" w:eastAsia="仿宋" w:cs="仿宋"/>
                <w:sz w:val="24"/>
                <w:szCs w:val="24"/>
              </w:rPr>
            </w:r>
            <w:r/>
          </w:p>
        </w:tc>
      </w:tr>
    </w:tbl>
    <w:p>
      <w:pPr>
        <w:spacing w:line="400" w:lineRule="exact"/>
        <w:rPr>
          <w:rFonts w:ascii="仿宋" w:hAnsi="仿宋" w:eastAsia="仿宋" w:cs="仿宋"/>
          <w:color w:val="ff0000"/>
          <w:sz w:val="24"/>
          <w:szCs w:val="24"/>
        </w:rPr>
      </w:pPr>
      <w:r>
        <w:rPr>
          <w:rFonts w:hint="eastAsia" w:ascii="仿宋" w:hAnsi="仿宋" w:eastAsia="仿宋" w:cs="仿宋"/>
          <w:color w:val="ff0000"/>
          <w:sz w:val="24"/>
          <w:szCs w:val="24"/>
        </w:rPr>
        <w:t xml:space="preserve">备注：</w:t>
      </w:r>
      <w:r/>
    </w:p>
    <w:p>
      <w:pPr>
        <w:spacing w:line="400" w:lineRule="exact"/>
        <w:rPr>
          <w:rFonts w:ascii="仿宋" w:hAnsi="仿宋" w:eastAsia="仿宋" w:cs="仿宋"/>
          <w:color w:val="ff0000"/>
          <w:sz w:val="24"/>
          <w:szCs w:val="21"/>
        </w:rPr>
      </w:pPr>
      <w:r>
        <w:rPr>
          <w:rFonts w:hint="eastAsia" w:ascii="仿宋" w:hAnsi="仿宋" w:eastAsia="仿宋" w:cs="仿宋"/>
          <w:color w:val="ff0000"/>
          <w:sz w:val="24"/>
          <w:szCs w:val="24"/>
        </w:rPr>
        <w:t xml:space="preserve">1.投标报价</w:t>
      </w:r>
      <w:r>
        <w:rPr>
          <w:rFonts w:hint="eastAsia" w:ascii="仿宋" w:hAnsi="仿宋" w:eastAsia="仿宋" w:cs="仿宋"/>
          <w:color w:val="ff0000"/>
          <w:sz w:val="24"/>
          <w:szCs w:val="21"/>
        </w:rPr>
        <w:t xml:space="preserve">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400" w:lineRule="exact"/>
        <w:rPr>
          <w:rFonts w:ascii="仿宋" w:hAnsi="仿宋" w:eastAsia="仿宋" w:cs="仿宋"/>
          <w:color w:val="ff0000"/>
          <w:sz w:val="24"/>
          <w:szCs w:val="21"/>
        </w:rPr>
      </w:pPr>
      <w:r>
        <w:rPr>
          <w:rFonts w:hint="eastAsia" w:ascii="仿宋" w:hAnsi="仿宋" w:eastAsia="仿宋" w:cs="仿宋"/>
          <w:color w:val="ff0000"/>
          <w:sz w:val="24"/>
          <w:szCs w:val="21"/>
        </w:rPr>
        <w:t xml:space="preserve">2.</w:t>
      </w:r>
      <w:r>
        <w:rPr>
          <w:rFonts w:hint="eastAsia" w:ascii="仿宋" w:hAnsi="仿宋" w:eastAsia="仿宋" w:cs="仿宋"/>
          <w:color w:val="ff0000"/>
          <w:szCs w:val="21"/>
        </w:rPr>
        <w:t xml:space="preserve">“</w:t>
      </w:r>
      <w:r>
        <w:rPr>
          <w:rFonts w:hint="eastAsia" w:ascii="仿宋" w:hAnsi="仿宋" w:eastAsia="仿宋" w:cs="仿宋"/>
          <w:color w:val="ff0000"/>
          <w:sz w:val="24"/>
          <w:szCs w:val="21"/>
        </w:rPr>
        <w:t xml:space="preserve">投标分项报价表</w:t>
      </w:r>
      <w:r>
        <w:rPr>
          <w:rFonts w:hint="eastAsia" w:ascii="仿宋" w:hAnsi="仿宋" w:eastAsia="仿宋" w:cs="仿宋"/>
          <w:color w:val="ff0000"/>
          <w:szCs w:val="21"/>
        </w:rPr>
        <w:t xml:space="preserve">”</w:t>
      </w:r>
      <w:r>
        <w:rPr>
          <w:rFonts w:hint="eastAsia" w:ascii="仿宋" w:hAnsi="仿宋" w:eastAsia="仿宋" w:cs="仿宋"/>
          <w:color w:val="ff0000"/>
          <w:sz w:val="24"/>
          <w:szCs w:val="21"/>
        </w:rPr>
        <w:t xml:space="preserve">中“投标总报价”数额应当与“开标一览表”中“投标总报价”数额一致。</w:t>
      </w:r>
      <w:r/>
    </w:p>
    <w:p>
      <w:pPr>
        <w:spacing w:line="400" w:lineRule="exact"/>
        <w:rPr>
          <w:rFonts w:ascii="仿宋" w:hAnsi="仿宋" w:eastAsia="仿宋" w:cs="仿宋"/>
          <w:color w:val="ff0000"/>
          <w:sz w:val="24"/>
          <w:szCs w:val="21"/>
        </w:rPr>
      </w:pPr>
      <w:r>
        <w:rPr>
          <w:rFonts w:hint="eastAsia" w:ascii="仿宋" w:hAnsi="仿宋" w:eastAsia="仿宋" w:cs="仿宋"/>
          <w:color w:val="ff0000"/>
          <w:sz w:val="24"/>
          <w:szCs w:val="21"/>
        </w:rPr>
        <w:t xml:space="preserve">3.投标人需认真填写本报价表，尤其注意规格型号的准确填写，否则视为无效投标。</w:t>
      </w:r>
      <w:r/>
    </w:p>
    <w:p>
      <w:pPr>
        <w:spacing w:line="0" w:lineRule="atLeas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p>
      <w:pPr>
        <w:spacing w:line="0" w:lineRule="atLeas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p>
      <w:pPr>
        <w:jc w:val="center"/>
        <w:rPr>
          <w:rFonts w:ascii="仿宋" w:hAnsi="仿宋" w:eastAsia="仿宋" w:cs="仿宋"/>
          <w:b/>
          <w:color w:val="ff0000"/>
          <w:sz w:val="24"/>
          <w:szCs w:val="24"/>
        </w:rPr>
      </w:pPr>
      <w:r>
        <w:rPr>
          <w:rFonts w:ascii="仿宋" w:hAnsi="仿宋" w:eastAsia="仿宋" w:cs="仿宋"/>
          <w:b/>
          <w:color w:val="ff0000"/>
          <w:sz w:val="24"/>
          <w:szCs w:val="24"/>
        </w:rPr>
      </w:r>
      <w:r/>
    </w:p>
    <w:p>
      <w:pPr>
        <w:rPr>
          <w:rFonts w:ascii="仿宋" w:hAnsi="仿宋" w:eastAsia="仿宋" w:cs="仿宋"/>
          <w:b/>
          <w:color w:val="ff0000"/>
          <w:sz w:val="24"/>
          <w:szCs w:val="24"/>
        </w:rPr>
      </w:pPr>
      <w:r>
        <w:rPr>
          <w:rFonts w:ascii="仿宋" w:hAnsi="仿宋" w:eastAsia="仿宋" w:cs="仿宋"/>
          <w:b/>
          <w:color w:val="ff0000"/>
          <w:sz w:val="24"/>
          <w:szCs w:val="24"/>
        </w:rPr>
      </w:r>
      <w:r/>
    </w:p>
    <w:p>
      <w:pPr>
        <w:jc w:val="left"/>
        <w:rPr>
          <w:rFonts w:ascii="仿宋" w:hAnsi="仿宋" w:eastAsia="仿宋" w:cs="仿宋"/>
          <w:b/>
          <w:color w:val="ff0000"/>
          <w:sz w:val="24"/>
          <w:szCs w:val="24"/>
        </w:rPr>
      </w:pPr>
      <w:r>
        <w:rPr>
          <w:rFonts w:hint="eastAsia" w:ascii="仿宋" w:hAnsi="仿宋" w:eastAsia="仿宋" w:cs="仿宋"/>
          <w:b/>
          <w:color w:val="ff0000"/>
          <w:sz w:val="24"/>
          <w:szCs w:val="24"/>
        </w:rPr>
        <w:br w:type="page" w:clear="all"/>
      </w:r>
      <w:r>
        <w:rPr>
          <w:rFonts w:hint="eastAsia" w:ascii="仿宋" w:hAnsi="仿宋" w:eastAsia="仿宋" w:cs="仿宋"/>
          <w:b/>
          <w:sz w:val="24"/>
          <w:szCs w:val="24"/>
        </w:rPr>
        <w:t xml:space="preserve">附件3</w:t>
      </w:r>
      <w:r/>
    </w:p>
    <w:p>
      <w:pPr>
        <w:jc w:val="center"/>
        <w:rPr>
          <w:rFonts w:ascii="仿宋" w:hAnsi="仿宋" w:eastAsia="仿宋" w:cs="仿宋"/>
          <w:b/>
          <w:color w:val="000000"/>
          <w:sz w:val="30"/>
          <w:szCs w:val="30"/>
        </w:rPr>
      </w:pPr>
      <w:r>
        <w:rPr>
          <w:rFonts w:hint="eastAsia" w:ascii="仿宋" w:hAnsi="仿宋" w:eastAsia="仿宋" w:cs="仿宋"/>
          <w:b/>
          <w:color w:val="000000"/>
          <w:sz w:val="30"/>
          <w:szCs w:val="30"/>
        </w:rPr>
        <w:t xml:space="preserve">投标人符合《中华人民共和国政府采购法》第二十二条规定条件的声明函</w:t>
      </w:r>
      <w:r/>
    </w:p>
    <w:p>
      <w:pPr>
        <w:spacing w:line="460" w:lineRule="exact"/>
        <w:rPr>
          <w:rFonts w:ascii="仿宋" w:hAnsi="仿宋" w:eastAsia="仿宋" w:cs="仿宋"/>
          <w:b/>
          <w:bCs/>
          <w:color w:val="000000"/>
          <w:sz w:val="44"/>
          <w:szCs w:val="44"/>
        </w:rPr>
      </w:pPr>
      <w:r>
        <w:rPr>
          <w:rFonts w:hint="eastAsia" w:ascii="仿宋" w:hAnsi="仿宋" w:eastAsia="仿宋" w:cs="仿宋"/>
          <w:b/>
          <w:bCs/>
          <w:color w:val="000000"/>
          <w:sz w:val="24"/>
          <w:szCs w:val="21"/>
        </w:rPr>
        <w:t xml:space="preserve">                       </w:t>
      </w:r>
      <w:r>
        <w:rPr>
          <w:rFonts w:hint="eastAsia" w:ascii="仿宋" w:hAnsi="仿宋" w:eastAsia="仿宋" w:cs="仿宋"/>
          <w:b/>
          <w:bCs/>
          <w:color w:val="000000"/>
          <w:sz w:val="44"/>
          <w:szCs w:val="44"/>
        </w:rPr>
        <w:t xml:space="preserve">   </w:t>
      </w:r>
      <w:r/>
    </w:p>
    <w:p>
      <w:pPr>
        <w:ind w:firstLine="480"/>
        <w:spacing w:line="520" w:lineRule="exact"/>
        <w:rPr>
          <w:rFonts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rPr>
        <w:t xml:space="preserve">________________（项目名称），_________（项目编号）投标活动。针对《中华人民共和国政府采购法》第二十二条规定做出如下声明：</w:t>
      </w:r>
      <w:r/>
    </w:p>
    <w:p>
      <w:pPr>
        <w:ind w:firstLine="482"/>
        <w:spacing w:line="520" w:lineRule="exact"/>
        <w:rPr>
          <w:rFonts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p>
    <w:p>
      <w:pPr>
        <w:ind w:firstLine="482"/>
        <w:spacing w:line="500" w:lineRule="exact"/>
        <w:rPr>
          <w:rFonts w:ascii="仿宋" w:hAnsi="仿宋" w:eastAsia="仿宋" w:cs="仿宋"/>
          <w:color w:val="000000"/>
          <w:sz w:val="24"/>
        </w:rPr>
      </w:pPr>
      <w:r>
        <w:rPr>
          <w:rFonts w:ascii="仿宋" w:hAnsi="仿宋" w:eastAsia="仿宋" w:cs="仿宋"/>
          <w:color w:val="000000"/>
          <w:sz w:val="24"/>
        </w:rPr>
      </w:r>
      <w:r/>
    </w:p>
    <w:p>
      <w:pPr>
        <w:spacing w:line="500" w:lineRule="exact"/>
        <w:rPr>
          <w:rFonts w:ascii="仿宋" w:hAnsi="仿宋" w:eastAsia="仿宋" w:cs="仿宋"/>
          <w:color w:val="000000"/>
          <w:sz w:val="24"/>
        </w:rPr>
      </w:pPr>
      <w:r>
        <w:rPr>
          <w:rFonts w:ascii="仿宋" w:hAnsi="仿宋" w:eastAsia="仿宋" w:cs="仿宋"/>
          <w:color w:val="000000"/>
          <w:sz w:val="24"/>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jc w:val="center"/>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承诺人名称（加盖CA电子公章）：</w:t>
      </w:r>
      <w:r/>
    </w:p>
    <w:p>
      <w:pPr>
        <w:jc w:val="right"/>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w:t>
      </w:r>
      <w:r/>
    </w:p>
    <w:p>
      <w:pPr>
        <w:jc w:val="right"/>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p>
    <w:p>
      <w:pPr>
        <w:spacing w:line="560" w:lineRule="exact"/>
        <w:rPr>
          <w:rFonts w:ascii="仿宋" w:hAnsi="仿宋" w:eastAsia="仿宋" w:cs="仿宋"/>
          <w:b/>
          <w:color w:val="ff0000"/>
          <w:sz w:val="24"/>
          <w:szCs w:val="24"/>
        </w:rPr>
      </w:pPr>
      <w:r>
        <w:rPr>
          <w:rFonts w:hint="eastAsia" w:ascii="仿宋" w:hAnsi="仿宋" w:eastAsia="仿宋" w:cs="仿宋"/>
          <w:b/>
          <w:color w:val="ff0000"/>
          <w:sz w:val="24"/>
          <w:szCs w:val="24"/>
        </w:rPr>
        <w:br w:type="page" w:clear="all"/>
      </w:r>
      <w:bookmarkEnd w:id="198"/>
      <w:r/>
      <w:bookmarkEnd w:id="199"/>
      <w:r/>
      <w:bookmarkEnd w:id="200"/>
      <w:r/>
      <w:bookmarkStart w:id="201" w:name="_Toc120614284"/>
      <w:r>
        <w:rPr>
          <w:rFonts w:hint="eastAsia" w:ascii="仿宋" w:hAnsi="仿宋" w:eastAsia="仿宋" w:cs="仿宋"/>
          <w:b/>
          <w:sz w:val="24"/>
          <w:szCs w:val="24"/>
        </w:rPr>
        <w:t xml:space="preserve">附件4     </w:t>
      </w:r>
      <w:r>
        <w:rPr>
          <w:rFonts w:hint="eastAsia" w:ascii="仿宋" w:hAnsi="仿宋" w:eastAsia="仿宋" w:cs="仿宋"/>
          <w:b/>
          <w:color w:val="ff0000"/>
          <w:sz w:val="24"/>
          <w:szCs w:val="24"/>
        </w:rPr>
        <w:t xml:space="preserve">       </w:t>
      </w:r>
      <w:r/>
    </w:p>
    <w:p>
      <w:pPr>
        <w:jc w:val="center"/>
        <w:spacing w:line="560" w:lineRule="exact"/>
        <w:rPr>
          <w:rFonts w:ascii="仿宋" w:hAnsi="仿宋" w:eastAsia="仿宋" w:cs="仿宋"/>
          <w:b/>
          <w:bCs/>
          <w:sz w:val="32"/>
          <w:szCs w:val="32"/>
        </w:rPr>
      </w:pPr>
      <w:r>
        <w:rPr>
          <w:rFonts w:hint="eastAsia" w:ascii="仿宋" w:hAnsi="仿宋" w:eastAsia="仿宋" w:cs="仿宋"/>
          <w:b/>
          <w:bCs/>
          <w:sz w:val="32"/>
          <w:szCs w:val="32"/>
        </w:rPr>
        <w:t xml:space="preserve">法定代表人身份证明</w:t>
      </w:r>
      <w:r/>
    </w:p>
    <w:p>
      <w:pPr>
        <w:spacing w:line="480" w:lineRule="exact"/>
        <w:rPr>
          <w:rFonts w:ascii="仿宋" w:hAnsi="仿宋" w:eastAsia="仿宋" w:cs="仿宋"/>
          <w:sz w:val="24"/>
          <w:szCs w:val="24"/>
        </w:rPr>
      </w:pPr>
      <w:r>
        <w:rPr>
          <w:rFonts w:ascii="仿宋" w:hAnsi="仿宋" w:eastAsia="仿宋" w:cs="仿宋"/>
          <w:sz w:val="24"/>
          <w:szCs w:val="24"/>
        </w:rPr>
      </w:r>
      <w:r/>
    </w:p>
    <w:p>
      <w:pPr>
        <w:ind w:firstLine="480"/>
        <w:spacing w:line="480" w:lineRule="exact"/>
        <w:rPr>
          <w:rFonts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p>
    <w:p>
      <w:pPr>
        <w:ind w:firstLine="480"/>
        <w:spacing w:line="480" w:lineRule="exact"/>
        <w:rPr>
          <w:rFonts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p>
    <w:p>
      <w:pPr>
        <w:ind w:firstLine="480"/>
        <w:spacing w:line="480" w:lineRule="exact"/>
        <w:rPr>
          <w:rFonts w:ascii="仿宋" w:hAnsi="仿宋" w:eastAsia="仿宋" w:cs="仿宋"/>
          <w:sz w:val="24"/>
          <w:szCs w:val="24"/>
        </w:rPr>
      </w:pPr>
      <w:r>
        <w:rPr>
          <w:rFonts w:ascii="仿宋" w:hAnsi="仿宋" w:eastAsia="仿宋" w:cs="仿宋"/>
          <w:sz w:val="24"/>
          <w:szCs w:val="24"/>
        </w:rPr>
      </w:r>
      <w:r/>
    </w:p>
    <w:p>
      <w:pPr>
        <w:ind w:firstLine="480"/>
        <w:spacing w:line="460" w:lineRule="exact"/>
        <w:rPr>
          <w:rFonts w:ascii="仿宋" w:hAnsi="仿宋" w:eastAsia="仿宋" w:cs="仿宋"/>
          <w:b/>
          <w:color w:val="000000"/>
          <w:sz w:val="24"/>
          <w:szCs w:val="21"/>
        </w:rPr>
      </w:pPr>
      <w:r>
        <w:rPr>
          <w:rFonts w:hint="eastAsia" w:ascii="仿宋" w:hAnsi="仿宋" w:eastAsia="仿宋" w:cs="仿宋"/>
          <w:b/>
          <w:sz w:val="24"/>
          <w:szCs w:val="24"/>
        </w:rPr>
        <w:t xml:space="preserve">注：提供法定代表人的身份证扫描件</w:t>
      </w:r>
      <w:r>
        <w:rPr>
          <w:rFonts w:hint="eastAsia" w:ascii="仿宋" w:hAnsi="仿宋" w:eastAsia="仿宋" w:cs="仿宋"/>
          <w:bCs/>
          <w:color w:val="000000"/>
          <w:sz w:val="24"/>
          <w:szCs w:val="21"/>
        </w:rPr>
        <w:t xml:space="preserve">（加盖CA电子公章）</w:t>
      </w:r>
      <w:r>
        <w:rPr>
          <w:rFonts w:hint="eastAsia" w:ascii="仿宋" w:hAnsi="仿宋" w:eastAsia="仿宋" w:cs="仿宋"/>
          <w:b/>
          <w:color w:val="ff0000"/>
          <w:sz w:val="24"/>
          <w:szCs w:val="24"/>
        </w:rPr>
        <w:br w:type="page" w:clear="all"/>
      </w:r>
      <w:r>
        <w:rPr>
          <w:rFonts w:hint="eastAsia" w:ascii="仿宋" w:hAnsi="仿宋" w:eastAsia="仿宋" w:cs="仿宋"/>
          <w:b/>
          <w:color w:val="000000"/>
          <w:sz w:val="24"/>
          <w:szCs w:val="21"/>
        </w:rPr>
        <w:t xml:space="preserve">附件5            </w:t>
      </w:r>
      <w:r/>
    </w:p>
    <w:p>
      <w:pPr>
        <w:ind w:firstLine="480"/>
        <w:jc w:val="center"/>
        <w:spacing w:line="460" w:lineRule="exact"/>
        <w:rPr>
          <w:rFonts w:ascii="仿宋" w:hAnsi="仿宋" w:eastAsia="仿宋" w:cs="仿宋"/>
          <w:bCs/>
          <w:color w:val="000000"/>
          <w:sz w:val="24"/>
          <w:szCs w:val="21"/>
        </w:rPr>
      </w:pPr>
      <w:r>
        <w:rPr>
          <w:rFonts w:hint="eastAsia" w:ascii="仿宋" w:hAnsi="仿宋" w:eastAsia="仿宋" w:cs="仿宋"/>
          <w:b/>
          <w:color w:val="000000"/>
          <w:sz w:val="24"/>
          <w:szCs w:val="21"/>
        </w:rPr>
        <w:t xml:space="preserve">法人授权书</w:t>
      </w:r>
      <w:r/>
    </w:p>
    <w:p>
      <w:pPr>
        <w:ind w:firstLine="480"/>
        <w:tabs>
          <w:tab w:val="left" w:pos="36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本授权书声明：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（投标人名称）授权</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（被授权人的姓名）为我方就</w:t>
      </w:r>
      <w:r>
        <w:rPr>
          <w:rFonts w:hint="eastAsia" w:ascii="仿宋" w:hAnsi="仿宋" w:eastAsia="仿宋" w:cs="仿宋"/>
          <w:color w:val="000000"/>
          <w:sz w:val="24"/>
          <w:szCs w:val="24"/>
          <w:highlight w:val="yellow"/>
          <w:u w:val="single"/>
        </w:rPr>
        <w:t xml:space="preserve">JSZC-***********</w:t>
      </w:r>
      <w:r>
        <w:rPr>
          <w:rFonts w:hint="eastAsia" w:ascii="仿宋" w:hAnsi="仿宋" w:eastAsia="仿宋" w:cs="仿宋"/>
          <w:color w:val="000000"/>
          <w:sz w:val="24"/>
          <w:szCs w:val="24"/>
        </w:rPr>
        <w:t xml:space="preserve">号项目采购活动的合法代理人，以本单位名义全权处理一切与该项目采购有关的事务。</w:t>
      </w:r>
      <w:r/>
    </w:p>
    <w:p>
      <w:pPr>
        <w:ind w:firstLine="480"/>
        <w:tabs>
          <w:tab w:val="left" w:pos="36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p>
    <w:p>
      <w:pPr>
        <w:tabs>
          <w:tab w:val="left" w:pos="360" w:leader="none"/>
        </w:tabs>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被授权人身份证号码：</w:t>
      </w:r>
      <w:r>
        <w:rPr>
          <w:rFonts w:hint="eastAsia" w:ascii="仿宋" w:hAnsi="仿宋" w:eastAsia="仿宋" w:cs="仿宋"/>
          <w:color w:val="000000"/>
          <w:sz w:val="24"/>
          <w:szCs w:val="24"/>
          <w:u w:val="single"/>
        </w:rPr>
        <w:t xml:space="preserve">                              </w:t>
      </w:r>
      <w:r/>
    </w:p>
    <w:p>
      <w:pPr>
        <w:tabs>
          <w:tab w:val="left" w:pos="360" w:leader="none"/>
        </w:tabs>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被授权人联系电话：（手机）</w:t>
      </w:r>
      <w:r>
        <w:rPr>
          <w:rFonts w:hint="eastAsia" w:ascii="仿宋" w:hAnsi="仿宋" w:eastAsia="仿宋" w:cs="仿宋"/>
          <w:color w:val="000000"/>
          <w:sz w:val="24"/>
          <w:szCs w:val="24"/>
          <w:u w:val="single"/>
        </w:rPr>
        <w:t xml:space="preserve">                          </w:t>
      </w:r>
      <w:r/>
    </w:p>
    <w:p>
      <w:pPr>
        <w:ind w:firstLine="480"/>
        <w:tabs>
          <w:tab w:val="left" w:pos="36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p>
    <w:p>
      <w:pPr>
        <w:ind w:firstLine="480"/>
        <w:tabs>
          <w:tab w:val="left" w:pos="360" w:leader="none"/>
        </w:tabs>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p>
    <w:p>
      <w:pPr>
        <w:ind w:firstLine="480"/>
        <w:tabs>
          <w:tab w:val="left" w:pos="36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日期：</w:t>
      </w:r>
      <w:bookmarkStart w:id="202" w:name="_格式3__银行出具的资信证明"/>
      <w:r/>
      <w:bookmarkEnd w:id="202"/>
      <w:r/>
      <w:bookmarkStart w:id="203" w:name="_Hlt26955070"/>
      <w:r/>
      <w:bookmarkEnd w:id="203"/>
      <w:r/>
      <w:bookmarkStart w:id="204" w:name="_Hlt26671380"/>
      <w:r/>
      <w:bookmarkEnd w:id="204"/>
      <w:r>
        <w:rPr>
          <w:rFonts w:hint="eastAsia" w:ascii="仿宋" w:hAnsi="仿宋" w:eastAsia="仿宋" w:cs="仿宋"/>
          <w:color w:val="000000"/>
          <w:sz w:val="24"/>
          <w:szCs w:val="24"/>
          <w:u w:val="single"/>
        </w:rPr>
        <w:t xml:space="preserve">                                         </w:t>
      </w:r>
      <w:r/>
    </w:p>
    <w:p>
      <w:pPr>
        <w:keepLines/>
        <w:keepNext/>
        <w:spacing w:before="260" w:after="260" w:line="416" w:lineRule="auto"/>
        <w:rPr>
          <w:rFonts w:ascii="仿宋" w:hAnsi="仿宋" w:eastAsia="仿宋" w:cs="仿宋"/>
          <w:b/>
          <w:color w:val="000000"/>
          <w:sz w:val="24"/>
          <w:szCs w:val="44"/>
        </w:rPr>
      </w:pPr>
      <w:r>
        <w:rPr>
          <w:rFonts w:ascii="仿宋" w:hAnsi="仿宋" w:eastAsia="仿宋" w:cs="仿宋"/>
          <w:b/>
          <w:color w:val="000000"/>
          <w:sz w:val="24"/>
          <w:szCs w:val="44"/>
        </w:rPr>
      </w:r>
      <w:r/>
    </w:p>
    <w:p>
      <w:pPr>
        <w:keepLines/>
        <w:keepNext/>
        <w:spacing w:before="260" w:after="260" w:line="416" w:lineRule="auto"/>
        <w:rPr>
          <w:rFonts w:ascii="仿宋" w:hAnsi="仿宋" w:eastAsia="仿宋" w:cs="仿宋"/>
          <w:b/>
          <w:i/>
          <w:color w:val="000000"/>
          <w:sz w:val="32"/>
          <w:szCs w:val="32"/>
          <w:u w:val="single"/>
        </w:rPr>
      </w:pPr>
      <w:r>
        <w:rPr>
          <w:rFonts w:hint="eastAsia" w:ascii="仿宋" w:hAnsi="仿宋" w:eastAsia="仿宋" w:cs="仿宋"/>
          <w:bCs/>
          <w:color w:val="000000"/>
          <w:sz w:val="24"/>
          <w:szCs w:val="44"/>
        </w:rPr>
        <w:t xml:space="preserve">注：提供被授权人身份证扫描件（加盖CA电子公章）</w:t>
      </w:r>
      <w:r>
        <w:rPr>
          <w:rFonts w:hint="eastAsia" w:ascii="仿宋" w:hAnsi="仿宋" w:eastAsia="仿宋" w:cs="仿宋"/>
          <w:bCs/>
          <w:color w:val="000000"/>
          <w:sz w:val="24"/>
          <w:szCs w:val="44"/>
        </w:rPr>
        <w:br w:type="page" w:clear="all"/>
      </w:r>
      <w:r>
        <w:rPr>
          <w:rFonts w:hint="eastAsia" w:ascii="仿宋" w:hAnsi="仿宋" w:eastAsia="仿宋" w:cs="仿宋"/>
          <w:b/>
          <w:color w:val="000000"/>
          <w:sz w:val="24"/>
          <w:szCs w:val="21"/>
        </w:rPr>
        <w:t xml:space="preserve">附件6                             投标函</w:t>
      </w:r>
      <w:r/>
    </w:p>
    <w:p>
      <w:pPr>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致：如东县公共资源交易中心</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根据贵方的</w:t>
      </w:r>
      <w:r>
        <w:rPr>
          <w:rFonts w:hint="eastAsia" w:ascii="仿宋" w:hAnsi="仿宋" w:eastAsia="仿宋" w:cs="仿宋"/>
          <w:color w:val="000000"/>
          <w:sz w:val="24"/>
          <w:szCs w:val="21"/>
          <w:highlight w:val="yellow"/>
          <w:u w:val="single"/>
        </w:rPr>
        <w:t xml:space="preserve">JSZC-**********-****</w:t>
      </w:r>
      <w:r>
        <w:rPr>
          <w:rFonts w:hint="eastAsia" w:ascii="仿宋" w:hAnsi="仿宋" w:eastAsia="仿宋" w:cs="仿宋"/>
          <w:color w:val="000000"/>
          <w:sz w:val="24"/>
          <w:szCs w:val="21"/>
        </w:rPr>
        <w:t xml:space="preserve">号招标文件，正式授权下述被授权人_____(姓名)代表我方_______（投标人的名称），全权处理本次项目投标的有关事宜。</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据此函，被授权人_____(姓名)兹宣布同意如下：</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1.按招标文件规定的各项要求，向买方提供所需货物（包含与货物相关的服务）。</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2.我们完全理解贵方不一定将合同授予最低报价的投标人。</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7.与本投标有关的正式通讯地址为：</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地          址：</w:t>
      </w:r>
      <w:r>
        <w:rPr>
          <w:rFonts w:hint="eastAsia" w:ascii="仿宋" w:hAnsi="仿宋" w:eastAsia="仿宋" w:cs="仿宋"/>
          <w:color w:val="000000"/>
          <w:sz w:val="24"/>
          <w:szCs w:val="21"/>
          <w:u w:val="single"/>
        </w:rPr>
        <w:t xml:space="preserve">                         </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邮          编：</w:t>
      </w:r>
      <w:r>
        <w:rPr>
          <w:rFonts w:hint="eastAsia" w:ascii="仿宋" w:hAnsi="仿宋" w:eastAsia="仿宋" w:cs="仿宋"/>
          <w:color w:val="000000"/>
          <w:sz w:val="24"/>
          <w:szCs w:val="21"/>
          <w:u w:val="single"/>
        </w:rPr>
        <w:t xml:space="preserve">                         </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电          话：</w:t>
      </w:r>
      <w:r>
        <w:rPr>
          <w:rFonts w:hint="eastAsia" w:ascii="仿宋" w:hAnsi="仿宋" w:eastAsia="仿宋" w:cs="仿宋"/>
          <w:color w:val="000000"/>
          <w:sz w:val="24"/>
          <w:szCs w:val="21"/>
          <w:u w:val="single"/>
        </w:rPr>
        <w:t xml:space="preserve">                         </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传          真：</w:t>
      </w:r>
      <w:r>
        <w:rPr>
          <w:rFonts w:hint="eastAsia" w:ascii="仿宋" w:hAnsi="仿宋" w:eastAsia="仿宋" w:cs="仿宋"/>
          <w:color w:val="000000"/>
          <w:sz w:val="24"/>
          <w:szCs w:val="21"/>
          <w:u w:val="single"/>
        </w:rPr>
        <w:t xml:space="preserve">                         </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投标人开户行：</w:t>
      </w:r>
      <w:r>
        <w:rPr>
          <w:rFonts w:hint="eastAsia" w:ascii="仿宋" w:hAnsi="仿宋" w:eastAsia="仿宋" w:cs="仿宋"/>
          <w:color w:val="000000"/>
          <w:sz w:val="24"/>
          <w:szCs w:val="21"/>
          <w:u w:val="single"/>
        </w:rPr>
        <w:t xml:space="preserve">                           </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账          号：</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t xml:space="preserve"> </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日           期：_____年____月____日</w:t>
      </w:r>
      <w:r/>
    </w:p>
    <w:p>
      <w:pPr>
        <w:ind w:firstLine="240"/>
        <w:jc w:val="center"/>
        <w:spacing w:line="560" w:lineRule="exact"/>
        <w:rPr>
          <w:rFonts w:ascii="仿宋" w:hAnsi="仿宋" w:eastAsia="仿宋" w:cs="仿宋"/>
          <w:bCs/>
          <w:color w:val="000000"/>
          <w:sz w:val="24"/>
          <w:szCs w:val="21"/>
        </w:rPr>
      </w:pPr>
      <w:r>
        <w:rPr>
          <w:rFonts w:ascii="仿宋" w:hAnsi="仿宋" w:eastAsia="仿宋" w:cs="仿宋"/>
          <w:bCs/>
          <w:color w:val="000000"/>
          <w:sz w:val="24"/>
          <w:szCs w:val="21"/>
        </w:rPr>
      </w:r>
      <w:r/>
    </w:p>
    <w:p>
      <w:pPr>
        <w:ind w:firstLine="240"/>
        <w:jc w:val="center"/>
        <w:spacing w:line="560" w:lineRule="exact"/>
        <w:rPr>
          <w:rFonts w:ascii="仿宋" w:hAnsi="仿宋" w:eastAsia="仿宋" w:cs="仿宋"/>
          <w:bCs/>
          <w:color w:val="000000"/>
          <w:sz w:val="24"/>
          <w:szCs w:val="21"/>
        </w:rPr>
      </w:pPr>
      <w:r>
        <w:rPr>
          <w:rFonts w:ascii="仿宋" w:hAnsi="仿宋" w:eastAsia="仿宋" w:cs="仿宋"/>
          <w:bCs/>
          <w:color w:val="000000"/>
          <w:sz w:val="24"/>
          <w:szCs w:val="21"/>
        </w:rPr>
      </w:r>
      <w:r/>
    </w:p>
    <w:p>
      <w:pPr>
        <w:ind w:firstLine="240"/>
        <w:jc w:val="center"/>
        <w:spacing w:line="560" w:lineRule="exact"/>
        <w:rPr>
          <w:rFonts w:ascii="仿宋" w:hAnsi="仿宋" w:eastAsia="仿宋" w:cs="仿宋"/>
          <w:bCs/>
          <w:color w:val="000000"/>
          <w:sz w:val="24"/>
          <w:szCs w:val="21"/>
        </w:rPr>
      </w:pPr>
      <w:r>
        <w:rPr>
          <w:rFonts w:ascii="仿宋" w:hAnsi="仿宋" w:eastAsia="仿宋" w:cs="仿宋"/>
          <w:bCs/>
          <w:color w:val="000000"/>
          <w:sz w:val="24"/>
          <w:szCs w:val="21"/>
        </w:rPr>
      </w:r>
      <w:r/>
    </w:p>
    <w:p>
      <w:pPr>
        <w:ind w:firstLine="240"/>
        <w:jc w:val="center"/>
        <w:spacing w:line="560" w:lineRule="exact"/>
        <w:rPr>
          <w:rFonts w:ascii="仿宋" w:hAnsi="仿宋" w:eastAsia="仿宋" w:cs="仿宋"/>
          <w:bCs/>
          <w:color w:val="000000"/>
          <w:sz w:val="24"/>
          <w:szCs w:val="21"/>
        </w:rPr>
      </w:pPr>
      <w:r>
        <w:rPr>
          <w:rFonts w:ascii="仿宋" w:hAnsi="仿宋" w:eastAsia="仿宋" w:cs="仿宋"/>
          <w:bCs/>
          <w:color w:val="000000"/>
          <w:sz w:val="24"/>
          <w:szCs w:val="21"/>
        </w:rPr>
      </w:r>
      <w:r/>
    </w:p>
    <w:p>
      <w:pPr>
        <w:ind w:firstLine="240"/>
        <w:jc w:val="center"/>
        <w:spacing w:line="560" w:lineRule="exact"/>
        <w:rPr>
          <w:rFonts w:ascii="仿宋" w:hAnsi="仿宋" w:eastAsia="仿宋" w:cs="仿宋"/>
          <w:bCs/>
          <w:color w:val="000000"/>
          <w:sz w:val="24"/>
          <w:szCs w:val="21"/>
        </w:rPr>
      </w:pPr>
      <w:r>
        <w:rPr>
          <w:rFonts w:ascii="仿宋" w:hAnsi="仿宋" w:eastAsia="仿宋" w:cs="仿宋"/>
          <w:bCs/>
          <w:color w:val="000000"/>
          <w:sz w:val="24"/>
          <w:szCs w:val="21"/>
        </w:rPr>
      </w:r>
      <w:r/>
    </w:p>
    <w:p>
      <w:pPr>
        <w:ind w:firstLine="241"/>
        <w:jc w:val="center"/>
        <w:spacing w:line="560" w:lineRule="exact"/>
        <w:rPr>
          <w:rFonts w:ascii="仿宋" w:hAnsi="仿宋" w:eastAsia="仿宋" w:cs="仿宋"/>
          <w:b/>
          <w:color w:val="ff0000"/>
          <w:sz w:val="24"/>
          <w:szCs w:val="21"/>
        </w:rPr>
      </w:pPr>
      <w:r>
        <w:rPr>
          <w:rFonts w:ascii="仿宋" w:hAnsi="仿宋" w:eastAsia="仿宋" w:cs="仿宋"/>
          <w:b/>
          <w:color w:val="ff0000"/>
          <w:sz w:val="24"/>
          <w:szCs w:val="21"/>
        </w:rPr>
      </w:r>
      <w:r/>
    </w:p>
    <w:p>
      <w:pPr>
        <w:ind w:firstLine="241"/>
        <w:spacing w:line="560" w:lineRule="exact"/>
        <w:rPr>
          <w:rFonts w:ascii="仿宋" w:hAnsi="仿宋" w:eastAsia="仿宋" w:cs="仿宋"/>
          <w:b/>
          <w:color w:val="ff0000"/>
          <w:sz w:val="24"/>
          <w:szCs w:val="21"/>
        </w:rPr>
      </w:pPr>
      <w:r>
        <w:rPr>
          <w:rFonts w:hint="eastAsia" w:ascii="仿宋" w:hAnsi="仿宋" w:eastAsia="仿宋" w:cs="仿宋"/>
          <w:b/>
          <w:color w:val="ff0000"/>
          <w:sz w:val="24"/>
          <w:szCs w:val="21"/>
        </w:rPr>
        <w:br w:type="page" w:clear="all"/>
      </w:r>
      <w:r>
        <w:rPr>
          <w:rFonts w:hint="eastAsia" w:ascii="仿宋" w:hAnsi="仿宋" w:eastAsia="仿宋" w:cs="仿宋"/>
          <w:b/>
          <w:sz w:val="24"/>
          <w:szCs w:val="21"/>
        </w:rPr>
        <w:t xml:space="preserve">附件7  </w:t>
      </w:r>
      <w:r/>
    </w:p>
    <w:p>
      <w:pPr>
        <w:jc w:val="center"/>
        <w:rPr>
          <w:rFonts w:ascii="仿宋" w:hAnsi="仿宋" w:eastAsia="仿宋" w:cs="仿宋"/>
          <w:b/>
          <w:sz w:val="24"/>
          <w:szCs w:val="21"/>
          <w:highlight w:val="yellow"/>
        </w:rPr>
      </w:pPr>
      <w:r>
        <w:rPr>
          <w:rFonts w:hint="eastAsia" w:ascii="仿宋" w:hAnsi="仿宋" w:eastAsia="仿宋" w:cs="仿宋"/>
          <w:b/>
          <w:sz w:val="24"/>
          <w:szCs w:val="21"/>
        </w:rPr>
        <w:t xml:space="preserve">中小企业声明函（货物）</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w:t>
      </w:r>
      <w:r>
        <w:rPr>
          <w:rFonts w:hint="eastAsia" w:ascii="仿宋" w:hAnsi="仿宋" w:eastAsia="仿宋" w:cs="仿宋"/>
          <w:color w:val="ff0000"/>
          <w:sz w:val="24"/>
          <w:szCs w:val="24"/>
        </w:rPr>
        <w:t xml:space="preserve">〔2020〕</w:t>
      </w:r>
      <w:r>
        <w:rPr>
          <w:rFonts w:hint="eastAsia" w:ascii="仿宋" w:hAnsi="仿宋" w:eastAsia="仿宋" w:cs="仿宋"/>
          <w:sz w:val="24"/>
          <w:szCs w:val="24"/>
        </w:rPr>
        <w:t xml:space="preserve">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采购活动，提供的货物全部由符合政策要求的中小企业制造。相关企业（含联合体中的中小企业、签订分包意向协议的中小企业）的具体情况如下：</w:t>
      </w:r>
      <w:r/>
    </w:p>
    <w:p>
      <w:pPr>
        <w:ind w:firstLine="36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 xml:space="preserve">行业；制造商为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（采购文件中明确的所属行业）</w:t>
      </w:r>
      <w:r>
        <w:rPr>
          <w:rFonts w:hint="eastAsia" w:ascii="仿宋" w:hAnsi="仿宋" w:eastAsia="仿宋" w:cs="仿宋"/>
          <w:sz w:val="24"/>
          <w:szCs w:val="24"/>
        </w:rPr>
        <w:t xml:space="preserve">行业；制造商为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720"/>
        <w:spacing w:line="400" w:lineRule="exact"/>
        <w:rPr>
          <w:rFonts w:ascii="仿宋" w:hAnsi="仿宋" w:eastAsia="仿宋" w:cs="仿宋"/>
          <w:sz w:val="24"/>
          <w:szCs w:val="24"/>
        </w:rPr>
      </w:pPr>
      <w:r>
        <w:rPr>
          <w:rFonts w:ascii="仿宋" w:hAnsi="仿宋" w:eastAsia="仿宋" w:cs="仿宋"/>
          <w:sz w:val="24"/>
          <w:szCs w:val="24"/>
        </w:rPr>
      </w:r>
      <w:r/>
    </w:p>
    <w:p>
      <w:pPr>
        <w:ind w:right="180" w:firstLine="360"/>
        <w:jc w:val="right"/>
        <w:spacing w:line="400" w:lineRule="exact"/>
        <w:rPr>
          <w:rFonts w:ascii="仿宋" w:hAnsi="仿宋" w:eastAsia="仿宋" w:cs="仿宋"/>
          <w:sz w:val="24"/>
          <w:szCs w:val="24"/>
        </w:rPr>
      </w:pPr>
      <w:r>
        <w:rPr>
          <w:rFonts w:hint="eastAsia" w:ascii="仿宋" w:hAnsi="仿宋" w:eastAsia="仿宋" w:cs="仿宋"/>
          <w:sz w:val="24"/>
          <w:szCs w:val="24"/>
        </w:rPr>
        <w:t xml:space="preserve">供应商全称（加盖CA电子公章）：</w:t>
      </w:r>
      <w:r/>
    </w:p>
    <w:p>
      <w:pPr>
        <w:ind w:right="480" w:firstLine="5640"/>
        <w:spacing w:line="400" w:lineRule="exact"/>
        <w:rPr>
          <w:rFonts w:ascii="仿宋" w:hAnsi="仿宋" w:eastAsia="仿宋" w:cs="仿宋"/>
          <w:sz w:val="24"/>
          <w:szCs w:val="24"/>
        </w:rPr>
      </w:pPr>
      <w:r>
        <w:rPr>
          <w:rFonts w:hint="eastAsia" w:ascii="仿宋" w:hAnsi="仿宋" w:eastAsia="仿宋" w:cs="仿宋"/>
          <w:sz w:val="24"/>
          <w:szCs w:val="24"/>
        </w:rPr>
        <w:t xml:space="preserve">日  期：</w:t>
      </w:r>
      <w:r/>
    </w:p>
    <w:p>
      <w:pPr>
        <w:spacing w:line="400" w:lineRule="exact"/>
        <w:rPr>
          <w:rFonts w:ascii="仿宋" w:hAnsi="仿宋" w:eastAsia="仿宋" w:cs="仿宋"/>
          <w:sz w:val="24"/>
          <w:szCs w:val="24"/>
        </w:rPr>
      </w:pPr>
      <w:r>
        <w:rPr>
          <w:rFonts w:ascii="仿宋" w:hAnsi="仿宋" w:eastAsia="仿宋" w:cs="仿宋"/>
          <w:sz w:val="24"/>
          <w:szCs w:val="24"/>
        </w:rPr>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1、如项目类型为“货物”，请按照此格式填写。</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2、从业人员、营业收入、资产总额填报上一年度数据，无上一年度数据的新成立企业可不填报。</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3、专门面向中小微型企业采购的项目，投标人如不提供此声明函，则不能通过资格审查；非专门面向中小微型企业采购的项目，投标人如不提供此声明函，价格将不做相应扣除。</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4、投标人</w:t>
      </w:r>
      <w:r>
        <w:rPr>
          <w:rFonts w:hint="eastAsia" w:ascii="仿宋" w:hAnsi="仿宋" w:eastAsia="仿宋" w:cs="仿宋"/>
          <w:b/>
          <w:bCs/>
          <w:sz w:val="24"/>
          <w:szCs w:val="24"/>
        </w:rPr>
        <w:t xml:space="preserve">自行勾选</w:t>
      </w:r>
      <w:r>
        <w:rPr>
          <w:rFonts w:hint="eastAsia" w:ascii="仿宋" w:hAnsi="仿宋" w:eastAsia="仿宋" w:cs="仿宋"/>
          <w:sz w:val="24"/>
          <w:szCs w:val="24"/>
        </w:rPr>
        <w:t xml:space="preserve">制造商的企业规模类型。</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p>
    <w:p>
      <w:pPr>
        <w:ind w:left="540" w:hanging="120"/>
        <w:spacing w:line="400" w:lineRule="exact"/>
        <w:rPr>
          <w:rFonts w:ascii="仿宋" w:hAnsi="仿宋" w:eastAsia="仿宋" w:cs="仿宋"/>
          <w:b/>
          <w:sz w:val="24"/>
          <w:szCs w:val="24"/>
        </w:rPr>
      </w:pPr>
      <w:r>
        <w:rPr>
          <w:rFonts w:hint="eastAsia" w:ascii="仿宋" w:hAnsi="仿宋" w:eastAsia="仿宋" w:cs="仿宋"/>
          <w:color w:val="ff0000"/>
          <w:sz w:val="24"/>
          <w:szCs w:val="24"/>
        </w:rPr>
        <w:t xml:space="preserve">                                        </w:t>
      </w:r>
      <w:r>
        <w:rPr>
          <w:rFonts w:hint="eastAsia" w:ascii="仿宋" w:hAnsi="仿宋" w:eastAsia="仿宋" w:cs="仿宋"/>
          <w:b/>
          <w:color w:val="000000"/>
          <w:sz w:val="32"/>
          <w:szCs w:val="32"/>
        </w:rPr>
        <w:br w:type="page" w:clear="all"/>
      </w:r>
      <w:r>
        <w:rPr>
          <w:rFonts w:hint="eastAsia" w:ascii="仿宋" w:hAnsi="仿宋" w:eastAsia="仿宋" w:cs="仿宋"/>
          <w:b/>
          <w:sz w:val="24"/>
          <w:szCs w:val="24"/>
        </w:rPr>
        <w:t xml:space="preserve">附件8  </w:t>
      </w:r>
      <w:r/>
    </w:p>
    <w:p>
      <w:pPr>
        <w:ind w:left="540" w:hanging="120"/>
        <w:jc w:val="center"/>
        <w:spacing w:line="400" w:lineRule="exact"/>
        <w:rPr>
          <w:rFonts w:ascii="仿宋" w:hAnsi="仿宋" w:eastAsia="仿宋" w:cs="仿宋"/>
          <w:sz w:val="24"/>
          <w:szCs w:val="21"/>
        </w:rPr>
      </w:pPr>
      <w:r>
        <w:rPr>
          <w:rFonts w:hint="eastAsia" w:ascii="仿宋" w:hAnsi="仿宋" w:eastAsia="仿宋" w:cs="仿宋"/>
          <w:b/>
          <w:sz w:val="24"/>
          <w:szCs w:val="24"/>
        </w:rPr>
        <w:t xml:space="preserve">残疾人福利性单位声明函（货物）</w:t>
      </w:r>
      <w:r/>
    </w:p>
    <w:p>
      <w:pPr>
        <w:ind w:firstLine="360"/>
        <w:spacing w:line="400" w:lineRule="exact"/>
        <w:rPr>
          <w:rFonts w:ascii="仿宋" w:hAnsi="仿宋" w:eastAsia="仿宋" w:cs="仿宋"/>
          <w:color w:val="000000"/>
          <w:sz w:val="24"/>
          <w:szCs w:val="24"/>
        </w:rPr>
      </w:pPr>
      <w:r>
        <w:rPr>
          <w:rFonts w:hint="eastAsia" w:ascii="仿宋" w:hAnsi="仿宋" w:eastAsia="仿宋" w:cs="仿宋"/>
          <w:sz w:val="24"/>
          <w:szCs w:val="24"/>
        </w:rPr>
        <w:t xml:space="preserve">本单位郑重声明，根据《财政部 民政部 中国残疾人联合会关于促进残</w:t>
      </w:r>
      <w:r>
        <w:rPr>
          <w:rFonts w:hint="eastAsia" w:ascii="仿宋" w:hAnsi="仿宋" w:eastAsia="仿宋" w:cs="仿宋"/>
          <w:color w:val="000000"/>
          <w:sz w:val="24"/>
          <w:szCs w:val="24"/>
        </w:rPr>
        <w:t xml:space="preserve">疾人就业政府采购政策的通知》（财库〔2017〕 141号）的规定，本单位为符合条件的残疾人福利性单位，且本单位参加______单位的采购文件编号为</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项目（分包号：**）采购活动提供本单位制造的货物，或者提供其他残疾人福利性单位制造的货物（不包括使用非残疾人福利性单位注册商标的货物）。</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本单位对上述声明的真实性负责。如有虚假，将依法承担相应责任。</w:t>
      </w:r>
      <w:r/>
    </w:p>
    <w:p>
      <w:pPr>
        <w:ind w:firstLine="480"/>
        <w:spacing w:line="0" w:lineRule="atLeast"/>
        <w:rPr>
          <w:rFonts w:ascii="仿宋" w:hAnsi="仿宋" w:eastAsia="仿宋" w:cs="仿宋"/>
          <w:color w:val="000000"/>
          <w:sz w:val="24"/>
          <w:szCs w:val="21"/>
        </w:rPr>
      </w:pPr>
      <w:r>
        <w:rPr>
          <w:rFonts w:ascii="仿宋" w:hAnsi="仿宋" w:eastAsia="仿宋" w:cs="仿宋"/>
          <w:color w:val="000000"/>
          <w:sz w:val="24"/>
          <w:szCs w:val="21"/>
        </w:r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ascii="仿宋" w:hAnsi="仿宋" w:eastAsia="仿宋" w:cs="仿宋"/>
          <w:sz w:val="24"/>
          <w:szCs w:val="21"/>
        </w:rPr>
      </w:pPr>
      <w:r>
        <w:rPr>
          <w:rFonts w:hint="eastAsia" w:ascii="仿宋" w:hAnsi="仿宋" w:eastAsia="仿宋" w:cs="仿宋"/>
          <w:sz w:val="24"/>
          <w:szCs w:val="24"/>
        </w:rPr>
        <w:t xml:space="preserve">1、如项目类型为“货物”，请按照此格式填写。</w:t>
      </w:r>
      <w:r/>
    </w:p>
    <w:p>
      <w:pPr>
        <w:ind w:firstLine="480"/>
        <w:spacing w:line="0" w:lineRule="atLeast"/>
        <w:rPr>
          <w:rFonts w:ascii="仿宋" w:hAnsi="仿宋" w:eastAsia="仿宋" w:cs="仿宋"/>
          <w:sz w:val="24"/>
          <w:szCs w:val="21"/>
        </w:rPr>
      </w:pPr>
      <w:r>
        <w:rPr>
          <w:rFonts w:hint="eastAsia" w:ascii="仿宋" w:hAnsi="仿宋" w:eastAsia="仿宋" w:cs="仿宋"/>
          <w:sz w:val="24"/>
          <w:szCs w:val="24"/>
        </w:rPr>
        <w:t xml:space="preserve">2、</w:t>
      </w:r>
      <w:r>
        <w:rPr>
          <w:rFonts w:hint="eastAsia" w:ascii="仿宋" w:hAnsi="仿宋" w:eastAsia="仿宋" w:cs="仿宋"/>
          <w:sz w:val="24"/>
          <w:szCs w:val="21"/>
        </w:rPr>
        <w:t xml:space="preserve">专门面向中小微型企业采购的项目，投标人为残疾人福利性单位并提供本单位制造的货物，或者提供其他残疾人福利性单位制造的货物，必须提供此声明函，否则将不能通过资格审查。</w:t>
      </w:r>
      <w:r/>
    </w:p>
    <w:p>
      <w:pPr>
        <w:ind w:firstLine="480"/>
        <w:spacing w:line="0" w:lineRule="atLeast"/>
        <w:rPr>
          <w:rFonts w:ascii="仿宋" w:hAnsi="仿宋" w:eastAsia="仿宋" w:cs="仿宋"/>
          <w:sz w:val="24"/>
          <w:szCs w:val="21"/>
        </w:rPr>
      </w:pPr>
      <w:r>
        <w:rPr>
          <w:rFonts w:hint="eastAsia" w:ascii="仿宋" w:hAnsi="仿宋" w:eastAsia="仿宋" w:cs="仿宋"/>
          <w:sz w:val="24"/>
          <w:szCs w:val="24"/>
        </w:rPr>
        <w:t xml:space="preserve">3、</w:t>
      </w:r>
      <w:r>
        <w:rPr>
          <w:rFonts w:hint="eastAsia" w:ascii="仿宋" w:hAnsi="仿宋" w:eastAsia="仿宋" w:cs="仿宋"/>
          <w:sz w:val="24"/>
          <w:szCs w:val="21"/>
        </w:rPr>
        <w:t xml:space="preserve">非专门面向中小微型企业采购的项目，投标人如不提供此声明函，价格将不做相应扣除。</w:t>
      </w:r>
      <w:r/>
    </w:p>
    <w:p>
      <w:pPr>
        <w:ind w:firstLine="480"/>
        <w:spacing w:line="0" w:lineRule="atLeast"/>
        <w:rPr>
          <w:rFonts w:ascii="仿宋" w:hAnsi="仿宋" w:eastAsia="仿宋" w:cs="仿宋"/>
          <w:sz w:val="24"/>
          <w:szCs w:val="21"/>
        </w:rPr>
      </w:pPr>
      <w:r>
        <w:rPr>
          <w:rFonts w:hint="eastAsia" w:ascii="仿宋" w:hAnsi="仿宋" w:eastAsia="仿宋" w:cs="仿宋"/>
          <w:sz w:val="24"/>
          <w:szCs w:val="24"/>
        </w:rPr>
        <w:t xml:space="preserve">4、</w:t>
      </w:r>
      <w:r>
        <w:rPr>
          <w:rFonts w:hint="eastAsia" w:ascii="仿宋" w:hAnsi="仿宋" w:eastAsia="仿宋" w:cs="仿宋"/>
          <w:sz w:val="24"/>
        </w:rPr>
        <w:t xml:space="preserve">中标人</w:t>
      </w:r>
      <w:r>
        <w:rPr>
          <w:rFonts w:hint="eastAsia" w:ascii="仿宋" w:hAnsi="仿宋" w:eastAsia="仿宋" w:cs="仿宋"/>
          <w:sz w:val="24"/>
          <w:szCs w:val="21"/>
        </w:rPr>
        <w:t xml:space="preserve">为残疾人福利性单位的，此声明函将随</w:t>
      </w:r>
      <w:r>
        <w:rPr>
          <w:rFonts w:hint="eastAsia" w:ascii="仿宋" w:hAnsi="仿宋" w:eastAsia="仿宋" w:cs="仿宋"/>
          <w:sz w:val="24"/>
        </w:rPr>
        <w:t xml:space="preserve">中标</w:t>
      </w:r>
      <w:r>
        <w:rPr>
          <w:rFonts w:hint="eastAsia" w:ascii="仿宋" w:hAnsi="仿宋" w:eastAsia="仿宋" w:cs="仿宋"/>
          <w:sz w:val="24"/>
          <w:szCs w:val="21"/>
        </w:rPr>
        <w:t xml:space="preserve">结果同时公告，接受社会监督。</w:t>
      </w:r>
      <w:r/>
    </w:p>
    <w:p>
      <w:pPr>
        <w:ind w:firstLine="480"/>
        <w:spacing w:line="400" w:lineRule="exact"/>
        <w:rPr>
          <w:rFonts w:ascii="仿宋" w:hAnsi="仿宋" w:eastAsia="仿宋" w:cs="仿宋"/>
          <w:color w:val="ff0000"/>
          <w:sz w:val="24"/>
          <w:szCs w:val="21"/>
        </w:rPr>
      </w:pPr>
      <w:r>
        <w:rPr>
          <w:rFonts w:ascii="仿宋" w:hAnsi="仿宋" w:eastAsia="仿宋" w:cs="仿宋"/>
          <w:color w:val="ff0000"/>
          <w:sz w:val="24"/>
          <w:szCs w:val="21"/>
        </w:rPr>
      </w:r>
      <w:r/>
    </w:p>
    <w:p>
      <w:pPr>
        <w:ind w:firstLine="624"/>
        <w:spacing w:line="588" w:lineRule="exact"/>
        <w:rPr>
          <w:rFonts w:ascii="仿宋" w:hAnsi="仿宋" w:eastAsia="仿宋" w:cs="仿宋"/>
          <w:spacing w:val="6"/>
          <w:sz w:val="30"/>
          <w:szCs w:val="30"/>
        </w:rPr>
      </w:pPr>
      <w:r>
        <w:rPr>
          <w:rFonts w:ascii="仿宋" w:hAnsi="仿宋" w:eastAsia="仿宋" w:cs="仿宋"/>
          <w:spacing w:val="6"/>
          <w:sz w:val="30"/>
          <w:szCs w:val="30"/>
        </w:rPr>
      </w:r>
      <w:r/>
    </w:p>
    <w:p>
      <w:pPr>
        <w:ind w:right="1559" w:firstLine="624"/>
        <w:jc w:val="center"/>
        <w:spacing w:line="400" w:lineRule="exact"/>
        <w:tabs>
          <w:tab w:val="left" w:pos="4860" w:leader="none"/>
        </w:tabs>
        <w:rPr>
          <w:rFonts w:ascii="仿宋" w:hAnsi="仿宋" w:eastAsia="仿宋" w:cs="仿宋"/>
          <w:sz w:val="24"/>
          <w:szCs w:val="21"/>
        </w:rPr>
      </w:pPr>
      <w:r>
        <w:rPr>
          <w:rFonts w:hint="eastAsia" w:ascii="仿宋" w:hAnsi="仿宋" w:eastAsia="仿宋" w:cs="仿宋"/>
          <w:spacing w:val="6"/>
          <w:sz w:val="30"/>
          <w:szCs w:val="30"/>
        </w:rPr>
        <w:t xml:space="preserve">             </w:t>
      </w:r>
      <w:r>
        <w:rPr>
          <w:rFonts w:hint="eastAsia" w:ascii="仿宋" w:hAnsi="仿宋" w:eastAsia="仿宋" w:cs="仿宋"/>
          <w:sz w:val="24"/>
          <w:szCs w:val="21"/>
        </w:rPr>
        <w:t xml:space="preserve">          供应商全称（加盖CA电子公章）：</w:t>
      </w:r>
      <w:r/>
    </w:p>
    <w:p>
      <w:pPr>
        <w:ind w:right="1559" w:firstLine="480"/>
        <w:jc w:val="center"/>
        <w:spacing w:line="400" w:lineRule="exact"/>
        <w:tabs>
          <w:tab w:val="left" w:pos="4860" w:leader="none"/>
        </w:tabs>
        <w:rPr>
          <w:rFonts w:ascii="仿宋" w:hAnsi="仿宋" w:eastAsia="仿宋" w:cs="仿宋"/>
          <w:sz w:val="24"/>
          <w:szCs w:val="21"/>
        </w:rPr>
      </w:pPr>
      <w:r>
        <w:rPr>
          <w:rFonts w:hint="eastAsia" w:ascii="仿宋" w:hAnsi="仿宋" w:eastAsia="仿宋" w:cs="仿宋"/>
          <w:sz w:val="24"/>
          <w:szCs w:val="21"/>
        </w:rPr>
        <w:t xml:space="preserve">        日  期：</w:t>
      </w:r>
      <w:r/>
    </w:p>
    <w:p>
      <w:pPr>
        <w:spacing w:line="420" w:lineRule="exact"/>
        <w:rPr>
          <w:rFonts w:ascii="仿宋" w:hAnsi="仿宋" w:eastAsia="仿宋" w:cs="仿宋"/>
          <w:b/>
          <w:sz w:val="24"/>
          <w:szCs w:val="24"/>
        </w:rPr>
      </w:pPr>
      <w:r>
        <w:rPr>
          <w:rFonts w:hint="eastAsia" w:ascii="仿宋" w:hAnsi="仿宋" w:eastAsia="仿宋" w:cs="仿宋"/>
          <w:b/>
          <w:sz w:val="32"/>
          <w:szCs w:val="32"/>
        </w:rPr>
        <w:br w:type="page" w:clear="all"/>
      </w:r>
      <w:r>
        <w:rPr>
          <w:rFonts w:hint="eastAsia" w:ascii="仿宋" w:hAnsi="仿宋" w:eastAsia="仿宋" w:cs="仿宋"/>
          <w:b/>
          <w:sz w:val="24"/>
          <w:szCs w:val="24"/>
        </w:rPr>
        <w:t xml:space="preserve">附件9</w:t>
      </w:r>
      <w:r/>
    </w:p>
    <w:p>
      <w:pPr>
        <w:jc w:val="center"/>
        <w:spacing w:line="420" w:lineRule="exact"/>
        <w:rPr>
          <w:rFonts w:ascii="仿宋" w:hAnsi="仿宋" w:eastAsia="仿宋" w:cs="仿宋"/>
          <w:b/>
          <w:bCs/>
          <w:sz w:val="24"/>
          <w:szCs w:val="24"/>
        </w:rPr>
      </w:pPr>
      <w:r>
        <w:rPr>
          <w:rFonts w:hint="eastAsia" w:ascii="仿宋" w:hAnsi="仿宋" w:eastAsia="仿宋" w:cs="仿宋"/>
          <w:b/>
          <w:bCs/>
          <w:sz w:val="24"/>
          <w:szCs w:val="24"/>
        </w:rPr>
        <w:t xml:space="preserve">监狱和戒毒企业证明材料</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jc w:val="center"/>
        <w:spacing w:line="420" w:lineRule="exact"/>
        <w:rPr>
          <w:rFonts w:ascii="仿宋" w:hAnsi="仿宋" w:eastAsia="仿宋" w:cs="仿宋"/>
          <w:b/>
          <w:bCs/>
          <w:sz w:val="24"/>
          <w:szCs w:val="24"/>
        </w:rPr>
      </w:pPr>
      <w:r>
        <w:rPr>
          <w:rFonts w:hint="eastAsia" w:ascii="仿宋" w:hAnsi="仿宋" w:eastAsia="仿宋" w:cs="仿宋"/>
          <w:b/>
          <w:bCs/>
          <w:sz w:val="24"/>
          <w:szCs w:val="24"/>
        </w:rPr>
        <w:t xml:space="preserve">（格式自拟）</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1"/>
        </w:rPr>
        <w:t xml:space="preserve">1、</w:t>
      </w:r>
      <w:r>
        <w:rPr>
          <w:rFonts w:hint="eastAsia" w:ascii="仿宋" w:hAnsi="仿宋" w:eastAsia="仿宋" w:cs="仿宋"/>
          <w:sz w:val="24"/>
          <w:szCs w:val="24"/>
        </w:rPr>
        <w:t xml:space="preserve">专门面向中小微型企业采购的项目，投标人如不提供此证明材料，则不能通过资格审查；非专门面向中小微型企业采购的项目，投标人如不提供此证明材料，价格将不做相应扣除。</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2、中标人为监狱和戒毒企业的，此证明材料将随中标结果同时公告，接受社会监督。投标人提供证明材料内容不实的，属于提供虚假材料谋取中标、成交，依照《中华人民共和国政府采购法》等国家有关规定追究相应责任。</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rPr>
          <w:rFonts w:ascii="仿宋" w:hAnsi="仿宋" w:eastAsia="仿宋" w:cs="仿宋"/>
          <w:b/>
          <w:sz w:val="24"/>
          <w:szCs w:val="24"/>
        </w:rPr>
      </w:pPr>
      <w:r>
        <w:rPr>
          <w:rFonts w:hint="eastAsia" w:ascii="仿宋" w:hAnsi="仿宋" w:eastAsia="仿宋" w:cs="仿宋"/>
          <w:b/>
          <w:color w:val="0000ff"/>
          <w:sz w:val="24"/>
          <w:szCs w:val="24"/>
          <w:highlight w:val="magenta"/>
        </w:rPr>
        <w:br w:type="page" w:clear="all"/>
      </w:r>
      <w:r>
        <w:rPr>
          <w:rFonts w:hint="eastAsia" w:ascii="仿宋" w:hAnsi="仿宋" w:eastAsia="仿宋" w:cs="仿宋"/>
          <w:b/>
          <w:sz w:val="24"/>
          <w:szCs w:val="24"/>
        </w:rPr>
        <w:t xml:space="preserve">附件10 </w:t>
      </w:r>
      <w:r/>
    </w:p>
    <w:p>
      <w:pPr>
        <w:jc w:val="center"/>
        <w:rPr>
          <w:rFonts w:ascii="仿宋" w:hAnsi="仿宋" w:eastAsia="仿宋" w:cs="仿宋"/>
          <w:b/>
          <w:sz w:val="24"/>
          <w:szCs w:val="24"/>
        </w:rPr>
      </w:pPr>
      <w:r>
        <w:rPr>
          <w:rFonts w:hint="eastAsia" w:ascii="仿宋" w:hAnsi="仿宋" w:eastAsia="仿宋" w:cs="仿宋"/>
          <w:b/>
          <w:sz w:val="24"/>
          <w:szCs w:val="24"/>
        </w:rPr>
        <w:t xml:space="preserve">技术要求响应及偏离表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（由投标人据实填写，表格不够自行添加）</w:t>
      </w:r>
      <w:r/>
    </w:p>
    <w:tbl>
      <w:tblPr>
        <w:tblStyle w:val="73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6"/>
        <w:gridCol w:w="2118"/>
        <w:gridCol w:w="2734"/>
        <w:gridCol w:w="150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货物名称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仿宋" w:hAnsi="仿宋" w:eastAsia="仿宋" w:cs="仿宋"/>
                <w:sz w:val="24"/>
                <w:szCs w:val="24"/>
              </w:rPr>
            </w:pPr>
            <w:r>
              <w:rPr>
                <w:rFonts w:ascii="仿宋" w:hAnsi="仿宋" w:eastAsia="仿宋" w:cs="仿宋"/>
                <w:sz w:val="24"/>
                <w:szCs w:val="24"/>
              </w:rPr>
            </w:r>
            <w:r/>
          </w:p>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89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2427"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附件10-1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contextualSpacing/>
        <w:spacing w:line="300" w:lineRule="auto"/>
        <w:rPr>
          <w:rFonts w:ascii="仿宋" w:hAnsi="仿宋" w:eastAsia="仿宋" w:cs="仿宋"/>
          <w:b/>
          <w:bCs/>
          <w:color w:val="000000"/>
          <w:sz w:val="24"/>
        </w:rPr>
      </w:pPr>
      <w:r>
        <w:rPr>
          <w:rFonts w:hint="eastAsia" w:ascii="仿宋" w:hAnsi="仿宋" w:eastAsia="仿宋" w:cs="仿宋"/>
          <w:color w:val="000000"/>
          <w:sz w:val="24"/>
        </w:rPr>
        <w:t xml:space="preserve">1. 投标人提交的投标文件中与招标文件第四章“采购需求”中的技术要求（未加斜体下划线的非实质性内容）如有偏离的，应逐条填列在偏离表中。</w:t>
      </w:r>
      <w:r>
        <w:rPr>
          <w:rFonts w:hint="eastAsia" w:ascii="仿宋" w:hAnsi="仿宋" w:eastAsia="仿宋" w:cs="仿宋"/>
          <w:b/>
          <w:bCs/>
          <w:color w:val="000000"/>
          <w:sz w:val="24"/>
          <w:szCs w:val="24"/>
        </w:rPr>
        <w:t xml:space="preserve">如果招标文件要求提供证明材料，投标人需将证明材料列于该表之下。</w:t>
      </w:r>
      <w:r/>
    </w:p>
    <w:p>
      <w:pPr>
        <w:contextualSpacing/>
        <w:spacing w:line="300" w:lineRule="auto"/>
        <w:rPr>
          <w:rFonts w:ascii="仿宋" w:hAnsi="仿宋" w:eastAsia="仿宋" w:cs="仿宋"/>
          <w:color w:val="000000"/>
          <w:sz w:val="24"/>
        </w:rPr>
      </w:pPr>
      <w:r>
        <w:rPr>
          <w:rFonts w:hint="eastAsia" w:ascii="仿宋" w:hAnsi="仿宋" w:eastAsia="仿宋" w:cs="仿宋"/>
          <w:color w:val="000000"/>
          <w:sz w:val="24"/>
        </w:rPr>
        <w:t xml:space="preserve">2.“偏离说明”一栏选择“正偏离”、“无偏离”、“负偏离”进行填写。未填写的内容视为完全响应本招标文件要求。正偏离、无偏离的确认和负偏离是否响应招标文件，由评委会认定。</w:t>
      </w:r>
      <w:r/>
    </w:p>
    <w:p>
      <w:pPr>
        <w:pStyle w:val="735"/>
        <w:rPr>
          <w:rFonts w:ascii="仿宋" w:hAnsi="仿宋" w:eastAsia="仿宋" w:cs="仿宋"/>
        </w:rPr>
      </w:pPr>
      <w:r>
        <w:rPr>
          <w:rFonts w:ascii="仿宋" w:hAnsi="仿宋" w:eastAsia="仿宋" w:cs="仿宋"/>
        </w:rPr>
      </w:r>
      <w:r/>
    </w:p>
    <w:p>
      <w:pPr>
        <w:spacing w:line="400" w:lineRule="exact"/>
        <w:rPr>
          <w:rFonts w:ascii="仿宋" w:hAnsi="仿宋" w:eastAsia="仿宋" w:cs="仿宋"/>
          <w:color w:val="ff0000"/>
          <w:sz w:val="24"/>
          <w:szCs w:val="24"/>
        </w:rPr>
      </w:pPr>
      <w:r>
        <w:rPr>
          <w:rFonts w:ascii="仿宋" w:hAnsi="仿宋" w:eastAsia="仿宋" w:cs="仿宋"/>
          <w:color w:val="ff0000"/>
          <w:sz w:val="24"/>
          <w:szCs w:val="24"/>
        </w:rPr>
      </w:r>
      <w:r/>
    </w:p>
    <w:p>
      <w:pPr>
        <w:spacing w:line="400" w:lineRule="exact"/>
        <w:rPr>
          <w:rFonts w:ascii="仿宋" w:hAnsi="仿宋" w:eastAsia="仿宋" w:cs="仿宋"/>
          <w:color w:val="ff0000"/>
          <w:sz w:val="24"/>
          <w:szCs w:val="24"/>
        </w:rPr>
      </w:pPr>
      <w:r>
        <w:rPr>
          <w:rFonts w:ascii="仿宋" w:hAnsi="仿宋" w:eastAsia="仿宋" w:cs="仿宋"/>
          <w:color w:val="ff0000"/>
          <w:sz w:val="24"/>
          <w:szCs w:val="24"/>
        </w:rPr>
      </w:r>
      <w:r/>
    </w:p>
    <w:p>
      <w:pPr>
        <w:rPr>
          <w:rFonts w:ascii="仿宋" w:hAnsi="仿宋" w:eastAsia="仿宋" w:cs="仿宋"/>
          <w:b/>
          <w:sz w:val="24"/>
          <w:szCs w:val="24"/>
        </w:rPr>
      </w:pPr>
      <w:r>
        <w:rPr>
          <w:rFonts w:hint="eastAsia" w:ascii="仿宋" w:hAnsi="仿宋" w:eastAsia="仿宋" w:cs="仿宋"/>
          <w:b/>
          <w:color w:val="ff0000"/>
          <w:sz w:val="24"/>
          <w:szCs w:val="24"/>
        </w:rPr>
        <w:br w:type="page" w:clear="all"/>
      </w:r>
      <w:r>
        <w:rPr>
          <w:rFonts w:hint="eastAsia" w:ascii="仿宋" w:hAnsi="仿宋" w:eastAsia="仿宋" w:cs="仿宋"/>
          <w:b/>
          <w:sz w:val="24"/>
          <w:szCs w:val="24"/>
        </w:rPr>
        <w:t xml:space="preserve">附件11 </w:t>
      </w:r>
      <w:r/>
    </w:p>
    <w:p>
      <w:pPr>
        <w:jc w:val="center"/>
        <w:rPr>
          <w:rFonts w:ascii="仿宋" w:hAnsi="仿宋" w:eastAsia="仿宋" w:cs="仿宋"/>
          <w:b/>
          <w:sz w:val="24"/>
          <w:szCs w:val="24"/>
        </w:rPr>
      </w:pPr>
      <w:r>
        <w:rPr>
          <w:rFonts w:hint="eastAsia" w:ascii="仿宋" w:hAnsi="仿宋" w:eastAsia="仿宋" w:cs="仿宋"/>
          <w:b/>
          <w:sz w:val="24"/>
          <w:szCs w:val="24"/>
        </w:rPr>
        <w:t xml:space="preserve">商务要求响应及偏离表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（由投标人据实填写，表格不够自行添加）</w:t>
      </w:r>
      <w:r/>
    </w:p>
    <w:tbl>
      <w:tblPr>
        <w:tblStyle w:val="73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6"/>
        <w:gridCol w:w="2118"/>
        <w:gridCol w:w="2734"/>
        <w:gridCol w:w="150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货物名称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招标文件要求的商务要求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仿宋" w:hAnsi="仿宋" w:eastAsia="仿宋" w:cs="仿宋"/>
                <w:sz w:val="24"/>
                <w:szCs w:val="24"/>
              </w:rPr>
            </w:pPr>
            <w:r>
              <w:rPr>
                <w:rFonts w:ascii="仿宋" w:hAnsi="仿宋" w:eastAsia="仿宋" w:cs="仿宋"/>
                <w:sz w:val="24"/>
                <w:szCs w:val="24"/>
              </w:rPr>
            </w:r>
            <w:r/>
          </w:p>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89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2427"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bl>
    <w:p>
      <w:pPr>
        <w:jc w:val="center"/>
        <w:rPr>
          <w:rFonts w:ascii="仿宋" w:hAnsi="仿宋" w:eastAsia="仿宋" w:cs="仿宋"/>
          <w:b/>
          <w:sz w:val="24"/>
          <w:szCs w:val="24"/>
        </w:rPr>
      </w:pPr>
      <w:r>
        <w:rPr>
          <w:rFonts w:ascii="仿宋" w:hAnsi="仿宋" w:eastAsia="仿宋" w:cs="仿宋"/>
          <w:b/>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附件11-1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1. 投标人提交的投标文件中与招标文件第四章“采购需求”中的商务要求（未加斜体下划线的非实质性内容）如有偏离的，应逐条填列在偏离表中。如果招标文件要求提供证明材料，投标人需将证明材料列于该表之下。</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2.“偏离说明”一栏选择“正偏离”、“无偏离”、“负偏离”进行填写。未填写的内容视为完全响应本招标文件要求。正偏离、无偏离的确认和负偏离是否响应招标文件，由评委会认定。</w:t>
      </w:r>
      <w:r/>
    </w:p>
    <w:p>
      <w:pPr>
        <w:spacing w:line="400" w:lineRule="exact"/>
        <w:rPr>
          <w:rFonts w:ascii="仿宋" w:hAnsi="仿宋" w:eastAsia="仿宋" w:cs="仿宋"/>
          <w:color w:val="ff0000"/>
          <w:sz w:val="24"/>
          <w:szCs w:val="24"/>
        </w:rPr>
      </w:pPr>
      <w:r>
        <w:rPr>
          <w:rFonts w:ascii="仿宋" w:hAnsi="仿宋" w:eastAsia="仿宋" w:cs="仿宋"/>
          <w:color w:val="ff0000"/>
          <w:sz w:val="24"/>
          <w:szCs w:val="24"/>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jc w:val="center"/>
        <w:rPr>
          <w:rFonts w:ascii="仿宋" w:hAnsi="仿宋" w:eastAsia="仿宋" w:cs="仿宋"/>
          <w:b/>
          <w:color w:val="ff0000"/>
          <w:sz w:val="24"/>
          <w:szCs w:val="24"/>
        </w:rPr>
      </w:pPr>
      <w:r>
        <w:rPr>
          <w:rFonts w:ascii="仿宋" w:hAnsi="仿宋" w:eastAsia="仿宋" w:cs="仿宋"/>
          <w:b/>
          <w:color w:val="ff0000"/>
          <w:sz w:val="24"/>
          <w:szCs w:val="24"/>
        </w:rPr>
      </w:r>
      <w:r/>
    </w:p>
    <w:p>
      <w:pPr>
        <w:jc w:val="left"/>
        <w:rPr>
          <w:rFonts w:ascii="仿宋" w:hAnsi="仿宋" w:eastAsia="仿宋" w:cs="仿宋"/>
          <w:b/>
          <w:sz w:val="24"/>
          <w:szCs w:val="24"/>
        </w:rPr>
      </w:pPr>
      <w:r>
        <w:rPr>
          <w:rFonts w:hint="eastAsia" w:ascii="仿宋" w:hAnsi="仿宋" w:eastAsia="仿宋" w:cs="仿宋"/>
          <w:b/>
          <w:color w:val="ff0000"/>
          <w:sz w:val="24"/>
          <w:szCs w:val="24"/>
        </w:rPr>
        <w:br w:type="page" w:clear="all"/>
      </w:r>
      <w:r>
        <w:rPr>
          <w:rFonts w:hint="eastAsia" w:ascii="仿宋" w:hAnsi="仿宋" w:eastAsia="仿宋" w:cs="仿宋"/>
          <w:b/>
          <w:sz w:val="24"/>
          <w:szCs w:val="24"/>
        </w:rPr>
        <w:t xml:space="preserve">附件12 </w:t>
      </w:r>
      <w:r/>
    </w:p>
    <w:p>
      <w:pPr>
        <w:jc w:val="center"/>
        <w:rPr>
          <w:rFonts w:ascii="仿宋" w:hAnsi="仿宋" w:eastAsia="仿宋" w:cs="仿宋"/>
          <w:b/>
          <w:sz w:val="24"/>
          <w:szCs w:val="24"/>
        </w:rPr>
      </w:pPr>
      <w:r>
        <w:rPr>
          <w:rFonts w:hint="eastAsia" w:ascii="仿宋" w:hAnsi="仿宋" w:eastAsia="仿宋" w:cs="仿宋"/>
          <w:b/>
          <w:sz w:val="24"/>
          <w:szCs w:val="24"/>
        </w:rPr>
        <w:t xml:space="preserve">实质性要求响应及偏离表</w:t>
      </w:r>
      <w:r/>
    </w:p>
    <w:tbl>
      <w:tblPr>
        <w:tblStyle w:val="7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W w:w="3609"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招标文件技术要求和商务要求中的实质性要求</w:t>
            </w:r>
            <w:r>
              <w:rPr>
                <w:rFonts w:hint="eastAsia" w:ascii="仿宋" w:hAnsi="仿宋" w:eastAsia="仿宋" w:cs="仿宋"/>
                <w:i/>
                <w:sz w:val="24"/>
                <w:szCs w:val="24"/>
                <w:u w:val="single"/>
              </w:rPr>
              <w:t xml:space="preserve">（加斜体下划线内容）</w:t>
            </w:r>
            <w:r/>
          </w:p>
        </w:tc>
        <w:tc>
          <w:tcPr>
            <w:tcW w:w="3317"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投标响应情况</w:t>
            </w:r>
            <w:r/>
          </w:p>
        </w:tc>
        <w:tc>
          <w:tcPr>
            <w:tcW w:w="1526"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正偏离、无偏离、负偏离</w:t>
            </w:r>
            <w:r/>
          </w:p>
        </w:tc>
      </w:tr>
      <w:tr>
        <w:trPr>
          <w:cantSplit/>
          <w:trHeight w:val="640"/>
        </w:trPr>
        <w:tc>
          <w:tcPr>
            <w:tcW w:w="545" w:type="dxa"/>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1</w:t>
            </w:r>
            <w:r/>
          </w:p>
        </w:tc>
        <w:tc>
          <w:tcPr>
            <w:tcW w:w="3609"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r>
        <w:trPr>
          <w:cantSplit/>
          <w:trHeight w:val="640"/>
        </w:trPr>
        <w:tc>
          <w:tcPr>
            <w:tcW w:w="545" w:type="dxa"/>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2</w:t>
            </w:r>
            <w:r/>
          </w:p>
        </w:tc>
        <w:tc>
          <w:tcPr>
            <w:tcW w:w="3609"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r>
        <w:trPr>
          <w:cantSplit/>
          <w:trHeight w:val="640"/>
        </w:trPr>
        <w:tc>
          <w:tcPr>
            <w:tcW w:w="545"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3609"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附件12-1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b/>
          <w:bCs/>
          <w:color w:val="0000ff"/>
          <w:sz w:val="24"/>
        </w:rPr>
      </w:pPr>
      <w:r>
        <w:rPr>
          <w:rFonts w:hint="eastAsia" w:ascii="仿宋" w:hAnsi="仿宋" w:eastAsia="仿宋" w:cs="仿宋"/>
          <w:sz w:val="24"/>
        </w:rPr>
        <w:t xml:space="preserve">1.</w:t>
      </w:r>
      <w:r>
        <w:rPr>
          <w:rFonts w:hint="eastAsia" w:ascii="仿宋" w:hAnsi="仿宋" w:eastAsia="仿宋" w:cs="仿宋"/>
          <w:color w:val="0000ff"/>
          <w:sz w:val="24"/>
        </w:rPr>
        <w:t xml:space="preserve">供应商必须对技术要求和商务要求中的实质性要求（加斜体下划线内容）做出明确响应，未填写的内容视为完全响应本采购文件实质性要求。</w:t>
      </w:r>
      <w:r/>
    </w:p>
    <w:p>
      <w:pPr>
        <w:spacing w:line="400" w:lineRule="exact"/>
        <w:rPr>
          <w:rFonts w:ascii="仿宋" w:hAnsi="仿宋" w:eastAsia="仿宋" w:cs="仿宋"/>
          <w:color w:val="0000ff"/>
          <w:sz w:val="24"/>
        </w:rPr>
      </w:pPr>
      <w:r>
        <w:rPr>
          <w:rFonts w:hint="eastAsia" w:ascii="仿宋" w:hAnsi="仿宋" w:eastAsia="仿宋" w:cs="仿宋"/>
          <w:sz w:val="24"/>
        </w:rPr>
        <w:t xml:space="preserve">2.</w:t>
      </w:r>
      <w:r>
        <w:rPr>
          <w:rFonts w:hint="eastAsia" w:ascii="仿宋" w:hAnsi="仿宋" w:eastAsia="仿宋" w:cs="仿宋"/>
          <w:color w:val="0000ff"/>
          <w:sz w:val="24"/>
        </w:rPr>
        <w:t xml:space="preserve">如果采购文件要求提供证明材料，供应商必须将证明材料列于该表之下，否则作无效响应处理。</w:t>
      </w:r>
      <w:r/>
    </w:p>
    <w:p>
      <w:pPr>
        <w:spacing w:line="400" w:lineRule="exact"/>
        <w:rPr>
          <w:rFonts w:ascii="仿宋" w:hAnsi="仿宋" w:eastAsia="仿宋" w:cs="仿宋"/>
          <w:sz w:val="24"/>
          <w:szCs w:val="24"/>
        </w:rPr>
      </w:pPr>
      <w:r>
        <w:rPr>
          <w:rFonts w:ascii="仿宋" w:hAnsi="仿宋" w:eastAsia="仿宋" w:cs="仿宋"/>
          <w:sz w:val="24"/>
          <w:szCs w:val="24"/>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bookmarkEnd w:id="188"/>
      <w:bookmarkEnd w:id="189"/>
      <w:bookmarkEnd w:id="201"/>
      <w:r/>
    </w:p>
    <w:p>
      <w:pPr>
        <w:jc w:val="left"/>
        <w:rPr>
          <w:rFonts w:ascii="仿宋" w:hAnsi="仿宋" w:eastAsia="仿宋" w:cs="仿宋"/>
          <w:b/>
          <w:sz w:val="24"/>
          <w:szCs w:val="24"/>
        </w:rPr>
      </w:pPr>
      <w:r>
        <w:rPr>
          <w:rFonts w:hint="eastAsia" w:ascii="仿宋" w:hAnsi="仿宋" w:eastAsia="仿宋" w:cs="仿宋"/>
          <w:b/>
          <w:sz w:val="24"/>
          <w:szCs w:val="24"/>
        </w:rPr>
        <w:br w:type="page" w:clear="all"/>
      </w:r>
      <w:r>
        <w:rPr>
          <w:rFonts w:hint="eastAsia" w:ascii="仿宋" w:hAnsi="仿宋" w:eastAsia="仿宋" w:cs="仿宋"/>
          <w:b/>
          <w:sz w:val="24"/>
          <w:szCs w:val="24"/>
        </w:rPr>
        <w:t xml:space="preserve">附件13</w:t>
      </w:r>
      <w:r/>
    </w:p>
    <w:p>
      <w:pPr>
        <w:jc w:val="center"/>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质疑函范本</w:t>
      </w:r>
      <w:r/>
    </w:p>
    <w:p>
      <w:pPr>
        <w:spacing w:before="295"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一、质疑供应商基本信息</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质疑供应商：</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授权代表：</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地址：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二、质疑项目基本情况</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质疑项目的名称：</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质疑项目的编号：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包号：</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采购人名称：</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采购文件获取日期：</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三、质疑事项具体内容</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质疑事项1：</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事实依据：</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法律依据：</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质疑事项2</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w:t>
      </w:r>
      <w:r/>
    </w:p>
    <w:p>
      <w:pPr>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四、与质疑事项相关的质疑请求</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请求：</w:t>
      </w:r>
      <w:r>
        <w:rPr>
          <w:rFonts w:hint="eastAsia" w:ascii="仿宋" w:hAnsi="仿宋" w:eastAsia="仿宋" w:cs="仿宋"/>
          <w:color w:val="000000"/>
          <w:sz w:val="24"/>
          <w:szCs w:val="24"/>
          <w:u w:val="single"/>
        </w:rPr>
        <w:t xml:space="preserve">                                                                     </w:t>
      </w:r>
      <w:r/>
    </w:p>
    <w:p>
      <w:pPr>
        <w:rPr>
          <w:rFonts w:ascii="仿宋" w:hAnsi="仿宋" w:eastAsia="仿宋" w:cs="仿宋"/>
          <w:color w:val="000000"/>
          <w:sz w:val="24"/>
          <w:szCs w:val="24"/>
        </w:rPr>
      </w:pPr>
      <w:r>
        <w:rPr>
          <w:rFonts w:hint="eastAsia" w:ascii="仿宋" w:hAnsi="仿宋" w:eastAsia="仿宋" w:cs="仿宋"/>
          <w:color w:val="000000"/>
          <w:sz w:val="24"/>
          <w:szCs w:val="24"/>
        </w:rPr>
        <w:t xml:space="preserve">签字(签章)：                   公章：                      </w:t>
      </w:r>
      <w:r/>
    </w:p>
    <w:p>
      <w:pPr>
        <w:rPr>
          <w:rFonts w:ascii="仿宋" w:hAnsi="仿宋" w:eastAsia="仿宋" w:cs="仿宋"/>
          <w:color w:val="000000"/>
          <w:sz w:val="24"/>
          <w:szCs w:val="24"/>
        </w:rPr>
      </w:pPr>
      <w:r>
        <w:rPr>
          <w:rFonts w:hint="eastAsia" w:ascii="仿宋" w:hAnsi="仿宋" w:eastAsia="仿宋" w:cs="仿宋"/>
          <w:color w:val="000000"/>
          <w:sz w:val="24"/>
          <w:szCs w:val="24"/>
        </w:rPr>
        <w:t xml:space="preserve">日期：    </w:t>
      </w:r>
      <w:r/>
    </w:p>
    <w:p>
      <w:pPr>
        <w:spacing w:line="40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质疑函制作说明：</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1.供应商提出质疑时，应提交质疑函和必要的证明材料。</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2.质疑供应商若委托代理人进行质疑的，质疑函应按要求列明“授权代表”的有关内容，并在附件中提交由质疑</w:t>
      </w:r>
      <w:r>
        <w:rPr>
          <w:rFonts w:hint="eastAsia" w:ascii="仿宋" w:hAnsi="仿宋" w:eastAsia="仿宋" w:cs="仿宋"/>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3.质疑供应商若对项目的某一分包进行质疑，质疑函中应列明具体分包号。</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4.质疑函的质疑事项应具体、明确，并有必要的事实依据和法律依据。</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5.质疑函的质疑请求应与质疑事项相关。</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仿宋" w:hAnsi="仿宋" w:eastAsia="仿宋" w:cs="仿宋"/>
          <w:color w:val="000000"/>
          <w:sz w:val="24"/>
          <w:szCs w:val="24"/>
        </w:rPr>
      </w:pPr>
      <w:r>
        <w:rPr>
          <w:rFonts w:ascii="仿宋" w:hAnsi="仿宋" w:eastAsia="仿宋" w:cs="仿宋"/>
          <w:color w:val="000000"/>
          <w:sz w:val="24"/>
          <w:szCs w:val="24"/>
        </w:rPr>
      </w:r>
      <w:r/>
    </w:p>
    <w:p>
      <w:pPr>
        <w:ind w:firstLine="420"/>
        <w:rPr>
          <w:rFonts w:ascii="仿宋" w:hAnsi="仿宋" w:eastAsia="仿宋" w:cs="仿宋"/>
          <w:color w:val="000000"/>
          <w:sz w:val="24"/>
          <w:szCs w:val="24"/>
        </w:rPr>
      </w:pPr>
      <w:r>
        <w:rPr>
          <w:rFonts w:ascii="仿宋" w:hAnsi="仿宋" w:eastAsia="仿宋" w:cs="仿宋"/>
          <w:color w:val="000000"/>
          <w:sz w:val="24"/>
          <w:szCs w:val="24"/>
        </w:rPr>
      </w:r>
      <w:r/>
    </w:p>
    <w:p>
      <w:pPr>
        <w:jc w:val="left"/>
        <w:spacing w:line="700" w:lineRule="exact"/>
        <w:widowControl/>
        <w:rPr>
          <w:rFonts w:ascii="仿宋" w:hAnsi="仿宋" w:eastAsia="仿宋" w:cs="仿宋"/>
          <w:sz w:val="28"/>
          <w:szCs w:val="28"/>
          <w:lang w:bidi="ar"/>
        </w:rPr>
      </w:pPr>
      <w:r>
        <w:rPr>
          <w:rFonts w:hint="eastAsia" w:ascii="仿宋" w:hAnsi="仿宋" w:eastAsia="仿宋" w:cs="仿宋"/>
          <w:color w:val="000000"/>
        </w:rPr>
        <w:br w:type="page" w:clear="all"/>
      </w:r>
      <w:r>
        <w:rPr>
          <w:rFonts w:hint="eastAsia" w:ascii="仿宋" w:hAnsi="仿宋" w:eastAsia="仿宋" w:cs="仿宋"/>
          <w:sz w:val="28"/>
          <w:szCs w:val="28"/>
          <w:lang w:bidi="ar"/>
        </w:rPr>
        <w:t xml:space="preserve">附件14</w:t>
      </w:r>
      <w:r/>
    </w:p>
    <w:p>
      <w:pPr>
        <w:jc w:val="center"/>
        <w:rPr>
          <w:rFonts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p>
    <w:p>
      <w:pPr>
        <w:rPr>
          <w:rFonts w:eastAsia="仿宋_GB2312"/>
          <w:sz w:val="32"/>
        </w:rPr>
      </w:pPr>
      <w:r>
        <w:rPr>
          <w:rFonts w:eastAsia="仿宋_GB2312"/>
          <w:sz w:val="32"/>
        </w:rPr>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各政府采购供应商：</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欢迎贵公司参与南通市政府采购活动！</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spacing w:line="360" w:lineRule="auto"/>
      </w:pPr>
      <w:r/>
      <w:r/>
    </w:p>
    <w:p>
      <w:pPr>
        <w:spacing w:line="360" w:lineRule="auto"/>
        <w:rPr>
          <w:rFonts w:ascii="仿宋" w:hAnsi="仿宋" w:eastAsia="仿宋" w:cs="仿宋"/>
        </w:rPr>
      </w:pPr>
      <w:r>
        <w:rPr>
          <w:rFonts w:ascii="仿宋" w:hAnsi="仿宋" w:eastAsia="仿宋" w:cs="仿宋"/>
        </w:rPr>
      </w:r>
      <w:r/>
    </w:p>
    <w:p>
      <w:pPr>
        <w:contextualSpacing/>
        <w:spacing w:line="360" w:lineRule="auto"/>
        <w:rPr>
          <w:rFonts w:ascii="仿宋" w:hAnsi="仿宋" w:eastAsia="仿宋" w:cs="仿宋"/>
          <w:b/>
          <w:bCs/>
          <w:sz w:val="28"/>
          <w:szCs w:val="28"/>
        </w:rPr>
      </w:pPr>
      <w:r>
        <w:rPr>
          <w:rFonts w:ascii="仿宋" w:hAnsi="仿宋" w:eastAsia="仿宋" w:cs="仿宋"/>
          <w:b/>
          <w:bCs/>
          <w:sz w:val="28"/>
          <w:szCs w:val="28"/>
        </w:rPr>
      </w:r>
      <w:r/>
    </w:p>
    <w:p>
      <w:pPr>
        <w:contextualSpacing/>
        <w:ind w:firstLine="562"/>
        <w:spacing w:line="360" w:lineRule="auto"/>
        <w:rPr>
          <w:rFonts w:ascii="仿宋" w:hAnsi="仿宋" w:eastAsia="仿宋" w:cs="仿宋"/>
          <w:b/>
          <w:sz w:val="28"/>
          <w:szCs w:val="28"/>
        </w:rPr>
      </w:pPr>
      <w:r>
        <w:rPr>
          <w:rFonts w:ascii="仿宋" w:hAnsi="仿宋" w:eastAsia="仿宋" w:cs="仿宋"/>
          <w:b/>
          <w:sz w:val="28"/>
          <w:szCs w:val="28"/>
        </w:rPr>
      </w:r>
      <w:r/>
    </w:p>
    <w:p>
      <w:pPr>
        <w:spacing w:line="360" w:lineRule="auto"/>
        <w:rPr>
          <w:rFonts w:ascii="仿宋" w:hAnsi="仿宋" w:eastAsia="仿宋" w:cs="仿宋"/>
        </w:rPr>
      </w:pPr>
      <w:r>
        <w:rPr>
          <w:rFonts w:ascii="仿宋" w:hAnsi="仿宋" w:eastAsia="仿宋" w:cs="仿宋"/>
        </w:rPr>
      </w:r>
      <w:r/>
    </w:p>
    <w:p>
      <w:pPr>
        <w:spacing w:line="360" w:lineRule="auto"/>
        <w:rPr>
          <w:rFonts w:ascii="仿宋" w:hAnsi="仿宋" w:eastAsia="仿宋" w:cs="仿宋"/>
          <w:color w:val="000000"/>
        </w:rPr>
      </w:pPr>
      <w:r>
        <w:rPr>
          <w:rFonts w:ascii="仿宋" w:hAnsi="仿宋" w:eastAsia="仿宋" w:cs="仿宋"/>
          <w:color w:val="000000"/>
        </w:rPr>
      </w:r>
      <w:r/>
    </w:p>
    <w:sectPr>
      <w:footnotePr/>
      <w:endnotePr/>
      <w:type w:val="nextPage"/>
      <w:pgSz w:w="11906" w:h="16838" w:orient="portrait"/>
      <w:pgMar w:top="1417" w:right="1083" w:bottom="1417" w:left="1366"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新宋体">
    <w:panose1 w:val="02010609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Style w:val="770"/>
      </w:rPr>
      <w:framePr w:wrap="around" w:vAnchor="text" w:hAnchor="margin" w:xAlign="center" w:y="1"/>
    </w:pPr>
    <w:r>
      <w:fldChar w:fldCharType="begin"/>
    </w:r>
    <w:r>
      <w:rPr>
        <w:rStyle w:val="770"/>
      </w:rPr>
      <w:instrText xml:space="preserve">PAGE  </w:instrText>
    </w:r>
    <w:r>
      <w:fldChar w:fldCharType="separate"/>
    </w:r>
    <w:r>
      <w:rPr>
        <w:rStyle w:val="770"/>
      </w:rPr>
      <w:t xml:space="preserve">1</w:t>
    </w:r>
    <w:r>
      <w:fldChar w:fldCharType="end"/>
    </w:r>
    <w:r/>
  </w:p>
  <w:p>
    <w:pPr>
      <w:pStyle w:val="7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14935" cy="147955"/>
              <wp:effectExtent l="0" t="0" r="0" b="0"/>
              <wp:wrapNone/>
              <wp:docPr id="1"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47955"/>
                      </a:xfrm>
                      <a:prstGeom prst="rect">
                        <a:avLst/>
                      </a:prstGeom>
                      <a:noFill/>
                      <a:ln>
                        <a:noFill/>
                      </a:ln>
                      <a:effectLst/>
                    </wps:spPr>
                    <wps:txbx>
                      <w:txbxContent>
                        <w:p>
                          <w:pPr>
                            <w:pStyle w:val="753"/>
                            <w:rPr>
                              <w:rStyle w:val="770"/>
                              <w:rFonts w:ascii="宋体" w:hAnsi="宋体"/>
                            </w:rPr>
                          </w:pPr>
                          <w:r>
                            <w:rPr>
                              <w:rFonts w:ascii="宋体" w:hAnsi="宋体"/>
                            </w:rPr>
                            <w:fldChar w:fldCharType="begin"/>
                          </w:r>
                          <w:r>
                            <w:rPr>
                              <w:rStyle w:val="770"/>
                              <w:rFonts w:ascii="宋体" w:hAnsi="宋体"/>
                            </w:rPr>
                            <w:instrText xml:space="preserve">PAGE  </w:instrText>
                          </w:r>
                          <w:r>
                            <w:rPr>
                              <w:rFonts w:ascii="宋体" w:hAnsi="宋体"/>
                            </w:rPr>
                            <w:fldChar w:fldCharType="separate"/>
                          </w:r>
                          <w:r>
                            <w:rPr>
                              <w:rStyle w:val="770"/>
                              <w:rFonts w:ascii="宋体" w:hAnsi="宋体"/>
                            </w:rPr>
                            <w:t xml:space="preserve">41</w:t>
                          </w:r>
                          <w:r>
                            <w:rPr>
                              <w:rFonts w:ascii="宋体" w:hAnsi="宋体"/>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75648;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text-anchor:top;visibility:visible;" filled="f" stroked="f">
              <v:textbox inset="0,0,0,0">
                <w:txbxContent>
                  <w:p>
                    <w:pPr>
                      <w:pStyle w:val="753"/>
                      <w:rPr>
                        <w:rStyle w:val="770"/>
                        <w:rFonts w:ascii="宋体" w:hAnsi="宋体"/>
                      </w:rPr>
                    </w:pPr>
                    <w:r>
                      <w:rPr>
                        <w:rFonts w:ascii="宋体" w:hAnsi="宋体"/>
                      </w:rPr>
                      <w:fldChar w:fldCharType="begin"/>
                    </w:r>
                    <w:r>
                      <w:rPr>
                        <w:rStyle w:val="770"/>
                        <w:rFonts w:ascii="宋体" w:hAnsi="宋体"/>
                      </w:rPr>
                      <w:instrText xml:space="preserve">PAGE  </w:instrText>
                    </w:r>
                    <w:r>
                      <w:rPr>
                        <w:rFonts w:ascii="宋体" w:hAnsi="宋体"/>
                      </w:rPr>
                      <w:fldChar w:fldCharType="separate"/>
                    </w:r>
                    <w:r>
                      <w:rPr>
                        <w:rStyle w:val="770"/>
                        <w:rFonts w:ascii="宋体" w:hAnsi="宋体"/>
                      </w:rPr>
                      <w:t xml:space="preserve">41</w:t>
                    </w:r>
                    <w:r>
                      <w:rPr>
                        <w:rFonts w:ascii="宋体" w:hAnsi="宋体"/>
                      </w:rP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753"/>
                          </w:pPr>
                          <w:r>
                            <w:fldChar w:fldCharType="begin"/>
                          </w:r>
                          <w:r>
                            <w:instrText xml:space="preserve"> PAGE  \* MERGEFORMAT </w:instrText>
                          </w:r>
                          <w:r>
                            <w:fldChar w:fldCharType="separate"/>
                          </w:r>
                          <w:r>
                            <w:t xml:space="preserve">0</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53"/>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6"/>
  </w:num>
  <w:num w:numId="5">
    <w:abstractNumId w:val="8"/>
  </w:num>
  <w:num w:numId="6">
    <w:abstractNumId w:val="1"/>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3"/>
    <w:link w:val="724"/>
    <w:uiPriority w:val="9"/>
    <w:rPr>
      <w:rFonts w:ascii="Arial" w:hAnsi="Arial" w:eastAsia="Arial" w:cs="Arial"/>
      <w:sz w:val="40"/>
      <w:szCs w:val="40"/>
    </w:rPr>
  </w:style>
  <w:style w:type="character" w:styleId="15">
    <w:name w:val="Heading 2 Char"/>
    <w:basedOn w:val="733"/>
    <w:link w:val="725"/>
    <w:uiPriority w:val="9"/>
    <w:rPr>
      <w:rFonts w:ascii="Arial" w:hAnsi="Arial" w:eastAsia="Arial" w:cs="Arial"/>
      <w:sz w:val="34"/>
    </w:rPr>
  </w:style>
  <w:style w:type="character" w:styleId="17">
    <w:name w:val="Heading 3 Char"/>
    <w:basedOn w:val="733"/>
    <w:link w:val="726"/>
    <w:uiPriority w:val="9"/>
    <w:rPr>
      <w:rFonts w:ascii="Arial" w:hAnsi="Arial" w:eastAsia="Arial" w:cs="Arial"/>
      <w:sz w:val="30"/>
      <w:szCs w:val="30"/>
    </w:rPr>
  </w:style>
  <w:style w:type="character" w:styleId="19">
    <w:name w:val="Heading 4 Char"/>
    <w:basedOn w:val="733"/>
    <w:link w:val="727"/>
    <w:uiPriority w:val="9"/>
    <w:rPr>
      <w:rFonts w:ascii="Arial" w:hAnsi="Arial" w:eastAsia="Arial" w:cs="Arial"/>
      <w:b/>
      <w:bCs/>
      <w:sz w:val="26"/>
      <w:szCs w:val="26"/>
    </w:rPr>
  </w:style>
  <w:style w:type="character" w:styleId="21">
    <w:name w:val="Heading 5 Char"/>
    <w:basedOn w:val="733"/>
    <w:link w:val="728"/>
    <w:uiPriority w:val="9"/>
    <w:rPr>
      <w:rFonts w:ascii="Arial" w:hAnsi="Arial" w:eastAsia="Arial" w:cs="Arial"/>
      <w:b/>
      <w:bCs/>
      <w:sz w:val="24"/>
      <w:szCs w:val="24"/>
    </w:rPr>
  </w:style>
  <w:style w:type="character" w:styleId="23">
    <w:name w:val="Heading 6 Char"/>
    <w:basedOn w:val="733"/>
    <w:link w:val="729"/>
    <w:uiPriority w:val="9"/>
    <w:rPr>
      <w:rFonts w:ascii="Arial" w:hAnsi="Arial" w:eastAsia="Arial" w:cs="Arial"/>
      <w:b/>
      <w:bCs/>
      <w:sz w:val="22"/>
      <w:szCs w:val="22"/>
    </w:rPr>
  </w:style>
  <w:style w:type="character" w:styleId="25">
    <w:name w:val="Heading 7 Char"/>
    <w:basedOn w:val="733"/>
    <w:link w:val="730"/>
    <w:uiPriority w:val="9"/>
    <w:rPr>
      <w:rFonts w:ascii="Arial" w:hAnsi="Arial" w:eastAsia="Arial" w:cs="Arial"/>
      <w:b/>
      <w:bCs/>
      <w:i/>
      <w:iCs/>
      <w:sz w:val="22"/>
      <w:szCs w:val="22"/>
    </w:rPr>
  </w:style>
  <w:style w:type="character" w:styleId="27">
    <w:name w:val="Heading 8 Char"/>
    <w:basedOn w:val="733"/>
    <w:link w:val="731"/>
    <w:uiPriority w:val="9"/>
    <w:rPr>
      <w:rFonts w:ascii="Arial" w:hAnsi="Arial" w:eastAsia="Arial" w:cs="Arial"/>
      <w:i/>
      <w:iCs/>
      <w:sz w:val="22"/>
      <w:szCs w:val="22"/>
    </w:rPr>
  </w:style>
  <w:style w:type="character" w:styleId="29">
    <w:name w:val="Heading 9 Char"/>
    <w:basedOn w:val="733"/>
    <w:link w:val="732"/>
    <w:uiPriority w:val="9"/>
    <w:rPr>
      <w:rFonts w:ascii="Arial" w:hAnsi="Arial" w:eastAsia="Arial" w:cs="Arial"/>
      <w:i/>
      <w:iCs/>
      <w:sz w:val="21"/>
      <w:szCs w:val="21"/>
    </w:rPr>
  </w:style>
  <w:style w:type="paragraph" w:styleId="30">
    <w:name w:val="List Paragraph"/>
    <w:basedOn w:val="723"/>
    <w:uiPriority w:val="34"/>
    <w:qFormat/>
    <w:pPr>
      <w:contextualSpacing/>
      <w:ind w:left="720"/>
    </w:pPr>
  </w:style>
  <w:style w:type="paragraph" w:styleId="33">
    <w:name w:val="Title"/>
    <w:basedOn w:val="723"/>
    <w:next w:val="723"/>
    <w:link w:val="34"/>
    <w:uiPriority w:val="10"/>
    <w:qFormat/>
    <w:pPr>
      <w:contextualSpacing/>
      <w:spacing w:before="300" w:after="200"/>
    </w:pPr>
    <w:rPr>
      <w:sz w:val="48"/>
      <w:szCs w:val="48"/>
    </w:rPr>
  </w:style>
  <w:style w:type="character" w:styleId="34">
    <w:name w:val="Title Char"/>
    <w:basedOn w:val="733"/>
    <w:link w:val="33"/>
    <w:uiPriority w:val="10"/>
    <w:rPr>
      <w:sz w:val="48"/>
      <w:szCs w:val="48"/>
    </w:rPr>
  </w:style>
  <w:style w:type="paragraph" w:styleId="35">
    <w:name w:val="Subtitle"/>
    <w:basedOn w:val="723"/>
    <w:next w:val="723"/>
    <w:link w:val="36"/>
    <w:uiPriority w:val="11"/>
    <w:qFormat/>
    <w:pPr>
      <w:spacing w:before="200" w:after="200"/>
    </w:pPr>
    <w:rPr>
      <w:sz w:val="24"/>
      <w:szCs w:val="24"/>
    </w:rPr>
  </w:style>
  <w:style w:type="character" w:styleId="36">
    <w:name w:val="Subtitle Char"/>
    <w:basedOn w:val="733"/>
    <w:link w:val="35"/>
    <w:uiPriority w:val="11"/>
    <w:rPr>
      <w:sz w:val="24"/>
      <w:szCs w:val="24"/>
    </w:rPr>
  </w:style>
  <w:style w:type="paragraph" w:styleId="37">
    <w:name w:val="Quote"/>
    <w:basedOn w:val="723"/>
    <w:next w:val="723"/>
    <w:link w:val="38"/>
    <w:uiPriority w:val="29"/>
    <w:qFormat/>
    <w:pPr>
      <w:ind w:left="720" w:right="720"/>
    </w:pPr>
    <w:rPr>
      <w:i/>
    </w:rPr>
  </w:style>
  <w:style w:type="character" w:styleId="38">
    <w:name w:val="Quote Char"/>
    <w:link w:val="37"/>
    <w:uiPriority w:val="29"/>
    <w:rPr>
      <w:i/>
    </w:rPr>
  </w:style>
  <w:style w:type="paragraph" w:styleId="39">
    <w:name w:val="Intense Quote"/>
    <w:basedOn w:val="723"/>
    <w:next w:val="72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3"/>
    <w:link w:val="754"/>
    <w:uiPriority w:val="99"/>
  </w:style>
  <w:style w:type="character" w:styleId="44">
    <w:name w:val="Footer Char"/>
    <w:basedOn w:val="733"/>
    <w:link w:val="753"/>
    <w:uiPriority w:val="99"/>
  </w:style>
  <w:style w:type="paragraph" w:styleId="45">
    <w:name w:val="Caption"/>
    <w:basedOn w:val="723"/>
    <w:next w:val="723"/>
    <w:uiPriority w:val="35"/>
    <w:semiHidden/>
    <w:unhideWhenUsed/>
    <w:qFormat/>
    <w:pPr>
      <w:spacing w:line="276" w:lineRule="auto"/>
    </w:pPr>
    <w:rPr>
      <w:b/>
      <w:bCs/>
      <w:color w:val="4f81bd" w:themeColor="accent1"/>
      <w:sz w:val="18"/>
      <w:szCs w:val="18"/>
    </w:rPr>
  </w:style>
  <w:style w:type="character" w:styleId="46">
    <w:name w:val="Caption Char"/>
    <w:basedOn w:val="45"/>
    <w:link w:val="753"/>
    <w:uiPriority w:val="99"/>
  </w:style>
  <w:style w:type="table" w:styleId="48">
    <w:name w:val="Table Grid Light"/>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8"/>
    <w:uiPriority w:val="99"/>
    <w:rPr>
      <w:sz w:val="18"/>
    </w:rPr>
  </w:style>
  <w:style w:type="character" w:styleId="176">
    <w:name w:val="footnote reference"/>
    <w:basedOn w:val="733"/>
    <w:uiPriority w:val="99"/>
    <w:unhideWhenUsed/>
    <w:rPr>
      <w:vertAlign w:val="superscript"/>
    </w:rPr>
  </w:style>
  <w:style w:type="paragraph" w:styleId="177">
    <w:name w:val="endnote text"/>
    <w:basedOn w:val="72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3"/>
    <w:uiPriority w:val="99"/>
    <w:semiHidden/>
    <w:unhideWhenUsed/>
    <w:rPr>
      <w:vertAlign w:val="superscript"/>
    </w:rPr>
  </w:style>
  <w:style w:type="paragraph" w:styleId="189">
    <w:name w:val="TOC Heading"/>
    <w:uiPriority w:val="39"/>
    <w:unhideWhenUsed/>
  </w:style>
  <w:style w:type="paragraph" w:styleId="723" w:default="1">
    <w:name w:val="Normal"/>
    <w:next w:val="735"/>
    <w:uiPriority w:val="0"/>
    <w:qFormat/>
    <w:pPr>
      <w:jc w:val="both"/>
      <w:widowControl w:val="off"/>
    </w:pPr>
    <w:rPr>
      <w:rFonts w:ascii="Times New Roman" w:hAnsi="Times New Roman" w:eastAsia="宋体" w:cs="Times New Roman"/>
      <w:sz w:val="21"/>
      <w:szCs w:val="22"/>
      <w:lang w:val="en-US" w:eastAsia="zh-CN" w:bidi="ar-SA"/>
    </w:rPr>
  </w:style>
  <w:style w:type="paragraph" w:styleId="724">
    <w:name w:val="Heading 1"/>
    <w:basedOn w:val="723"/>
    <w:next w:val="723"/>
    <w:link w:val="776"/>
    <w:uiPriority w:val="0"/>
    <w:qFormat/>
    <w:pPr>
      <w:jc w:val="center"/>
      <w:keepNext/>
      <w:outlineLvl w:val="0"/>
    </w:pPr>
    <w:rPr>
      <w:rFonts w:ascii="楷体_GB2312" w:eastAsia="楷体_GB2312"/>
      <w:sz w:val="28"/>
      <w:szCs w:val="28"/>
    </w:rPr>
  </w:style>
  <w:style w:type="paragraph" w:styleId="725">
    <w:name w:val="Heading 2"/>
    <w:basedOn w:val="723"/>
    <w:next w:val="738"/>
    <w:link w:val="77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6">
    <w:name w:val="Heading 3"/>
    <w:basedOn w:val="723"/>
    <w:next w:val="738"/>
    <w:link w:val="779"/>
    <w:uiPriority w:val="0"/>
    <w:qFormat/>
    <w:pPr>
      <w:keepLines/>
      <w:keepNext/>
      <w:spacing w:before="260" w:after="260" w:line="416" w:lineRule="auto"/>
      <w:outlineLvl w:val="2"/>
    </w:pPr>
    <w:rPr>
      <w:b/>
      <w:bCs/>
      <w:sz w:val="32"/>
      <w:szCs w:val="32"/>
    </w:rPr>
  </w:style>
  <w:style w:type="paragraph" w:styleId="727">
    <w:name w:val="Heading 4"/>
    <w:basedOn w:val="723"/>
    <w:next w:val="723"/>
    <w:link w:val="780"/>
    <w:uiPriority w:val="0"/>
    <w:qFormat/>
    <w:pPr>
      <w:keepLines/>
      <w:keepNext/>
      <w:spacing w:before="280" w:after="290" w:line="376" w:lineRule="auto"/>
      <w:outlineLvl w:val="3"/>
    </w:pPr>
    <w:rPr>
      <w:rFonts w:ascii="Arial" w:hAnsi="Arial" w:eastAsia="黑体" w:cs="Arial"/>
      <w:b/>
      <w:bCs/>
      <w:sz w:val="28"/>
      <w:szCs w:val="28"/>
    </w:rPr>
  </w:style>
  <w:style w:type="paragraph" w:styleId="728">
    <w:name w:val="Heading 5"/>
    <w:basedOn w:val="723"/>
    <w:next w:val="738"/>
    <w:link w:val="781"/>
    <w:uiPriority w:val="0"/>
    <w:qFormat/>
    <w:pPr>
      <w:keepNext/>
      <w:outlineLvl w:val="4"/>
    </w:pPr>
    <w:rPr>
      <w:rFonts w:ascii="宋体"/>
      <w:color w:val="000000"/>
      <w:sz w:val="28"/>
      <w:szCs w:val="28"/>
    </w:rPr>
  </w:style>
  <w:style w:type="paragraph" w:styleId="729">
    <w:name w:val="Heading 6"/>
    <w:basedOn w:val="723"/>
    <w:next w:val="723"/>
    <w:link w:val="782"/>
    <w:uiPriority w:val="0"/>
    <w:qFormat/>
    <w:pPr>
      <w:keepLines/>
      <w:keepNext/>
      <w:spacing w:before="240" w:after="64" w:line="320" w:lineRule="auto"/>
      <w:outlineLvl w:val="5"/>
    </w:pPr>
    <w:rPr>
      <w:rFonts w:ascii="Arial" w:hAnsi="Arial" w:eastAsia="黑体"/>
      <w:b/>
      <w:bCs/>
      <w:sz w:val="24"/>
      <w:szCs w:val="24"/>
    </w:rPr>
  </w:style>
  <w:style w:type="paragraph" w:styleId="730">
    <w:name w:val="Heading 7"/>
    <w:basedOn w:val="723"/>
    <w:next w:val="723"/>
    <w:link w:val="783"/>
    <w:uiPriority w:val="0"/>
    <w:qFormat/>
    <w:pPr>
      <w:keepLines/>
      <w:keepNext/>
      <w:spacing w:before="240" w:after="64" w:line="320" w:lineRule="auto"/>
      <w:outlineLvl w:val="6"/>
    </w:pPr>
    <w:rPr>
      <w:b/>
      <w:bCs/>
      <w:sz w:val="24"/>
      <w:szCs w:val="24"/>
    </w:rPr>
  </w:style>
  <w:style w:type="paragraph" w:styleId="731">
    <w:name w:val="Heading 8"/>
    <w:basedOn w:val="723"/>
    <w:next w:val="723"/>
    <w:link w:val="784"/>
    <w:uiPriority w:val="0"/>
    <w:qFormat/>
    <w:pPr>
      <w:keepLines/>
      <w:keepNext/>
      <w:spacing w:before="240" w:after="64" w:line="320" w:lineRule="auto"/>
      <w:outlineLvl w:val="7"/>
    </w:pPr>
    <w:rPr>
      <w:rFonts w:ascii="Arial" w:hAnsi="Arial" w:eastAsia="黑体"/>
      <w:sz w:val="24"/>
      <w:szCs w:val="24"/>
    </w:rPr>
  </w:style>
  <w:style w:type="paragraph" w:styleId="732">
    <w:name w:val="Heading 9"/>
    <w:basedOn w:val="723"/>
    <w:next w:val="723"/>
    <w:link w:val="785"/>
    <w:uiPriority w:val="0"/>
    <w:qFormat/>
    <w:pPr>
      <w:keepLines/>
      <w:keepNext/>
      <w:spacing w:before="240" w:after="64" w:line="320" w:lineRule="auto"/>
      <w:outlineLvl w:val="8"/>
    </w:pPr>
    <w:rPr>
      <w:rFonts w:ascii="Arial" w:hAnsi="Arial" w:eastAsia="黑体"/>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customStyle="1">
    <w:name w:val="正文文本首行缩进 2"/>
    <w:basedOn w:val="736"/>
    <w:next w:val="723"/>
    <w:link w:val="775"/>
    <w:uiPriority w:val="0"/>
    <w:qFormat/>
    <w:pPr>
      <w:ind w:left="0" w:firstLine="420"/>
      <w:spacing w:after="0" w:line="360" w:lineRule="auto"/>
    </w:pPr>
    <w:rPr>
      <w:rFonts w:ascii="宋体" w:hAnsi="宋体"/>
      <w:szCs w:val="20"/>
    </w:rPr>
  </w:style>
  <w:style w:type="paragraph" w:styleId="736">
    <w:name w:val="Body Text Indent"/>
    <w:basedOn w:val="723"/>
    <w:next w:val="737"/>
    <w:link w:val="774"/>
    <w:uiPriority w:val="0"/>
    <w:unhideWhenUsed/>
    <w:qFormat/>
    <w:pPr>
      <w:ind w:left="420"/>
      <w:spacing w:after="120"/>
    </w:pPr>
  </w:style>
  <w:style w:type="paragraph" w:styleId="737">
    <w:name w:val="envelope return"/>
    <w:basedOn w:val="723"/>
    <w:uiPriority w:val="99"/>
    <w:unhideWhenUsed/>
    <w:qFormat/>
    <w:rPr>
      <w:rFonts w:ascii="Arial" w:hAnsi="Arial"/>
    </w:rPr>
  </w:style>
  <w:style w:type="paragraph" w:styleId="738">
    <w:name w:val="Normal Indent"/>
    <w:basedOn w:val="723"/>
    <w:link w:val="778"/>
    <w:uiPriority w:val="0"/>
    <w:qFormat/>
    <w:pPr>
      <w:ind w:firstLine="420"/>
    </w:pPr>
    <w:rPr>
      <w:szCs w:val="21"/>
    </w:rPr>
  </w:style>
  <w:style w:type="paragraph" w:styleId="739">
    <w:name w:val="List 3"/>
    <w:basedOn w:val="723"/>
    <w:uiPriority w:val="0"/>
    <w:qFormat/>
    <w:pPr>
      <w:ind w:left="100" w:hanging="200"/>
    </w:pPr>
    <w:rPr>
      <w:szCs w:val="21"/>
    </w:rPr>
  </w:style>
  <w:style w:type="paragraph" w:styleId="740">
    <w:name w:val="toc 7"/>
    <w:basedOn w:val="723"/>
    <w:next w:val="723"/>
    <w:uiPriority w:val="0"/>
    <w:semiHidden/>
    <w:qFormat/>
    <w:pPr>
      <w:ind w:left="1260"/>
      <w:jc w:val="left"/>
    </w:pPr>
    <w:rPr>
      <w:szCs w:val="21"/>
    </w:rPr>
  </w:style>
  <w:style w:type="paragraph" w:styleId="741">
    <w:name w:val="Document Map"/>
    <w:basedOn w:val="723"/>
    <w:link w:val="786"/>
    <w:uiPriority w:val="0"/>
    <w:semiHidden/>
    <w:qFormat/>
    <w:pPr>
      <w:shd w:val="clear" w:color="auto" w:fill="000080"/>
    </w:pPr>
    <w:rPr>
      <w:szCs w:val="21"/>
    </w:rPr>
  </w:style>
  <w:style w:type="paragraph" w:styleId="742">
    <w:name w:val="annotation text"/>
    <w:basedOn w:val="723"/>
    <w:link w:val="787"/>
    <w:uiPriority w:val="0"/>
    <w:unhideWhenUsed/>
    <w:qFormat/>
    <w:pPr>
      <w:jc w:val="left"/>
    </w:pPr>
  </w:style>
  <w:style w:type="paragraph" w:styleId="743">
    <w:name w:val="Body Text 3"/>
    <w:basedOn w:val="723"/>
    <w:link w:val="788"/>
    <w:uiPriority w:val="0"/>
    <w:qFormat/>
    <w:rPr>
      <w:rFonts w:ascii="仿宋_GB2312" w:hAnsi="Arial" w:eastAsia="仿宋_GB2312"/>
      <w:sz w:val="32"/>
      <w:szCs w:val="32"/>
    </w:rPr>
  </w:style>
  <w:style w:type="paragraph" w:styleId="744">
    <w:name w:val="Body Text"/>
    <w:basedOn w:val="723"/>
    <w:next w:val="723"/>
    <w:link w:val="789"/>
    <w:uiPriority w:val="0"/>
    <w:qFormat/>
    <w:rPr>
      <w:rFonts w:ascii="楷体_GB2312" w:hAnsi="Arial" w:eastAsia="楷体_GB2312"/>
      <w:sz w:val="28"/>
      <w:szCs w:val="28"/>
    </w:rPr>
  </w:style>
  <w:style w:type="paragraph" w:styleId="745">
    <w:name w:val="List 2"/>
    <w:basedOn w:val="723"/>
    <w:uiPriority w:val="0"/>
    <w:qFormat/>
    <w:pPr>
      <w:ind w:left="100" w:hanging="200"/>
    </w:pPr>
    <w:rPr>
      <w:szCs w:val="21"/>
    </w:rPr>
  </w:style>
  <w:style w:type="paragraph" w:styleId="746">
    <w:name w:val="toc 5"/>
    <w:basedOn w:val="723"/>
    <w:next w:val="723"/>
    <w:uiPriority w:val="0"/>
    <w:semiHidden/>
    <w:qFormat/>
    <w:pPr>
      <w:ind w:left="840"/>
      <w:jc w:val="left"/>
    </w:pPr>
    <w:rPr>
      <w:szCs w:val="21"/>
    </w:rPr>
  </w:style>
  <w:style w:type="paragraph" w:styleId="747">
    <w:name w:val="toc 3"/>
    <w:basedOn w:val="723"/>
    <w:next w:val="723"/>
    <w:uiPriority w:val="0"/>
    <w:semiHidden/>
    <w:qFormat/>
    <w:pPr>
      <w:ind w:left="420"/>
      <w:jc w:val="left"/>
    </w:pPr>
    <w:rPr>
      <w:i/>
      <w:iCs/>
      <w:szCs w:val="24"/>
    </w:rPr>
  </w:style>
  <w:style w:type="paragraph" w:styleId="748">
    <w:name w:val="Plain Text"/>
    <w:basedOn w:val="723"/>
    <w:link w:val="790"/>
    <w:uiPriority w:val="0"/>
    <w:qFormat/>
    <w:rPr>
      <w:rFonts w:ascii="宋体" w:hAnsi="Courier New" w:cs="Courier New"/>
      <w:szCs w:val="21"/>
    </w:rPr>
  </w:style>
  <w:style w:type="paragraph" w:styleId="749">
    <w:name w:val="toc 8"/>
    <w:basedOn w:val="723"/>
    <w:next w:val="723"/>
    <w:uiPriority w:val="0"/>
    <w:semiHidden/>
    <w:qFormat/>
    <w:pPr>
      <w:ind w:left="1470"/>
      <w:jc w:val="left"/>
    </w:pPr>
    <w:rPr>
      <w:szCs w:val="21"/>
    </w:rPr>
  </w:style>
  <w:style w:type="paragraph" w:styleId="750">
    <w:name w:val="Date"/>
    <w:basedOn w:val="723"/>
    <w:next w:val="723"/>
    <w:link w:val="791"/>
    <w:uiPriority w:val="0"/>
    <w:qFormat/>
    <w:rPr>
      <w:sz w:val="24"/>
      <w:szCs w:val="24"/>
    </w:rPr>
  </w:style>
  <w:style w:type="paragraph" w:styleId="751">
    <w:name w:val="Body Text Indent 2"/>
    <w:basedOn w:val="723"/>
    <w:link w:val="792"/>
    <w:uiPriority w:val="0"/>
    <w:qFormat/>
    <w:pPr>
      <w:ind w:left="630" w:firstLine="645"/>
    </w:pPr>
    <w:rPr>
      <w:rFonts w:ascii="Arial" w:hAnsi="Arial" w:eastAsia="仿宋_GB2312" w:cs="Arial"/>
      <w:sz w:val="32"/>
      <w:szCs w:val="32"/>
    </w:rPr>
  </w:style>
  <w:style w:type="paragraph" w:styleId="752">
    <w:name w:val="Balloon Text"/>
    <w:basedOn w:val="723"/>
    <w:link w:val="793"/>
    <w:uiPriority w:val="0"/>
    <w:semiHidden/>
    <w:qFormat/>
    <w:rPr>
      <w:sz w:val="18"/>
      <w:szCs w:val="18"/>
    </w:rPr>
  </w:style>
  <w:style w:type="paragraph" w:styleId="753">
    <w:name w:val="Footer"/>
    <w:basedOn w:val="723"/>
    <w:link w:val="794"/>
    <w:uiPriority w:val="0"/>
    <w:qFormat/>
    <w:pPr>
      <w:jc w:val="left"/>
      <w:tabs>
        <w:tab w:val="center" w:pos="4153" w:leader="none"/>
        <w:tab w:val="right" w:pos="8306" w:leader="none"/>
      </w:tabs>
    </w:pPr>
    <w:rPr>
      <w:sz w:val="18"/>
      <w:szCs w:val="18"/>
    </w:rPr>
  </w:style>
  <w:style w:type="paragraph" w:styleId="754">
    <w:name w:val="Header"/>
    <w:basedOn w:val="723"/>
    <w:link w:val="795"/>
    <w:uiPriority w:val="0"/>
    <w:qFormat/>
    <w:pPr>
      <w:jc w:val="center"/>
      <w:tabs>
        <w:tab w:val="center" w:pos="4153" w:leader="none"/>
        <w:tab w:val="right" w:pos="8306" w:leader="none"/>
      </w:tabs>
      <w:pBdr>
        <w:bottom w:val="single" w:color="auto" w:sz="6" w:space="1"/>
      </w:pBdr>
    </w:pPr>
    <w:rPr>
      <w:sz w:val="18"/>
      <w:szCs w:val="18"/>
    </w:rPr>
  </w:style>
  <w:style w:type="paragraph" w:styleId="755">
    <w:name w:val="toc 1"/>
    <w:basedOn w:val="723"/>
    <w:next w:val="723"/>
    <w:uiPriority w:val="0"/>
    <w:semiHidden/>
    <w:qFormat/>
    <w:pPr>
      <w:jc w:val="left"/>
      <w:spacing w:before="120" w:after="120" w:line="400" w:lineRule="exact"/>
      <w:tabs>
        <w:tab w:val="right" w:pos="8720" w:leader="dot"/>
      </w:tabs>
    </w:pPr>
    <w:rPr>
      <w:rFonts w:ascii="宋体" w:hAnsi="宋体"/>
      <w:caps/>
      <w:sz w:val="24"/>
      <w:szCs w:val="24"/>
    </w:rPr>
  </w:style>
  <w:style w:type="paragraph" w:styleId="756">
    <w:name w:val="toc 4"/>
    <w:basedOn w:val="723"/>
    <w:next w:val="723"/>
    <w:uiPriority w:val="0"/>
    <w:semiHidden/>
    <w:qFormat/>
    <w:pPr>
      <w:ind w:left="630"/>
      <w:jc w:val="left"/>
    </w:pPr>
    <w:rPr>
      <w:szCs w:val="21"/>
    </w:rPr>
  </w:style>
  <w:style w:type="paragraph" w:styleId="757">
    <w:name w:val="List"/>
    <w:basedOn w:val="723"/>
    <w:uiPriority w:val="0"/>
    <w:qFormat/>
    <w:pPr>
      <w:ind w:left="200" w:hanging="200"/>
    </w:pPr>
    <w:rPr>
      <w:szCs w:val="21"/>
    </w:rPr>
  </w:style>
  <w:style w:type="paragraph" w:styleId="758">
    <w:name w:val="footnote text"/>
    <w:basedOn w:val="723"/>
    <w:uiPriority w:val="99"/>
    <w:unhideWhenUsed/>
    <w:qFormat/>
    <w:pPr>
      <w:jc w:val="left"/>
    </w:pPr>
    <w:rPr>
      <w:sz w:val="18"/>
      <w:szCs w:val="18"/>
    </w:rPr>
  </w:style>
  <w:style w:type="paragraph" w:styleId="759">
    <w:name w:val="toc 6"/>
    <w:basedOn w:val="723"/>
    <w:next w:val="723"/>
    <w:uiPriority w:val="0"/>
    <w:semiHidden/>
    <w:qFormat/>
    <w:pPr>
      <w:ind w:left="1050"/>
      <w:jc w:val="left"/>
    </w:pPr>
    <w:rPr>
      <w:szCs w:val="21"/>
    </w:rPr>
  </w:style>
  <w:style w:type="paragraph" w:styleId="760">
    <w:name w:val="Body Text Indent 3"/>
    <w:basedOn w:val="723"/>
    <w:link w:val="796"/>
    <w:uiPriority w:val="0"/>
    <w:qFormat/>
    <w:pPr>
      <w:ind w:left="645" w:firstLine="645"/>
    </w:pPr>
    <w:rPr>
      <w:rFonts w:ascii="Arial" w:hAnsi="Arial" w:eastAsia="仿宋_GB2312" w:cs="Arial"/>
      <w:color w:val="ffff00"/>
      <w:sz w:val="32"/>
      <w:szCs w:val="32"/>
    </w:rPr>
  </w:style>
  <w:style w:type="paragraph" w:styleId="761">
    <w:name w:val="table of figures"/>
    <w:basedOn w:val="723"/>
    <w:next w:val="723"/>
    <w:uiPriority w:val="0"/>
    <w:semiHidden/>
    <w:qFormat/>
    <w:pPr>
      <w:ind w:left="840" w:hanging="420"/>
    </w:pPr>
    <w:rPr>
      <w:szCs w:val="21"/>
    </w:rPr>
  </w:style>
  <w:style w:type="paragraph" w:styleId="762">
    <w:name w:val="toc 2"/>
    <w:basedOn w:val="723"/>
    <w:next w:val="723"/>
    <w:uiPriority w:val="0"/>
    <w:semiHidden/>
    <w:qFormat/>
    <w:pPr>
      <w:ind w:left="210"/>
      <w:jc w:val="left"/>
    </w:pPr>
    <w:rPr>
      <w:smallCaps/>
      <w:szCs w:val="24"/>
    </w:rPr>
  </w:style>
  <w:style w:type="paragraph" w:styleId="763">
    <w:name w:val="toc 9"/>
    <w:basedOn w:val="723"/>
    <w:next w:val="723"/>
    <w:uiPriority w:val="0"/>
    <w:semiHidden/>
    <w:qFormat/>
    <w:pPr>
      <w:ind w:left="1680"/>
      <w:jc w:val="left"/>
    </w:pPr>
    <w:rPr>
      <w:szCs w:val="21"/>
    </w:rPr>
  </w:style>
  <w:style w:type="paragraph" w:styleId="764">
    <w:name w:val="Body Text 2"/>
    <w:basedOn w:val="723"/>
    <w:link w:val="797"/>
    <w:uiPriority w:val="0"/>
    <w:qFormat/>
    <w:pPr>
      <w:jc w:val="center"/>
      <w:widowControl/>
    </w:pPr>
    <w:rPr>
      <w:rFonts w:ascii="楷体_GB2312" w:eastAsia="楷体_GB2312"/>
      <w:sz w:val="28"/>
      <w:szCs w:val="28"/>
    </w:rPr>
  </w:style>
  <w:style w:type="paragraph" w:styleId="765">
    <w:name w:val="Normal (Web)"/>
    <w:basedOn w:val="723"/>
    <w:uiPriority w:val="99"/>
    <w:qFormat/>
    <w:pPr>
      <w:jc w:val="left"/>
      <w:spacing w:before="100" w:beforeAutospacing="1" w:after="100" w:afterAutospacing="1"/>
      <w:widowControl/>
    </w:pPr>
    <w:rPr>
      <w:rFonts w:ascii="宋体" w:hAnsi="宋体" w:cs="宋体"/>
      <w:sz w:val="24"/>
      <w:szCs w:val="24"/>
    </w:rPr>
  </w:style>
  <w:style w:type="paragraph" w:styleId="766">
    <w:name w:val="index 1"/>
    <w:basedOn w:val="723"/>
    <w:next w:val="723"/>
    <w:uiPriority w:val="0"/>
    <w:semiHidden/>
    <w:qFormat/>
    <w:pPr>
      <w:spacing w:line="240" w:lineRule="atLeast"/>
    </w:pPr>
    <w:rPr>
      <w:b/>
      <w:bCs/>
      <w:szCs w:val="21"/>
    </w:rPr>
  </w:style>
  <w:style w:type="paragraph" w:styleId="767">
    <w:name w:val="annotation subject"/>
    <w:basedOn w:val="742"/>
    <w:next w:val="742"/>
    <w:link w:val="798"/>
    <w:uiPriority w:val="0"/>
    <w:semiHidden/>
    <w:qFormat/>
    <w:rPr>
      <w:b/>
      <w:bCs/>
      <w:szCs w:val="21"/>
    </w:rPr>
  </w:style>
  <w:style w:type="table" w:styleId="768">
    <w:name w:val="Table Grid"/>
    <w:basedOn w:val="73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Strong"/>
    <w:uiPriority w:val="0"/>
    <w:qFormat/>
    <w:rPr>
      <w:b/>
      <w:bCs/>
    </w:rPr>
  </w:style>
  <w:style w:type="character" w:styleId="770">
    <w:name w:val="page number"/>
    <w:uiPriority w:val="0"/>
    <w:qFormat/>
  </w:style>
  <w:style w:type="character" w:styleId="771">
    <w:name w:val="FollowedHyperlink"/>
    <w:uiPriority w:val="0"/>
    <w:qFormat/>
    <w:rPr>
      <w:color w:val="800080"/>
      <w:u w:val="single"/>
    </w:rPr>
  </w:style>
  <w:style w:type="character" w:styleId="772">
    <w:name w:val="Hyperlink"/>
    <w:uiPriority w:val="0"/>
    <w:qFormat/>
    <w:rPr>
      <w:color w:val="0000ff"/>
      <w:u w:val="single"/>
    </w:rPr>
  </w:style>
  <w:style w:type="character" w:styleId="773">
    <w:name w:val="annotation reference"/>
    <w:uiPriority w:val="0"/>
    <w:semiHidden/>
    <w:qFormat/>
    <w:rPr>
      <w:sz w:val="21"/>
      <w:szCs w:val="21"/>
    </w:rPr>
  </w:style>
  <w:style w:type="character" w:styleId="774" w:customStyle="1">
    <w:name w:val="正文文本缩进 Char"/>
    <w:link w:val="736"/>
    <w:uiPriority w:val="99"/>
    <w:semiHidden/>
    <w:qFormat/>
  </w:style>
  <w:style w:type="character" w:styleId="775" w:customStyle="1">
    <w:name w:val="正文文本首行缩进 2 字符"/>
    <w:link w:val="735"/>
    <w:uiPriority w:val="0"/>
    <w:qFormat/>
    <w:rPr>
      <w:rFonts w:ascii="宋体" w:hAnsi="宋体" w:eastAsia="宋体" w:cs="Times New Roman"/>
      <w:szCs w:val="20"/>
    </w:rPr>
  </w:style>
  <w:style w:type="character" w:styleId="776" w:customStyle="1">
    <w:name w:val="标题 1 Char"/>
    <w:link w:val="724"/>
    <w:uiPriority w:val="0"/>
    <w:qFormat/>
    <w:rPr>
      <w:rFonts w:ascii="楷体_GB2312" w:hAnsi="Times New Roman" w:eastAsia="楷体_GB2312" w:cs="Times New Roman"/>
      <w:sz w:val="28"/>
      <w:szCs w:val="28"/>
    </w:rPr>
  </w:style>
  <w:style w:type="character" w:styleId="777" w:customStyle="1">
    <w:name w:val="标题 2 Char"/>
    <w:link w:val="725"/>
    <w:uiPriority w:val="0"/>
    <w:qFormat/>
    <w:rPr>
      <w:rFonts w:ascii="Arial" w:hAnsi="Arial" w:eastAsia="幼圆" w:cs="Arial"/>
      <w:b/>
      <w:bCs/>
      <w:sz w:val="44"/>
      <w:szCs w:val="44"/>
    </w:rPr>
  </w:style>
  <w:style w:type="character" w:styleId="778" w:customStyle="1">
    <w:name w:val="正文缩进 Char"/>
    <w:link w:val="738"/>
    <w:uiPriority w:val="0"/>
    <w:qFormat/>
    <w:rPr>
      <w:szCs w:val="21"/>
    </w:rPr>
  </w:style>
  <w:style w:type="character" w:styleId="779" w:customStyle="1">
    <w:name w:val="标题 3 Char"/>
    <w:link w:val="726"/>
    <w:uiPriority w:val="0"/>
    <w:qFormat/>
    <w:rPr>
      <w:rFonts w:ascii="Times New Roman" w:hAnsi="Times New Roman" w:eastAsia="宋体" w:cs="Times New Roman"/>
      <w:b/>
      <w:bCs/>
      <w:sz w:val="32"/>
      <w:szCs w:val="32"/>
    </w:rPr>
  </w:style>
  <w:style w:type="character" w:styleId="780" w:customStyle="1">
    <w:name w:val="标题 4 Char"/>
    <w:link w:val="727"/>
    <w:uiPriority w:val="0"/>
    <w:qFormat/>
    <w:rPr>
      <w:rFonts w:ascii="Arial" w:hAnsi="Arial" w:eastAsia="黑体" w:cs="Arial"/>
      <w:b/>
      <w:bCs/>
      <w:sz w:val="28"/>
      <w:szCs w:val="28"/>
    </w:rPr>
  </w:style>
  <w:style w:type="character" w:styleId="781" w:customStyle="1">
    <w:name w:val="标题 5 Char"/>
    <w:link w:val="728"/>
    <w:uiPriority w:val="0"/>
    <w:qFormat/>
    <w:rPr>
      <w:rFonts w:ascii="宋体" w:hAnsi="Times New Roman" w:eastAsia="宋体" w:cs="Times New Roman"/>
      <w:color w:val="000000"/>
      <w:sz w:val="28"/>
      <w:szCs w:val="28"/>
    </w:rPr>
  </w:style>
  <w:style w:type="character" w:styleId="782" w:customStyle="1">
    <w:name w:val="标题 6 Char"/>
    <w:link w:val="729"/>
    <w:uiPriority w:val="0"/>
    <w:qFormat/>
    <w:rPr>
      <w:rFonts w:ascii="Arial" w:hAnsi="Arial" w:eastAsia="黑体"/>
      <w:b/>
      <w:bCs/>
      <w:sz w:val="24"/>
      <w:szCs w:val="24"/>
    </w:rPr>
  </w:style>
  <w:style w:type="character" w:styleId="783" w:customStyle="1">
    <w:name w:val="标题 7 Char"/>
    <w:link w:val="730"/>
    <w:uiPriority w:val="0"/>
    <w:qFormat/>
    <w:rPr>
      <w:b/>
      <w:bCs/>
      <w:sz w:val="24"/>
      <w:szCs w:val="24"/>
    </w:rPr>
  </w:style>
  <w:style w:type="character" w:styleId="784" w:customStyle="1">
    <w:name w:val="标题 8 Char"/>
    <w:link w:val="731"/>
    <w:uiPriority w:val="0"/>
    <w:qFormat/>
    <w:rPr>
      <w:rFonts w:ascii="Arial" w:hAnsi="Arial" w:eastAsia="黑体"/>
      <w:sz w:val="24"/>
      <w:szCs w:val="24"/>
    </w:rPr>
  </w:style>
  <w:style w:type="character" w:styleId="785" w:customStyle="1">
    <w:name w:val="标题 9 Char"/>
    <w:link w:val="732"/>
    <w:uiPriority w:val="0"/>
    <w:qFormat/>
    <w:rPr>
      <w:rFonts w:ascii="Arial" w:hAnsi="Arial" w:eastAsia="黑体"/>
      <w:sz w:val="21"/>
      <w:szCs w:val="21"/>
    </w:rPr>
  </w:style>
  <w:style w:type="character" w:styleId="786" w:customStyle="1">
    <w:name w:val="文档结构图 Char"/>
    <w:link w:val="741"/>
    <w:uiPriority w:val="0"/>
    <w:semiHidden/>
    <w:qFormat/>
    <w:rPr>
      <w:rFonts w:ascii="Times New Roman" w:hAnsi="Times New Roman" w:eastAsia="宋体" w:cs="Times New Roman"/>
      <w:szCs w:val="21"/>
      <w:shd w:val="clear" w:color="auto" w:fill="000080"/>
    </w:rPr>
  </w:style>
  <w:style w:type="character" w:styleId="787" w:customStyle="1">
    <w:name w:val="批注文字 Char"/>
    <w:link w:val="742"/>
    <w:uiPriority w:val="99"/>
    <w:semiHidden/>
    <w:qFormat/>
  </w:style>
  <w:style w:type="character" w:styleId="788" w:customStyle="1">
    <w:name w:val="正文文本 3 Char"/>
    <w:link w:val="743"/>
    <w:uiPriority w:val="0"/>
    <w:qFormat/>
    <w:rPr>
      <w:rFonts w:ascii="仿宋_GB2312" w:hAnsi="Arial" w:eastAsia="仿宋_GB2312" w:cs="Times New Roman"/>
      <w:sz w:val="32"/>
      <w:szCs w:val="32"/>
    </w:rPr>
  </w:style>
  <w:style w:type="character" w:styleId="789" w:customStyle="1">
    <w:name w:val="正文文本 Char"/>
    <w:link w:val="744"/>
    <w:uiPriority w:val="0"/>
    <w:qFormat/>
    <w:rPr>
      <w:rFonts w:ascii="楷体_GB2312" w:hAnsi="Arial" w:eastAsia="楷体_GB2312" w:cs="Times New Roman"/>
      <w:sz w:val="28"/>
      <w:szCs w:val="28"/>
    </w:rPr>
  </w:style>
  <w:style w:type="character" w:styleId="790" w:customStyle="1">
    <w:name w:val="纯文本 Char"/>
    <w:link w:val="748"/>
    <w:uiPriority w:val="0"/>
    <w:qFormat/>
    <w:rPr>
      <w:rFonts w:ascii="宋体" w:hAnsi="Courier New" w:eastAsia="宋体" w:cs="Courier New"/>
      <w:szCs w:val="21"/>
    </w:rPr>
  </w:style>
  <w:style w:type="character" w:styleId="791" w:customStyle="1">
    <w:name w:val="日期 Char"/>
    <w:link w:val="750"/>
    <w:uiPriority w:val="0"/>
    <w:qFormat/>
    <w:rPr>
      <w:rFonts w:ascii="Times New Roman" w:hAnsi="Times New Roman" w:eastAsia="宋体" w:cs="Times New Roman"/>
      <w:sz w:val="24"/>
      <w:szCs w:val="24"/>
    </w:rPr>
  </w:style>
  <w:style w:type="character" w:styleId="792" w:customStyle="1">
    <w:name w:val="正文文本缩进 2 Char"/>
    <w:link w:val="751"/>
    <w:uiPriority w:val="0"/>
    <w:qFormat/>
    <w:rPr>
      <w:rFonts w:ascii="Arial" w:hAnsi="Arial" w:eastAsia="仿宋_GB2312" w:cs="Arial"/>
      <w:sz w:val="32"/>
      <w:szCs w:val="32"/>
    </w:rPr>
  </w:style>
  <w:style w:type="character" w:styleId="793" w:customStyle="1">
    <w:name w:val="批注框文本 Char"/>
    <w:link w:val="752"/>
    <w:uiPriority w:val="0"/>
    <w:semiHidden/>
    <w:qFormat/>
    <w:rPr>
      <w:rFonts w:ascii="Times New Roman" w:hAnsi="Times New Roman" w:eastAsia="宋体" w:cs="Times New Roman"/>
      <w:sz w:val="18"/>
      <w:szCs w:val="18"/>
    </w:rPr>
  </w:style>
  <w:style w:type="character" w:styleId="794" w:customStyle="1">
    <w:name w:val="页脚 Char"/>
    <w:link w:val="753"/>
    <w:uiPriority w:val="0"/>
    <w:qFormat/>
    <w:rPr>
      <w:rFonts w:ascii="Times New Roman" w:hAnsi="Times New Roman" w:eastAsia="宋体" w:cs="Times New Roman"/>
      <w:sz w:val="18"/>
      <w:szCs w:val="18"/>
    </w:rPr>
  </w:style>
  <w:style w:type="character" w:styleId="795" w:customStyle="1">
    <w:name w:val="页眉 Char"/>
    <w:link w:val="754"/>
    <w:uiPriority w:val="0"/>
    <w:qFormat/>
    <w:rPr>
      <w:rFonts w:ascii="Times New Roman" w:hAnsi="Times New Roman" w:eastAsia="宋体" w:cs="Times New Roman"/>
      <w:sz w:val="18"/>
      <w:szCs w:val="18"/>
    </w:rPr>
  </w:style>
  <w:style w:type="character" w:styleId="796" w:customStyle="1">
    <w:name w:val="正文文本缩进 3 Char"/>
    <w:link w:val="760"/>
    <w:uiPriority w:val="0"/>
    <w:qFormat/>
    <w:rPr>
      <w:rFonts w:ascii="Arial" w:hAnsi="Arial" w:eastAsia="仿宋_GB2312" w:cs="Arial"/>
      <w:color w:val="ffff00"/>
      <w:sz w:val="32"/>
      <w:szCs w:val="32"/>
    </w:rPr>
  </w:style>
  <w:style w:type="character" w:styleId="797" w:customStyle="1">
    <w:name w:val="正文文本 2 Char"/>
    <w:link w:val="764"/>
    <w:uiPriority w:val="0"/>
    <w:qFormat/>
    <w:rPr>
      <w:rFonts w:ascii="楷体_GB2312" w:hAnsi="Times New Roman" w:eastAsia="楷体_GB2312" w:cs="Times New Roman"/>
      <w:sz w:val="28"/>
      <w:szCs w:val="28"/>
    </w:rPr>
  </w:style>
  <w:style w:type="character" w:styleId="798" w:customStyle="1">
    <w:name w:val="批注主题 Char"/>
    <w:link w:val="767"/>
    <w:uiPriority w:val="0"/>
    <w:semiHidden/>
    <w:qFormat/>
    <w:rPr>
      <w:rFonts w:ascii="Times New Roman" w:hAnsi="Times New Roman" w:eastAsia="宋体" w:cs="Times New Roman"/>
      <w:b/>
      <w:bCs/>
      <w:szCs w:val="21"/>
    </w:rPr>
  </w:style>
  <w:style w:type="paragraph" w:styleId="799" w:customStyle="1">
    <w:name w:val="正文文本首行缩进"/>
    <w:basedOn w:val="744"/>
    <w:link w:val="800"/>
    <w:uiPriority w:val="0"/>
    <w:qFormat/>
    <w:pPr>
      <w:ind w:firstLine="200"/>
      <w:spacing w:line="360" w:lineRule="auto"/>
    </w:pPr>
    <w:rPr>
      <w:rFonts w:ascii="仿宋_GB2312" w:hAnsi="Times New Roman" w:eastAsia="仿宋_GB2312"/>
      <w:sz w:val="30"/>
      <w:szCs w:val="30"/>
    </w:rPr>
  </w:style>
  <w:style w:type="character" w:styleId="800" w:customStyle="1">
    <w:name w:val="正文文本首行缩进 字符"/>
    <w:link w:val="799"/>
    <w:uiPriority w:val="0"/>
    <w:qFormat/>
    <w:rPr>
      <w:rFonts w:ascii="仿宋_GB2312" w:hAnsi="Times New Roman" w:eastAsia="仿宋_GB2312" w:cs="Times New Roman"/>
      <w:sz w:val="30"/>
      <w:szCs w:val="30"/>
    </w:rPr>
  </w:style>
  <w:style w:type="paragraph" w:styleId="801" w:customStyle="1">
    <w:name w:val="正文首行缩进11"/>
    <w:basedOn w:val="802"/>
    <w:uiPriority w:val="0"/>
    <w:qFormat/>
    <w:pPr>
      <w:ind w:firstLine="200"/>
      <w:spacing w:line="360" w:lineRule="auto"/>
    </w:pPr>
    <w:rPr>
      <w:rFonts w:ascii="仿宋_GB2312" w:hAnsi="Times New Roman" w:eastAsia="仿宋_GB2312"/>
      <w:sz w:val="30"/>
      <w:szCs w:val="30"/>
    </w:rPr>
  </w:style>
  <w:style w:type="paragraph" w:styleId="802" w:customStyle="1">
    <w:name w:val="正文文本11"/>
    <w:basedOn w:val="723"/>
    <w:next w:val="723"/>
    <w:uiPriority w:val="0"/>
    <w:qFormat/>
    <w:rPr>
      <w:rFonts w:ascii="楷体_GB2312" w:hAnsi="Arial" w:eastAsia="楷体_GB2312"/>
      <w:sz w:val="28"/>
      <w:szCs w:val="28"/>
    </w:rPr>
  </w:style>
  <w:style w:type="paragraph" w:styleId="803" w:customStyle="1">
    <w:name w:val="正文文本1"/>
    <w:basedOn w:val="723"/>
    <w:next w:val="723"/>
    <w:uiPriority w:val="0"/>
    <w:qFormat/>
    <w:rPr>
      <w:rFonts w:ascii="楷体_GB2312" w:hAnsi="Arial" w:eastAsia="楷体_GB2312"/>
      <w:sz w:val="28"/>
      <w:szCs w:val="28"/>
      <w:lang w:eastAsia="en-US"/>
    </w:rPr>
  </w:style>
  <w:style w:type="paragraph" w:styleId="804"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character" w:styleId="805" w:customStyle="1">
    <w:name w:val="font5 Char"/>
    <w:uiPriority w:val="0"/>
    <w:qFormat/>
    <w:rPr>
      <w:rFonts w:ascii="宋体" w:hAnsi="宋体" w:eastAsia="宋体"/>
      <w:sz w:val="28"/>
      <w:szCs w:val="28"/>
      <w:lang w:val="en-US" w:eastAsia="zh-CN" w:bidi="ar-SA"/>
    </w:rPr>
  </w:style>
  <w:style w:type="character" w:styleId="806" w:customStyle="1">
    <w:name w:val="二级目录 Char"/>
    <w:link w:val="807"/>
    <w:uiPriority w:val="0"/>
    <w:qFormat/>
    <w:rPr>
      <w:b/>
      <w:sz w:val="30"/>
      <w:szCs w:val="28"/>
    </w:rPr>
  </w:style>
  <w:style w:type="paragraph" w:styleId="807" w:customStyle="1">
    <w:name w:val="二级目录"/>
    <w:next w:val="723"/>
    <w:link w:val="80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808" w:customStyle="1">
    <w:name w:val="列出段落 Char"/>
    <w:link w:val="809"/>
    <w:uiPriority w:val="0"/>
    <w:qFormat/>
    <w:rPr>
      <w:rFonts w:ascii="Calibri" w:hAnsi="Calibri"/>
      <w:sz w:val="24"/>
      <w:szCs w:val="24"/>
      <w:lang w:eastAsia="en-US" w:bidi="en-US"/>
    </w:rPr>
  </w:style>
  <w:style w:type="paragraph" w:styleId="809" w:customStyle="1">
    <w:name w:val="列出段落1"/>
    <w:basedOn w:val="723"/>
    <w:link w:val="808"/>
    <w:uiPriority w:val="0"/>
    <w:qFormat/>
    <w:pPr>
      <w:contextualSpacing/>
      <w:ind w:left="720"/>
      <w:jc w:val="left"/>
      <w:widowControl/>
    </w:pPr>
    <w:rPr>
      <w:rFonts w:ascii="Calibri" w:hAnsi="Calibri"/>
      <w:sz w:val="24"/>
      <w:szCs w:val="24"/>
      <w:lang w:eastAsia="en-US" w:bidi="en-US"/>
    </w:rPr>
  </w:style>
  <w:style w:type="paragraph" w:styleId="810" w:customStyle="1">
    <w:name w:val="Body Text(ch)"/>
    <w:basedOn w:val="723"/>
    <w:next w:val="744"/>
    <w:uiPriority w:val="0"/>
    <w:qFormat/>
    <w:pPr>
      <w:spacing w:after="120"/>
    </w:pPr>
    <w:rPr>
      <w:rFonts w:ascii="宋体" w:hAnsi="Arial"/>
      <w:bCs/>
      <w:iCs/>
      <w:szCs w:val="24"/>
    </w:rPr>
  </w:style>
  <w:style w:type="paragraph" w:styleId="811" w:customStyle="1">
    <w:name w:val="xl27"/>
    <w:basedOn w:val="72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12" w:customStyle="1">
    <w:name w:val="xl26"/>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13" w:customStyle="1">
    <w:name w:val="Char"/>
    <w:basedOn w:val="723"/>
    <w:uiPriority w:val="0"/>
    <w:qFormat/>
    <w:pPr>
      <w:ind w:firstLine="200"/>
      <w:tabs>
        <w:tab w:val="left" w:pos="360" w:leader="none"/>
      </w:tabs>
    </w:pPr>
    <w:rPr>
      <w:sz w:val="28"/>
      <w:szCs w:val="30"/>
    </w:rPr>
  </w:style>
  <w:style w:type="paragraph" w:styleId="814" w:customStyle="1">
    <w:name w:val="Char1"/>
    <w:basedOn w:val="741"/>
    <w:uiPriority w:val="0"/>
    <w:qFormat/>
    <w:rPr>
      <w:rFonts w:ascii="Tahoma" w:hAnsi="Tahoma"/>
      <w:sz w:val="24"/>
      <w:szCs w:val="24"/>
    </w:rPr>
  </w:style>
  <w:style w:type="paragraph" w:styleId="815" w:customStyle="1">
    <w:name w:val="普通正文"/>
    <w:basedOn w:val="723"/>
    <w:uiPriority w:val="0"/>
    <w:qFormat/>
    <w:pPr>
      <w:ind w:firstLine="480"/>
      <w:jc w:val="left"/>
      <w:spacing w:before="120" w:after="120" w:line="360" w:lineRule="auto"/>
    </w:pPr>
    <w:rPr>
      <w:rFonts w:ascii="Arial" w:hAnsi="Arial"/>
      <w:sz w:val="24"/>
      <w:szCs w:val="24"/>
    </w:rPr>
  </w:style>
  <w:style w:type="paragraph" w:styleId="816" w:customStyle="1">
    <w:name w:val="table_lines"/>
    <w:basedOn w:val="723"/>
    <w:uiPriority w:val="0"/>
    <w:qFormat/>
    <w:pPr>
      <w:jc w:val="left"/>
      <w:widowControl/>
    </w:pPr>
    <w:rPr>
      <w:sz w:val="20"/>
      <w:szCs w:val="20"/>
      <w:lang w:val="de-DE" w:eastAsia="de-DE"/>
    </w:rPr>
  </w:style>
  <w:style w:type="paragraph" w:styleId="81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818" w:customStyle="1">
    <w:name w:val="font7"/>
    <w:basedOn w:val="723"/>
    <w:uiPriority w:val="0"/>
    <w:qFormat/>
    <w:pPr>
      <w:jc w:val="left"/>
      <w:spacing w:before="100" w:beforeAutospacing="1" w:after="100" w:afterAutospacing="1"/>
      <w:widowControl/>
    </w:pPr>
    <w:rPr>
      <w:rFonts w:hint="eastAsia" w:ascii="宋体" w:hAnsi="宋体"/>
      <w:sz w:val="18"/>
      <w:szCs w:val="18"/>
    </w:rPr>
  </w:style>
  <w:style w:type="paragraph" w:styleId="819" w:customStyle="1">
    <w:name w:val="Char Char Char Char"/>
    <w:basedOn w:val="741"/>
    <w:uiPriority w:val="0"/>
    <w:qFormat/>
    <w:pPr>
      <w:spacing w:line="360" w:lineRule="auto"/>
    </w:pPr>
    <w:rPr>
      <w:rFonts w:ascii="Tahoma" w:hAnsi="Tahoma"/>
      <w:sz w:val="24"/>
      <w:szCs w:val="24"/>
    </w:rPr>
  </w:style>
  <w:style w:type="paragraph" w:styleId="820" w:customStyle="1">
    <w:name w:val="列表段落"/>
    <w:basedOn w:val="723"/>
    <w:uiPriority w:val="0"/>
    <w:qFormat/>
    <w:pPr>
      <w:contextualSpacing/>
      <w:ind w:left="720"/>
      <w:jc w:val="left"/>
      <w:widowControl/>
    </w:pPr>
    <w:rPr>
      <w:rFonts w:ascii="Calibri" w:hAnsi="Calibri"/>
      <w:sz w:val="24"/>
      <w:szCs w:val="24"/>
      <w:lang w:eastAsia="en-US" w:bidi="en-US"/>
    </w:rPr>
  </w:style>
  <w:style w:type="paragraph" w:styleId="821" w:customStyle="1">
    <w:name w:val="4"/>
    <w:basedOn w:val="723"/>
    <w:next w:val="760"/>
    <w:uiPriority w:val="0"/>
    <w:qFormat/>
    <w:pPr>
      <w:ind w:firstLine="420"/>
      <w:spacing w:line="360" w:lineRule="auto"/>
    </w:pPr>
    <w:rPr>
      <w:color w:val="ff0000"/>
      <w:sz w:val="24"/>
      <w:szCs w:val="24"/>
    </w:rPr>
  </w:style>
  <w:style w:type="paragraph" w:styleId="822" w:customStyle="1">
    <w:name w:val="普通 (Web)"/>
    <w:basedOn w:val="723"/>
    <w:uiPriority w:val="0"/>
    <w:qFormat/>
    <w:pPr>
      <w:jc w:val="left"/>
      <w:spacing w:before="100" w:beforeAutospacing="1" w:after="100" w:afterAutospacing="1"/>
      <w:widowControl/>
    </w:pPr>
    <w:rPr>
      <w:rFonts w:ascii="宋体" w:hAnsi="宋体"/>
      <w:sz w:val="24"/>
      <w:szCs w:val="24"/>
    </w:rPr>
  </w:style>
  <w:style w:type="paragraph" w:styleId="823" w:customStyle="1">
    <w:name w:val="Char Char Char Char Char Char Char Char Char Char"/>
    <w:basedOn w:val="723"/>
    <w:uiPriority w:val="0"/>
    <w:qFormat/>
    <w:pPr>
      <w:spacing w:line="360" w:lineRule="auto"/>
    </w:pPr>
    <w:rPr>
      <w:sz w:val="24"/>
      <w:szCs w:val="20"/>
    </w:rPr>
  </w:style>
  <w:style w:type="paragraph" w:styleId="824" w:customStyle="1">
    <w:name w:val="样式1"/>
    <w:basedOn w:val="723"/>
    <w:uiPriority w:val="0"/>
    <w:qFormat/>
    <w:pPr>
      <w:ind w:left="709" w:hanging="709"/>
      <w:tabs>
        <w:tab w:val="left" w:pos="709" w:leader="none"/>
      </w:tabs>
    </w:pPr>
    <w:rPr>
      <w:rFonts w:ascii="宋体" w:hAnsi="宋体"/>
      <w:szCs w:val="21"/>
    </w:rPr>
  </w:style>
  <w:style w:type="paragraph" w:styleId="825" w:customStyle="1">
    <w:name w:val="font6"/>
    <w:basedOn w:val="723"/>
    <w:uiPriority w:val="0"/>
    <w:qFormat/>
    <w:pPr>
      <w:jc w:val="left"/>
      <w:spacing w:before="100" w:beforeAutospacing="1" w:after="100" w:afterAutospacing="1"/>
      <w:widowControl/>
    </w:pPr>
    <w:rPr>
      <w:rFonts w:hint="eastAsia" w:ascii="宋体" w:hAnsi="宋体"/>
      <w:sz w:val="28"/>
      <w:szCs w:val="28"/>
      <w:u w:val="single"/>
    </w:rPr>
  </w:style>
  <w:style w:type="paragraph" w:styleId="826" w:customStyle="1">
    <w:name w:val="xl25"/>
    <w:basedOn w:val="72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7" w:customStyle="1">
    <w:name w:val="图标"/>
    <w:basedOn w:val="723"/>
    <w:next w:val="72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8" w:customStyle="1">
    <w:name w:val="标题3"/>
    <w:basedOn w:val="723"/>
    <w:next w:val="723"/>
    <w:uiPriority w:val="0"/>
    <w:qFormat/>
    <w:pPr>
      <w:ind w:firstLine="624"/>
      <w:spacing w:line="590" w:lineRule="atLeast"/>
    </w:pPr>
    <w:rPr>
      <w:rFonts w:ascii="方正黑体_GBK" w:eastAsia="方正黑体_GBK"/>
      <w:sz w:val="32"/>
      <w:szCs w:val="32"/>
    </w:rPr>
  </w:style>
  <w:style w:type="paragraph" w:styleId="829" w:customStyle="1">
    <w:name w:val="xl24"/>
    <w:basedOn w:val="72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30" w:customStyle="1">
    <w:name w:val="xl29"/>
    <w:basedOn w:val="723"/>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31" w:customStyle="1">
    <w:name w:val="Char Char Char Char Char Char Char Char"/>
    <w:basedOn w:val="723"/>
    <w:uiPriority w:val="0"/>
    <w:qFormat/>
    <w:pPr>
      <w:jc w:val="left"/>
      <w:spacing w:after="160" w:line="240" w:lineRule="exact"/>
      <w:widowControl/>
    </w:pPr>
    <w:rPr>
      <w:rFonts w:ascii="Verdana" w:hAnsi="Verdana"/>
      <w:sz w:val="20"/>
      <w:szCs w:val="20"/>
      <w:lang w:eastAsia="en-US"/>
    </w:rPr>
  </w:style>
  <w:style w:type="paragraph" w:styleId="832" w:customStyle="1">
    <w:name w:val="xl28"/>
    <w:basedOn w:val="72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33" w:customStyle="1">
    <w:name w:val="Char Char Char Char Char Char Char Char1"/>
    <w:basedOn w:val="723"/>
    <w:uiPriority w:val="0"/>
    <w:qFormat/>
    <w:pPr>
      <w:jc w:val="left"/>
      <w:spacing w:after="160" w:line="240" w:lineRule="exact"/>
      <w:widowControl/>
    </w:pPr>
    <w:rPr>
      <w:rFonts w:ascii="Verdana" w:hAnsi="Verdana"/>
      <w:sz w:val="20"/>
      <w:szCs w:val="20"/>
      <w:lang w:eastAsia="en-US"/>
    </w:rPr>
  </w:style>
  <w:style w:type="paragraph" w:styleId="834" w:customStyle="1">
    <w:name w:val="xl30"/>
    <w:basedOn w:val="723"/>
    <w:uiPriority w:val="0"/>
    <w:qFormat/>
    <w:pPr>
      <w:jc w:val="center"/>
      <w:spacing w:before="100" w:beforeAutospacing="1" w:after="100" w:afterAutospacing="1"/>
      <w:widowControl/>
    </w:pPr>
    <w:rPr>
      <w:rFonts w:ascii="宋体" w:hAnsi="宋体"/>
      <w:b/>
      <w:bCs/>
      <w:sz w:val="36"/>
      <w:szCs w:val="36"/>
    </w:rPr>
  </w:style>
  <w:style w:type="paragraph" w:styleId="835" w:customStyle="1">
    <w:name w:val="Char Char Char Char1"/>
    <w:basedOn w:val="741"/>
    <w:uiPriority w:val="0"/>
    <w:qFormat/>
    <w:pPr>
      <w:spacing w:line="360" w:lineRule="auto"/>
    </w:pPr>
    <w:rPr>
      <w:rFonts w:ascii="Tahoma" w:hAnsi="Tahoma"/>
      <w:sz w:val="24"/>
      <w:szCs w:val="24"/>
    </w:rPr>
  </w:style>
  <w:style w:type="paragraph" w:styleId="836" w:customStyle="1">
    <w:name w:val="table_1stline"/>
    <w:basedOn w:val="723"/>
    <w:uiPriority w:val="0"/>
    <w:qFormat/>
    <w:pPr>
      <w:jc w:val="left"/>
      <w:spacing w:before="120"/>
      <w:widowControl/>
    </w:pPr>
    <w:rPr>
      <w:bCs/>
      <w:sz w:val="20"/>
      <w:szCs w:val="20"/>
      <w:lang w:val="de-DE" w:eastAsia="de-DE"/>
    </w:rPr>
  </w:style>
  <w:style w:type="paragraph" w:styleId="837" w:customStyle="1">
    <w:name w:val="font5"/>
    <w:basedOn w:val="723"/>
    <w:uiPriority w:val="0"/>
    <w:qFormat/>
    <w:pPr>
      <w:jc w:val="left"/>
      <w:spacing w:before="100" w:beforeAutospacing="1" w:after="100" w:afterAutospacing="1"/>
      <w:widowControl/>
    </w:pPr>
    <w:rPr>
      <w:rFonts w:hint="eastAsia" w:ascii="宋体" w:hAnsi="宋体"/>
      <w:sz w:val="28"/>
      <w:szCs w:val="28"/>
    </w:rPr>
  </w:style>
  <w:style w:type="paragraph" w:styleId="838" w:customStyle="1">
    <w:name w:val="标题1"/>
    <w:basedOn w:val="723"/>
    <w:next w:val="72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39" w:customStyle="1">
    <w:name w:val="Revision"/>
    <w:uiPriority w:val="99"/>
    <w:semiHidden/>
    <w:qFormat/>
    <w:rPr>
      <w:rFonts w:ascii="Times New Roman" w:hAnsi="Times New Roman" w:eastAsia="宋体" w:cs="Times New Roman"/>
      <w:sz w:val="21"/>
      <w:szCs w:val="21"/>
      <w:lang w:val="en-US" w:eastAsia="zh-CN" w:bidi="ar-SA"/>
    </w:rPr>
  </w:style>
  <w:style w:type="paragraph" w:styleId="84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41" w:customStyle="1">
    <w:name w:val="WPSOffice手动目录 1"/>
    <w:uiPriority w:val="0"/>
    <w:qFormat/>
    <w:rPr>
      <w:rFonts w:ascii="Times New Roman" w:hAnsi="Times New Roman" w:eastAsia="宋体" w:cs="Times New Roman"/>
      <w:lang w:val="en-US" w:eastAsia="zh-CN" w:bidi="ar-SA"/>
    </w:rPr>
  </w:style>
  <w:style w:type="paragraph" w:styleId="842" w:customStyle="1">
    <w:name w:val="正文缩进1"/>
    <w:basedOn w:val="723"/>
    <w:uiPriority w:val="0"/>
    <w:qFormat/>
    <w:pPr>
      <w:ind w:firstLine="420"/>
    </w:pPr>
    <w:rPr>
      <w:sz w:val="20"/>
      <w:lang w:eastAsia="en-US"/>
    </w:rPr>
  </w:style>
  <w:style w:type="paragraph" w:styleId="843" w:customStyle="1">
    <w:name w:val="正文首行缩进1"/>
    <w:basedOn w:val="803"/>
    <w:uiPriority w:val="0"/>
    <w:qFormat/>
    <w:pPr>
      <w:ind w:firstLine="200"/>
      <w:spacing w:line="360" w:lineRule="auto"/>
    </w:pPr>
    <w:rPr>
      <w:rFonts w:ascii="仿宋_GB2312" w:hAnsi="Times New Roman" w:eastAsia="仿宋_GB2312"/>
      <w:sz w:val="30"/>
      <w:szCs w:val="30"/>
    </w:rPr>
  </w:style>
  <w:style w:type="character" w:styleId="844" w:customStyle="1">
    <w:name w:val="font31"/>
    <w:uiPriority w:val="0"/>
    <w:qFormat/>
    <w:rPr>
      <w:rFonts w:hint="eastAsia" w:ascii="新宋体" w:hAnsi="新宋体" w:eastAsia="新宋体" w:cs="新宋体"/>
      <w:color w:val="000000"/>
      <w:sz w:val="20"/>
      <w:szCs w:val="20"/>
      <w:u w:val="none"/>
    </w:rPr>
  </w:style>
  <w:style w:type="character" w:styleId="845" w:customStyle="1">
    <w:name w:val="font81"/>
    <w:uiPriority w:val="0"/>
    <w:qFormat/>
    <w:rPr>
      <w:rFonts w:hint="eastAsia" w:ascii="新宋体" w:hAnsi="新宋体" w:eastAsia="新宋体" w:cs="新宋体"/>
      <w:b/>
      <w:bCs/>
      <w:color w:val="ff0000"/>
      <w:sz w:val="20"/>
      <w:szCs w:val="20"/>
      <w:u w:val="none"/>
    </w:rPr>
  </w:style>
  <w:style w:type="character" w:styleId="846" w:customStyle="1">
    <w:name w:val="font21"/>
    <w:basedOn w:val="733"/>
    <w:uiPriority w:val="0"/>
    <w:qFormat/>
    <w:rPr>
      <w:rFonts w:hint="eastAsia" w:ascii="仿宋" w:hAnsi="仿宋" w:eastAsia="仿宋" w:cs="仿宋"/>
      <w:color w:val="000000"/>
      <w:sz w:val="24"/>
      <w:szCs w:val="24"/>
      <w:u w:val="none"/>
    </w:rPr>
  </w:style>
  <w:style w:type="numbering" w:styleId="12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jp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jp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665FAAAC-891B-47CA-82B2-6B408DFC039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杨惠惠</cp:lastModifiedBy>
  <cp:revision>6</cp:revision>
  <dcterms:created xsi:type="dcterms:W3CDTF">2025-12-29T08:24:00Z</dcterms:created>
  <dcterms:modified xsi:type="dcterms:W3CDTF">2026-02-10T02:42:40Z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0BC0A755852F4081BA54ED4B920B97F1_13</vt:lpwstr>
  </property>
  <property fmtid="{D5CDD505-2E9C-101B-9397-08002B2CF9AE}" pid="4" name="KSOTemplateDocerSaveRecord">
    <vt:lpwstr>eyJoZGlkIjoiZTM4ZGU5YjNiMDA2OWUxYWViOGM0ZjMwNDlhMzc3ODQiLCJ1c2VySWQiOiI0NTI1NTk2MjYifQ==</vt:lpwstr>
  </property>
</Properties>
</file>