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1"/>
        <w:jc w:val="left"/>
        <w:spacing w:line="240" w:lineRule="exact"/>
        <w:tabs>
          <w:tab w:val="left" w:pos="3841" w:leader="none"/>
        </w:tabs>
        <w:rPr>
          <w:rFonts w:hint="eastAsia" w:ascii="宋体" w:hAnsi="宋体" w:eastAsia="宋体" w:cs="仿宋"/>
          <w:b/>
          <w:i/>
          <w:color w:val="000000"/>
          <w:sz w:val="21"/>
          <w:szCs w:val="21"/>
        </w:rPr>
      </w:pPr>
      <w:r>
        <w:rPr>
          <w:rFonts w:hint="eastAsia" w:ascii="宋体" w:hAnsi="宋体" w:eastAsia="宋体" w:cs="仿宋"/>
          <w:b/>
          <w:color w:val="000000"/>
          <w:sz w:val="72"/>
        </w:rPr>
        <w:tab/>
      </w:r>
      <w:r>
        <w:rPr>
          <w:rFonts w:hint="eastAsia" w:ascii="宋体" w:hAnsi="宋体" w:eastAsia="宋体" w:cs="仿宋"/>
          <w:b/>
          <w:i/>
          <w:color w:val="000000"/>
          <w:sz w:val="21"/>
          <w:szCs w:val="21"/>
        </w:rPr>
      </w:r>
      <w:r/>
    </w:p>
    <w:p>
      <w:pPr>
        <w:pStyle w:val="1011"/>
        <w:jc w:val="center"/>
        <w:rPr>
          <w:rFonts w:hint="eastAsia" w:ascii="宋体" w:hAnsi="宋体" w:eastAsia="宋体" w:cs="仿宋"/>
          <w:b/>
          <w:color w:val="000000"/>
          <w:sz w:val="72"/>
        </w:rPr>
      </w:pPr>
      <w:r>
        <w:rPr>
          <w:rFonts w:hint="eastAsia" w:ascii="宋体" w:hAnsi="宋体" w:eastAsia="宋体" w:cs="仿宋"/>
          <w:b/>
          <w:color w:val="000000"/>
          <w:sz w:val="72"/>
        </w:rPr>
      </w:r>
      <w:r/>
    </w:p>
    <w:p>
      <w:pPr>
        <w:pStyle w:val="1011"/>
        <w:jc w:val="center"/>
        <w:spacing w:line="360" w:lineRule="auto"/>
        <w:rPr>
          <w:rFonts w:hint="eastAsia" w:ascii="宋体" w:hAnsi="宋体" w:eastAsia="宋体" w:cs="仿宋"/>
          <w:bCs/>
          <w:color w:val="000000"/>
          <w:spacing w:val="20"/>
          <w:sz w:val="72"/>
          <w:szCs w:val="72"/>
          <w:highlight w:val="none"/>
        </w:rPr>
      </w:pPr>
      <w:r>
        <w:rPr>
          <w:rFonts w:hint="eastAsia" w:ascii="宋体" w:hAnsi="宋体" w:eastAsia="宋体" w:cs="仿宋"/>
          <w:bCs/>
          <w:color w:val="000000"/>
          <w:spacing w:val="20"/>
          <w:sz w:val="72"/>
          <w:szCs w:val="72"/>
          <w:highlight w:val="none"/>
        </w:rPr>
        <w:t xml:space="preserve">泰州市政府采购</w:t>
      </w:r>
      <w:r>
        <w:rPr>
          <w:rFonts w:hint="eastAsia" w:ascii="宋体" w:hAnsi="宋体" w:eastAsia="宋体" w:cs="仿宋"/>
          <w:bCs/>
          <w:color w:val="000000"/>
          <w:spacing w:val="20"/>
          <w:sz w:val="72"/>
          <w:szCs w:val="72"/>
          <w:highlight w:val="none"/>
        </w:rPr>
      </w:r>
      <w:r/>
    </w:p>
    <w:p>
      <w:pPr>
        <w:pStyle w:val="1011"/>
        <w:jc w:val="center"/>
        <w:spacing w:line="360" w:lineRule="auto"/>
        <w:rPr>
          <w:rFonts w:hint="eastAsia" w:ascii="宋体" w:hAnsi="宋体" w:eastAsia="宋体" w:cs="仿宋"/>
          <w:bCs/>
          <w:color w:val="000000"/>
          <w:spacing w:val="20"/>
          <w:sz w:val="52"/>
          <w:szCs w:val="52"/>
          <w:highlight w:val="none"/>
        </w:rPr>
      </w:pPr>
      <w:r>
        <w:rPr>
          <w:rFonts w:hint="eastAsia" w:ascii="宋体" w:hAnsi="宋体" w:eastAsia="宋体" w:cs="仿宋"/>
          <w:bCs/>
          <w:color w:val="000000"/>
          <w:spacing w:val="20"/>
          <w:sz w:val="52"/>
          <w:szCs w:val="52"/>
          <w:highlight w:val="none"/>
        </w:rPr>
        <w:t xml:space="preserve">公开</w:t>
      </w:r>
      <w:r>
        <w:rPr>
          <w:rFonts w:ascii="宋体" w:hAnsi="宋体" w:eastAsia="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196850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524288;mso-wrap-distance-left:9.0pt;mso-wrap-distance-top:0.0pt;mso-wrap-distance-right:9.0pt;mso-wrap-distance-bottom:0.0pt;visibility:visible;" from="-8.9pt,15.5pt" to="-8.8pt,15.5pt" filled="f" strokecolor="#000000"/>
            </w:pict>
          </mc:Fallback>
        </mc:AlternateContent>
      </w:r>
      <w:r>
        <w:rPr>
          <w:rFonts w:hint="eastAsia" w:ascii="宋体" w:hAnsi="宋体" w:eastAsia="宋体" w:cs="仿宋"/>
          <w:bCs/>
          <w:color w:val="000000"/>
          <w:spacing w:val="20"/>
          <w:sz w:val="52"/>
          <w:szCs w:val="52"/>
          <w:highlight w:val="none"/>
        </w:rPr>
        <w:t xml:space="preserve">招标文件</w:t>
      </w:r>
      <w:r>
        <w:rPr>
          <w:rFonts w:hint="eastAsia" w:ascii="宋体" w:hAnsi="宋体" w:eastAsia="宋体" w:cs="仿宋"/>
          <w:bCs/>
          <w:color w:val="000000"/>
          <w:spacing w:val="20"/>
          <w:sz w:val="52"/>
          <w:szCs w:val="52"/>
          <w:highlight w:val="none"/>
        </w:rPr>
      </w:r>
      <w:r/>
    </w:p>
    <w:p>
      <w:pPr>
        <w:pStyle w:val="1011"/>
        <w:jc w:val="center"/>
        <w:rPr>
          <w:rFonts w:hint="eastAsia" w:ascii="宋体" w:hAnsi="宋体" w:eastAsia="宋体" w:cs="仿宋"/>
          <w:b/>
          <w:color w:val="000000"/>
          <w:sz w:val="72"/>
          <w:szCs w:val="72"/>
          <w:highlight w:val="none"/>
        </w:rPr>
      </w:pPr>
      <w:r>
        <w:rPr>
          <w:rFonts w:hint="eastAsia" w:ascii="宋体" w:hAnsi="宋体" w:eastAsia="宋体" w:cs="仿宋"/>
          <w:bCs/>
          <w:color w:val="000000"/>
          <w:sz w:val="30"/>
          <w:highlight w:val="none"/>
        </w:rPr>
        <w:t xml:space="preserve">（全流程电子化不见面开标）</w:t>
      </w:r>
      <w:r>
        <w:rPr>
          <w:rFonts w:hint="eastAsia" w:ascii="宋体" w:hAnsi="宋体" w:eastAsia="宋体" w:cs="仿宋"/>
          <w:b/>
          <w:color w:val="000000"/>
          <w:sz w:val="72"/>
          <w:szCs w:val="72"/>
          <w:highlight w:val="none"/>
        </w:rPr>
      </w:r>
      <w:r/>
    </w:p>
    <w:p>
      <w:pPr>
        <w:pStyle w:val="1011"/>
        <w:rPr>
          <w:rFonts w:hint="eastAsia" w:ascii="宋体" w:hAnsi="宋体" w:eastAsia="宋体" w:cs="仿宋"/>
          <w:b/>
          <w:color w:val="000000"/>
          <w:sz w:val="72"/>
          <w:highlight w:val="none"/>
        </w:rPr>
      </w:pPr>
      <w:r>
        <w:rPr>
          <w:rFonts w:hint="eastAsia" w:ascii="宋体" w:hAnsi="宋体" w:eastAsia="宋体" w:cs="仿宋"/>
          <w:b/>
          <w:color w:val="000000"/>
          <w:sz w:val="72"/>
          <w:highlight w:val="none"/>
        </w:rPr>
      </w:r>
      <w:r/>
    </w:p>
    <w:p>
      <w:pPr>
        <w:pStyle w:val="1276"/>
        <w:ind w:firstLine="568"/>
        <w:rPr>
          <w:rFonts w:hint="eastAsia" w:ascii="宋体" w:hAnsi="宋体" w:eastAsia="宋体" w:cs="仿宋"/>
          <w:color w:val="000000"/>
          <w:highlight w:val="none"/>
        </w:rPr>
      </w:pPr>
      <w:r>
        <w:rPr>
          <w:rFonts w:hint="eastAsia" w:ascii="宋体" w:hAnsi="宋体" w:eastAsia="宋体" w:cs="仿宋"/>
          <w:color w:val="000000"/>
          <w:highlight w:val="none"/>
        </w:rPr>
      </w:r>
      <w:r/>
    </w:p>
    <w:p>
      <w:pPr>
        <w:pStyle w:val="1276"/>
        <w:ind w:firstLine="568"/>
        <w:rPr>
          <w:rFonts w:hint="eastAsia" w:ascii="宋体" w:hAnsi="宋体" w:eastAsia="宋体" w:cs="仿宋"/>
          <w:color w:val="000000"/>
          <w:highlight w:val="none"/>
        </w:rPr>
      </w:pPr>
      <w:r>
        <w:rPr>
          <w:rFonts w:hint="eastAsia" w:ascii="宋体" w:hAnsi="宋体" w:eastAsia="宋体" w:cs="仿宋"/>
          <w:color w:val="000000"/>
          <w:highlight w:val="none"/>
        </w:rPr>
      </w:r>
      <w:r/>
    </w:p>
    <w:p>
      <w:pPr>
        <w:pStyle w:val="1011"/>
        <w:ind w:firstLine="562"/>
        <w:jc w:val="both"/>
        <w:spacing w:line="360" w:lineRule="auto"/>
        <w:rPr>
          <w:rFonts w:hint="eastAsia" w:ascii="宋体" w:hAnsi="宋体" w:eastAsia="宋体" w:cs="仿宋"/>
          <w:b/>
          <w:bCs/>
          <w:color w:val="000000"/>
          <w:sz w:val="28"/>
          <w:szCs w:val="28"/>
          <w:highlight w:val="none"/>
          <w:lang w:eastAsia="zh-CN"/>
        </w:rPr>
      </w:pPr>
      <w:r>
        <w:rPr>
          <w:rFonts w:hint="eastAsia" w:ascii="宋体" w:hAnsi="宋体" w:eastAsia="宋体" w:cs="仿宋"/>
          <w:b/>
          <w:bCs/>
          <w:color w:val="000000"/>
          <w:sz w:val="28"/>
          <w:szCs w:val="28"/>
          <w:highlight w:val="none"/>
        </w:rPr>
        <w:t xml:space="preserve">项目编号：JSZC-321204-JITC-G2026-0026</w:t>
      </w:r>
      <w:r>
        <w:rPr>
          <w:rFonts w:hint="eastAsia" w:ascii="宋体" w:hAnsi="宋体" w:eastAsia="宋体" w:cs="仿宋"/>
          <w:b/>
          <w:bCs/>
          <w:color w:val="000000"/>
          <w:sz w:val="28"/>
          <w:szCs w:val="28"/>
          <w:highlight w:val="none"/>
          <w:lang w:eastAsia="zh-CN"/>
        </w:rPr>
      </w:r>
      <w:r/>
    </w:p>
    <w:p>
      <w:pPr>
        <w:pStyle w:val="1011"/>
        <w:ind w:firstLine="562"/>
        <w:jc w:val="both"/>
        <w:spacing w:line="360" w:lineRule="auto"/>
        <w:rPr>
          <w:rFonts w:ascii="宋体" w:hAnsi="宋体" w:eastAsia="宋体" w:cs="仿宋"/>
          <w:b/>
          <w:bCs/>
          <w:color w:val="000000"/>
          <w:sz w:val="28"/>
          <w:szCs w:val="28"/>
          <w:highlight w:val="none"/>
          <w:lang w:val="en-US" w:eastAsia="zh-CN"/>
        </w:rPr>
      </w:pPr>
      <w:r>
        <w:rPr>
          <w:rFonts w:hint="eastAsia" w:ascii="宋体" w:hAnsi="宋体" w:eastAsia="宋体" w:cs="仿宋"/>
          <w:b/>
          <w:bCs/>
          <w:color w:val="000000"/>
          <w:sz w:val="28"/>
          <w:szCs w:val="28"/>
          <w:highlight w:val="none"/>
        </w:rPr>
        <w:t xml:space="preserve">项目名称：</w:t>
      </w:r>
      <w:r>
        <w:rPr>
          <w:rFonts w:hint="eastAsia" w:ascii="宋体" w:hAnsi="宋体" w:eastAsia="宋体" w:cs="仿宋"/>
          <w:b/>
          <w:bCs/>
          <w:color w:val="000000"/>
          <w:sz w:val="28"/>
          <w:szCs w:val="28"/>
          <w:highlight w:val="none"/>
          <w:lang w:val="en-US" w:eastAsia="zh-CN"/>
        </w:rPr>
        <w:t xml:space="preserve">泰州市第二人民医院智慧服务升级采购项目（二次）</w:t>
      </w:r>
      <w:r>
        <w:rPr>
          <w:rFonts w:ascii="宋体" w:hAnsi="宋体" w:eastAsia="宋体" w:cs="仿宋"/>
          <w:b/>
          <w:bCs/>
          <w:color w:val="000000"/>
          <w:sz w:val="28"/>
          <w:szCs w:val="28"/>
          <w:highlight w:val="none"/>
          <w:lang w:val="en-US" w:eastAsia="zh-CN"/>
        </w:rPr>
      </w:r>
      <w:r/>
    </w:p>
    <w:p>
      <w:pPr>
        <w:pStyle w:val="1011"/>
        <w:ind w:firstLine="419"/>
        <w:jc w:val="center"/>
        <w:spacing w:line="360" w:lineRule="auto"/>
        <w:rPr>
          <w:rFonts w:hint="eastAsia" w:ascii="宋体" w:hAnsi="宋体" w:eastAsia="宋体" w:cs="仿宋"/>
          <w:b/>
          <w:bCs/>
          <w:color w:val="000000"/>
          <w:sz w:val="28"/>
          <w:szCs w:val="28"/>
          <w:highlight w:val="none"/>
        </w:rPr>
      </w:pPr>
      <w:r>
        <w:rPr>
          <w:rFonts w:hint="eastAsia" w:ascii="宋体" w:hAnsi="宋体" w:eastAsia="宋体" w:cs="仿宋"/>
          <w:b/>
          <w:bCs/>
          <w:color w:val="000000"/>
          <w:sz w:val="28"/>
          <w:szCs w:val="28"/>
          <w:highlight w:val="none"/>
        </w:rPr>
      </w:r>
      <w:r/>
    </w:p>
    <w:p>
      <w:pPr>
        <w:pStyle w:val="1011"/>
        <w:ind w:firstLine="419"/>
        <w:spacing w:line="360" w:lineRule="auto"/>
        <w:rPr>
          <w:rFonts w:hint="eastAsia" w:ascii="宋体" w:hAnsi="宋体" w:eastAsia="宋体" w:cs="仿宋"/>
          <w:b/>
          <w:bCs/>
          <w:color w:val="000000"/>
          <w:sz w:val="28"/>
          <w:szCs w:val="28"/>
          <w:highlight w:val="none"/>
        </w:rPr>
      </w:pPr>
      <w:r>
        <w:rPr>
          <w:rFonts w:hint="eastAsia" w:ascii="宋体" w:hAnsi="宋体" w:eastAsia="宋体" w:cs="仿宋"/>
          <w:b/>
          <w:bCs/>
          <w:color w:val="000000"/>
          <w:sz w:val="28"/>
          <w:szCs w:val="28"/>
          <w:highlight w:val="none"/>
        </w:rPr>
      </w:r>
      <w:r/>
    </w:p>
    <w:p>
      <w:pPr>
        <w:pStyle w:val="1011"/>
        <w:ind w:firstLine="419"/>
        <w:spacing w:line="360" w:lineRule="auto"/>
        <w:rPr>
          <w:rFonts w:hint="eastAsia" w:ascii="宋体" w:hAnsi="宋体" w:eastAsia="宋体" w:cs="仿宋"/>
          <w:b/>
          <w:bCs/>
          <w:color w:val="000000"/>
          <w:sz w:val="28"/>
          <w:szCs w:val="28"/>
          <w:highlight w:val="none"/>
        </w:rPr>
      </w:pPr>
      <w:r>
        <w:rPr>
          <w:rFonts w:hint="eastAsia" w:ascii="宋体" w:hAnsi="宋体" w:eastAsia="宋体" w:cs="仿宋"/>
          <w:b/>
          <w:bCs/>
          <w:color w:val="000000"/>
          <w:sz w:val="28"/>
          <w:szCs w:val="28"/>
          <w:highlight w:val="none"/>
        </w:rPr>
      </w:r>
      <w:r/>
    </w:p>
    <w:p>
      <w:pPr>
        <w:pStyle w:val="1011"/>
        <w:ind w:firstLine="419"/>
        <w:spacing w:line="360" w:lineRule="auto"/>
        <w:rPr>
          <w:rFonts w:hint="eastAsia" w:ascii="宋体" w:hAnsi="宋体" w:eastAsia="宋体" w:cs="仿宋"/>
          <w:b/>
          <w:bCs/>
          <w:color w:val="000000"/>
          <w:sz w:val="28"/>
          <w:szCs w:val="28"/>
          <w:highlight w:val="none"/>
        </w:rPr>
      </w:pPr>
      <w:r>
        <w:rPr>
          <w:rFonts w:hint="eastAsia" w:ascii="宋体" w:hAnsi="宋体" w:eastAsia="宋体" w:cs="仿宋"/>
          <w:b/>
          <w:bCs/>
          <w:color w:val="000000"/>
          <w:sz w:val="28"/>
          <w:szCs w:val="28"/>
          <w:highlight w:val="none"/>
        </w:rPr>
      </w:r>
      <w:r/>
    </w:p>
    <w:p>
      <w:pPr>
        <w:pStyle w:val="1011"/>
        <w:ind w:firstLine="419"/>
        <w:spacing w:line="360" w:lineRule="auto"/>
        <w:rPr>
          <w:rFonts w:hint="eastAsia" w:ascii="宋体" w:hAnsi="宋体" w:eastAsia="宋体" w:cs="仿宋"/>
          <w:b/>
          <w:bCs/>
          <w:color w:val="000000"/>
          <w:sz w:val="28"/>
          <w:szCs w:val="28"/>
          <w:highlight w:val="none"/>
        </w:rPr>
      </w:pPr>
      <w:r>
        <w:rPr>
          <w:rFonts w:hint="eastAsia" w:ascii="宋体" w:hAnsi="宋体" w:eastAsia="宋体" w:cs="仿宋"/>
          <w:b/>
          <w:bCs/>
          <w:color w:val="000000"/>
          <w:sz w:val="28"/>
          <w:szCs w:val="28"/>
          <w:highlight w:val="none"/>
        </w:rPr>
      </w:r>
      <w:r/>
    </w:p>
    <w:p>
      <w:pPr>
        <w:pStyle w:val="1011"/>
        <w:spacing w:line="360" w:lineRule="auto"/>
        <w:rPr>
          <w:rFonts w:hint="eastAsia" w:ascii="宋体" w:hAnsi="宋体" w:eastAsia="宋体" w:cs="仿宋"/>
          <w:b/>
          <w:bCs/>
          <w:color w:val="000000"/>
          <w:sz w:val="28"/>
          <w:szCs w:val="28"/>
          <w:highlight w:val="none"/>
        </w:rPr>
      </w:pPr>
      <w:r>
        <w:rPr>
          <w:rFonts w:hint="eastAsia" w:ascii="宋体" w:hAnsi="宋体" w:eastAsia="宋体" w:cs="仿宋"/>
          <w:b/>
          <w:bCs/>
          <w:color w:val="000000"/>
          <w:sz w:val="28"/>
          <w:szCs w:val="28"/>
          <w:highlight w:val="none"/>
        </w:rPr>
      </w:r>
      <w:r/>
    </w:p>
    <w:p>
      <w:pPr>
        <w:pStyle w:val="1011"/>
        <w:jc w:val="center"/>
        <w:spacing w:line="360" w:lineRule="auto"/>
        <w:rPr>
          <w:rFonts w:ascii="宋体" w:hAnsi="宋体" w:eastAsia="宋体" w:cs="仿宋"/>
          <w:b/>
          <w:bCs/>
          <w:color w:val="000000"/>
          <w:sz w:val="28"/>
          <w:szCs w:val="28"/>
          <w:highlight w:val="none"/>
          <w:lang w:val="en-US" w:eastAsia="zh-CN"/>
        </w:rPr>
      </w:pPr>
      <w:r>
        <w:rPr>
          <w:rFonts w:hint="eastAsia" w:ascii="宋体" w:hAnsi="宋体" w:eastAsia="宋体" w:cs="仿宋"/>
          <w:b/>
          <w:bCs/>
          <w:color w:val="000000"/>
          <w:sz w:val="28"/>
          <w:szCs w:val="28"/>
          <w:highlight w:val="none"/>
        </w:rPr>
        <w:t xml:space="preserve">采   购   人：泰州市</w:t>
      </w:r>
      <w:r>
        <w:rPr>
          <w:rFonts w:hint="eastAsia" w:ascii="宋体" w:hAnsi="宋体" w:eastAsia="宋体" w:cs="仿宋"/>
          <w:b/>
          <w:bCs/>
          <w:color w:val="000000"/>
          <w:sz w:val="28"/>
          <w:szCs w:val="28"/>
          <w:highlight w:val="none"/>
          <w:lang w:val="en-US" w:eastAsia="zh-CN"/>
        </w:rPr>
        <w:t xml:space="preserve">第二人民医院</w:t>
      </w:r>
      <w:r>
        <w:rPr>
          <w:rFonts w:ascii="宋体" w:hAnsi="宋体" w:eastAsia="宋体" w:cs="仿宋"/>
          <w:b/>
          <w:bCs/>
          <w:color w:val="000000"/>
          <w:sz w:val="28"/>
          <w:szCs w:val="28"/>
          <w:highlight w:val="none"/>
          <w:lang w:val="en-US" w:eastAsia="zh-CN"/>
        </w:rPr>
      </w:r>
      <w:r/>
    </w:p>
    <w:p>
      <w:pPr>
        <w:pStyle w:val="1066"/>
        <w:ind w:firstLine="0"/>
        <w:jc w:val="center"/>
        <w:rPr>
          <w:rFonts w:hint="eastAsia" w:ascii="宋体" w:hAnsi="宋体" w:eastAsia="宋体" w:cs="仿宋"/>
          <w:color w:val="000000"/>
          <w:highlight w:val="none"/>
        </w:rPr>
      </w:pPr>
      <w:r>
        <w:rPr>
          <w:rFonts w:hint="eastAsia" w:ascii="宋体" w:hAnsi="宋体" w:eastAsia="宋体" w:cs="仿宋"/>
          <w:color w:val="000000"/>
          <w:highlight w:val="none"/>
        </w:rPr>
      </w:r>
      <w:r/>
    </w:p>
    <w:p>
      <w:pPr>
        <w:pStyle w:val="1011"/>
        <w:jc w:val="center"/>
        <w:spacing w:line="360" w:lineRule="auto"/>
        <w:rPr>
          <w:rFonts w:hint="eastAsia" w:ascii="宋体" w:hAnsi="宋体" w:eastAsia="宋体" w:cs="仿宋"/>
          <w:b/>
          <w:bCs/>
          <w:color w:val="000000"/>
          <w:sz w:val="28"/>
          <w:szCs w:val="28"/>
          <w:highlight w:val="none"/>
        </w:rPr>
      </w:pPr>
      <w:r>
        <w:rPr>
          <w:rFonts w:hint="eastAsia" w:ascii="宋体" w:hAnsi="宋体" w:eastAsia="宋体" w:cs="仿宋"/>
          <w:b/>
          <w:bCs/>
          <w:color w:val="000000"/>
          <w:sz w:val="28"/>
          <w:szCs w:val="28"/>
          <w:highlight w:val="none"/>
        </w:rPr>
        <w:t xml:space="preserve">采购代理机构：江苏</w:t>
      </w:r>
      <w:r>
        <w:rPr>
          <w:rFonts w:hint="eastAsia" w:ascii="宋体" w:hAnsi="宋体" w:eastAsia="宋体" w:cs="仿宋"/>
          <w:b/>
          <w:bCs/>
          <w:color w:val="000000"/>
          <w:sz w:val="28"/>
          <w:szCs w:val="28"/>
          <w:highlight w:val="none"/>
          <w:lang w:val="en-US" w:eastAsia="zh-CN"/>
        </w:rPr>
        <w:t xml:space="preserve">省招标中心</w:t>
      </w:r>
      <w:r>
        <w:rPr>
          <w:rFonts w:hint="eastAsia" w:ascii="宋体" w:hAnsi="宋体" w:eastAsia="宋体" w:cs="仿宋"/>
          <w:b/>
          <w:bCs/>
          <w:color w:val="000000"/>
          <w:sz w:val="28"/>
          <w:szCs w:val="28"/>
          <w:highlight w:val="none"/>
        </w:rPr>
        <w:t xml:space="preserve">有限公司</w:t>
      </w:r>
      <w:r>
        <w:rPr>
          <w:rFonts w:hint="eastAsia" w:ascii="宋体" w:hAnsi="宋体" w:eastAsia="宋体" w:cs="仿宋"/>
          <w:b/>
          <w:bCs/>
          <w:color w:val="000000"/>
          <w:sz w:val="28"/>
          <w:szCs w:val="28"/>
          <w:highlight w:val="none"/>
        </w:rPr>
      </w:r>
      <w:r/>
    </w:p>
    <w:p>
      <w:pPr>
        <w:pStyle w:val="1011"/>
        <w:jc w:val="center"/>
        <w:rPr>
          <w:rFonts w:hint="eastAsia" w:ascii="宋体" w:hAnsi="宋体" w:eastAsia="宋体" w:cs="仿宋"/>
          <w:b/>
          <w:color w:val="000000"/>
          <w:sz w:val="28"/>
          <w:szCs w:val="28"/>
          <w:highlight w:val="none"/>
        </w:rPr>
      </w:pPr>
      <w:r>
        <w:rPr>
          <w:rFonts w:hint="eastAsia" w:ascii="宋体" w:hAnsi="宋体" w:eastAsia="宋体" w:cs="仿宋"/>
          <w:b/>
          <w:color w:val="000000"/>
          <w:sz w:val="28"/>
          <w:szCs w:val="28"/>
          <w:highlight w:val="none"/>
        </w:rPr>
      </w:r>
      <w:r/>
    </w:p>
    <w:p>
      <w:pPr>
        <w:pStyle w:val="1011"/>
        <w:jc w:val="center"/>
        <w:rPr>
          <w:rFonts w:hint="eastAsia" w:ascii="宋体" w:hAnsi="宋体" w:eastAsia="宋体" w:cs="仿宋"/>
          <w:b/>
          <w:color w:val="000000"/>
          <w:sz w:val="28"/>
          <w:szCs w:val="28"/>
          <w:highlight w:val="none"/>
        </w:rPr>
      </w:pPr>
      <w:r>
        <w:rPr>
          <w:rFonts w:hint="eastAsia" w:ascii="宋体" w:hAnsi="宋体" w:eastAsia="宋体" w:cs="仿宋"/>
          <w:b/>
          <w:color w:val="000000"/>
          <w:sz w:val="28"/>
          <w:szCs w:val="28"/>
          <w:highlight w:val="none"/>
        </w:rPr>
        <w:t xml:space="preserve">202</w:t>
      </w:r>
      <w:r>
        <w:rPr>
          <w:rFonts w:hint="eastAsia" w:ascii="宋体" w:hAnsi="宋体" w:eastAsia="宋体" w:cs="仿宋"/>
          <w:b/>
          <w:color w:val="000000"/>
          <w:sz w:val="28"/>
          <w:szCs w:val="28"/>
          <w:highlight w:val="none"/>
          <w:lang w:val="en-US" w:eastAsia="zh-CN"/>
        </w:rPr>
        <w:t xml:space="preserve">6</w:t>
      </w:r>
      <w:r>
        <w:rPr>
          <w:rFonts w:hint="eastAsia" w:ascii="宋体" w:hAnsi="宋体" w:eastAsia="宋体" w:cs="仿宋"/>
          <w:b/>
          <w:color w:val="000000"/>
          <w:sz w:val="28"/>
          <w:szCs w:val="28"/>
          <w:highlight w:val="none"/>
        </w:rPr>
        <w:t xml:space="preserve">年</w:t>
      </w:r>
      <w:r>
        <w:rPr>
          <w:rFonts w:hint="eastAsia" w:ascii="宋体" w:hAnsi="宋体" w:eastAsia="宋体" w:cs="仿宋"/>
          <w:b/>
          <w:color w:val="000000"/>
          <w:sz w:val="28"/>
          <w:szCs w:val="28"/>
          <w:highlight w:val="none"/>
          <w:lang w:val="en-US" w:eastAsia="zh-CN"/>
        </w:rPr>
        <w:t xml:space="preserve">2</w:t>
      </w:r>
      <w:r>
        <w:rPr>
          <w:rFonts w:hint="eastAsia" w:ascii="宋体" w:hAnsi="宋体" w:eastAsia="宋体" w:cs="仿宋"/>
          <w:b/>
          <w:color w:val="000000"/>
          <w:sz w:val="28"/>
          <w:szCs w:val="28"/>
          <w:highlight w:val="none"/>
        </w:rPr>
        <w:t xml:space="preserve">月</w:t>
      </w:r>
      <w:r>
        <w:rPr>
          <w:rFonts w:hint="eastAsia" w:ascii="宋体" w:hAnsi="宋体" w:eastAsia="宋体" w:cs="仿宋"/>
          <w:b/>
          <w:color w:val="000000"/>
          <w:sz w:val="28"/>
          <w:szCs w:val="28"/>
          <w:highlight w:val="none"/>
        </w:rPr>
      </w:r>
      <w:r/>
    </w:p>
    <w:p>
      <w:pPr>
        <w:pStyle w:val="1011"/>
        <w:jc w:val="center"/>
        <w:spacing w:line="360" w:lineRule="auto"/>
        <w:widowControl/>
        <w:rPr>
          <w:rFonts w:hint="eastAsia" w:ascii="宋体" w:hAnsi="宋体" w:eastAsia="宋体" w:cs="仿宋"/>
          <w:b/>
          <w:color w:val="000000"/>
          <w:sz w:val="28"/>
          <w:szCs w:val="28"/>
          <w:highlight w:val="none"/>
        </w:rPr>
      </w:pPr>
      <w:r>
        <w:rPr>
          <w:rFonts w:hint="eastAsia" w:ascii="宋体" w:hAnsi="宋体" w:eastAsia="宋体" w:cs="仿宋"/>
          <w:b/>
          <w:color w:val="000000"/>
          <w:sz w:val="28"/>
          <w:szCs w:val="28"/>
          <w:highlight w:val="none"/>
        </w:rPr>
        <w:br w:type="page" w:clear="all"/>
      </w:r>
      <w:r>
        <w:rPr>
          <w:rFonts w:hint="eastAsia" w:ascii="宋体" w:hAnsi="宋体" w:eastAsia="宋体" w:cs="仿宋"/>
          <w:b/>
          <w:color w:val="000000"/>
          <w:sz w:val="28"/>
          <w:szCs w:val="28"/>
          <w:highlight w:val="none"/>
        </w:rPr>
      </w:r>
      <w:r/>
    </w:p>
    <w:p>
      <w:pPr>
        <w:pStyle w:val="1011"/>
        <w:jc w:val="center"/>
        <w:spacing w:line="360" w:lineRule="auto"/>
        <w:widowControl/>
        <w:rPr>
          <w:rFonts w:hint="eastAsia" w:ascii="宋体" w:hAnsi="宋体" w:eastAsia="宋体" w:cs="仿宋"/>
          <w:b/>
          <w:color w:val="000000"/>
          <w:sz w:val="28"/>
          <w:szCs w:val="28"/>
          <w:highlight w:val="none"/>
        </w:rPr>
      </w:pPr>
      <w:r>
        <w:rPr>
          <w:rFonts w:hint="eastAsia" w:ascii="宋体" w:hAnsi="宋体" w:eastAsia="宋体" w:cs="仿宋"/>
          <w:b/>
          <w:color w:val="000000"/>
          <w:sz w:val="28"/>
          <w:szCs w:val="28"/>
          <w:highlight w:val="none"/>
        </w:rPr>
      </w:r>
      <w:r/>
    </w:p>
    <w:p>
      <w:pPr>
        <w:pStyle w:val="1011"/>
        <w:jc w:val="center"/>
        <w:spacing w:line="360" w:lineRule="auto"/>
        <w:widowControl/>
        <w:rPr>
          <w:rFonts w:hint="eastAsia" w:ascii="宋体" w:hAnsi="宋体" w:eastAsia="宋体" w:cs="仿宋"/>
          <w:b/>
          <w:color w:val="000000"/>
          <w:sz w:val="36"/>
          <w:szCs w:val="36"/>
          <w:highlight w:val="none"/>
        </w:rPr>
      </w:pPr>
      <w:r>
        <w:rPr>
          <w:rFonts w:hint="eastAsia" w:ascii="宋体" w:hAnsi="宋体" w:eastAsia="宋体" w:cs="仿宋"/>
          <w:b/>
          <w:color w:val="000000"/>
          <w:sz w:val="36"/>
          <w:szCs w:val="36"/>
          <w:highlight w:val="none"/>
        </w:rPr>
        <w:t xml:space="preserve">目  录</w:t>
      </w:r>
      <w:r>
        <w:rPr>
          <w:rFonts w:hint="eastAsia" w:ascii="宋体" w:hAnsi="宋体" w:eastAsia="宋体" w:cs="仿宋"/>
          <w:b/>
          <w:color w:val="000000"/>
          <w:sz w:val="36"/>
          <w:szCs w:val="36"/>
          <w:highlight w:val="none"/>
        </w:rPr>
      </w:r>
      <w:r/>
    </w:p>
    <w:p>
      <w:pPr>
        <w:pStyle w:val="1011"/>
        <w:jc w:val="center"/>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277"/>
        <w:spacing w:line="480" w:lineRule="auto"/>
        <w:tabs>
          <w:tab w:val="right" w:pos="9344" w:leader="dot"/>
        </w:tabs>
        <w:rPr>
          <w:rFonts w:hint="eastAsia" w:ascii="宋体" w:hAnsi="宋体" w:eastAsia="宋体" w:cs="仿宋"/>
          <w:b/>
          <w:color w:val="000000"/>
          <w:sz w:val="28"/>
          <w:szCs w:val="21"/>
          <w:highlight w:val="none"/>
        </w:rPr>
      </w:pPr>
      <w:r>
        <w:rPr>
          <w:rFonts w:hint="eastAsia" w:ascii="宋体" w:hAnsi="宋体" w:eastAsia="宋体" w:cs="仿宋"/>
          <w:b/>
          <w:color w:val="000000"/>
          <w:sz w:val="28"/>
          <w:szCs w:val="21"/>
          <w:highlight w:val="none"/>
        </w:rPr>
        <w:fldChar w:fldCharType="begin"/>
      </w:r>
      <w:r>
        <w:rPr>
          <w:rFonts w:hint="eastAsia" w:ascii="宋体" w:hAnsi="宋体" w:eastAsia="宋体" w:cs="仿宋"/>
          <w:b/>
          <w:color w:val="000000"/>
          <w:sz w:val="28"/>
          <w:szCs w:val="21"/>
          <w:highlight w:val="none"/>
        </w:rPr>
        <w:instrText xml:space="preserve">TOC  \* MERGEFORMAT</w:instrText>
      </w:r>
      <w:r>
        <w:rPr>
          <w:rFonts w:hint="eastAsia" w:ascii="宋体" w:hAnsi="宋体" w:eastAsia="宋体" w:cs="仿宋"/>
          <w:b/>
          <w:color w:val="000000"/>
          <w:sz w:val="28"/>
          <w:szCs w:val="21"/>
          <w:highlight w:val="none"/>
        </w:rPr>
        <w:fldChar w:fldCharType="separate"/>
      </w:r>
      <w:r>
        <w:rPr>
          <w:rFonts w:hint="eastAsia" w:ascii="宋体" w:hAnsi="宋体" w:eastAsia="宋体" w:cs="仿宋"/>
          <w:b/>
          <w:color w:val="000000"/>
          <w:sz w:val="28"/>
          <w:szCs w:val="21"/>
          <w:highlight w:val="none"/>
        </w:rPr>
        <w:t xml:space="preserve">第一章 招标公告</w:t>
      </w:r>
      <w:r>
        <w:rPr>
          <w:rFonts w:hint="eastAsia" w:ascii="宋体" w:hAnsi="宋体" w:eastAsia="宋体" w:cs="仿宋"/>
          <w:b/>
          <w:color w:val="000000"/>
          <w:sz w:val="28"/>
          <w:szCs w:val="21"/>
          <w:highlight w:val="none"/>
        </w:rPr>
      </w:r>
      <w:r/>
    </w:p>
    <w:p>
      <w:pPr>
        <w:pStyle w:val="1277"/>
        <w:spacing w:line="480" w:lineRule="auto"/>
        <w:tabs>
          <w:tab w:val="right" w:pos="9344" w:leader="dot"/>
        </w:tabs>
        <w:rPr>
          <w:rFonts w:hint="eastAsia" w:ascii="宋体" w:hAnsi="宋体" w:eastAsia="宋体" w:cs="仿宋"/>
          <w:b/>
          <w:color w:val="000000"/>
          <w:sz w:val="28"/>
          <w:szCs w:val="21"/>
          <w:highlight w:val="none"/>
        </w:rPr>
      </w:pPr>
      <w:r>
        <w:rPr>
          <w:rFonts w:hint="eastAsia" w:ascii="宋体" w:hAnsi="宋体" w:eastAsia="宋体" w:cs="仿宋"/>
          <w:b/>
          <w:color w:val="000000"/>
          <w:sz w:val="28"/>
          <w:szCs w:val="21"/>
          <w:highlight w:val="none"/>
        </w:rPr>
        <w:t xml:space="preserve">第二章 投标人须知</w:t>
      </w:r>
      <w:r>
        <w:rPr>
          <w:rFonts w:hint="eastAsia" w:ascii="宋体" w:hAnsi="宋体" w:eastAsia="宋体" w:cs="仿宋"/>
          <w:b/>
          <w:color w:val="000000"/>
          <w:sz w:val="28"/>
          <w:szCs w:val="21"/>
          <w:highlight w:val="none"/>
        </w:rPr>
      </w:r>
      <w:r/>
    </w:p>
    <w:p>
      <w:pPr>
        <w:pStyle w:val="1277"/>
        <w:spacing w:line="480" w:lineRule="auto"/>
        <w:tabs>
          <w:tab w:val="right" w:pos="9344" w:leader="dot"/>
        </w:tabs>
        <w:rPr>
          <w:rFonts w:hint="eastAsia" w:ascii="宋体" w:hAnsi="宋体" w:eastAsia="宋体" w:cs="仿宋"/>
          <w:b/>
          <w:color w:val="000000"/>
          <w:sz w:val="28"/>
          <w:szCs w:val="21"/>
          <w:highlight w:val="none"/>
        </w:rPr>
      </w:pPr>
      <w:r>
        <w:rPr>
          <w:rFonts w:hint="eastAsia" w:ascii="宋体" w:hAnsi="宋体" w:eastAsia="宋体" w:cs="仿宋"/>
          <w:b/>
          <w:color w:val="000000"/>
          <w:sz w:val="28"/>
          <w:szCs w:val="21"/>
          <w:highlight w:val="none"/>
        </w:rPr>
        <w:t xml:space="preserve">第三章 采购需求</w:t>
      </w:r>
      <w:r>
        <w:rPr>
          <w:rFonts w:hint="eastAsia" w:ascii="宋体" w:hAnsi="宋体" w:eastAsia="宋体" w:cs="仿宋"/>
          <w:b/>
          <w:color w:val="000000"/>
          <w:sz w:val="28"/>
          <w:szCs w:val="21"/>
          <w:highlight w:val="none"/>
        </w:rPr>
      </w:r>
      <w:r/>
    </w:p>
    <w:p>
      <w:pPr>
        <w:pStyle w:val="1277"/>
        <w:spacing w:line="480" w:lineRule="auto"/>
        <w:tabs>
          <w:tab w:val="right" w:pos="9344" w:leader="dot"/>
        </w:tabs>
        <w:rPr>
          <w:rFonts w:hint="eastAsia" w:ascii="宋体" w:hAnsi="宋体" w:eastAsia="宋体" w:cs="仿宋"/>
          <w:b/>
          <w:color w:val="000000"/>
          <w:sz w:val="28"/>
          <w:szCs w:val="21"/>
          <w:highlight w:val="none"/>
        </w:rPr>
      </w:pPr>
      <w:r>
        <w:rPr>
          <w:rFonts w:hint="eastAsia" w:ascii="宋体" w:hAnsi="宋体" w:eastAsia="宋体" w:cs="仿宋"/>
          <w:b/>
          <w:color w:val="000000"/>
          <w:sz w:val="28"/>
          <w:szCs w:val="21"/>
          <w:highlight w:val="none"/>
        </w:rPr>
        <w:t xml:space="preserve">第四章 评标办法及标准</w:t>
      </w:r>
      <w:r>
        <w:rPr>
          <w:rFonts w:hint="eastAsia" w:ascii="宋体" w:hAnsi="宋体" w:eastAsia="宋体" w:cs="仿宋"/>
          <w:b/>
          <w:color w:val="000000"/>
          <w:sz w:val="28"/>
          <w:szCs w:val="21"/>
          <w:highlight w:val="none"/>
        </w:rPr>
      </w:r>
      <w:r/>
    </w:p>
    <w:p>
      <w:pPr>
        <w:pStyle w:val="1277"/>
        <w:spacing w:line="480" w:lineRule="auto"/>
        <w:tabs>
          <w:tab w:val="right" w:pos="9344" w:leader="dot"/>
        </w:tabs>
        <w:rPr>
          <w:rFonts w:hint="eastAsia" w:ascii="宋体" w:hAnsi="宋体" w:eastAsia="宋体" w:cs="仿宋"/>
          <w:b/>
          <w:color w:val="000000"/>
          <w:sz w:val="28"/>
          <w:szCs w:val="21"/>
          <w:highlight w:val="none"/>
        </w:rPr>
      </w:pPr>
      <w:r>
        <w:rPr>
          <w:rFonts w:hint="eastAsia" w:ascii="宋体" w:hAnsi="宋体" w:eastAsia="宋体" w:cs="仿宋"/>
          <w:b/>
          <w:color w:val="000000"/>
          <w:sz w:val="28"/>
          <w:szCs w:val="21"/>
          <w:highlight w:val="none"/>
        </w:rPr>
        <w:t xml:space="preserve">第五章 合同条款</w:t>
      </w:r>
      <w:r>
        <w:rPr>
          <w:rFonts w:hint="eastAsia" w:ascii="宋体" w:hAnsi="宋体" w:eastAsia="宋体" w:cs="仿宋"/>
          <w:b/>
          <w:color w:val="000000"/>
          <w:sz w:val="28"/>
          <w:szCs w:val="21"/>
          <w:highlight w:val="none"/>
        </w:rPr>
      </w:r>
      <w:r/>
    </w:p>
    <w:p>
      <w:pPr>
        <w:pStyle w:val="1277"/>
        <w:spacing w:line="480" w:lineRule="auto"/>
        <w:tabs>
          <w:tab w:val="right" w:pos="9344" w:leader="dot"/>
        </w:tabs>
        <w:rPr>
          <w:rFonts w:hint="eastAsia" w:ascii="宋体" w:hAnsi="宋体" w:eastAsia="宋体" w:cs="仿宋"/>
          <w:b/>
          <w:color w:val="000000"/>
          <w:sz w:val="28"/>
          <w:szCs w:val="21"/>
          <w:highlight w:val="none"/>
        </w:rPr>
      </w:pPr>
      <w:r>
        <w:rPr>
          <w:rFonts w:hint="eastAsia" w:ascii="宋体" w:hAnsi="宋体" w:eastAsia="宋体" w:cs="仿宋"/>
          <w:b/>
          <w:color w:val="000000"/>
          <w:sz w:val="28"/>
          <w:szCs w:val="21"/>
          <w:highlight w:val="none"/>
        </w:rPr>
        <w:fldChar w:fldCharType="end"/>
      </w:r>
      <w:r>
        <w:rPr>
          <w:rFonts w:hint="eastAsia" w:ascii="宋体" w:hAnsi="宋体" w:eastAsia="宋体" w:cs="仿宋"/>
          <w:b/>
          <w:color w:val="000000"/>
          <w:sz w:val="28"/>
          <w:szCs w:val="21"/>
          <w:highlight w:val="none"/>
        </w:rPr>
        <w:t xml:space="preserve">第六章 投标文件格式</w:t>
      </w:r>
      <w:r>
        <w:rPr>
          <w:rFonts w:hint="eastAsia" w:ascii="宋体" w:hAnsi="宋体" w:eastAsia="宋体" w:cs="仿宋"/>
          <w:b/>
          <w:color w:val="000000"/>
          <w:sz w:val="28"/>
          <w:szCs w:val="21"/>
          <w:highlight w:val="none"/>
        </w:rPr>
      </w:r>
      <w:r/>
    </w:p>
    <w:p>
      <w:pPr>
        <w:pStyle w:val="1011"/>
        <w:jc w:val="center"/>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011"/>
        <w:spacing w:line="360" w:lineRule="auto"/>
        <w:rPr>
          <w:rFonts w:hint="eastAsia" w:ascii="宋体" w:hAnsi="宋体" w:eastAsia="宋体" w:cs="仿宋"/>
          <w:b/>
          <w:color w:val="000000"/>
          <w:sz w:val="21"/>
          <w:szCs w:val="21"/>
          <w:highlight w:val="none"/>
        </w:rPr>
      </w:pPr>
      <w:r>
        <w:rPr>
          <w:rFonts w:hint="eastAsia" w:ascii="宋体" w:hAnsi="宋体" w:eastAsia="宋体" w:cs="仿宋"/>
          <w:b/>
          <w:color w:val="000000"/>
          <w:sz w:val="21"/>
          <w:szCs w:val="21"/>
          <w:highlight w:val="none"/>
        </w:rPr>
      </w:r>
      <w:r/>
    </w:p>
    <w:p>
      <w:pPr>
        <w:pStyle w:val="1011"/>
        <w:spacing w:line="360" w:lineRule="auto"/>
        <w:rPr>
          <w:rFonts w:hint="eastAsia" w:ascii="宋体" w:hAnsi="宋体" w:eastAsia="宋体" w:cs="仿宋"/>
          <w:b/>
          <w:color w:val="000000"/>
          <w:sz w:val="21"/>
          <w:szCs w:val="21"/>
          <w:highlight w:val="none"/>
        </w:rPr>
      </w:pPr>
      <w:r>
        <w:rPr>
          <w:rFonts w:hint="eastAsia" w:ascii="宋体" w:hAnsi="宋体" w:eastAsia="宋体" w:cs="仿宋"/>
          <w:b/>
          <w:color w:val="000000"/>
          <w:sz w:val="21"/>
          <w:szCs w:val="21"/>
          <w:highlight w:val="none"/>
        </w:rPr>
      </w:r>
      <w:r/>
    </w:p>
    <w:p>
      <w:pPr>
        <w:pStyle w:val="1011"/>
        <w:spacing w:line="360" w:lineRule="auto"/>
        <w:rPr>
          <w:rFonts w:hint="eastAsia" w:ascii="宋体" w:hAnsi="宋体" w:eastAsia="宋体" w:cs="仿宋"/>
          <w:b/>
          <w:color w:val="000000"/>
          <w:sz w:val="21"/>
          <w:szCs w:val="21"/>
          <w:highlight w:val="none"/>
        </w:rPr>
      </w:pPr>
      <w:r>
        <w:rPr>
          <w:rFonts w:hint="eastAsia" w:ascii="宋体" w:hAnsi="宋体" w:eastAsia="宋体" w:cs="仿宋"/>
          <w:b/>
          <w:color w:val="000000"/>
          <w:sz w:val="21"/>
          <w:szCs w:val="21"/>
          <w:highlight w:val="none"/>
        </w:rPr>
      </w:r>
      <w:r/>
    </w:p>
    <w:p>
      <w:pPr>
        <w:pStyle w:val="1011"/>
        <w:spacing w:line="360" w:lineRule="auto"/>
        <w:rPr>
          <w:rFonts w:hint="eastAsia" w:ascii="宋体" w:hAnsi="宋体" w:eastAsia="宋体" w:cs="仿宋"/>
          <w:b/>
          <w:color w:val="000000"/>
          <w:sz w:val="21"/>
          <w:szCs w:val="21"/>
          <w:highlight w:val="none"/>
        </w:rPr>
      </w:pPr>
      <w:r>
        <w:rPr>
          <w:rFonts w:hint="eastAsia" w:ascii="宋体" w:hAnsi="宋体" w:eastAsia="宋体" w:cs="仿宋"/>
          <w:b/>
          <w:color w:val="000000"/>
          <w:sz w:val="21"/>
          <w:szCs w:val="21"/>
          <w:highlight w:val="none"/>
        </w:rPr>
      </w:r>
      <w:r/>
    </w:p>
    <w:p>
      <w:pPr>
        <w:pStyle w:val="1011"/>
        <w:jc w:val="center"/>
        <w:spacing w:line="360" w:lineRule="auto"/>
        <w:widowControl/>
        <w:rPr>
          <w:rFonts w:hint="eastAsia" w:ascii="宋体" w:hAnsi="宋体" w:eastAsia="宋体" w:cs="仿宋"/>
          <w:b/>
          <w:color w:val="000000"/>
          <w:spacing w:val="15"/>
          <w:sz w:val="32"/>
          <w:szCs w:val="32"/>
          <w:highlight w:val="none"/>
        </w:rPr>
      </w:pPr>
      <w:r>
        <w:rPr>
          <w:rFonts w:hint="eastAsia" w:ascii="宋体" w:hAnsi="宋体" w:eastAsia="宋体" w:cs="仿宋"/>
          <w:color w:val="000000"/>
          <w:sz w:val="21"/>
          <w:szCs w:val="21"/>
          <w:highlight w:val="none"/>
        </w:rPr>
        <w:br w:type="page" w:clear="all"/>
      </w:r>
      <w:bookmarkStart w:id="0" w:name="_Toc409438817"/>
      <w:r/>
      <w:bookmarkStart w:id="1" w:name="_Toc388026584"/>
      <w:r>
        <w:rPr>
          <w:rFonts w:hint="eastAsia" w:ascii="宋体" w:hAnsi="宋体" w:eastAsia="宋体" w:cs="仿宋"/>
          <w:b/>
          <w:color w:val="000000"/>
          <w:spacing w:val="15"/>
          <w:sz w:val="32"/>
          <w:szCs w:val="32"/>
          <w:highlight w:val="none"/>
        </w:rPr>
        <w:t xml:space="preserve">第一章</w:t>
      </w:r>
      <w:r>
        <w:rPr>
          <w:rFonts w:hint="eastAsia" w:ascii="宋体" w:hAnsi="宋体" w:eastAsia="宋体" w:cs="宋体"/>
          <w:color w:val="000000"/>
          <w:sz w:val="32"/>
          <w:szCs w:val="32"/>
          <w:highlight w:val="none"/>
        </w:rPr>
        <w:t xml:space="preserve"> </w:t>
      </w:r>
      <w:bookmarkStart w:id="2" w:name="_Toc258329824"/>
      <w:r/>
      <w:bookmarkEnd w:id="2"/>
      <w:r/>
      <w:bookmarkStart w:id="3" w:name="_Toc417477665"/>
      <w:r/>
      <w:bookmarkEnd w:id="3"/>
      <w:r/>
      <w:bookmarkStart w:id="4" w:name="_Toc228679947"/>
      <w:r/>
      <w:bookmarkEnd w:id="4"/>
      <w:r>
        <w:rPr>
          <w:rFonts w:hint="eastAsia" w:ascii="宋体" w:hAnsi="宋体" w:eastAsia="宋体" w:cs="仿宋"/>
          <w:b/>
          <w:color w:val="000000"/>
          <w:spacing w:val="15"/>
          <w:sz w:val="32"/>
          <w:szCs w:val="32"/>
          <w:highlight w:val="none"/>
        </w:rPr>
        <w:t xml:space="preserve">招标公告</w:t>
      </w:r>
      <w:r>
        <w:rPr>
          <w:rFonts w:hint="eastAsia" w:ascii="宋体" w:hAnsi="宋体" w:eastAsia="宋体" w:cs="仿宋"/>
          <w:b/>
          <w:color w:val="000000"/>
          <w:spacing w:val="15"/>
          <w:sz w:val="32"/>
          <w:szCs w:val="32"/>
          <w:highlight w:val="none"/>
        </w:rPr>
      </w:r>
      <w:r/>
    </w:p>
    <w:p>
      <w:pPr>
        <w:pStyle w:val="1011"/>
        <w:spacing w:line="360" w:lineRule="auto"/>
        <w:rPr>
          <w:rFonts w:hint="eastAsia" w:ascii="宋体" w:hAnsi="宋体" w:eastAsia="宋体"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仿宋"/>
          <w:color w:val="000000"/>
          <w:sz w:val="24"/>
          <w:szCs w:val="24"/>
          <w:highlight w:val="none"/>
        </w:rPr>
        <w:t xml:space="preserve">项目概况</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仿宋"/>
          <w:color w:val="000000"/>
          <w:sz w:val="24"/>
          <w:szCs w:val="24"/>
          <w:highlight w:val="none"/>
          <w:u w:val="single"/>
          <w:lang w:val="en-US" w:eastAsia="zh-CN"/>
        </w:rPr>
        <w:t xml:space="preserve">泰州市第二人民医院智慧服务升级采购项目（二次）</w:t>
      </w:r>
      <w:r>
        <w:rPr>
          <w:rFonts w:hint="eastAsia" w:ascii="宋体" w:hAnsi="宋体" w:eastAsia="宋体" w:cs="仿宋"/>
          <w:color w:val="000000"/>
          <w:sz w:val="24"/>
          <w:szCs w:val="24"/>
          <w:highlight w:val="none"/>
        </w:rPr>
        <w:t xml:space="preserve">招标项目的潜在投标人可在</w:t>
      </w:r>
      <w:r>
        <w:rPr>
          <w:rFonts w:hint="eastAsia" w:ascii="宋体" w:hAnsi="宋体" w:eastAsia="宋体" w:cs="仿宋"/>
          <w:color w:val="000000"/>
          <w:sz w:val="24"/>
          <w:szCs w:val="24"/>
          <w:highlight w:val="none"/>
          <w:u w:val="single"/>
        </w:rPr>
        <w:t xml:space="preserve">“江苏政府采购网-苏采云”系统</w:t>
      </w:r>
      <w:r>
        <w:rPr>
          <w:rFonts w:hint="eastAsia" w:ascii="宋体" w:hAnsi="宋体" w:eastAsia="宋体" w:cs="仿宋"/>
          <w:color w:val="000000"/>
          <w:sz w:val="24"/>
          <w:szCs w:val="24"/>
          <w:highlight w:val="none"/>
        </w:rPr>
        <w:t xml:space="preserve">自行下载招标文件</w:t>
      </w:r>
      <w:r>
        <w:rPr>
          <w:color w:val="000000"/>
          <w:highlight w:val="none"/>
        </w:rPr>
        <w:fldChar w:fldCharType="begin"/>
      </w:r>
      <w:r>
        <w:rPr>
          <w:color w:val="000000"/>
          <w:highlight w:val="none"/>
        </w:rPr>
        <w:instrText xml:space="preserve"> HYPERLINK "http://jszfcg.jsczt.cn/）获取招标文件，并于2023年11月" \o "http://jszfcg.jsczt.cn/）获取招标文件，并于2023年11月" </w:instrText>
      </w:r>
      <w:r>
        <w:rPr>
          <w:color w:val="000000"/>
          <w:highlight w:val="none"/>
        </w:rPr>
        <w:fldChar w:fldCharType="separate"/>
      </w:r>
      <w:r>
        <w:rPr>
          <w:rStyle w:val="1070"/>
          <w:rFonts w:hint="eastAsia" w:ascii="宋体" w:hAnsi="宋体" w:eastAsia="宋体" w:cs="仿宋"/>
          <w:color w:val="000000"/>
          <w:sz w:val="24"/>
          <w:szCs w:val="24"/>
          <w:highlight w:val="none"/>
          <w:u w:val="none"/>
        </w:rPr>
        <w:t xml:space="preserve">，并于</w:t>
      </w:r>
      <w:r>
        <w:rPr>
          <w:rStyle w:val="1070"/>
          <w:rFonts w:hint="eastAsia" w:ascii="宋体" w:hAnsi="宋体" w:eastAsia="宋体" w:cs="仿宋"/>
          <w:color w:val="000000"/>
          <w:sz w:val="24"/>
          <w:szCs w:val="24"/>
          <w:highlight w:val="none"/>
        </w:rPr>
        <w:t xml:space="preserve">202</w:t>
      </w:r>
      <w:r>
        <w:rPr>
          <w:rStyle w:val="1070"/>
          <w:rFonts w:hint="eastAsia" w:ascii="宋体" w:hAnsi="宋体" w:eastAsia="宋体" w:cs="仿宋"/>
          <w:color w:val="000000"/>
          <w:sz w:val="24"/>
          <w:szCs w:val="24"/>
          <w:highlight w:val="none"/>
          <w:lang w:val="en-US" w:eastAsia="zh-CN"/>
        </w:rPr>
        <w:t xml:space="preserve">6</w:t>
      </w:r>
      <w:r>
        <w:rPr>
          <w:rStyle w:val="1070"/>
          <w:rFonts w:hint="eastAsia" w:ascii="宋体" w:hAnsi="宋体" w:eastAsia="宋体" w:cs="仿宋"/>
          <w:color w:val="000000"/>
          <w:sz w:val="24"/>
          <w:szCs w:val="24"/>
          <w:highlight w:val="none"/>
        </w:rPr>
        <w:t xml:space="preserve">年</w:t>
      </w:r>
      <w:r>
        <w:rPr>
          <w:rStyle w:val="1070"/>
          <w:rFonts w:hint="eastAsia" w:ascii="宋体" w:hAnsi="宋体" w:eastAsia="宋体" w:cs="仿宋"/>
          <w:color w:val="000000"/>
          <w:sz w:val="24"/>
          <w:szCs w:val="24"/>
          <w:highlight w:val="none"/>
          <w:lang w:val="en-US" w:eastAsia="zh-CN"/>
        </w:rPr>
        <w:t xml:space="preserve">02</w:t>
      </w:r>
      <w:r>
        <w:rPr>
          <w:rStyle w:val="1070"/>
          <w:rFonts w:hint="eastAsia" w:ascii="宋体" w:hAnsi="宋体" w:eastAsia="宋体" w:cs="仿宋"/>
          <w:color w:val="000000"/>
          <w:sz w:val="24"/>
          <w:szCs w:val="24"/>
          <w:highlight w:val="none"/>
        </w:rPr>
        <w:t xml:space="preserve">月</w:t>
      </w:r>
      <w:r>
        <w:rPr>
          <w:rStyle w:val="1070"/>
          <w:rFonts w:hint="eastAsia" w:ascii="宋体" w:hAnsi="宋体" w:eastAsia="宋体" w:cs="仿宋"/>
          <w:color w:val="000000"/>
          <w:sz w:val="24"/>
          <w:szCs w:val="24"/>
          <w:highlight w:val="none"/>
        </w:rPr>
        <w:fldChar w:fldCharType="end"/>
      </w:r>
      <w:r>
        <w:rPr>
          <w:rStyle w:val="1070"/>
          <w:rFonts w:hint="eastAsia" w:ascii="宋体" w:hAnsi="宋体" w:eastAsia="宋体" w:cs="仿宋"/>
          <w:color w:val="000000"/>
          <w:sz w:val="24"/>
          <w:szCs w:val="24"/>
          <w:highlight w:val="none"/>
          <w:lang w:val="en-US" w:eastAsia="zh-CN"/>
        </w:rPr>
        <w:t xml:space="preserve">  26</w:t>
      </w:r>
      <w:r>
        <w:rPr>
          <w:rFonts w:hint="eastAsia" w:ascii="宋体" w:hAnsi="宋体" w:eastAsia="宋体" w:cs="仿宋"/>
          <w:color w:val="000000"/>
          <w:sz w:val="24"/>
          <w:szCs w:val="24"/>
          <w:highlight w:val="none"/>
          <w:u w:val="single"/>
        </w:rPr>
        <w:t xml:space="preserve">日</w:t>
      </w:r>
      <w:r>
        <w:rPr>
          <w:rFonts w:hint="eastAsia" w:ascii="宋体" w:hAnsi="宋体" w:eastAsia="宋体" w:cs="仿宋"/>
          <w:color w:val="000000"/>
          <w:sz w:val="24"/>
          <w:szCs w:val="24"/>
          <w:highlight w:val="none"/>
          <w:u w:val="single"/>
          <w:lang w:val="en-US" w:eastAsia="zh-CN"/>
        </w:rPr>
        <w:t xml:space="preserve">09</w:t>
      </w:r>
      <w:r>
        <w:rPr>
          <w:rFonts w:hint="eastAsia" w:ascii="宋体" w:hAnsi="宋体" w:eastAsia="宋体" w:cs="仿宋"/>
          <w:color w:val="000000"/>
          <w:sz w:val="24"/>
          <w:szCs w:val="24"/>
          <w:highlight w:val="none"/>
          <w:u w:val="single"/>
        </w:rPr>
        <w:t xml:space="preserve">时</w:t>
      </w:r>
      <w:r>
        <w:rPr>
          <w:rFonts w:hint="eastAsia" w:ascii="宋体" w:hAnsi="宋体" w:eastAsia="宋体" w:cs="仿宋"/>
          <w:color w:val="000000"/>
          <w:sz w:val="24"/>
          <w:szCs w:val="24"/>
          <w:highlight w:val="none"/>
          <w:u w:val="single"/>
          <w:lang w:val="en-US" w:eastAsia="zh-CN"/>
        </w:rPr>
        <w:t xml:space="preserve">0</w:t>
      </w:r>
      <w:r>
        <w:rPr>
          <w:rFonts w:ascii="宋体" w:hAnsi="宋体" w:eastAsia="宋体" w:cs="仿宋"/>
          <w:color w:val="000000"/>
          <w:sz w:val="24"/>
          <w:szCs w:val="24"/>
          <w:highlight w:val="none"/>
          <w:u w:val="single"/>
        </w:rPr>
        <w:t xml:space="preserve">0</w:t>
      </w:r>
      <w:r>
        <w:rPr>
          <w:rFonts w:hint="eastAsia" w:ascii="宋体" w:hAnsi="宋体" w:eastAsia="宋体" w:cs="仿宋"/>
          <w:color w:val="000000"/>
          <w:sz w:val="24"/>
          <w:szCs w:val="24"/>
          <w:highlight w:val="none"/>
          <w:u w:val="single"/>
        </w:rPr>
        <w:t xml:space="preserve">分</w:t>
      </w:r>
      <w:r>
        <w:rPr>
          <w:rFonts w:hint="eastAsia" w:ascii="宋体" w:hAnsi="宋体" w:eastAsia="宋体" w:cs="仿宋"/>
          <w:bCs/>
          <w:color w:val="000000"/>
          <w:sz w:val="24"/>
          <w:szCs w:val="24"/>
          <w:highlight w:val="none"/>
        </w:rPr>
        <w:t xml:space="preserve">（北京时间）前上传投标文件</w:t>
      </w:r>
      <w:r>
        <w:rPr>
          <w:rFonts w:hint="eastAsia" w:ascii="宋体" w:hAnsi="宋体" w:eastAsia="宋体" w:cs="仿宋"/>
          <w:color w:val="000000"/>
          <w:sz w:val="24"/>
          <w:szCs w:val="24"/>
          <w:highlight w:val="none"/>
        </w:rPr>
        <w:t xml:space="preserve">。</w:t>
      </w:r>
      <w:r>
        <w:rPr>
          <w:rFonts w:hint="eastAsia" w:ascii="宋体" w:hAnsi="宋体" w:eastAsia="宋体" w:cs="仿宋"/>
          <w:color w:val="000000"/>
          <w:sz w:val="24"/>
          <w:szCs w:val="24"/>
          <w:highlight w:val="none"/>
        </w:rPr>
      </w:r>
      <w:r/>
    </w:p>
    <w:p>
      <w:pPr>
        <w:pStyle w:val="1279"/>
        <w:spacing w:before="0" w:after="0" w:line="500" w:lineRule="exact"/>
        <w:rPr>
          <w:rFonts w:hint="eastAsia" w:ascii="宋体" w:hAnsi="宋体" w:eastAsia="宋体" w:cs="仿宋"/>
          <w:bCs w:val="0"/>
          <w:color w:val="000000"/>
          <w:sz w:val="24"/>
          <w:szCs w:val="24"/>
          <w:highlight w:val="none"/>
        </w:rPr>
      </w:pPr>
      <w:r/>
      <w:bookmarkStart w:id="5" w:name="_Toc28359002"/>
      <w:r/>
      <w:bookmarkStart w:id="6" w:name="_Toc35393621"/>
      <w:r/>
      <w:bookmarkStart w:id="7" w:name="_Toc35393790"/>
      <w:r/>
      <w:bookmarkStart w:id="8" w:name="_Toc28359079"/>
      <w:r/>
      <w:bookmarkStart w:id="9" w:name="_Hlk24379207"/>
      <w:r>
        <w:rPr>
          <w:rFonts w:hint="eastAsia" w:ascii="宋体" w:hAnsi="宋体" w:eastAsia="宋体" w:cs="仿宋"/>
          <w:bCs w:val="0"/>
          <w:color w:val="000000"/>
          <w:sz w:val="24"/>
          <w:szCs w:val="24"/>
          <w:highlight w:val="none"/>
        </w:rPr>
        <w:t xml:space="preserve">一、项目基本情况</w:t>
      </w:r>
      <w:bookmarkEnd w:id="5"/>
      <w:r/>
      <w:bookmarkEnd w:id="6"/>
      <w:r/>
      <w:bookmarkEnd w:id="7"/>
      <w:r/>
      <w:bookmarkEnd w:id="8"/>
      <w:r>
        <w:rPr>
          <w:rFonts w:hint="eastAsia" w:ascii="宋体" w:hAnsi="宋体" w:eastAsia="宋体" w:cs="仿宋"/>
          <w:bCs w:val="0"/>
          <w:color w:val="000000"/>
          <w:sz w:val="24"/>
          <w:szCs w:val="24"/>
          <w:highlight w:val="none"/>
        </w:rPr>
      </w:r>
      <w:r/>
    </w:p>
    <w:p>
      <w:pPr>
        <w:pStyle w:val="1011"/>
        <w:ind w:firstLine="480"/>
        <w:spacing w:line="500" w:lineRule="exact"/>
        <w:rPr>
          <w:rFonts w:hint="eastAsia"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rPr>
        <w:t xml:space="preserve">项目编号：JSZC-321204-JITC-G2026-0026</w:t>
      </w:r>
      <w:r>
        <w:rPr>
          <w:rFonts w:hint="eastAsia" w:ascii="宋体" w:hAnsi="宋体" w:eastAsia="宋体" w:cs="仿宋"/>
          <w:color w:val="000000"/>
          <w:sz w:val="24"/>
          <w:szCs w:val="24"/>
          <w:highlight w:val="none"/>
          <w:lang w:eastAsia="zh-CN"/>
        </w:rPr>
      </w:r>
      <w:r/>
    </w:p>
    <w:p>
      <w:pPr>
        <w:pStyle w:val="1011"/>
        <w:ind w:firstLine="480"/>
        <w:spacing w:line="500" w:lineRule="exact"/>
        <w:rPr>
          <w:rFonts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rPr>
        <w:t xml:space="preserve">项目名称：</w:t>
      </w:r>
      <w:bookmarkEnd w:id="9"/>
      <w:r>
        <w:rPr>
          <w:rFonts w:hint="eastAsia" w:ascii="宋体" w:hAnsi="宋体" w:eastAsia="宋体" w:cs="仿宋"/>
          <w:color w:val="000000"/>
          <w:sz w:val="24"/>
          <w:szCs w:val="24"/>
          <w:highlight w:val="none"/>
          <w:lang w:val="en-US" w:eastAsia="zh-CN"/>
        </w:rPr>
        <w:t xml:space="preserve">泰州市第二人民医院智慧服务升级采购项目（二次）</w:t>
      </w:r>
      <w:r>
        <w:rPr>
          <w:rFonts w:ascii="宋体" w:hAnsi="宋体" w:eastAsia="宋体" w:cs="仿宋"/>
          <w:color w:val="000000"/>
          <w:sz w:val="24"/>
          <w:szCs w:val="24"/>
          <w:highlight w:val="none"/>
          <w:lang w:val="en-US" w:eastAsia="zh-CN"/>
        </w:rPr>
      </w:r>
      <w:r/>
    </w:p>
    <w:p>
      <w:pPr>
        <w:pStyle w:val="1011"/>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预算金额：</w:t>
      </w:r>
      <w:r>
        <w:rPr>
          <w:rFonts w:hint="eastAsia" w:ascii="宋体" w:hAnsi="宋体" w:eastAsia="宋体" w:cs="仿宋"/>
          <w:color w:val="000000"/>
          <w:sz w:val="24"/>
          <w:szCs w:val="24"/>
          <w:highlight w:val="none"/>
          <w:lang w:val="en-US" w:eastAsia="zh-CN"/>
        </w:rPr>
        <w:t xml:space="preserve">560.00</w:t>
      </w:r>
      <w:r>
        <w:rPr>
          <w:rFonts w:hint="eastAsia" w:ascii="宋体" w:hAnsi="宋体" w:eastAsia="宋体" w:cs="仿宋"/>
          <w:color w:val="000000"/>
          <w:sz w:val="24"/>
          <w:szCs w:val="24"/>
          <w:highlight w:val="none"/>
        </w:rPr>
        <w:t xml:space="preserve">万元</w:t>
      </w:r>
      <w:r>
        <w:rPr>
          <w:rFonts w:hint="eastAsia" w:ascii="宋体" w:hAnsi="宋体" w:eastAsia="宋体" w:cs="仿宋"/>
          <w:color w:val="000000"/>
          <w:sz w:val="24"/>
          <w:szCs w:val="24"/>
          <w:highlight w:val="none"/>
        </w:rPr>
      </w:r>
      <w:r/>
    </w:p>
    <w:p>
      <w:pPr>
        <w:pStyle w:val="1011"/>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最高限价：</w:t>
      </w:r>
      <w:r>
        <w:rPr>
          <w:rFonts w:hint="eastAsia" w:ascii="宋体" w:hAnsi="宋体" w:eastAsia="宋体" w:cs="仿宋"/>
          <w:color w:val="000000"/>
          <w:sz w:val="24"/>
          <w:szCs w:val="24"/>
          <w:highlight w:val="none"/>
          <w:lang w:val="en-US" w:eastAsia="zh-CN"/>
        </w:rPr>
        <w:t xml:space="preserve">560.00</w:t>
      </w:r>
      <w:r>
        <w:rPr>
          <w:rFonts w:hint="eastAsia" w:ascii="宋体" w:hAnsi="宋体" w:eastAsia="宋体" w:cs="仿宋"/>
          <w:color w:val="000000"/>
          <w:sz w:val="24"/>
          <w:szCs w:val="24"/>
          <w:highlight w:val="none"/>
        </w:rPr>
        <w:t xml:space="preserve">万元</w:t>
      </w:r>
      <w:r>
        <w:rPr>
          <w:rFonts w:hint="eastAsia" w:ascii="宋体" w:hAnsi="宋体" w:eastAsia="宋体" w:cs="仿宋"/>
          <w:color w:val="000000"/>
          <w:sz w:val="24"/>
          <w:szCs w:val="24"/>
          <w:highlight w:val="none"/>
        </w:rPr>
      </w:r>
      <w:r/>
    </w:p>
    <w:p>
      <w:pPr>
        <w:pStyle w:val="1011"/>
        <w:ind w:firstLine="480"/>
        <w:spacing w:line="500" w:lineRule="exact"/>
        <w:rPr>
          <w:strike/>
          <w:color w:val="000000"/>
          <w:u w:val="none"/>
        </w:rPr>
      </w:pPr>
      <w:r>
        <w:rPr>
          <w:rFonts w:hint="eastAsia" w:ascii="宋体" w:hAnsi="宋体" w:eastAsia="宋体" w:cs="仿宋"/>
          <w:color w:val="000000"/>
          <w:sz w:val="24"/>
          <w:szCs w:val="24"/>
          <w:highlight w:val="none"/>
        </w:rPr>
        <w:t xml:space="preserve">采购需求：</w:t>
      </w:r>
      <w:r>
        <w:rPr>
          <w:strike/>
          <w:color w:val="000000"/>
          <w:u w:val="none"/>
        </w:rPr>
      </w:r>
      <w:r/>
    </w:p>
    <w:p>
      <w:pPr>
        <w:pStyle w:val="1011"/>
        <w:ind w:firstLine="480"/>
        <w:spacing w:line="500" w:lineRule="exact"/>
        <w:rPr>
          <w:rFonts w:eastAsia="宋体"/>
          <w:strike/>
          <w:color w:val="000000"/>
          <w:highlight w:val="yellow"/>
          <w:u w:val="none"/>
          <w:lang w:val="en-US" w:eastAsia="zh-CN"/>
        </w:rPr>
      </w:pPr>
      <w:r>
        <w:rPr>
          <w:rFonts w:hint="eastAsia" w:ascii="宋体" w:hAnsi="宋体" w:eastAsia="宋体" w:cs="宋体"/>
          <w:color w:val="000000"/>
          <w:sz w:val="24"/>
          <w:szCs w:val="24"/>
          <w:lang w:val="en-US"/>
        </w:rPr>
        <w:t xml:space="preserve">本</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lang w:val="en-US"/>
        </w:rPr>
        <w:t xml:space="preserve">以互联网医院为核心，以服务居民健康为出发点，构建标准、开放、融合、创新、可持续运营的互联网医院生态平台，从医疗机构开始，有效连接并整合医疗资源、第三方服务机构资源及与居民健康相关的其他资源，通过“线上”和“线下”一体化的方式，共同为老百姓提供</w:t>
      </w:r>
      <w:r>
        <w:rPr>
          <w:rFonts w:hint="eastAsia" w:ascii="宋体" w:hAnsi="宋体" w:eastAsia="宋体" w:cs="宋体"/>
          <w:color w:val="000000"/>
          <w:sz w:val="24"/>
          <w:szCs w:val="24"/>
          <w:lang w:val="en-US" w:eastAsia="zh-CN"/>
        </w:rPr>
        <w:t xml:space="preserve">全方位</w:t>
      </w:r>
      <w:r>
        <w:rPr>
          <w:rFonts w:hint="eastAsia" w:ascii="宋体" w:hAnsi="宋体" w:eastAsia="宋体" w:cs="宋体"/>
          <w:color w:val="000000"/>
          <w:sz w:val="24"/>
          <w:szCs w:val="24"/>
          <w:lang w:val="en-US"/>
        </w:rPr>
        <w:t xml:space="preserve">健康服务，满足人民群众多层次多样化的健康需求，</w:t>
      </w:r>
      <w:r>
        <w:rPr>
          <w:rFonts w:hint="eastAsia" w:ascii="宋体" w:hAnsi="宋体" w:eastAsia="宋体" w:cs="宋体"/>
          <w:color w:val="000000"/>
          <w:sz w:val="24"/>
          <w:szCs w:val="24"/>
          <w:lang w:val="en-US" w:eastAsia="zh-CN"/>
        </w:rPr>
        <w:t xml:space="preserve">需采购互联网医院软件集成</w:t>
      </w:r>
      <w:r>
        <w:rPr>
          <w:rFonts w:hint="eastAsia" w:ascii="宋体" w:hAnsi="宋体" w:eastAsia="宋体" w:cs="宋体"/>
          <w:color w:val="000000"/>
          <w:sz w:val="24"/>
          <w:szCs w:val="24"/>
          <w:highlight w:val="none"/>
          <w:lang w:val="en-US" w:eastAsia="zh-CN"/>
        </w:rPr>
        <w:t xml:space="preserve">、医院药学信息管理系统软件集成及升级、随访管理系统软件集成及升级、院内导航系统软件集成，</w:t>
      </w:r>
      <w:r>
        <w:rPr>
          <w:rFonts w:hint="eastAsia" w:ascii="宋体" w:hAnsi="宋体" w:eastAsia="宋体" w:cs="宋体"/>
          <w:color w:val="000000"/>
          <w:sz w:val="24"/>
          <w:szCs w:val="24"/>
          <w:lang w:val="en-US"/>
        </w:rPr>
        <w:t xml:space="preserve">最终</w:t>
      </w:r>
      <w:r>
        <w:rPr>
          <w:rFonts w:hint="eastAsia" w:ascii="宋体" w:hAnsi="宋体" w:eastAsia="宋体" w:cs="宋体"/>
          <w:color w:val="000000"/>
          <w:sz w:val="24"/>
          <w:szCs w:val="24"/>
          <w:lang w:val="en-US" w:eastAsia="zh-CN"/>
        </w:rPr>
        <w:t xml:space="preserve">目标是</w:t>
      </w:r>
      <w:r>
        <w:rPr>
          <w:rFonts w:hint="eastAsia" w:ascii="宋体" w:hAnsi="宋体" w:eastAsia="宋体" w:cs="宋体"/>
          <w:color w:val="000000"/>
          <w:sz w:val="24"/>
          <w:szCs w:val="24"/>
          <w:lang w:val="en-US"/>
        </w:rPr>
        <w:t xml:space="preserve">通过国家卫健委《医院智慧</w:t>
      </w:r>
      <w:r>
        <w:rPr>
          <w:rFonts w:hint="eastAsia" w:ascii="宋体" w:hAnsi="宋体" w:eastAsia="宋体" w:cs="宋体"/>
          <w:color w:val="000000"/>
          <w:sz w:val="24"/>
          <w:szCs w:val="24"/>
          <w:lang w:val="en-US" w:eastAsia="zh-CN"/>
        </w:rPr>
        <w:t xml:space="preserve">服务</w:t>
      </w:r>
      <w:r>
        <w:rPr>
          <w:rFonts w:hint="eastAsia" w:ascii="宋体" w:hAnsi="宋体" w:eastAsia="宋体" w:cs="宋体"/>
          <w:color w:val="000000"/>
          <w:sz w:val="24"/>
          <w:szCs w:val="24"/>
          <w:lang w:val="en-US"/>
        </w:rPr>
        <w:t xml:space="preserve">分级评估标准体系（试行）》三级评审</w:t>
      </w:r>
      <w:r>
        <w:rPr>
          <w:rFonts w:hint="eastAsia" w:ascii="宋体" w:hAnsi="宋体" w:eastAsia="宋体" w:cs="宋体"/>
          <w:color w:val="000000"/>
          <w:sz w:val="24"/>
          <w:szCs w:val="24"/>
          <w:lang w:val="en-US" w:eastAsia="zh-CN"/>
        </w:rPr>
        <w:t xml:space="preserve">。</w:t>
      </w:r>
      <w:r>
        <w:rPr>
          <w:rFonts w:eastAsia="宋体"/>
          <w:strike/>
          <w:color w:val="000000"/>
          <w:highlight w:val="yellow"/>
          <w:u w:val="none"/>
          <w:lang w:val="en-US" w:eastAsia="zh-CN"/>
        </w:rPr>
      </w:r>
      <w:r/>
    </w:p>
    <w:p>
      <w:pPr>
        <w:pStyle w:val="1011"/>
        <w:ind w:firstLine="480"/>
        <w:spacing w:line="500" w:lineRule="exact"/>
        <w:rPr>
          <w:rFonts w:hint="eastAsia" w:ascii="宋体" w:hAnsi="宋体" w:eastAsia="宋体" w:cs="宋体"/>
          <w:bCs/>
          <w:color w:val="000000"/>
          <w:sz w:val="24"/>
          <w:szCs w:val="24"/>
          <w:highlight w:val="none"/>
          <w:lang w:val="en-US" w:eastAsia="zh-CN"/>
        </w:rPr>
      </w:pPr>
      <w:r>
        <w:rPr>
          <w:rFonts w:hint="eastAsia" w:ascii="宋体" w:hAnsi="宋体" w:eastAsia="宋体" w:cs="仿宋"/>
          <w:color w:val="000000"/>
          <w:sz w:val="24"/>
          <w:szCs w:val="24"/>
          <w:highlight w:val="none"/>
        </w:rPr>
        <w:t xml:space="preserve">合同履行期限：</w:t>
      </w:r>
      <w:bookmarkStart w:id="10" w:name="OLE_LINK4"/>
      <w:r>
        <w:rPr>
          <w:rFonts w:hint="eastAsia" w:ascii="宋体" w:hAnsi="宋体" w:eastAsia="宋体" w:cs="宋体"/>
          <w:bCs/>
          <w:color w:val="000000"/>
          <w:sz w:val="24"/>
          <w:szCs w:val="24"/>
          <w:highlight w:val="none"/>
          <w:lang w:val="en-US" w:eastAsia="zh-CN"/>
        </w:rPr>
        <w:t xml:space="preserve">550个工作日</w:t>
      </w:r>
      <w:r>
        <w:rPr>
          <w:rFonts w:hint="eastAsia" w:ascii="宋体" w:hAnsi="宋体" w:eastAsia="宋体" w:cs="宋体"/>
          <w:bCs/>
          <w:color w:val="000000"/>
          <w:sz w:val="24"/>
          <w:szCs w:val="24"/>
          <w:highlight w:val="none"/>
          <w:lang w:val="en-US" w:eastAsia="zh-CN"/>
        </w:rPr>
      </w:r>
      <w:r/>
    </w:p>
    <w:p>
      <w:pPr>
        <w:pStyle w:val="1011"/>
        <w:numPr>
          <w:ilvl w:val="0"/>
          <w:numId w:val="0"/>
        </w:numPr>
        <w:ind w:left="0" w:firstLine="480"/>
        <w:spacing w:line="500" w:lineRule="exact"/>
        <w:rPr>
          <w:rFonts w:hint="eastAsia" w:ascii="宋体" w:hAnsi="宋体" w:eastAsia="宋体" w:cs="宋体"/>
          <w:bCs/>
          <w:color w:val="000000"/>
          <w:sz w:val="24"/>
          <w:szCs w:val="24"/>
          <w:highlight w:val="none"/>
          <w:u w:val="none"/>
          <w:lang w:val="en-US" w:eastAsia="zh-CN"/>
        </w:rPr>
      </w:pPr>
      <w:r>
        <w:rPr>
          <w:rFonts w:hint="eastAsia" w:ascii="宋体" w:hAnsi="宋体" w:eastAsia="宋体" w:cs="仿宋"/>
          <w:color w:val="000000"/>
          <w:sz w:val="24"/>
          <w:szCs w:val="24"/>
          <w:lang w:eastAsia="zh-CN"/>
        </w:rPr>
        <w:t xml:space="preserve">本项目（是/否）接受联合体：是。</w:t>
      </w:r>
      <w:r>
        <w:rPr>
          <w:rFonts w:hint="eastAsia" w:ascii="Times New Roman" w:hAnsi="Times New Roman" w:eastAsia="宋体" w:cs="Times New Roman"/>
          <w:color w:val="000000"/>
          <w:sz w:val="24"/>
          <w:u w:val="none"/>
        </w:rPr>
        <w:t xml:space="preserve">联合体投标的，联合体所有成员数量不得超过 </w:t>
      </w:r>
      <w:r>
        <w:rPr>
          <w:rFonts w:hint="eastAsia" w:ascii="Times New Roman" w:hAnsi="Times New Roman" w:eastAsia="宋体" w:cs="Times New Roman"/>
          <w:color w:val="000000"/>
          <w:sz w:val="24"/>
          <w:u w:val="none"/>
          <w:lang w:val="en-US" w:eastAsia="zh-CN"/>
        </w:rPr>
        <w:t xml:space="preserve">2</w:t>
      </w:r>
      <w:r>
        <w:rPr>
          <w:rFonts w:hint="eastAsia" w:ascii="Times New Roman" w:hAnsi="Times New Roman" w:eastAsia="宋体" w:cs="Times New Roman"/>
          <w:color w:val="000000"/>
          <w:sz w:val="24"/>
          <w:u w:val="none"/>
        </w:rPr>
        <w:t xml:space="preserve"> 家</w:t>
      </w:r>
      <w:r>
        <w:rPr>
          <w:rFonts w:hint="eastAsia" w:eastAsia="宋体" w:cs="Times New Roman"/>
          <w:color w:val="000000"/>
          <w:sz w:val="24"/>
          <w:u w:val="none"/>
          <w:lang w:eastAsia="zh-CN"/>
        </w:rPr>
        <w:t xml:space="preserve">。</w:t>
      </w:r>
      <w:r>
        <w:rPr>
          <w:rFonts w:hint="eastAsia" w:ascii="宋体" w:hAnsi="宋体" w:eastAsia="宋体" w:cs="宋体"/>
          <w:bCs/>
          <w:color w:val="000000"/>
          <w:sz w:val="24"/>
          <w:szCs w:val="24"/>
          <w:highlight w:val="none"/>
          <w:u w:val="none"/>
          <w:lang w:val="en-US" w:eastAsia="zh-CN"/>
        </w:rPr>
      </w:r>
      <w:r/>
    </w:p>
    <w:p>
      <w:pPr>
        <w:pStyle w:val="1279"/>
        <w:spacing w:before="0" w:after="0" w:line="500" w:lineRule="exact"/>
        <w:rPr>
          <w:rFonts w:hint="eastAsia" w:ascii="宋体" w:hAnsi="宋体" w:eastAsia="宋体" w:cs="仿宋"/>
          <w:bCs w:val="0"/>
          <w:color w:val="000000"/>
          <w:sz w:val="24"/>
          <w:szCs w:val="24"/>
          <w:highlight w:val="none"/>
        </w:rPr>
      </w:pPr>
      <w:r/>
      <w:bookmarkEnd w:id="10"/>
      <w:r/>
      <w:bookmarkStart w:id="11" w:name="_Toc28359080"/>
      <w:r/>
      <w:bookmarkStart w:id="12" w:name="_Toc35393622"/>
      <w:r/>
      <w:bookmarkStart w:id="13" w:name="_Toc28359003"/>
      <w:r/>
      <w:bookmarkStart w:id="14" w:name="_Toc35393791"/>
      <w:r>
        <w:rPr>
          <w:rFonts w:hint="eastAsia" w:ascii="宋体" w:hAnsi="宋体" w:eastAsia="宋体" w:cs="仿宋"/>
          <w:bCs w:val="0"/>
          <w:color w:val="000000"/>
          <w:sz w:val="24"/>
          <w:szCs w:val="24"/>
          <w:highlight w:val="none"/>
        </w:rPr>
        <w:t xml:space="preserve">二、申请人的资格要求：</w:t>
      </w:r>
      <w:bookmarkEnd w:id="11"/>
      <w:r/>
      <w:bookmarkEnd w:id="12"/>
      <w:r/>
      <w:bookmarkEnd w:id="13"/>
      <w:r/>
      <w:bookmarkEnd w:id="14"/>
      <w:r>
        <w:rPr>
          <w:rFonts w:hint="eastAsia" w:ascii="宋体" w:hAnsi="宋体" w:eastAsia="宋体" w:cs="仿宋"/>
          <w:bCs w:val="0"/>
          <w:color w:val="000000"/>
          <w:sz w:val="24"/>
          <w:szCs w:val="24"/>
          <w:highlight w:val="none"/>
        </w:rPr>
      </w:r>
      <w:r/>
    </w:p>
    <w:p>
      <w:pPr>
        <w:pStyle w:val="1011"/>
        <w:ind w:firstLine="480"/>
        <w:spacing w:line="500" w:lineRule="exact"/>
        <w:rPr>
          <w:rFonts w:hint="eastAsia" w:ascii="宋体" w:hAnsi="宋体" w:eastAsia="宋体" w:cs="仿宋"/>
          <w:b/>
          <w:bCs/>
          <w:color w:val="000000"/>
          <w:sz w:val="24"/>
          <w:szCs w:val="24"/>
          <w:highlight w:val="none"/>
        </w:rPr>
      </w:pPr>
      <w:r/>
      <w:bookmarkStart w:id="15" w:name="_Toc28359004"/>
      <w:r/>
      <w:bookmarkStart w:id="16" w:name="_Toc28359081"/>
      <w:r>
        <w:rPr>
          <w:rFonts w:hint="eastAsia" w:ascii="宋体" w:hAnsi="宋体" w:eastAsia="宋体" w:cs="仿宋"/>
          <w:b/>
          <w:bCs/>
          <w:color w:val="000000"/>
          <w:sz w:val="24"/>
          <w:szCs w:val="24"/>
          <w:highlight w:val="none"/>
        </w:rPr>
        <w:t xml:space="preserve">1、满足《中华人民共和国政府采购法》第二十二条规定。</w:t>
      </w:r>
      <w:r>
        <w:rPr>
          <w:rFonts w:hint="eastAsia" w:ascii="宋体" w:hAnsi="宋体" w:eastAsia="宋体" w:cs="仿宋"/>
          <w:b/>
          <w:bCs/>
          <w:color w:val="000000"/>
          <w:sz w:val="24"/>
          <w:szCs w:val="24"/>
          <w:highlight w:val="none"/>
        </w:rPr>
      </w:r>
      <w:r/>
    </w:p>
    <w:p>
      <w:pPr>
        <w:pStyle w:val="1011"/>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（1）具有独立承担民事责任的能力；</w:t>
      </w:r>
      <w:r>
        <w:rPr>
          <w:rFonts w:hint="eastAsia" w:ascii="宋体" w:hAnsi="宋体" w:eastAsia="宋体" w:cs="仿宋"/>
          <w:color w:val="000000"/>
          <w:sz w:val="24"/>
          <w:szCs w:val="24"/>
          <w:highlight w:val="none"/>
        </w:rPr>
      </w:r>
      <w:r/>
    </w:p>
    <w:p>
      <w:pPr>
        <w:pStyle w:val="1011"/>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（2）具有良好的商业信誉和健全的财务会计制度；</w:t>
      </w:r>
      <w:r>
        <w:rPr>
          <w:rFonts w:hint="eastAsia" w:ascii="宋体" w:hAnsi="宋体" w:eastAsia="宋体" w:cs="仿宋"/>
          <w:color w:val="000000"/>
          <w:sz w:val="24"/>
          <w:szCs w:val="24"/>
          <w:highlight w:val="none"/>
        </w:rPr>
      </w:r>
      <w:r/>
    </w:p>
    <w:p>
      <w:pPr>
        <w:pStyle w:val="1011"/>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（3）具有履行合同所必</w:t>
      </w:r>
      <w:r>
        <w:rPr>
          <w:rFonts w:hint="eastAsia" w:ascii="宋体" w:hAnsi="宋体" w:eastAsia="宋体" w:cs="仿宋"/>
          <w:color w:val="000000"/>
          <w:sz w:val="24"/>
          <w:szCs w:val="24"/>
          <w:highlight w:val="none"/>
          <w:lang w:val="en-US" w:eastAsia="zh-CN"/>
        </w:rPr>
        <w:t xml:space="preserve">需</w:t>
      </w:r>
      <w:r>
        <w:rPr>
          <w:rFonts w:hint="eastAsia" w:ascii="宋体" w:hAnsi="宋体" w:eastAsia="宋体" w:cs="仿宋"/>
          <w:color w:val="000000"/>
          <w:sz w:val="24"/>
          <w:szCs w:val="24"/>
          <w:highlight w:val="none"/>
        </w:rPr>
        <w:t xml:space="preserve">的设备和专业技术能力；</w:t>
      </w:r>
      <w:r>
        <w:rPr>
          <w:rFonts w:hint="eastAsia" w:ascii="宋体" w:hAnsi="宋体" w:eastAsia="宋体" w:cs="仿宋"/>
          <w:color w:val="000000"/>
          <w:sz w:val="24"/>
          <w:szCs w:val="24"/>
          <w:highlight w:val="none"/>
        </w:rPr>
      </w:r>
      <w:r/>
    </w:p>
    <w:p>
      <w:pPr>
        <w:pStyle w:val="1011"/>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（4）有依法缴纳税收和社会保障资金的良好记录；</w:t>
      </w:r>
      <w:r>
        <w:rPr>
          <w:rFonts w:hint="eastAsia" w:ascii="宋体" w:hAnsi="宋体" w:eastAsia="宋体" w:cs="仿宋"/>
          <w:color w:val="000000"/>
          <w:sz w:val="24"/>
          <w:szCs w:val="24"/>
          <w:highlight w:val="none"/>
        </w:rPr>
      </w:r>
      <w:r/>
    </w:p>
    <w:p>
      <w:pPr>
        <w:pStyle w:val="1011"/>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（5）参加采购活动前三年内，在经营活动中没有重大违法记录；</w:t>
      </w:r>
      <w:r>
        <w:rPr>
          <w:rFonts w:hint="eastAsia" w:ascii="宋体" w:hAnsi="宋体" w:eastAsia="宋体" w:cs="仿宋"/>
          <w:color w:val="000000"/>
          <w:sz w:val="24"/>
          <w:szCs w:val="24"/>
          <w:highlight w:val="none"/>
        </w:rPr>
      </w:r>
      <w:r/>
    </w:p>
    <w:p>
      <w:pPr>
        <w:pStyle w:val="1011"/>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（6）法律、行政法规规定的其他条件。</w:t>
      </w:r>
      <w:r>
        <w:rPr>
          <w:rFonts w:hint="eastAsia" w:ascii="宋体" w:hAnsi="宋体" w:eastAsia="宋体" w:cs="仿宋"/>
          <w:color w:val="000000"/>
          <w:sz w:val="24"/>
          <w:szCs w:val="24"/>
          <w:highlight w:val="none"/>
        </w:rPr>
      </w:r>
      <w:r/>
    </w:p>
    <w:p>
      <w:pPr>
        <w:pStyle w:val="1011"/>
        <w:ind w:firstLine="480"/>
        <w:spacing w:line="500" w:lineRule="exact"/>
        <w:rPr>
          <w:rFonts w:hint="eastAsia" w:ascii="宋体" w:hAnsi="宋体" w:eastAsia="宋体" w:cs="仿宋"/>
          <w:bCs/>
          <w:color w:val="000000"/>
          <w:sz w:val="24"/>
          <w:szCs w:val="24"/>
          <w:highlight w:val="none"/>
        </w:rPr>
      </w:pPr>
      <w:r>
        <w:rPr>
          <w:rFonts w:hint="eastAsia" w:ascii="宋体" w:hAnsi="宋体" w:eastAsia="宋体" w:cs="仿宋"/>
          <w:b/>
          <w:bCs/>
          <w:color w:val="000000"/>
          <w:sz w:val="24"/>
          <w:szCs w:val="24"/>
          <w:highlight w:val="none"/>
          <w:lang w:val="en-US" w:eastAsia="zh-CN"/>
        </w:rPr>
        <w:t xml:space="preserve">2</w:t>
      </w:r>
      <w:r>
        <w:rPr>
          <w:rFonts w:hint="eastAsia" w:ascii="宋体" w:hAnsi="宋体" w:eastAsia="宋体" w:cs="仿宋"/>
          <w:b/>
          <w:bCs/>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rPr>
        <w:t xml:space="preserve">本项目不专门面向中小微企业，对符合条件的小型和微型企业、残疾人福利单位、监狱企业给予10%的价格扣除，用扣除后的价格参与评审。</w:t>
      </w:r>
      <w:r>
        <w:rPr>
          <w:rFonts w:hint="eastAsia" w:ascii="宋体" w:hAnsi="宋体" w:eastAsia="宋体" w:cs="仿宋"/>
          <w:bCs/>
          <w:color w:val="000000"/>
          <w:sz w:val="24"/>
          <w:szCs w:val="24"/>
          <w:highlight w:val="none"/>
        </w:rPr>
      </w:r>
      <w:r/>
    </w:p>
    <w:p>
      <w:pPr>
        <w:pStyle w:val="1011"/>
        <w:ind w:firstLine="488"/>
        <w:jc w:val="both"/>
        <w:spacing w:after="0" w:line="499" w:lineRule="atLeast"/>
        <w:rPr>
          <w:rFonts w:ascii="宋体" w:hAnsi="宋体" w:eastAsia="宋体"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仿宋"/>
          <w:b/>
          <w:bCs/>
          <w:color w:val="000000"/>
          <w:sz w:val="24"/>
          <w:szCs w:val="24"/>
          <w:highlight w:val="none"/>
        </w:rPr>
        <w:t xml:space="preserve">3、本项目的特定资格要求：</w:t>
      </w:r>
      <w:r>
        <w:rPr>
          <w:rFonts w:ascii="宋体" w:hAnsi="宋体" w:eastAsia="宋体" w:cs="仿宋"/>
          <w:b/>
          <w:bCs/>
          <w:color w:val="000000"/>
          <w:sz w:val="24"/>
          <w:szCs w:val="24"/>
          <w:highlight w:val="none"/>
        </w:rPr>
        <w:t xml:space="preserve"> </w:t>
      </w:r>
      <w:r>
        <w:rPr>
          <w:rFonts w:ascii="宋体" w:hAnsi="宋体" w:eastAsia="宋体" w:cs="仿宋"/>
          <w:b/>
          <w:bCs/>
          <w:color w:val="000000"/>
          <w:sz w:val="24"/>
          <w:szCs w:val="24"/>
          <w:highlight w:val="none"/>
        </w:rPr>
      </w:r>
      <w:r/>
    </w:p>
    <w:p>
      <w:pPr>
        <w:pStyle w:val="1011"/>
        <w:ind w:firstLine="488"/>
        <w:jc w:val="both"/>
        <w:spacing w:after="0" w:line="49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3.1特定资格条件：无。</w:t>
      </w:r>
      <w:r>
        <w:rPr>
          <w:rFonts w:hint="eastAsia" w:ascii="宋体" w:hAnsi="宋体" w:eastAsia="宋体" w:cs="宋体"/>
          <w:color w:val="000000"/>
          <w:sz w:val="24"/>
          <w:szCs w:val="24"/>
          <w:highlight w:val="none"/>
        </w:rPr>
      </w:r>
      <w:r/>
    </w:p>
    <w:p>
      <w:pPr>
        <w:pStyle w:val="1011"/>
        <w:ind w:firstLine="488"/>
        <w:jc w:val="both"/>
        <w:spacing w:after="0" w:line="499"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供应商存在下列情形的不得参加本次采购活动：</w:t>
      </w:r>
      <w:r>
        <w:rPr>
          <w:rFonts w:hint="eastAsia" w:ascii="宋体" w:hAnsi="宋体" w:eastAsia="宋体" w:cs="宋体"/>
          <w:b/>
          <w:bCs/>
          <w:color w:val="000000"/>
          <w:sz w:val="24"/>
          <w:szCs w:val="24"/>
          <w:highlight w:val="none"/>
        </w:rPr>
      </w:r>
      <w:r/>
    </w:p>
    <w:p>
      <w:pPr>
        <w:pStyle w:val="1011"/>
        <w:ind w:firstLine="488"/>
        <w:jc w:val="both"/>
        <w:spacing w:after="0" w:line="49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1011"/>
        <w:ind w:firstLine="488"/>
        <w:jc w:val="both"/>
        <w:spacing w:after="0" w:line="49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.2除单一来源项目外，凡为采购项目提供整体设计、规范编制或者项目管理、监理、检测等服务的供应商不得再参加本项目的采购活动。</w:t>
      </w:r>
      <w:r>
        <w:rPr>
          <w:rFonts w:hint="eastAsia" w:ascii="宋体" w:hAnsi="宋体" w:eastAsia="宋体" w:cs="宋体"/>
          <w:color w:val="000000"/>
          <w:sz w:val="24"/>
          <w:szCs w:val="24"/>
          <w:highlight w:val="none"/>
        </w:rPr>
      </w:r>
      <w:r/>
    </w:p>
    <w:p>
      <w:pPr>
        <w:pStyle w:val="1011"/>
        <w:ind w:firstLine="488"/>
        <w:jc w:val="both"/>
        <w:spacing w:after="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.3通过“信用中国”网站（http://www.creditchina.gov.cn）、中国政府采购网（www.ccgp.gov.cn）查询供应商的信用记录，通过以上查询渠道，供应商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包括联合体各方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被列入失信被执行人、重大税收违法案件当事人名单、政府采购严重违法失信行为记录。</w:t>
      </w:r>
      <w:r>
        <w:rPr>
          <w:rFonts w:ascii="宋体" w:hAnsi="宋体" w:eastAsia="宋体" w:cs="宋体"/>
          <w:color w:val="000000"/>
          <w:sz w:val="24"/>
          <w:highlight w:val="none"/>
        </w:rPr>
      </w:r>
      <w:r/>
    </w:p>
    <w:p>
      <w:pPr>
        <w:pStyle w:val="1279"/>
        <w:spacing w:before="0" w:after="0" w:line="500" w:lineRule="exact"/>
        <w:rPr>
          <w:rFonts w:hint="eastAsia" w:ascii="宋体" w:hAnsi="宋体" w:eastAsia="宋体" w:cs="仿宋"/>
          <w:bCs w:val="0"/>
          <w:color w:val="000000"/>
          <w:sz w:val="24"/>
          <w:szCs w:val="24"/>
          <w:highlight w:val="none"/>
        </w:rPr>
      </w:pPr>
      <w:r/>
      <w:bookmarkStart w:id="17" w:name="_Toc35393623"/>
      <w:r/>
      <w:bookmarkStart w:id="18" w:name="_Toc35393792"/>
      <w:r>
        <w:rPr>
          <w:rFonts w:hint="eastAsia" w:ascii="宋体" w:hAnsi="宋体" w:eastAsia="宋体" w:cs="仿宋"/>
          <w:bCs w:val="0"/>
          <w:color w:val="000000"/>
          <w:sz w:val="24"/>
          <w:szCs w:val="24"/>
          <w:highlight w:val="none"/>
        </w:rPr>
        <w:t xml:space="preserve">三、获取招标文件</w:t>
      </w:r>
      <w:bookmarkEnd w:id="15"/>
      <w:r/>
      <w:bookmarkEnd w:id="16"/>
      <w:r/>
      <w:bookmarkEnd w:id="17"/>
      <w:r/>
      <w:bookmarkEnd w:id="18"/>
      <w:r>
        <w:rPr>
          <w:rFonts w:hint="eastAsia" w:ascii="宋体" w:hAnsi="宋体" w:eastAsia="宋体" w:cs="仿宋"/>
          <w:bCs w:val="0"/>
          <w:color w:val="000000"/>
          <w:sz w:val="24"/>
          <w:szCs w:val="24"/>
          <w:highlight w:val="none"/>
        </w:rPr>
        <w:t xml:space="preserve">：</w:t>
      </w:r>
      <w:r>
        <w:rPr>
          <w:rFonts w:hint="eastAsia" w:ascii="宋体" w:hAnsi="宋体" w:eastAsia="宋体" w:cs="仿宋"/>
          <w:bCs w:val="0"/>
          <w:color w:val="000000"/>
          <w:sz w:val="24"/>
          <w:szCs w:val="24"/>
          <w:highlight w:val="none"/>
        </w:rPr>
      </w:r>
      <w:r/>
    </w:p>
    <w:p>
      <w:pPr>
        <w:pStyle w:val="1011"/>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时间：自招标文件公告发布之日起5个工作日。</w:t>
      </w:r>
      <w:r>
        <w:rPr>
          <w:rFonts w:hint="eastAsia" w:ascii="宋体" w:hAnsi="宋体" w:eastAsia="宋体" w:cs="仿宋"/>
          <w:color w:val="000000"/>
          <w:sz w:val="24"/>
          <w:szCs w:val="24"/>
          <w:highlight w:val="none"/>
        </w:rPr>
      </w:r>
      <w:r/>
    </w:p>
    <w:p>
      <w:pPr>
        <w:pStyle w:val="1011"/>
        <w:ind w:firstLine="480"/>
        <w:jc w:val="left"/>
        <w:spacing w:line="400" w:lineRule="exact"/>
        <w:tabs>
          <w:tab w:val="left" w:pos="360"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地点：投标人完成注册并办理CA证书后登录“江苏政府采购‘苏采云’系统”下载本项目招标文件。</w:t>
      </w:r>
      <w:r>
        <w:rPr>
          <w:rFonts w:eastAsia="宋体"/>
          <w:color w:val="000000"/>
          <w:sz w:val="24"/>
        </w:rPr>
        <w:t xml:space="preserve">联合体投标的，联合体成员均应注册，并由联合体牵头人登录电子采购平台完成招标文件下载。</w:t>
      </w:r>
      <w:r>
        <w:rPr>
          <w:rFonts w:hint="eastAsia" w:ascii="宋体" w:hAnsi="宋体" w:eastAsia="宋体" w:cs="仿宋"/>
          <w:color w:val="000000"/>
          <w:sz w:val="24"/>
          <w:szCs w:val="24"/>
          <w:highlight w:val="none"/>
        </w:rPr>
      </w:r>
      <w:r/>
    </w:p>
    <w:p>
      <w:pPr>
        <w:pStyle w:val="1011"/>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方式：登录江苏政府采购“苏采云”系统免费下载。</w:t>
      </w:r>
      <w:r>
        <w:rPr>
          <w:rFonts w:hint="eastAsia" w:ascii="宋体" w:hAnsi="宋体" w:eastAsia="宋体" w:cs="仿宋"/>
          <w:color w:val="000000"/>
          <w:sz w:val="24"/>
          <w:szCs w:val="24"/>
          <w:highlight w:val="none"/>
        </w:rPr>
      </w:r>
      <w:r/>
    </w:p>
    <w:p>
      <w:pPr>
        <w:pStyle w:val="1011"/>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售价：免费。</w:t>
      </w:r>
      <w:r>
        <w:rPr>
          <w:rFonts w:hint="eastAsia" w:ascii="宋体" w:hAnsi="宋体" w:eastAsia="宋体" w:cs="仿宋"/>
          <w:color w:val="000000"/>
          <w:sz w:val="24"/>
          <w:szCs w:val="24"/>
          <w:highlight w:val="none"/>
        </w:rPr>
      </w:r>
      <w:r/>
    </w:p>
    <w:p>
      <w:pPr>
        <w:pStyle w:val="1011"/>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注意事项：</w:t>
      </w:r>
      <w:r>
        <w:rPr>
          <w:rFonts w:hint="eastAsia" w:ascii="宋体" w:hAnsi="宋体" w:eastAsia="宋体" w:cs="仿宋"/>
          <w:color w:val="000000"/>
          <w:sz w:val="24"/>
          <w:szCs w:val="24"/>
          <w:highlight w:val="none"/>
        </w:rPr>
      </w:r>
      <w:r/>
    </w:p>
    <w:p>
      <w:pPr>
        <w:pStyle w:val="1011"/>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本项目采用网上注册登记方式。</w:t>
      </w:r>
      <w:r>
        <w:rPr>
          <w:rFonts w:hint="eastAsia" w:ascii="宋体" w:hAnsi="宋体" w:eastAsia="宋体" w:cs="仿宋"/>
          <w:color w:val="000000"/>
          <w:sz w:val="24"/>
          <w:szCs w:val="24"/>
          <w:highlight w:val="none"/>
        </w:rPr>
      </w:r>
      <w:r/>
    </w:p>
    <w:p>
      <w:pPr>
        <w:pStyle w:val="1011"/>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1.潜在投标人访问电子招标投标交易平台的网络地址和方法：</w:t>
      </w:r>
      <w:r>
        <w:rPr>
          <w:rFonts w:hint="eastAsia" w:ascii="宋体" w:hAnsi="宋体" w:eastAsia="宋体" w:cs="仿宋"/>
          <w:color w:val="000000"/>
          <w:sz w:val="24"/>
          <w:szCs w:val="24"/>
          <w:highlight w:val="none"/>
        </w:rPr>
      </w:r>
      <w:r/>
    </w:p>
    <w:p>
      <w:pPr>
        <w:pStyle w:val="1011"/>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（1）登录 http://jszfcg.jsczt.cn/，点击“苏采云”进入系统。</w:t>
      </w:r>
      <w:r>
        <w:rPr>
          <w:rFonts w:hint="eastAsia" w:ascii="宋体" w:hAnsi="宋体" w:eastAsia="宋体" w:cs="仿宋"/>
          <w:color w:val="000000"/>
          <w:sz w:val="24"/>
          <w:szCs w:val="24"/>
          <w:highlight w:val="none"/>
        </w:rPr>
      </w:r>
      <w:r/>
    </w:p>
    <w:p>
      <w:pPr>
        <w:pStyle w:val="1011"/>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rPr>
          <w:rFonts w:hint="eastAsia" w:ascii="宋体" w:hAnsi="宋体" w:eastAsia="宋体" w:cs="仿宋"/>
          <w:color w:val="000000"/>
          <w:sz w:val="24"/>
          <w:szCs w:val="24"/>
          <w:highlight w:val="none"/>
        </w:rPr>
      </w:r>
      <w:r/>
    </w:p>
    <w:p>
      <w:pPr>
        <w:pStyle w:val="1011"/>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2.采购代理机构将数据电文形式的招标文件加载至电子招标投标交易平台，供潜在投标人下载或者查阅。</w:t>
      </w:r>
      <w:r>
        <w:rPr>
          <w:rFonts w:hint="eastAsia" w:ascii="宋体" w:hAnsi="宋体" w:eastAsia="宋体" w:cs="仿宋"/>
          <w:color w:val="000000"/>
          <w:sz w:val="24"/>
          <w:szCs w:val="24"/>
          <w:highlight w:val="none"/>
        </w:rPr>
      </w:r>
      <w:r/>
    </w:p>
    <w:p>
      <w:pPr>
        <w:pStyle w:val="1011"/>
        <w:ind w:firstLine="48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3.如潜在投标人未按上述要求操作，将自行承担所产生的风险。</w:t>
      </w:r>
      <w:r>
        <w:rPr>
          <w:rFonts w:hint="eastAsia" w:ascii="宋体" w:hAnsi="宋体" w:eastAsia="宋体" w:cs="仿宋"/>
          <w:color w:val="000000"/>
          <w:sz w:val="24"/>
          <w:szCs w:val="24"/>
          <w:highlight w:val="none"/>
        </w:rPr>
      </w:r>
      <w:r/>
    </w:p>
    <w:p>
      <w:pPr>
        <w:pStyle w:val="1279"/>
        <w:spacing w:before="0" w:after="0" w:line="500" w:lineRule="exact"/>
        <w:rPr>
          <w:rFonts w:hint="eastAsia" w:ascii="宋体" w:hAnsi="宋体" w:eastAsia="宋体" w:cs="仿宋"/>
          <w:bCs w:val="0"/>
          <w:color w:val="000000"/>
          <w:sz w:val="24"/>
          <w:szCs w:val="24"/>
          <w:highlight w:val="none"/>
        </w:rPr>
      </w:pPr>
      <w:r/>
      <w:bookmarkStart w:id="19" w:name="_Toc28359082"/>
      <w:r/>
      <w:bookmarkStart w:id="20" w:name="_Toc28359005"/>
      <w:r/>
      <w:bookmarkStart w:id="21" w:name="_Toc35393624"/>
      <w:r/>
      <w:bookmarkStart w:id="22" w:name="_Toc35393793"/>
      <w:r>
        <w:rPr>
          <w:rFonts w:hint="eastAsia" w:ascii="宋体" w:hAnsi="宋体" w:eastAsia="宋体" w:cs="仿宋"/>
          <w:bCs w:val="0"/>
          <w:color w:val="000000"/>
          <w:sz w:val="24"/>
          <w:szCs w:val="24"/>
          <w:highlight w:val="none"/>
        </w:rPr>
        <w:t xml:space="preserve">四、提交投标文件</w:t>
      </w:r>
      <w:bookmarkEnd w:id="19"/>
      <w:r/>
      <w:bookmarkEnd w:id="20"/>
      <w:r>
        <w:rPr>
          <w:rFonts w:hint="eastAsia" w:ascii="宋体" w:hAnsi="宋体" w:eastAsia="宋体" w:cs="仿宋"/>
          <w:bCs w:val="0"/>
          <w:color w:val="000000"/>
          <w:sz w:val="24"/>
          <w:szCs w:val="24"/>
          <w:highlight w:val="none"/>
        </w:rPr>
        <w:t xml:space="preserve">截止时间、开标时间和地点</w:t>
      </w:r>
      <w:bookmarkEnd w:id="21"/>
      <w:r/>
      <w:bookmarkEnd w:id="22"/>
      <w:r>
        <w:rPr>
          <w:rFonts w:hint="eastAsia" w:ascii="宋体" w:hAnsi="宋体" w:eastAsia="宋体" w:cs="仿宋"/>
          <w:bCs w:val="0"/>
          <w:color w:val="000000"/>
          <w:sz w:val="24"/>
          <w:szCs w:val="24"/>
          <w:highlight w:val="none"/>
        </w:rPr>
      </w:r>
      <w:r/>
    </w:p>
    <w:p>
      <w:pPr>
        <w:pStyle w:val="1011"/>
        <w:ind w:firstLine="488"/>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时间：202</w:t>
      </w:r>
      <w:r>
        <w:rPr>
          <w:rFonts w:hint="eastAsia" w:ascii="宋体" w:hAnsi="宋体" w:eastAsia="宋体" w:cs="仿宋"/>
          <w:color w:val="000000"/>
          <w:sz w:val="24"/>
          <w:szCs w:val="24"/>
          <w:highlight w:val="none"/>
          <w:lang w:val="en-US" w:eastAsia="zh-CN"/>
        </w:rPr>
        <w:t xml:space="preserve">6</w:t>
      </w:r>
      <w:r>
        <w:rPr>
          <w:rFonts w:hint="eastAsia" w:ascii="宋体" w:hAnsi="宋体" w:eastAsia="宋体" w:cs="仿宋"/>
          <w:color w:val="000000"/>
          <w:sz w:val="24"/>
          <w:szCs w:val="24"/>
          <w:highlight w:val="none"/>
        </w:rPr>
        <w:t xml:space="preserve">年</w:t>
      </w:r>
      <w:r>
        <w:rPr>
          <w:rFonts w:hint="eastAsia" w:ascii="宋体" w:hAnsi="宋体" w:eastAsia="宋体" w:cs="仿宋"/>
          <w:color w:val="000000"/>
          <w:sz w:val="24"/>
          <w:szCs w:val="24"/>
          <w:highlight w:val="none"/>
          <w:lang w:val="en-US" w:eastAsia="zh-CN"/>
        </w:rPr>
        <w:t xml:space="preserve">02月26日09</w:t>
      </w:r>
      <w:r>
        <w:rPr>
          <w:rFonts w:hint="eastAsia" w:ascii="宋体" w:hAnsi="宋体" w:eastAsia="宋体" w:cs="仿宋"/>
          <w:color w:val="000000"/>
          <w:sz w:val="24"/>
          <w:szCs w:val="24"/>
          <w:highlight w:val="none"/>
        </w:rPr>
        <w:t xml:space="preserve">时</w:t>
      </w:r>
      <w:r>
        <w:rPr>
          <w:rFonts w:hint="eastAsia" w:ascii="宋体" w:hAnsi="宋体" w:eastAsia="宋体" w:cs="仿宋"/>
          <w:color w:val="000000"/>
          <w:sz w:val="24"/>
          <w:szCs w:val="24"/>
          <w:highlight w:val="none"/>
          <w:lang w:val="en-US" w:eastAsia="zh-CN"/>
        </w:rPr>
        <w:t xml:space="preserve">00</w:t>
      </w:r>
      <w:r>
        <w:rPr>
          <w:rFonts w:hint="eastAsia" w:ascii="宋体" w:hAnsi="宋体" w:eastAsia="宋体" w:cs="仿宋"/>
          <w:color w:val="000000"/>
          <w:sz w:val="24"/>
          <w:szCs w:val="24"/>
          <w:highlight w:val="none"/>
        </w:rPr>
        <w:t xml:space="preserve">分（北京时间）</w:t>
      </w:r>
      <w:r>
        <w:rPr>
          <w:rFonts w:hint="eastAsia" w:ascii="宋体" w:hAnsi="宋体" w:eastAsia="宋体" w:cs="仿宋"/>
          <w:color w:val="000000"/>
          <w:sz w:val="24"/>
          <w:szCs w:val="24"/>
          <w:highlight w:val="none"/>
        </w:rPr>
      </w:r>
      <w:r/>
    </w:p>
    <w:p>
      <w:pPr>
        <w:pStyle w:val="1011"/>
        <w:ind w:firstLine="540"/>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地点：江苏政府采购“苏采云”系统不见面开标大厅</w:t>
      </w:r>
      <w:r>
        <w:rPr>
          <w:rFonts w:hint="eastAsia" w:ascii="宋体" w:hAnsi="宋体" w:eastAsia="宋体" w:cs="仿宋"/>
          <w:color w:val="000000"/>
          <w:sz w:val="24"/>
          <w:szCs w:val="24"/>
          <w:highlight w:val="none"/>
        </w:rPr>
      </w:r>
      <w:r/>
    </w:p>
    <w:p>
      <w:pPr>
        <w:pStyle w:val="1279"/>
        <w:spacing w:before="0" w:after="0" w:line="500" w:lineRule="exact"/>
        <w:rPr>
          <w:rFonts w:hint="eastAsia" w:ascii="宋体" w:hAnsi="宋体" w:eastAsia="宋体" w:cs="仿宋"/>
          <w:bCs w:val="0"/>
          <w:color w:val="000000"/>
          <w:sz w:val="24"/>
          <w:szCs w:val="24"/>
          <w:highlight w:val="none"/>
        </w:rPr>
      </w:pPr>
      <w:r/>
      <w:bookmarkStart w:id="23" w:name="_Toc35393625"/>
      <w:r/>
      <w:bookmarkStart w:id="24" w:name="_Toc35393794"/>
      <w:r/>
      <w:bookmarkStart w:id="25" w:name="_Toc28359084"/>
      <w:r/>
      <w:bookmarkStart w:id="26" w:name="_Toc28359007"/>
      <w:r>
        <w:rPr>
          <w:rFonts w:hint="eastAsia" w:ascii="宋体" w:hAnsi="宋体" w:eastAsia="宋体" w:cs="仿宋"/>
          <w:bCs w:val="0"/>
          <w:color w:val="000000"/>
          <w:sz w:val="24"/>
          <w:szCs w:val="24"/>
          <w:highlight w:val="none"/>
        </w:rPr>
        <w:t xml:space="preserve">五、公告期限</w:t>
      </w:r>
      <w:bookmarkEnd w:id="23"/>
      <w:r/>
      <w:bookmarkEnd w:id="24"/>
      <w:r/>
      <w:bookmarkEnd w:id="25"/>
      <w:r/>
      <w:bookmarkEnd w:id="26"/>
      <w:r>
        <w:rPr>
          <w:rFonts w:hint="eastAsia" w:ascii="宋体" w:hAnsi="宋体" w:eastAsia="宋体" w:cs="仿宋"/>
          <w:bCs w:val="0"/>
          <w:color w:val="000000"/>
          <w:sz w:val="24"/>
          <w:szCs w:val="24"/>
          <w:highlight w:val="none"/>
        </w:rPr>
      </w:r>
      <w:r/>
    </w:p>
    <w:p>
      <w:pPr>
        <w:pStyle w:val="1011"/>
        <w:ind w:firstLine="488"/>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自本公告发布之日起5个工作日。 </w:t>
      </w:r>
      <w:r>
        <w:rPr>
          <w:rFonts w:hint="eastAsia" w:ascii="宋体" w:hAnsi="宋体" w:eastAsia="宋体" w:cs="仿宋"/>
          <w:color w:val="000000"/>
          <w:sz w:val="24"/>
          <w:szCs w:val="24"/>
          <w:highlight w:val="none"/>
        </w:rPr>
      </w:r>
      <w:r/>
    </w:p>
    <w:p>
      <w:pPr>
        <w:pStyle w:val="1279"/>
        <w:spacing w:before="0" w:after="0" w:line="500" w:lineRule="exact"/>
        <w:rPr>
          <w:rFonts w:hint="eastAsia" w:ascii="宋体" w:hAnsi="宋体" w:eastAsia="宋体" w:cs="仿宋"/>
          <w:bCs w:val="0"/>
          <w:color w:val="000000"/>
          <w:sz w:val="24"/>
          <w:szCs w:val="24"/>
          <w:highlight w:val="none"/>
        </w:rPr>
      </w:pPr>
      <w:r/>
      <w:bookmarkStart w:id="27" w:name="_Toc35393626"/>
      <w:r/>
      <w:bookmarkStart w:id="28" w:name="_Toc35393795"/>
      <w:r>
        <w:rPr>
          <w:rFonts w:hint="eastAsia" w:ascii="宋体" w:hAnsi="宋体" w:eastAsia="宋体" w:cs="仿宋"/>
          <w:bCs w:val="0"/>
          <w:color w:val="000000"/>
          <w:sz w:val="24"/>
          <w:szCs w:val="24"/>
          <w:highlight w:val="none"/>
        </w:rPr>
        <w:t xml:space="preserve">六、其他补充事宜</w:t>
      </w:r>
      <w:bookmarkEnd w:id="27"/>
      <w:r/>
      <w:bookmarkEnd w:id="28"/>
      <w:r>
        <w:rPr>
          <w:rFonts w:hint="eastAsia" w:ascii="宋体" w:hAnsi="宋体" w:eastAsia="宋体" w:cs="仿宋"/>
          <w:bCs w:val="0"/>
          <w:color w:val="000000"/>
          <w:sz w:val="24"/>
          <w:szCs w:val="24"/>
          <w:highlight w:val="none"/>
        </w:rPr>
      </w:r>
      <w:r/>
    </w:p>
    <w:p>
      <w:pPr>
        <w:pStyle w:val="1137"/>
        <w:ind w:firstLine="480"/>
        <w:keepLines w:val="0"/>
        <w:keepNext w:val="0"/>
        <w:spacing w:before="0" w:after="0" w:line="500" w:lineRule="exact"/>
        <w:rPr>
          <w:rFonts w:hint="eastAsia" w:ascii="宋体" w:hAnsi="宋体" w:eastAsia="宋体" w:cs="仿宋"/>
          <w:b w:val="0"/>
          <w:bCs w:val="0"/>
          <w:color w:val="000000"/>
          <w:sz w:val="24"/>
          <w:szCs w:val="24"/>
          <w:highlight w:val="none"/>
        </w:rPr>
      </w:pPr>
      <w:r/>
      <w:bookmarkStart w:id="29" w:name="_Toc28359008"/>
      <w:r/>
      <w:bookmarkStart w:id="30" w:name="_Toc28359085"/>
      <w:r/>
      <w:bookmarkStart w:id="31" w:name="_Toc35393627"/>
      <w:r/>
      <w:bookmarkStart w:id="32" w:name="_Toc35393796"/>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一</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政府采购支持政策:</w:t>
      </w:r>
      <w:r>
        <w:rPr>
          <w:rFonts w:hint="eastAsia" w:ascii="宋体" w:hAnsi="宋体" w:eastAsia="宋体" w:cs="仿宋"/>
          <w:b w:val="0"/>
          <w:bCs w:val="0"/>
          <w:color w:val="000000"/>
          <w:sz w:val="24"/>
          <w:szCs w:val="24"/>
          <w:highlight w:val="none"/>
        </w:rPr>
      </w:r>
      <w:r/>
    </w:p>
    <w:p>
      <w:pPr>
        <w:pStyle w:val="1137"/>
        <w:ind w:firstLine="480"/>
        <w:keepLines w:val="0"/>
        <w:keepNext w:val="0"/>
        <w:spacing w:before="0" w:after="0" w:line="50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val="en-US" w:eastAsia="zh-CN"/>
        </w:rPr>
        <w:t xml:space="preserve">1</w:t>
      </w:r>
      <w:r>
        <w:rPr>
          <w:rFonts w:hint="eastAsia" w:ascii="宋体" w:hAnsi="宋体" w:eastAsia="宋体" w:cs="仿宋"/>
          <w:b w:val="0"/>
          <w:bCs w:val="0"/>
          <w:color w:val="000000"/>
          <w:sz w:val="24"/>
          <w:szCs w:val="24"/>
          <w:highlight w:val="none"/>
        </w:rPr>
        <w:t xml:space="preserve">）《政府采购促进中小企业发展管理办法》</w:t>
      </w:r>
      <w:r>
        <w:rPr>
          <w:rFonts w:hint="eastAsia" w:ascii="宋体" w:hAnsi="宋体" w:eastAsia="宋体" w:cs="仿宋"/>
          <w:b w:val="0"/>
          <w:bCs w:val="0"/>
          <w:color w:val="000000"/>
          <w:sz w:val="24"/>
          <w:szCs w:val="24"/>
          <w:highlight w:val="none"/>
        </w:rPr>
      </w:r>
      <w:r/>
    </w:p>
    <w:p>
      <w:pPr>
        <w:pStyle w:val="1137"/>
        <w:ind w:firstLine="480"/>
        <w:keepLines w:val="0"/>
        <w:keepNext w:val="0"/>
        <w:spacing w:before="0" w:after="0" w:line="50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val="en-US" w:eastAsia="zh-CN"/>
        </w:rPr>
        <w:t xml:space="preserve">2</w:t>
      </w:r>
      <w:r>
        <w:rPr>
          <w:rFonts w:hint="eastAsia" w:ascii="宋体" w:hAnsi="宋体" w:eastAsia="宋体" w:cs="仿宋"/>
          <w:b w:val="0"/>
          <w:bCs w:val="0"/>
          <w:color w:val="000000"/>
          <w:sz w:val="24"/>
          <w:szCs w:val="24"/>
          <w:highlight w:val="none"/>
        </w:rPr>
        <w:t xml:space="preserve">）《关于政府采购支持监狱企业发展有关问题的通知》</w:t>
      </w:r>
      <w:r>
        <w:rPr>
          <w:rFonts w:hint="eastAsia" w:ascii="宋体" w:hAnsi="宋体" w:eastAsia="宋体" w:cs="仿宋"/>
          <w:b w:val="0"/>
          <w:bCs w:val="0"/>
          <w:color w:val="000000"/>
          <w:sz w:val="24"/>
          <w:szCs w:val="24"/>
          <w:highlight w:val="none"/>
        </w:rPr>
      </w:r>
      <w:r/>
    </w:p>
    <w:p>
      <w:pPr>
        <w:pStyle w:val="1137"/>
        <w:ind w:firstLine="480"/>
        <w:keepLines w:val="0"/>
        <w:keepNext w:val="0"/>
        <w:spacing w:before="0" w:after="0" w:line="50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val="en-US" w:eastAsia="zh-CN"/>
        </w:rPr>
        <w:t xml:space="preserve">3</w:t>
      </w:r>
      <w:r>
        <w:rPr>
          <w:rFonts w:hint="eastAsia" w:ascii="宋体" w:hAnsi="宋体" w:eastAsia="宋体" w:cs="仿宋"/>
          <w:b w:val="0"/>
          <w:bCs w:val="0"/>
          <w:color w:val="000000"/>
          <w:sz w:val="24"/>
          <w:szCs w:val="24"/>
          <w:highlight w:val="none"/>
        </w:rPr>
        <w:t xml:space="preserve">）《关于促进残疾人就业政府采购政策的通知》</w:t>
      </w:r>
      <w:r>
        <w:rPr>
          <w:rFonts w:hint="eastAsia" w:ascii="宋体" w:hAnsi="宋体" w:eastAsia="宋体" w:cs="仿宋"/>
          <w:b w:val="0"/>
          <w:bCs w:val="0"/>
          <w:color w:val="000000"/>
          <w:sz w:val="24"/>
          <w:szCs w:val="24"/>
          <w:highlight w:val="none"/>
        </w:rPr>
      </w:r>
      <w:r/>
    </w:p>
    <w:p>
      <w:pPr>
        <w:pStyle w:val="1137"/>
        <w:ind w:firstLine="480"/>
        <w:keepLines w:val="0"/>
        <w:keepNext w:val="0"/>
        <w:spacing w:before="0" w:after="0" w:line="50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val="en-US" w:eastAsia="zh-CN"/>
        </w:rPr>
        <w:t xml:space="preserve">4</w:t>
      </w:r>
      <w:r>
        <w:rPr>
          <w:rFonts w:hint="eastAsia" w:ascii="宋体" w:hAnsi="宋体" w:eastAsia="宋体" w:cs="仿宋"/>
          <w:b w:val="0"/>
          <w:bCs w:val="0"/>
          <w:color w:val="000000"/>
          <w:sz w:val="24"/>
          <w:szCs w:val="24"/>
          <w:highlight w:val="none"/>
        </w:rPr>
        <w:t xml:space="preserve">）《关于调整优化节能产品、环境标志产品政府采购执行机制的通知》</w:t>
      </w:r>
      <w:r>
        <w:rPr>
          <w:rFonts w:hint="eastAsia" w:ascii="宋体" w:hAnsi="宋体" w:eastAsia="宋体" w:cs="仿宋"/>
          <w:b w:val="0"/>
          <w:bCs w:val="0"/>
          <w:color w:val="000000"/>
          <w:sz w:val="24"/>
          <w:szCs w:val="24"/>
          <w:highlight w:val="none"/>
        </w:rPr>
      </w:r>
      <w:r/>
    </w:p>
    <w:p>
      <w:pPr>
        <w:pStyle w:val="1137"/>
        <w:ind w:firstLine="480"/>
        <w:keepLines w:val="0"/>
        <w:keepNext w:val="0"/>
        <w:spacing w:before="0" w:after="0" w:line="50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val="en-US" w:eastAsia="zh-CN"/>
        </w:rPr>
        <w:t xml:space="preserve">5</w:t>
      </w:r>
      <w:r>
        <w:rPr>
          <w:rFonts w:hint="eastAsia" w:ascii="宋体" w:hAnsi="宋体" w:eastAsia="宋体" w:cs="仿宋"/>
          <w:b w:val="0"/>
          <w:bCs w:val="0"/>
          <w:color w:val="000000"/>
          <w:sz w:val="24"/>
          <w:szCs w:val="24"/>
          <w:highlight w:val="none"/>
        </w:rPr>
        <w:t xml:space="preserve">）《关于做好政府采购支持企业发展有关事项的通知》</w:t>
      </w:r>
      <w:r>
        <w:rPr>
          <w:rFonts w:hint="eastAsia" w:ascii="宋体" w:hAnsi="宋体" w:eastAsia="宋体" w:cs="仿宋"/>
          <w:b w:val="0"/>
          <w:bCs w:val="0"/>
          <w:color w:val="000000"/>
          <w:sz w:val="24"/>
          <w:szCs w:val="24"/>
          <w:highlight w:val="none"/>
        </w:rPr>
      </w:r>
      <w:r/>
    </w:p>
    <w:p>
      <w:pPr>
        <w:pStyle w:val="1137"/>
        <w:ind w:firstLine="480"/>
        <w:keepLines w:val="0"/>
        <w:keepNext w:val="0"/>
        <w:spacing w:before="0" w:after="0" w:line="50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val="en-US" w:eastAsia="zh-CN"/>
        </w:rPr>
        <w:t xml:space="preserve">6</w:t>
      </w:r>
      <w:r>
        <w:rPr>
          <w:rFonts w:hint="eastAsia" w:ascii="宋体" w:hAnsi="宋体" w:eastAsia="宋体" w:cs="仿宋"/>
          <w:b w:val="0"/>
          <w:bCs w:val="0"/>
          <w:color w:val="000000"/>
          <w:sz w:val="24"/>
          <w:szCs w:val="24"/>
          <w:highlight w:val="none"/>
        </w:rPr>
        <w:t xml:space="preserve">）《国务院办公厅关于在政府采购中实施本国产品标准及相关政策的通知》</w:t>
      </w:r>
      <w:r>
        <w:rPr>
          <w:rFonts w:hint="eastAsia" w:ascii="宋体" w:hAnsi="宋体" w:eastAsia="宋体" w:cs="仿宋"/>
          <w:b w:val="0"/>
          <w:bCs w:val="0"/>
          <w:color w:val="000000"/>
          <w:sz w:val="24"/>
          <w:szCs w:val="24"/>
          <w:highlight w:val="none"/>
        </w:rPr>
      </w:r>
      <w:r/>
    </w:p>
    <w:p>
      <w:pPr>
        <w:pStyle w:val="1137"/>
        <w:ind w:firstLine="480"/>
        <w:keepLines w:val="0"/>
        <w:keepNext w:val="0"/>
        <w:spacing w:before="0" w:after="0" w:line="50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val="en-US" w:eastAsia="zh-CN"/>
        </w:rPr>
        <w:t xml:space="preserve">二</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t xml:space="preserve">投标保证金</w:t>
      </w:r>
      <w:r>
        <w:rPr>
          <w:rFonts w:hint="eastAsia" w:ascii="宋体" w:hAnsi="宋体" w:eastAsia="宋体" w:cs="仿宋"/>
          <w:b w:val="0"/>
          <w:bCs w:val="0"/>
          <w:color w:val="000000"/>
          <w:sz w:val="24"/>
          <w:szCs w:val="24"/>
          <w:highlight w:val="none"/>
        </w:rPr>
      </w:r>
      <w:r/>
    </w:p>
    <w:p>
      <w:pPr>
        <w:pStyle w:val="1137"/>
        <w:ind w:firstLine="480"/>
        <w:keepLines w:val="0"/>
        <w:keepNext w:val="0"/>
        <w:spacing w:before="0" w:after="0" w:line="50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本项目不收取投标保证金。</w:t>
      </w:r>
      <w:r>
        <w:rPr>
          <w:rFonts w:hint="eastAsia" w:ascii="宋体" w:hAnsi="宋体" w:eastAsia="宋体" w:cs="仿宋"/>
          <w:b w:val="0"/>
          <w:bCs w:val="0"/>
          <w:color w:val="000000"/>
          <w:sz w:val="24"/>
          <w:szCs w:val="24"/>
          <w:highlight w:val="none"/>
        </w:rPr>
      </w:r>
      <w:r/>
    </w:p>
    <w:p>
      <w:pPr>
        <w:pStyle w:val="1137"/>
        <w:ind w:firstLine="480"/>
        <w:keepLines w:val="0"/>
        <w:keepNext w:val="0"/>
        <w:spacing w:before="0" w:after="0" w:line="500" w:lineRule="exact"/>
        <w:rPr>
          <w:rFonts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三</w:t>
      </w:r>
      <w:r>
        <w:rPr>
          <w:rFonts w:hint="eastAsia" w:ascii="宋体" w:hAnsi="宋体" w:cs="宋体"/>
          <w:b w:val="0"/>
          <w:bCs w:val="0"/>
          <w:color w:val="000000"/>
          <w:sz w:val="24"/>
          <w:szCs w:val="24"/>
          <w:highlight w:val="none"/>
          <w:lang w:eastAsia="zh-CN"/>
        </w:rPr>
        <w:t xml:space="preserve">）现场踏勘：投标人自行踏勘。（请各投标人对项目现场进行自主踏勘，未现场踏勘和未提出疑义的投标人被视为已踏勘，认同采购项目要求的内容，由此造成的后果由投标人负责）。</w:t>
      </w:r>
      <w:r>
        <w:rPr>
          <w:rFonts w:ascii="宋体" w:hAnsi="宋体" w:cs="宋体"/>
          <w:b w:val="0"/>
          <w:bCs w:val="0"/>
          <w:color w:val="000000"/>
          <w:sz w:val="24"/>
          <w:szCs w:val="24"/>
          <w:highlight w:val="none"/>
          <w:lang w:eastAsia="zh-CN"/>
        </w:rPr>
      </w:r>
      <w:r/>
    </w:p>
    <w:p>
      <w:pPr>
        <w:pStyle w:val="1137"/>
        <w:ind w:firstLine="480"/>
        <w:spacing w:before="0" w:after="0" w:line="50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val="en-US" w:eastAsia="zh-CN"/>
        </w:rPr>
        <w:t xml:space="preserve">四</w:t>
      </w:r>
      <w:r>
        <w:rPr>
          <w:rFonts w:hint="eastAsia" w:ascii="宋体" w:hAnsi="宋体" w:eastAsia="宋体" w:cs="仿宋"/>
          <w:b w:val="0"/>
          <w:bCs w:val="0"/>
          <w:color w:val="000000"/>
          <w:sz w:val="24"/>
          <w:szCs w:val="24"/>
          <w:highlight w:val="none"/>
        </w:rPr>
        <w:t xml:space="preserve">）在评标结束前，各投标人授权代表应保持手机畅通，以便及时澄清答疑。</w:t>
      </w:r>
      <w:r>
        <w:rPr>
          <w:rFonts w:hint="eastAsia" w:ascii="宋体" w:hAnsi="宋体" w:eastAsia="宋体" w:cs="仿宋"/>
          <w:b w:val="0"/>
          <w:bCs w:val="0"/>
          <w:color w:val="000000"/>
          <w:sz w:val="24"/>
          <w:szCs w:val="24"/>
          <w:highlight w:val="none"/>
        </w:rPr>
      </w:r>
      <w:r/>
    </w:p>
    <w:p>
      <w:pPr>
        <w:pStyle w:val="1311"/>
        <w:ind w:firstLine="480"/>
        <w:keepLines w:val="0"/>
        <w:keepNext w:val="0"/>
        <w:spacing w:before="0" w:after="0" w:line="500" w:lineRule="exact"/>
        <w:rPr>
          <w:rFonts w:hint="eastAsia"/>
          <w:color w:val="000000"/>
          <w:highlight w:val="none"/>
        </w:rPr>
      </w:pP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val="en-US" w:eastAsia="zh-CN"/>
        </w:rPr>
        <w:t xml:space="preserve">五</w:t>
      </w:r>
      <w:r>
        <w:rPr>
          <w:rFonts w:hint="eastAsia" w:ascii="宋体" w:hAnsi="宋体" w:eastAsia="宋体" w:cs="仿宋"/>
          <w:b w:val="0"/>
          <w:bCs w:val="0"/>
          <w:color w:val="000000"/>
          <w:sz w:val="24"/>
          <w:szCs w:val="24"/>
          <w:highlight w:val="none"/>
        </w:rPr>
        <w:t xml:space="preserve">）有关本次招标的事项若存在变动或修改，敬请及时关注采购人在“江苏政府采购网”发布的更正公告。</w:t>
      </w:r>
      <w:r>
        <w:rPr>
          <w:rFonts w:hint="eastAsia"/>
          <w:color w:val="000000"/>
          <w:highlight w:val="none"/>
        </w:rPr>
      </w:r>
      <w:r/>
    </w:p>
    <w:p>
      <w:pPr>
        <w:pStyle w:val="1279"/>
        <w:ind w:firstLine="241"/>
        <w:spacing w:before="0" w:after="0"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七、对本次招标提出询问，请按以下方式联系。</w:t>
      </w:r>
      <w:bookmarkEnd w:id="29"/>
      <w:r/>
      <w:bookmarkEnd w:id="30"/>
      <w:r/>
      <w:bookmarkEnd w:id="31"/>
      <w:r/>
      <w:bookmarkEnd w:id="32"/>
      <w:r>
        <w:rPr>
          <w:rFonts w:hint="eastAsia" w:ascii="宋体" w:hAnsi="宋体" w:eastAsia="宋体" w:cs="仿宋"/>
          <w:color w:val="000000"/>
          <w:sz w:val="24"/>
          <w:szCs w:val="24"/>
          <w:highlight w:val="none"/>
        </w:rPr>
      </w:r>
      <w:r/>
    </w:p>
    <w:p>
      <w:pPr>
        <w:pStyle w:val="1011"/>
        <w:jc w:val="left"/>
        <w:spacing w:line="500" w:lineRule="exact"/>
        <w:widowControl/>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　1.采购人信息</w:t>
      </w:r>
      <w:r>
        <w:rPr>
          <w:rFonts w:ascii="宋体" w:hAnsi="宋体" w:eastAsia="宋体" w:cs="仿宋"/>
          <w:color w:val="000000"/>
          <w:sz w:val="24"/>
          <w:szCs w:val="24"/>
          <w:highlight w:val="none"/>
        </w:rPr>
      </w:r>
      <w:r/>
    </w:p>
    <w:p>
      <w:pPr>
        <w:pStyle w:val="1011"/>
        <w:ind w:firstLine="480"/>
        <w:jc w:val="left"/>
        <w:spacing w:line="500" w:lineRule="exact"/>
        <w:rPr>
          <w:rFonts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rPr>
        <w:t xml:space="preserve">名称：泰州市</w:t>
      </w:r>
      <w:r>
        <w:rPr>
          <w:rFonts w:hint="eastAsia" w:ascii="宋体" w:hAnsi="宋体" w:eastAsia="宋体" w:cs="仿宋"/>
          <w:color w:val="000000"/>
          <w:sz w:val="24"/>
          <w:szCs w:val="24"/>
          <w:highlight w:val="none"/>
          <w:lang w:val="en-US" w:eastAsia="zh-CN"/>
        </w:rPr>
        <w:t xml:space="preserve">第二人民医院</w:t>
      </w:r>
      <w:r>
        <w:rPr>
          <w:rFonts w:ascii="宋体" w:hAnsi="宋体" w:eastAsia="宋体" w:cs="仿宋"/>
          <w:color w:val="000000"/>
          <w:sz w:val="24"/>
          <w:szCs w:val="24"/>
          <w:highlight w:val="none"/>
          <w:lang w:val="en-US" w:eastAsia="zh-CN"/>
        </w:rPr>
      </w:r>
      <w:r/>
    </w:p>
    <w:p>
      <w:pPr>
        <w:pStyle w:val="1011"/>
        <w:ind w:firstLine="480"/>
        <w:jc w:val="left"/>
        <w:spacing w:line="500" w:lineRule="exact"/>
        <w:rPr>
          <w:rFonts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rPr>
        <w:t xml:space="preserve">地址：</w:t>
      </w:r>
      <w:r>
        <w:rPr>
          <w:rFonts w:hint="eastAsia" w:ascii="宋体" w:hAnsi="宋体" w:eastAsia="宋体" w:cs="仿宋"/>
          <w:color w:val="000000"/>
          <w:sz w:val="24"/>
          <w:szCs w:val="24"/>
          <w:highlight w:val="none"/>
          <w:lang w:val="en-US" w:eastAsia="zh-CN"/>
        </w:rPr>
        <w:t xml:space="preserve">泰州市姜堰区健康路27号</w:t>
      </w:r>
      <w:r>
        <w:rPr>
          <w:rFonts w:ascii="宋体" w:hAnsi="宋体" w:eastAsia="宋体" w:cs="仿宋"/>
          <w:color w:val="000000"/>
          <w:sz w:val="24"/>
          <w:szCs w:val="24"/>
          <w:highlight w:val="none"/>
          <w:lang w:val="en-US" w:eastAsia="zh-CN"/>
        </w:rPr>
      </w:r>
      <w:r/>
    </w:p>
    <w:p>
      <w:pPr>
        <w:pStyle w:val="1011"/>
        <w:ind w:firstLine="480"/>
        <w:jc w:val="left"/>
        <w:spacing w:line="500" w:lineRule="exact"/>
        <w:rPr>
          <w:rFonts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rPr>
        <w:t xml:space="preserve">联系方式：</w:t>
      </w:r>
      <w:bookmarkStart w:id="33" w:name="_Toc28359009"/>
      <w:r/>
      <w:bookmarkStart w:id="34" w:name="_Toc28359086"/>
      <w:r>
        <w:rPr>
          <w:rFonts w:hint="eastAsia" w:ascii="宋体" w:hAnsi="宋体" w:eastAsia="宋体" w:cs="仿宋"/>
          <w:color w:val="000000"/>
          <w:sz w:val="24"/>
          <w:szCs w:val="24"/>
          <w:highlight w:val="none"/>
          <w:lang w:val="en-US" w:eastAsia="zh-CN"/>
        </w:rPr>
        <w:t xml:space="preserve">高老师 0523-88117041</w:t>
      </w:r>
      <w:r>
        <w:rPr>
          <w:rFonts w:ascii="宋体" w:hAnsi="宋体" w:eastAsia="宋体" w:cs="仿宋"/>
          <w:color w:val="000000"/>
          <w:sz w:val="24"/>
          <w:szCs w:val="24"/>
          <w:highlight w:val="none"/>
          <w:lang w:val="en-US" w:eastAsia="zh-CN"/>
        </w:rPr>
      </w:r>
      <w:r/>
    </w:p>
    <w:p>
      <w:pPr>
        <w:pStyle w:val="1011"/>
        <w:ind w:firstLine="480"/>
        <w:jc w:val="left"/>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2.采购代理机构信息</w:t>
      </w:r>
      <w:bookmarkEnd w:id="33"/>
      <w:r/>
      <w:bookmarkEnd w:id="34"/>
      <w:r>
        <w:rPr>
          <w:rFonts w:ascii="宋体" w:hAnsi="宋体" w:eastAsia="宋体" w:cs="仿宋"/>
          <w:color w:val="000000"/>
          <w:sz w:val="24"/>
          <w:szCs w:val="24"/>
          <w:highlight w:val="none"/>
        </w:rPr>
      </w:r>
      <w:r/>
    </w:p>
    <w:p>
      <w:pPr>
        <w:pStyle w:val="1011"/>
        <w:ind w:firstLine="480"/>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名称：江苏</w:t>
      </w:r>
      <w:r>
        <w:rPr>
          <w:rFonts w:hint="eastAsia" w:ascii="宋体" w:hAnsi="宋体" w:eastAsia="宋体" w:cs="仿宋"/>
          <w:color w:val="000000"/>
          <w:sz w:val="24"/>
          <w:szCs w:val="24"/>
          <w:highlight w:val="none"/>
          <w:lang w:val="en-US" w:eastAsia="zh-CN"/>
        </w:rPr>
        <w:t xml:space="preserve">省招标中心有限</w:t>
      </w:r>
      <w:r>
        <w:rPr>
          <w:rFonts w:hint="eastAsia" w:ascii="宋体" w:hAnsi="宋体" w:eastAsia="宋体" w:cs="仿宋"/>
          <w:color w:val="000000"/>
          <w:sz w:val="24"/>
          <w:szCs w:val="24"/>
          <w:highlight w:val="none"/>
        </w:rPr>
        <w:t xml:space="preserve">公司</w:t>
      </w:r>
      <w:r>
        <w:rPr>
          <w:rFonts w:ascii="宋体" w:hAnsi="宋体" w:eastAsia="宋体" w:cs="仿宋"/>
          <w:color w:val="000000"/>
          <w:sz w:val="24"/>
          <w:szCs w:val="24"/>
          <w:highlight w:val="none"/>
        </w:rPr>
      </w:r>
      <w:r/>
    </w:p>
    <w:p>
      <w:pPr>
        <w:pStyle w:val="1011"/>
        <w:ind w:firstLine="480"/>
        <w:spacing w:line="500" w:lineRule="exact"/>
        <w:rPr>
          <w:rFonts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rPr>
        <w:t xml:space="preserve">地址：泰州市姜堰区</w:t>
      </w:r>
      <w:r>
        <w:rPr>
          <w:rFonts w:hint="eastAsia" w:ascii="宋体" w:hAnsi="宋体" w:eastAsia="宋体" w:cs="仿宋"/>
          <w:color w:val="000000"/>
          <w:sz w:val="24"/>
          <w:szCs w:val="24"/>
          <w:highlight w:val="none"/>
          <w:lang w:val="en-US" w:eastAsia="zh-CN"/>
        </w:rPr>
        <w:t xml:space="preserve">姜堰大道20号3幢101-104室</w:t>
      </w:r>
      <w:r>
        <w:rPr>
          <w:rFonts w:ascii="宋体" w:hAnsi="宋体" w:eastAsia="宋体" w:cs="仿宋"/>
          <w:color w:val="000000"/>
          <w:sz w:val="24"/>
          <w:szCs w:val="24"/>
          <w:highlight w:val="none"/>
          <w:lang w:val="en-US" w:eastAsia="zh-CN"/>
        </w:rPr>
      </w:r>
      <w:r/>
    </w:p>
    <w:p>
      <w:pPr>
        <w:pStyle w:val="1011"/>
        <w:ind w:firstLine="480"/>
        <w:spacing w:line="500" w:lineRule="exact"/>
        <w:rPr>
          <w:rFonts w:ascii="宋体" w:hAnsi="宋体" w:eastAsia="宋体" w:cs="仿宋"/>
          <w:b/>
          <w:color w:val="000000"/>
          <w:szCs w:val="22"/>
          <w:highlight w:val="none"/>
          <w:lang w:val="en-US" w:eastAsia="zh-CN"/>
        </w:rPr>
      </w:pPr>
      <w:r>
        <w:rPr>
          <w:rFonts w:hint="eastAsia" w:ascii="宋体" w:hAnsi="宋体" w:eastAsia="宋体" w:cs="仿宋"/>
          <w:color w:val="000000"/>
          <w:sz w:val="24"/>
          <w:szCs w:val="24"/>
          <w:highlight w:val="none"/>
        </w:rPr>
        <w:t xml:space="preserve">联系方式：</w:t>
      </w:r>
      <w:bookmarkStart w:id="35" w:name="_Toc28359010"/>
      <w:r/>
      <w:bookmarkStart w:id="36" w:name="_Toc28359087"/>
      <w:r>
        <w:rPr>
          <w:rFonts w:hint="eastAsia" w:ascii="宋体" w:hAnsi="宋体" w:eastAsia="宋体" w:cs="仿宋"/>
          <w:color w:val="000000"/>
          <w:sz w:val="24"/>
          <w:szCs w:val="24"/>
          <w:highlight w:val="none"/>
          <w:lang w:val="en-US" w:eastAsia="zh-CN"/>
        </w:rPr>
        <w:t xml:space="preserve">乔工 </w:t>
      </w:r>
      <w:bookmarkEnd w:id="35"/>
      <w:r/>
      <w:bookmarkEnd w:id="36"/>
      <w:r>
        <w:rPr>
          <w:rFonts w:hint="eastAsia" w:ascii="宋体" w:hAnsi="宋体" w:cs="宋体"/>
          <w:color w:val="000000"/>
          <w:sz w:val="24"/>
          <w:szCs w:val="24"/>
          <w:highlight w:val="none"/>
        </w:rPr>
        <w:t xml:space="preserve">15152887113</w:t>
      </w:r>
      <w:r>
        <w:rPr>
          <w:rFonts w:ascii="宋体" w:hAnsi="宋体" w:eastAsia="宋体" w:cs="仿宋"/>
          <w:b/>
          <w:color w:val="000000"/>
          <w:szCs w:val="22"/>
          <w:highlight w:val="none"/>
          <w:lang w:val="en-US" w:eastAsia="zh-CN"/>
        </w:rPr>
      </w:r>
      <w:r/>
    </w:p>
    <w:p>
      <w:pPr>
        <w:pStyle w:val="1011"/>
        <w:ind w:firstLine="480"/>
        <w:spacing w:line="500" w:lineRule="exact"/>
        <w:rPr>
          <w:rFonts w:hint="eastAsia"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lang w:val="en-US" w:eastAsia="zh-CN"/>
        </w:rPr>
        <w:t xml:space="preserve">3.公平竞争审查联系方式</w:t>
      </w:r>
      <w:r>
        <w:rPr>
          <w:rFonts w:hint="eastAsia" w:ascii="宋体" w:hAnsi="宋体" w:eastAsia="宋体" w:cs="仿宋"/>
          <w:color w:val="000000"/>
          <w:sz w:val="24"/>
          <w:szCs w:val="24"/>
          <w:highlight w:val="none"/>
          <w:lang w:val="en-US" w:eastAsia="zh-CN"/>
        </w:rPr>
      </w:r>
      <w:r/>
    </w:p>
    <w:p>
      <w:pPr>
        <w:pStyle w:val="1011"/>
        <w:ind w:firstLine="480"/>
        <w:spacing w:line="500" w:lineRule="exact"/>
        <w:rPr>
          <w:rFonts w:hint="eastAsia" w:ascii="宋体" w:hAnsi="宋体" w:eastAsia="宋体" w:cs="仿宋"/>
          <w:b/>
          <w:color w:val="000000"/>
          <w:sz w:val="32"/>
          <w:szCs w:val="32"/>
          <w:highlight w:val="none"/>
        </w:rPr>
      </w:pPr>
      <w:r>
        <w:rPr>
          <w:rFonts w:hint="eastAsia" w:ascii="宋体" w:hAnsi="宋体" w:eastAsia="宋体" w:cs="仿宋"/>
          <w:color w:val="000000"/>
          <w:sz w:val="24"/>
          <w:szCs w:val="24"/>
          <w:highlight w:val="none"/>
          <w:lang w:val="en-US" w:eastAsia="zh-CN"/>
        </w:rPr>
        <w:t xml:space="preserve">联系人：浦老师 0523-80575139</w:t>
      </w:r>
      <w:r>
        <w:rPr>
          <w:rFonts w:hint="eastAsia" w:ascii="宋体" w:hAnsi="宋体" w:eastAsia="宋体" w:cs="仿宋"/>
          <w:b/>
          <w:color w:val="000000"/>
          <w:sz w:val="32"/>
          <w:szCs w:val="32"/>
          <w:highlight w:val="none"/>
        </w:rPr>
      </w:r>
      <w:r/>
    </w:p>
    <w:p>
      <w:pPr>
        <w:pStyle w:val="1011"/>
        <w:jc w:val="center"/>
        <w:spacing w:line="500" w:lineRule="exact"/>
        <w:widowControl/>
        <w:rPr>
          <w:rFonts w:hint="eastAsia" w:ascii="宋体" w:hAnsi="宋体" w:eastAsia="宋体" w:cs="仿宋"/>
          <w:b/>
          <w:color w:val="000000"/>
          <w:sz w:val="32"/>
          <w:szCs w:val="32"/>
          <w:highlight w:val="none"/>
        </w:rPr>
      </w:pPr>
      <w:r>
        <w:rPr>
          <w:rFonts w:hint="eastAsia" w:ascii="宋体" w:hAnsi="宋体" w:eastAsia="宋体" w:cs="仿宋"/>
          <w:b/>
          <w:color w:val="000000"/>
          <w:sz w:val="32"/>
          <w:szCs w:val="32"/>
          <w:highlight w:val="none"/>
        </w:rPr>
      </w:r>
      <w:r/>
    </w:p>
    <w:p>
      <w:pPr>
        <w:pStyle w:val="1036"/>
        <w:rPr>
          <w:color w:val="000000"/>
          <w:highlight w:val="none"/>
        </w:rPr>
      </w:pPr>
      <w:r>
        <w:rPr>
          <w:color w:val="000000"/>
          <w:highlight w:val="none"/>
        </w:rPr>
      </w:r>
      <w:r/>
    </w:p>
    <w:p>
      <w:pPr>
        <w:pStyle w:val="1011"/>
        <w:rPr>
          <w:color w:val="000000"/>
          <w:highlight w:val="none"/>
        </w:rPr>
      </w:pPr>
      <w:r>
        <w:rPr>
          <w:color w:val="000000"/>
          <w:highlight w:val="none"/>
        </w:rPr>
      </w:r>
      <w:r/>
    </w:p>
    <w:p>
      <w:pPr>
        <w:pStyle w:val="1036"/>
        <w:rPr>
          <w:color w:val="000000"/>
          <w:highlight w:val="none"/>
        </w:rPr>
      </w:pPr>
      <w:r>
        <w:rPr>
          <w:color w:val="000000"/>
          <w:highlight w:val="none"/>
        </w:rPr>
      </w:r>
      <w:r/>
    </w:p>
    <w:p>
      <w:pPr>
        <w:pStyle w:val="1011"/>
        <w:rPr>
          <w:color w:val="000000"/>
          <w:highlight w:val="none"/>
        </w:rPr>
      </w:pPr>
      <w:r>
        <w:rPr>
          <w:color w:val="000000"/>
          <w:highlight w:val="none"/>
        </w:rPr>
      </w:r>
      <w:r/>
    </w:p>
    <w:p>
      <w:pPr>
        <w:pStyle w:val="1036"/>
        <w:rPr>
          <w:color w:val="000000"/>
          <w:highlight w:val="none"/>
        </w:rPr>
      </w:pPr>
      <w:r>
        <w:rPr>
          <w:color w:val="000000"/>
          <w:highlight w:val="none"/>
        </w:rPr>
      </w:r>
      <w:r/>
    </w:p>
    <w:p>
      <w:pPr>
        <w:pStyle w:val="1011"/>
        <w:rPr>
          <w:color w:val="000000"/>
          <w:highlight w:val="none"/>
        </w:rPr>
      </w:pPr>
      <w:r>
        <w:rPr>
          <w:color w:val="000000"/>
          <w:highlight w:val="none"/>
        </w:rPr>
      </w:r>
      <w:r/>
    </w:p>
    <w:p>
      <w:pPr>
        <w:pStyle w:val="1036"/>
        <w:rPr>
          <w:color w:val="000000"/>
          <w:highlight w:val="none"/>
        </w:rPr>
      </w:pPr>
      <w:r>
        <w:rPr>
          <w:color w:val="000000"/>
          <w:highlight w:val="none"/>
        </w:rPr>
      </w:r>
      <w:r/>
    </w:p>
    <w:p>
      <w:pPr>
        <w:pStyle w:val="1011"/>
        <w:rPr>
          <w:color w:val="000000"/>
          <w:highlight w:val="none"/>
        </w:rPr>
      </w:pPr>
      <w:r>
        <w:rPr>
          <w:color w:val="000000"/>
          <w:highlight w:val="none"/>
        </w:rPr>
      </w:r>
      <w:r/>
    </w:p>
    <w:p>
      <w:pPr>
        <w:pStyle w:val="1036"/>
        <w:rPr>
          <w:color w:val="000000"/>
          <w:highlight w:val="none"/>
        </w:rPr>
      </w:pPr>
      <w:r>
        <w:rPr>
          <w:color w:val="000000"/>
          <w:highlight w:val="none"/>
        </w:rPr>
      </w:r>
      <w:r/>
    </w:p>
    <w:p>
      <w:pPr>
        <w:pStyle w:val="1011"/>
        <w:rPr>
          <w:color w:val="000000"/>
          <w:highlight w:val="none"/>
        </w:rPr>
      </w:pPr>
      <w:r>
        <w:rPr>
          <w:color w:val="000000"/>
          <w:highlight w:val="none"/>
        </w:rPr>
      </w:r>
      <w:r/>
    </w:p>
    <w:p>
      <w:pPr>
        <w:pStyle w:val="1011"/>
        <w:jc w:val="both"/>
        <w:spacing w:line="500" w:lineRule="exact"/>
        <w:widowControl/>
        <w:rPr>
          <w:rFonts w:hint="eastAsia" w:ascii="宋体" w:hAnsi="宋体" w:eastAsia="宋体" w:cs="仿宋"/>
          <w:b/>
          <w:color w:val="000000"/>
          <w:sz w:val="32"/>
          <w:szCs w:val="32"/>
          <w:highlight w:val="none"/>
        </w:rPr>
      </w:pPr>
      <w:r>
        <w:rPr>
          <w:rFonts w:hint="eastAsia" w:ascii="宋体" w:hAnsi="宋体" w:eastAsia="宋体" w:cs="仿宋"/>
          <w:b/>
          <w:color w:val="000000"/>
          <w:sz w:val="32"/>
          <w:szCs w:val="32"/>
          <w:highlight w:val="none"/>
        </w:rPr>
      </w:r>
      <w:r/>
    </w:p>
    <w:p>
      <w:pPr>
        <w:pStyle w:val="1011"/>
        <w:jc w:val="center"/>
        <w:spacing w:line="500" w:lineRule="exact"/>
        <w:widowControl/>
        <w:rPr>
          <w:rFonts w:hint="eastAsia" w:ascii="宋体" w:hAnsi="宋体" w:eastAsia="宋体" w:cs="仿宋"/>
          <w:b/>
          <w:color w:val="000000"/>
          <w:sz w:val="32"/>
          <w:szCs w:val="32"/>
          <w:highlight w:val="none"/>
        </w:rPr>
      </w:pPr>
      <w:r>
        <w:rPr>
          <w:rFonts w:hint="eastAsia" w:ascii="宋体" w:hAnsi="宋体" w:eastAsia="宋体" w:cs="仿宋"/>
          <w:b/>
          <w:color w:val="000000"/>
          <w:sz w:val="32"/>
          <w:szCs w:val="32"/>
          <w:highlight w:val="none"/>
        </w:rPr>
        <w:br w:type="page" w:clear="all"/>
      </w:r>
      <w:r>
        <w:rPr>
          <w:rFonts w:hint="eastAsia" w:ascii="宋体" w:hAnsi="宋体" w:eastAsia="宋体" w:cs="仿宋"/>
          <w:b/>
          <w:color w:val="000000"/>
          <w:sz w:val="32"/>
          <w:szCs w:val="32"/>
          <w:highlight w:val="none"/>
        </w:rPr>
        <w:t xml:space="preserve">第二章 投标人须知</w:t>
      </w:r>
      <w:bookmarkEnd w:id="0"/>
      <w:r/>
      <w:bookmarkEnd w:id="1"/>
      <w:r>
        <w:rPr>
          <w:rFonts w:hint="eastAsia" w:ascii="宋体" w:hAnsi="宋体" w:eastAsia="宋体" w:cs="仿宋"/>
          <w:b/>
          <w:color w:val="000000"/>
          <w:sz w:val="32"/>
          <w:szCs w:val="32"/>
          <w:highlight w:val="none"/>
        </w:rPr>
      </w:r>
      <w:r/>
    </w:p>
    <w:p>
      <w:pPr>
        <w:pStyle w:val="1011"/>
        <w:jc w:val="center"/>
        <w:spacing w:line="500" w:lineRule="exact"/>
        <w:widowControl/>
        <w:rPr>
          <w:rFonts w:hint="eastAsia" w:ascii="宋体" w:hAnsi="宋体" w:eastAsia="宋体" w:cs="仿宋"/>
          <w:b/>
          <w:color w:val="000000"/>
          <w:sz w:val="28"/>
          <w:szCs w:val="28"/>
          <w:highlight w:val="none"/>
        </w:rPr>
      </w:pPr>
      <w:r>
        <w:rPr>
          <w:rFonts w:hint="eastAsia" w:ascii="宋体" w:hAnsi="宋体" w:eastAsia="宋体" w:cs="仿宋"/>
          <w:b/>
          <w:color w:val="000000"/>
          <w:sz w:val="28"/>
          <w:szCs w:val="28"/>
          <w:highlight w:val="none"/>
        </w:rPr>
        <w:t xml:space="preserve">    投标人须知前附表</w:t>
      </w:r>
      <w:r>
        <w:rPr>
          <w:rFonts w:hint="eastAsia" w:ascii="宋体" w:hAnsi="宋体" w:eastAsia="宋体" w:cs="仿宋"/>
          <w:b/>
          <w:color w:val="000000"/>
          <w:sz w:val="28"/>
          <w:szCs w:val="28"/>
          <w:highlight w:val="none"/>
        </w:rPr>
      </w:r>
      <w:r/>
    </w:p>
    <w:tbl>
      <w:tblPr>
        <w:tblW w:w="8640" w:type="dxa"/>
        <w:jc w:val="center"/>
        <w:tblInd w:w="-1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4" w:type="dxa"/>
          <w:top w:w="32" w:type="dxa"/>
          <w:right w:w="64" w:type="dxa"/>
          <w:bottom w:w="32" w:type="dxa"/>
        </w:tblCellMar>
        <w:tblLook w:val="04A0" w:firstRow="1" w:lastRow="0" w:firstColumn="1" w:lastColumn="0" w:noHBand="0" w:noVBand="1"/>
      </w:tblPr>
      <w:tblGrid>
        <w:gridCol w:w="728"/>
        <w:gridCol w:w="1651"/>
        <w:gridCol w:w="6261"/>
      </w:tblGrid>
      <w:tr>
        <w:trPr>
          <w:tblHeader/>
        </w:trPr>
        <w:tc>
          <w:tcPr>
            <w:tcW w:w="728" w:type="dxa"/>
            <w:vAlign w:val="center"/>
            <w:textDirection w:val="lrTb"/>
            <w:noWrap w:val="false"/>
          </w:tcPr>
          <w:p>
            <w:pPr>
              <w:pStyle w:val="1011"/>
              <w:jc w:val="center"/>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t xml:space="preserve">序号</w:t>
            </w:r>
            <w:r>
              <w:rPr>
                <w:rFonts w:hint="eastAsia" w:ascii="仿宋" w:hAnsi="仿宋" w:eastAsia="仿宋" w:cs="仿宋"/>
                <w:b/>
                <w:color w:val="000000"/>
                <w:sz w:val="24"/>
                <w:szCs w:val="24"/>
                <w:highlight w:val="none"/>
                <w:lang w:eastAsia="zh-CN"/>
              </w:rPr>
            </w:r>
            <w:r/>
          </w:p>
        </w:tc>
        <w:tc>
          <w:tcPr>
            <w:tcW w:w="1651" w:type="dxa"/>
            <w:vAlign w:val="center"/>
            <w:textDirection w:val="lrTb"/>
            <w:noWrap w:val="false"/>
          </w:tcPr>
          <w:p>
            <w:pPr>
              <w:pStyle w:val="1011"/>
              <w:jc w:val="center"/>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t xml:space="preserve">项目</w:t>
            </w:r>
            <w:r>
              <w:rPr>
                <w:rFonts w:hint="eastAsia" w:ascii="仿宋" w:hAnsi="仿宋" w:eastAsia="仿宋" w:cs="仿宋"/>
                <w:b/>
                <w:color w:val="000000"/>
                <w:sz w:val="24"/>
                <w:szCs w:val="24"/>
                <w:highlight w:val="none"/>
                <w:lang w:eastAsia="zh-CN"/>
              </w:rPr>
            </w:r>
            <w:r/>
          </w:p>
        </w:tc>
        <w:tc>
          <w:tcPr>
            <w:tcW w:w="6261" w:type="dxa"/>
            <w:vAlign w:val="center"/>
            <w:textDirection w:val="lrTb"/>
            <w:noWrap w:val="false"/>
          </w:tcPr>
          <w:p>
            <w:pPr>
              <w:pStyle w:val="1011"/>
              <w:jc w:val="center"/>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t xml:space="preserve">内容</w:t>
            </w:r>
            <w:r>
              <w:rPr>
                <w:rFonts w:hint="eastAsia" w:ascii="仿宋" w:hAnsi="仿宋" w:eastAsia="仿宋" w:cs="仿宋"/>
                <w:b/>
                <w:color w:val="000000"/>
                <w:sz w:val="24"/>
                <w:szCs w:val="24"/>
                <w:highlight w:val="none"/>
                <w:lang w:eastAsia="zh-CN"/>
              </w:rPr>
            </w:r>
            <w:r/>
          </w:p>
        </w:tc>
      </w:tr>
      <w:tr>
        <w:trPr>
          <w:trHeight w:val="90"/>
        </w:trPr>
        <w:tc>
          <w:tcPr>
            <w:tcW w:w="728"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1"/>
              <w:jc w:val="lef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泰州市第二人民医院智慧服务升级采购项目（二次）</w:t>
            </w:r>
            <w:r>
              <w:rPr>
                <w:rFonts w:hint="eastAsia" w:ascii="仿宋" w:hAnsi="仿宋" w:eastAsia="仿宋" w:cs="仿宋"/>
                <w:color w:val="000000"/>
                <w:sz w:val="24"/>
                <w:szCs w:val="24"/>
                <w:highlight w:val="none"/>
                <w:lang w:val="en-US"/>
              </w:rPr>
            </w:r>
            <w:r/>
          </w:p>
        </w:tc>
      </w:tr>
      <w:tr>
        <w:trPr/>
        <w:tc>
          <w:tcPr>
            <w:tcW w:w="728"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招标内容</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1"/>
              <w:jc w:val="left"/>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rPr>
              <w:t xml:space="preserve">详见第三章采购需求</w:t>
            </w:r>
            <w:r>
              <w:rPr>
                <w:rFonts w:hint="eastAsia" w:ascii="仿宋" w:hAnsi="仿宋" w:eastAsia="仿宋" w:cs="仿宋"/>
                <w:color w:val="000000"/>
                <w:sz w:val="24"/>
                <w:szCs w:val="21"/>
                <w:highlight w:val="none"/>
              </w:rPr>
            </w:r>
            <w:r/>
          </w:p>
        </w:tc>
      </w:tr>
      <w:tr>
        <w:trPr/>
        <w:tc>
          <w:tcPr>
            <w:tcW w:w="728"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1"/>
              <w:jc w:val="center"/>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合同履行期限及履行地点</w:t>
            </w:r>
            <w:r>
              <w:rPr>
                <w:rFonts w:ascii="仿宋" w:hAnsi="仿宋" w:eastAsia="仿宋" w:cs="仿宋"/>
                <w:color w:val="000000"/>
                <w:sz w:val="24"/>
                <w:szCs w:val="24"/>
                <w:highlight w:val="none"/>
                <w:lang w:val="en-US"/>
              </w:rPr>
            </w:r>
            <w:r/>
          </w:p>
        </w:tc>
        <w:tc>
          <w:tcPr>
            <w:tcW w:w="6261" w:type="dxa"/>
            <w:vAlign w:val="center"/>
            <w:textDirection w:val="lrTb"/>
            <w:noWrap w:val="false"/>
          </w:tcPr>
          <w:p>
            <w:pPr>
              <w:pStyle w:val="1011"/>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合同履行期限</w:t>
            </w:r>
            <w:r>
              <w:rPr>
                <w:rFonts w:hint="eastAsia" w:ascii="仿宋" w:hAnsi="仿宋" w:eastAsia="仿宋" w:cs="仿宋"/>
                <w:color w:val="000000"/>
                <w:sz w:val="24"/>
                <w:szCs w:val="24"/>
                <w:highlight w:val="none"/>
              </w:rPr>
              <w:t xml:space="preserve">：</w:t>
            </w:r>
            <w:r>
              <w:rPr>
                <w:rFonts w:hint="eastAsia" w:ascii="仿宋" w:hAnsi="仿宋" w:eastAsia="仿宋" w:cs="仿宋"/>
                <w:bCs w:val="0"/>
                <w:color w:val="000000"/>
                <w:sz w:val="24"/>
                <w:szCs w:val="24"/>
                <w:highlight w:val="none"/>
                <w:u w:val="none"/>
                <w:lang w:val="en-US" w:eastAsia="zh-CN"/>
              </w:rPr>
              <w:t xml:space="preserve">550个工作日</w:t>
            </w:r>
            <w:r>
              <w:rPr>
                <w:rFonts w:hint="eastAsia" w:ascii="仿宋" w:hAnsi="仿宋" w:eastAsia="仿宋" w:cs="仿宋"/>
                <w:color w:val="000000"/>
                <w:sz w:val="24"/>
                <w:szCs w:val="24"/>
                <w:highlight w:val="none"/>
                <w:lang w:val="en-US" w:eastAsia="zh-CN"/>
              </w:rPr>
            </w:r>
            <w:r/>
          </w:p>
          <w:p>
            <w:pPr>
              <w:pStyle w:val="1011"/>
              <w:jc w:val="left"/>
              <w:spacing w:line="240" w:lineRule="auto"/>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合同履行</w:t>
            </w:r>
            <w:r>
              <w:rPr>
                <w:rFonts w:hint="eastAsia" w:ascii="仿宋" w:hAnsi="仿宋" w:eastAsia="仿宋" w:cs="仿宋"/>
                <w:color w:val="000000"/>
                <w:sz w:val="24"/>
                <w:szCs w:val="24"/>
                <w:highlight w:val="none"/>
              </w:rPr>
              <w:t xml:space="preserve">地点：</w:t>
            </w:r>
            <w:r>
              <w:rPr>
                <w:rFonts w:hint="eastAsia" w:ascii="仿宋" w:hAnsi="仿宋" w:eastAsia="仿宋" w:cs="仿宋"/>
                <w:color w:val="000000"/>
                <w:sz w:val="24"/>
                <w:szCs w:val="24"/>
                <w:highlight w:val="none"/>
                <w:lang w:val="en-US" w:eastAsia="zh-CN"/>
              </w:rPr>
              <w:t xml:space="preserve">泰州市第二人民医院项目现场</w:t>
            </w:r>
            <w:r>
              <w:rPr>
                <w:rFonts w:ascii="仿宋" w:hAnsi="仿宋" w:eastAsia="仿宋" w:cs="仿宋"/>
                <w:color w:val="000000"/>
                <w:sz w:val="24"/>
                <w:szCs w:val="24"/>
                <w:highlight w:val="none"/>
                <w:lang w:val="en-US"/>
              </w:rPr>
            </w:r>
            <w:r/>
          </w:p>
        </w:tc>
      </w:tr>
      <w:tr>
        <w:trPr>
          <w:trHeight w:val="90"/>
        </w:trPr>
        <w:tc>
          <w:tcPr>
            <w:tcW w:w="728"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最高投标限价</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1"/>
              <w:jc w:val="left"/>
              <w:rPr>
                <w:rFonts w:hint="eastAsia" w:ascii="仿宋" w:hAnsi="仿宋" w:eastAsia="仿宋" w:cs="仿宋"/>
                <w:color w:val="000000"/>
                <w:sz w:val="24"/>
                <w:szCs w:val="24"/>
                <w:highlight w:val="none"/>
              </w:rPr>
            </w:pPr>
            <w:r>
              <w:rPr>
                <w:rFonts w:hint="eastAsia" w:ascii="仿宋" w:hAnsi="仿宋" w:eastAsia="仿宋" w:cs="仿宋"/>
                <w:iCs/>
                <w:color w:val="000000"/>
                <w:sz w:val="24"/>
                <w:szCs w:val="24"/>
                <w:highlight w:val="none"/>
              </w:rPr>
              <w:t xml:space="preserve">预算金额：</w:t>
            </w:r>
            <w:r>
              <w:rPr>
                <w:rFonts w:hint="eastAsia" w:ascii="仿宋" w:hAnsi="仿宋" w:eastAsia="仿宋" w:cs="仿宋"/>
                <w:iCs/>
                <w:color w:val="000000"/>
                <w:sz w:val="24"/>
                <w:szCs w:val="24"/>
                <w:highlight w:val="none"/>
                <w:lang w:val="en-US" w:eastAsia="zh-CN"/>
              </w:rPr>
              <w:t xml:space="preserve">560.00</w:t>
            </w:r>
            <w:r>
              <w:rPr>
                <w:rFonts w:hint="eastAsia" w:ascii="仿宋" w:hAnsi="仿宋" w:eastAsia="仿宋" w:cs="仿宋"/>
                <w:color w:val="000000"/>
                <w:sz w:val="24"/>
                <w:szCs w:val="24"/>
                <w:highlight w:val="none"/>
              </w:rPr>
              <w:t xml:space="preserve">万元</w:t>
            </w:r>
            <w:r>
              <w:rPr>
                <w:rFonts w:hint="eastAsia" w:ascii="仿宋" w:hAnsi="仿宋" w:eastAsia="仿宋" w:cs="仿宋"/>
                <w:color w:val="000000"/>
                <w:sz w:val="24"/>
                <w:szCs w:val="24"/>
                <w:highlight w:val="none"/>
              </w:rPr>
            </w:r>
            <w:r/>
          </w:p>
          <w:p>
            <w:pPr>
              <w:pStyle w:val="1011"/>
              <w:jc w:val="left"/>
              <w:rPr>
                <w:rFonts w:hint="eastAsia" w:ascii="仿宋" w:hAnsi="仿宋" w:eastAsia="仿宋" w:cs="仿宋"/>
                <w:color w:val="000000"/>
                <w:sz w:val="24"/>
                <w:szCs w:val="24"/>
                <w:highlight w:val="none"/>
              </w:rPr>
            </w:pPr>
            <w:r>
              <w:rPr>
                <w:rFonts w:hint="eastAsia" w:ascii="仿宋" w:hAnsi="仿宋" w:eastAsia="仿宋" w:cs="仿宋"/>
                <w:iCs/>
                <w:color w:val="000000"/>
                <w:sz w:val="24"/>
                <w:szCs w:val="24"/>
                <w:highlight w:val="none"/>
              </w:rPr>
              <w:t xml:space="preserve">最高限价：</w:t>
            </w:r>
            <w:r>
              <w:rPr>
                <w:rFonts w:hint="eastAsia" w:ascii="仿宋" w:hAnsi="仿宋" w:eastAsia="仿宋" w:cs="仿宋"/>
                <w:iCs/>
                <w:color w:val="000000"/>
                <w:sz w:val="24"/>
                <w:szCs w:val="24"/>
                <w:highlight w:val="none"/>
                <w:lang w:val="en-US" w:eastAsia="zh-CN"/>
              </w:rPr>
              <w:t xml:space="preserve">560.00</w:t>
            </w:r>
            <w:r>
              <w:rPr>
                <w:rFonts w:hint="eastAsia" w:ascii="仿宋" w:hAnsi="仿宋" w:eastAsia="仿宋" w:cs="仿宋"/>
                <w:color w:val="000000"/>
                <w:sz w:val="24"/>
                <w:szCs w:val="24"/>
                <w:highlight w:val="none"/>
              </w:rPr>
              <w:t xml:space="preserve">万元</w:t>
            </w:r>
            <w:r>
              <w:rPr>
                <w:rFonts w:hint="eastAsia" w:ascii="仿宋" w:hAnsi="仿宋" w:eastAsia="仿宋" w:cs="仿宋"/>
                <w:color w:val="000000"/>
                <w:sz w:val="24"/>
                <w:szCs w:val="24"/>
                <w:highlight w:val="none"/>
              </w:rPr>
            </w:r>
            <w:r/>
          </w:p>
        </w:tc>
      </w:tr>
      <w:tr>
        <w:trPr/>
        <w:tc>
          <w:tcPr>
            <w:tcW w:w="728"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合格投标人资格要求</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1"/>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详见招标公告</w:t>
            </w:r>
            <w:r>
              <w:rPr>
                <w:rFonts w:hint="eastAsia" w:ascii="仿宋" w:hAnsi="仿宋" w:eastAsia="仿宋" w:cs="仿宋"/>
                <w:color w:val="000000"/>
                <w:sz w:val="24"/>
                <w:szCs w:val="24"/>
                <w:highlight w:val="none"/>
              </w:rPr>
            </w:r>
            <w:r/>
          </w:p>
        </w:tc>
      </w:tr>
      <w:tr>
        <w:trPr/>
        <w:tc>
          <w:tcPr>
            <w:tcW w:w="728"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联合体投标</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1"/>
              <w:jc w:val="left"/>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szCs w:val="24"/>
                <w:highlight w:val="none"/>
              </w:rPr>
              <w:t xml:space="preserve">不接受，招标文件中有关联合体规定均不适用。</w:t>
            </w:r>
            <w:r>
              <w:rPr>
                <w:rFonts w:hint="eastAsia" w:ascii="仿宋" w:hAnsi="仿宋" w:eastAsia="仿宋" w:cs="仿宋"/>
                <w:color w:val="000000"/>
                <w:sz w:val="24"/>
                <w:szCs w:val="24"/>
                <w:highlight w:val="none"/>
              </w:rPr>
            </w:r>
            <w:r/>
          </w:p>
          <w:p>
            <w:pPr>
              <w:pStyle w:val="1159"/>
              <w:numPr>
                <w:ilvl w:val="0"/>
                <w:numId w:val="0"/>
              </w:numPr>
              <w:ind w:lef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szCs w:val="24"/>
                <w:highlight w:val="none"/>
              </w:rPr>
              <w:t xml:space="preserve">接受</w:t>
            </w:r>
            <w:r>
              <w:rPr>
                <w:rFonts w:hint="eastAsia" w:ascii="仿宋" w:hAnsi="仿宋" w:eastAsia="仿宋" w:cs="仿宋"/>
                <w:color w:val="000000"/>
                <w:sz w:val="24"/>
                <w:szCs w:val="24"/>
                <w:highlight w:val="none"/>
              </w:rPr>
            </w:r>
            <w:r/>
          </w:p>
          <w:p>
            <w:pPr>
              <w:pStyle w:val="1011"/>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联合体所有成员数量不得超过 </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 家，且应满足下列要求</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101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（1）联合体投标的联合体各方均具有独立法人资格并按招标文件提供的格式签订联合体协议书，明确联合体牵头人和各方权利义务；</w:t>
            </w:r>
            <w:r>
              <w:rPr>
                <w:rFonts w:hint="eastAsia" w:ascii="仿宋" w:hAnsi="仿宋" w:eastAsia="仿宋" w:cs="仿宋"/>
                <w:color w:val="000000"/>
                <w:sz w:val="24"/>
                <w:szCs w:val="24"/>
                <w:highlight w:val="none"/>
              </w:rPr>
            </w:r>
            <w:r/>
          </w:p>
          <w:p>
            <w:pPr>
              <w:pStyle w:val="101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（2）联合体成员承担同一专业工作的，按照资质等级较低的单位确定资质等级；</w:t>
            </w:r>
            <w:r>
              <w:rPr>
                <w:rFonts w:hint="eastAsia" w:ascii="仿宋" w:hAnsi="仿宋" w:eastAsia="仿宋" w:cs="仿宋"/>
                <w:color w:val="000000"/>
                <w:sz w:val="24"/>
                <w:szCs w:val="24"/>
                <w:highlight w:val="none"/>
              </w:rPr>
            </w:r>
            <w:r/>
          </w:p>
          <w:p>
            <w:pPr>
              <w:pStyle w:val="101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（3）联合体各成员单位应当具备与联合体协议中约定的分工相适应的资质和能力；</w:t>
            </w:r>
            <w:r>
              <w:rPr>
                <w:rFonts w:hint="eastAsia" w:ascii="仿宋" w:hAnsi="仿宋" w:eastAsia="仿宋" w:cs="仿宋"/>
                <w:color w:val="000000"/>
                <w:sz w:val="24"/>
                <w:szCs w:val="24"/>
                <w:highlight w:val="none"/>
              </w:rPr>
            </w:r>
            <w:r/>
          </w:p>
          <w:p>
            <w:pPr>
              <w:pStyle w:val="101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（4）联合体各方不得再以自己名义单独或参加其他联合体在同一标段中投标；</w:t>
            </w:r>
            <w:r>
              <w:rPr>
                <w:rFonts w:hint="eastAsia" w:ascii="仿宋" w:hAnsi="仿宋" w:eastAsia="仿宋" w:cs="仿宋"/>
                <w:color w:val="000000"/>
                <w:sz w:val="24"/>
                <w:szCs w:val="24"/>
                <w:highlight w:val="none"/>
              </w:rPr>
            </w:r>
            <w:r/>
          </w:p>
          <w:p>
            <w:pPr>
              <w:pStyle w:val="101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联合体各方应分别按照本招标文件的要求，填写投标文件中的相应表格，并由联合体牵头人负责对联合体各成员的资料进行统一汇总后一并提交给招标人，联合体牵头人所提交的投标文件应认为已代表了联合体各成员的真实情况；</w:t>
            </w:r>
            <w:r>
              <w:rPr>
                <w:rFonts w:hint="eastAsia" w:ascii="仿宋" w:hAnsi="仿宋" w:eastAsia="仿宋" w:cs="仿宋"/>
                <w:color w:val="000000"/>
                <w:sz w:val="24"/>
                <w:szCs w:val="24"/>
                <w:highlight w:val="none"/>
              </w:rPr>
            </w:r>
            <w:r/>
          </w:p>
          <w:p>
            <w:pPr>
              <w:pStyle w:val="101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尽管委任了联合体牵头人，但联合体各成员在投标、签约与履行合同过程中，仍负有连带的和各自的法律责任。</w:t>
            </w:r>
            <w:r>
              <w:rPr>
                <w:rFonts w:hint="eastAsia" w:ascii="仿宋" w:hAnsi="仿宋" w:eastAsia="仿宋" w:cs="仿宋"/>
                <w:color w:val="000000"/>
                <w:sz w:val="24"/>
                <w:szCs w:val="24"/>
                <w:highlight w:val="none"/>
              </w:rPr>
            </w:r>
            <w:r/>
          </w:p>
        </w:tc>
      </w:tr>
      <w:tr>
        <w:trPr/>
        <w:tc>
          <w:tcPr>
            <w:tcW w:w="728"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现场勘察</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1"/>
              <w:jc w:val="left"/>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szCs w:val="24"/>
                <w:highlight w:val="none"/>
              </w:rPr>
              <w:t xml:space="preserve">不组织，自行勘察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如投标人需自行勘察,费用自理。</w:t>
            </w:r>
            <w:r>
              <w:rPr>
                <w:rFonts w:hint="eastAsia" w:ascii="仿宋" w:hAnsi="仿宋" w:eastAsia="仿宋" w:cs="仿宋"/>
                <w:color w:val="000000"/>
                <w:sz w:val="24"/>
                <w:szCs w:val="24"/>
                <w:highlight w:val="none"/>
              </w:rPr>
            </w:r>
            <w:r/>
          </w:p>
          <w:p>
            <w:pPr>
              <w:pStyle w:val="1159"/>
              <w:numPr>
                <w:ilvl w:val="0"/>
                <w:numId w:val="1"/>
              </w:num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组织，勘察时间： 年月日时</w:t>
            </w:r>
            <w:r>
              <w:rPr>
                <w:rFonts w:hint="eastAsia" w:ascii="仿宋" w:hAnsi="仿宋" w:eastAsia="仿宋" w:cs="仿宋"/>
                <w:color w:val="000000"/>
                <w:sz w:val="24"/>
                <w:szCs w:val="24"/>
                <w:highlight w:val="none"/>
              </w:rPr>
            </w:r>
            <w:r/>
          </w:p>
          <w:p>
            <w:pPr>
              <w:pStyle w:val="101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集合地点：</w:t>
            </w:r>
            <w:r>
              <w:rPr>
                <w:rFonts w:hint="eastAsia" w:ascii="仿宋" w:hAnsi="仿宋" w:eastAsia="仿宋" w:cs="仿宋"/>
                <w:color w:val="000000"/>
                <w:sz w:val="24"/>
                <w:szCs w:val="24"/>
                <w:highlight w:val="none"/>
              </w:rPr>
            </w:r>
            <w:r/>
          </w:p>
          <w:p>
            <w:pPr>
              <w:pStyle w:val="1011"/>
              <w:ind w:firstLine="975"/>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联系人：联系电话：</w:t>
            </w:r>
            <w:r>
              <w:rPr>
                <w:rFonts w:hint="eastAsia" w:ascii="仿宋" w:hAnsi="仿宋" w:eastAsia="仿宋" w:cs="仿宋"/>
                <w:color w:val="000000"/>
                <w:sz w:val="24"/>
                <w:szCs w:val="24"/>
                <w:highlight w:val="none"/>
              </w:rPr>
            </w:r>
            <w:r/>
          </w:p>
        </w:tc>
      </w:tr>
      <w:tr>
        <w:trPr/>
        <w:tc>
          <w:tcPr>
            <w:tcW w:w="728"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投标答疑会</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1"/>
              <w:jc w:val="left"/>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4"/>
                <w:highlight w:val="none"/>
              </w:rPr>
              <w:t xml:space="preserve">不召开</w:t>
            </w:r>
            <w:r>
              <w:rPr>
                <w:rFonts w:hint="eastAsia" w:ascii="仿宋" w:hAnsi="仿宋" w:eastAsia="仿宋" w:cs="仿宋"/>
                <w:color w:val="000000"/>
                <w:sz w:val="24"/>
                <w:szCs w:val="24"/>
                <w:highlight w:val="none"/>
              </w:rPr>
            </w:r>
            <w:r/>
          </w:p>
          <w:p>
            <w:pPr>
              <w:pStyle w:val="101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口召开，召开时间：年月日时</w:t>
            </w:r>
            <w:r>
              <w:rPr>
                <w:rFonts w:hint="eastAsia" w:ascii="仿宋" w:hAnsi="仿宋" w:eastAsia="仿宋" w:cs="仿宋"/>
                <w:color w:val="000000"/>
                <w:sz w:val="24"/>
                <w:szCs w:val="24"/>
                <w:highlight w:val="none"/>
              </w:rPr>
            </w:r>
            <w:r/>
          </w:p>
          <w:p>
            <w:pPr>
              <w:pStyle w:val="1011"/>
              <w:ind w:firstLine="975"/>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召开地点：</w:t>
            </w:r>
            <w:r>
              <w:rPr>
                <w:rFonts w:hint="eastAsia" w:ascii="仿宋" w:hAnsi="仿宋" w:eastAsia="仿宋" w:cs="仿宋"/>
                <w:color w:val="000000"/>
                <w:sz w:val="24"/>
                <w:szCs w:val="24"/>
                <w:highlight w:val="none"/>
              </w:rPr>
            </w:r>
            <w:r/>
          </w:p>
        </w:tc>
      </w:tr>
      <w:tr>
        <w:trPr/>
        <w:tc>
          <w:tcPr>
            <w:tcW w:w="728"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投标货币</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人民币</w:t>
            </w:r>
            <w:r>
              <w:rPr>
                <w:rFonts w:hint="eastAsia" w:ascii="仿宋" w:hAnsi="仿宋" w:eastAsia="仿宋" w:cs="仿宋"/>
                <w:color w:val="000000"/>
                <w:sz w:val="24"/>
                <w:szCs w:val="24"/>
                <w:highlight w:val="none"/>
              </w:rPr>
            </w:r>
            <w:r/>
          </w:p>
        </w:tc>
      </w:tr>
      <w:tr>
        <w:trPr/>
        <w:tc>
          <w:tcPr>
            <w:tcW w:w="728"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en-US"/>
              </w:rPr>
              <w:t xml:space="preserve">合同方式</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1"/>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en-US"/>
              </w:rPr>
              <w:t xml:space="preserve">固定单价合同</w:t>
            </w:r>
            <w:r>
              <w:rPr>
                <w:rFonts w:hint="eastAsia" w:ascii="仿宋" w:hAnsi="仿宋" w:eastAsia="仿宋" w:cs="仿宋"/>
                <w:color w:val="000000"/>
                <w:sz w:val="24"/>
                <w:szCs w:val="24"/>
                <w:highlight w:val="none"/>
                <w:lang w:val="en-US" w:eastAsia="zh-CN"/>
              </w:rPr>
            </w:r>
            <w:r/>
          </w:p>
          <w:p>
            <w:pPr>
              <w:pStyle w:val="1011"/>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en-US"/>
              </w:rPr>
              <w:t xml:space="preserve">固定总价合同</w:t>
            </w:r>
            <w:r>
              <w:rPr>
                <w:rFonts w:hint="eastAsia" w:ascii="仿宋" w:hAnsi="仿宋" w:eastAsia="仿宋" w:cs="仿宋"/>
                <w:color w:val="000000"/>
                <w:sz w:val="24"/>
                <w:szCs w:val="24"/>
                <w:highlight w:val="none"/>
                <w:lang w:val="en-US" w:eastAsia="zh-CN"/>
              </w:rPr>
            </w:r>
            <w:r/>
          </w:p>
          <w:p>
            <w:pPr>
              <w:pStyle w:val="101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en-US"/>
              </w:rPr>
              <w:t xml:space="preserve">□其他：</w:t>
            </w:r>
            <w:r>
              <w:rPr>
                <w:rFonts w:hint="eastAsia" w:ascii="仿宋" w:hAnsi="仿宋" w:eastAsia="仿宋" w:cs="仿宋"/>
                <w:color w:val="000000"/>
                <w:sz w:val="24"/>
                <w:szCs w:val="24"/>
                <w:highlight w:val="none"/>
              </w:rPr>
            </w:r>
            <w:r/>
          </w:p>
        </w:tc>
      </w:tr>
      <w:tr>
        <w:trPr/>
        <w:tc>
          <w:tcPr>
            <w:tcW w:w="728"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投标保证金</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1"/>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依据苏财购〔2020〕52号文件精神，本项目免收投标保证金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r>
      <w:tr>
        <w:trPr/>
        <w:tc>
          <w:tcPr>
            <w:tcW w:w="728"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投标文件有效期</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 90 </w:t>
            </w:r>
            <w:r>
              <w:rPr>
                <w:rFonts w:hint="eastAsia" w:ascii="仿宋" w:hAnsi="仿宋" w:eastAsia="仿宋" w:cs="仿宋"/>
                <w:color w:val="000000"/>
                <w:sz w:val="24"/>
                <w:szCs w:val="24"/>
                <w:highlight w:val="none"/>
              </w:rPr>
              <w:t xml:space="preserve">日历天（从投标截止之日算起）</w:t>
            </w:r>
            <w:r>
              <w:rPr>
                <w:rFonts w:hint="eastAsia" w:ascii="仿宋" w:hAnsi="仿宋" w:eastAsia="仿宋" w:cs="仿宋"/>
                <w:color w:val="000000"/>
                <w:sz w:val="24"/>
                <w:szCs w:val="24"/>
                <w:highlight w:val="none"/>
              </w:rPr>
            </w:r>
            <w:r/>
          </w:p>
        </w:tc>
      </w:tr>
      <w:tr>
        <w:trPr/>
        <w:tc>
          <w:tcPr>
            <w:tcW w:w="728" w:type="dxa"/>
            <w:vAlign w:val="center"/>
            <w:vMerge w:val="restart"/>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投标截止时间</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时间：</w:t>
            </w:r>
            <w:r>
              <w:rPr>
                <w:rFonts w:hint="eastAsia" w:ascii="仿宋" w:hAnsi="仿宋" w:eastAsia="仿宋" w:cs="仿宋"/>
                <w:color w:val="000000"/>
                <w:sz w:val="24"/>
                <w:szCs w:val="24"/>
                <w:highlight w:val="none"/>
                <w:u w:val="single"/>
              </w:rPr>
              <w:t xml:space="preserve">202</w:t>
            </w:r>
            <w:r>
              <w:rPr>
                <w:rFonts w:hint="eastAsia" w:ascii="仿宋" w:hAnsi="仿宋" w:eastAsia="仿宋" w:cs="仿宋"/>
                <w:color w:val="000000"/>
                <w:sz w:val="24"/>
                <w:szCs w:val="24"/>
                <w:highlight w:val="none"/>
                <w:u w:val="single"/>
                <w:lang w:val="en-US" w:eastAsia="zh-CN"/>
              </w:rPr>
              <w:t xml:space="preserve">6</w:t>
            </w:r>
            <w:r>
              <w:rPr>
                <w:rFonts w:hint="eastAsia" w:ascii="仿宋" w:hAnsi="仿宋" w:eastAsia="仿宋" w:cs="仿宋"/>
                <w:color w:val="000000"/>
                <w:sz w:val="24"/>
                <w:szCs w:val="24"/>
                <w:highlight w:val="none"/>
                <w:u w:val="single"/>
              </w:rPr>
              <w:t xml:space="preserve">年</w:t>
            </w:r>
            <w:r>
              <w:rPr>
                <w:rFonts w:hint="eastAsia" w:ascii="仿宋" w:hAnsi="仿宋" w:eastAsia="仿宋" w:cs="仿宋"/>
                <w:color w:val="000000"/>
                <w:sz w:val="24"/>
                <w:szCs w:val="24"/>
                <w:highlight w:val="none"/>
                <w:u w:val="single"/>
                <w:lang w:val="en-US" w:eastAsia="zh-CN"/>
              </w:rPr>
              <w:t xml:space="preserve">02月26日09</w:t>
            </w:r>
            <w:r>
              <w:rPr>
                <w:rFonts w:hint="eastAsia" w:ascii="仿宋" w:hAnsi="仿宋" w:eastAsia="仿宋" w:cs="仿宋"/>
                <w:color w:val="000000"/>
                <w:sz w:val="24"/>
                <w:szCs w:val="24"/>
                <w:highlight w:val="none"/>
                <w:u w:val="single"/>
              </w:rPr>
              <w:t xml:space="preserve">时</w:t>
            </w:r>
            <w:r>
              <w:rPr>
                <w:rFonts w:hint="eastAsia" w:ascii="仿宋" w:hAnsi="仿宋" w:eastAsia="仿宋" w:cs="仿宋"/>
                <w:color w:val="000000"/>
                <w:sz w:val="24"/>
                <w:szCs w:val="24"/>
                <w:highlight w:val="none"/>
                <w:u w:val="single"/>
                <w:lang w:val="en-US" w:eastAsia="zh-CN"/>
              </w:rPr>
              <w:t xml:space="preserve">00</w:t>
            </w:r>
            <w:r>
              <w:rPr>
                <w:rFonts w:hint="eastAsia" w:ascii="仿宋" w:hAnsi="仿宋" w:eastAsia="仿宋" w:cs="仿宋"/>
                <w:color w:val="000000"/>
                <w:sz w:val="24"/>
                <w:szCs w:val="24"/>
                <w:highlight w:val="none"/>
                <w:u w:val="single"/>
              </w:rPr>
              <w:t xml:space="preserve">分</w:t>
            </w:r>
            <w:r>
              <w:rPr>
                <w:rFonts w:hint="eastAsia" w:ascii="仿宋" w:hAnsi="仿宋" w:eastAsia="仿宋" w:cs="仿宋"/>
                <w:color w:val="000000"/>
                <w:sz w:val="24"/>
                <w:szCs w:val="24"/>
                <w:highlight w:val="none"/>
              </w:rPr>
            </w:r>
            <w:r/>
          </w:p>
        </w:tc>
      </w:tr>
      <w:tr>
        <w:trPr/>
        <w:tc>
          <w:tcPr>
            <w:tcW w:w="728" w:type="dxa"/>
            <w:vAlign w:val="center"/>
            <w:vMerge w:val="continue"/>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投标地点</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地点：江苏政府采购“苏采云”系统不见面开标大厅 </w:t>
            </w:r>
            <w:r>
              <w:rPr>
                <w:rFonts w:hint="eastAsia" w:ascii="仿宋" w:hAnsi="仿宋" w:eastAsia="仿宋" w:cs="仿宋"/>
                <w:color w:val="000000"/>
                <w:sz w:val="24"/>
                <w:szCs w:val="24"/>
                <w:highlight w:val="none"/>
              </w:rPr>
            </w:r>
            <w:r/>
          </w:p>
        </w:tc>
      </w:tr>
      <w:tr>
        <w:trPr/>
        <w:tc>
          <w:tcPr>
            <w:tcW w:w="728"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开标时间和地点</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1"/>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时间：</w:t>
            </w:r>
            <w:r>
              <w:rPr>
                <w:rFonts w:hint="eastAsia" w:ascii="仿宋" w:hAnsi="仿宋" w:eastAsia="仿宋" w:cs="仿宋"/>
                <w:color w:val="000000"/>
                <w:sz w:val="24"/>
                <w:szCs w:val="24"/>
                <w:highlight w:val="none"/>
                <w:u w:val="single"/>
              </w:rPr>
              <w:t xml:space="preserve">202</w:t>
            </w:r>
            <w:r>
              <w:rPr>
                <w:rFonts w:hint="eastAsia" w:ascii="仿宋" w:hAnsi="仿宋" w:eastAsia="仿宋" w:cs="仿宋"/>
                <w:color w:val="000000"/>
                <w:sz w:val="24"/>
                <w:szCs w:val="24"/>
                <w:highlight w:val="none"/>
                <w:u w:val="single"/>
                <w:lang w:val="en-US" w:eastAsia="zh-CN"/>
              </w:rPr>
              <w:t xml:space="preserve">6</w:t>
            </w:r>
            <w:r>
              <w:rPr>
                <w:rFonts w:hint="eastAsia" w:ascii="仿宋" w:hAnsi="仿宋" w:eastAsia="仿宋" w:cs="仿宋"/>
                <w:color w:val="000000"/>
                <w:sz w:val="24"/>
                <w:szCs w:val="24"/>
                <w:highlight w:val="none"/>
                <w:u w:val="single"/>
              </w:rPr>
              <w:t xml:space="preserve">年</w:t>
            </w:r>
            <w:r>
              <w:rPr>
                <w:rFonts w:hint="eastAsia" w:ascii="仿宋" w:hAnsi="仿宋" w:eastAsia="仿宋" w:cs="仿宋"/>
                <w:color w:val="000000"/>
                <w:sz w:val="24"/>
                <w:szCs w:val="24"/>
                <w:highlight w:val="none"/>
                <w:u w:val="single"/>
                <w:lang w:val="en-US" w:eastAsia="zh-CN"/>
              </w:rPr>
              <w:t xml:space="preserve">02月26日09</w:t>
            </w:r>
            <w:r>
              <w:rPr>
                <w:rFonts w:hint="eastAsia" w:ascii="仿宋" w:hAnsi="仿宋" w:eastAsia="仿宋" w:cs="仿宋"/>
                <w:color w:val="000000"/>
                <w:sz w:val="24"/>
                <w:szCs w:val="24"/>
                <w:highlight w:val="none"/>
                <w:u w:val="single"/>
              </w:rPr>
              <w:t xml:space="preserve">时</w:t>
            </w:r>
            <w:r>
              <w:rPr>
                <w:rFonts w:hint="eastAsia" w:ascii="仿宋" w:hAnsi="仿宋" w:eastAsia="仿宋" w:cs="仿宋"/>
                <w:color w:val="000000"/>
                <w:sz w:val="24"/>
                <w:szCs w:val="24"/>
                <w:highlight w:val="none"/>
                <w:u w:val="single"/>
                <w:lang w:val="en-US" w:eastAsia="zh-CN"/>
              </w:rPr>
              <w:t xml:space="preserve">00</w:t>
            </w:r>
            <w:r>
              <w:rPr>
                <w:rFonts w:hint="eastAsia" w:ascii="仿宋" w:hAnsi="仿宋" w:eastAsia="仿宋" w:cs="仿宋"/>
                <w:color w:val="000000"/>
                <w:sz w:val="24"/>
                <w:szCs w:val="24"/>
                <w:highlight w:val="none"/>
                <w:u w:val="single"/>
              </w:rPr>
              <w:t xml:space="preserve">分</w:t>
            </w:r>
            <w:r>
              <w:rPr>
                <w:rFonts w:hint="eastAsia" w:ascii="仿宋" w:hAnsi="仿宋" w:eastAsia="仿宋" w:cs="仿宋"/>
                <w:color w:val="000000"/>
                <w:sz w:val="24"/>
                <w:szCs w:val="24"/>
                <w:highlight w:val="none"/>
                <w:u w:val="single"/>
              </w:rPr>
            </w:r>
            <w:r/>
          </w:p>
          <w:p>
            <w:pPr>
              <w:pStyle w:val="101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地点：江苏政府采购“苏采云”系统不见面开标大厅 </w:t>
            </w:r>
            <w:r>
              <w:rPr>
                <w:rFonts w:hint="eastAsia" w:ascii="仿宋" w:hAnsi="仿宋" w:eastAsia="仿宋" w:cs="仿宋"/>
                <w:color w:val="000000"/>
                <w:sz w:val="24"/>
                <w:szCs w:val="24"/>
                <w:highlight w:val="none"/>
              </w:rPr>
            </w:r>
            <w:r/>
          </w:p>
        </w:tc>
      </w:tr>
      <w:tr>
        <w:trPr/>
        <w:tc>
          <w:tcPr>
            <w:tcW w:w="728"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评标办法</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☑综合评分法</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eastAsia="zh-CN"/>
              </w:rPr>
              <w:t xml:space="preserve">□最低评标价法 </w:t>
            </w:r>
            <w:r>
              <w:rPr>
                <w:rFonts w:hint="eastAsia" w:ascii="仿宋" w:hAnsi="仿宋" w:eastAsia="仿宋" w:cs="仿宋"/>
                <w:color w:val="000000"/>
                <w:sz w:val="24"/>
                <w:szCs w:val="24"/>
                <w:highlight w:val="none"/>
              </w:rPr>
            </w:r>
            <w:r/>
          </w:p>
        </w:tc>
      </w:tr>
      <w:tr>
        <w:trPr/>
        <w:tc>
          <w:tcPr>
            <w:tcW w:w="728"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定标办法</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采购人根据评标委员会推荐的中标候选供应商顺序确定中标人。</w:t>
            </w:r>
            <w:r>
              <w:rPr>
                <w:rFonts w:hint="eastAsia" w:ascii="仿宋" w:hAnsi="仿宋" w:eastAsia="仿宋" w:cs="仿宋"/>
                <w:color w:val="000000"/>
                <w:sz w:val="24"/>
                <w:szCs w:val="24"/>
                <w:highlight w:val="none"/>
              </w:rPr>
            </w:r>
            <w:r/>
          </w:p>
        </w:tc>
      </w:tr>
      <w:tr>
        <w:trPr/>
        <w:tc>
          <w:tcPr>
            <w:tcW w:w="728"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履约保证金</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1"/>
              <w:jc w:val="left"/>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szCs w:val="24"/>
                <w:highlight w:val="none"/>
              </w:rPr>
              <w:t xml:space="preserve">不提交，招标文件中有关履约保证金的规定均不适用</w:t>
            </w:r>
            <w:r>
              <w:rPr>
                <w:rFonts w:hint="eastAsia" w:ascii="仿宋" w:hAnsi="仿宋" w:eastAsia="仿宋" w:cs="仿宋"/>
                <w:color w:val="000000"/>
                <w:sz w:val="24"/>
                <w:szCs w:val="24"/>
                <w:highlight w:val="none"/>
              </w:rPr>
            </w:r>
            <w:r/>
          </w:p>
          <w:p>
            <w:pPr>
              <w:pStyle w:val="1159"/>
              <w:ind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szCs w:val="24"/>
                <w:highlight w:val="none"/>
              </w:rPr>
              <w:t xml:space="preserve">提交</w:t>
            </w:r>
            <w:r>
              <w:rPr>
                <w:rFonts w:hint="eastAsia" w:ascii="仿宋" w:hAnsi="仿宋" w:eastAsia="仿宋" w:cs="仿宋"/>
                <w:color w:val="000000"/>
                <w:sz w:val="24"/>
                <w:szCs w:val="24"/>
                <w:highlight w:val="none"/>
              </w:rPr>
            </w:r>
            <w:r/>
          </w:p>
          <w:p>
            <w:pPr>
              <w:pStyle w:val="101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金额：中标价的</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1282"/>
              <w:ind w:firstLine="0"/>
              <w:jc w:val="left"/>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形式：保证保险、保函、电汇、转账、汇票、支票、本票等非现金形式</w:t>
            </w:r>
            <w:r>
              <w:rPr>
                <w:rFonts w:hint="eastAsia" w:ascii="仿宋" w:hAnsi="仿宋" w:eastAsia="仿宋" w:cs="仿宋"/>
                <w:color w:val="000000"/>
                <w:sz w:val="24"/>
                <w:highlight w:val="none"/>
              </w:rPr>
            </w:r>
            <w:r/>
          </w:p>
          <w:p>
            <w:pPr>
              <w:pStyle w:val="101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提交时间：收到中标通知书后签订合同前。</w:t>
            </w:r>
            <w:r>
              <w:rPr>
                <w:rFonts w:hint="eastAsia" w:ascii="仿宋" w:hAnsi="仿宋" w:eastAsia="仿宋" w:cs="仿宋"/>
                <w:color w:val="000000"/>
                <w:sz w:val="24"/>
                <w:szCs w:val="24"/>
                <w:highlight w:val="none"/>
              </w:rPr>
            </w:r>
            <w:r/>
          </w:p>
          <w:p>
            <w:pPr>
              <w:pStyle w:val="1011"/>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退还时间：经</w:t>
            </w:r>
            <w:r>
              <w:rPr>
                <w:rFonts w:hint="eastAsia" w:ascii="仿宋" w:hAnsi="仿宋" w:eastAsia="仿宋" w:cs="仿宋"/>
                <w:color w:val="000000"/>
                <w:sz w:val="24"/>
                <w:szCs w:val="24"/>
                <w:highlight w:val="none"/>
                <w:lang w:val="en-US" w:eastAsia="zh-CN"/>
              </w:rPr>
              <w:t xml:space="preserve">上线验收</w:t>
            </w:r>
            <w:r>
              <w:rPr>
                <w:rFonts w:hint="eastAsia" w:ascii="仿宋" w:hAnsi="仿宋" w:eastAsia="仿宋" w:cs="仿宋"/>
                <w:color w:val="000000"/>
                <w:sz w:val="24"/>
                <w:szCs w:val="24"/>
                <w:highlight w:val="none"/>
              </w:rPr>
              <w:t xml:space="preserve">合格后无息退还。</w:t>
            </w:r>
            <w:r>
              <w:rPr>
                <w:rFonts w:hint="eastAsia" w:ascii="仿宋" w:hAnsi="仿宋" w:eastAsia="仿宋" w:cs="仿宋"/>
                <w:color w:val="000000"/>
                <w:sz w:val="24"/>
                <w:szCs w:val="24"/>
                <w:highlight w:val="none"/>
                <w:lang w:val="en-US" w:eastAsia="zh-CN"/>
              </w:rPr>
            </w:r>
            <w:r/>
          </w:p>
        </w:tc>
      </w:tr>
      <w:tr>
        <w:trPr/>
        <w:tc>
          <w:tcPr>
            <w:tcW w:w="728"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签订合同</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中标通知书发出之日起</w:t>
            </w:r>
            <w:r>
              <w:rPr>
                <w:rFonts w:hint="eastAsia" w:ascii="仿宋" w:hAnsi="仿宋" w:eastAsia="仿宋" w:cs="仿宋"/>
                <w:color w:val="000000"/>
                <w:sz w:val="24"/>
                <w:szCs w:val="24"/>
                <w:highlight w:val="none"/>
                <w:u w:val="single"/>
              </w:rPr>
              <w:t xml:space="preserve"> 30 </w:t>
            </w:r>
            <w:r>
              <w:rPr>
                <w:rFonts w:hint="eastAsia" w:ascii="仿宋" w:hAnsi="仿宋" w:eastAsia="仿宋" w:cs="仿宋"/>
                <w:color w:val="000000"/>
                <w:sz w:val="24"/>
                <w:szCs w:val="24"/>
                <w:highlight w:val="none"/>
              </w:rPr>
              <w:t xml:space="preserve">日内</w:t>
            </w:r>
            <w:r>
              <w:rPr>
                <w:rFonts w:hint="eastAsia" w:ascii="仿宋" w:hAnsi="仿宋" w:eastAsia="仿宋" w:cs="仿宋"/>
                <w:color w:val="000000"/>
                <w:sz w:val="24"/>
                <w:szCs w:val="24"/>
                <w:highlight w:val="none"/>
              </w:rPr>
            </w:r>
            <w:r/>
          </w:p>
        </w:tc>
      </w:tr>
      <w:tr>
        <w:trPr/>
        <w:tc>
          <w:tcPr>
            <w:tcW w:w="728"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付款方式</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011"/>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合同签订后，支付合同金额30%</w:t>
            </w:r>
            <w:r>
              <w:rPr>
                <w:rFonts w:hint="eastAsia" w:ascii="仿宋" w:hAnsi="仿宋" w:eastAsia="仿宋" w:cs="仿宋"/>
                <w:color w:val="000000"/>
                <w:sz w:val="24"/>
                <w:szCs w:val="24"/>
                <w:highlight w:val="none"/>
                <w:lang w:val="en-US" w:eastAsia="zh-CN"/>
              </w:rPr>
              <w:t xml:space="preserve">的首付款，自收到</w:t>
            </w:r>
            <w:r>
              <w:rPr>
                <w:rFonts w:hint="eastAsia" w:ascii="仿宋" w:hAnsi="仿宋" w:eastAsia="仿宋" w:cs="仿宋"/>
                <w:strike w:val="0"/>
                <w:color w:val="000000"/>
                <w:sz w:val="24"/>
                <w:szCs w:val="24"/>
                <w:highlight w:val="none"/>
                <w:lang w:val="en-US" w:eastAsia="zh-CN"/>
              </w:rPr>
              <w:t xml:space="preserve">合同全额</w:t>
            </w:r>
            <w:r>
              <w:rPr>
                <w:rFonts w:hint="eastAsia" w:ascii="仿宋" w:hAnsi="仿宋" w:eastAsia="仿宋" w:cs="仿宋"/>
                <w:color w:val="000000"/>
                <w:sz w:val="24"/>
                <w:szCs w:val="24"/>
                <w:highlight w:val="none"/>
                <w:lang w:val="en-US" w:eastAsia="zh-CN"/>
              </w:rPr>
              <w:t xml:space="preserve">发票的</w:t>
            </w:r>
            <w:r>
              <w:rPr>
                <w:rFonts w:hint="eastAsia" w:ascii="仿宋" w:hAnsi="仿宋" w:eastAsia="仿宋" w:cs="仿宋"/>
                <w:color w:val="000000"/>
                <w:sz w:val="24"/>
                <w:szCs w:val="24"/>
                <w:highlight w:val="none"/>
              </w:rPr>
              <w:t xml:space="preserve">30个工作日内支付；系统上线验收合格后</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30个工作日</w:t>
            </w:r>
            <w:r>
              <w:rPr>
                <w:rFonts w:hint="eastAsia" w:ascii="仿宋" w:hAnsi="仿宋" w:eastAsia="仿宋" w:cs="仿宋"/>
                <w:color w:val="000000"/>
                <w:sz w:val="24"/>
                <w:szCs w:val="24"/>
                <w:highlight w:val="none"/>
                <w:lang w:val="en-US" w:eastAsia="zh-CN"/>
              </w:rPr>
              <w:t xml:space="preserve">内</w:t>
            </w:r>
            <w:r>
              <w:rPr>
                <w:rFonts w:hint="eastAsia" w:ascii="仿宋" w:hAnsi="仿宋" w:eastAsia="仿宋" w:cs="仿宋"/>
                <w:color w:val="000000"/>
                <w:sz w:val="24"/>
                <w:szCs w:val="24"/>
                <w:highlight w:val="none"/>
              </w:rPr>
              <w:t xml:space="preserve">支付合同总金额的</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0%；完成整体项目</w:t>
            </w:r>
            <w:r>
              <w:rPr>
                <w:rFonts w:hint="eastAsia" w:ascii="仿宋" w:hAnsi="仿宋" w:eastAsia="仿宋" w:cs="仿宋"/>
                <w:color w:val="000000"/>
                <w:sz w:val="24"/>
                <w:szCs w:val="24"/>
                <w:highlight w:val="none"/>
                <w:lang w:val="en-US" w:eastAsia="zh-CN"/>
              </w:rPr>
              <w:t xml:space="preserve">的建设且</w:t>
            </w:r>
            <w:r>
              <w:rPr>
                <w:rFonts w:hint="eastAsia" w:ascii="仿宋" w:hAnsi="仿宋" w:eastAsia="仿宋" w:cs="仿宋"/>
                <w:color w:val="000000"/>
                <w:sz w:val="24"/>
                <w:szCs w:val="24"/>
                <w:highlight w:val="none"/>
              </w:rPr>
              <w:t xml:space="preserve">验收</w:t>
            </w:r>
            <w:r>
              <w:rPr>
                <w:rFonts w:hint="eastAsia" w:ascii="仿宋" w:hAnsi="仿宋" w:eastAsia="仿宋" w:cs="仿宋"/>
                <w:color w:val="000000"/>
                <w:sz w:val="24"/>
                <w:szCs w:val="24"/>
                <w:highlight w:val="none"/>
                <w:lang w:val="en-US" w:eastAsia="zh-CN"/>
              </w:rPr>
              <w:t xml:space="preserve">合格</w:t>
            </w:r>
            <w:r>
              <w:rPr>
                <w:rFonts w:hint="eastAsia" w:ascii="仿宋" w:hAnsi="仿宋" w:eastAsia="仿宋" w:cs="仿宋"/>
                <w:color w:val="000000"/>
                <w:sz w:val="24"/>
                <w:szCs w:val="24"/>
                <w:highlight w:val="none"/>
              </w:rPr>
              <w:t xml:space="preserve">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30个工作日</w:t>
            </w:r>
            <w:r>
              <w:rPr>
                <w:rFonts w:hint="eastAsia" w:ascii="仿宋" w:hAnsi="仿宋" w:eastAsia="仿宋" w:cs="仿宋"/>
                <w:color w:val="000000"/>
                <w:sz w:val="24"/>
                <w:szCs w:val="24"/>
                <w:highlight w:val="none"/>
                <w:lang w:val="en-US" w:eastAsia="zh-CN"/>
              </w:rPr>
              <w:t xml:space="preserve">内支付</w:t>
            </w:r>
            <w:r>
              <w:rPr>
                <w:rFonts w:hint="eastAsia" w:ascii="仿宋" w:hAnsi="仿宋" w:eastAsia="仿宋" w:cs="仿宋"/>
                <w:color w:val="000000"/>
                <w:sz w:val="24"/>
                <w:szCs w:val="24"/>
                <w:highlight w:val="none"/>
              </w:rPr>
              <w:t xml:space="preserve">合同总金额的</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0%；</w:t>
            </w:r>
            <w:r>
              <w:rPr>
                <w:rFonts w:hint="eastAsia" w:ascii="仿宋" w:hAnsi="仿宋" w:eastAsia="仿宋" w:cs="仿宋"/>
                <w:color w:val="000000"/>
                <w:sz w:val="24"/>
                <w:szCs w:val="24"/>
                <w:highlight w:val="none"/>
                <w:lang w:val="en-US" w:eastAsia="zh-CN"/>
              </w:rPr>
              <w:t xml:space="preserve">免费维保期满后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服务</w:t>
            </w:r>
            <w:r>
              <w:rPr>
                <w:rFonts w:hint="eastAsia" w:ascii="仿宋" w:hAnsi="仿宋" w:eastAsia="仿宋" w:cs="仿宋"/>
                <w:color w:val="000000"/>
                <w:sz w:val="24"/>
                <w:szCs w:val="24"/>
                <w:highlight w:val="none"/>
                <w:lang w:val="en-US" w:eastAsia="zh-CN"/>
              </w:rPr>
              <w:t xml:space="preserve">及货物</w:t>
            </w:r>
            <w:r>
              <w:rPr>
                <w:rFonts w:hint="eastAsia" w:ascii="仿宋" w:hAnsi="仿宋" w:eastAsia="仿宋" w:cs="仿宋"/>
                <w:color w:val="000000"/>
                <w:sz w:val="24"/>
                <w:szCs w:val="24"/>
                <w:highlight w:val="none"/>
              </w:rPr>
              <w:t xml:space="preserve">无质量问题，30个工作日</w:t>
            </w:r>
            <w:r>
              <w:rPr>
                <w:rFonts w:hint="eastAsia" w:ascii="仿宋" w:hAnsi="仿宋" w:eastAsia="仿宋" w:cs="仿宋"/>
                <w:color w:val="000000"/>
                <w:sz w:val="24"/>
                <w:szCs w:val="24"/>
                <w:highlight w:val="none"/>
                <w:lang w:val="en-US" w:eastAsia="zh-CN"/>
              </w:rPr>
              <w:t xml:space="preserve">内</w:t>
            </w:r>
            <w:r>
              <w:rPr>
                <w:rFonts w:hint="eastAsia" w:ascii="仿宋" w:hAnsi="仿宋" w:eastAsia="仿宋" w:cs="仿宋"/>
                <w:color w:val="000000"/>
                <w:sz w:val="24"/>
                <w:szCs w:val="24"/>
                <w:highlight w:val="none"/>
              </w:rPr>
              <w:t xml:space="preserve">付清合同</w:t>
            </w:r>
            <w:r>
              <w:rPr>
                <w:rFonts w:hint="eastAsia" w:ascii="仿宋" w:hAnsi="仿宋" w:eastAsia="仿宋" w:cs="仿宋"/>
                <w:color w:val="000000"/>
                <w:sz w:val="24"/>
                <w:szCs w:val="24"/>
                <w:highlight w:val="none"/>
                <w:lang w:val="en-US" w:eastAsia="zh-CN"/>
              </w:rPr>
              <w:t xml:space="preserve">金额</w:t>
            </w: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en-US" w:eastAsia="zh-CN"/>
              </w:rPr>
              <w:t xml:space="preserve">的</w:t>
            </w:r>
            <w:r>
              <w:rPr>
                <w:rFonts w:hint="eastAsia" w:ascii="仿宋" w:hAnsi="仿宋" w:eastAsia="仿宋" w:cs="仿宋"/>
                <w:color w:val="000000"/>
                <w:sz w:val="24"/>
                <w:szCs w:val="24"/>
                <w:highlight w:val="none"/>
              </w:rPr>
              <w:t xml:space="preserve">尾款</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无息</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shd w:val="clear" w:color="auto" w:fill="auto"/>
                <w:lang w:val="en-US" w:eastAsia="zh-CN"/>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val="en-US" w:eastAsia="zh-CN"/>
              </w:rPr>
            </w:r>
            <w:r/>
          </w:p>
        </w:tc>
      </w:tr>
      <w:tr>
        <w:trPr/>
        <w:tc>
          <w:tcPr>
            <w:tcW w:w="728"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10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中标服务费</w:t>
            </w: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282"/>
              <w:ind w:lef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领取成交通知书前，</w:t>
            </w:r>
            <w:r>
              <w:rPr>
                <w:rFonts w:hint="eastAsia" w:ascii="仿宋" w:hAnsi="仿宋" w:eastAsia="仿宋" w:cs="仿宋"/>
                <w:color w:val="000000"/>
                <w:sz w:val="24"/>
                <w:szCs w:val="24"/>
                <w:highlight w:val="none"/>
                <w:lang w:eastAsia="zh-CN"/>
              </w:rPr>
              <w:t xml:space="preserve">中标供应商</w:t>
            </w:r>
            <w:r>
              <w:rPr>
                <w:rFonts w:hint="eastAsia" w:ascii="仿宋" w:hAnsi="仿宋" w:eastAsia="仿宋" w:cs="仿宋"/>
                <w:color w:val="000000"/>
                <w:sz w:val="24"/>
                <w:szCs w:val="24"/>
                <w:highlight w:val="none"/>
              </w:rPr>
              <w:t xml:space="preserve">需按照</w:t>
            </w:r>
            <w:r>
              <w:rPr>
                <w:rFonts w:hint="eastAsia" w:ascii="仿宋" w:hAnsi="仿宋" w:eastAsia="仿宋" w:cs="仿宋"/>
                <w:color w:val="000000"/>
                <w:sz w:val="24"/>
                <w:szCs w:val="24"/>
                <w:highlight w:val="none"/>
                <w:lang w:val="en-US" w:eastAsia="zh-CN"/>
              </w:rPr>
              <w:t xml:space="preserve">如下标准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中标价</w:t>
            </w:r>
            <w:r>
              <w:rPr>
                <w:rFonts w:hint="eastAsia" w:ascii="仿宋" w:hAnsi="仿宋" w:eastAsia="仿宋" w:cs="仿宋"/>
                <w:color w:val="000000"/>
                <w:sz w:val="24"/>
                <w:szCs w:val="24"/>
                <w:highlight w:val="none"/>
                <w:lang w:eastAsia="zh-CN"/>
              </w:rPr>
              <w:t xml:space="preserve">1.5%</w:t>
            </w:r>
            <w:r>
              <w:rPr>
                <w:rFonts w:hint="eastAsia" w:ascii="仿宋" w:hAnsi="仿宋" w:eastAsia="仿宋" w:cs="仿宋"/>
                <w:color w:val="000000"/>
                <w:sz w:val="24"/>
                <w:szCs w:val="24"/>
                <w:highlight w:val="none"/>
                <w:lang w:val="en-US" w:eastAsia="zh-CN"/>
              </w:rPr>
              <w:t xml:space="preserve">的基础上×55%</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向采购代理机构一次性缴纳代理服务费</w:t>
            </w:r>
            <w:r>
              <w:rPr>
                <w:rFonts w:hint="eastAsia" w:ascii="仿宋" w:hAnsi="仿宋" w:eastAsia="仿宋" w:cs="仿宋"/>
                <w:color w:val="000000"/>
                <w:sz w:val="24"/>
                <w:szCs w:val="24"/>
                <w:highlight w:val="none"/>
                <w:lang w:val="en-US" w:eastAsia="zh-CN"/>
              </w:rPr>
              <w:t xml:space="preserve">至以下账户中</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282"/>
              <w:ind w:lef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收款人：江苏省招标中心有限公司</w:t>
            </w:r>
            <w:r>
              <w:rPr>
                <w:rFonts w:hint="eastAsia" w:ascii="仿宋" w:hAnsi="仿宋" w:eastAsia="仿宋" w:cs="仿宋"/>
                <w:color w:val="000000"/>
                <w:sz w:val="24"/>
                <w:szCs w:val="24"/>
                <w:highlight w:val="none"/>
              </w:rPr>
            </w:r>
            <w:r/>
          </w:p>
          <w:p>
            <w:pPr>
              <w:pStyle w:val="1282"/>
              <w:ind w:lef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人民币帐号为：7321810182600023404</w:t>
            </w:r>
            <w:r>
              <w:rPr>
                <w:rFonts w:hint="eastAsia" w:ascii="仿宋" w:hAnsi="仿宋" w:eastAsia="仿宋" w:cs="仿宋"/>
                <w:color w:val="000000"/>
                <w:sz w:val="24"/>
                <w:szCs w:val="24"/>
                <w:highlight w:val="none"/>
              </w:rPr>
            </w:r>
            <w:r/>
          </w:p>
          <w:p>
            <w:pPr>
              <w:pStyle w:val="1282"/>
              <w:ind w:lef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开户银行：中信银行南京江苏路支行</w:t>
            </w:r>
            <w:r>
              <w:rPr>
                <w:rFonts w:hint="eastAsia" w:ascii="仿宋" w:hAnsi="仿宋" w:eastAsia="仿宋" w:cs="仿宋"/>
                <w:color w:val="000000"/>
                <w:sz w:val="24"/>
                <w:szCs w:val="24"/>
                <w:highlight w:val="none"/>
              </w:rPr>
            </w:r>
            <w:r/>
          </w:p>
        </w:tc>
      </w:tr>
      <w:tr>
        <w:trPr>
          <w:trHeight w:val="90"/>
        </w:trPr>
        <w:tc>
          <w:tcPr>
            <w:tcW w:w="728" w:type="dxa"/>
            <w:vAlign w:val="center"/>
            <w:textDirection w:val="lrTb"/>
            <w:noWrap w:val="false"/>
          </w:tcPr>
          <w:p>
            <w:pPr>
              <w:pStyle w:val="1011"/>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21</w:t>
            </w:r>
            <w:r>
              <w:rPr>
                <w:rFonts w:hint="eastAsia" w:ascii="仿宋" w:hAnsi="仿宋" w:eastAsia="仿宋" w:cs="仿宋"/>
                <w:color w:val="000000"/>
                <w:sz w:val="24"/>
                <w:szCs w:val="24"/>
                <w:highlight w:val="none"/>
                <w:lang w:val="en-US" w:eastAsia="zh-CN"/>
              </w:rPr>
            </w:r>
            <w:r/>
          </w:p>
        </w:tc>
        <w:tc>
          <w:tcPr>
            <w:tcW w:w="1651" w:type="dxa"/>
            <w:vAlign w:val="center"/>
            <w:textDirection w:val="lrTb"/>
            <w:noWrap w:val="false"/>
          </w:tcPr>
          <w:p>
            <w:pPr>
              <w:pStyle w:val="1011"/>
              <w:jc w:val="center"/>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异常低价审查</w:t>
            </w:r>
            <w:r>
              <w:rPr>
                <w:rFonts w:hint="eastAsia" w:ascii="仿宋" w:hAnsi="仿宋" w:eastAsia="仿宋" w:cs="仿宋"/>
                <w:color w:val="000000"/>
                <w:sz w:val="24"/>
                <w:szCs w:val="24"/>
                <w:highlight w:val="none"/>
                <w:lang w:val="en-US" w:eastAsia="en-US"/>
              </w:rPr>
            </w:r>
            <w:r/>
          </w:p>
        </w:tc>
        <w:tc>
          <w:tcPr>
            <w:tcW w:w="6261" w:type="dxa"/>
            <w:vAlign w:val="center"/>
            <w:textDirection w:val="lrTb"/>
            <w:noWrap w:val="false"/>
          </w:tcPr>
          <w:p>
            <w:pPr>
              <w:pStyle w:val="1011"/>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en-US"/>
              </w:rPr>
              <w:t xml:space="preserve">异常低价审查执行苏财购〔2025〕62号《关于推动解决政府采购异常低价问题相关工作的通知》</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tc>
      </w:tr>
      <w:tr>
        <w:trPr>
          <w:trHeight w:val="90"/>
        </w:trPr>
        <w:tc>
          <w:tcPr>
            <w:tcW w:w="728" w:type="dxa"/>
            <w:vAlign w:val="center"/>
            <w:textDirection w:val="lrTb"/>
            <w:noWrap w:val="false"/>
          </w:tcPr>
          <w:p>
            <w:pPr>
              <w:pStyle w:val="1011"/>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22</w:t>
            </w:r>
            <w:r>
              <w:rPr>
                <w:rFonts w:hint="eastAsia" w:ascii="仿宋" w:hAnsi="仿宋" w:eastAsia="仿宋" w:cs="仿宋"/>
                <w:color w:val="000000"/>
                <w:sz w:val="24"/>
                <w:szCs w:val="24"/>
                <w:highlight w:val="none"/>
                <w:lang w:val="en-US" w:eastAsia="zh-CN"/>
              </w:rPr>
            </w:r>
            <w:r/>
          </w:p>
        </w:tc>
        <w:tc>
          <w:tcPr>
            <w:tcW w:w="1651" w:type="dxa"/>
            <w:vAlign w:val="center"/>
            <w:textDirection w:val="lrTb"/>
            <w:noWrap w:val="false"/>
          </w:tcPr>
          <w:p>
            <w:pPr>
              <w:pStyle w:val="1011"/>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en-US"/>
              </w:rPr>
              <w:t xml:space="preserve">其他说明</w:t>
            </w:r>
            <w:r>
              <w:rPr>
                <w:rFonts w:hint="eastAsia" w:ascii="仿宋" w:hAnsi="仿宋" w:eastAsia="仿宋" w:cs="仿宋"/>
                <w:color w:val="000000"/>
                <w:sz w:val="24"/>
                <w:szCs w:val="24"/>
                <w:highlight w:val="none"/>
                <w:lang w:val="en-US" w:eastAsia="zh-CN"/>
              </w:rPr>
            </w:r>
            <w:r/>
          </w:p>
        </w:tc>
        <w:tc>
          <w:tcPr>
            <w:tcW w:w="6261" w:type="dxa"/>
            <w:vAlign w:val="center"/>
            <w:textDirection w:val="lrTb"/>
            <w:noWrap w:val="false"/>
          </w:tcPr>
          <w:p>
            <w:pPr>
              <w:pStyle w:val="1011"/>
              <w:ind w:firstLine="240"/>
              <w:spacing w:line="240" w:lineRule="auto"/>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w:t>
            </w:r>
            <w:r>
              <w:rPr>
                <w:rFonts w:hint="eastAsia" w:ascii="仿宋" w:hAnsi="仿宋" w:eastAsia="仿宋" w:cs="仿宋"/>
                <w:color w:val="000000"/>
                <w:sz w:val="24"/>
                <w:szCs w:val="24"/>
                <w:highlight w:val="none"/>
                <w:lang w:val="en-US" w:eastAsia="zh-CN"/>
              </w:rPr>
              <w:t xml:space="preserve">中标供应商</w:t>
            </w:r>
            <w:r>
              <w:rPr>
                <w:rFonts w:hint="eastAsia" w:ascii="仿宋" w:hAnsi="仿宋" w:eastAsia="仿宋" w:cs="仿宋"/>
                <w:color w:val="000000"/>
                <w:sz w:val="24"/>
                <w:szCs w:val="24"/>
                <w:highlight w:val="none"/>
                <w:lang w:val="en-US" w:eastAsia="en-US"/>
              </w:rPr>
              <w:t xml:space="preserve">在领取成交通知书时需提供</w:t>
            </w:r>
            <w:r>
              <w:rPr>
                <w:rFonts w:hint="eastAsia" w:ascii="仿宋" w:hAnsi="仿宋" w:eastAsia="仿宋" w:cs="仿宋"/>
                <w:color w:val="000000"/>
                <w:sz w:val="24"/>
                <w:szCs w:val="24"/>
                <w:highlight w:val="none"/>
                <w:lang w:val="en-US" w:eastAsia="zh-CN"/>
              </w:rPr>
              <w:t xml:space="preserve">肆</w:t>
            </w:r>
            <w:r>
              <w:rPr>
                <w:rFonts w:hint="eastAsia" w:ascii="仿宋" w:hAnsi="仿宋" w:eastAsia="仿宋" w:cs="仿宋"/>
                <w:color w:val="000000"/>
                <w:sz w:val="24"/>
                <w:szCs w:val="24"/>
                <w:highlight w:val="none"/>
                <w:lang w:val="en-US" w:eastAsia="en-US"/>
              </w:rPr>
              <w:t xml:space="preserve">份与电子投标文件一致的纸质打印投标文件，须封面、骑缝加盖公章。</w:t>
            </w:r>
            <w:r>
              <w:rPr>
                <w:rFonts w:hint="eastAsia" w:ascii="仿宋" w:hAnsi="仿宋" w:eastAsia="仿宋" w:cs="仿宋"/>
                <w:color w:val="000000"/>
                <w:sz w:val="24"/>
                <w:szCs w:val="24"/>
                <w:highlight w:val="none"/>
                <w:lang w:val="en-US" w:eastAsia="en-US"/>
              </w:rPr>
            </w:r>
            <w:r/>
          </w:p>
          <w:p>
            <w:pPr>
              <w:pStyle w:val="1282"/>
              <w:ind w:left="0" w:firstLine="240"/>
              <w:jc w:val="lef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2.参照《关于印发中小企业划型标准规定的通知》（工信部联企业〔2011〕300号）文件，本项目采购标的所属行业为</w:t>
            </w:r>
            <w:r>
              <w:rPr>
                <w:rFonts w:hint="eastAsia" w:ascii="仿宋" w:hAnsi="仿宋" w:eastAsia="仿宋" w:cs="仿宋"/>
                <w:color w:val="000000"/>
                <w:sz w:val="24"/>
                <w:szCs w:val="24"/>
                <w:highlight w:val="none"/>
                <w:u w:val="single"/>
              </w:rPr>
              <w:t xml:space="preserve">软件和信息技术服务业</w:t>
            </w:r>
            <w:r>
              <w:rPr>
                <w:rFonts w:hint="eastAsia" w:ascii="仿宋" w:hAnsi="仿宋" w:eastAsia="仿宋" w:cs="仿宋"/>
                <w:color w:val="000000"/>
                <w:sz w:val="24"/>
                <w:szCs w:val="24"/>
                <w:highlight w:val="none"/>
                <w:lang w:val="en-US" w:eastAsia="en-US"/>
              </w:rPr>
              <w:t xml:space="preserve">。</w:t>
            </w:r>
            <w:r>
              <w:rPr>
                <w:rFonts w:hint="eastAsia" w:ascii="仿宋" w:hAnsi="仿宋" w:eastAsia="仿宋" w:cs="仿宋"/>
                <w:color w:val="000000"/>
                <w:sz w:val="24"/>
                <w:szCs w:val="24"/>
                <w:highlight w:val="none"/>
                <w:lang w:val="en-US" w:eastAsia="en-US"/>
              </w:rPr>
            </w:r>
            <w:r/>
          </w:p>
          <w:p>
            <w:pPr>
              <w:pStyle w:val="1011"/>
              <w:ind w:firstLine="240"/>
              <w:jc w:val="lef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3.本</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lang w:val="en-US" w:eastAsia="en-US"/>
              </w:rPr>
              <w:t xml:space="preserve">文件的解释权属于采购人。</w:t>
            </w:r>
            <w:r>
              <w:rPr>
                <w:rFonts w:hint="eastAsia" w:ascii="仿宋" w:hAnsi="仿宋" w:eastAsia="仿宋" w:cs="仿宋"/>
                <w:color w:val="000000"/>
                <w:sz w:val="24"/>
                <w:szCs w:val="24"/>
                <w:highlight w:val="none"/>
                <w:lang w:val="en-US" w:eastAsia="en-US"/>
              </w:rPr>
            </w:r>
            <w:r/>
          </w:p>
        </w:tc>
      </w:tr>
      <w:tr>
        <w:trPr/>
        <w:tc>
          <w:tcPr>
            <w:tcW w:w="728" w:type="dxa"/>
            <w:vAlign w:val="center"/>
            <w:textDirection w:val="lrTb"/>
            <w:noWrap w:val="false"/>
          </w:tcPr>
          <w:p>
            <w:pPr>
              <w:pStyle w:val="1011"/>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23</w:t>
            </w:r>
            <w:r>
              <w:rPr>
                <w:rFonts w:hint="eastAsia" w:ascii="仿宋" w:hAnsi="仿宋" w:eastAsia="仿宋" w:cs="仿宋"/>
                <w:color w:val="000000"/>
                <w:sz w:val="24"/>
                <w:szCs w:val="24"/>
                <w:highlight w:val="none"/>
                <w:lang w:val="en-US" w:eastAsia="zh-CN"/>
              </w:rPr>
            </w:r>
            <w:r/>
          </w:p>
        </w:tc>
        <w:tc>
          <w:tcPr>
            <w:tcW w:w="1651" w:type="dxa"/>
            <w:vAlign w:val="center"/>
            <w:textDirection w:val="lrTb"/>
            <w:noWrap w:val="false"/>
          </w:tcPr>
          <w:p>
            <w:pPr>
              <w:pStyle w:val="1282"/>
              <w:ind w:firstLine="0"/>
              <w:jc w:val="center"/>
              <w:rPr>
                <w:rFonts w:hint="eastAsia" w:ascii="仿宋" w:hAnsi="仿宋" w:eastAsia="仿宋" w:cs="仿宋"/>
                <w:color w:val="000000"/>
                <w:sz w:val="24"/>
                <w:szCs w:val="24"/>
                <w:highlight w:val="none"/>
                <w:lang w:val="en-US" w:eastAsia="en-US"/>
              </w:rPr>
            </w:pPr>
            <w:r>
              <w:rPr>
                <w:rFonts w:hint="eastAsia" w:ascii="仿宋" w:hAnsi="仿宋" w:eastAsia="仿宋" w:cs="仿宋"/>
                <w:b w:val="0"/>
                <w:bCs w:val="0"/>
                <w:color w:val="000000"/>
                <w:sz w:val="24"/>
                <w:szCs w:val="24"/>
                <w:highlight w:val="none"/>
              </w:rPr>
              <w:t xml:space="preserve">投</w:t>
            </w:r>
            <w:r>
              <w:rPr>
                <w:rFonts w:hint="eastAsia" w:ascii="仿宋" w:hAnsi="仿宋" w:eastAsia="仿宋" w:cs="仿宋"/>
                <w:color w:val="000000"/>
                <w:sz w:val="24"/>
                <w:szCs w:val="24"/>
                <w:highlight w:val="none"/>
                <w:lang w:val="en-US" w:eastAsia="en-US"/>
              </w:rPr>
              <w:t xml:space="preserve">标文件的制作要求</w:t>
            </w:r>
            <w:r>
              <w:rPr>
                <w:rFonts w:hint="eastAsia" w:ascii="仿宋" w:hAnsi="仿宋" w:eastAsia="仿宋" w:cs="仿宋"/>
                <w:color w:val="000000"/>
                <w:sz w:val="24"/>
                <w:szCs w:val="24"/>
                <w:highlight w:val="none"/>
                <w:lang w:val="en-US" w:eastAsia="en-US"/>
              </w:rPr>
            </w:r>
            <w:r/>
          </w:p>
          <w:p>
            <w:pPr>
              <w:pStyle w:val="1011"/>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261" w:type="dxa"/>
            <w:vAlign w:val="center"/>
            <w:textDirection w:val="lrTb"/>
            <w:noWrap w:val="false"/>
          </w:tcPr>
          <w:p>
            <w:pPr>
              <w:pStyle w:val="1282"/>
              <w:ind w:firstLine="2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本次采购采用“苏采云”系统进行采购活动。</w:t>
            </w:r>
            <w:r>
              <w:rPr>
                <w:rFonts w:hint="eastAsia" w:ascii="仿宋" w:hAnsi="仿宋" w:eastAsia="仿宋" w:cs="仿宋"/>
                <w:color w:val="000000"/>
                <w:sz w:val="24"/>
                <w:szCs w:val="24"/>
                <w:highlight w:val="none"/>
              </w:rPr>
            </w:r>
            <w:r/>
          </w:p>
          <w:p>
            <w:pPr>
              <w:pStyle w:val="1282"/>
              <w:ind w:firstLine="2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投标人如确定参加投标，可自行下载招标文件及有关资料，按</w:t>
            </w:r>
            <w:r>
              <w:rPr>
                <w:rFonts w:hint="eastAsia" w:ascii="仿宋" w:hAnsi="仿宋" w:eastAsia="仿宋" w:cs="仿宋"/>
                <w:color w:val="000000"/>
                <w:sz w:val="24"/>
                <w:szCs w:val="24"/>
                <w:highlight w:val="none"/>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rPr>
                <w:rFonts w:hint="eastAsia" w:ascii="仿宋" w:hAnsi="仿宋" w:eastAsia="仿宋" w:cs="仿宋"/>
                <w:color w:val="000000"/>
                <w:sz w:val="24"/>
                <w:szCs w:val="24"/>
                <w:highlight w:val="none"/>
              </w:rPr>
            </w:r>
            <w:r/>
          </w:p>
        </w:tc>
      </w:tr>
    </w:tbl>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一、说明和释义</w:t>
      </w:r>
      <w:r>
        <w:rPr>
          <w:rFonts w:hint="eastAsia" w:ascii="宋体" w:hAnsi="宋体" w:eastAsia="宋体" w:cs="仿宋"/>
          <w:b/>
          <w:color w:val="000000"/>
          <w:sz w:val="24"/>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1.说明  </w:t>
      </w:r>
      <w:r>
        <w:rPr>
          <w:rFonts w:hint="eastAsia" w:ascii="宋体" w:hAnsi="宋体" w:eastAsia="宋体" w:cs="仿宋"/>
          <w:b/>
          <w:color w:val="000000"/>
          <w:sz w:val="24"/>
          <w:szCs w:val="24"/>
          <w:highlight w:val="none"/>
        </w:rPr>
      </w:r>
      <w:r/>
    </w:p>
    <w:p>
      <w:pPr>
        <w:pStyle w:val="1282"/>
        <w:ind w:firstLine="480"/>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1.1本招标文件仅适用于本采购项目的招标、投标、评审、确定中标单位、验收、合同履约、付款等（法律、法规另有规定的，从其规定）。</w:t>
      </w:r>
      <w:r>
        <w:rPr>
          <w:rFonts w:hint="eastAsia" w:ascii="宋体" w:hAnsi="宋体" w:eastAsia="宋体" w:cs="仿宋"/>
          <w:color w:val="000000"/>
          <w:szCs w:val="24"/>
          <w:highlight w:val="none"/>
        </w:rPr>
      </w:r>
      <w:r/>
    </w:p>
    <w:p>
      <w:pPr>
        <w:pStyle w:val="1282"/>
        <w:ind w:firstLine="480"/>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1.2本次招标活动及因本次招标产生的合同受中国法律制约和保护。</w:t>
      </w:r>
      <w:r>
        <w:rPr>
          <w:rFonts w:hint="eastAsia" w:ascii="宋体" w:hAnsi="宋体" w:eastAsia="宋体" w:cs="仿宋"/>
          <w:color w:val="000000"/>
          <w:szCs w:val="24"/>
          <w:highlight w:val="none"/>
        </w:rPr>
      </w:r>
      <w:r/>
    </w:p>
    <w:p>
      <w:pPr>
        <w:pStyle w:val="1282"/>
        <w:ind w:firstLine="480"/>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1.3</w:t>
      </w:r>
      <w:r>
        <w:rPr>
          <w:rFonts w:hint="eastAsia" w:ascii="宋体" w:hAnsi="宋体" w:eastAsia="宋体" w:cs="仿宋"/>
          <w:color w:val="000000"/>
          <w:szCs w:val="24"/>
          <w:highlight w:val="none"/>
        </w:rPr>
        <w:t xml:space="preserve"> 在本项目采购活动过程中，如果所执行的标准有更新的，按照最新标准执行。</w:t>
      </w:r>
      <w:r>
        <w:rPr>
          <w:rFonts w:hint="eastAsia" w:ascii="宋体" w:hAnsi="宋体" w:eastAsia="宋体" w:cs="仿宋"/>
          <w:color w:val="000000"/>
          <w:szCs w:val="24"/>
          <w:highlight w:val="none"/>
        </w:rPr>
      </w:r>
      <w:r/>
    </w:p>
    <w:p>
      <w:pPr>
        <w:pStyle w:val="1282"/>
        <w:ind w:firstLine="480"/>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w:t>
      </w:r>
      <w:r>
        <w:rPr>
          <w:rFonts w:hint="eastAsia" w:ascii="宋体" w:hAnsi="宋体" w:eastAsia="宋体" w:cs="仿宋"/>
          <w:color w:val="000000"/>
          <w:szCs w:val="24"/>
          <w:highlight w:val="none"/>
          <w:lang w:val="en-US" w:eastAsia="zh-CN"/>
        </w:rPr>
        <w:t xml:space="preserve">4</w:t>
      </w:r>
      <w:r>
        <w:rPr>
          <w:rFonts w:hint="eastAsia" w:ascii="宋体" w:hAnsi="宋体" w:eastAsia="宋体" w:cs="仿宋"/>
          <w:color w:val="000000"/>
          <w:szCs w:val="24"/>
          <w:highlight w:val="none"/>
        </w:rPr>
        <w:t xml:space="preserve">本招标文件的解释权属于采购人。</w:t>
      </w:r>
      <w:r>
        <w:rPr>
          <w:rFonts w:hint="eastAsia" w:ascii="宋体" w:hAnsi="宋体" w:eastAsia="宋体" w:cs="仿宋"/>
          <w:color w:val="000000"/>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2.词语释义</w:t>
      </w:r>
      <w:r>
        <w:rPr>
          <w:rFonts w:hint="eastAsia" w:ascii="宋体" w:hAnsi="宋体" w:eastAsia="宋体" w:cs="仿宋"/>
          <w:b/>
          <w:color w:val="000000"/>
          <w:sz w:val="24"/>
          <w:szCs w:val="24"/>
          <w:highlight w:val="none"/>
        </w:rPr>
      </w:r>
      <w:r/>
    </w:p>
    <w:p>
      <w:pPr>
        <w:pStyle w:val="1282"/>
        <w:ind w:firstLine="480"/>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2.1采购人：指依法进行采购的国家机关、事业单位、团体组织。</w:t>
      </w:r>
      <w:r>
        <w:rPr>
          <w:rFonts w:hint="eastAsia" w:ascii="宋体" w:hAnsi="宋体" w:eastAsia="宋体" w:cs="仿宋"/>
          <w:color w:val="000000"/>
          <w:szCs w:val="24"/>
          <w:highlight w:val="none"/>
        </w:rPr>
      </w:r>
      <w:r/>
    </w:p>
    <w:p>
      <w:pPr>
        <w:pStyle w:val="1282"/>
        <w:ind w:firstLine="480"/>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2.2 供应商、投标人：指向采购人提供货物、工程或服务的法人、其他组织或者自然人，不包括其分公司。</w:t>
      </w:r>
      <w:r>
        <w:rPr>
          <w:rFonts w:hint="eastAsia" w:ascii="宋体" w:hAnsi="宋体" w:eastAsia="宋体" w:cs="仿宋"/>
          <w:color w:val="000000"/>
          <w:szCs w:val="24"/>
          <w:highlight w:val="none"/>
        </w:rPr>
      </w:r>
      <w:r/>
    </w:p>
    <w:p>
      <w:pPr>
        <w:pStyle w:val="1011"/>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2.3采购代理机构：指依法接受采购人委托，从事货物、工程和服务等采购招标代理业务的社会中介机构。</w:t>
      </w:r>
      <w:r>
        <w:rPr>
          <w:rFonts w:hint="eastAsia" w:ascii="宋体" w:hAnsi="宋体" w:eastAsia="宋体" w:cs="仿宋"/>
          <w:color w:val="000000"/>
          <w:sz w:val="24"/>
          <w:szCs w:val="24"/>
          <w:highlight w:val="none"/>
        </w:rPr>
      </w:r>
      <w:r/>
    </w:p>
    <w:p>
      <w:pPr>
        <w:pStyle w:val="1011"/>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2.4招标采购单位：采购人及采购代理机构的统称。</w:t>
      </w:r>
      <w:r>
        <w:rPr>
          <w:rFonts w:hint="eastAsia" w:ascii="宋体" w:hAnsi="宋体" w:eastAsia="宋体" w:cs="仿宋"/>
          <w:color w:val="000000"/>
          <w:sz w:val="24"/>
          <w:szCs w:val="24"/>
          <w:highlight w:val="none"/>
        </w:rPr>
      </w:r>
      <w:r/>
    </w:p>
    <w:p>
      <w:pPr>
        <w:pStyle w:val="1011"/>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2.5评标委员会：是指在招标投标和采购活动中，依法由采购人代表和有关技术、经济等方面的专家组建，负责对投标文件进行评审并提出评审意见的临时性权威机构。</w:t>
      </w:r>
      <w:r>
        <w:rPr>
          <w:rFonts w:hint="eastAsia" w:ascii="宋体" w:hAnsi="宋体" w:eastAsia="宋体" w:cs="仿宋"/>
          <w:color w:val="000000"/>
          <w:sz w:val="24"/>
          <w:szCs w:val="24"/>
          <w:highlight w:val="none"/>
        </w:rPr>
      </w:r>
      <w:r/>
    </w:p>
    <w:p>
      <w:pPr>
        <w:pStyle w:val="1011"/>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2.6响应：投标人根据采购人或采购代理机构发售的招标文件，编制投标文件并按规定投标的行为。</w:t>
      </w:r>
      <w:r>
        <w:rPr>
          <w:rFonts w:hint="eastAsia" w:ascii="宋体" w:hAnsi="宋体" w:eastAsia="宋体" w:cs="仿宋"/>
          <w:color w:val="000000"/>
          <w:sz w:val="24"/>
          <w:szCs w:val="24"/>
          <w:highlight w:val="none"/>
        </w:rPr>
      </w:r>
      <w:r/>
    </w:p>
    <w:p>
      <w:pPr>
        <w:pStyle w:val="1011"/>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2.7知识产权：指专利权、商标权、著作权等无形财产专有权的统称。</w:t>
      </w:r>
      <w:r>
        <w:rPr>
          <w:rFonts w:hint="eastAsia" w:ascii="宋体" w:hAnsi="宋体" w:eastAsia="宋体" w:cs="仿宋"/>
          <w:color w:val="000000"/>
          <w:sz w:val="24"/>
          <w:szCs w:val="24"/>
          <w:highlight w:val="none"/>
        </w:rPr>
      </w:r>
      <w:r/>
    </w:p>
    <w:p>
      <w:pPr>
        <w:pStyle w:val="1011"/>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2.8天：日历天。</w:t>
      </w:r>
      <w:r>
        <w:rPr>
          <w:rFonts w:hint="eastAsia" w:ascii="宋体" w:hAnsi="宋体" w:eastAsia="宋体" w:cs="仿宋"/>
          <w:color w:val="000000"/>
          <w:sz w:val="24"/>
          <w:szCs w:val="24"/>
          <w:highlight w:val="none"/>
        </w:rPr>
      </w:r>
      <w:r/>
    </w:p>
    <w:p>
      <w:pPr>
        <w:pStyle w:val="1011"/>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2.9服务地点：合同中明确约定的乙方履行服务的最终地点。</w:t>
      </w:r>
      <w:r>
        <w:rPr>
          <w:rFonts w:hint="eastAsia" w:ascii="宋体" w:hAnsi="宋体" w:eastAsia="宋体" w:cs="仿宋"/>
          <w:color w:val="000000"/>
          <w:sz w:val="24"/>
          <w:szCs w:val="24"/>
          <w:highlight w:val="none"/>
        </w:rPr>
      </w:r>
      <w:r/>
    </w:p>
    <w:p>
      <w:pPr>
        <w:pStyle w:val="1011"/>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2.10不可抗力：不能预见、不能避免并且不能克服的客观情况。</w:t>
      </w:r>
      <w:r>
        <w:rPr>
          <w:rFonts w:hint="eastAsia" w:ascii="宋体" w:hAnsi="宋体" w:eastAsia="宋体" w:cs="仿宋"/>
          <w:color w:val="000000"/>
          <w:sz w:val="24"/>
          <w:szCs w:val="24"/>
          <w:highlight w:val="none"/>
        </w:rPr>
      </w:r>
      <w:r/>
    </w:p>
    <w:p>
      <w:pPr>
        <w:pStyle w:val="1011"/>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2.11实质性响应：满足有关本次采购标的、数量、质量、价款或者报酬、履行期限、履行地点和方式、违约责任和解决争议方法等要求。</w:t>
      </w:r>
      <w:r>
        <w:rPr>
          <w:rFonts w:hint="eastAsia" w:ascii="宋体" w:hAnsi="宋体" w:eastAsia="宋体" w:cs="仿宋"/>
          <w:color w:val="000000"/>
          <w:sz w:val="24"/>
          <w:szCs w:val="24"/>
          <w:highlight w:val="none"/>
        </w:rPr>
      </w:r>
      <w:r/>
    </w:p>
    <w:p>
      <w:pPr>
        <w:pStyle w:val="1011"/>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2.12书面形式：指书面文字、合同书、信件等可以有形地表现所载内容的形式。</w:t>
      </w:r>
      <w:r>
        <w:rPr>
          <w:rFonts w:hint="eastAsia" w:ascii="宋体" w:hAnsi="宋体" w:eastAsia="宋体" w:cs="仿宋"/>
          <w:color w:val="000000"/>
          <w:sz w:val="24"/>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二、投标人</w:t>
      </w:r>
      <w:r>
        <w:rPr>
          <w:rFonts w:hint="eastAsia" w:ascii="宋体" w:hAnsi="宋体" w:eastAsia="宋体" w:cs="仿宋"/>
          <w:b/>
          <w:color w:val="000000"/>
          <w:sz w:val="24"/>
          <w:szCs w:val="24"/>
          <w:highlight w:val="none"/>
        </w:rPr>
      </w:r>
      <w:r/>
    </w:p>
    <w:p>
      <w:pPr>
        <w:pStyle w:val="1011"/>
        <w:spacing w:line="360" w:lineRule="auto"/>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3.合格投标人资格要求</w:t>
      </w:r>
      <w:r>
        <w:rPr>
          <w:rFonts w:hint="eastAsia" w:ascii="宋体" w:hAnsi="宋体" w:eastAsia="宋体" w:cs="仿宋"/>
          <w:b/>
          <w:bCs/>
          <w:color w:val="000000"/>
          <w:sz w:val="24"/>
          <w:szCs w:val="24"/>
          <w:highlight w:val="none"/>
        </w:rPr>
      </w:r>
      <w:r/>
    </w:p>
    <w:p>
      <w:pPr>
        <w:pStyle w:val="1011"/>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3.1详见投标人须知前附表规定。</w:t>
      </w:r>
      <w:r>
        <w:rPr>
          <w:rFonts w:hint="eastAsia" w:ascii="宋体" w:hAnsi="宋体" w:eastAsia="宋体" w:cs="仿宋"/>
          <w:color w:val="000000"/>
          <w:sz w:val="24"/>
          <w:szCs w:val="24"/>
          <w:highlight w:val="none"/>
        </w:rPr>
      </w:r>
      <w:r/>
    </w:p>
    <w:p>
      <w:pPr>
        <w:pStyle w:val="1011"/>
        <w:spacing w:line="360" w:lineRule="auto"/>
        <w:rPr>
          <w:rFonts w:hint="eastAsia" w:ascii="宋体" w:hAnsi="宋体" w:eastAsia="宋体" w:cs="仿宋"/>
          <w:bCs/>
          <w:color w:val="000000"/>
          <w:sz w:val="24"/>
          <w:szCs w:val="24"/>
          <w:highlight w:val="none"/>
        </w:rPr>
      </w:pPr>
      <w:r>
        <w:rPr>
          <w:rFonts w:hint="eastAsia" w:ascii="宋体" w:hAnsi="宋体" w:eastAsia="宋体" w:cs="仿宋"/>
          <w:b/>
          <w:color w:val="000000"/>
          <w:sz w:val="24"/>
          <w:szCs w:val="24"/>
          <w:highlight w:val="none"/>
        </w:rPr>
        <w:t xml:space="preserve">4.</w:t>
      </w:r>
      <w:r>
        <w:rPr>
          <w:rFonts w:hint="eastAsia" w:ascii="宋体" w:hAnsi="宋体" w:eastAsia="宋体" w:cs="仿宋"/>
          <w:bCs/>
          <w:color w:val="000000"/>
          <w:sz w:val="24"/>
          <w:szCs w:val="24"/>
          <w:highlight w:val="none"/>
        </w:rPr>
        <w:t xml:space="preserve">投标人应在江苏政府采购“苏采云”系统（http://jszfcg.jsczt.cn/，下同）下载招标文件及有关资料，按招标文件要求提交全部资料并对招标文件各项内容做出实质性响应。</w:t>
      </w:r>
      <w:r>
        <w:rPr>
          <w:rFonts w:hint="eastAsia" w:ascii="宋体" w:hAnsi="宋体" w:eastAsia="宋体" w:cs="仿宋"/>
          <w:bCs/>
          <w:color w:val="000000"/>
          <w:sz w:val="24"/>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5.投标人代表</w:t>
      </w:r>
      <w:r>
        <w:rPr>
          <w:rFonts w:hint="eastAsia" w:ascii="宋体" w:hAnsi="宋体" w:eastAsia="宋体" w:cs="仿宋"/>
          <w:b/>
          <w:color w:val="000000"/>
          <w:sz w:val="24"/>
          <w:szCs w:val="24"/>
          <w:highlight w:val="none"/>
        </w:rPr>
      </w:r>
      <w:r/>
    </w:p>
    <w:p>
      <w:pPr>
        <w:pStyle w:val="1011"/>
        <w:ind w:firstLine="366"/>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5.1指全权代表投标人参加投标活动并签署投标文件的人，如果投标人代表不是法人代表，须具有《法人代表授权委托书》（详见统一格式）。</w:t>
      </w:r>
      <w:r>
        <w:rPr>
          <w:rFonts w:hint="eastAsia" w:ascii="宋体" w:hAnsi="宋体" w:eastAsia="宋体" w:cs="仿宋"/>
          <w:color w:val="000000"/>
          <w:sz w:val="24"/>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6.</w:t>
      </w:r>
      <w:r>
        <w:rPr>
          <w:rFonts w:hint="eastAsia" w:ascii="宋体" w:hAnsi="宋体" w:eastAsia="宋体" w:cs="仿宋"/>
          <w:b/>
          <w:color w:val="000000"/>
          <w:sz w:val="24"/>
          <w:szCs w:val="24"/>
          <w:highlight w:val="none"/>
          <w:lang w:val="en-US" w:eastAsia="zh-CN"/>
        </w:rPr>
        <w:t xml:space="preserve">本项目</w:t>
      </w:r>
      <w:r>
        <w:rPr>
          <w:rFonts w:hint="eastAsia" w:ascii="宋体" w:hAnsi="宋体" w:eastAsia="宋体" w:cs="仿宋"/>
          <w:b/>
          <w:color w:val="000000"/>
          <w:sz w:val="24"/>
          <w:szCs w:val="24"/>
          <w:highlight w:val="none"/>
        </w:rPr>
        <w:t xml:space="preserve">接受联合体投标。</w:t>
      </w:r>
      <w:r>
        <w:rPr>
          <w:rFonts w:hint="eastAsia" w:ascii="宋体" w:hAnsi="宋体" w:eastAsia="宋体" w:cs="仿宋"/>
          <w:b/>
          <w:color w:val="000000"/>
          <w:sz w:val="24"/>
          <w:szCs w:val="24"/>
          <w:highlight w:val="none"/>
        </w:rPr>
      </w:r>
      <w:r/>
    </w:p>
    <w:p>
      <w:pPr>
        <w:pStyle w:val="1011"/>
        <w:jc w:val="left"/>
        <w:spacing w:line="360" w:lineRule="auto"/>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7.投标人有下列情形之一的不能参加本次投标：</w:t>
      </w:r>
      <w:r>
        <w:rPr>
          <w:rFonts w:hint="eastAsia" w:ascii="宋体" w:hAnsi="宋体" w:eastAsia="宋体" w:cs="仿宋"/>
          <w:b/>
          <w:bCs/>
          <w:color w:val="000000"/>
          <w:sz w:val="24"/>
          <w:szCs w:val="24"/>
          <w:highlight w:val="none"/>
        </w:rPr>
      </w:r>
      <w:r/>
    </w:p>
    <w:p>
      <w:pPr>
        <w:pStyle w:val="1011"/>
        <w:ind w:firstLine="480"/>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（1）因重大经济问题正在接受国家有关部门审查的；</w:t>
      </w:r>
      <w:r>
        <w:rPr>
          <w:rFonts w:hint="eastAsia" w:ascii="宋体" w:hAnsi="宋体" w:eastAsia="宋体" w:cs="仿宋"/>
          <w:color w:val="000000"/>
          <w:sz w:val="24"/>
          <w:szCs w:val="24"/>
          <w:highlight w:val="none"/>
        </w:rPr>
      </w:r>
      <w:r/>
    </w:p>
    <w:p>
      <w:pPr>
        <w:pStyle w:val="1011"/>
        <w:ind w:firstLine="480"/>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（2）正在被其他企业兼并（或收购）或因重大经济纠纷正在进行诉讼或仲裁的；</w:t>
      </w:r>
      <w:r>
        <w:rPr>
          <w:rFonts w:hint="eastAsia" w:ascii="宋体" w:hAnsi="宋体" w:eastAsia="宋体" w:cs="仿宋"/>
          <w:color w:val="000000"/>
          <w:sz w:val="24"/>
          <w:szCs w:val="24"/>
          <w:highlight w:val="none"/>
        </w:rPr>
      </w:r>
      <w:r/>
    </w:p>
    <w:p>
      <w:pPr>
        <w:pStyle w:val="1011"/>
        <w:ind w:firstLine="480"/>
        <w:jc w:val="left"/>
        <w:spacing w:line="360" w:lineRule="auto"/>
        <w:widowControl/>
        <w:rPr>
          <w:rFonts w:hint="eastAsia"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rPr>
        <w:t xml:space="preserve">（3）因腐败和欺诈行为而被有关部门处理的</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eastAsia="zh-CN"/>
        </w:rPr>
      </w:r>
      <w:r/>
    </w:p>
    <w:p>
      <w:pPr>
        <w:pStyle w:val="1011"/>
        <w:ind w:firstLine="480"/>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（4）被责令停业的； </w:t>
      </w:r>
      <w:r>
        <w:rPr>
          <w:rFonts w:hint="eastAsia" w:ascii="宋体" w:hAnsi="宋体" w:eastAsia="宋体" w:cs="仿宋"/>
          <w:color w:val="000000"/>
          <w:sz w:val="24"/>
          <w:szCs w:val="24"/>
          <w:highlight w:val="none"/>
        </w:rPr>
      </w:r>
      <w:r/>
    </w:p>
    <w:p>
      <w:pPr>
        <w:pStyle w:val="1011"/>
        <w:ind w:firstLine="480"/>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（5）被暂停或取消投标资格的； </w:t>
      </w:r>
      <w:r>
        <w:rPr>
          <w:rFonts w:hint="eastAsia" w:ascii="宋体" w:hAnsi="宋体" w:eastAsia="宋体" w:cs="仿宋"/>
          <w:color w:val="000000"/>
          <w:sz w:val="24"/>
          <w:szCs w:val="24"/>
          <w:highlight w:val="none"/>
        </w:rPr>
      </w:r>
      <w:r/>
    </w:p>
    <w:p>
      <w:pPr>
        <w:pStyle w:val="1011"/>
        <w:ind w:firstLine="480"/>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（6）财产被接管或冻结的；</w:t>
      </w:r>
      <w:r>
        <w:rPr>
          <w:rFonts w:hint="eastAsia" w:ascii="宋体" w:hAnsi="宋体" w:eastAsia="宋体" w:cs="仿宋"/>
          <w:color w:val="000000"/>
          <w:sz w:val="24"/>
          <w:szCs w:val="24"/>
          <w:highlight w:val="none"/>
        </w:rPr>
      </w:r>
      <w:r/>
    </w:p>
    <w:p>
      <w:pPr>
        <w:pStyle w:val="1011"/>
        <w:ind w:firstLine="480"/>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（7）在最近三年内有骗取中标或严重违约或重大工程质量问题的；</w:t>
      </w:r>
      <w:r>
        <w:rPr>
          <w:rFonts w:hint="eastAsia" w:ascii="宋体" w:hAnsi="宋体" w:eastAsia="宋体" w:cs="仿宋"/>
          <w:color w:val="000000"/>
          <w:sz w:val="24"/>
          <w:szCs w:val="24"/>
          <w:highlight w:val="none"/>
        </w:rPr>
      </w:r>
      <w:r/>
    </w:p>
    <w:p>
      <w:pPr>
        <w:pStyle w:val="1011"/>
        <w:ind w:firstLine="480"/>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（8）在投标过程中弄虚作假、行贿或有其他违法违规行为的；</w:t>
      </w:r>
      <w:r>
        <w:rPr>
          <w:rFonts w:hint="eastAsia" w:ascii="宋体" w:hAnsi="宋体" w:eastAsia="宋体" w:cs="仿宋"/>
          <w:color w:val="000000"/>
          <w:sz w:val="24"/>
          <w:szCs w:val="24"/>
          <w:highlight w:val="none"/>
        </w:rPr>
      </w:r>
      <w:r/>
    </w:p>
    <w:p>
      <w:pPr>
        <w:pStyle w:val="1011"/>
        <w:ind w:firstLine="480"/>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（9）违反法律法规相关规定的。</w:t>
      </w:r>
      <w:r>
        <w:rPr>
          <w:rFonts w:hint="eastAsia" w:ascii="宋体" w:hAnsi="宋体" w:eastAsia="宋体" w:cs="仿宋"/>
          <w:color w:val="000000"/>
          <w:sz w:val="24"/>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三、招标文件说明</w:t>
      </w:r>
      <w:r>
        <w:rPr>
          <w:rFonts w:hint="eastAsia" w:ascii="宋体" w:hAnsi="宋体" w:eastAsia="宋体" w:cs="仿宋"/>
          <w:b/>
          <w:color w:val="000000"/>
          <w:sz w:val="24"/>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8.招标文件</w:t>
      </w:r>
      <w:r>
        <w:rPr>
          <w:rFonts w:hint="eastAsia" w:ascii="宋体" w:hAnsi="宋体" w:eastAsia="宋体" w:cs="仿宋"/>
          <w:b/>
          <w:color w:val="000000"/>
          <w:sz w:val="24"/>
          <w:szCs w:val="24"/>
          <w:highlight w:val="none"/>
        </w:rPr>
      </w:r>
      <w:r/>
    </w:p>
    <w:p>
      <w:pPr>
        <w:pStyle w:val="1011"/>
        <w:ind w:firstLine="509"/>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rPr>
          <w:rFonts w:hint="eastAsia" w:ascii="宋体" w:hAnsi="宋体" w:eastAsia="宋体" w:cs="仿宋"/>
          <w:color w:val="000000"/>
          <w:sz w:val="24"/>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9.现场勘察 </w:t>
      </w:r>
      <w:r>
        <w:rPr>
          <w:rFonts w:hint="eastAsia" w:ascii="宋体" w:hAnsi="宋体" w:eastAsia="宋体" w:cs="仿宋"/>
          <w:b/>
          <w:color w:val="000000"/>
          <w:sz w:val="24"/>
          <w:szCs w:val="24"/>
          <w:highlight w:val="none"/>
        </w:rPr>
      </w:r>
      <w:r/>
    </w:p>
    <w:p>
      <w:pPr>
        <w:pStyle w:val="1011"/>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9.1投标人应按</w:t>
      </w:r>
      <w:r>
        <w:rPr>
          <w:rFonts w:hint="eastAsia" w:ascii="宋体" w:hAnsi="宋体" w:eastAsia="宋体" w:cs="仿宋"/>
          <w:bCs/>
          <w:color w:val="000000"/>
          <w:sz w:val="24"/>
          <w:szCs w:val="24"/>
          <w:highlight w:val="none"/>
        </w:rPr>
        <w:t xml:space="preserve">招标文件中所述时间</w:t>
      </w:r>
      <w:r>
        <w:rPr>
          <w:rFonts w:hint="eastAsia" w:ascii="宋体" w:hAnsi="宋体" w:eastAsia="宋体" w:cs="仿宋"/>
          <w:color w:val="000000"/>
          <w:sz w:val="24"/>
          <w:szCs w:val="24"/>
          <w:highlight w:val="none"/>
        </w:rPr>
        <w:t xml:space="preserve">对有关现场和周围环境进行勘察，以获取编制投标文件和签署合同所需的信息。勘察现场所发生的费用由投标人自己承担。</w:t>
      </w:r>
      <w:r>
        <w:rPr>
          <w:rFonts w:hint="eastAsia" w:ascii="宋体" w:hAnsi="宋体" w:eastAsia="宋体" w:cs="仿宋"/>
          <w:color w:val="000000"/>
          <w:sz w:val="24"/>
          <w:szCs w:val="24"/>
          <w:highlight w:val="none"/>
        </w:rPr>
      </w:r>
      <w:r/>
    </w:p>
    <w:p>
      <w:pPr>
        <w:pStyle w:val="1282"/>
        <w:ind w:firstLine="480"/>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rPr>
          <w:rFonts w:hint="eastAsia" w:ascii="宋体" w:hAnsi="宋体" w:eastAsia="宋体" w:cs="仿宋"/>
          <w:color w:val="000000"/>
          <w:szCs w:val="24"/>
          <w:highlight w:val="none"/>
        </w:rPr>
      </w:r>
      <w:r/>
    </w:p>
    <w:p>
      <w:pPr>
        <w:pStyle w:val="1282"/>
        <w:ind w:firstLine="480"/>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9.3 经招标采购单位允许，投标人可为勘察目的进入招标采购单位的项目现场，但投标人不得因此使招标采购单位承担有关的责任和蒙受损失。投标人应承担勘察现场的责任和风险。</w:t>
      </w:r>
      <w:r>
        <w:rPr>
          <w:rFonts w:hint="eastAsia" w:ascii="宋体" w:hAnsi="宋体" w:eastAsia="宋体" w:cs="仿宋"/>
          <w:color w:val="000000"/>
          <w:szCs w:val="24"/>
          <w:highlight w:val="none"/>
        </w:rPr>
      </w:r>
      <w:r/>
    </w:p>
    <w:p>
      <w:pPr>
        <w:pStyle w:val="1282"/>
        <w:ind w:firstLine="480"/>
        <w:jc w:val="both"/>
        <w:spacing w:line="360" w:lineRule="auto"/>
        <w:rPr>
          <w:rFonts w:hint="eastAsia" w:ascii="宋体" w:hAnsi="宋体" w:eastAsia="宋体" w:cs="仿宋"/>
          <w:b/>
          <w:color w:val="000000"/>
          <w:szCs w:val="24"/>
          <w:highlight w:val="none"/>
        </w:rPr>
      </w:pPr>
      <w:r>
        <w:rPr>
          <w:rFonts w:hint="eastAsia" w:ascii="宋体" w:hAnsi="宋体" w:eastAsia="宋体" w:cs="仿宋"/>
          <w:color w:val="000000"/>
          <w:szCs w:val="24"/>
          <w:highlight w:val="none"/>
        </w:rPr>
        <w:t xml:space="preserve">9.4采购人不组织勘察现场或答疑，各投标人可在</w:t>
      </w:r>
      <w:r>
        <w:rPr>
          <w:rFonts w:hint="eastAsia" w:ascii="宋体" w:hAnsi="宋体" w:eastAsia="宋体" w:cs="仿宋"/>
          <w:color w:val="000000"/>
          <w:szCs w:val="24"/>
          <w:highlight w:val="none"/>
          <w:lang w:val="en-US" w:eastAsia="zh-CN"/>
        </w:rPr>
        <w:t xml:space="preserve">工作日</w:t>
      </w:r>
      <w:r>
        <w:rPr>
          <w:rFonts w:hint="eastAsia" w:ascii="宋体" w:hAnsi="宋体" w:eastAsia="宋体" w:cs="仿宋"/>
          <w:color w:val="000000"/>
          <w:szCs w:val="24"/>
          <w:highlight w:val="none"/>
        </w:rPr>
        <w:t xml:space="preserve"> 9：00-11：30，14：00- 17：00（北京时间，节假日除外）自行联系采购人</w:t>
      </w:r>
      <w:r>
        <w:rPr>
          <w:rFonts w:hint="eastAsia" w:ascii="宋体" w:hAnsi="宋体" w:eastAsia="宋体" w:cs="仿宋"/>
          <w:color w:val="000000"/>
          <w:szCs w:val="24"/>
          <w:highlight w:val="none"/>
          <w:lang w:eastAsia="zh-CN"/>
        </w:rPr>
        <w:t xml:space="preserve">（</w:t>
      </w:r>
      <w:r>
        <w:rPr>
          <w:rFonts w:hint="eastAsia" w:ascii="宋体" w:hAnsi="宋体" w:eastAsia="宋体" w:cs="仿宋"/>
          <w:color w:val="000000"/>
          <w:szCs w:val="24"/>
          <w:highlight w:val="none"/>
          <w:lang w:val="en-US" w:eastAsia="zh-CN"/>
        </w:rPr>
        <w:t xml:space="preserve">联系方式：</w:t>
      </w:r>
      <w:r>
        <w:rPr>
          <w:rFonts w:hint="eastAsia" w:ascii="宋体" w:hAnsi="宋体" w:eastAsia="宋体" w:cs="仿宋"/>
          <w:color w:val="000000"/>
          <w:sz w:val="24"/>
          <w:szCs w:val="24"/>
          <w:highlight w:val="none"/>
          <w:lang w:val="en-US" w:eastAsia="zh-CN"/>
        </w:rPr>
        <w:t xml:space="preserve">0523-88117041</w:t>
      </w:r>
      <w:r>
        <w:rPr>
          <w:rFonts w:hint="eastAsia" w:ascii="宋体" w:hAnsi="宋体" w:eastAsia="宋体" w:cs="仿宋"/>
          <w:color w:val="000000"/>
          <w:szCs w:val="24"/>
          <w:highlight w:val="none"/>
          <w:lang w:eastAsia="zh-CN"/>
        </w:rPr>
        <w:t xml:space="preserve">）</w:t>
      </w:r>
      <w:r>
        <w:rPr>
          <w:rFonts w:hint="eastAsia" w:ascii="宋体" w:hAnsi="宋体" w:eastAsia="宋体" w:cs="仿宋"/>
          <w:color w:val="000000"/>
          <w:szCs w:val="24"/>
          <w:highlight w:val="none"/>
        </w:rPr>
        <w:t xml:space="preserve">。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hint="eastAsia" w:ascii="宋体" w:hAnsi="宋体" w:eastAsia="宋体" w:cs="仿宋"/>
          <w:b/>
          <w:color w:val="000000"/>
          <w:szCs w:val="24"/>
          <w:highlight w:val="none"/>
        </w:rPr>
      </w:r>
      <w:r/>
    </w:p>
    <w:p>
      <w:pPr>
        <w:pStyle w:val="1011"/>
        <w:spacing w:line="360" w:lineRule="auto"/>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10.招标文件的澄清和修改</w:t>
      </w:r>
      <w:r>
        <w:rPr>
          <w:rFonts w:hint="eastAsia" w:ascii="宋体" w:hAnsi="宋体" w:eastAsia="宋体" w:cs="仿宋"/>
          <w:b/>
          <w:bCs/>
          <w:color w:val="000000"/>
          <w:sz w:val="24"/>
          <w:szCs w:val="24"/>
          <w:highlight w:val="none"/>
        </w:rPr>
      </w:r>
      <w:r/>
    </w:p>
    <w:p>
      <w:pPr>
        <w:pStyle w:val="1282"/>
        <w:ind w:firstLine="480"/>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10.1 投标人在购买招标文件后，若有问题需要询问和澄清，应于前附表规定的时间提出。</w:t>
      </w:r>
      <w:r>
        <w:rPr>
          <w:rFonts w:hint="eastAsia" w:ascii="宋体" w:hAnsi="宋体" w:eastAsia="宋体" w:cs="仿宋"/>
          <w:color w:val="000000"/>
          <w:szCs w:val="24"/>
          <w:highlight w:val="none"/>
        </w:rPr>
      </w:r>
      <w:r/>
    </w:p>
    <w:p>
      <w:pPr>
        <w:pStyle w:val="1282"/>
        <w:ind w:firstLine="480"/>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10.2如需召开投标答疑会的，招标采购单位将按前附表规定的时间、地点召开招标答疑会。</w:t>
      </w:r>
      <w:r>
        <w:rPr>
          <w:rFonts w:hint="eastAsia" w:ascii="宋体" w:hAnsi="宋体" w:eastAsia="宋体" w:cs="仿宋"/>
          <w:color w:val="000000"/>
          <w:szCs w:val="24"/>
          <w:highlight w:val="none"/>
        </w:rPr>
      </w:r>
      <w:r/>
    </w:p>
    <w:p>
      <w:pPr>
        <w:pStyle w:val="1282"/>
        <w:ind w:firstLine="480"/>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10.3迟于前附表规定时间的询问和提交的疑问，采购人和采购代理机构有权拒绝回答，也不承担由此带来的对投标人投标结果的影响。</w:t>
      </w:r>
      <w:r>
        <w:rPr>
          <w:rFonts w:hint="eastAsia" w:ascii="宋体" w:hAnsi="宋体" w:eastAsia="宋体" w:cs="仿宋"/>
          <w:color w:val="000000"/>
          <w:szCs w:val="24"/>
          <w:highlight w:val="none"/>
        </w:rPr>
      </w:r>
      <w:r/>
    </w:p>
    <w:p>
      <w:pPr>
        <w:pStyle w:val="1282"/>
        <w:ind w:firstLine="480"/>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rPr>
          <w:rFonts w:hint="eastAsia" w:ascii="宋体" w:hAnsi="宋体" w:eastAsia="宋体" w:cs="仿宋"/>
          <w:color w:val="000000"/>
          <w:szCs w:val="24"/>
          <w:highlight w:val="none"/>
        </w:rPr>
      </w:r>
      <w:r/>
    </w:p>
    <w:p>
      <w:pPr>
        <w:pStyle w:val="1282"/>
        <w:ind w:firstLine="480"/>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10.5为使投标人有足够的时间按招标文件的修改要求考虑修正投标文件，或出于其他原因，招标采购单位有权推迟投标截止日期和开标日期，将此变更通知所有招标文件的收受人。</w:t>
      </w:r>
      <w:r>
        <w:rPr>
          <w:rFonts w:hint="eastAsia" w:ascii="宋体" w:hAnsi="宋体" w:eastAsia="宋体" w:cs="仿宋"/>
          <w:color w:val="000000"/>
          <w:szCs w:val="24"/>
          <w:highlight w:val="none"/>
        </w:rPr>
      </w:r>
      <w:r/>
    </w:p>
    <w:p>
      <w:pPr>
        <w:pStyle w:val="1282"/>
        <w:ind w:firstLine="480"/>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10.6招标文件的更正（含澄清、修改等）内容与原招标文件在同一内容上表述不一致时，以发出日期最接近开标时间的公告为准。</w:t>
      </w:r>
      <w:r>
        <w:rPr>
          <w:rFonts w:hint="eastAsia" w:ascii="宋体" w:hAnsi="宋体" w:eastAsia="宋体" w:cs="仿宋"/>
          <w:color w:val="000000"/>
          <w:szCs w:val="24"/>
          <w:highlight w:val="none"/>
        </w:rPr>
      </w:r>
      <w:r/>
    </w:p>
    <w:p>
      <w:pPr>
        <w:pStyle w:val="1282"/>
        <w:ind w:firstLine="480"/>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10.7招标文件的更正（含澄清、修改等）内容将作为招标文件的组成部分，对投标人起约束作用。</w:t>
      </w:r>
      <w:r>
        <w:rPr>
          <w:rFonts w:hint="eastAsia" w:ascii="宋体" w:hAnsi="宋体" w:eastAsia="宋体" w:cs="仿宋"/>
          <w:color w:val="000000"/>
          <w:szCs w:val="24"/>
          <w:highlight w:val="none"/>
        </w:rPr>
      </w:r>
      <w:r/>
    </w:p>
    <w:p>
      <w:pPr>
        <w:pStyle w:val="1011"/>
        <w:spacing w:line="360" w:lineRule="auto"/>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11.投标文件计量单位和使用文字</w:t>
      </w:r>
      <w:r>
        <w:rPr>
          <w:rFonts w:hint="eastAsia" w:ascii="宋体" w:hAnsi="宋体" w:eastAsia="宋体" w:cs="仿宋"/>
          <w:b/>
          <w:bCs/>
          <w:color w:val="000000"/>
          <w:sz w:val="24"/>
          <w:szCs w:val="24"/>
          <w:highlight w:val="none"/>
        </w:rPr>
      </w:r>
      <w:r/>
    </w:p>
    <w:p>
      <w:pPr>
        <w:pStyle w:val="1282"/>
        <w:ind w:firstLine="509"/>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11.1投标文件中所使用的计量单位，除招标文件中有特殊要求外，均应使用中华人民共和国法定计量单位。</w:t>
      </w:r>
      <w:r>
        <w:rPr>
          <w:rFonts w:hint="eastAsia" w:ascii="宋体" w:hAnsi="宋体" w:eastAsia="宋体" w:cs="仿宋"/>
          <w:color w:val="000000"/>
          <w:szCs w:val="24"/>
          <w:highlight w:val="none"/>
        </w:rPr>
      </w:r>
      <w:r/>
    </w:p>
    <w:p>
      <w:pPr>
        <w:pStyle w:val="1011"/>
        <w:ind w:firstLine="509"/>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hint="eastAsia" w:ascii="宋体" w:hAnsi="宋体" w:eastAsia="宋体" w:cs="仿宋"/>
          <w:color w:val="000000"/>
          <w:sz w:val="24"/>
          <w:szCs w:val="24"/>
          <w:highlight w:val="none"/>
        </w:rPr>
      </w:r>
      <w:r/>
    </w:p>
    <w:p>
      <w:pPr>
        <w:pStyle w:val="128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11.3投标人应当同时凭CA数字证书登录“江苏政府采购“苏采云”系统”，并在投标截止时间前上传电子投标文件。</w:t>
      </w:r>
      <w:r>
        <w:rPr>
          <w:rFonts w:hint="eastAsia" w:ascii="宋体" w:hAnsi="宋体" w:eastAsia="宋体" w:cs="仿宋"/>
          <w:color w:val="000000"/>
          <w:sz w:val="24"/>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1</w:t>
      </w:r>
      <w:bookmarkStart w:id="37" w:name="_Toc217446047"/>
      <w:r>
        <w:rPr>
          <w:rFonts w:hint="eastAsia" w:ascii="宋体" w:hAnsi="宋体" w:eastAsia="宋体" w:cs="仿宋"/>
          <w:b/>
          <w:color w:val="000000"/>
          <w:sz w:val="24"/>
          <w:szCs w:val="24"/>
          <w:highlight w:val="none"/>
        </w:rPr>
        <w:t xml:space="preserve">2.知识产权</w:t>
      </w:r>
      <w:bookmarkEnd w:id="37"/>
      <w:r>
        <w:rPr>
          <w:rFonts w:hint="eastAsia" w:ascii="宋体" w:hAnsi="宋体" w:eastAsia="宋体" w:cs="仿宋"/>
          <w:b/>
          <w:color w:val="000000"/>
          <w:sz w:val="24"/>
          <w:szCs w:val="24"/>
          <w:highlight w:val="none"/>
        </w:rPr>
      </w:r>
      <w:r/>
    </w:p>
    <w:p>
      <w:pPr>
        <w:pStyle w:val="1282"/>
        <w:ind w:firstLine="509"/>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eastAsia="宋体" w:cs="仿宋"/>
          <w:color w:val="000000"/>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13.投标文件的组成</w:t>
      </w:r>
      <w:r>
        <w:rPr>
          <w:rFonts w:hint="eastAsia" w:ascii="宋体" w:hAnsi="宋体" w:eastAsia="宋体" w:cs="仿宋"/>
          <w:b/>
          <w:color w:val="000000"/>
          <w:sz w:val="24"/>
          <w:szCs w:val="24"/>
          <w:highlight w:val="none"/>
        </w:rPr>
      </w:r>
      <w:r/>
    </w:p>
    <w:p>
      <w:pPr>
        <w:pStyle w:val="1011"/>
        <w:numPr>
          <w:ilvl w:val="0"/>
          <w:numId w:val="0"/>
        </w:numPr>
        <w:ind w:left="532"/>
        <w:spacing w:line="360" w:lineRule="auto"/>
        <w:tabs>
          <w:tab w:val="left" w:pos="525" w:leader="none"/>
          <w:tab w:val="left" w:pos="945" w:leader="none"/>
        </w:tabs>
        <w:rPr>
          <w:rFonts w:hint="eastAsia" w:ascii="宋体" w:hAnsi="宋体" w:eastAsia="宋体" w:cs="仿宋"/>
          <w:color w:val="000000"/>
          <w:sz w:val="24"/>
          <w:szCs w:val="24"/>
          <w:highlight w:val="none"/>
        </w:rPr>
      </w:pPr>
      <w:r/>
      <w:bookmarkStart w:id="38" w:name="_Toc388026586"/>
      <w:r>
        <w:rPr>
          <w:rFonts w:hint="eastAsia" w:ascii="宋体" w:hAnsi="宋体" w:eastAsia="宋体" w:cs="仿宋"/>
          <w:color w:val="000000"/>
          <w:sz w:val="24"/>
          <w:szCs w:val="24"/>
          <w:highlight w:val="none"/>
          <w:lang w:val="en-US" w:eastAsia="zh-CN"/>
        </w:rPr>
        <w:t xml:space="preserve">13.1</w:t>
      </w:r>
      <w:r>
        <w:rPr>
          <w:rFonts w:hint="eastAsia" w:ascii="宋体" w:hAnsi="宋体" w:eastAsia="宋体" w:cs="仿宋"/>
          <w:color w:val="000000"/>
          <w:sz w:val="24"/>
          <w:szCs w:val="24"/>
          <w:highlight w:val="none"/>
        </w:rPr>
        <w:t xml:space="preserve">资格、资信证明文件：</w:t>
      </w:r>
      <w:r>
        <w:rPr>
          <w:rFonts w:hint="eastAsia" w:ascii="宋体" w:hAnsi="宋体" w:eastAsia="宋体" w:cs="仿宋"/>
          <w:color w:val="000000"/>
          <w:sz w:val="24"/>
          <w:szCs w:val="24"/>
          <w:highlight w:val="none"/>
        </w:rPr>
      </w:r>
      <w:r/>
    </w:p>
    <w:p>
      <w:pPr>
        <w:pStyle w:val="1159"/>
        <w:numPr>
          <w:ilvl w:val="1"/>
          <w:numId w:val="2"/>
        </w:numPr>
        <w:ind w:left="0" w:firstLine="567"/>
        <w:spacing w:line="360" w:lineRule="auto"/>
        <w:tabs>
          <w:tab w:val="left" w:pos="360" w:leader="none"/>
          <w:tab w:val="left" w:pos="1276"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法人或其他组织的营业执照或相关部门的登记证明文件</w:t>
      </w:r>
      <w:r>
        <w:rPr>
          <w:rFonts w:hint="eastAsia" w:ascii="宋体" w:hAnsi="宋体" w:eastAsia="宋体" w:cs="仿宋"/>
          <w:b/>
          <w:bCs/>
          <w:color w:val="000000"/>
          <w:sz w:val="24"/>
          <w:szCs w:val="24"/>
          <w:highlight w:val="none"/>
        </w:rPr>
        <w:t xml:space="preserve">（若为联合体响应，联合体双方均需提供）</w:t>
      </w:r>
      <w:r>
        <w:rPr>
          <w:rFonts w:hint="eastAsia"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rPr>
      </w:r>
      <w:r/>
    </w:p>
    <w:p>
      <w:pPr>
        <w:pStyle w:val="1011"/>
        <w:numPr>
          <w:ilvl w:val="1"/>
          <w:numId w:val="2"/>
        </w:numPr>
        <w:ind w:left="0" w:firstLine="531"/>
        <w:spacing w:line="360" w:lineRule="auto"/>
        <w:tabs>
          <w:tab w:val="left" w:pos="360" w:leader="none"/>
          <w:tab w:val="left" w:pos="945" w:leader="none"/>
          <w:tab w:val="left" w:pos="1276"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投标人上一年度的财务状况报告或由会计师事务所出具的近两年中任意一个年度的审计报告，其他组织、自然人及成立未满一年的法人应提供银行出具的资信证明</w:t>
      </w:r>
      <w:r>
        <w:rPr>
          <w:rFonts w:hint="eastAsia" w:ascii="宋体" w:hAnsi="宋体" w:eastAsia="宋体" w:cs="仿宋"/>
          <w:b/>
          <w:bCs/>
          <w:color w:val="000000"/>
          <w:sz w:val="24"/>
          <w:szCs w:val="24"/>
          <w:highlight w:val="none"/>
        </w:rPr>
        <w:t xml:space="preserve">（若为联合体响应，联合体双方均需提供）</w:t>
      </w:r>
      <w:r>
        <w:rPr>
          <w:rFonts w:hint="eastAsia"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rPr>
      </w:r>
      <w:r/>
    </w:p>
    <w:p>
      <w:pPr>
        <w:pStyle w:val="1011"/>
        <w:numPr>
          <w:ilvl w:val="1"/>
          <w:numId w:val="2"/>
        </w:numPr>
        <w:ind w:left="0" w:firstLine="531"/>
        <w:spacing w:line="360" w:lineRule="auto"/>
        <w:tabs>
          <w:tab w:val="left" w:pos="360" w:leader="none"/>
          <w:tab w:val="left" w:pos="945" w:leader="none"/>
          <w:tab w:val="left" w:pos="1276"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rPr>
          <w:rFonts w:hint="eastAsia" w:ascii="宋体" w:hAnsi="宋体" w:eastAsia="宋体" w:cs="仿宋"/>
          <w:b/>
          <w:bCs/>
          <w:color w:val="000000"/>
          <w:sz w:val="24"/>
          <w:szCs w:val="24"/>
          <w:highlight w:val="none"/>
        </w:rPr>
        <w:t xml:space="preserve">（若为联合体响应，联合体双方均需提供）</w:t>
      </w:r>
      <w:r>
        <w:rPr>
          <w:rFonts w:hint="eastAsia" w:ascii="宋体" w:hAnsi="宋体" w:eastAsia="宋体" w:cs="仿宋"/>
          <w:color w:val="000000"/>
          <w:sz w:val="24"/>
          <w:szCs w:val="24"/>
          <w:highlight w:val="none"/>
        </w:rPr>
        <w:t xml:space="preserve">；</w:t>
      </w:r>
      <w:r>
        <w:rPr>
          <w:rFonts w:hint="eastAsia" w:ascii="宋体" w:hAnsi="宋体" w:eastAsia="宋体" w:cs="仿宋"/>
          <w:color w:val="000000"/>
          <w:sz w:val="24"/>
          <w:szCs w:val="24"/>
          <w:highlight w:val="none"/>
        </w:rPr>
      </w:r>
      <w:r/>
    </w:p>
    <w:p>
      <w:pPr>
        <w:pStyle w:val="1011"/>
        <w:numPr>
          <w:ilvl w:val="1"/>
          <w:numId w:val="2"/>
        </w:numPr>
        <w:ind w:left="0" w:firstLine="531"/>
        <w:spacing w:line="360" w:lineRule="auto"/>
        <w:tabs>
          <w:tab w:val="left" w:pos="360" w:leader="none"/>
          <w:tab w:val="left" w:pos="945" w:leader="none"/>
          <w:tab w:val="left" w:pos="1276"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rPr>
          <w:rFonts w:hint="eastAsia" w:ascii="宋体" w:hAnsi="宋体" w:eastAsia="宋体" w:cs="仿宋"/>
          <w:b/>
          <w:bCs/>
          <w:color w:val="000000"/>
          <w:sz w:val="24"/>
          <w:szCs w:val="24"/>
          <w:highlight w:val="none"/>
        </w:rPr>
        <w:t xml:space="preserve">（若为联合体响应，联合体双方均需提供）</w:t>
      </w:r>
      <w:r>
        <w:rPr>
          <w:rFonts w:hint="eastAsia" w:ascii="宋体" w:hAnsi="宋体" w:eastAsia="宋体" w:cs="仿宋"/>
          <w:color w:val="000000"/>
          <w:sz w:val="24"/>
          <w:szCs w:val="24"/>
          <w:highlight w:val="none"/>
        </w:rPr>
        <w:t xml:space="preserve">；</w:t>
      </w:r>
      <w:r>
        <w:rPr>
          <w:rFonts w:hint="eastAsia" w:ascii="宋体" w:hAnsi="宋体" w:eastAsia="宋体" w:cs="仿宋"/>
          <w:color w:val="000000"/>
          <w:sz w:val="24"/>
          <w:szCs w:val="24"/>
          <w:highlight w:val="none"/>
        </w:rPr>
      </w:r>
      <w:r/>
    </w:p>
    <w:p>
      <w:pPr>
        <w:pStyle w:val="1011"/>
        <w:numPr>
          <w:ilvl w:val="1"/>
          <w:numId w:val="2"/>
        </w:numPr>
        <w:ind w:left="0" w:firstLine="531"/>
        <w:spacing w:line="360" w:lineRule="auto"/>
        <w:tabs>
          <w:tab w:val="left" w:pos="360" w:leader="none"/>
          <w:tab w:val="left" w:pos="945" w:leader="none"/>
          <w:tab w:val="left" w:pos="1276"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具备履行合同所必需的设备和专业技术能力的书面声明</w:t>
      </w:r>
      <w:r>
        <w:rPr>
          <w:rFonts w:hint="eastAsia" w:ascii="宋体" w:hAnsi="宋体" w:eastAsia="宋体" w:cs="仿宋"/>
          <w:b/>
          <w:bCs/>
          <w:color w:val="000000"/>
          <w:sz w:val="24"/>
          <w:szCs w:val="24"/>
          <w:highlight w:val="none"/>
        </w:rPr>
        <w:t xml:space="preserve">（若为联合体响应，联合体双方均需提供）</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rPr>
      </w:r>
      <w:r/>
    </w:p>
    <w:p>
      <w:pPr>
        <w:pStyle w:val="1011"/>
        <w:numPr>
          <w:ilvl w:val="1"/>
          <w:numId w:val="2"/>
        </w:numPr>
        <w:ind w:left="0" w:firstLine="531"/>
        <w:spacing w:line="360" w:lineRule="auto"/>
        <w:tabs>
          <w:tab w:val="left" w:pos="360" w:leader="none"/>
          <w:tab w:val="left" w:pos="945" w:leader="none"/>
          <w:tab w:val="left" w:pos="1276"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参加政府采购活动前 3 年内在经营活动中没有重大违法记录的书面声明</w:t>
      </w:r>
      <w:r>
        <w:rPr>
          <w:rFonts w:hint="eastAsia" w:ascii="宋体" w:hAnsi="宋体" w:eastAsia="宋体" w:cs="仿宋"/>
          <w:b/>
          <w:bCs/>
          <w:color w:val="000000"/>
          <w:sz w:val="24"/>
          <w:szCs w:val="24"/>
          <w:highlight w:val="none"/>
        </w:rPr>
        <w:t xml:space="preserve">（若为联合体响应，联合体双方均需提供）</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rPr>
      </w:r>
      <w:r/>
    </w:p>
    <w:p>
      <w:pPr>
        <w:pStyle w:val="1011"/>
        <w:numPr>
          <w:ilvl w:val="1"/>
          <w:numId w:val="3"/>
        </w:numPr>
        <w:ind w:left="0" w:firstLine="531"/>
        <w:spacing w:line="360" w:lineRule="auto"/>
        <w:tabs>
          <w:tab w:val="left" w:pos="360" w:leader="none"/>
          <w:tab w:val="left" w:pos="945" w:leader="none"/>
          <w:tab w:val="left" w:pos="1276"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中小企业声明函（格式见附件）；</w:t>
      </w:r>
      <w:r>
        <w:rPr>
          <w:rFonts w:hint="eastAsia" w:ascii="宋体" w:hAnsi="宋体" w:eastAsia="宋体" w:cs="仿宋"/>
          <w:color w:val="000000"/>
          <w:sz w:val="24"/>
          <w:szCs w:val="24"/>
          <w:highlight w:val="none"/>
        </w:rPr>
      </w:r>
      <w:r/>
    </w:p>
    <w:p>
      <w:pPr>
        <w:pStyle w:val="1011"/>
        <w:numPr>
          <w:ilvl w:val="1"/>
          <w:numId w:val="3"/>
        </w:numPr>
        <w:ind w:left="0" w:firstLine="531"/>
        <w:spacing w:line="360" w:lineRule="auto"/>
        <w:tabs>
          <w:tab w:val="left" w:pos="360" w:leader="none"/>
          <w:tab w:val="left" w:pos="945" w:leader="none"/>
          <w:tab w:val="left" w:pos="1276"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关于符合本国产品标准的声明函</w:t>
      </w:r>
      <w:r>
        <w:rPr>
          <w:rFonts w:hint="eastAsia" w:ascii="宋体" w:hAnsi="宋体" w:eastAsia="宋体" w:cs="仿宋"/>
          <w:color w:val="000000"/>
          <w:sz w:val="24"/>
          <w:szCs w:val="24"/>
          <w:highlight w:val="none"/>
        </w:rPr>
        <w:t xml:space="preserve">（格式见附件）</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rPr>
      </w:r>
      <w:r/>
    </w:p>
    <w:p>
      <w:pPr>
        <w:pStyle w:val="1011"/>
        <w:numPr>
          <w:ilvl w:val="1"/>
          <w:numId w:val="3"/>
        </w:numPr>
        <w:ind w:left="0" w:firstLine="531"/>
        <w:spacing w:line="360" w:lineRule="auto"/>
        <w:tabs>
          <w:tab w:val="left" w:pos="360" w:leader="none"/>
          <w:tab w:val="left" w:pos="945" w:leader="none"/>
          <w:tab w:val="left" w:pos="1276" w:leader="none"/>
        </w:tabs>
        <w:rPr>
          <w:rFonts w:hint="eastAsia"/>
          <w:color w:val="000000"/>
          <w:sz w:val="24"/>
          <w:szCs w:val="24"/>
          <w:highlight w:val="none"/>
        </w:rPr>
      </w:pPr>
      <w:r>
        <w:rPr>
          <w:rFonts w:hint="eastAsia" w:ascii="宋体" w:hAnsi="宋体" w:eastAsia="宋体" w:cs="仿宋"/>
          <w:color w:val="000000"/>
          <w:sz w:val="24"/>
          <w:szCs w:val="24"/>
          <w:highlight w:val="none"/>
        </w:rPr>
        <w:t xml:space="preserve">采购人要求的特定资质证明（详见“采购公告”-“本项目特定资格要求”之3中要求）。未被列入“信用中国”网站(www.creditchina.gov.cn)失信被执行人名单、重大税收违法案件当事人名单和中国政府采购网(www.ccgp.gov.cn)政府采购严重违法失信行为记录名单（网页截图）</w:t>
      </w:r>
      <w:r>
        <w:rPr>
          <w:rFonts w:hint="eastAsia" w:ascii="宋体" w:hAnsi="宋体" w:eastAsia="宋体" w:cs="仿宋"/>
          <w:b/>
          <w:bCs/>
          <w:color w:val="000000"/>
          <w:sz w:val="24"/>
          <w:szCs w:val="24"/>
          <w:highlight w:val="none"/>
        </w:rPr>
        <w:t xml:space="preserve">（若为联合体响应，联合体双方均需提供）</w:t>
      </w:r>
      <w:r>
        <w:rPr>
          <w:rFonts w:hint="eastAsia" w:ascii="宋体" w:hAnsi="宋体" w:eastAsia="宋体" w:cs="仿宋"/>
          <w:b w:val="0"/>
          <w:bCs w:val="0"/>
          <w:color w:val="000000"/>
          <w:sz w:val="24"/>
          <w:szCs w:val="24"/>
          <w:highlight w:val="none"/>
          <w:lang w:eastAsia="zh-CN"/>
        </w:rPr>
        <w:t xml:space="preserve">；</w:t>
      </w:r>
      <w:r>
        <w:rPr>
          <w:rFonts w:hint="eastAsia"/>
          <w:color w:val="000000"/>
          <w:sz w:val="24"/>
          <w:szCs w:val="24"/>
          <w:highlight w:val="none"/>
        </w:rPr>
      </w:r>
      <w:r/>
    </w:p>
    <w:p>
      <w:pPr>
        <w:pStyle w:val="1011"/>
        <w:numPr>
          <w:ilvl w:val="0"/>
          <w:numId w:val="0"/>
        </w:numPr>
        <w:ind w:left="532"/>
        <w:spacing w:line="360" w:lineRule="auto"/>
        <w:tabs>
          <w:tab w:val="left" w:pos="525" w:leader="none"/>
          <w:tab w:val="left" w:pos="945" w:leader="none"/>
        </w:tabs>
        <w:rPr>
          <w:rFonts w:hint="eastAsia"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lang w:val="en-US" w:eastAsia="zh-CN"/>
        </w:rPr>
        <w:t xml:space="preserve">13.2联合体协议书（如有）；</w:t>
      </w:r>
      <w:r>
        <w:rPr>
          <w:rFonts w:hint="eastAsia" w:ascii="宋体" w:hAnsi="宋体" w:eastAsia="宋体" w:cs="仿宋"/>
          <w:color w:val="000000"/>
          <w:sz w:val="24"/>
          <w:szCs w:val="24"/>
          <w:highlight w:val="none"/>
          <w:lang w:val="en-US" w:eastAsia="zh-CN"/>
        </w:rPr>
      </w:r>
      <w:r/>
    </w:p>
    <w:p>
      <w:pPr>
        <w:pStyle w:val="1011"/>
        <w:numPr>
          <w:ilvl w:val="0"/>
          <w:numId w:val="0"/>
        </w:numPr>
        <w:ind w:left="532"/>
        <w:spacing w:line="360" w:lineRule="auto"/>
        <w:tabs>
          <w:tab w:val="left" w:pos="525" w:leader="none"/>
          <w:tab w:val="left" w:pos="945"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val="en-US" w:eastAsia="zh-CN"/>
        </w:rPr>
        <w:t xml:space="preserve">13.3</w:t>
      </w:r>
      <w:r>
        <w:rPr>
          <w:rFonts w:hint="eastAsia" w:ascii="宋体" w:hAnsi="宋体" w:eastAsia="宋体" w:cs="仿宋"/>
          <w:color w:val="000000"/>
          <w:sz w:val="24"/>
          <w:szCs w:val="24"/>
          <w:highlight w:val="none"/>
        </w:rPr>
        <w:t xml:space="preserve">开标一览表（格式见附件）</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rPr>
      </w:r>
      <w:r/>
    </w:p>
    <w:p>
      <w:pPr>
        <w:pStyle w:val="1011"/>
        <w:numPr>
          <w:ilvl w:val="0"/>
          <w:numId w:val="0"/>
        </w:numPr>
        <w:ind w:left="532"/>
        <w:spacing w:line="360" w:lineRule="auto"/>
        <w:tabs>
          <w:tab w:val="left" w:pos="945" w:leader="none"/>
          <w:tab w:val="left" w:pos="1276"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val="en-US" w:eastAsia="zh-CN"/>
        </w:rPr>
        <w:t xml:space="preserve">13.4</w:t>
      </w:r>
      <w:r>
        <w:rPr>
          <w:rFonts w:hint="eastAsia" w:ascii="宋体" w:hAnsi="宋体" w:eastAsia="宋体" w:cs="仿宋"/>
          <w:color w:val="000000"/>
          <w:sz w:val="24"/>
          <w:szCs w:val="24"/>
          <w:highlight w:val="none"/>
        </w:rPr>
        <w:t xml:space="preserve">投标人法定代表人授权委托书（格式见附件，法定代表人亲自参加投标的提供法定代表人身份证扫描件）、投标人法定代表人授权代表身份证扫描件（法定代表人亲自参加投标的除外）；</w:t>
      </w:r>
      <w:r>
        <w:rPr>
          <w:rFonts w:hint="eastAsia" w:ascii="宋体" w:hAnsi="宋体" w:eastAsia="宋体" w:cs="仿宋"/>
          <w:color w:val="000000"/>
          <w:sz w:val="24"/>
          <w:szCs w:val="24"/>
          <w:highlight w:val="none"/>
        </w:rPr>
      </w:r>
      <w:r/>
    </w:p>
    <w:p>
      <w:pPr>
        <w:pStyle w:val="1011"/>
        <w:numPr>
          <w:ilvl w:val="0"/>
          <w:numId w:val="0"/>
        </w:numPr>
        <w:ind w:left="532"/>
        <w:spacing w:line="360" w:lineRule="auto"/>
        <w:tabs>
          <w:tab w:val="left" w:pos="945" w:leader="none"/>
          <w:tab w:val="left" w:pos="1276"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val="en-US" w:eastAsia="zh-CN"/>
        </w:rPr>
        <w:t xml:space="preserve">13.5</w:t>
      </w:r>
      <w:r>
        <w:rPr>
          <w:rFonts w:hint="eastAsia" w:ascii="宋体" w:hAnsi="宋体" w:eastAsia="宋体" w:cs="仿宋"/>
          <w:color w:val="000000"/>
          <w:sz w:val="24"/>
          <w:szCs w:val="24"/>
          <w:highlight w:val="none"/>
        </w:rPr>
        <w:t xml:space="preserve">投标函（格式见附件）</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rPr>
      </w:r>
      <w:r/>
    </w:p>
    <w:p>
      <w:pPr>
        <w:pStyle w:val="1011"/>
        <w:numPr>
          <w:ilvl w:val="0"/>
          <w:numId w:val="0"/>
        </w:numPr>
        <w:ind w:left="532"/>
        <w:spacing w:line="360" w:lineRule="auto"/>
        <w:tabs>
          <w:tab w:val="left" w:pos="525" w:leader="none"/>
          <w:tab w:val="left" w:pos="945"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val="en-US" w:eastAsia="zh-CN"/>
        </w:rPr>
        <w:t xml:space="preserve">13.6</w:t>
      </w:r>
      <w:r>
        <w:rPr>
          <w:rFonts w:hint="eastAsia" w:ascii="宋体" w:hAnsi="宋体" w:eastAsia="宋体" w:cs="仿宋"/>
          <w:color w:val="000000"/>
          <w:sz w:val="24"/>
          <w:szCs w:val="24"/>
          <w:highlight w:val="none"/>
        </w:rPr>
        <w:t xml:space="preserve">投标</w:t>
      </w:r>
      <w:r>
        <w:rPr>
          <w:rFonts w:hint="eastAsia" w:ascii="宋体" w:hAnsi="宋体" w:eastAsia="宋体" w:cs="仿宋"/>
          <w:color w:val="000000"/>
          <w:sz w:val="24"/>
          <w:szCs w:val="24"/>
          <w:highlight w:val="none"/>
          <w:lang w:val="en-US" w:eastAsia="zh-CN"/>
        </w:rPr>
        <w:t xml:space="preserve">分项</w:t>
      </w:r>
      <w:r>
        <w:rPr>
          <w:rFonts w:hint="eastAsia" w:ascii="宋体" w:hAnsi="宋体" w:eastAsia="宋体" w:cs="仿宋"/>
          <w:color w:val="000000"/>
          <w:sz w:val="24"/>
          <w:szCs w:val="24"/>
          <w:highlight w:val="none"/>
        </w:rPr>
        <w:t xml:space="preserve">报价表（格式见附件）</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rPr>
      </w:r>
      <w:r/>
    </w:p>
    <w:p>
      <w:pPr>
        <w:pStyle w:val="1011"/>
        <w:numPr>
          <w:ilvl w:val="0"/>
          <w:numId w:val="0"/>
        </w:numPr>
        <w:ind w:left="532"/>
        <w:spacing w:line="360" w:lineRule="auto"/>
        <w:tabs>
          <w:tab w:val="left" w:pos="525" w:leader="none"/>
          <w:tab w:val="left" w:pos="945"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val="en-US" w:eastAsia="zh-CN"/>
        </w:rPr>
        <w:t xml:space="preserve">13.7</w:t>
      </w:r>
      <w:r>
        <w:rPr>
          <w:rFonts w:hint="eastAsia" w:ascii="宋体" w:hAnsi="宋体" w:eastAsia="宋体" w:cs="仿宋"/>
          <w:color w:val="000000"/>
          <w:sz w:val="24"/>
          <w:szCs w:val="24"/>
          <w:highlight w:val="none"/>
        </w:rPr>
        <w:t xml:space="preserve">技术要求响应及偏离表及证明文件（格式见附件）</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rPr>
      </w:r>
      <w:r/>
    </w:p>
    <w:p>
      <w:pPr>
        <w:pStyle w:val="1011"/>
        <w:numPr>
          <w:ilvl w:val="0"/>
          <w:numId w:val="0"/>
        </w:numPr>
        <w:ind w:left="532"/>
        <w:spacing w:line="360" w:lineRule="auto"/>
        <w:tabs>
          <w:tab w:val="left" w:pos="525" w:leader="none"/>
          <w:tab w:val="left" w:pos="945" w:leader="none"/>
        </w:tabs>
        <w:rPr>
          <w:rFonts w:hint="eastAsia"/>
          <w:color w:val="000000"/>
          <w:highlight w:val="none"/>
        </w:rPr>
      </w:pPr>
      <w:r>
        <w:rPr>
          <w:rFonts w:hint="eastAsia" w:ascii="宋体" w:hAnsi="宋体" w:eastAsia="宋体" w:cs="仿宋"/>
          <w:color w:val="000000"/>
          <w:sz w:val="24"/>
          <w:szCs w:val="24"/>
          <w:highlight w:val="none"/>
          <w:lang w:val="en-US" w:eastAsia="zh-CN"/>
        </w:rPr>
        <w:t xml:space="preserve">13.8</w:t>
      </w:r>
      <w:r>
        <w:rPr>
          <w:rFonts w:hint="eastAsia" w:ascii="宋体" w:hAnsi="宋体" w:eastAsia="宋体" w:cs="仿宋"/>
          <w:color w:val="000000"/>
          <w:sz w:val="24"/>
          <w:szCs w:val="24"/>
          <w:highlight w:val="none"/>
        </w:rPr>
        <w:t xml:space="preserve">商务要求响应及偏离表（格式见附件）</w:t>
      </w:r>
      <w:r>
        <w:rPr>
          <w:rFonts w:hint="eastAsia" w:ascii="宋体" w:hAnsi="宋体" w:eastAsia="宋体" w:cs="仿宋"/>
          <w:color w:val="000000"/>
          <w:sz w:val="24"/>
          <w:szCs w:val="24"/>
          <w:highlight w:val="none"/>
          <w:lang w:eastAsia="zh-CN"/>
        </w:rPr>
        <w:t xml:space="preserve">；</w:t>
      </w:r>
      <w:r>
        <w:rPr>
          <w:rFonts w:hint="eastAsia"/>
          <w:color w:val="000000"/>
          <w:highlight w:val="none"/>
        </w:rPr>
      </w:r>
      <w:r/>
    </w:p>
    <w:p>
      <w:pPr>
        <w:pStyle w:val="1011"/>
        <w:numPr>
          <w:ilvl w:val="0"/>
          <w:numId w:val="0"/>
        </w:numPr>
        <w:ind w:left="532"/>
        <w:spacing w:line="360" w:lineRule="auto"/>
        <w:tabs>
          <w:tab w:val="left" w:pos="525" w:leader="none"/>
          <w:tab w:val="left" w:pos="945" w:leader="none"/>
        </w:tabs>
        <w:rPr>
          <w:rFonts w:hint="eastAsia"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lang w:val="en-US" w:eastAsia="zh-CN"/>
        </w:rPr>
        <w:t xml:space="preserve">13.9投入本项目人员配备一览表</w:t>
      </w:r>
      <w:r>
        <w:rPr>
          <w:rFonts w:hint="eastAsia" w:ascii="宋体" w:hAnsi="宋体" w:eastAsia="宋体" w:cs="仿宋"/>
          <w:color w:val="000000"/>
          <w:sz w:val="24"/>
          <w:szCs w:val="24"/>
          <w:highlight w:val="none"/>
        </w:rPr>
        <w:t xml:space="preserve">（格式见附件）</w:t>
      </w:r>
      <w:r>
        <w:rPr>
          <w:rFonts w:hint="eastAsia" w:ascii="宋体" w:hAnsi="宋体" w:eastAsia="宋体" w:cs="仿宋"/>
          <w:color w:val="000000"/>
          <w:sz w:val="24"/>
          <w:szCs w:val="24"/>
          <w:highlight w:val="none"/>
          <w:lang w:val="en-US" w:eastAsia="zh-CN"/>
        </w:rPr>
        <w:t xml:space="preserve">；</w:t>
      </w:r>
      <w:r>
        <w:rPr>
          <w:rFonts w:hint="eastAsia" w:ascii="宋体" w:hAnsi="宋体" w:eastAsia="宋体" w:cs="仿宋"/>
          <w:color w:val="000000"/>
          <w:sz w:val="24"/>
          <w:szCs w:val="24"/>
          <w:highlight w:val="none"/>
          <w:lang w:val="en-US" w:eastAsia="zh-CN"/>
        </w:rPr>
      </w:r>
      <w:r/>
    </w:p>
    <w:p>
      <w:pPr>
        <w:pStyle w:val="1011"/>
        <w:numPr>
          <w:ilvl w:val="0"/>
          <w:numId w:val="0"/>
        </w:numPr>
        <w:ind w:left="532"/>
        <w:spacing w:line="360" w:lineRule="auto"/>
        <w:tabs>
          <w:tab w:val="left" w:pos="525" w:leader="none"/>
          <w:tab w:val="left" w:pos="945" w:leader="none"/>
        </w:tabs>
        <w:rPr>
          <w:rFonts w:hint="eastAsia"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lang w:val="en-US" w:eastAsia="zh-CN"/>
        </w:rPr>
        <w:t xml:space="preserve">13.10业绩一览表</w:t>
      </w:r>
      <w:r>
        <w:rPr>
          <w:rFonts w:hint="eastAsia" w:ascii="宋体" w:hAnsi="宋体" w:eastAsia="宋体" w:cs="仿宋"/>
          <w:color w:val="000000"/>
          <w:sz w:val="24"/>
          <w:szCs w:val="24"/>
          <w:highlight w:val="none"/>
        </w:rPr>
        <w:t xml:space="preserve">（格式见附件）</w:t>
      </w:r>
      <w:r>
        <w:rPr>
          <w:rFonts w:hint="eastAsia" w:ascii="宋体" w:hAnsi="宋体" w:eastAsia="宋体" w:cs="仿宋"/>
          <w:color w:val="000000"/>
          <w:sz w:val="24"/>
          <w:szCs w:val="24"/>
          <w:highlight w:val="none"/>
          <w:lang w:val="en-US" w:eastAsia="zh-CN"/>
        </w:rPr>
        <w:t xml:space="preserve">；</w:t>
      </w:r>
      <w:r>
        <w:rPr>
          <w:rFonts w:hint="eastAsia" w:ascii="宋体" w:hAnsi="宋体" w:eastAsia="宋体" w:cs="仿宋"/>
          <w:color w:val="000000"/>
          <w:sz w:val="24"/>
          <w:szCs w:val="24"/>
          <w:highlight w:val="none"/>
          <w:lang w:val="en-US" w:eastAsia="zh-CN"/>
        </w:rPr>
      </w:r>
      <w:r/>
    </w:p>
    <w:p>
      <w:pPr>
        <w:pStyle w:val="1011"/>
        <w:numPr>
          <w:ilvl w:val="0"/>
          <w:numId w:val="0"/>
        </w:numPr>
        <w:ind w:left="532"/>
        <w:spacing w:line="360" w:lineRule="auto"/>
        <w:tabs>
          <w:tab w:val="left" w:pos="525" w:leader="none"/>
          <w:tab w:val="left" w:pos="945"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val="en-US" w:eastAsia="zh-CN"/>
        </w:rPr>
        <w:t xml:space="preserve">13.11</w:t>
      </w:r>
      <w:r>
        <w:rPr>
          <w:rFonts w:hint="eastAsia" w:ascii="宋体" w:hAnsi="宋体" w:eastAsia="宋体" w:cs="仿宋"/>
          <w:color w:val="000000"/>
          <w:sz w:val="24"/>
          <w:szCs w:val="24"/>
          <w:highlight w:val="none"/>
        </w:rPr>
        <w:t xml:space="preserve">评分标准中对应的其它所需证明材料（如有自行添加）</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rPr>
      </w:r>
      <w:r/>
    </w:p>
    <w:p>
      <w:pPr>
        <w:pStyle w:val="1011"/>
        <w:numPr>
          <w:ilvl w:val="0"/>
          <w:numId w:val="0"/>
        </w:numPr>
        <w:ind w:left="532"/>
        <w:spacing w:line="360" w:lineRule="auto"/>
        <w:tabs>
          <w:tab w:val="left" w:pos="525" w:leader="none"/>
          <w:tab w:val="left" w:pos="945"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val="en-US" w:eastAsia="zh-CN"/>
        </w:rPr>
        <w:t xml:space="preserve">13.12</w:t>
      </w:r>
      <w:r>
        <w:rPr>
          <w:rFonts w:hint="eastAsia" w:ascii="宋体" w:hAnsi="宋体" w:eastAsia="宋体" w:cs="仿宋"/>
          <w:color w:val="000000"/>
          <w:sz w:val="24"/>
          <w:szCs w:val="24"/>
          <w:highlight w:val="none"/>
        </w:rPr>
        <w:t xml:space="preserve">其它（投标人认为有必要提供的声明和文件，如有自拟并自行添加）</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rPr>
      </w:r>
      <w:r/>
    </w:p>
    <w:p>
      <w:pPr>
        <w:pStyle w:val="1011"/>
        <w:ind w:firstLine="609"/>
        <w:spacing w:line="360" w:lineRule="auto"/>
        <w:tabs>
          <w:tab w:val="left" w:pos="2850" w:leader="none"/>
          <w:tab w:val="center" w:pos="4153" w:leader="none"/>
        </w:tabs>
        <w:rPr>
          <w:rFonts w:hint="eastAsia" w:ascii="宋体" w:hAnsi="宋体" w:eastAsia="宋体" w:cs="仿宋"/>
          <w:b/>
          <w:color w:val="000000"/>
          <w:sz w:val="24"/>
          <w:highlight w:val="none"/>
          <w:u w:val="single"/>
        </w:rPr>
      </w:pPr>
      <w:r>
        <w:rPr>
          <w:rFonts w:hint="eastAsia" w:ascii="宋体" w:hAnsi="宋体" w:eastAsia="宋体" w:cs="仿宋"/>
          <w:color w:val="000000"/>
          <w:sz w:val="24"/>
          <w:szCs w:val="24"/>
          <w:highlight w:val="none"/>
        </w:rPr>
        <w:t xml:space="preserve">上述</w:t>
      </w:r>
      <w:r>
        <w:rPr>
          <w:rFonts w:hint="eastAsia" w:ascii="宋体" w:hAnsi="宋体" w:eastAsia="宋体" w:cs="仿宋"/>
          <w:color w:val="000000"/>
          <w:sz w:val="24"/>
          <w:szCs w:val="24"/>
          <w:highlight w:val="none"/>
          <w:lang w:val="en-US" w:eastAsia="zh-CN"/>
        </w:rPr>
        <w:t xml:space="preserve">13.</w:t>
      </w:r>
      <w:r>
        <w:rPr>
          <w:rFonts w:hint="eastAsia" w:ascii="宋体" w:hAnsi="宋体" w:eastAsia="宋体" w:cs="仿宋"/>
          <w:color w:val="000000"/>
          <w:sz w:val="24"/>
          <w:szCs w:val="24"/>
          <w:highlight w:val="none"/>
        </w:rPr>
        <w:t xml:space="preserve">1-</w:t>
      </w:r>
      <w:r>
        <w:rPr>
          <w:rFonts w:hint="eastAsia" w:ascii="宋体" w:hAnsi="宋体" w:eastAsia="宋体" w:cs="仿宋"/>
          <w:color w:val="000000"/>
          <w:sz w:val="24"/>
          <w:szCs w:val="24"/>
          <w:highlight w:val="none"/>
          <w:lang w:val="en-US" w:eastAsia="zh-CN"/>
        </w:rPr>
        <w:t xml:space="preserve">13.9</w:t>
      </w:r>
      <w:r>
        <w:rPr>
          <w:rFonts w:hint="eastAsia" w:ascii="宋体" w:hAnsi="宋体" w:eastAsia="宋体" w:cs="仿宋"/>
          <w:color w:val="000000"/>
          <w:sz w:val="24"/>
          <w:szCs w:val="24"/>
          <w:highlight w:val="none"/>
        </w:rPr>
        <w:t xml:space="preserve">项投标人必须按要求全部提供，否则投标文件无效</w:t>
      </w:r>
      <w:r>
        <w:rPr>
          <w:rFonts w:hint="eastAsia" w:ascii="宋体" w:hAnsi="宋体" w:eastAsia="宋体" w:cs="仿宋"/>
          <w:color w:val="000000"/>
          <w:sz w:val="24"/>
          <w:szCs w:val="24"/>
          <w:highlight w:val="none"/>
          <w:lang w:eastAsia="zh-CN"/>
        </w:rPr>
        <w:t xml:space="preserve">，其中</w:t>
      </w:r>
      <w:r>
        <w:rPr>
          <w:rFonts w:hint="eastAsia" w:ascii="宋体" w:hAnsi="宋体" w:eastAsia="宋体" w:cs="仿宋"/>
          <w:color w:val="000000"/>
          <w:sz w:val="24"/>
          <w:szCs w:val="24"/>
          <w:highlight w:val="none"/>
          <w:lang w:val="en-US" w:eastAsia="zh-CN"/>
        </w:rPr>
        <w:t xml:space="preserve">13.1中的</w:t>
      </w:r>
      <w:r>
        <w:rPr>
          <w:rFonts w:hint="eastAsia" w:ascii="宋体" w:hAnsi="宋体" w:eastAsia="宋体" w:cs="仿宋"/>
          <w:color w:val="000000"/>
          <w:sz w:val="24"/>
          <w:szCs w:val="24"/>
          <w:highlight w:val="none"/>
          <w:lang w:eastAsia="zh-CN"/>
        </w:rPr>
        <w:t xml:space="preserve">（7）中小企业声明函（格式见附件），非中小企业可不填写</w:t>
      </w:r>
      <w:r>
        <w:rPr>
          <w:rFonts w:hint="eastAsia" w:ascii="宋体" w:hAnsi="宋体" w:eastAsia="宋体" w:cs="仿宋"/>
          <w:color w:val="000000"/>
          <w:sz w:val="24"/>
          <w:szCs w:val="24"/>
          <w:highlight w:val="none"/>
        </w:rPr>
        <w:t xml:space="preserve">。如上述资格证明文件遇年检、换证，则必须提供法定年检、换证单位出具的有效证明复印件。如上述资格证明文件第（</w:t>
      </w:r>
      <w:r>
        <w:rPr>
          <w:rFonts w:ascii="宋体" w:hAnsi="宋体" w:eastAsia="宋体" w:cs="仿宋"/>
          <w:color w:val="000000"/>
          <w:sz w:val="24"/>
          <w:szCs w:val="24"/>
          <w:highlight w:val="none"/>
        </w:rPr>
        <w:t xml:space="preserve">3</w:t>
      </w:r>
      <w:r>
        <w:rPr>
          <w:rFonts w:hint="eastAsia" w:ascii="宋体" w:hAnsi="宋体" w:eastAsia="宋体" w:cs="仿宋"/>
          <w:color w:val="000000"/>
          <w:sz w:val="24"/>
          <w:szCs w:val="24"/>
          <w:highlight w:val="none"/>
        </w:rPr>
        <w:t xml:space="preserve">）（</w:t>
      </w:r>
      <w:r>
        <w:rPr>
          <w:rFonts w:ascii="宋体" w:hAnsi="宋体" w:eastAsia="宋体" w:cs="仿宋"/>
          <w:color w:val="000000"/>
          <w:sz w:val="24"/>
          <w:szCs w:val="24"/>
          <w:highlight w:val="none"/>
        </w:rPr>
        <w:t xml:space="preserve">4</w:t>
      </w:r>
      <w:r>
        <w:rPr>
          <w:rFonts w:hint="eastAsia" w:ascii="宋体" w:hAnsi="宋体" w:eastAsia="宋体" w:cs="仿宋"/>
          <w:color w:val="000000"/>
          <w:sz w:val="24"/>
          <w:szCs w:val="24"/>
          <w:highlight w:val="none"/>
        </w:rPr>
        <w:t xml:space="preserve">）（</w:t>
      </w:r>
      <w:r>
        <w:rPr>
          <w:rFonts w:ascii="宋体" w:hAnsi="宋体" w:eastAsia="宋体" w:cs="仿宋"/>
          <w:color w:val="000000"/>
          <w:sz w:val="24"/>
          <w:szCs w:val="24"/>
          <w:highlight w:val="none"/>
        </w:rPr>
        <w:t xml:space="preserve">5</w:t>
      </w:r>
      <w:r>
        <w:rPr>
          <w:rFonts w:hint="eastAsia" w:ascii="宋体" w:hAnsi="宋体" w:eastAsia="宋体" w:cs="仿宋"/>
          <w:color w:val="000000"/>
          <w:sz w:val="24"/>
          <w:szCs w:val="24"/>
          <w:highlight w:val="none"/>
        </w:rPr>
        <w:t xml:space="preserve">）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rPr>
          <w:rFonts w:hint="eastAsia" w:ascii="宋体" w:hAnsi="宋体" w:eastAsia="宋体" w:cs="仿宋"/>
          <w:b/>
          <w:color w:val="000000"/>
          <w:sz w:val="24"/>
          <w:highlight w:val="none"/>
          <w:u w:val="single"/>
        </w:rPr>
      </w:r>
      <w:r/>
    </w:p>
    <w:p>
      <w:pPr>
        <w:pStyle w:val="1011"/>
        <w:spacing w:line="360" w:lineRule="auto"/>
        <w:rPr>
          <w:rFonts w:hint="eastAsia" w:ascii="宋体" w:hAnsi="宋体" w:eastAsia="宋体" w:cs="仿宋"/>
          <w:b/>
          <w:bCs w:val="0"/>
          <w:color w:val="000000"/>
          <w:sz w:val="24"/>
          <w:szCs w:val="24"/>
          <w:highlight w:val="none"/>
        </w:rPr>
      </w:pPr>
      <w:r>
        <w:rPr>
          <w:rFonts w:hint="eastAsia" w:ascii="宋体" w:hAnsi="宋体" w:eastAsia="宋体" w:cs="仿宋"/>
          <w:b/>
          <w:bCs w:val="0"/>
          <w:color w:val="000000"/>
          <w:sz w:val="24"/>
          <w:szCs w:val="24"/>
          <w:highlight w:val="none"/>
        </w:rPr>
        <w:t xml:space="preserve">1</w:t>
      </w:r>
      <w:r>
        <w:rPr>
          <w:rFonts w:hint="eastAsia" w:ascii="宋体" w:hAnsi="宋体" w:eastAsia="宋体" w:cs="仿宋"/>
          <w:b/>
          <w:bCs w:val="0"/>
          <w:color w:val="000000"/>
          <w:sz w:val="24"/>
          <w:szCs w:val="24"/>
          <w:highlight w:val="none"/>
          <w:lang w:val="en-US" w:eastAsia="zh-CN"/>
        </w:rPr>
        <w:t xml:space="preserve">4、</w:t>
      </w:r>
      <w:r>
        <w:rPr>
          <w:rFonts w:hint="eastAsia" w:ascii="宋体" w:hAnsi="宋体" w:eastAsia="宋体" w:cs="仿宋"/>
          <w:b/>
          <w:bCs w:val="0"/>
          <w:color w:val="000000"/>
          <w:sz w:val="24"/>
          <w:szCs w:val="24"/>
          <w:highlight w:val="none"/>
        </w:rPr>
        <w:t xml:space="preserve">特别提醒：</w:t>
      </w:r>
      <w:r>
        <w:rPr>
          <w:rFonts w:hint="eastAsia" w:ascii="宋体" w:hAnsi="宋体" w:eastAsia="宋体" w:cs="仿宋"/>
          <w:b/>
          <w:bCs w:val="0"/>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仿宋"/>
          <w:b w:val="0"/>
          <w:bCs/>
          <w:color w:val="000000"/>
          <w:sz w:val="24"/>
          <w:szCs w:val="24"/>
          <w:highlight w:val="none"/>
        </w:rPr>
      </w:pPr>
      <w:r>
        <w:rPr>
          <w:rFonts w:hint="eastAsia" w:ascii="宋体" w:hAnsi="宋体" w:eastAsia="宋体" w:cs="仿宋"/>
          <w:b w:val="0"/>
          <w:bCs/>
          <w:color w:val="000000"/>
          <w:sz w:val="24"/>
          <w:szCs w:val="24"/>
          <w:highlight w:val="none"/>
          <w:lang w:val="en-US" w:eastAsia="zh-CN"/>
        </w:rPr>
        <w:t xml:space="preserve">14.1</w:t>
      </w:r>
      <w:r>
        <w:rPr>
          <w:rFonts w:hint="eastAsia" w:ascii="宋体" w:hAnsi="宋体" w:eastAsia="宋体" w:cs="仿宋"/>
          <w:b w:val="0"/>
          <w:bCs/>
          <w:color w:val="000000"/>
          <w:sz w:val="24"/>
          <w:szCs w:val="24"/>
          <w:highlight w:val="none"/>
        </w:rPr>
        <w:t xml:space="preserve">以联合体形式参加</w:t>
      </w:r>
      <w:r>
        <w:rPr>
          <w:rFonts w:hint="eastAsia" w:ascii="宋体" w:hAnsi="宋体" w:eastAsia="宋体" w:cs="仿宋"/>
          <w:b w:val="0"/>
          <w:bCs/>
          <w:color w:val="000000"/>
          <w:sz w:val="24"/>
          <w:szCs w:val="24"/>
          <w:highlight w:val="none"/>
          <w:lang w:val="en-US" w:eastAsia="zh-CN"/>
        </w:rPr>
        <w:t xml:space="preserve">投标</w:t>
      </w:r>
      <w:r>
        <w:rPr>
          <w:rFonts w:hint="eastAsia" w:ascii="宋体" w:hAnsi="宋体" w:eastAsia="宋体" w:cs="仿宋"/>
          <w:b w:val="0"/>
          <w:bCs/>
          <w:color w:val="000000"/>
          <w:sz w:val="24"/>
          <w:szCs w:val="24"/>
          <w:highlight w:val="none"/>
        </w:rPr>
        <w:t xml:space="preserve">的，联合体各方均应当符合政府采购法第二十二条规定的条件。根据采购项目的特殊要求规定供应商特定条件的，联合体双方均须符合采购人规定的特定条件。</w:t>
      </w:r>
      <w:r>
        <w:rPr>
          <w:rFonts w:hint="eastAsia" w:ascii="宋体" w:hAnsi="宋体" w:eastAsia="宋体" w:cs="仿宋"/>
          <w:b w:val="0"/>
          <w:bCs/>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仿宋"/>
          <w:b w:val="0"/>
          <w:bCs/>
          <w:color w:val="000000"/>
          <w:sz w:val="24"/>
          <w:szCs w:val="24"/>
          <w:highlight w:val="none"/>
        </w:rPr>
      </w:pPr>
      <w:r>
        <w:rPr>
          <w:rFonts w:hint="eastAsia" w:ascii="宋体" w:hAnsi="宋体" w:eastAsia="宋体" w:cs="仿宋"/>
          <w:b w:val="0"/>
          <w:bCs/>
          <w:color w:val="000000"/>
          <w:sz w:val="24"/>
          <w:szCs w:val="24"/>
          <w:highlight w:val="none"/>
          <w:lang w:val="en-US" w:eastAsia="zh-CN"/>
        </w:rPr>
        <w:t xml:space="preserve">14.2</w:t>
      </w:r>
      <w:r>
        <w:rPr>
          <w:rFonts w:hint="eastAsia" w:ascii="宋体" w:hAnsi="宋体" w:eastAsia="宋体" w:cs="仿宋"/>
          <w:b w:val="0"/>
          <w:bCs/>
          <w:color w:val="000000"/>
          <w:sz w:val="24"/>
          <w:szCs w:val="24"/>
          <w:highlight w:val="none"/>
        </w:rPr>
        <w:t xml:space="preserve">联合体各方之间应当签订联合体协议，明确约定联合体各方承担的工作和相应的责任，并将联合体协议连同</w:t>
      </w:r>
      <w:r>
        <w:rPr>
          <w:rFonts w:hint="eastAsia" w:ascii="宋体" w:hAnsi="宋体" w:eastAsia="宋体" w:cs="仿宋"/>
          <w:b w:val="0"/>
          <w:bCs/>
          <w:color w:val="000000"/>
          <w:sz w:val="24"/>
          <w:szCs w:val="24"/>
          <w:highlight w:val="none"/>
          <w:lang w:val="en-US" w:eastAsia="zh-CN"/>
        </w:rPr>
        <w:t xml:space="preserve">投标</w:t>
      </w:r>
      <w:r>
        <w:rPr>
          <w:rFonts w:hint="eastAsia" w:ascii="宋体" w:hAnsi="宋体" w:eastAsia="宋体" w:cs="仿宋"/>
          <w:b w:val="0"/>
          <w:bCs/>
          <w:color w:val="000000"/>
          <w:sz w:val="24"/>
          <w:szCs w:val="24"/>
          <w:highlight w:val="none"/>
        </w:rPr>
        <w:t xml:space="preserve">文件一并递交采购人。联合体各方签订联合体协议后，不得再以自己名义单独在同一项目中参加</w:t>
      </w:r>
      <w:r>
        <w:rPr>
          <w:rFonts w:hint="eastAsia" w:ascii="宋体" w:hAnsi="宋体" w:eastAsia="宋体" w:cs="仿宋"/>
          <w:b w:val="0"/>
          <w:bCs/>
          <w:color w:val="000000"/>
          <w:sz w:val="24"/>
          <w:szCs w:val="24"/>
          <w:highlight w:val="none"/>
          <w:lang w:val="en-US" w:eastAsia="zh-CN"/>
        </w:rPr>
        <w:t xml:space="preserve">投标</w:t>
      </w:r>
      <w:r>
        <w:rPr>
          <w:rFonts w:hint="eastAsia" w:ascii="宋体" w:hAnsi="宋体" w:eastAsia="宋体" w:cs="仿宋"/>
          <w:b w:val="0"/>
          <w:bCs/>
          <w:color w:val="000000"/>
          <w:sz w:val="24"/>
          <w:szCs w:val="24"/>
          <w:highlight w:val="none"/>
        </w:rPr>
        <w:t xml:space="preserve">，也不得组成新的联合体参加同一项目</w:t>
      </w:r>
      <w:r>
        <w:rPr>
          <w:rFonts w:hint="eastAsia" w:ascii="宋体" w:hAnsi="宋体" w:eastAsia="宋体" w:cs="仿宋"/>
          <w:b w:val="0"/>
          <w:bCs/>
          <w:color w:val="000000"/>
          <w:sz w:val="24"/>
          <w:szCs w:val="24"/>
          <w:highlight w:val="none"/>
          <w:lang w:val="en-US" w:eastAsia="zh-CN"/>
        </w:rPr>
        <w:t xml:space="preserve">投标</w:t>
      </w:r>
      <w:r>
        <w:rPr>
          <w:rFonts w:hint="eastAsia" w:ascii="宋体" w:hAnsi="宋体" w:eastAsia="宋体" w:cs="仿宋"/>
          <w:b w:val="0"/>
          <w:bCs/>
          <w:color w:val="000000"/>
          <w:sz w:val="24"/>
          <w:szCs w:val="24"/>
          <w:highlight w:val="none"/>
        </w:rPr>
        <w:t xml:space="preserve">。</w:t>
      </w:r>
      <w:r>
        <w:rPr>
          <w:rFonts w:hint="eastAsia" w:ascii="宋体" w:hAnsi="宋体" w:eastAsia="宋体" w:cs="仿宋"/>
          <w:b w:val="0"/>
          <w:bCs/>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仿宋"/>
          <w:b w:val="0"/>
          <w:bCs/>
          <w:color w:val="000000"/>
          <w:sz w:val="24"/>
          <w:szCs w:val="24"/>
          <w:highlight w:val="none"/>
        </w:rPr>
      </w:pPr>
      <w:r>
        <w:rPr>
          <w:rFonts w:hint="eastAsia" w:ascii="宋体" w:hAnsi="宋体" w:eastAsia="宋体" w:cs="仿宋"/>
          <w:b w:val="0"/>
          <w:bCs/>
          <w:color w:val="000000"/>
          <w:sz w:val="24"/>
          <w:szCs w:val="24"/>
          <w:highlight w:val="none"/>
          <w:lang w:val="en-US" w:eastAsia="zh-CN"/>
        </w:rPr>
        <w:t xml:space="preserve">14.3</w:t>
      </w:r>
      <w:r>
        <w:rPr>
          <w:rFonts w:hint="eastAsia" w:ascii="宋体" w:hAnsi="宋体" w:eastAsia="宋体" w:cs="仿宋"/>
          <w:b w:val="0"/>
          <w:bCs/>
          <w:color w:val="000000"/>
          <w:sz w:val="24"/>
          <w:szCs w:val="24"/>
          <w:highlight w:val="none"/>
          <w:lang w:eastAsia="zh-CN"/>
        </w:rPr>
        <w:t xml:space="preserve">招标文件</w:t>
      </w:r>
      <w:r>
        <w:rPr>
          <w:rFonts w:hint="eastAsia" w:ascii="宋体" w:hAnsi="宋体" w:eastAsia="宋体" w:cs="仿宋"/>
          <w:b w:val="0"/>
          <w:bCs/>
          <w:color w:val="000000"/>
          <w:sz w:val="24"/>
          <w:szCs w:val="24"/>
          <w:highlight w:val="none"/>
        </w:rPr>
        <w:t xml:space="preserve">中如需“被授权代表签字或盖章”，供应商可打印成文档，签字或盖章后再扫描上传，最后再电子签章。如上述资格证明文件遇年检、换证，则必须提供法定年检、换证单位出具的有效证明扫描件。</w:t>
      </w:r>
      <w:r>
        <w:rPr>
          <w:rFonts w:hint="eastAsia" w:ascii="宋体" w:hAnsi="宋体" w:eastAsia="宋体" w:cs="仿宋"/>
          <w:b w:val="0"/>
          <w:bCs/>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仿宋"/>
          <w:b w:val="0"/>
          <w:bCs/>
          <w:color w:val="000000"/>
          <w:sz w:val="24"/>
          <w:szCs w:val="24"/>
          <w:highlight w:val="none"/>
        </w:rPr>
      </w:pPr>
      <w:r>
        <w:rPr>
          <w:rFonts w:hint="eastAsia" w:ascii="宋体" w:hAnsi="宋体" w:eastAsia="宋体" w:cs="仿宋"/>
          <w:b w:val="0"/>
          <w:bCs/>
          <w:color w:val="000000"/>
          <w:sz w:val="24"/>
          <w:szCs w:val="24"/>
          <w:highlight w:val="none"/>
          <w:lang w:val="en-US" w:eastAsia="zh-CN"/>
        </w:rPr>
        <w:t xml:space="preserve">14.4</w:t>
      </w:r>
      <w:r>
        <w:rPr>
          <w:rFonts w:hint="eastAsia" w:ascii="宋体" w:hAnsi="宋体" w:eastAsia="宋体" w:cs="仿宋"/>
          <w:b w:val="0"/>
          <w:bCs/>
          <w:color w:val="000000"/>
          <w:sz w:val="24"/>
          <w:szCs w:val="24"/>
          <w:highlight w:val="none"/>
        </w:rPr>
        <w:t xml:space="preserve">通过“苏采云”系统提交政府采购客户端工具导出加密的响应文件（后缀名为zip）。响应文件不得超过350M！</w:t>
      </w:r>
      <w:r>
        <w:rPr>
          <w:rFonts w:hint="eastAsia" w:ascii="宋体" w:hAnsi="宋体" w:eastAsia="宋体" w:cs="仿宋"/>
          <w:b w:val="0"/>
          <w:bCs/>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仿宋"/>
          <w:b w:val="0"/>
          <w:bCs/>
          <w:color w:val="000000"/>
          <w:sz w:val="24"/>
          <w:szCs w:val="24"/>
          <w:highlight w:val="none"/>
        </w:rPr>
      </w:pPr>
      <w:r>
        <w:rPr>
          <w:rFonts w:hint="eastAsia" w:ascii="宋体" w:hAnsi="宋体" w:eastAsia="宋体" w:cs="仿宋"/>
          <w:b w:val="0"/>
          <w:bCs/>
          <w:color w:val="000000"/>
          <w:sz w:val="24"/>
          <w:szCs w:val="24"/>
          <w:highlight w:val="none"/>
          <w:lang w:val="en-US" w:eastAsia="zh-CN"/>
        </w:rPr>
        <w:t xml:space="preserve">14.5</w:t>
      </w:r>
      <w:r>
        <w:rPr>
          <w:rFonts w:hint="eastAsia" w:ascii="宋体" w:hAnsi="宋体" w:eastAsia="宋体" w:cs="仿宋"/>
          <w:b w:val="0"/>
          <w:bCs/>
          <w:color w:val="000000"/>
          <w:sz w:val="24"/>
          <w:szCs w:val="24"/>
          <w:highlight w:val="none"/>
        </w:rPr>
        <w:t xml:space="preserve">供应商应当按照《</w:t>
      </w:r>
      <w:r>
        <w:rPr>
          <w:rFonts w:hint="eastAsia" w:ascii="宋体" w:hAnsi="宋体" w:eastAsia="宋体" w:cs="仿宋"/>
          <w:b w:val="0"/>
          <w:bCs/>
          <w:color w:val="000000"/>
          <w:sz w:val="24"/>
          <w:szCs w:val="24"/>
          <w:highlight w:val="none"/>
          <w:lang w:eastAsia="zh-CN"/>
        </w:rPr>
        <w:t xml:space="preserve">招标文件</w:t>
      </w:r>
      <w:r>
        <w:rPr>
          <w:rFonts w:hint="eastAsia" w:ascii="宋体" w:hAnsi="宋体" w:eastAsia="宋体" w:cs="仿宋"/>
          <w:b w:val="0"/>
          <w:bCs/>
          <w:color w:val="000000"/>
          <w:sz w:val="24"/>
          <w:szCs w:val="24"/>
          <w:highlight w:val="none"/>
        </w:rPr>
        <w:t xml:space="preserve">》的要求编制响应文件，并对其提交的响应文件的真实性、合法性承担法律责任。</w:t>
      </w:r>
      <w:r>
        <w:rPr>
          <w:rFonts w:hint="eastAsia" w:ascii="宋体" w:hAnsi="宋体" w:eastAsia="宋体" w:cs="仿宋"/>
          <w:b w:val="0"/>
          <w:bCs/>
          <w:color w:val="000000"/>
          <w:sz w:val="24"/>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1</w:t>
      </w:r>
      <w:r>
        <w:rPr>
          <w:rFonts w:hint="eastAsia" w:ascii="宋体" w:hAnsi="宋体" w:eastAsia="宋体" w:cs="仿宋"/>
          <w:b/>
          <w:color w:val="000000"/>
          <w:sz w:val="24"/>
          <w:szCs w:val="24"/>
          <w:highlight w:val="none"/>
          <w:lang w:val="en-US" w:eastAsia="zh-CN"/>
        </w:rPr>
        <w:t xml:space="preserve">5</w:t>
      </w:r>
      <w:r>
        <w:rPr>
          <w:rFonts w:hint="eastAsia" w:ascii="宋体" w:hAnsi="宋体" w:eastAsia="宋体" w:cs="仿宋"/>
          <w:b/>
          <w:color w:val="000000"/>
          <w:sz w:val="24"/>
          <w:szCs w:val="24"/>
          <w:highlight w:val="none"/>
        </w:rPr>
        <w:t xml:space="preserve">.投标文件编制要求</w:t>
      </w:r>
      <w:r>
        <w:rPr>
          <w:rFonts w:hint="eastAsia" w:ascii="宋体" w:hAnsi="宋体" w:eastAsia="宋体" w:cs="仿宋"/>
          <w:b/>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w:t>
      </w:r>
      <w:r>
        <w:rPr>
          <w:rFonts w:hint="eastAsia" w:ascii="宋体" w:hAnsi="宋体" w:eastAsia="宋体" w:cs="仿宋"/>
          <w:color w:val="000000"/>
          <w:sz w:val="24"/>
          <w:szCs w:val="24"/>
          <w:highlight w:val="none"/>
          <w:lang w:val="en-US" w:eastAsia="zh-CN"/>
        </w:rPr>
        <w:t xml:space="preserve">5</w:t>
      </w:r>
      <w:r>
        <w:rPr>
          <w:rFonts w:hint="eastAsia" w:ascii="宋体" w:hAnsi="宋体" w:eastAsia="宋体" w:cs="仿宋"/>
          <w:color w:val="000000"/>
          <w:sz w:val="24"/>
          <w:szCs w:val="24"/>
          <w:highlight w:val="none"/>
        </w:rPr>
        <w:t xml:space="preserve">.1所有文件均应使用</w:t>
      </w:r>
      <w:r>
        <w:rPr>
          <w:rFonts w:hint="eastAsia" w:ascii="宋体" w:hAnsi="宋体" w:eastAsia="宋体" w:cs="仿宋"/>
          <w:b/>
          <w:bCs/>
          <w:color w:val="000000"/>
          <w:sz w:val="24"/>
          <w:szCs w:val="24"/>
          <w:highlight w:val="none"/>
        </w:rPr>
        <w:t xml:space="preserve">简体中文</w:t>
      </w:r>
      <w:r>
        <w:rPr>
          <w:rFonts w:hint="eastAsia" w:ascii="宋体" w:hAnsi="宋体" w:eastAsia="宋体" w:cs="仿宋"/>
          <w:color w:val="000000"/>
          <w:sz w:val="24"/>
          <w:szCs w:val="24"/>
          <w:highlight w:val="none"/>
        </w:rPr>
        <w:t xml:space="preserve">（规格、型号辅助符号例外）。</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w:t>
      </w:r>
      <w:r>
        <w:rPr>
          <w:rFonts w:hint="eastAsia" w:ascii="宋体" w:hAnsi="宋体" w:eastAsia="宋体" w:cs="仿宋"/>
          <w:color w:val="000000"/>
          <w:sz w:val="24"/>
          <w:szCs w:val="24"/>
          <w:highlight w:val="none"/>
          <w:lang w:val="en-US" w:eastAsia="zh-CN"/>
        </w:rPr>
        <w:t xml:space="preserve">5</w:t>
      </w:r>
      <w:r>
        <w:rPr>
          <w:rFonts w:hint="eastAsia" w:ascii="宋体" w:hAnsi="宋体" w:eastAsia="宋体" w:cs="仿宋"/>
          <w:color w:val="000000"/>
          <w:sz w:val="24"/>
          <w:szCs w:val="24"/>
          <w:highlight w:val="none"/>
        </w:rPr>
        <w:t xml:space="preserve">.2投标文件由投标人按要求参考给定格式如实填写（编写），须有投标人（盖章）、法定代表人或法定代表人授权代表签字或盖章，方为有效，未尽事宜可自行补充。</w:t>
      </w:r>
      <w:r>
        <w:rPr>
          <w:rFonts w:hint="eastAsia" w:ascii="宋体" w:hAnsi="宋体" w:eastAsia="宋体" w:cs="仿宋"/>
          <w:color w:val="000000"/>
          <w:sz w:val="24"/>
          <w:szCs w:val="24"/>
          <w:highlight w:val="none"/>
        </w:rPr>
      </w:r>
      <w:r/>
    </w:p>
    <w:p>
      <w:pPr>
        <w:pStyle w:val="1011"/>
        <w:ind w:firstLine="480"/>
        <w:keepLines w:val="0"/>
        <w:keepNext w:val="0"/>
        <w:pageBreakBefore w:val="0"/>
        <w:spacing w:line="360" w:lineRule="auto"/>
        <w:widowControl w:val="off"/>
        <w:rPr>
          <w:rFonts w:hint="eastAsia" w:ascii="宋体" w:hAnsi="宋体" w:eastAsia="宋体" w:cs="仿宋"/>
          <w:color w:val="000000"/>
          <w:sz w:val="24"/>
          <w:szCs w:val="24"/>
          <w:highlight w:val="none"/>
        </w:rPr>
      </w:pPr>
      <w:r>
        <w:rPr>
          <w:rFonts w:hint="eastAsia" w:ascii="宋体" w:hAnsi="宋体" w:eastAsia="宋体" w:cs="仿宋"/>
          <w:b w:val="0"/>
          <w:bCs/>
          <w:color w:val="000000"/>
          <w:sz w:val="24"/>
          <w:szCs w:val="24"/>
          <w:highlight w:val="none"/>
        </w:rPr>
        <w:t xml:space="preserve">以联合体形式参与投标的，投标文件由联合体牵头人的法定代表人或其委托代理人按上述规定签署并加盖联合体牵头人单位章。</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w:t>
      </w:r>
      <w:r>
        <w:rPr>
          <w:rFonts w:hint="eastAsia" w:ascii="宋体" w:hAnsi="宋体" w:eastAsia="宋体" w:cs="仿宋"/>
          <w:color w:val="000000"/>
          <w:sz w:val="24"/>
          <w:szCs w:val="24"/>
          <w:highlight w:val="none"/>
          <w:lang w:val="en-US" w:eastAsia="zh-CN"/>
        </w:rPr>
        <w:t xml:space="preserve">5</w:t>
      </w:r>
      <w:r>
        <w:rPr>
          <w:rFonts w:hint="eastAsia" w:ascii="宋体" w:hAnsi="宋体" w:eastAsia="宋体" w:cs="仿宋"/>
          <w:color w:val="000000"/>
          <w:sz w:val="24"/>
          <w:szCs w:val="24"/>
          <w:highlight w:val="none"/>
        </w:rPr>
        <w:t xml:space="preserve">.3如无特别说明，投标人报价一律以人民币为投标结算货币,结算单位为“元”。</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w:t>
      </w:r>
      <w:r>
        <w:rPr>
          <w:rFonts w:hint="eastAsia" w:ascii="宋体" w:hAnsi="宋体" w:eastAsia="宋体" w:cs="仿宋"/>
          <w:color w:val="000000"/>
          <w:sz w:val="24"/>
          <w:szCs w:val="24"/>
          <w:highlight w:val="none"/>
          <w:lang w:val="en-US" w:eastAsia="zh-CN"/>
        </w:rPr>
        <w:t xml:space="preserve">5</w:t>
      </w:r>
      <w:r>
        <w:rPr>
          <w:rFonts w:hint="eastAsia" w:ascii="宋体" w:hAnsi="宋体" w:eastAsia="宋体" w:cs="仿宋"/>
          <w:color w:val="000000"/>
          <w:sz w:val="24"/>
          <w:szCs w:val="24"/>
          <w:highlight w:val="none"/>
        </w:rPr>
        <w:t xml:space="preserve">.4投标文件不应有涂改、增删和潦草之处，如有必须修改时，修改处必须有投标人盖章、法定代表人或法定代表人授权代表的签字。</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w:t>
      </w:r>
      <w:r>
        <w:rPr>
          <w:rFonts w:hint="eastAsia" w:ascii="宋体" w:hAnsi="宋体" w:eastAsia="宋体" w:cs="仿宋"/>
          <w:color w:val="000000"/>
          <w:sz w:val="24"/>
          <w:szCs w:val="24"/>
          <w:highlight w:val="none"/>
          <w:lang w:val="en-US" w:eastAsia="zh-CN"/>
        </w:rPr>
        <w:t xml:space="preserve">5</w:t>
      </w:r>
      <w:r>
        <w:rPr>
          <w:rFonts w:hint="eastAsia" w:ascii="宋体" w:hAnsi="宋体" w:eastAsia="宋体" w:cs="仿宋"/>
          <w:color w:val="000000"/>
          <w:sz w:val="24"/>
          <w:szCs w:val="24"/>
          <w:highlight w:val="none"/>
        </w:rPr>
        <w:t xml:space="preserve">.5投标费用自理。</w:t>
      </w:r>
      <w:r>
        <w:rPr>
          <w:rFonts w:hint="eastAsia" w:ascii="宋体" w:hAnsi="宋体" w:eastAsia="宋体" w:cs="仿宋"/>
          <w:color w:val="000000"/>
          <w:sz w:val="24"/>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1</w:t>
      </w:r>
      <w:r>
        <w:rPr>
          <w:rFonts w:hint="eastAsia" w:ascii="宋体" w:hAnsi="宋体" w:eastAsia="宋体" w:cs="仿宋"/>
          <w:b/>
          <w:color w:val="000000"/>
          <w:sz w:val="24"/>
          <w:szCs w:val="24"/>
          <w:highlight w:val="none"/>
          <w:lang w:val="en-US" w:eastAsia="zh-CN"/>
        </w:rPr>
        <w:t xml:space="preserve">6</w:t>
      </w:r>
      <w:r>
        <w:rPr>
          <w:rFonts w:hint="eastAsia" w:ascii="宋体" w:hAnsi="宋体" w:eastAsia="宋体" w:cs="仿宋"/>
          <w:b/>
          <w:color w:val="000000"/>
          <w:sz w:val="24"/>
          <w:szCs w:val="24"/>
          <w:highlight w:val="none"/>
        </w:rPr>
        <w:t xml:space="preserve">.投标报价（编制）要求的说明</w:t>
      </w:r>
      <w:r>
        <w:rPr>
          <w:rFonts w:hint="eastAsia" w:ascii="宋体" w:hAnsi="宋体" w:eastAsia="宋体" w:cs="仿宋"/>
          <w:b/>
          <w:color w:val="000000"/>
          <w:sz w:val="24"/>
          <w:szCs w:val="24"/>
          <w:highlight w:val="none"/>
        </w:rPr>
      </w:r>
      <w:r/>
    </w:p>
    <w:p>
      <w:pPr>
        <w:pStyle w:val="1282"/>
        <w:ind w:firstLine="505"/>
        <w:jc w:val="both"/>
        <w:spacing w:line="360" w:lineRule="auto"/>
        <w:rPr>
          <w:rFonts w:hint="eastAsia" w:ascii="宋体" w:hAnsi="宋体" w:eastAsia="宋体" w:cs="仿宋"/>
          <w:b/>
          <w:bCs/>
          <w:color w:val="000000"/>
          <w:szCs w:val="24"/>
          <w:highlight w:val="none"/>
        </w:rPr>
      </w:pPr>
      <w:r>
        <w:rPr>
          <w:rFonts w:hint="eastAsia" w:ascii="宋体" w:hAnsi="宋体" w:eastAsia="宋体" w:cs="仿宋"/>
          <w:color w:val="000000"/>
          <w:szCs w:val="24"/>
          <w:highlight w:val="none"/>
        </w:rPr>
        <w:t xml:space="preserve">1</w:t>
      </w:r>
      <w:r>
        <w:rPr>
          <w:rFonts w:hint="eastAsia" w:ascii="宋体" w:hAnsi="宋体" w:eastAsia="宋体" w:cs="仿宋"/>
          <w:color w:val="000000"/>
          <w:szCs w:val="24"/>
          <w:highlight w:val="none"/>
          <w:lang w:val="en-US" w:eastAsia="zh-CN"/>
        </w:rPr>
        <w:t xml:space="preserve">6</w:t>
      </w:r>
      <w:r>
        <w:rPr>
          <w:rFonts w:hint="eastAsia" w:ascii="宋体" w:hAnsi="宋体" w:eastAsia="宋体" w:cs="仿宋"/>
          <w:color w:val="000000"/>
          <w:szCs w:val="24"/>
          <w:highlight w:val="none"/>
        </w:rPr>
        <w:t xml:space="preserve">.1投标人对《开标一览表》中的全部服务的报价应包括在合同履约期内所需的劳务支出及其配套的工具耗材、各种税费、保险、劳保、维护、支持与培训、本项目实施过程中所需的产品（乙方自有产品以及第三方产品（软件、硬件、服务等））的报价、</w:t>
      </w:r>
      <w:r>
        <w:rPr>
          <w:rFonts w:hint="eastAsia" w:ascii="宋体" w:hAnsi="宋体" w:eastAsia="宋体" w:cs="仿宋"/>
          <w:color w:val="000000"/>
          <w:szCs w:val="24"/>
          <w:highlight w:val="none"/>
          <w:lang w:val="en-US" w:eastAsia="zh-CN"/>
        </w:rPr>
        <w:t xml:space="preserve">运维</w:t>
      </w:r>
      <w:r>
        <w:rPr>
          <w:rFonts w:hint="eastAsia" w:ascii="宋体" w:hAnsi="宋体" w:eastAsia="宋体" w:cs="仿宋"/>
          <w:color w:val="000000"/>
          <w:szCs w:val="24"/>
          <w:highlight w:val="none"/>
        </w:rPr>
        <w:t xml:space="preserve">实施、数据采集与加工、实现本项目功能所需要的系统升级改造、各系统对接产生的所有接口费用、劳务、制作、维护、升级、培训、保险、利润、税金（含增值税）、报验、人员、交通、食宿、加班、人员签证、工作许可证、验收、检测等工作所发生的全部费用以及企业利润、税金和政策性文件规定及合同包含的所有风险、责任等各项应有费用。</w:t>
      </w:r>
      <w:r>
        <w:rPr>
          <w:rFonts w:hint="eastAsia" w:ascii="宋体" w:hAnsi="宋体" w:eastAsia="宋体" w:cs="仿宋"/>
          <w:b/>
          <w:bCs/>
          <w:color w:val="000000"/>
          <w:szCs w:val="24"/>
          <w:highlight w:val="none"/>
        </w:rPr>
      </w:r>
      <w:r/>
    </w:p>
    <w:p>
      <w:pPr>
        <w:pStyle w:val="1282"/>
        <w:ind w:firstLine="505"/>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投标人要认真阅读清单，慎重报价。采购人不再支付报价以外的任何费用。</w:t>
      </w:r>
      <w:r>
        <w:rPr>
          <w:rFonts w:hint="eastAsia" w:ascii="宋体" w:hAnsi="宋体" w:eastAsia="宋体" w:cs="仿宋"/>
          <w:color w:val="000000"/>
          <w:szCs w:val="24"/>
          <w:highlight w:val="none"/>
        </w:rPr>
      </w:r>
      <w:r/>
    </w:p>
    <w:p>
      <w:pPr>
        <w:pStyle w:val="1282"/>
        <w:ind w:firstLine="505"/>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w:t>
      </w:r>
      <w:r>
        <w:rPr>
          <w:rFonts w:hint="eastAsia" w:ascii="宋体" w:hAnsi="宋体" w:eastAsia="宋体" w:cs="仿宋"/>
          <w:color w:val="000000"/>
          <w:szCs w:val="24"/>
          <w:highlight w:val="none"/>
          <w:lang w:val="en-US" w:eastAsia="zh-CN"/>
        </w:rPr>
        <w:t xml:space="preserve">6</w:t>
      </w:r>
      <w:r>
        <w:rPr>
          <w:rFonts w:hint="eastAsia" w:ascii="宋体" w:hAnsi="宋体" w:eastAsia="宋体" w:cs="仿宋"/>
          <w:color w:val="000000"/>
          <w:szCs w:val="24"/>
          <w:highlight w:val="none"/>
        </w:rPr>
        <w:t xml:space="preserve">.2投标人应对招标文件内所要采购的全部内容进行报价，</w:t>
      </w:r>
      <w:r>
        <w:rPr>
          <w:rFonts w:hint="eastAsia" w:ascii="宋体" w:hAnsi="宋体" w:eastAsia="宋体" w:cs="仿宋"/>
          <w:color w:val="000000"/>
          <w:szCs w:val="24"/>
          <w:highlight w:val="none"/>
          <w:lang w:val="en-US" w:eastAsia="zh-CN"/>
        </w:rPr>
        <w:t xml:space="preserve">不允许</w:t>
      </w:r>
      <w:r>
        <w:rPr>
          <w:rFonts w:hint="eastAsia" w:ascii="宋体" w:hAnsi="宋体" w:eastAsia="宋体" w:cs="仿宋"/>
          <w:color w:val="000000"/>
          <w:szCs w:val="24"/>
          <w:highlight w:val="none"/>
        </w:rPr>
        <w:t xml:space="preserve">只投其中部分内容。</w:t>
      </w:r>
      <w:r>
        <w:rPr>
          <w:rFonts w:hint="eastAsia" w:ascii="宋体" w:hAnsi="宋体" w:eastAsia="宋体" w:cs="仿宋"/>
          <w:color w:val="000000"/>
          <w:szCs w:val="24"/>
          <w:highlight w:val="none"/>
        </w:rPr>
      </w:r>
      <w:r/>
    </w:p>
    <w:p>
      <w:pPr>
        <w:pStyle w:val="1282"/>
        <w:ind w:firstLine="505"/>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w:t>
      </w:r>
      <w:r>
        <w:rPr>
          <w:rFonts w:hint="eastAsia" w:ascii="宋体" w:hAnsi="宋体" w:eastAsia="宋体" w:cs="仿宋"/>
          <w:color w:val="000000"/>
          <w:szCs w:val="24"/>
          <w:highlight w:val="none"/>
          <w:lang w:val="en-US" w:eastAsia="zh-CN"/>
        </w:rPr>
        <w:t xml:space="preserve">6</w:t>
      </w:r>
      <w:r>
        <w:rPr>
          <w:rFonts w:hint="eastAsia" w:ascii="宋体" w:hAnsi="宋体" w:eastAsia="宋体" w:cs="仿宋"/>
          <w:color w:val="000000"/>
          <w:szCs w:val="24"/>
          <w:highlight w:val="none"/>
        </w:rPr>
        <w:t xml:space="preserve">.3一项投标内容只允许一个报价，招标采购单位不接受任何有选择性的投标报价。</w:t>
      </w:r>
      <w:r>
        <w:rPr>
          <w:rFonts w:hint="eastAsia" w:ascii="宋体" w:hAnsi="宋体" w:eastAsia="宋体" w:cs="仿宋"/>
          <w:color w:val="000000"/>
          <w:szCs w:val="24"/>
          <w:highlight w:val="none"/>
        </w:rPr>
      </w:r>
      <w:r/>
    </w:p>
    <w:p>
      <w:pPr>
        <w:pStyle w:val="1282"/>
        <w:ind w:firstLine="502"/>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w:t>
      </w:r>
      <w:r>
        <w:rPr>
          <w:rFonts w:hint="eastAsia" w:ascii="宋体" w:hAnsi="宋体" w:eastAsia="宋体" w:cs="仿宋"/>
          <w:color w:val="000000"/>
          <w:szCs w:val="24"/>
          <w:highlight w:val="none"/>
          <w:lang w:val="en-US" w:eastAsia="zh-CN"/>
        </w:rPr>
        <w:t xml:space="preserve">6</w:t>
      </w:r>
      <w:r>
        <w:rPr>
          <w:rFonts w:hint="eastAsia" w:ascii="宋体" w:hAnsi="宋体" w:eastAsia="宋体" w:cs="仿宋"/>
          <w:color w:val="000000"/>
          <w:szCs w:val="24"/>
          <w:highlight w:val="none"/>
        </w:rPr>
        <w:t xml:space="preserve">.4投标文件报价中的单价和总价全部采用人民币表示，除非合同的特殊条款另有规定。</w:t>
      </w:r>
      <w:r>
        <w:rPr>
          <w:rFonts w:hint="eastAsia" w:ascii="宋体" w:hAnsi="宋体" w:eastAsia="宋体" w:cs="仿宋"/>
          <w:color w:val="000000"/>
          <w:szCs w:val="24"/>
          <w:highlight w:val="none"/>
        </w:rPr>
      </w:r>
      <w:r/>
    </w:p>
    <w:p>
      <w:pPr>
        <w:pStyle w:val="1282"/>
        <w:ind w:firstLine="502"/>
        <w:jc w:val="both"/>
        <w:spacing w:line="360" w:lineRule="auto"/>
        <w:rPr>
          <w:rFonts w:ascii="宋体" w:hAnsi="宋体" w:eastAsia="宋体" w:cs="仿宋"/>
          <w:color w:val="000000"/>
          <w:szCs w:val="24"/>
          <w:highlight w:val="none"/>
          <w:lang w:val="en-US" w:eastAsia="zh-CN"/>
        </w:rPr>
      </w:pPr>
      <w:r>
        <w:rPr>
          <w:rFonts w:hint="eastAsia" w:ascii="宋体" w:hAnsi="宋体" w:eastAsia="宋体" w:cs="仿宋"/>
          <w:color w:val="000000"/>
          <w:szCs w:val="24"/>
          <w:highlight w:val="none"/>
          <w:lang w:val="en-US" w:eastAsia="zh-CN"/>
        </w:rPr>
        <w:t xml:space="preserve">16.5《投标分项报价表》需按照采购需求的服务清单的四项服务内容分别列出。《投标分项报价表》中“投标总报价”数额应当与《开标一览表》中“投标总报价”数额一致；</w:t>
      </w:r>
      <w:r>
        <w:rPr>
          <w:rFonts w:hint="eastAsia" w:ascii="宋体" w:hAnsi="宋体" w:eastAsia="宋体" w:cs="仿宋"/>
          <w:color w:val="000000"/>
          <w:szCs w:val="24"/>
          <w:highlight w:val="none"/>
          <w:lang w:val="en-US" w:eastAsia="zh-CN"/>
        </w:rPr>
        <w:t xml:space="preserve">《投标分项报价表》中</w:t>
      </w:r>
      <w:r>
        <w:rPr>
          <w:rFonts w:hint="eastAsia" w:ascii="宋体" w:hAnsi="宋体" w:eastAsia="宋体" w:cs="仿宋"/>
          <w:color w:val="000000"/>
          <w:szCs w:val="24"/>
          <w:highlight w:val="none"/>
          <w:lang w:val="en-US" w:eastAsia="zh-CN"/>
        </w:rPr>
        <w:t xml:space="preserve">四项服务内容“小计”之和应当等于“投标报价总计”。</w:t>
      </w:r>
      <w:r>
        <w:rPr>
          <w:rFonts w:ascii="宋体" w:hAnsi="宋体" w:eastAsia="宋体" w:cs="仿宋"/>
          <w:color w:val="000000"/>
          <w:szCs w:val="24"/>
          <w:highlight w:val="none"/>
          <w:lang w:val="en-US" w:eastAsia="zh-CN"/>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1</w:t>
      </w:r>
      <w:r>
        <w:rPr>
          <w:rFonts w:hint="eastAsia" w:ascii="宋体" w:hAnsi="宋体" w:eastAsia="宋体" w:cs="仿宋"/>
          <w:b/>
          <w:color w:val="000000"/>
          <w:sz w:val="24"/>
          <w:szCs w:val="24"/>
          <w:highlight w:val="none"/>
          <w:lang w:val="en-US" w:eastAsia="zh-CN"/>
        </w:rPr>
        <w:t xml:space="preserve">7</w:t>
      </w:r>
      <w:r>
        <w:rPr>
          <w:rFonts w:hint="eastAsia" w:ascii="宋体" w:hAnsi="宋体" w:eastAsia="宋体" w:cs="仿宋"/>
          <w:b/>
          <w:color w:val="000000"/>
          <w:sz w:val="24"/>
          <w:szCs w:val="24"/>
          <w:highlight w:val="none"/>
        </w:rPr>
        <w:t xml:space="preserve">投标保证金</w:t>
      </w:r>
      <w:r>
        <w:rPr>
          <w:rFonts w:hint="eastAsia" w:ascii="宋体" w:hAnsi="宋体" w:eastAsia="宋体" w:cs="仿宋"/>
          <w:b/>
          <w:color w:val="000000"/>
          <w:sz w:val="24"/>
          <w:szCs w:val="24"/>
          <w:highlight w:val="none"/>
        </w:rPr>
      </w:r>
      <w:r/>
    </w:p>
    <w:p>
      <w:pPr>
        <w:pStyle w:val="1158"/>
        <w:ind w:firstLine="480"/>
        <w:keepLines w:val="0"/>
        <w:keepNext w:val="0"/>
        <w:spacing w:before="0" w:after="0" w:line="360" w:lineRule="auto"/>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根据苏财购〔2020〕52号文件，本项目不收取投标保证金。 </w:t>
      </w:r>
      <w:r>
        <w:rPr>
          <w:rFonts w:hint="eastAsia" w:ascii="宋体" w:hAnsi="宋体" w:eastAsia="宋体" w:cs="仿宋"/>
          <w:b w:val="0"/>
          <w:bCs w:val="0"/>
          <w:color w:val="000000"/>
          <w:sz w:val="24"/>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1</w:t>
      </w:r>
      <w:r>
        <w:rPr>
          <w:rFonts w:hint="eastAsia" w:ascii="宋体" w:hAnsi="宋体" w:eastAsia="宋体" w:cs="仿宋"/>
          <w:b/>
          <w:color w:val="000000"/>
          <w:sz w:val="24"/>
          <w:szCs w:val="24"/>
          <w:highlight w:val="none"/>
          <w:lang w:val="en-US" w:eastAsia="zh-CN"/>
        </w:rPr>
        <w:t xml:space="preserve">8</w:t>
      </w:r>
      <w:r>
        <w:rPr>
          <w:rFonts w:hint="eastAsia" w:ascii="宋体" w:hAnsi="宋体" w:eastAsia="宋体" w:cs="仿宋"/>
          <w:b/>
          <w:color w:val="000000"/>
          <w:sz w:val="24"/>
          <w:szCs w:val="24"/>
          <w:highlight w:val="none"/>
        </w:rPr>
        <w:t xml:space="preserve">.投标文件的有效期</w:t>
      </w:r>
      <w:r>
        <w:rPr>
          <w:rFonts w:hint="eastAsia" w:ascii="宋体" w:hAnsi="宋体" w:eastAsia="宋体" w:cs="仿宋"/>
          <w:b/>
          <w:color w:val="000000"/>
          <w:sz w:val="24"/>
          <w:szCs w:val="24"/>
          <w:highlight w:val="none"/>
        </w:rPr>
      </w:r>
      <w:r/>
    </w:p>
    <w:p>
      <w:pPr>
        <w:pStyle w:val="1011"/>
        <w:ind w:firstLine="502"/>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w:t>
      </w:r>
      <w:r>
        <w:rPr>
          <w:rFonts w:hint="eastAsia" w:ascii="宋体" w:hAnsi="宋体" w:eastAsia="宋体" w:cs="仿宋"/>
          <w:color w:val="000000"/>
          <w:sz w:val="24"/>
          <w:szCs w:val="24"/>
          <w:highlight w:val="none"/>
          <w:lang w:val="en-US" w:eastAsia="zh-CN"/>
        </w:rPr>
        <w:t xml:space="preserve">8</w:t>
      </w:r>
      <w:r>
        <w:rPr>
          <w:rFonts w:hint="eastAsia" w:ascii="宋体" w:hAnsi="宋体" w:eastAsia="宋体" w:cs="仿宋"/>
          <w:color w:val="000000"/>
          <w:sz w:val="24"/>
          <w:szCs w:val="24"/>
          <w:highlight w:val="none"/>
        </w:rPr>
        <w:t xml:space="preserve">.1在本招标文件前附表规定的投标文件有效期内，投标人所提交的投标文件应保持有效。有效期短于这个规定期限的投标文件，将被认定为未实质性响应招标文件要求。</w:t>
      </w:r>
      <w:r>
        <w:rPr>
          <w:rFonts w:hint="eastAsia" w:ascii="宋体" w:hAnsi="宋体" w:eastAsia="宋体" w:cs="仿宋"/>
          <w:color w:val="000000"/>
          <w:sz w:val="24"/>
          <w:szCs w:val="24"/>
          <w:highlight w:val="none"/>
        </w:rPr>
      </w:r>
      <w:r/>
    </w:p>
    <w:p>
      <w:pPr>
        <w:pStyle w:val="1011"/>
        <w:ind w:firstLine="502"/>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w:t>
      </w:r>
      <w:r>
        <w:rPr>
          <w:rFonts w:hint="eastAsia" w:ascii="宋体" w:hAnsi="宋体" w:eastAsia="宋体" w:cs="仿宋"/>
          <w:color w:val="000000"/>
          <w:sz w:val="24"/>
          <w:szCs w:val="24"/>
          <w:highlight w:val="none"/>
          <w:lang w:val="en-US" w:eastAsia="zh-CN"/>
        </w:rPr>
        <w:t xml:space="preserve">8</w:t>
      </w:r>
      <w:r>
        <w:rPr>
          <w:rFonts w:hint="eastAsia" w:ascii="宋体" w:hAnsi="宋体" w:eastAsia="宋体" w:cs="仿宋"/>
          <w:color w:val="000000"/>
          <w:sz w:val="24"/>
          <w:szCs w:val="24"/>
          <w:highlight w:val="none"/>
        </w:rPr>
        <w:t xml:space="preserve">.2在特殊情况下，招标采购单位可与投标人协商延长投标书的有效期。这种要求和答复都应以书面形式进行。同意延长有效期的投标人不能修改投标文件。拒绝接受延期要求的投标人的投标将被拒绝。</w:t>
      </w:r>
      <w:r>
        <w:rPr>
          <w:rFonts w:hint="eastAsia" w:ascii="宋体" w:hAnsi="宋体" w:eastAsia="宋体" w:cs="仿宋"/>
          <w:color w:val="000000"/>
          <w:sz w:val="24"/>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1</w:t>
      </w:r>
      <w:r>
        <w:rPr>
          <w:rFonts w:hint="eastAsia" w:ascii="宋体" w:hAnsi="宋体" w:eastAsia="宋体" w:cs="仿宋"/>
          <w:b/>
          <w:color w:val="000000"/>
          <w:sz w:val="24"/>
          <w:szCs w:val="24"/>
          <w:highlight w:val="none"/>
          <w:lang w:val="en-US" w:eastAsia="zh-CN"/>
        </w:rPr>
        <w:t xml:space="preserve">9</w:t>
      </w:r>
      <w:r>
        <w:rPr>
          <w:rFonts w:hint="eastAsia" w:ascii="宋体" w:hAnsi="宋体" w:eastAsia="宋体" w:cs="仿宋"/>
          <w:b/>
          <w:color w:val="000000"/>
          <w:sz w:val="24"/>
          <w:szCs w:val="24"/>
          <w:highlight w:val="none"/>
        </w:rPr>
        <w:t xml:space="preserve">.投标文件的拒收</w:t>
      </w:r>
      <w:r>
        <w:rPr>
          <w:rFonts w:hint="eastAsia" w:ascii="宋体" w:hAnsi="宋体" w:eastAsia="宋体" w:cs="仿宋"/>
          <w:b/>
          <w:color w:val="000000"/>
          <w:sz w:val="24"/>
          <w:szCs w:val="24"/>
          <w:highlight w:val="none"/>
        </w:rPr>
      </w:r>
      <w:r/>
    </w:p>
    <w:p>
      <w:pPr>
        <w:pStyle w:val="1282"/>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采购人拒绝接收在其规定的投标截止时间后上传的任何投标文件。</w:t>
      </w:r>
      <w:r>
        <w:rPr>
          <w:rFonts w:hint="eastAsia" w:ascii="宋体" w:hAnsi="宋体" w:eastAsia="宋体" w:cs="仿宋"/>
          <w:color w:val="000000"/>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五、投标文件的递交</w:t>
      </w:r>
      <w:r>
        <w:rPr>
          <w:rFonts w:hint="eastAsia" w:ascii="宋体" w:hAnsi="宋体" w:eastAsia="宋体" w:cs="仿宋"/>
          <w:b/>
          <w:color w:val="000000"/>
          <w:sz w:val="24"/>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lang w:val="en-US" w:eastAsia="zh-CN"/>
        </w:rPr>
        <w:t xml:space="preserve">20</w:t>
      </w:r>
      <w:r>
        <w:rPr>
          <w:rFonts w:hint="eastAsia" w:ascii="宋体" w:hAnsi="宋体" w:eastAsia="宋体" w:cs="仿宋"/>
          <w:b/>
          <w:color w:val="000000"/>
          <w:sz w:val="24"/>
          <w:szCs w:val="24"/>
          <w:highlight w:val="none"/>
        </w:rPr>
        <w:t xml:space="preserve">.投标文件的递交</w:t>
      </w:r>
      <w:r>
        <w:rPr>
          <w:rFonts w:hint="eastAsia" w:ascii="宋体" w:hAnsi="宋体" w:eastAsia="宋体" w:cs="仿宋"/>
          <w:b/>
          <w:color w:val="000000"/>
          <w:sz w:val="24"/>
          <w:szCs w:val="24"/>
          <w:highlight w:val="none"/>
        </w:rPr>
      </w:r>
      <w:r/>
    </w:p>
    <w:p>
      <w:pPr>
        <w:pStyle w:val="1011"/>
        <w:ind w:firstLine="426"/>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val="en-US" w:eastAsia="zh-CN"/>
        </w:rPr>
        <w:t xml:space="preserve">20</w:t>
      </w:r>
      <w:r>
        <w:rPr>
          <w:rFonts w:hint="eastAsia" w:ascii="宋体" w:hAnsi="宋体" w:eastAsia="宋体" w:cs="仿宋"/>
          <w:color w:val="000000"/>
          <w:sz w:val="24"/>
          <w:szCs w:val="24"/>
          <w:highlight w:val="none"/>
        </w:rPr>
        <w:t xml:space="preserve">.1电子投标文件的递交</w:t>
      </w:r>
      <w:r>
        <w:rPr>
          <w:rFonts w:hint="eastAsia" w:ascii="宋体" w:hAnsi="宋体" w:eastAsia="宋体" w:cs="仿宋"/>
          <w:color w:val="000000"/>
          <w:sz w:val="24"/>
          <w:szCs w:val="24"/>
          <w:highlight w:val="none"/>
        </w:rPr>
      </w:r>
      <w:r/>
    </w:p>
    <w:p>
      <w:pPr>
        <w:pStyle w:val="1011"/>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投标人应当按照《江苏省政府采购管理交易系统（苏采云）供应商操作手册及政府采购客户端》规定，凭CA数字证书登录“江苏政府采购“苏采云”系统”，在投标截止时间前制作并上传电子投标文件。</w:t>
      </w:r>
      <w:r>
        <w:rPr>
          <w:rFonts w:hint="eastAsia" w:ascii="宋体" w:hAnsi="宋体" w:eastAsia="宋体" w:cs="仿宋"/>
          <w:color w:val="000000"/>
          <w:sz w:val="24"/>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2</w:t>
      </w:r>
      <w:r>
        <w:rPr>
          <w:rFonts w:hint="eastAsia" w:ascii="宋体" w:hAnsi="宋体" w:eastAsia="宋体" w:cs="仿宋"/>
          <w:b/>
          <w:color w:val="000000"/>
          <w:sz w:val="24"/>
          <w:szCs w:val="24"/>
          <w:highlight w:val="none"/>
          <w:lang w:val="en-US" w:eastAsia="zh-CN"/>
        </w:rPr>
        <w:t xml:space="preserve">1</w:t>
      </w:r>
      <w:r>
        <w:rPr>
          <w:rFonts w:hint="eastAsia" w:ascii="宋体" w:hAnsi="宋体" w:eastAsia="宋体" w:cs="仿宋"/>
          <w:b/>
          <w:color w:val="000000"/>
          <w:sz w:val="24"/>
          <w:szCs w:val="24"/>
          <w:highlight w:val="none"/>
        </w:rPr>
        <w:t xml:space="preserve">.投标截止日期</w:t>
      </w:r>
      <w:r>
        <w:rPr>
          <w:rFonts w:hint="eastAsia" w:ascii="宋体" w:hAnsi="宋体" w:eastAsia="宋体" w:cs="仿宋"/>
          <w:b/>
          <w:color w:val="000000"/>
          <w:sz w:val="24"/>
          <w:szCs w:val="24"/>
          <w:highlight w:val="none"/>
        </w:rPr>
      </w:r>
      <w:r/>
    </w:p>
    <w:p>
      <w:pPr>
        <w:pStyle w:val="1011"/>
        <w:ind w:firstLine="426"/>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1</w:t>
      </w:r>
      <w:r>
        <w:rPr>
          <w:rFonts w:hint="eastAsia" w:ascii="宋体" w:hAnsi="宋体" w:eastAsia="宋体" w:cs="仿宋"/>
          <w:color w:val="000000"/>
          <w:sz w:val="24"/>
          <w:szCs w:val="24"/>
          <w:highlight w:val="none"/>
        </w:rPr>
        <w:t xml:space="preserve">.1</w:t>
      </w:r>
      <w:r>
        <w:rPr>
          <w:rFonts w:hint="eastAsia" w:ascii="宋体" w:hAnsi="宋体" w:eastAsia="宋体" w:cs="仿宋"/>
          <w:b/>
          <w:bCs/>
          <w:color w:val="000000"/>
          <w:sz w:val="24"/>
          <w:szCs w:val="24"/>
          <w:highlight w:val="none"/>
          <w:u w:val="single"/>
        </w:rPr>
        <w:t xml:space="preserve">投标人上传电子投标文件的时间不得迟于招标公告中规定的投标截止时间。</w:t>
      </w:r>
      <w:r>
        <w:rPr>
          <w:rFonts w:hint="eastAsia" w:ascii="宋体" w:hAnsi="宋体" w:eastAsia="宋体" w:cs="仿宋"/>
          <w:color w:val="000000"/>
          <w:sz w:val="24"/>
          <w:szCs w:val="24"/>
          <w:highlight w:val="none"/>
        </w:rPr>
        <w:t xml:space="preserve">投标人应充分考虑到网络环境、网络带宽等风险因素，如因投标人自身原因造成的电子投标文件上传不成功由投标人自行承担全部责任。</w:t>
      </w:r>
      <w:r>
        <w:rPr>
          <w:rFonts w:hint="eastAsia" w:ascii="宋体" w:hAnsi="宋体" w:eastAsia="宋体" w:cs="仿宋"/>
          <w:color w:val="000000"/>
          <w:sz w:val="24"/>
          <w:szCs w:val="24"/>
          <w:highlight w:val="none"/>
        </w:rPr>
      </w:r>
      <w:r/>
    </w:p>
    <w:p>
      <w:pPr>
        <w:pStyle w:val="1011"/>
        <w:ind w:firstLine="426"/>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1</w:t>
      </w:r>
      <w:r>
        <w:rPr>
          <w:rFonts w:hint="eastAsia" w:ascii="宋体" w:hAnsi="宋体" w:eastAsia="宋体" w:cs="仿宋"/>
          <w:color w:val="000000"/>
          <w:sz w:val="24"/>
          <w:szCs w:val="24"/>
          <w:highlight w:val="none"/>
        </w:rPr>
        <w:t xml:space="preserve">.2采购人可以按照规定，通过修改招标文件酌情延长投标截止日期，在此情况下，投标人的所有权利和义务以及投标人受制的截止日期均应以延长后新的截止日期为准。</w:t>
      </w:r>
      <w:r>
        <w:rPr>
          <w:rFonts w:hint="eastAsia" w:ascii="宋体" w:hAnsi="宋体" w:eastAsia="宋体" w:cs="仿宋"/>
          <w:color w:val="000000"/>
          <w:sz w:val="24"/>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2</w:t>
      </w:r>
      <w:r>
        <w:rPr>
          <w:rFonts w:hint="eastAsia" w:ascii="宋体" w:hAnsi="宋体" w:eastAsia="宋体" w:cs="仿宋"/>
          <w:b/>
          <w:color w:val="000000"/>
          <w:sz w:val="24"/>
          <w:szCs w:val="24"/>
          <w:highlight w:val="none"/>
          <w:lang w:val="en-US" w:eastAsia="zh-CN"/>
        </w:rPr>
        <w:t xml:space="preserve">2</w:t>
      </w:r>
      <w:r>
        <w:rPr>
          <w:rFonts w:hint="eastAsia" w:ascii="宋体" w:hAnsi="宋体" w:eastAsia="宋体" w:cs="仿宋"/>
          <w:b/>
          <w:color w:val="000000"/>
          <w:sz w:val="24"/>
          <w:szCs w:val="24"/>
          <w:highlight w:val="none"/>
        </w:rPr>
        <w:t xml:space="preserve">.投标文件的修改和撤回</w:t>
      </w:r>
      <w:r>
        <w:rPr>
          <w:rFonts w:hint="eastAsia" w:ascii="宋体" w:hAnsi="宋体" w:eastAsia="宋体" w:cs="仿宋"/>
          <w:b/>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2</w:t>
      </w:r>
      <w:r>
        <w:rPr>
          <w:rFonts w:hint="eastAsia" w:ascii="宋体" w:hAnsi="宋体" w:eastAsia="宋体" w:cs="仿宋"/>
          <w:color w:val="000000"/>
          <w:sz w:val="24"/>
          <w:szCs w:val="24"/>
          <w:highlight w:val="none"/>
        </w:rPr>
        <w:t xml:space="preserve">.1投标文件的撤回</w:t>
      </w:r>
      <w:r>
        <w:rPr>
          <w:rFonts w:hint="eastAsia" w:ascii="宋体" w:hAnsi="宋体" w:eastAsia="宋体" w:cs="仿宋"/>
          <w:color w:val="000000"/>
          <w:sz w:val="24"/>
          <w:szCs w:val="24"/>
          <w:highlight w:val="none"/>
        </w:rPr>
      </w:r>
      <w:r/>
    </w:p>
    <w:p>
      <w:pPr>
        <w:pStyle w:val="1011"/>
        <w:ind w:firstLine="426"/>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投标人可在投标截止时间前，撤回其电子投标文件，具体操作方法见《江苏省政府采购管理交易系统（苏采云）供应商操作手册及政府采购客户端》。</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2</w:t>
      </w:r>
      <w:r>
        <w:rPr>
          <w:rFonts w:hint="eastAsia" w:ascii="宋体" w:hAnsi="宋体" w:eastAsia="宋体" w:cs="仿宋"/>
          <w:color w:val="000000"/>
          <w:sz w:val="24"/>
          <w:szCs w:val="24"/>
          <w:highlight w:val="none"/>
        </w:rPr>
        <w:t xml:space="preserve">.2 投标文件的修改</w:t>
      </w:r>
      <w:r>
        <w:rPr>
          <w:rFonts w:hint="eastAsia" w:ascii="宋体" w:hAnsi="宋体" w:eastAsia="宋体" w:cs="仿宋"/>
          <w:color w:val="000000"/>
          <w:sz w:val="24"/>
          <w:szCs w:val="24"/>
          <w:highlight w:val="none"/>
        </w:rPr>
      </w:r>
      <w:r/>
    </w:p>
    <w:p>
      <w:pPr>
        <w:pStyle w:val="1011"/>
        <w:ind w:firstLine="426"/>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投标人可在投标截止时间前，对其电子投标文件进行修改，具体操作方法见《江苏省政府采购管理交易系统（苏采云）供应商操作手册及政府采购客户端》。</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2</w:t>
      </w:r>
      <w:r>
        <w:rPr>
          <w:rFonts w:hint="eastAsia" w:ascii="宋体" w:hAnsi="宋体" w:eastAsia="宋体" w:cs="仿宋"/>
          <w:color w:val="000000"/>
          <w:sz w:val="24"/>
          <w:szCs w:val="24"/>
          <w:highlight w:val="none"/>
        </w:rPr>
        <w:t xml:space="preserve">.3在投标截止时间之后，投标人不得对其电子投标文件作任何修改。</w:t>
      </w:r>
      <w:r>
        <w:rPr>
          <w:rFonts w:hint="eastAsia" w:ascii="宋体" w:hAnsi="宋体" w:eastAsia="宋体" w:cs="仿宋"/>
          <w:color w:val="000000"/>
          <w:sz w:val="24"/>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六、开标和评标</w:t>
      </w:r>
      <w:r>
        <w:rPr>
          <w:rFonts w:hint="eastAsia" w:ascii="宋体" w:hAnsi="宋体" w:eastAsia="宋体" w:cs="仿宋"/>
          <w:b/>
          <w:color w:val="000000"/>
          <w:sz w:val="24"/>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2</w:t>
      </w:r>
      <w:r>
        <w:rPr>
          <w:rFonts w:hint="eastAsia" w:ascii="宋体" w:hAnsi="宋体" w:eastAsia="宋体" w:cs="仿宋"/>
          <w:b/>
          <w:color w:val="000000"/>
          <w:sz w:val="24"/>
          <w:szCs w:val="24"/>
          <w:highlight w:val="none"/>
          <w:lang w:val="en-US" w:eastAsia="zh-CN"/>
        </w:rPr>
        <w:t xml:space="preserve">3</w:t>
      </w:r>
      <w:r>
        <w:rPr>
          <w:rFonts w:hint="eastAsia" w:ascii="宋体" w:hAnsi="宋体" w:eastAsia="宋体" w:cs="仿宋"/>
          <w:b/>
          <w:color w:val="000000"/>
          <w:sz w:val="24"/>
          <w:szCs w:val="24"/>
          <w:highlight w:val="none"/>
        </w:rPr>
        <w:t xml:space="preserve">.开标</w:t>
      </w:r>
      <w:r>
        <w:rPr>
          <w:rFonts w:hint="eastAsia" w:ascii="宋体" w:hAnsi="宋体" w:eastAsia="宋体" w:cs="仿宋"/>
          <w:b/>
          <w:color w:val="000000"/>
          <w:sz w:val="24"/>
          <w:szCs w:val="24"/>
          <w:highlight w:val="none"/>
        </w:rPr>
      </w:r>
      <w:r/>
    </w:p>
    <w:p>
      <w:pPr>
        <w:pStyle w:val="1011"/>
        <w:ind w:firstLine="488"/>
        <w:spacing w:line="360" w:lineRule="auto"/>
        <w:tabs>
          <w:tab w:val="center" w:pos="4479"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3</w:t>
      </w:r>
      <w:r>
        <w:rPr>
          <w:rFonts w:hint="eastAsia" w:ascii="宋体" w:hAnsi="宋体" w:eastAsia="宋体" w:cs="仿宋"/>
          <w:color w:val="000000"/>
          <w:sz w:val="24"/>
          <w:szCs w:val="24"/>
          <w:highlight w:val="none"/>
        </w:rPr>
        <w:t xml:space="preserve">.1采购人将在招标公告中规定的时间和地点组织公开开标。投标人应当按照《江苏省政府采购管理交易系统（苏采云）供应商操作手册及政府采购客户端》规定，参加开标活动。</w:t>
      </w:r>
      <w:r>
        <w:rPr>
          <w:rFonts w:hint="eastAsia" w:ascii="宋体" w:hAnsi="宋体" w:eastAsia="宋体" w:cs="仿宋"/>
          <w:color w:val="000000"/>
          <w:sz w:val="24"/>
          <w:szCs w:val="24"/>
          <w:highlight w:val="none"/>
        </w:rPr>
      </w:r>
      <w:r/>
    </w:p>
    <w:p>
      <w:pPr>
        <w:pStyle w:val="1011"/>
        <w:ind w:firstLine="488"/>
        <w:spacing w:line="360" w:lineRule="auto"/>
        <w:tabs>
          <w:tab w:val="center" w:pos="4479"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3</w:t>
      </w:r>
      <w:r>
        <w:rPr>
          <w:rFonts w:hint="eastAsia" w:ascii="宋体" w:hAnsi="宋体" w:eastAsia="宋体" w:cs="仿宋"/>
          <w:color w:val="000000"/>
          <w:sz w:val="24"/>
          <w:szCs w:val="24"/>
          <w:highlight w:val="none"/>
        </w:rPr>
        <w:t xml:space="preserve">.2开标仪式由采购代理机构组织。“江苏政府采购“苏采云”系统”将自动对项目进行开标，并宣读各投标人的《开标一览表》。</w:t>
      </w:r>
      <w:r>
        <w:rPr>
          <w:rFonts w:hint="eastAsia" w:ascii="宋体" w:hAnsi="宋体" w:eastAsia="宋体" w:cs="仿宋"/>
          <w:color w:val="000000"/>
          <w:sz w:val="24"/>
          <w:szCs w:val="24"/>
          <w:highlight w:val="none"/>
        </w:rPr>
      </w:r>
      <w:r/>
    </w:p>
    <w:p>
      <w:pPr>
        <w:pStyle w:val="1011"/>
        <w:ind w:firstLine="488"/>
        <w:spacing w:line="360" w:lineRule="auto"/>
        <w:tabs>
          <w:tab w:val="center" w:pos="4479"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3</w:t>
      </w:r>
      <w:r>
        <w:rPr>
          <w:rFonts w:hint="eastAsia" w:ascii="宋体" w:hAnsi="宋体" w:eastAsia="宋体" w:cs="仿宋"/>
          <w:color w:val="000000"/>
          <w:sz w:val="24"/>
          <w:szCs w:val="24"/>
          <w:highlight w:val="none"/>
        </w:rPr>
        <w:t xml:space="preserve">.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rPr>
          <w:rFonts w:hint="eastAsia" w:ascii="宋体" w:hAnsi="宋体" w:eastAsia="宋体" w:cs="仿宋"/>
          <w:color w:val="000000"/>
          <w:sz w:val="24"/>
          <w:szCs w:val="24"/>
          <w:highlight w:val="none"/>
        </w:rPr>
      </w:r>
      <w:r/>
    </w:p>
    <w:p>
      <w:pPr>
        <w:pStyle w:val="1011"/>
        <w:ind w:firstLine="488"/>
        <w:spacing w:line="360" w:lineRule="auto"/>
        <w:tabs>
          <w:tab w:val="center" w:pos="4479"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3</w:t>
      </w:r>
      <w:r>
        <w:rPr>
          <w:rFonts w:hint="eastAsia" w:ascii="宋体" w:hAnsi="宋体" w:eastAsia="宋体" w:cs="仿宋"/>
          <w:color w:val="000000"/>
          <w:sz w:val="24"/>
          <w:szCs w:val="24"/>
          <w:highlight w:val="none"/>
        </w:rPr>
        <w:t xml:space="preserve">.4投标人如果对开标过程和开标记录有疑义，应当根据《江苏省政府采购管理交易系统（苏采云）供应商操作手册及政府采购客户端》规定提出，如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rPr>
          <w:rFonts w:hint="eastAsia" w:ascii="宋体" w:hAnsi="宋体" w:eastAsia="宋体" w:cs="仿宋"/>
          <w:color w:val="000000"/>
          <w:sz w:val="24"/>
          <w:szCs w:val="24"/>
          <w:highlight w:val="none"/>
        </w:rPr>
      </w:r>
      <w:r/>
    </w:p>
    <w:p>
      <w:pPr>
        <w:pStyle w:val="1011"/>
        <w:ind w:firstLine="488"/>
        <w:spacing w:line="360" w:lineRule="auto"/>
        <w:tabs>
          <w:tab w:val="center" w:pos="4479"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3</w:t>
      </w:r>
      <w:r>
        <w:rPr>
          <w:rFonts w:hint="eastAsia" w:ascii="宋体" w:hAnsi="宋体" w:eastAsia="宋体" w:cs="仿宋"/>
          <w:color w:val="000000"/>
          <w:sz w:val="24"/>
          <w:szCs w:val="24"/>
          <w:highlight w:val="none"/>
        </w:rPr>
        <w:t xml:space="preserve">.5开标时，投标文件中开标一览表内容与投标文件中明细表内容不一致的，以开标一览表为准。</w:t>
      </w:r>
      <w:r>
        <w:rPr>
          <w:rFonts w:hint="eastAsia" w:ascii="宋体" w:hAnsi="宋体" w:eastAsia="宋体" w:cs="仿宋"/>
          <w:color w:val="000000"/>
          <w:sz w:val="24"/>
          <w:szCs w:val="24"/>
          <w:highlight w:val="none"/>
        </w:rPr>
      </w:r>
      <w:r/>
    </w:p>
    <w:p>
      <w:pPr>
        <w:pStyle w:val="1011"/>
        <w:ind w:firstLine="480"/>
        <w:spacing w:line="360" w:lineRule="auto"/>
        <w:tabs>
          <w:tab w:val="center" w:pos="4479"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rPr>
          <w:rFonts w:hint="eastAsia" w:ascii="宋体" w:hAnsi="宋体" w:eastAsia="宋体" w:cs="仿宋"/>
          <w:color w:val="000000"/>
          <w:sz w:val="24"/>
          <w:szCs w:val="24"/>
          <w:highlight w:val="none"/>
        </w:rPr>
      </w:r>
      <w:r/>
    </w:p>
    <w:p>
      <w:pPr>
        <w:pStyle w:val="1011"/>
        <w:ind w:firstLine="488"/>
        <w:spacing w:line="360" w:lineRule="auto"/>
        <w:tabs>
          <w:tab w:val="center" w:pos="4479"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3</w:t>
      </w:r>
      <w:r>
        <w:rPr>
          <w:rFonts w:hint="eastAsia" w:ascii="宋体" w:hAnsi="宋体" w:eastAsia="宋体" w:cs="仿宋"/>
          <w:color w:val="000000"/>
          <w:sz w:val="24"/>
          <w:szCs w:val="24"/>
          <w:highlight w:val="none"/>
        </w:rPr>
        <w:t xml:space="preserve">.6投标人未参加开标的，视同认可开标结果。</w:t>
      </w:r>
      <w:r>
        <w:rPr>
          <w:rFonts w:hint="eastAsia" w:ascii="宋体" w:hAnsi="宋体" w:eastAsia="宋体" w:cs="仿宋"/>
          <w:color w:val="000000"/>
          <w:sz w:val="24"/>
          <w:szCs w:val="24"/>
          <w:highlight w:val="none"/>
        </w:rPr>
      </w:r>
      <w:r/>
    </w:p>
    <w:p>
      <w:pPr>
        <w:pStyle w:val="1011"/>
        <w:spacing w:line="360" w:lineRule="auto"/>
        <w:tabs>
          <w:tab w:val="center" w:pos="4479" w:leader="none"/>
        </w:tabs>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2</w:t>
      </w:r>
      <w:r>
        <w:rPr>
          <w:rFonts w:hint="eastAsia" w:ascii="宋体" w:hAnsi="宋体" w:eastAsia="宋体" w:cs="仿宋"/>
          <w:b/>
          <w:color w:val="000000"/>
          <w:sz w:val="24"/>
          <w:szCs w:val="24"/>
          <w:highlight w:val="none"/>
          <w:lang w:val="en-US" w:eastAsia="zh-CN"/>
        </w:rPr>
        <w:t xml:space="preserve">4</w:t>
      </w:r>
      <w:r>
        <w:rPr>
          <w:rFonts w:hint="eastAsia" w:ascii="宋体" w:hAnsi="宋体" w:eastAsia="宋体" w:cs="仿宋"/>
          <w:b/>
          <w:color w:val="000000"/>
          <w:sz w:val="24"/>
          <w:szCs w:val="24"/>
          <w:highlight w:val="none"/>
        </w:rPr>
        <w:t xml:space="preserve">.评标委员会</w:t>
      </w:r>
      <w:r>
        <w:rPr>
          <w:rFonts w:hint="eastAsia" w:ascii="宋体" w:hAnsi="宋体" w:eastAsia="宋体" w:cs="仿宋"/>
          <w:b/>
          <w:color w:val="000000"/>
          <w:sz w:val="24"/>
          <w:szCs w:val="24"/>
          <w:highlight w:val="none"/>
        </w:rPr>
        <w:tab/>
      </w:r>
      <w:r>
        <w:rPr>
          <w:rFonts w:hint="eastAsia" w:ascii="宋体" w:hAnsi="宋体" w:eastAsia="宋体" w:cs="仿宋"/>
          <w:b/>
          <w:color w:val="000000"/>
          <w:sz w:val="24"/>
          <w:szCs w:val="24"/>
          <w:highlight w:val="none"/>
        </w:rPr>
      </w:r>
      <w:r/>
    </w:p>
    <w:p>
      <w:pPr>
        <w:pStyle w:val="1282"/>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2</w:t>
      </w:r>
      <w:r>
        <w:rPr>
          <w:rFonts w:hint="eastAsia" w:ascii="宋体" w:hAnsi="宋体" w:eastAsia="宋体" w:cs="仿宋"/>
          <w:color w:val="000000"/>
          <w:szCs w:val="24"/>
          <w:highlight w:val="none"/>
          <w:lang w:val="en-US" w:eastAsia="zh-CN"/>
        </w:rPr>
        <w:t xml:space="preserve">4</w:t>
      </w:r>
      <w:r>
        <w:rPr>
          <w:rFonts w:hint="eastAsia" w:ascii="宋体" w:hAnsi="宋体" w:eastAsia="宋体" w:cs="仿宋"/>
          <w:color w:val="000000"/>
          <w:szCs w:val="24"/>
          <w:highlight w:val="none"/>
        </w:rPr>
        <w:t xml:space="preserve">.1评标委员会由招标采购单位依法组建，负责本项目的评标事务。</w:t>
      </w:r>
      <w:r>
        <w:rPr>
          <w:rFonts w:hint="eastAsia" w:ascii="宋体" w:hAnsi="宋体" w:eastAsia="宋体" w:cs="仿宋"/>
          <w:color w:val="000000"/>
          <w:szCs w:val="24"/>
          <w:highlight w:val="none"/>
        </w:rPr>
      </w:r>
      <w:r/>
    </w:p>
    <w:p>
      <w:pPr>
        <w:pStyle w:val="1282"/>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2</w:t>
      </w:r>
      <w:r>
        <w:rPr>
          <w:rFonts w:hint="eastAsia" w:ascii="宋体" w:hAnsi="宋体" w:eastAsia="宋体" w:cs="仿宋"/>
          <w:color w:val="000000"/>
          <w:szCs w:val="24"/>
          <w:highlight w:val="none"/>
          <w:lang w:val="en-US" w:eastAsia="zh-CN"/>
        </w:rPr>
        <w:t xml:space="preserve">4</w:t>
      </w:r>
      <w:r>
        <w:rPr>
          <w:rFonts w:hint="eastAsia" w:ascii="宋体" w:hAnsi="宋体" w:eastAsia="宋体" w:cs="仿宋"/>
          <w:color w:val="000000"/>
          <w:szCs w:val="24"/>
          <w:highlight w:val="none"/>
        </w:rPr>
        <w:t xml:space="preserve">.2评标委员会独立履行下列职责：</w:t>
      </w:r>
      <w:r>
        <w:rPr>
          <w:rFonts w:hint="eastAsia" w:ascii="宋体" w:hAnsi="宋体" w:eastAsia="宋体" w:cs="仿宋"/>
          <w:color w:val="000000"/>
          <w:szCs w:val="24"/>
          <w:highlight w:val="none"/>
        </w:rPr>
      </w:r>
      <w:r/>
    </w:p>
    <w:p>
      <w:pPr>
        <w:pStyle w:val="1282"/>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2</w:t>
      </w:r>
      <w:r>
        <w:rPr>
          <w:rFonts w:hint="eastAsia" w:ascii="宋体" w:hAnsi="宋体" w:eastAsia="宋体" w:cs="仿宋"/>
          <w:color w:val="000000"/>
          <w:szCs w:val="24"/>
          <w:highlight w:val="none"/>
          <w:lang w:val="en-US" w:eastAsia="zh-CN"/>
        </w:rPr>
        <w:t xml:space="preserve">4</w:t>
      </w:r>
      <w:r>
        <w:rPr>
          <w:rFonts w:hint="eastAsia" w:ascii="宋体" w:hAnsi="宋体" w:eastAsia="宋体" w:cs="仿宋"/>
          <w:color w:val="000000"/>
          <w:szCs w:val="24"/>
          <w:highlight w:val="none"/>
        </w:rPr>
        <w:t xml:space="preserve">.2.1审查投标文件是否符合招标文件的要求，并作出评价；</w:t>
      </w:r>
      <w:r>
        <w:rPr>
          <w:rFonts w:hint="eastAsia" w:ascii="宋体" w:hAnsi="宋体" w:eastAsia="宋体" w:cs="仿宋"/>
          <w:color w:val="000000"/>
          <w:szCs w:val="24"/>
          <w:highlight w:val="none"/>
        </w:rPr>
      </w:r>
      <w:r/>
    </w:p>
    <w:p>
      <w:pPr>
        <w:pStyle w:val="1282"/>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2</w:t>
      </w:r>
      <w:r>
        <w:rPr>
          <w:rFonts w:hint="eastAsia" w:ascii="宋体" w:hAnsi="宋体" w:eastAsia="宋体" w:cs="仿宋"/>
          <w:color w:val="000000"/>
          <w:szCs w:val="24"/>
          <w:highlight w:val="none"/>
          <w:lang w:val="en-US" w:eastAsia="zh-CN"/>
        </w:rPr>
        <w:t xml:space="preserve">4</w:t>
      </w:r>
      <w:r>
        <w:rPr>
          <w:rFonts w:hint="eastAsia" w:ascii="宋体" w:hAnsi="宋体" w:eastAsia="宋体" w:cs="仿宋"/>
          <w:color w:val="000000"/>
          <w:szCs w:val="24"/>
          <w:highlight w:val="none"/>
        </w:rPr>
        <w:t xml:space="preserve">.2.2可以要求投标供应商对投标文件有关事项作出解释或澄清；</w:t>
      </w:r>
      <w:r>
        <w:rPr>
          <w:rFonts w:hint="eastAsia" w:ascii="宋体" w:hAnsi="宋体" w:eastAsia="宋体" w:cs="仿宋"/>
          <w:color w:val="000000"/>
          <w:szCs w:val="24"/>
          <w:highlight w:val="none"/>
        </w:rPr>
      </w:r>
      <w:r/>
    </w:p>
    <w:p>
      <w:pPr>
        <w:pStyle w:val="1282"/>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2</w:t>
      </w:r>
      <w:r>
        <w:rPr>
          <w:rFonts w:hint="eastAsia" w:ascii="宋体" w:hAnsi="宋体" w:eastAsia="宋体" w:cs="仿宋"/>
          <w:color w:val="000000"/>
          <w:szCs w:val="24"/>
          <w:highlight w:val="none"/>
          <w:lang w:val="en-US" w:eastAsia="zh-CN"/>
        </w:rPr>
        <w:t xml:space="preserve">4</w:t>
      </w:r>
      <w:r>
        <w:rPr>
          <w:rFonts w:hint="eastAsia" w:ascii="宋体" w:hAnsi="宋体" w:eastAsia="宋体" w:cs="仿宋"/>
          <w:color w:val="000000"/>
          <w:szCs w:val="24"/>
          <w:highlight w:val="none"/>
        </w:rPr>
        <w:t xml:space="preserve">.2.3推荐中标候选供应商名单，或者受采购人委托按照事先确定的办法直接确定中标供应商；</w:t>
      </w:r>
      <w:r>
        <w:rPr>
          <w:rFonts w:hint="eastAsia" w:ascii="宋体" w:hAnsi="宋体" w:eastAsia="宋体" w:cs="仿宋"/>
          <w:color w:val="000000"/>
          <w:szCs w:val="24"/>
          <w:highlight w:val="none"/>
        </w:rPr>
      </w:r>
      <w:r/>
    </w:p>
    <w:p>
      <w:pPr>
        <w:pStyle w:val="1282"/>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24</w:t>
      </w:r>
      <w:r>
        <w:rPr>
          <w:rFonts w:hint="eastAsia" w:ascii="宋体" w:hAnsi="宋体" w:eastAsia="宋体" w:cs="仿宋"/>
          <w:color w:val="000000"/>
          <w:szCs w:val="24"/>
          <w:highlight w:val="none"/>
        </w:rPr>
        <w:t xml:space="preserve">.2.4向招标采购单位或者有关部门报告非法干预评标工作的行为。</w:t>
      </w:r>
      <w:r>
        <w:rPr>
          <w:rFonts w:hint="eastAsia" w:ascii="宋体" w:hAnsi="宋体" w:eastAsia="宋体" w:cs="仿宋"/>
          <w:color w:val="000000"/>
          <w:szCs w:val="24"/>
          <w:highlight w:val="none"/>
        </w:rPr>
      </w:r>
      <w:r/>
    </w:p>
    <w:p>
      <w:pPr>
        <w:pStyle w:val="1282"/>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24</w:t>
      </w:r>
      <w:r>
        <w:rPr>
          <w:rFonts w:hint="eastAsia" w:ascii="宋体" w:hAnsi="宋体" w:eastAsia="宋体" w:cs="仿宋"/>
          <w:color w:val="000000"/>
          <w:szCs w:val="24"/>
          <w:highlight w:val="none"/>
        </w:rPr>
        <w:t xml:space="preserve">.3评标委员会成员应当履行下列义务：</w:t>
      </w:r>
      <w:r>
        <w:rPr>
          <w:rFonts w:hint="eastAsia" w:ascii="宋体" w:hAnsi="宋体" w:eastAsia="宋体" w:cs="仿宋"/>
          <w:color w:val="000000"/>
          <w:szCs w:val="24"/>
          <w:highlight w:val="none"/>
        </w:rPr>
      </w:r>
      <w:r/>
    </w:p>
    <w:p>
      <w:pPr>
        <w:pStyle w:val="1282"/>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24</w:t>
      </w:r>
      <w:r>
        <w:rPr>
          <w:rFonts w:hint="eastAsia" w:ascii="宋体" w:hAnsi="宋体" w:eastAsia="宋体" w:cs="仿宋"/>
          <w:color w:val="000000"/>
          <w:szCs w:val="24"/>
          <w:highlight w:val="none"/>
        </w:rPr>
        <w:t xml:space="preserve">.3.1遵纪守法，客观、公正、廉洁地履行职责；</w:t>
      </w:r>
      <w:r>
        <w:rPr>
          <w:rFonts w:hint="eastAsia" w:ascii="宋体" w:hAnsi="宋体" w:eastAsia="宋体" w:cs="仿宋"/>
          <w:color w:val="000000"/>
          <w:szCs w:val="24"/>
          <w:highlight w:val="none"/>
        </w:rPr>
      </w:r>
      <w:r/>
    </w:p>
    <w:p>
      <w:pPr>
        <w:pStyle w:val="1282"/>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24</w:t>
      </w:r>
      <w:r>
        <w:rPr>
          <w:rFonts w:hint="eastAsia" w:ascii="宋体" w:hAnsi="宋体" w:eastAsia="宋体" w:cs="仿宋"/>
          <w:color w:val="000000"/>
          <w:szCs w:val="24"/>
          <w:highlight w:val="none"/>
        </w:rPr>
        <w:t xml:space="preserve">.3.2按照招标文件规定的评标办法和评标标准进行评标，对评审意见承担个人责任；</w:t>
      </w:r>
      <w:r>
        <w:rPr>
          <w:rFonts w:hint="eastAsia" w:ascii="宋体" w:hAnsi="宋体" w:eastAsia="宋体" w:cs="仿宋"/>
          <w:color w:val="000000"/>
          <w:szCs w:val="24"/>
          <w:highlight w:val="none"/>
        </w:rPr>
      </w:r>
      <w:r/>
    </w:p>
    <w:p>
      <w:pPr>
        <w:pStyle w:val="1282"/>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24</w:t>
      </w:r>
      <w:r>
        <w:rPr>
          <w:rFonts w:hint="eastAsia" w:ascii="宋体" w:hAnsi="宋体" w:eastAsia="宋体" w:cs="仿宋"/>
          <w:color w:val="000000"/>
          <w:szCs w:val="24"/>
          <w:highlight w:val="none"/>
        </w:rPr>
        <w:t xml:space="preserve">.3.3对评标过程和结果，以及投标人的商业秘密保密；</w:t>
      </w:r>
      <w:r>
        <w:rPr>
          <w:rFonts w:hint="eastAsia" w:ascii="宋体" w:hAnsi="宋体" w:eastAsia="宋体" w:cs="仿宋"/>
          <w:color w:val="000000"/>
          <w:szCs w:val="24"/>
          <w:highlight w:val="none"/>
        </w:rPr>
      </w:r>
      <w:r/>
    </w:p>
    <w:p>
      <w:pPr>
        <w:pStyle w:val="1282"/>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24</w:t>
      </w:r>
      <w:r>
        <w:rPr>
          <w:rFonts w:hint="eastAsia" w:ascii="宋体" w:hAnsi="宋体" w:eastAsia="宋体" w:cs="仿宋"/>
          <w:color w:val="000000"/>
          <w:szCs w:val="24"/>
          <w:highlight w:val="none"/>
        </w:rPr>
        <w:t xml:space="preserve">.3.4参与评标报告的起草；</w:t>
      </w:r>
      <w:r>
        <w:rPr>
          <w:rFonts w:hint="eastAsia" w:ascii="宋体" w:hAnsi="宋体" w:eastAsia="宋体" w:cs="仿宋"/>
          <w:color w:val="000000"/>
          <w:szCs w:val="24"/>
          <w:highlight w:val="none"/>
        </w:rPr>
      </w:r>
      <w:r/>
    </w:p>
    <w:p>
      <w:pPr>
        <w:pStyle w:val="1282"/>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24</w:t>
      </w:r>
      <w:r>
        <w:rPr>
          <w:rFonts w:hint="eastAsia" w:ascii="宋体" w:hAnsi="宋体" w:eastAsia="宋体" w:cs="仿宋"/>
          <w:color w:val="000000"/>
          <w:szCs w:val="24"/>
          <w:highlight w:val="none"/>
        </w:rPr>
        <w:t xml:space="preserve">.3.5配合相关部门的投诉处理工作；</w:t>
      </w:r>
      <w:r>
        <w:rPr>
          <w:rFonts w:hint="eastAsia" w:ascii="宋体" w:hAnsi="宋体" w:eastAsia="宋体" w:cs="仿宋"/>
          <w:color w:val="000000"/>
          <w:szCs w:val="24"/>
          <w:highlight w:val="none"/>
        </w:rPr>
      </w:r>
      <w:r/>
    </w:p>
    <w:p>
      <w:pPr>
        <w:pStyle w:val="1282"/>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24</w:t>
      </w:r>
      <w:r>
        <w:rPr>
          <w:rFonts w:hint="eastAsia" w:ascii="宋体" w:hAnsi="宋体" w:eastAsia="宋体" w:cs="仿宋"/>
          <w:color w:val="000000"/>
          <w:szCs w:val="24"/>
          <w:highlight w:val="none"/>
        </w:rPr>
        <w:t xml:space="preserve">.3.6配合招标采购单位答复投标供应商提出的质疑。</w:t>
      </w:r>
      <w:r>
        <w:rPr>
          <w:rFonts w:hint="eastAsia" w:ascii="宋体" w:hAnsi="宋体" w:eastAsia="宋体" w:cs="仿宋"/>
          <w:color w:val="000000"/>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lang w:eastAsia="zh-CN"/>
        </w:rPr>
        <w:t xml:space="preserve">25</w:t>
      </w:r>
      <w:r>
        <w:rPr>
          <w:rFonts w:hint="eastAsia" w:ascii="宋体" w:hAnsi="宋体" w:eastAsia="宋体" w:cs="仿宋"/>
          <w:b/>
          <w:color w:val="000000"/>
          <w:sz w:val="24"/>
          <w:szCs w:val="24"/>
          <w:highlight w:val="none"/>
        </w:rPr>
        <w:t xml:space="preserve">.评标内容的保密</w:t>
      </w:r>
      <w:r>
        <w:rPr>
          <w:rFonts w:hint="eastAsia" w:ascii="宋体" w:hAnsi="宋体" w:eastAsia="宋体" w:cs="仿宋"/>
          <w:b/>
          <w:color w:val="000000"/>
          <w:sz w:val="24"/>
          <w:szCs w:val="24"/>
          <w:highlight w:val="none"/>
        </w:rPr>
      </w:r>
      <w:r/>
    </w:p>
    <w:p>
      <w:pPr>
        <w:pStyle w:val="1282"/>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25</w:t>
      </w:r>
      <w:r>
        <w:rPr>
          <w:rFonts w:hint="eastAsia" w:ascii="宋体" w:hAnsi="宋体" w:eastAsia="宋体" w:cs="仿宋"/>
          <w:color w:val="000000"/>
          <w:szCs w:val="24"/>
          <w:highlight w:val="none"/>
        </w:rPr>
        <w:t xml:space="preserve">.1公开开标后，直到宣布授予中标人合同为止，凡属于审查、澄清、评价和比较投标的所有资料，有关授予合同的信息都不应向投标人或与评标无关的其他人泄露。</w:t>
      </w:r>
      <w:r>
        <w:rPr>
          <w:rFonts w:hint="eastAsia" w:ascii="宋体" w:hAnsi="宋体" w:eastAsia="宋体" w:cs="仿宋"/>
          <w:color w:val="000000"/>
          <w:szCs w:val="24"/>
          <w:highlight w:val="none"/>
        </w:rPr>
      </w:r>
      <w:r/>
    </w:p>
    <w:p>
      <w:pPr>
        <w:pStyle w:val="1282"/>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25</w:t>
      </w:r>
      <w:r>
        <w:rPr>
          <w:rFonts w:hint="eastAsia" w:ascii="宋体" w:hAnsi="宋体" w:eastAsia="宋体" w:cs="仿宋"/>
          <w:color w:val="000000"/>
          <w:szCs w:val="24"/>
          <w:highlight w:val="none"/>
        </w:rPr>
        <w:t xml:space="preserve">.2 在投标文件的审查、澄清、评价和比较以及授予合同的过程中，投标人对招标采购单位和评标委员会成员施加影响的任何行为，都将取消其投标资格。</w:t>
      </w:r>
      <w:r>
        <w:rPr>
          <w:rFonts w:hint="eastAsia" w:ascii="宋体" w:hAnsi="宋体" w:eastAsia="宋体" w:cs="仿宋"/>
          <w:color w:val="000000"/>
          <w:szCs w:val="24"/>
          <w:highlight w:val="none"/>
        </w:rPr>
      </w:r>
      <w:r/>
    </w:p>
    <w:p>
      <w:pPr>
        <w:pStyle w:val="1282"/>
        <w:ind w:firstLine="426"/>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25</w:t>
      </w:r>
      <w:r>
        <w:rPr>
          <w:rFonts w:hint="eastAsia" w:ascii="宋体" w:hAnsi="宋体" w:eastAsia="宋体" w:cs="仿宋"/>
          <w:color w:val="000000"/>
          <w:szCs w:val="24"/>
          <w:highlight w:val="none"/>
        </w:rPr>
        <w:t xml:space="preserve">.3在评标期间，招标采购单位将通过指定联络人与投标人进行联系。</w:t>
      </w:r>
      <w:r>
        <w:rPr>
          <w:rFonts w:hint="eastAsia" w:ascii="宋体" w:hAnsi="宋体" w:eastAsia="宋体" w:cs="仿宋"/>
          <w:color w:val="000000"/>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lang w:eastAsia="zh-CN"/>
        </w:rPr>
        <w:t xml:space="preserve">26</w:t>
      </w:r>
      <w:r>
        <w:rPr>
          <w:rFonts w:hint="eastAsia" w:ascii="宋体" w:hAnsi="宋体" w:eastAsia="宋体" w:cs="仿宋"/>
          <w:b/>
          <w:color w:val="000000"/>
          <w:sz w:val="24"/>
          <w:szCs w:val="24"/>
          <w:highlight w:val="none"/>
        </w:rPr>
        <w:t xml:space="preserve">.对投标文件初审</w:t>
      </w:r>
      <w:r>
        <w:rPr>
          <w:rFonts w:hint="eastAsia" w:ascii="宋体" w:hAnsi="宋体" w:eastAsia="宋体" w:cs="仿宋"/>
          <w:b/>
          <w:color w:val="000000"/>
          <w:sz w:val="24"/>
          <w:szCs w:val="24"/>
          <w:highlight w:val="none"/>
        </w:rPr>
      </w:r>
      <w:r/>
    </w:p>
    <w:p>
      <w:pPr>
        <w:pStyle w:val="1282"/>
        <w:ind w:firstLine="488"/>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26</w:t>
      </w:r>
      <w:r>
        <w:rPr>
          <w:rFonts w:hint="eastAsia" w:ascii="宋体" w:hAnsi="宋体" w:eastAsia="宋体" w:cs="仿宋"/>
          <w:color w:val="000000"/>
          <w:szCs w:val="24"/>
          <w:highlight w:val="none"/>
        </w:rPr>
        <w:t xml:space="preserve">.1投标文件初审分为资格性检查和符合性检查。</w:t>
      </w:r>
      <w:r>
        <w:rPr>
          <w:rFonts w:hint="eastAsia" w:ascii="宋体" w:hAnsi="宋体" w:eastAsia="宋体" w:cs="仿宋"/>
          <w:color w:val="000000"/>
          <w:szCs w:val="24"/>
          <w:highlight w:val="none"/>
        </w:rPr>
      </w:r>
      <w:r/>
    </w:p>
    <w:p>
      <w:pPr>
        <w:pStyle w:val="1011"/>
        <w:ind w:firstLine="480"/>
        <w:jc w:val="left"/>
        <w:spacing w:line="360" w:lineRule="auto"/>
        <w:rPr>
          <w:rFonts w:hint="eastAsia" w:ascii="宋体" w:hAnsi="宋体" w:eastAsia="宋体" w:cs="宋体"/>
          <w:bCs/>
          <w:color w:val="000000"/>
          <w:sz w:val="24"/>
          <w:szCs w:val="21"/>
          <w:highlight w:val="none"/>
        </w:rPr>
      </w:pPr>
      <w:r>
        <w:rPr>
          <w:rFonts w:hint="eastAsia" w:ascii="宋体" w:hAnsi="宋体" w:eastAsia="宋体" w:cs="仿宋"/>
          <w:color w:val="000000"/>
          <w:szCs w:val="24"/>
          <w:highlight w:val="none"/>
          <w:lang w:eastAsia="zh-CN"/>
        </w:rPr>
        <w:t xml:space="preserve">26</w:t>
      </w:r>
      <w:r>
        <w:rPr>
          <w:rFonts w:hint="eastAsia" w:ascii="宋体" w:hAnsi="宋体" w:eastAsia="宋体" w:cs="仿宋"/>
          <w:color w:val="000000"/>
          <w:szCs w:val="24"/>
          <w:highlight w:val="none"/>
        </w:rPr>
        <w:t xml:space="preserve">.1.1资格性检查。依据法律法规和招标文件的规定，对投标文件中的资格证明、投标保证金等进行审查，</w:t>
      </w:r>
      <w:r>
        <w:rPr>
          <w:rFonts w:hint="eastAsia" w:ascii="宋体" w:hAnsi="宋体" w:eastAsia="宋体" w:cs="宋体"/>
          <w:bCs/>
          <w:color w:val="000000"/>
          <w:sz w:val="24"/>
          <w:szCs w:val="21"/>
          <w:highlight w:val="none"/>
        </w:rPr>
        <w:t xml:space="preserve">同时在“信用中国”网站（www.creditchina.gov.cn）查询投标人的信用记录，以确定投标人是否具备投标资格,查询结果留存并归档。</w:t>
      </w:r>
      <w:r>
        <w:rPr>
          <w:rFonts w:hint="eastAsia" w:ascii="宋体" w:hAnsi="宋体" w:eastAsia="宋体" w:cs="宋体"/>
          <w:bCs/>
          <w:color w:val="000000"/>
          <w:sz w:val="24"/>
          <w:szCs w:val="21"/>
          <w:highlight w:val="none"/>
        </w:rPr>
      </w:r>
      <w:r/>
    </w:p>
    <w:p>
      <w:pPr>
        <w:pStyle w:val="1011"/>
        <w:ind w:firstLine="480"/>
        <w:jc w:val="left"/>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宋体" w:hAnsi="宋体" w:eastAsia="宋体" w:cs="宋体"/>
          <w:bCs/>
          <w:color w:val="000000"/>
          <w:sz w:val="24"/>
          <w:szCs w:val="21"/>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26</w:t>
      </w:r>
      <w:r>
        <w:rPr>
          <w:rFonts w:hint="eastAsia" w:ascii="宋体" w:hAnsi="宋体" w:eastAsia="宋体" w:cs="仿宋"/>
          <w:color w:val="000000"/>
          <w:sz w:val="24"/>
          <w:szCs w:val="24"/>
          <w:highlight w:val="none"/>
        </w:rPr>
        <w:t xml:space="preserve">.1.2符合性检查。依据招标文件的规定，从投标文件的有效性、完整性和对招标文件的响应程度进行审查，以确定是否对招标文件的实质性要求作出响应。</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lang w:val="en-US" w:eastAsia="zh-CN"/>
        </w:rPr>
        <w:t xml:space="preserve">26.1.3</w:t>
      </w:r>
      <w:r>
        <w:rPr>
          <w:rFonts w:hint="eastAsia" w:ascii="宋体" w:hAnsi="宋体" w:eastAsia="宋体" w:cs="宋体"/>
          <w:bCs/>
          <w:color w:val="000000"/>
          <w:sz w:val="24"/>
          <w:szCs w:val="21"/>
          <w:highlight w:val="none"/>
        </w:rPr>
        <w:t xml:space="preserve">未通过资格审查或符合性审查的投标人，采购代理机构将在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1"/>
          <w:highlight w:val="none"/>
        </w:rPr>
        <w:t xml:space="preserve">中告知未通过资格审查或符合性审查的原因，评审结束后，采购人或采购代理机构将不再告知未通过资格审查或符合性审查的原因。</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lang w:val="en-US" w:eastAsia="zh-CN"/>
        </w:rPr>
        <w:t xml:space="preserve">26.2</w:t>
      </w:r>
      <w:r>
        <w:rPr>
          <w:rFonts w:hint="eastAsia" w:ascii="宋体" w:hAnsi="宋体" w:eastAsia="宋体" w:cs="宋体"/>
          <w:color w:val="000000"/>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1"/>
          <w:highlight w:val="none"/>
        </w:rPr>
        <w:t xml:space="preserve">评委决定投标文件的响应性只根据投标文件本身的内容，而不寻求外部的证据。</w:t>
      </w:r>
      <w:r>
        <w:rPr>
          <w:rFonts w:hint="eastAsia" w:ascii="宋体" w:hAnsi="宋体" w:eastAsia="宋体" w:cs="宋体"/>
          <w:bCs/>
          <w:color w:val="000000"/>
          <w:sz w:val="24"/>
          <w:szCs w:val="21"/>
          <w:highlight w:val="none"/>
        </w:rPr>
      </w:r>
      <w:r/>
    </w:p>
    <w:p>
      <w:pPr>
        <w:pStyle w:val="1011"/>
        <w:ind w:firstLine="480"/>
        <w:spacing w:line="36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lang w:val="en-US" w:eastAsia="zh-CN"/>
        </w:rPr>
        <w:t xml:space="preserve">26.3</w:t>
      </w:r>
      <w:r>
        <w:rPr>
          <w:rFonts w:hint="eastAsia" w:ascii="宋体" w:hAnsi="宋体" w:eastAsia="宋体" w:cs="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color w:val="000000"/>
          <w:sz w:val="24"/>
          <w:szCs w:val="21"/>
          <w:highlight w:val="none"/>
        </w:rPr>
      </w:r>
      <w:r/>
    </w:p>
    <w:p>
      <w:pPr>
        <w:pStyle w:val="1011"/>
        <w:ind w:firstLine="480"/>
        <w:spacing w:line="36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lang w:val="en-US" w:eastAsia="zh-CN"/>
        </w:rPr>
        <w:t xml:space="preserve">26.4</w:t>
      </w:r>
      <w:r>
        <w:rPr>
          <w:rFonts w:hint="eastAsia" w:ascii="宋体" w:hAnsi="宋体" w:eastAsia="宋体" w:cs="宋体"/>
          <w:bCs/>
          <w:color w:val="000000"/>
          <w:sz w:val="24"/>
          <w:szCs w:val="21"/>
          <w:highlight w:val="none"/>
        </w:rPr>
        <w:t xml:space="preserve">评委会将对确定为实质性响应的投标进行进一步审核，看其是否有计算上或累加上的算术错误，修正错误的原则如下：</w:t>
      </w:r>
      <w:r>
        <w:rPr>
          <w:rFonts w:hint="eastAsia" w:ascii="宋体" w:hAnsi="宋体" w:eastAsia="宋体" w:cs="宋体"/>
          <w:bCs/>
          <w:color w:val="000000"/>
          <w:sz w:val="24"/>
          <w:szCs w:val="21"/>
          <w:highlight w:val="none"/>
        </w:rPr>
      </w:r>
      <w:r/>
    </w:p>
    <w:p>
      <w:pPr>
        <w:pStyle w:val="1011"/>
        <w:ind w:firstLine="48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（1）投标文件中开标一览表内容与投标文件中相应内容不一致的，以开标一览表为准。</w:t>
      </w:r>
      <w:r>
        <w:rPr>
          <w:rFonts w:hint="eastAsia" w:ascii="宋体" w:hAnsi="宋体" w:eastAsia="宋体" w:cs="宋体"/>
          <w:bCs/>
          <w:color w:val="000000"/>
          <w:sz w:val="24"/>
          <w:szCs w:val="21"/>
          <w:highlight w:val="none"/>
        </w:rPr>
      </w:r>
      <w:r/>
    </w:p>
    <w:p>
      <w:pPr>
        <w:pStyle w:val="1011"/>
        <w:ind w:firstLine="48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（2）大写金额和小写金额不一致的，以大写金额为准。</w:t>
      </w:r>
      <w:r>
        <w:rPr>
          <w:rFonts w:hint="eastAsia" w:ascii="宋体" w:hAnsi="宋体" w:eastAsia="宋体" w:cs="宋体"/>
          <w:bCs/>
          <w:color w:val="000000"/>
          <w:sz w:val="24"/>
          <w:szCs w:val="21"/>
          <w:highlight w:val="none"/>
        </w:rPr>
      </w:r>
      <w:r/>
    </w:p>
    <w:p>
      <w:pPr>
        <w:pStyle w:val="1011"/>
        <w:ind w:firstLine="48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（3）单价金额小数点或者百分比有明显错位的，以开标一览表的总价为准，并修改单价。</w:t>
      </w:r>
      <w:r>
        <w:rPr>
          <w:rFonts w:hint="eastAsia" w:ascii="宋体" w:hAnsi="宋体" w:eastAsia="宋体" w:cs="宋体"/>
          <w:bCs/>
          <w:color w:val="000000"/>
          <w:sz w:val="24"/>
          <w:szCs w:val="21"/>
          <w:highlight w:val="none"/>
        </w:rPr>
      </w:r>
      <w:r/>
    </w:p>
    <w:p>
      <w:pPr>
        <w:pStyle w:val="1011"/>
        <w:ind w:firstLine="48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（4）总价金额与按单价汇总金额不一致的，以单价金额计算结果为准。</w:t>
      </w:r>
      <w:r>
        <w:rPr>
          <w:rFonts w:hint="eastAsia" w:ascii="宋体" w:hAnsi="宋体" w:eastAsia="宋体" w:cs="宋体"/>
          <w:bCs/>
          <w:color w:val="000000"/>
          <w:sz w:val="24"/>
          <w:szCs w:val="21"/>
          <w:highlight w:val="none"/>
        </w:rPr>
      </w:r>
      <w:r/>
    </w:p>
    <w:p>
      <w:pPr>
        <w:pStyle w:val="1011"/>
        <w:ind w:firstLine="48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同时出现两种以上错误的，按照前款规定的顺序修正。</w:t>
      </w:r>
      <w:r>
        <w:rPr>
          <w:rFonts w:hint="eastAsia" w:ascii="宋体" w:hAnsi="宋体" w:eastAsia="宋体" w:cs="宋体"/>
          <w:bCs/>
          <w:color w:val="000000"/>
          <w:sz w:val="24"/>
          <w:szCs w:val="21"/>
          <w:highlight w:val="none"/>
        </w:rPr>
      </w:r>
      <w:r/>
    </w:p>
    <w:p>
      <w:pPr>
        <w:pStyle w:val="1011"/>
        <w:ind w:firstLine="480"/>
        <w:spacing w:line="36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26.5</w:t>
      </w:r>
      <w:r>
        <w:rPr>
          <w:rFonts w:hint="eastAsia" w:ascii="宋体" w:hAnsi="宋体" w:eastAsia="宋体" w:cs="宋体"/>
          <w:bCs/>
          <w:color w:val="000000"/>
          <w:sz w:val="24"/>
          <w:szCs w:val="21"/>
          <w:highlight w:val="none"/>
        </w:rPr>
        <w:t xml:space="preserve">评委会将按上述修正错误的方法调整投标文件中的投标报价，并通过</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1"/>
          <w:highlight w:val="none"/>
        </w:rPr>
        <w:t xml:space="preserve">告知投标人，调整后的价格应对投标人具有约束力。如果投标人不接受修正后的价格，则其投标将被拒绝。</w:t>
      </w:r>
      <w:r>
        <w:rPr>
          <w:rFonts w:hint="eastAsia" w:ascii="宋体" w:hAnsi="宋体" w:eastAsia="宋体" w:cs="宋体"/>
          <w:bCs/>
          <w:color w:val="000000"/>
          <w:sz w:val="24"/>
          <w:szCs w:val="21"/>
          <w:highlight w:val="none"/>
        </w:rPr>
      </w:r>
      <w:r/>
    </w:p>
    <w:p>
      <w:pPr>
        <w:pStyle w:val="1011"/>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26.6</w:t>
      </w:r>
      <w:r>
        <w:rPr>
          <w:rFonts w:hint="eastAsia" w:ascii="宋体" w:hAnsi="宋体" w:eastAsia="宋体" w:cs="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000000"/>
          <w:sz w:val="24"/>
          <w:szCs w:val="21"/>
          <w:highlight w:val="none"/>
        </w:rPr>
      </w:r>
      <w:r/>
    </w:p>
    <w:p>
      <w:pPr>
        <w:pStyle w:val="1011"/>
        <w:ind w:firstLine="42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4"/>
          <w:szCs w:val="21"/>
          <w:highlight w:val="none"/>
        </w:rPr>
      </w:r>
      <w:r/>
    </w:p>
    <w:p>
      <w:pPr>
        <w:pStyle w:val="1011"/>
        <w:ind w:firstLine="42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eastAsia="zh-CN"/>
        </w:rPr>
        <w:t xml:space="preserve">26</w:t>
      </w:r>
      <w:r>
        <w:rPr>
          <w:rFonts w:hint="eastAsia" w:ascii="宋体" w:hAnsi="宋体" w:eastAsia="宋体" w:cs="宋体"/>
          <w:color w:val="000000"/>
          <w:sz w:val="24"/>
          <w:szCs w:val="21"/>
          <w:highlight w:val="none"/>
        </w:rPr>
        <w:t xml:space="preserve">.7投标人在开、评标全过程中应保持通讯畅通，及时登录</w:t>
      </w:r>
      <w:r>
        <w:rPr>
          <w:rFonts w:hint="eastAsia" w:ascii="宋体" w:hAnsi="宋体" w:eastAsia="宋体" w:cs="宋体"/>
          <w:color w:val="000000"/>
          <w:sz w:val="24"/>
          <w:szCs w:val="24"/>
          <w:highlight w:val="none"/>
        </w:rPr>
        <w:t xml:space="preserve">苏采云系统</w:t>
      </w:r>
      <w:r>
        <w:rPr>
          <w:rFonts w:hint="eastAsia" w:ascii="宋体" w:hAnsi="宋体" w:eastAsia="宋体" w:cs="宋体"/>
          <w:color w:val="000000"/>
          <w:sz w:val="24"/>
          <w:szCs w:val="21"/>
          <w:highlight w:val="none"/>
        </w:rPr>
        <w:t xml:space="preserve">查阅、答复相关信息，并安排专人与采购人、采购代理机构及评标委员会联系。</w:t>
      </w:r>
      <w:r>
        <w:rPr>
          <w:rFonts w:hint="eastAsia" w:ascii="宋体" w:hAnsi="宋体" w:eastAsia="宋体" w:cs="宋体"/>
          <w:color w:val="000000"/>
          <w:sz w:val="24"/>
          <w:szCs w:val="21"/>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26</w:t>
      </w:r>
      <w:r>
        <w:rPr>
          <w:rFonts w:hint="eastAsia" w:ascii="宋体" w:hAnsi="宋体" w:eastAsia="宋体" w:cs="仿宋"/>
          <w:color w:val="000000"/>
          <w:sz w:val="24"/>
          <w:szCs w:val="24"/>
          <w:highlight w:val="none"/>
        </w:rPr>
        <w:t xml:space="preserve">.</w:t>
      </w:r>
      <w:r>
        <w:rPr>
          <w:rFonts w:hint="eastAsia" w:ascii="宋体" w:hAnsi="宋体" w:eastAsia="宋体" w:cs="仿宋"/>
          <w:color w:val="000000"/>
          <w:sz w:val="24"/>
          <w:szCs w:val="24"/>
          <w:highlight w:val="none"/>
          <w:lang w:val="en-US" w:eastAsia="zh-CN"/>
        </w:rPr>
        <w:t xml:space="preserve">8</w:t>
      </w:r>
      <w:r>
        <w:rPr>
          <w:rFonts w:hint="eastAsia" w:ascii="宋体" w:hAnsi="宋体" w:eastAsia="宋体" w:cs="仿宋"/>
          <w:color w:val="000000"/>
          <w:sz w:val="24"/>
          <w:szCs w:val="24"/>
          <w:highlight w:val="none"/>
        </w:rPr>
        <w:t xml:space="preserve">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投标人有下列情况之一者，投标文件无效：</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1）投标人未在规定时间内成功解密电子投标文件的；</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2）投标人未按照招标文件要求上传电子投标文件的；</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3）投标文件未按照招标文件要求加盖电子签章；</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4）招标人的法定代表人授权代表，无法定代表人授权委托书的；</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5）不具备招标文件中规定的资格要求或未按招标文件规定的要求提供资格、资信证明文件的；</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6）被“信用中国”网站（www.creditchina.gov.cn）列入失信执行人、重大税收违法案件当事人名单、中国政府采购网(www.ccgp.gov.cn)政府采购严重违法失信行为记录名单的；</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7）投标文件未按招标文件规定的内容和要求填写的；</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8）投标文件中有招标文件未允许提供的选择性内容；</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9）不同投标人的投标文件由同一单位或者个人编制的；</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10）不同投标人委托同一单位或者个人办理投标事宜的；</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11）不同投标人的投标文件载明的项目管理成员为同一人的；</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12）不同投标人的投标文件异常一致或者投标报价呈规律性差异的；</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13）不同投标人的单位负责人为同一人或者存在直接控股、管理关系的；</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14）项目（标段）投标总价或单价超过本项目（标段）预算或最高限价的；</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15）提供虚假材料的（包括工商营业执照、财务报表、资格证明文件等）；</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16）投标文件含有采购人不能接受的附加条件的；</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18）除单一来源采购项目外，为采购项目提供整体设计、规范编制或者项目管理、监理、检测等服务的；</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19）投标文件内容不全或不符合招标文件中规定的其它实质性要求的；</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20）法律法规和招标文件规定的其它无效情形；</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rPr>
        <w:t xml:space="preserve">21）改变招标文件清单给出的名称、实施范围、工作内容、计量单位、工程量、养护标准等</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eastAsia="zh-CN"/>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2</w:t>
      </w:r>
      <w:r>
        <w:rPr>
          <w:rFonts w:hint="eastAsia" w:ascii="宋体" w:hAnsi="宋体" w:eastAsia="宋体" w:cs="仿宋"/>
          <w:color w:val="000000"/>
          <w:sz w:val="24"/>
          <w:szCs w:val="24"/>
          <w:highlight w:val="none"/>
        </w:rPr>
        <w:t xml:space="preserve">）如本项目采购产品被财政部、国家发改委列入“节能产品品目清单”强制采购范围，而投标人所投标产品不在强制采购范围内的</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rPr>
        <w:t xml:space="preserve">（投标产品如属于政府强制采购节能产品品目清单范围内，投标文件中必须提供国家确定的认证机构出具的、处于有效期之内的该节能产品认证证书图片）</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3</w:t>
      </w:r>
      <w:r>
        <w:rPr>
          <w:rFonts w:hint="eastAsia" w:ascii="宋体" w:hAnsi="宋体" w:eastAsia="宋体" w:cs="仿宋"/>
          <w:color w:val="000000"/>
          <w:sz w:val="24"/>
          <w:szCs w:val="24"/>
          <w:highlight w:val="none"/>
        </w:rPr>
        <w:t xml:space="preserve">）投标人所投标产品不符合招标文件中所列国家强制性标准的。</w:t>
      </w:r>
      <w:r>
        <w:rPr>
          <w:rFonts w:hint="eastAsia" w:ascii="宋体" w:hAnsi="宋体" w:eastAsia="宋体" w:cs="仿宋"/>
          <w:color w:val="000000"/>
          <w:sz w:val="24"/>
          <w:szCs w:val="24"/>
          <w:highlight w:val="none"/>
          <w:lang w:eastAsia="zh-CN"/>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val="en-US" w:eastAsia="zh-CN"/>
        </w:rPr>
        <w:t xml:space="preserve">24</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rPr>
        <w:t xml:space="preserve">组成联合体参与本次</w:t>
      </w:r>
      <w:r>
        <w:rPr>
          <w:rFonts w:hint="eastAsia" w:ascii="宋体" w:hAnsi="宋体" w:eastAsia="宋体" w:cs="仿宋"/>
          <w:color w:val="000000"/>
          <w:sz w:val="24"/>
          <w:szCs w:val="24"/>
          <w:highlight w:val="none"/>
          <w:lang w:val="en-US" w:eastAsia="zh-CN"/>
        </w:rPr>
        <w:t xml:space="preserve">投标</w:t>
      </w:r>
      <w:r>
        <w:rPr>
          <w:rFonts w:hint="eastAsia" w:ascii="宋体" w:hAnsi="宋体" w:eastAsia="宋体" w:cs="仿宋"/>
          <w:color w:val="000000"/>
          <w:sz w:val="24"/>
          <w:szCs w:val="24"/>
          <w:highlight w:val="none"/>
        </w:rPr>
        <w:t xml:space="preserve">未提供联合体协议的。</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26</w:t>
      </w:r>
      <w:r>
        <w:rPr>
          <w:rFonts w:hint="eastAsia" w:ascii="宋体" w:hAnsi="宋体" w:eastAsia="宋体" w:cs="仿宋"/>
          <w:color w:val="000000"/>
          <w:sz w:val="24"/>
          <w:szCs w:val="24"/>
          <w:highlight w:val="none"/>
        </w:rPr>
        <w:t xml:space="preserve">.</w:t>
      </w:r>
      <w:r>
        <w:rPr>
          <w:rFonts w:hint="eastAsia" w:ascii="宋体" w:hAnsi="宋体" w:eastAsia="宋体" w:cs="仿宋"/>
          <w:color w:val="000000"/>
          <w:sz w:val="24"/>
          <w:szCs w:val="24"/>
          <w:highlight w:val="none"/>
          <w:lang w:val="en-US" w:eastAsia="zh-CN"/>
        </w:rPr>
        <w:t xml:space="preserve">9</w:t>
      </w:r>
      <w:r>
        <w:rPr>
          <w:rFonts w:hint="eastAsia" w:ascii="宋体" w:hAnsi="宋体" w:eastAsia="宋体" w:cs="仿宋"/>
          <w:color w:val="000000"/>
          <w:sz w:val="24"/>
          <w:szCs w:val="24"/>
          <w:highlight w:val="none"/>
        </w:rPr>
        <w:t xml:space="preserve">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rPr>
          <w:rFonts w:hint="eastAsia" w:ascii="宋体" w:hAnsi="宋体" w:eastAsia="宋体" w:cs="仿宋"/>
          <w:color w:val="000000"/>
          <w:sz w:val="24"/>
          <w:szCs w:val="24"/>
          <w:highlight w:val="none"/>
        </w:rPr>
      </w:r>
      <w:r/>
    </w:p>
    <w:p>
      <w:pPr>
        <w:pStyle w:val="1011"/>
        <w:ind w:firstLine="488"/>
        <w:spacing w:line="360" w:lineRule="auto"/>
        <w:tabs>
          <w:tab w:val="left" w:pos="0"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26</w:t>
      </w:r>
      <w:r>
        <w:rPr>
          <w:rFonts w:hint="eastAsia" w:ascii="宋体" w:hAnsi="宋体" w:eastAsia="宋体" w:cs="仿宋"/>
          <w:color w:val="000000"/>
          <w:sz w:val="24"/>
          <w:szCs w:val="24"/>
          <w:highlight w:val="none"/>
        </w:rPr>
        <w:t xml:space="preserve">.</w:t>
      </w:r>
      <w:r>
        <w:rPr>
          <w:rFonts w:hint="eastAsia" w:ascii="宋体" w:hAnsi="宋体" w:eastAsia="宋体" w:cs="仿宋"/>
          <w:color w:val="000000"/>
          <w:sz w:val="24"/>
          <w:szCs w:val="24"/>
          <w:highlight w:val="none"/>
          <w:lang w:val="en-US" w:eastAsia="zh-CN"/>
        </w:rPr>
        <w:t xml:space="preserve">10</w:t>
      </w:r>
      <w:r>
        <w:rPr>
          <w:rFonts w:hint="eastAsia" w:ascii="宋体" w:hAnsi="宋体" w:eastAsia="宋体" w:cs="仿宋"/>
          <w:color w:val="000000"/>
          <w:sz w:val="24"/>
          <w:szCs w:val="24"/>
          <w:highlight w:val="none"/>
        </w:rPr>
        <w:t xml:space="preserve">招标采购单位对投标文件的判定，只依据投标内容本身，不依靠开标后的任何外来证明。</w:t>
      </w:r>
      <w:r>
        <w:rPr>
          <w:rFonts w:hint="eastAsia" w:ascii="宋体" w:hAnsi="宋体" w:eastAsia="宋体" w:cs="仿宋"/>
          <w:color w:val="000000"/>
          <w:sz w:val="24"/>
          <w:szCs w:val="24"/>
          <w:highlight w:val="none"/>
        </w:rPr>
      </w:r>
      <w:r/>
    </w:p>
    <w:p>
      <w:pPr>
        <w:pStyle w:val="1011"/>
        <w:ind w:firstLine="488"/>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26</w:t>
      </w:r>
      <w:r>
        <w:rPr>
          <w:rFonts w:hint="eastAsia" w:ascii="宋体" w:hAnsi="宋体" w:eastAsia="宋体" w:cs="仿宋"/>
          <w:color w:val="000000"/>
          <w:sz w:val="24"/>
          <w:szCs w:val="24"/>
          <w:highlight w:val="none"/>
        </w:rPr>
        <w:t xml:space="preserve">.</w:t>
      </w:r>
      <w:r>
        <w:rPr>
          <w:rFonts w:hint="eastAsia" w:ascii="宋体" w:hAnsi="宋体" w:eastAsia="宋体" w:cs="仿宋"/>
          <w:color w:val="000000"/>
          <w:sz w:val="24"/>
          <w:szCs w:val="24"/>
          <w:highlight w:val="none"/>
          <w:lang w:val="en-US" w:eastAsia="zh-CN"/>
        </w:rPr>
        <w:t xml:space="preserve">11</w:t>
      </w:r>
      <w:r>
        <w:rPr>
          <w:rFonts w:hint="eastAsia" w:ascii="宋体" w:hAnsi="宋体" w:eastAsia="宋体" w:cs="仿宋"/>
          <w:color w:val="000000"/>
          <w:sz w:val="24"/>
          <w:szCs w:val="24"/>
          <w:highlight w:val="none"/>
        </w:rPr>
        <w:t xml:space="preserve">招标采购单位将拒绝被确定为非实质性响应的投标，投标人不能通过修正或撤销不符之处而使其投标成为实质性响应的投标。</w:t>
      </w:r>
      <w:r>
        <w:rPr>
          <w:rFonts w:hint="eastAsia" w:ascii="宋体" w:hAnsi="宋体" w:eastAsia="宋体" w:cs="仿宋"/>
          <w:color w:val="000000"/>
          <w:sz w:val="24"/>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2</w:t>
      </w:r>
      <w:r>
        <w:rPr>
          <w:rFonts w:hint="eastAsia" w:ascii="宋体" w:hAnsi="宋体" w:eastAsia="宋体" w:cs="仿宋"/>
          <w:b/>
          <w:color w:val="000000"/>
          <w:sz w:val="24"/>
          <w:szCs w:val="24"/>
          <w:highlight w:val="none"/>
          <w:lang w:val="en-US" w:eastAsia="zh-CN"/>
        </w:rPr>
        <w:t xml:space="preserve">7</w:t>
      </w:r>
      <w:r>
        <w:rPr>
          <w:rFonts w:hint="eastAsia" w:ascii="宋体" w:hAnsi="宋体" w:eastAsia="宋体" w:cs="仿宋"/>
          <w:b/>
          <w:color w:val="000000"/>
          <w:sz w:val="24"/>
          <w:szCs w:val="24"/>
          <w:highlight w:val="none"/>
        </w:rPr>
        <w:t xml:space="preserve">.投标的澄清</w:t>
      </w:r>
      <w:r>
        <w:rPr>
          <w:rFonts w:hint="eastAsia" w:ascii="宋体" w:hAnsi="宋体" w:eastAsia="宋体" w:cs="仿宋"/>
          <w:b/>
          <w:color w:val="000000"/>
          <w:sz w:val="24"/>
          <w:szCs w:val="24"/>
          <w:highlight w:val="none"/>
        </w:rPr>
      </w:r>
      <w:r/>
    </w:p>
    <w:p>
      <w:pPr>
        <w:pStyle w:val="1282"/>
        <w:ind w:firstLine="502"/>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2</w:t>
      </w:r>
      <w:r>
        <w:rPr>
          <w:rFonts w:hint="eastAsia" w:ascii="宋体" w:hAnsi="宋体" w:eastAsia="宋体" w:cs="仿宋"/>
          <w:color w:val="000000"/>
          <w:szCs w:val="24"/>
          <w:highlight w:val="none"/>
          <w:lang w:val="en-US" w:eastAsia="zh-CN"/>
        </w:rPr>
        <w:t xml:space="preserve">7</w:t>
      </w:r>
      <w:r>
        <w:rPr>
          <w:rFonts w:hint="eastAsia" w:ascii="宋体" w:hAnsi="宋体" w:eastAsia="宋体" w:cs="仿宋"/>
          <w:color w:val="000000"/>
          <w:szCs w:val="24"/>
          <w:highlight w:val="none"/>
        </w:rPr>
        <w:t xml:space="preserve">.1对投标文件中含义不明确</w:t>
      </w:r>
      <w:r>
        <w:rPr>
          <w:rFonts w:hint="eastAsia" w:ascii="宋体" w:hAnsi="宋体" w:eastAsia="宋体" w:cs="仿宋"/>
          <w:color w:val="000000"/>
          <w:szCs w:val="24"/>
          <w:highlight w:val="none"/>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rPr>
          <w:rFonts w:hint="eastAsia" w:ascii="宋体" w:hAnsi="宋体" w:eastAsia="宋体" w:cs="仿宋"/>
          <w:color w:val="000000"/>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2</w:t>
      </w:r>
      <w:r>
        <w:rPr>
          <w:rFonts w:hint="eastAsia" w:ascii="宋体" w:hAnsi="宋体" w:eastAsia="宋体" w:cs="仿宋"/>
          <w:b/>
          <w:color w:val="000000"/>
          <w:sz w:val="24"/>
          <w:szCs w:val="24"/>
          <w:highlight w:val="none"/>
          <w:lang w:val="en-US" w:eastAsia="zh-CN"/>
        </w:rPr>
        <w:t xml:space="preserve">8</w:t>
      </w:r>
      <w:r>
        <w:rPr>
          <w:rFonts w:hint="eastAsia" w:ascii="宋体" w:hAnsi="宋体" w:eastAsia="宋体" w:cs="仿宋"/>
          <w:b/>
          <w:color w:val="000000"/>
          <w:sz w:val="24"/>
          <w:szCs w:val="24"/>
          <w:highlight w:val="none"/>
        </w:rPr>
        <w:t xml:space="preserve">.废标</w:t>
      </w:r>
      <w:r>
        <w:rPr>
          <w:rFonts w:hint="eastAsia" w:ascii="宋体" w:hAnsi="宋体" w:eastAsia="宋体" w:cs="仿宋"/>
          <w:b/>
          <w:color w:val="000000"/>
          <w:sz w:val="24"/>
          <w:szCs w:val="24"/>
          <w:highlight w:val="none"/>
        </w:rPr>
      </w:r>
      <w:r/>
    </w:p>
    <w:p>
      <w:pPr>
        <w:pStyle w:val="1011"/>
        <w:ind w:firstLine="575"/>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8</w:t>
      </w:r>
      <w:r>
        <w:rPr>
          <w:rFonts w:hint="eastAsia" w:ascii="宋体" w:hAnsi="宋体" w:eastAsia="宋体" w:cs="仿宋"/>
          <w:color w:val="000000"/>
          <w:sz w:val="24"/>
          <w:szCs w:val="24"/>
          <w:highlight w:val="none"/>
        </w:rPr>
        <w:t xml:space="preserve">.1 在招标采购中，出现下列情形之一的，应予废标：</w:t>
      </w:r>
      <w:r>
        <w:rPr>
          <w:rFonts w:hint="eastAsia" w:ascii="宋体" w:hAnsi="宋体" w:eastAsia="宋体" w:cs="仿宋"/>
          <w:color w:val="000000"/>
          <w:sz w:val="24"/>
          <w:szCs w:val="24"/>
          <w:highlight w:val="none"/>
        </w:rPr>
      </w:r>
      <w:r/>
    </w:p>
    <w:p>
      <w:pPr>
        <w:pStyle w:val="1011"/>
        <w:ind w:firstLine="575"/>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1．符合专业条件的投标人或者对招标文件作出实质性响应的投标人不足三家；</w:t>
      </w:r>
      <w:r>
        <w:rPr>
          <w:rFonts w:hint="eastAsia" w:ascii="宋体" w:hAnsi="宋体" w:eastAsia="宋体" w:cs="仿宋"/>
          <w:color w:val="000000"/>
          <w:sz w:val="24"/>
          <w:szCs w:val="24"/>
          <w:highlight w:val="none"/>
        </w:rPr>
      </w:r>
      <w:r/>
    </w:p>
    <w:p>
      <w:pPr>
        <w:pStyle w:val="1011"/>
        <w:ind w:firstLine="575"/>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2．出现影响采购公正的违法、违规行为；</w:t>
      </w:r>
      <w:r>
        <w:rPr>
          <w:rFonts w:hint="eastAsia" w:ascii="宋体" w:hAnsi="宋体" w:eastAsia="宋体" w:cs="仿宋"/>
          <w:color w:val="000000"/>
          <w:sz w:val="24"/>
          <w:szCs w:val="24"/>
          <w:highlight w:val="none"/>
        </w:rPr>
      </w:r>
      <w:r/>
    </w:p>
    <w:p>
      <w:pPr>
        <w:pStyle w:val="1011"/>
        <w:ind w:firstLine="575"/>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3．投标人的报价均超过采购预算，采购人不能支付的；</w:t>
      </w:r>
      <w:r>
        <w:rPr>
          <w:rFonts w:hint="eastAsia" w:ascii="宋体" w:hAnsi="宋体" w:eastAsia="宋体" w:cs="仿宋"/>
          <w:color w:val="000000"/>
          <w:sz w:val="24"/>
          <w:szCs w:val="24"/>
          <w:highlight w:val="none"/>
        </w:rPr>
      </w:r>
      <w:r/>
    </w:p>
    <w:p>
      <w:pPr>
        <w:pStyle w:val="1011"/>
        <w:ind w:firstLine="575"/>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4．因重大变故，采购任务取消。</w:t>
      </w:r>
      <w:r>
        <w:rPr>
          <w:rFonts w:hint="eastAsia" w:ascii="宋体" w:hAnsi="宋体" w:eastAsia="宋体" w:cs="仿宋"/>
          <w:color w:val="000000"/>
          <w:sz w:val="24"/>
          <w:szCs w:val="24"/>
          <w:highlight w:val="none"/>
        </w:rPr>
      </w:r>
      <w:r/>
    </w:p>
    <w:p>
      <w:pPr>
        <w:pStyle w:val="1011"/>
        <w:ind w:left="485" w:firstLine="85"/>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5．因“江苏政府采购“苏采云”系统”系统重大故障原因无法继续开评标的。</w:t>
      </w:r>
      <w:r>
        <w:rPr>
          <w:rFonts w:hint="eastAsia" w:ascii="宋体" w:hAnsi="宋体" w:eastAsia="宋体" w:cs="仿宋"/>
          <w:color w:val="000000"/>
          <w:sz w:val="24"/>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2</w:t>
      </w:r>
      <w:r>
        <w:rPr>
          <w:rFonts w:hint="eastAsia" w:ascii="宋体" w:hAnsi="宋体" w:eastAsia="宋体" w:cs="仿宋"/>
          <w:b/>
          <w:color w:val="000000"/>
          <w:sz w:val="24"/>
          <w:szCs w:val="24"/>
          <w:highlight w:val="none"/>
          <w:lang w:val="en-US" w:eastAsia="zh-CN"/>
        </w:rPr>
        <w:t xml:space="preserve">9</w:t>
      </w:r>
      <w:r>
        <w:rPr>
          <w:rFonts w:hint="eastAsia" w:ascii="宋体" w:hAnsi="宋体" w:eastAsia="宋体" w:cs="仿宋"/>
          <w:b/>
          <w:color w:val="000000"/>
          <w:sz w:val="24"/>
          <w:szCs w:val="24"/>
          <w:highlight w:val="none"/>
        </w:rPr>
        <w:t xml:space="preserve">.投标文件的评价和比较</w:t>
      </w:r>
      <w:r>
        <w:rPr>
          <w:rFonts w:hint="eastAsia" w:ascii="宋体" w:hAnsi="宋体" w:eastAsia="宋体" w:cs="仿宋"/>
          <w:b/>
          <w:color w:val="000000"/>
          <w:sz w:val="24"/>
          <w:szCs w:val="24"/>
          <w:highlight w:val="none"/>
        </w:rPr>
      </w:r>
      <w:r/>
    </w:p>
    <w:p>
      <w:pPr>
        <w:pStyle w:val="1282"/>
        <w:ind w:firstLine="609"/>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2</w:t>
      </w:r>
      <w:r>
        <w:rPr>
          <w:rFonts w:hint="eastAsia" w:ascii="宋体" w:hAnsi="宋体" w:eastAsia="宋体" w:cs="仿宋"/>
          <w:color w:val="000000"/>
          <w:szCs w:val="24"/>
          <w:highlight w:val="none"/>
          <w:lang w:val="en-US" w:eastAsia="zh-CN"/>
        </w:rPr>
        <w:t xml:space="preserve">9</w:t>
      </w:r>
      <w:r>
        <w:rPr>
          <w:rFonts w:hint="eastAsia" w:ascii="宋体" w:hAnsi="宋体" w:eastAsia="宋体" w:cs="仿宋"/>
          <w:color w:val="000000"/>
          <w:szCs w:val="24"/>
          <w:highlight w:val="none"/>
        </w:rPr>
        <w:t xml:space="preserve">.1评标委员会按招标文件规定的评标方法和标准，对符合性检查合格的投标文件进行商务和技术评估，综合比较与评价。</w:t>
      </w:r>
      <w:r>
        <w:rPr>
          <w:rFonts w:hint="eastAsia" w:ascii="宋体" w:hAnsi="宋体" w:eastAsia="宋体" w:cs="仿宋"/>
          <w:color w:val="000000"/>
          <w:szCs w:val="24"/>
          <w:highlight w:val="none"/>
        </w:rPr>
      </w:r>
      <w:r/>
    </w:p>
    <w:p>
      <w:pPr>
        <w:pStyle w:val="1282"/>
        <w:ind w:firstLine="609"/>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2</w:t>
      </w:r>
      <w:r>
        <w:rPr>
          <w:rFonts w:hint="eastAsia" w:ascii="宋体" w:hAnsi="宋体" w:eastAsia="宋体" w:cs="仿宋"/>
          <w:color w:val="000000"/>
          <w:szCs w:val="24"/>
          <w:highlight w:val="none"/>
          <w:lang w:val="en-US" w:eastAsia="zh-CN"/>
        </w:rPr>
        <w:t xml:space="preserve">9</w:t>
      </w:r>
      <w:r>
        <w:rPr>
          <w:rFonts w:hint="eastAsia" w:ascii="宋体" w:hAnsi="宋体" w:eastAsia="宋体" w:cs="仿宋"/>
          <w:color w:val="000000"/>
          <w:szCs w:val="24"/>
          <w:highlight w:val="none"/>
        </w:rPr>
        <w:t xml:space="preserve">.2最低的投标报价或最高的折扣比例是中标的重要条件，但不是唯一条件。</w:t>
      </w:r>
      <w:r>
        <w:rPr>
          <w:rFonts w:hint="eastAsia" w:ascii="宋体" w:hAnsi="宋体" w:eastAsia="宋体" w:cs="仿宋"/>
          <w:color w:val="000000"/>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七、授予合同</w:t>
      </w:r>
      <w:r>
        <w:rPr>
          <w:rFonts w:hint="eastAsia" w:ascii="宋体" w:hAnsi="宋体" w:eastAsia="宋体" w:cs="仿宋"/>
          <w:b/>
          <w:color w:val="000000"/>
          <w:sz w:val="24"/>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lang w:eastAsia="zh-CN"/>
        </w:rPr>
        <w:t xml:space="preserve">30</w:t>
      </w:r>
      <w:r>
        <w:rPr>
          <w:rFonts w:hint="eastAsia" w:ascii="宋体" w:hAnsi="宋体" w:eastAsia="宋体" w:cs="仿宋"/>
          <w:b/>
          <w:color w:val="000000"/>
          <w:sz w:val="24"/>
          <w:szCs w:val="24"/>
          <w:highlight w:val="none"/>
        </w:rPr>
        <w:t xml:space="preserve">.中标人的确认</w:t>
      </w:r>
      <w:r>
        <w:rPr>
          <w:rFonts w:hint="eastAsia" w:ascii="宋体" w:hAnsi="宋体" w:eastAsia="宋体" w:cs="仿宋"/>
          <w:b/>
          <w:color w:val="000000"/>
          <w:sz w:val="24"/>
          <w:szCs w:val="24"/>
          <w:highlight w:val="none"/>
        </w:rPr>
      </w:r>
      <w:r/>
    </w:p>
    <w:p>
      <w:pPr>
        <w:pStyle w:val="1282"/>
        <w:ind w:firstLine="502"/>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30</w:t>
      </w:r>
      <w:r>
        <w:rPr>
          <w:rFonts w:hint="eastAsia" w:ascii="宋体" w:hAnsi="宋体" w:eastAsia="宋体" w:cs="仿宋"/>
          <w:color w:val="000000"/>
          <w:szCs w:val="24"/>
          <w:highlight w:val="none"/>
        </w:rPr>
        <w:t xml:space="preserve">.1评标委员会按招标文件规定的评标方法和标准进行详细评审后，按</w:t>
      </w:r>
      <w:r>
        <w:rPr>
          <w:rFonts w:hint="eastAsia" w:ascii="宋体" w:hAnsi="宋体" w:eastAsia="宋体" w:cs="仿宋"/>
          <w:color w:val="000000"/>
          <w:szCs w:val="24"/>
          <w:highlight w:val="none"/>
          <w:lang w:val="en-US" w:eastAsia="zh-CN"/>
        </w:rPr>
        <w:t xml:space="preserve">采购人</w:t>
      </w:r>
      <w:r>
        <w:rPr>
          <w:rFonts w:hint="eastAsia" w:ascii="宋体" w:hAnsi="宋体" w:eastAsia="宋体" w:cs="仿宋"/>
          <w:color w:val="000000"/>
          <w:szCs w:val="24"/>
          <w:highlight w:val="none"/>
        </w:rPr>
        <w:t xml:space="preserve">的委托向</w:t>
      </w:r>
      <w:r>
        <w:rPr>
          <w:rFonts w:hint="eastAsia" w:ascii="宋体" w:hAnsi="宋体" w:eastAsia="宋体" w:cs="仿宋"/>
          <w:color w:val="000000"/>
          <w:szCs w:val="24"/>
          <w:highlight w:val="none"/>
          <w:lang w:val="en-US" w:eastAsia="zh-CN"/>
        </w:rPr>
        <w:t xml:space="preserve">采购人</w:t>
      </w:r>
      <w:r>
        <w:rPr>
          <w:rFonts w:hint="eastAsia" w:ascii="宋体" w:hAnsi="宋体" w:eastAsia="宋体" w:cs="仿宋"/>
          <w:color w:val="000000"/>
          <w:szCs w:val="24"/>
          <w:highlight w:val="none"/>
        </w:rPr>
        <w:t xml:space="preserve">推荐中标候选单位或根据采购人授权直接确定中标供应商。</w:t>
      </w:r>
      <w:r>
        <w:rPr>
          <w:rFonts w:hint="eastAsia" w:ascii="宋体" w:hAnsi="宋体" w:eastAsia="宋体" w:cs="仿宋"/>
          <w:color w:val="000000"/>
          <w:szCs w:val="24"/>
          <w:highlight w:val="none"/>
        </w:rPr>
      </w:r>
      <w:r/>
    </w:p>
    <w:p>
      <w:pPr>
        <w:pStyle w:val="1282"/>
        <w:ind w:firstLine="502"/>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30</w:t>
      </w:r>
      <w:r>
        <w:rPr>
          <w:rFonts w:hint="eastAsia" w:ascii="宋体" w:hAnsi="宋体" w:eastAsia="宋体" w:cs="仿宋"/>
          <w:color w:val="000000"/>
          <w:szCs w:val="24"/>
          <w:highlight w:val="none"/>
        </w:rPr>
        <w:t xml:space="preserve">.2中标无效的确认：</w:t>
      </w:r>
      <w:r>
        <w:rPr>
          <w:rFonts w:hint="eastAsia" w:ascii="宋体" w:hAnsi="宋体" w:eastAsia="宋体" w:cs="仿宋"/>
          <w:color w:val="000000"/>
          <w:szCs w:val="24"/>
          <w:highlight w:val="none"/>
        </w:rPr>
      </w:r>
      <w:r/>
    </w:p>
    <w:p>
      <w:pPr>
        <w:pStyle w:val="1282"/>
        <w:ind w:firstLine="502"/>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（1）提供虚假材料谋取中标的；</w:t>
      </w:r>
      <w:r>
        <w:rPr>
          <w:rFonts w:hint="eastAsia" w:ascii="宋体" w:hAnsi="宋体" w:eastAsia="宋体" w:cs="仿宋"/>
          <w:color w:val="000000"/>
          <w:szCs w:val="24"/>
          <w:highlight w:val="none"/>
        </w:rPr>
      </w:r>
      <w:r/>
    </w:p>
    <w:p>
      <w:pPr>
        <w:pStyle w:val="1282"/>
        <w:ind w:firstLine="502"/>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（2）采取不正当手段诋毁、排挤其他投标人的；</w:t>
      </w:r>
      <w:r>
        <w:rPr>
          <w:rFonts w:hint="eastAsia" w:ascii="宋体" w:hAnsi="宋体" w:eastAsia="宋体" w:cs="仿宋"/>
          <w:color w:val="000000"/>
          <w:szCs w:val="24"/>
          <w:highlight w:val="none"/>
        </w:rPr>
      </w:r>
      <w:r/>
    </w:p>
    <w:p>
      <w:pPr>
        <w:pStyle w:val="1282"/>
        <w:ind w:firstLine="502"/>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（3）与招标采购单位、其他投标人恶意串通的；</w:t>
      </w:r>
      <w:r>
        <w:rPr>
          <w:rFonts w:hint="eastAsia" w:ascii="宋体" w:hAnsi="宋体" w:eastAsia="宋体" w:cs="仿宋"/>
          <w:color w:val="000000"/>
          <w:szCs w:val="24"/>
          <w:highlight w:val="none"/>
        </w:rPr>
      </w:r>
      <w:r/>
    </w:p>
    <w:p>
      <w:pPr>
        <w:pStyle w:val="1282"/>
        <w:ind w:firstLine="502"/>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（4）向招标采购单位行贿或者提供其他不正当利益的；</w:t>
      </w:r>
      <w:r>
        <w:rPr>
          <w:rFonts w:hint="eastAsia" w:ascii="宋体" w:hAnsi="宋体" w:eastAsia="宋体" w:cs="仿宋"/>
          <w:color w:val="000000"/>
          <w:szCs w:val="24"/>
          <w:highlight w:val="none"/>
        </w:rPr>
      </w:r>
      <w:r/>
    </w:p>
    <w:p>
      <w:pPr>
        <w:pStyle w:val="1282"/>
        <w:ind w:firstLine="502"/>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（5）在招标过程中与招标采购单位进行协商谈判、不按照招标文件和中标供应商的投标文件订立合同，或者与采购人另行订立背离合同实质性内容的协议的；</w:t>
      </w:r>
      <w:r>
        <w:rPr>
          <w:rFonts w:hint="eastAsia" w:ascii="宋体" w:hAnsi="宋体" w:eastAsia="宋体" w:cs="仿宋"/>
          <w:color w:val="000000"/>
          <w:szCs w:val="24"/>
          <w:highlight w:val="none"/>
        </w:rPr>
      </w:r>
      <w:r/>
    </w:p>
    <w:p>
      <w:pPr>
        <w:pStyle w:val="1282"/>
        <w:ind w:firstLine="502"/>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（6）拒绝有关部门监督检查或者提供虚假情况的。</w:t>
      </w:r>
      <w:r>
        <w:rPr>
          <w:rFonts w:hint="eastAsia" w:ascii="宋体" w:hAnsi="宋体" w:eastAsia="宋体" w:cs="仿宋"/>
          <w:color w:val="000000"/>
          <w:szCs w:val="24"/>
          <w:highlight w:val="none"/>
        </w:rPr>
      </w:r>
      <w:r/>
    </w:p>
    <w:p>
      <w:pPr>
        <w:pStyle w:val="1282"/>
        <w:ind w:firstLine="502"/>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投标人有上述（1）至（5）项情形之一的，中标无效。有上述（1）至（6）项情形之一的，处以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仿宋"/>
          <w:color w:val="000000"/>
          <w:szCs w:val="24"/>
          <w:highlight w:val="none"/>
        </w:rPr>
      </w:r>
      <w:r/>
    </w:p>
    <w:p>
      <w:pPr>
        <w:pStyle w:val="1282"/>
        <w:ind w:firstLine="502"/>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30</w:t>
      </w:r>
      <w:r>
        <w:rPr>
          <w:rFonts w:hint="eastAsia" w:ascii="宋体" w:hAnsi="宋体" w:eastAsia="宋体" w:cs="仿宋"/>
          <w:color w:val="000000"/>
          <w:szCs w:val="24"/>
          <w:highlight w:val="none"/>
        </w:rPr>
        <w:t xml:space="preserve">.3经评标委员</w:t>
      </w:r>
      <w:r>
        <w:rPr>
          <w:rFonts w:hint="eastAsia" w:ascii="宋体" w:hAnsi="宋体" w:eastAsia="宋体" w:cs="仿宋"/>
          <w:color w:val="000000"/>
          <w:szCs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rPr>
          <w:rFonts w:hint="eastAsia" w:ascii="宋体" w:hAnsi="宋体" w:eastAsia="宋体" w:cs="仿宋"/>
          <w:color w:val="000000"/>
          <w:szCs w:val="24"/>
          <w:highlight w:val="none"/>
        </w:rPr>
      </w:r>
      <w:r/>
    </w:p>
    <w:p>
      <w:pPr>
        <w:pStyle w:val="1011"/>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30</w:t>
      </w:r>
      <w:r>
        <w:rPr>
          <w:rFonts w:hint="eastAsia" w:ascii="宋体" w:hAnsi="宋体" w:eastAsia="宋体" w:cs="仿宋"/>
          <w:color w:val="000000"/>
          <w:sz w:val="24"/>
          <w:szCs w:val="24"/>
          <w:highlight w:val="none"/>
        </w:rPr>
        <w:t xml:space="preserve">.4供应商应当在法定质疑期内一次性提出针对同一采购程序环节的质疑。供应商如在法定期限内对同一采购程序环节提出多次质疑的，招标人（或代理机构）将只对供应商第一次质疑作出答复。</w:t>
      </w:r>
      <w:r>
        <w:rPr>
          <w:rFonts w:hint="eastAsia" w:ascii="宋体" w:hAnsi="宋体" w:eastAsia="宋体" w:cs="仿宋"/>
          <w:color w:val="000000"/>
          <w:sz w:val="24"/>
          <w:szCs w:val="24"/>
          <w:highlight w:val="none"/>
        </w:rPr>
      </w:r>
      <w:r/>
    </w:p>
    <w:p>
      <w:pPr>
        <w:pStyle w:val="1011"/>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30</w:t>
      </w:r>
      <w:r>
        <w:rPr>
          <w:rFonts w:hint="eastAsia" w:ascii="宋体" w:hAnsi="宋体" w:eastAsia="宋体" w:cs="仿宋"/>
          <w:color w:val="000000"/>
          <w:sz w:val="24"/>
          <w:szCs w:val="24"/>
          <w:highlight w:val="none"/>
        </w:rPr>
        <w:t xml:space="preserve">.5质疑函必须按照《质疑函范本》要求的格式和内容进行填写。投标人如组成联合体参加的，则《质疑函范本》中要求签字、盖章、加盖公章之处，联合体各方均须按要求签字、盖章、加盖公章。</w:t>
      </w:r>
      <w:r>
        <w:rPr>
          <w:rFonts w:hint="eastAsia" w:ascii="宋体" w:hAnsi="宋体" w:eastAsia="宋体" w:cs="仿宋"/>
          <w:color w:val="000000"/>
          <w:sz w:val="24"/>
          <w:szCs w:val="24"/>
          <w:highlight w:val="none"/>
        </w:rPr>
      </w:r>
      <w:r/>
    </w:p>
    <w:p>
      <w:pPr>
        <w:pStyle w:val="1011"/>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30</w:t>
      </w:r>
      <w:r>
        <w:rPr>
          <w:rFonts w:hint="eastAsia" w:ascii="宋体" w:hAnsi="宋体" w:eastAsia="宋体" w:cs="仿宋"/>
          <w:color w:val="000000"/>
          <w:sz w:val="24"/>
          <w:szCs w:val="24"/>
          <w:highlight w:val="none"/>
        </w:rPr>
        <w:t xml:space="preserve">.6本项目只接收以纸质原件形式送达的质疑，联系方式详见招标公告。</w:t>
      </w:r>
      <w:r>
        <w:rPr>
          <w:rFonts w:hint="eastAsia" w:ascii="宋体" w:hAnsi="宋体" w:eastAsia="宋体" w:cs="仿宋"/>
          <w:color w:val="000000"/>
          <w:sz w:val="24"/>
          <w:szCs w:val="24"/>
          <w:highlight w:val="none"/>
        </w:rPr>
      </w:r>
      <w:r/>
    </w:p>
    <w:p>
      <w:pPr>
        <w:pStyle w:val="1011"/>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30</w:t>
      </w:r>
      <w:r>
        <w:rPr>
          <w:rFonts w:hint="eastAsia" w:ascii="宋体" w:hAnsi="宋体" w:eastAsia="宋体" w:cs="仿宋"/>
          <w:color w:val="000000"/>
          <w:sz w:val="24"/>
          <w:szCs w:val="24"/>
          <w:highlight w:val="none"/>
        </w:rPr>
        <w:t xml:space="preserve">.7以下情形的质疑不予受理</w:t>
      </w:r>
      <w:r>
        <w:rPr>
          <w:rFonts w:hint="eastAsia" w:ascii="宋体" w:hAnsi="宋体" w:eastAsia="宋体" w:cs="仿宋"/>
          <w:color w:val="000000"/>
          <w:sz w:val="24"/>
          <w:szCs w:val="24"/>
          <w:highlight w:val="none"/>
        </w:rPr>
      </w:r>
      <w:r/>
    </w:p>
    <w:p>
      <w:pPr>
        <w:pStyle w:val="1011"/>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（1）质疑主体和内容不符合《政府采购质疑和投诉办法》第十一条、第十二条规定的；</w:t>
      </w:r>
      <w:r>
        <w:rPr>
          <w:rFonts w:hint="eastAsia" w:ascii="宋体" w:hAnsi="宋体" w:eastAsia="宋体" w:cs="仿宋"/>
          <w:color w:val="000000"/>
          <w:sz w:val="24"/>
          <w:szCs w:val="24"/>
          <w:highlight w:val="none"/>
        </w:rPr>
      </w:r>
      <w:r/>
    </w:p>
    <w:p>
      <w:pPr>
        <w:pStyle w:val="1011"/>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（2）供应商超过法定质疑期提出质疑的；</w:t>
      </w:r>
      <w:r>
        <w:rPr>
          <w:rFonts w:hint="eastAsia" w:ascii="宋体" w:hAnsi="宋体" w:eastAsia="宋体" w:cs="仿宋"/>
          <w:color w:val="000000"/>
          <w:sz w:val="24"/>
          <w:szCs w:val="24"/>
          <w:highlight w:val="none"/>
        </w:rPr>
      </w:r>
      <w:r/>
    </w:p>
    <w:p>
      <w:pPr>
        <w:pStyle w:val="1011"/>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（3）供应商以传真、电子邮件等方式递交的非原件形式的；</w:t>
      </w:r>
      <w:r>
        <w:rPr>
          <w:rFonts w:hint="eastAsia" w:ascii="宋体" w:hAnsi="宋体" w:eastAsia="宋体" w:cs="仿宋"/>
          <w:color w:val="000000"/>
          <w:sz w:val="24"/>
          <w:szCs w:val="24"/>
          <w:highlight w:val="none"/>
        </w:rPr>
      </w:r>
      <w:r/>
    </w:p>
    <w:p>
      <w:pPr>
        <w:pStyle w:val="1011"/>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（4）供应商组成联合体参加投标（响应）的，联合体中任何一方或多方未按要求签字、盖章、加盖公章的；</w:t>
      </w:r>
      <w:r>
        <w:rPr>
          <w:rFonts w:hint="eastAsia" w:ascii="宋体" w:hAnsi="宋体" w:eastAsia="宋体" w:cs="仿宋"/>
          <w:color w:val="000000"/>
          <w:sz w:val="24"/>
          <w:szCs w:val="24"/>
          <w:highlight w:val="none"/>
        </w:rPr>
      </w:r>
      <w:r/>
    </w:p>
    <w:p>
      <w:pPr>
        <w:pStyle w:val="1011"/>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（5）供应商对自身提出质疑的。</w:t>
      </w:r>
      <w:r>
        <w:rPr>
          <w:rFonts w:hint="eastAsia" w:ascii="宋体" w:hAnsi="宋体" w:eastAsia="宋体" w:cs="仿宋"/>
          <w:color w:val="000000"/>
          <w:sz w:val="24"/>
          <w:szCs w:val="24"/>
          <w:highlight w:val="none"/>
        </w:rPr>
      </w:r>
      <w:r/>
    </w:p>
    <w:p>
      <w:pPr>
        <w:pStyle w:val="1011"/>
        <w:ind w:firstLine="48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30</w:t>
      </w:r>
      <w:r>
        <w:rPr>
          <w:rFonts w:hint="eastAsia" w:ascii="宋体" w:hAnsi="宋体" w:eastAsia="宋体" w:cs="仿宋"/>
          <w:color w:val="000000"/>
          <w:sz w:val="24"/>
          <w:szCs w:val="24"/>
          <w:highlight w:val="none"/>
        </w:rPr>
        <w:t xml:space="preserve">.8供应商提出书面质疑必须有理、有据，不得捏造事实、提供虚假材料进行恶意质疑。否则，报请政府采购监管部门对该供应商进行相应的行政处罚和记录该供应商的失信信息。</w:t>
      </w:r>
      <w:r>
        <w:rPr>
          <w:rFonts w:hint="eastAsia" w:ascii="宋体" w:hAnsi="宋体" w:eastAsia="宋体" w:cs="仿宋"/>
          <w:color w:val="000000"/>
          <w:sz w:val="24"/>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3</w:t>
      </w:r>
      <w:r>
        <w:rPr>
          <w:rFonts w:hint="eastAsia" w:ascii="宋体" w:hAnsi="宋体" w:eastAsia="宋体" w:cs="仿宋"/>
          <w:b/>
          <w:color w:val="000000"/>
          <w:sz w:val="24"/>
          <w:szCs w:val="24"/>
          <w:highlight w:val="none"/>
          <w:lang w:val="en-US" w:eastAsia="zh-CN"/>
        </w:rPr>
        <w:t xml:space="preserve">1</w:t>
      </w:r>
      <w:r>
        <w:rPr>
          <w:rFonts w:hint="eastAsia" w:ascii="宋体" w:hAnsi="宋体" w:eastAsia="宋体" w:cs="仿宋"/>
          <w:b/>
          <w:color w:val="000000"/>
          <w:sz w:val="24"/>
          <w:szCs w:val="24"/>
          <w:highlight w:val="none"/>
        </w:rPr>
        <w:t xml:space="preserve">.合同授予标准</w:t>
      </w:r>
      <w:r>
        <w:rPr>
          <w:rFonts w:hint="eastAsia" w:ascii="宋体" w:hAnsi="宋体" w:eastAsia="宋体" w:cs="仿宋"/>
          <w:b/>
          <w:color w:val="000000"/>
          <w:sz w:val="24"/>
          <w:szCs w:val="24"/>
          <w:highlight w:val="none"/>
        </w:rPr>
      </w:r>
      <w:r/>
    </w:p>
    <w:p>
      <w:pPr>
        <w:pStyle w:val="1011"/>
        <w:ind w:firstLine="502"/>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3</w:t>
      </w:r>
      <w:r>
        <w:rPr>
          <w:rFonts w:hint="eastAsia" w:ascii="宋体" w:hAnsi="宋体" w:eastAsia="宋体" w:cs="仿宋"/>
          <w:color w:val="000000"/>
          <w:sz w:val="24"/>
          <w:szCs w:val="24"/>
          <w:highlight w:val="none"/>
          <w:lang w:val="en-US" w:eastAsia="zh-CN"/>
        </w:rPr>
        <w:t xml:space="preserve">1</w:t>
      </w:r>
      <w:r>
        <w:rPr>
          <w:rFonts w:hint="eastAsia" w:ascii="宋体" w:hAnsi="宋体" w:eastAsia="宋体" w:cs="仿宋"/>
          <w:color w:val="000000"/>
          <w:sz w:val="24"/>
          <w:szCs w:val="24"/>
          <w:highlight w:val="none"/>
        </w:rPr>
        <w:t xml:space="preserve">.1招标采购单位将把合同授予其投标文件在实质上响应招标文件要求且综合评分得分最高的投标人。</w:t>
      </w:r>
      <w:r>
        <w:rPr>
          <w:rFonts w:hint="eastAsia" w:ascii="宋体" w:hAnsi="宋体" w:eastAsia="宋体" w:cs="仿宋"/>
          <w:color w:val="000000"/>
          <w:sz w:val="24"/>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3</w:t>
      </w:r>
      <w:r>
        <w:rPr>
          <w:rFonts w:hint="eastAsia" w:ascii="宋体" w:hAnsi="宋体" w:eastAsia="宋体" w:cs="仿宋"/>
          <w:b/>
          <w:color w:val="000000"/>
          <w:sz w:val="24"/>
          <w:szCs w:val="24"/>
          <w:highlight w:val="none"/>
          <w:lang w:val="en-US" w:eastAsia="zh-CN"/>
        </w:rPr>
        <w:t xml:space="preserve">2</w:t>
      </w:r>
      <w:r>
        <w:rPr>
          <w:rFonts w:hint="eastAsia" w:ascii="宋体" w:hAnsi="宋体" w:eastAsia="宋体" w:cs="仿宋"/>
          <w:b/>
          <w:color w:val="000000"/>
          <w:sz w:val="24"/>
          <w:szCs w:val="24"/>
          <w:highlight w:val="none"/>
        </w:rPr>
        <w:t xml:space="preserve">.中标通知书</w:t>
      </w:r>
      <w:r>
        <w:rPr>
          <w:rFonts w:hint="eastAsia" w:ascii="宋体" w:hAnsi="宋体" w:eastAsia="宋体" w:cs="仿宋"/>
          <w:b/>
          <w:color w:val="000000"/>
          <w:sz w:val="24"/>
          <w:szCs w:val="24"/>
          <w:highlight w:val="none"/>
        </w:rPr>
      </w:r>
      <w:r/>
    </w:p>
    <w:p>
      <w:pPr>
        <w:pStyle w:val="1282"/>
        <w:ind w:firstLine="502"/>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3</w:t>
      </w:r>
      <w:r>
        <w:rPr>
          <w:rFonts w:hint="eastAsia" w:ascii="宋体" w:hAnsi="宋体" w:eastAsia="宋体" w:cs="仿宋"/>
          <w:color w:val="000000"/>
          <w:szCs w:val="24"/>
          <w:highlight w:val="none"/>
          <w:lang w:val="en-US" w:eastAsia="zh-CN"/>
        </w:rPr>
        <w:t xml:space="preserve">2</w:t>
      </w:r>
      <w:r>
        <w:rPr>
          <w:rFonts w:hint="eastAsia" w:ascii="宋体" w:hAnsi="宋体" w:eastAsia="宋体" w:cs="仿宋"/>
          <w:color w:val="000000"/>
          <w:szCs w:val="24"/>
          <w:highlight w:val="none"/>
        </w:rPr>
        <w:t xml:space="preserve">.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rPr>
          <w:rFonts w:hint="eastAsia" w:ascii="宋体" w:hAnsi="宋体" w:eastAsia="宋体" w:cs="仿宋"/>
          <w:color w:val="000000"/>
          <w:szCs w:val="24"/>
          <w:highlight w:val="none"/>
        </w:rPr>
      </w:r>
      <w:r/>
    </w:p>
    <w:p>
      <w:pPr>
        <w:pStyle w:val="1282"/>
        <w:ind w:firstLine="502"/>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3</w:t>
      </w:r>
      <w:r>
        <w:rPr>
          <w:rFonts w:hint="eastAsia" w:ascii="宋体" w:hAnsi="宋体" w:eastAsia="宋体" w:cs="仿宋"/>
          <w:color w:val="000000"/>
          <w:szCs w:val="24"/>
          <w:highlight w:val="none"/>
          <w:lang w:val="en-US" w:eastAsia="zh-CN"/>
        </w:rPr>
        <w:t xml:space="preserve">2</w:t>
      </w:r>
      <w:r>
        <w:rPr>
          <w:rFonts w:hint="eastAsia" w:ascii="宋体" w:hAnsi="宋体" w:eastAsia="宋体" w:cs="仿宋"/>
          <w:color w:val="000000"/>
          <w:szCs w:val="24"/>
          <w:highlight w:val="none"/>
        </w:rPr>
        <w:t xml:space="preserve">.2中标通知书将成为合同的组成部分</w:t>
      </w:r>
      <w:r>
        <w:rPr>
          <w:rFonts w:hint="eastAsia" w:ascii="宋体" w:hAnsi="宋体" w:eastAsia="宋体" w:cs="仿宋"/>
          <w:color w:val="000000"/>
          <w:szCs w:val="24"/>
          <w:highlight w:val="none"/>
          <w:lang w:eastAsia="zh-CN"/>
        </w:rPr>
        <w:t xml:space="preserve">，</w:t>
      </w:r>
      <w:r>
        <w:rPr>
          <w:rFonts w:hint="eastAsia" w:ascii="宋体" w:hAnsi="宋体" w:eastAsia="宋体" w:cs="仿宋"/>
          <w:color w:val="000000"/>
          <w:szCs w:val="24"/>
          <w:highlight w:val="none"/>
        </w:rPr>
        <w:t xml:space="preserve">对采购人和中标人均具有法律效力。</w:t>
      </w:r>
      <w:r>
        <w:rPr>
          <w:rFonts w:hint="eastAsia" w:ascii="宋体" w:hAnsi="宋体" w:eastAsia="宋体" w:cs="仿宋"/>
          <w:color w:val="000000"/>
          <w:szCs w:val="24"/>
          <w:highlight w:val="none"/>
        </w:rPr>
      </w:r>
      <w:r/>
    </w:p>
    <w:p>
      <w:pPr>
        <w:pStyle w:val="1282"/>
        <w:ind w:firstLine="502"/>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3</w:t>
      </w:r>
      <w:r>
        <w:rPr>
          <w:rFonts w:hint="eastAsia" w:ascii="宋体" w:hAnsi="宋体" w:eastAsia="宋体" w:cs="仿宋"/>
          <w:color w:val="000000"/>
          <w:szCs w:val="24"/>
          <w:highlight w:val="none"/>
          <w:lang w:val="en-US" w:eastAsia="zh-CN"/>
        </w:rPr>
        <w:t xml:space="preserve">2</w:t>
      </w:r>
      <w:r>
        <w:rPr>
          <w:rFonts w:hint="eastAsia" w:ascii="宋体" w:hAnsi="宋体" w:eastAsia="宋体" w:cs="仿宋"/>
          <w:color w:val="000000"/>
          <w:szCs w:val="24"/>
          <w:highlight w:val="none"/>
        </w:rPr>
        <w:t xml:space="preserve">.3招标采购单位对未中标供应商不承担解释未中标原因的义务。</w:t>
      </w:r>
      <w:r>
        <w:rPr>
          <w:rFonts w:hint="eastAsia" w:ascii="宋体" w:hAnsi="宋体" w:eastAsia="宋体" w:cs="仿宋"/>
          <w:color w:val="000000"/>
          <w:szCs w:val="24"/>
          <w:highlight w:val="none"/>
        </w:rPr>
      </w:r>
      <w:r/>
    </w:p>
    <w:p>
      <w:pPr>
        <w:pStyle w:val="1011"/>
        <w:spacing w:line="360" w:lineRule="auto"/>
        <w:rPr>
          <w:rFonts w:hint="eastAsia" w:ascii="宋体" w:hAnsi="宋体" w:eastAsia="宋体" w:cs="仿宋"/>
          <w:b/>
          <w:color w:val="000000"/>
          <w:sz w:val="24"/>
          <w:szCs w:val="24"/>
          <w:highlight w:val="none"/>
        </w:rPr>
        <w:outlineLvl w:val="0"/>
      </w:pPr>
      <w:r>
        <w:rPr>
          <w:rFonts w:hint="eastAsia" w:ascii="宋体" w:hAnsi="宋体" w:eastAsia="宋体" w:cs="仿宋"/>
          <w:b/>
          <w:color w:val="000000"/>
          <w:sz w:val="24"/>
          <w:szCs w:val="24"/>
          <w:highlight w:val="none"/>
        </w:rPr>
        <w:t xml:space="preserve">3</w:t>
      </w:r>
      <w:r>
        <w:rPr>
          <w:rFonts w:hint="eastAsia" w:ascii="宋体" w:hAnsi="宋体" w:eastAsia="宋体" w:cs="仿宋"/>
          <w:b/>
          <w:color w:val="000000"/>
          <w:sz w:val="24"/>
          <w:szCs w:val="24"/>
          <w:highlight w:val="none"/>
          <w:lang w:val="en-US" w:eastAsia="zh-CN"/>
        </w:rPr>
        <w:t xml:space="preserve">3</w:t>
      </w:r>
      <w:r>
        <w:rPr>
          <w:rFonts w:hint="eastAsia" w:ascii="宋体" w:hAnsi="宋体" w:eastAsia="宋体" w:cs="仿宋"/>
          <w:b/>
          <w:color w:val="000000"/>
          <w:sz w:val="24"/>
          <w:szCs w:val="24"/>
          <w:highlight w:val="none"/>
        </w:rPr>
        <w:t xml:space="preserve">.履约保证金</w:t>
      </w:r>
      <w:r>
        <w:rPr>
          <w:rFonts w:hint="eastAsia" w:ascii="宋体" w:hAnsi="宋体" w:eastAsia="宋体" w:cs="仿宋"/>
          <w:b/>
          <w:color w:val="000000"/>
          <w:sz w:val="24"/>
          <w:szCs w:val="24"/>
          <w:highlight w:val="none"/>
        </w:rPr>
      </w:r>
      <w:r/>
    </w:p>
    <w:p>
      <w:pPr>
        <w:pStyle w:val="1282"/>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3</w:t>
      </w:r>
      <w:r>
        <w:rPr>
          <w:rFonts w:hint="eastAsia" w:ascii="宋体" w:hAnsi="宋体" w:eastAsia="宋体" w:cs="仿宋"/>
          <w:color w:val="000000"/>
          <w:szCs w:val="24"/>
          <w:highlight w:val="none"/>
          <w:lang w:val="en-US" w:eastAsia="zh-CN"/>
        </w:rPr>
        <w:t xml:space="preserve">3</w:t>
      </w:r>
      <w:r>
        <w:rPr>
          <w:rFonts w:hint="eastAsia" w:ascii="宋体" w:hAnsi="宋体" w:eastAsia="宋体" w:cs="仿宋"/>
          <w:color w:val="000000"/>
          <w:szCs w:val="24"/>
          <w:highlight w:val="none"/>
        </w:rPr>
        <w:t xml:space="preserve">.1中标人应按规定提交履约保证金。</w:t>
      </w:r>
      <w:r>
        <w:rPr>
          <w:rFonts w:hint="eastAsia" w:ascii="宋体" w:hAnsi="宋体" w:eastAsia="宋体" w:cs="仿宋"/>
          <w:color w:val="000000"/>
          <w:szCs w:val="24"/>
          <w:highlight w:val="none"/>
        </w:rPr>
      </w:r>
      <w:r/>
    </w:p>
    <w:p>
      <w:pPr>
        <w:pStyle w:val="1282"/>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3</w:t>
      </w:r>
      <w:r>
        <w:rPr>
          <w:rFonts w:hint="eastAsia" w:ascii="宋体" w:hAnsi="宋体" w:eastAsia="宋体" w:cs="仿宋"/>
          <w:color w:val="000000"/>
          <w:szCs w:val="24"/>
          <w:highlight w:val="none"/>
          <w:lang w:val="en-US" w:eastAsia="zh-CN"/>
        </w:rPr>
        <w:t xml:space="preserve">3</w:t>
      </w:r>
      <w:r>
        <w:rPr>
          <w:rFonts w:hint="eastAsia" w:ascii="宋体" w:hAnsi="宋体" w:eastAsia="宋体" w:cs="仿宋"/>
          <w:color w:val="000000"/>
          <w:szCs w:val="24"/>
          <w:highlight w:val="none"/>
        </w:rPr>
        <w:t xml:space="preserve">.2中标人必须在合同签订前按规定将履约保证金交至采购人指定账户。中标人未按上述要求提交履约保证金的,采购人可取消其中标资格。</w:t>
      </w:r>
      <w:r>
        <w:rPr>
          <w:rFonts w:hint="eastAsia" w:ascii="宋体" w:hAnsi="宋体" w:eastAsia="宋体" w:cs="仿宋"/>
          <w:color w:val="000000"/>
          <w:szCs w:val="24"/>
          <w:highlight w:val="none"/>
        </w:rPr>
      </w:r>
      <w:r/>
    </w:p>
    <w:p>
      <w:pPr>
        <w:pStyle w:val="1282"/>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3</w:t>
      </w:r>
      <w:r>
        <w:rPr>
          <w:rFonts w:hint="eastAsia" w:ascii="宋体" w:hAnsi="宋体" w:eastAsia="宋体" w:cs="仿宋"/>
          <w:color w:val="000000"/>
          <w:szCs w:val="24"/>
          <w:highlight w:val="none"/>
          <w:lang w:val="en-US" w:eastAsia="zh-CN"/>
        </w:rPr>
        <w:t xml:space="preserve">3</w:t>
      </w:r>
      <w:r>
        <w:rPr>
          <w:rFonts w:hint="eastAsia" w:ascii="宋体" w:hAnsi="宋体" w:eastAsia="宋体" w:cs="仿宋"/>
          <w:color w:val="000000"/>
          <w:szCs w:val="24"/>
          <w:highlight w:val="none"/>
        </w:rPr>
        <w:t xml:space="preserve">.3履约保证金（无息）将在合同期结束且经</w:t>
      </w:r>
      <w:r>
        <w:rPr>
          <w:rFonts w:ascii="宋体" w:hAnsi="宋体" w:eastAsia="宋体" w:cs="仿宋"/>
          <w:color w:val="000000"/>
          <w:szCs w:val="24"/>
          <w:highlight w:val="none"/>
          <w:lang w:val="en-US"/>
        </w:rPr>
        <w:t xml:space="preserve">系统上线</w:t>
      </w:r>
      <w:r>
        <w:rPr>
          <w:rFonts w:hint="eastAsia" w:ascii="宋体" w:hAnsi="宋体" w:eastAsia="宋体" w:cs="仿宋"/>
          <w:color w:val="000000"/>
          <w:szCs w:val="24"/>
          <w:highlight w:val="none"/>
        </w:rPr>
        <w:t xml:space="preserve">验收合格后，采购人凭中标人的收款收据在</w:t>
      </w:r>
      <w:r>
        <w:rPr>
          <w:rFonts w:hint="eastAsia" w:ascii="宋体" w:hAnsi="宋体" w:eastAsia="宋体" w:cs="仿宋"/>
          <w:color w:val="000000"/>
          <w:szCs w:val="24"/>
          <w:highlight w:val="none"/>
          <w:lang w:val="en-US" w:eastAsia="zh-CN"/>
        </w:rPr>
        <w:t xml:space="preserve">30</w:t>
      </w:r>
      <w:r>
        <w:rPr>
          <w:rFonts w:hint="eastAsia" w:ascii="宋体" w:hAnsi="宋体" w:eastAsia="宋体" w:cs="仿宋"/>
          <w:color w:val="000000"/>
          <w:szCs w:val="24"/>
          <w:highlight w:val="none"/>
        </w:rPr>
        <w:t xml:space="preserve">个工作日内无息退返给中标单位。</w:t>
      </w:r>
      <w:r>
        <w:rPr>
          <w:rFonts w:hint="eastAsia" w:ascii="宋体" w:hAnsi="宋体" w:eastAsia="宋体" w:cs="仿宋"/>
          <w:color w:val="000000"/>
          <w:szCs w:val="24"/>
          <w:highlight w:val="none"/>
        </w:rPr>
      </w:r>
      <w:r/>
    </w:p>
    <w:p>
      <w:pPr>
        <w:pStyle w:val="1011"/>
        <w:ind w:firstLine="478"/>
        <w:spacing w:line="360" w:lineRule="auto"/>
        <w:tabs>
          <w:tab w:val="left" w:pos="900"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3</w:t>
      </w:r>
      <w:r>
        <w:rPr>
          <w:rFonts w:hint="eastAsia" w:ascii="宋体" w:hAnsi="宋体" w:eastAsia="宋体" w:cs="仿宋"/>
          <w:color w:val="000000"/>
          <w:sz w:val="24"/>
          <w:szCs w:val="24"/>
          <w:highlight w:val="none"/>
          <w:lang w:val="en-US" w:eastAsia="zh-CN"/>
        </w:rPr>
        <w:t xml:space="preserve">3</w:t>
      </w:r>
      <w:r>
        <w:rPr>
          <w:rFonts w:hint="eastAsia" w:ascii="宋体" w:hAnsi="宋体" w:eastAsia="宋体" w:cs="仿宋"/>
          <w:color w:val="000000"/>
          <w:sz w:val="24"/>
          <w:szCs w:val="24"/>
          <w:highlight w:val="none"/>
        </w:rPr>
        <w:t xml:space="preserve">.</w:t>
      </w:r>
      <w:r>
        <w:rPr>
          <w:rFonts w:hint="eastAsia" w:ascii="宋体" w:hAnsi="宋体" w:eastAsia="宋体" w:cs="仿宋"/>
          <w:color w:val="000000"/>
          <w:sz w:val="24"/>
          <w:szCs w:val="24"/>
          <w:highlight w:val="none"/>
          <w:lang w:val="en-US" w:eastAsia="zh-CN"/>
        </w:rPr>
        <w:t xml:space="preserve">4</w:t>
      </w:r>
      <w:r>
        <w:rPr>
          <w:rFonts w:hint="eastAsia" w:ascii="宋体" w:hAnsi="宋体" w:eastAsia="宋体" w:cs="仿宋"/>
          <w:color w:val="000000"/>
          <w:sz w:val="24"/>
          <w:szCs w:val="24"/>
          <w:highlight w:val="none"/>
        </w:rPr>
        <w:t xml:space="preserve">履约保证金用以约束供应商在合同履行中的行为，弥补合同执行中由于自身行为可能给采购人带来的各种损失。</w:t>
      </w:r>
      <w:r>
        <w:rPr>
          <w:rFonts w:hint="eastAsia" w:ascii="宋体" w:hAnsi="宋体" w:eastAsia="宋体" w:cs="仿宋"/>
          <w:color w:val="000000"/>
          <w:sz w:val="24"/>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3</w:t>
      </w:r>
      <w:r>
        <w:rPr>
          <w:rFonts w:hint="eastAsia" w:ascii="宋体" w:hAnsi="宋体" w:eastAsia="宋体" w:cs="仿宋"/>
          <w:b/>
          <w:color w:val="000000"/>
          <w:sz w:val="24"/>
          <w:szCs w:val="24"/>
          <w:highlight w:val="none"/>
          <w:lang w:val="en-US" w:eastAsia="zh-CN"/>
        </w:rPr>
        <w:t xml:space="preserve">4</w:t>
      </w:r>
      <w:r>
        <w:rPr>
          <w:rFonts w:hint="eastAsia" w:ascii="宋体" w:hAnsi="宋体" w:eastAsia="宋体" w:cs="仿宋"/>
          <w:b/>
          <w:color w:val="000000"/>
          <w:sz w:val="24"/>
          <w:szCs w:val="24"/>
          <w:highlight w:val="none"/>
        </w:rPr>
        <w:t xml:space="preserve">.合同的签订</w:t>
      </w:r>
      <w:r>
        <w:rPr>
          <w:rFonts w:hint="eastAsia" w:ascii="宋体" w:hAnsi="宋体" w:eastAsia="宋体" w:cs="仿宋"/>
          <w:b/>
          <w:color w:val="000000"/>
          <w:sz w:val="24"/>
          <w:szCs w:val="24"/>
          <w:highlight w:val="none"/>
        </w:rPr>
      </w:r>
      <w:r/>
    </w:p>
    <w:p>
      <w:pPr>
        <w:pStyle w:val="1282"/>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3</w:t>
      </w:r>
      <w:r>
        <w:rPr>
          <w:rFonts w:hint="eastAsia" w:ascii="宋体" w:hAnsi="宋体" w:eastAsia="宋体" w:cs="仿宋"/>
          <w:color w:val="000000"/>
          <w:szCs w:val="24"/>
          <w:highlight w:val="none"/>
          <w:lang w:val="en-US" w:eastAsia="zh-CN"/>
        </w:rPr>
        <w:t xml:space="preserve">4</w:t>
      </w:r>
      <w:r>
        <w:rPr>
          <w:rFonts w:hint="eastAsia" w:ascii="宋体" w:hAnsi="宋体" w:eastAsia="宋体" w:cs="仿宋"/>
          <w:color w:val="000000"/>
          <w:szCs w:val="24"/>
          <w:highlight w:val="none"/>
        </w:rPr>
        <w:t xml:space="preserve">.1中标人应按中标通知书中规定的时间和地点，由法定代表人或委托代理人与采购人代表签订合同。</w:t>
      </w:r>
      <w:r>
        <w:rPr>
          <w:rFonts w:hint="eastAsia" w:ascii="宋体" w:hAnsi="宋体" w:eastAsia="宋体" w:cs="仿宋"/>
          <w:color w:val="000000"/>
          <w:szCs w:val="24"/>
          <w:highlight w:val="none"/>
        </w:rPr>
      </w:r>
      <w:r/>
    </w:p>
    <w:p>
      <w:pPr>
        <w:pStyle w:val="1282"/>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34</w:t>
      </w:r>
      <w:r>
        <w:rPr>
          <w:rFonts w:hint="eastAsia" w:ascii="宋体" w:hAnsi="宋体" w:eastAsia="宋体" w:cs="仿宋"/>
          <w:color w:val="000000"/>
          <w:szCs w:val="24"/>
          <w:highlight w:val="none"/>
        </w:rPr>
        <w:t xml:space="preserve">.2签订合同及合同条款应以招标文件和中标人的投标文件及其澄清文件为依据。</w:t>
      </w:r>
      <w:r>
        <w:rPr>
          <w:rFonts w:hint="eastAsia" w:ascii="宋体" w:hAnsi="宋体" w:eastAsia="宋体" w:cs="仿宋"/>
          <w:color w:val="000000"/>
          <w:szCs w:val="24"/>
          <w:highlight w:val="none"/>
        </w:rPr>
      </w:r>
      <w:r/>
    </w:p>
    <w:p>
      <w:pPr>
        <w:pStyle w:val="1011"/>
        <w:ind w:firstLine="431"/>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34</w:t>
      </w:r>
      <w:r>
        <w:rPr>
          <w:rFonts w:hint="eastAsia" w:ascii="宋体" w:hAnsi="宋体" w:eastAsia="宋体" w:cs="仿宋"/>
          <w:color w:val="000000"/>
          <w:sz w:val="24"/>
          <w:szCs w:val="24"/>
          <w:highlight w:val="none"/>
        </w:rPr>
        <w:t xml:space="preserve">.3中标人无正当理由拒签合同的，或在签订合同时向采购人提出附加条件或者更改合同实质性内容的，采购人可取消其中标资格，同时由中标人承担相应的法律责任。</w:t>
      </w:r>
      <w:r>
        <w:rPr>
          <w:rFonts w:hint="eastAsia" w:ascii="宋体" w:hAnsi="宋体" w:eastAsia="宋体" w:cs="仿宋"/>
          <w:color w:val="000000"/>
          <w:sz w:val="24"/>
          <w:szCs w:val="24"/>
          <w:highlight w:val="none"/>
        </w:rPr>
      </w:r>
      <w:r/>
    </w:p>
    <w:p>
      <w:pPr>
        <w:pStyle w:val="1011"/>
        <w:ind w:firstLine="431"/>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val="en-US" w:eastAsia="zh-CN"/>
        </w:rPr>
        <w:t xml:space="preserve">34.4</w:t>
      </w:r>
      <w:r>
        <w:rPr>
          <w:rFonts w:hint="eastAsia" w:ascii="宋体" w:hAnsi="宋体" w:eastAsia="宋体" w:cs="仿宋"/>
          <w:color w:val="000000"/>
          <w:sz w:val="24"/>
          <w:szCs w:val="24"/>
          <w:highlight w:val="none"/>
        </w:rPr>
        <w:t xml:space="preserve">签订合同后，中标人不得将本项目进行转包。未经采购人同意，中标人也不得采用分包的形式履行合同，否则采购人有权终止合同，中标人的履约保证金将不予退还。转包或分包造成采购人损失的，中标人应承担相应赔偿责任。</w:t>
      </w:r>
      <w:r>
        <w:rPr>
          <w:rFonts w:hint="eastAsia" w:ascii="宋体" w:hAnsi="宋体" w:eastAsia="宋体" w:cs="仿宋"/>
          <w:color w:val="000000"/>
          <w:sz w:val="24"/>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lang w:eastAsia="zh-CN"/>
        </w:rPr>
        <w:t xml:space="preserve">35</w:t>
      </w:r>
      <w:r>
        <w:rPr>
          <w:rFonts w:hint="eastAsia" w:ascii="宋体" w:hAnsi="宋体" w:eastAsia="宋体" w:cs="仿宋"/>
          <w:b/>
          <w:color w:val="000000"/>
          <w:sz w:val="24"/>
          <w:szCs w:val="24"/>
          <w:highlight w:val="none"/>
        </w:rPr>
        <w:t xml:space="preserve">.特别提醒</w:t>
      </w:r>
      <w:r>
        <w:rPr>
          <w:rFonts w:hint="eastAsia" w:ascii="宋体" w:hAnsi="宋体" w:eastAsia="宋体" w:cs="仿宋"/>
          <w:b/>
          <w:color w:val="000000"/>
          <w:sz w:val="24"/>
          <w:szCs w:val="24"/>
          <w:highlight w:val="none"/>
        </w:rPr>
      </w:r>
      <w:r/>
    </w:p>
    <w:p>
      <w:pPr>
        <w:pStyle w:val="1282"/>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35</w:t>
      </w:r>
      <w:r>
        <w:rPr>
          <w:rFonts w:hint="eastAsia" w:ascii="宋体" w:hAnsi="宋体" w:eastAsia="宋体" w:cs="仿宋"/>
          <w:color w:val="000000"/>
          <w:szCs w:val="24"/>
          <w:highlight w:val="none"/>
        </w:rPr>
        <w:t xml:space="preserve">.1投标单位如有提供不实评审材料，弄虚作假者，一律作废标处理，该不良行为将予以公示。</w:t>
      </w:r>
      <w:r>
        <w:rPr>
          <w:rFonts w:hint="eastAsia" w:ascii="宋体" w:hAnsi="宋体" w:eastAsia="宋体" w:cs="仿宋"/>
          <w:color w:val="000000"/>
          <w:szCs w:val="24"/>
          <w:highlight w:val="none"/>
        </w:rPr>
      </w:r>
      <w:r/>
    </w:p>
    <w:p>
      <w:pPr>
        <w:pStyle w:val="1282"/>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35</w:t>
      </w:r>
      <w:r>
        <w:rPr>
          <w:rFonts w:hint="eastAsia" w:ascii="宋体" w:hAnsi="宋体" w:eastAsia="宋体" w:cs="仿宋"/>
          <w:color w:val="000000"/>
          <w:szCs w:val="24"/>
          <w:highlight w:val="none"/>
        </w:rPr>
        <w:t xml:space="preserve">.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rPr>
          <w:rFonts w:hint="eastAsia" w:ascii="宋体" w:hAnsi="宋体" w:eastAsia="宋体" w:cs="仿宋"/>
          <w:color w:val="000000"/>
          <w:szCs w:val="24"/>
          <w:highlight w:val="none"/>
        </w:rPr>
      </w:r>
      <w:r/>
    </w:p>
    <w:p>
      <w:pPr>
        <w:pStyle w:val="1282"/>
        <w:ind w:firstLine="431"/>
        <w:jc w:val="both"/>
        <w:spacing w:line="360" w:lineRule="auto"/>
        <w:rPr>
          <w:rFonts w:hint="eastAsia" w:ascii="宋体" w:hAnsi="宋体" w:eastAsia="宋体" w:cs="仿宋"/>
          <w:color w:val="000000"/>
          <w:szCs w:val="24"/>
          <w:highlight w:val="none"/>
        </w:rPr>
      </w:pPr>
      <w:r/>
      <w:bookmarkStart w:id="39" w:name="_Toc409438818"/>
      <w:r>
        <w:rPr>
          <w:rFonts w:hint="eastAsia" w:ascii="宋体" w:hAnsi="宋体" w:eastAsia="宋体" w:cs="仿宋"/>
          <w:color w:val="000000"/>
          <w:szCs w:val="24"/>
          <w:highlight w:val="none"/>
          <w:lang w:eastAsia="zh-CN"/>
        </w:rPr>
        <w:t xml:space="preserve">35</w:t>
      </w:r>
      <w:r>
        <w:rPr>
          <w:rFonts w:hint="eastAsia" w:ascii="宋体" w:hAnsi="宋体" w:eastAsia="宋体" w:cs="仿宋"/>
          <w:color w:val="000000"/>
          <w:szCs w:val="24"/>
          <w:highlight w:val="none"/>
        </w:rPr>
        <w:t xml:space="preserve">.3政府采购线上合同信用融资功能告知提醒</w:t>
      </w:r>
      <w:r>
        <w:rPr>
          <w:rFonts w:hint="eastAsia" w:ascii="宋体" w:hAnsi="宋体" w:eastAsia="宋体" w:cs="仿宋"/>
          <w:color w:val="000000"/>
          <w:szCs w:val="24"/>
          <w:highlight w:val="none"/>
        </w:rPr>
      </w:r>
      <w:r/>
    </w:p>
    <w:p>
      <w:pPr>
        <w:pStyle w:val="1282"/>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我区已正式启用“苏采云”系统，目前已全面开通政府采购线上合同信用融资（以下简称“政采贷”）功能。</w:t>
      </w:r>
      <w:r>
        <w:rPr>
          <w:rFonts w:hint="eastAsia" w:ascii="宋体" w:hAnsi="宋体" w:eastAsia="宋体" w:cs="仿宋"/>
          <w:color w:val="000000"/>
          <w:szCs w:val="24"/>
          <w:highlight w:val="none"/>
          <w:lang w:eastAsia="zh-CN"/>
        </w:rPr>
        <w:t xml:space="preserve">中标供应商</w:t>
      </w:r>
      <w:r>
        <w:rPr>
          <w:rFonts w:hint="eastAsia" w:ascii="宋体" w:hAnsi="宋体" w:eastAsia="宋体" w:cs="仿宋"/>
          <w:color w:val="000000"/>
          <w:szCs w:val="24"/>
          <w:highlight w:val="none"/>
        </w:rPr>
        <w:t xml:space="preserve">可凭政府采购合同在中征平台发起贷款申请贷款。</w:t>
      </w:r>
      <w:r>
        <w:rPr>
          <w:rFonts w:hint="eastAsia" w:ascii="宋体" w:hAnsi="宋体" w:eastAsia="宋体" w:cs="仿宋"/>
          <w:color w:val="000000"/>
          <w:szCs w:val="24"/>
          <w:highlight w:val="none"/>
        </w:rPr>
      </w:r>
      <w:r/>
    </w:p>
    <w:p>
      <w:pPr>
        <w:pStyle w:val="1282"/>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35</w:t>
      </w:r>
      <w:r>
        <w:rPr>
          <w:rFonts w:hint="eastAsia" w:ascii="宋体" w:hAnsi="宋体" w:eastAsia="宋体" w:cs="仿宋"/>
          <w:color w:val="000000"/>
          <w:szCs w:val="24"/>
          <w:highlight w:val="none"/>
        </w:rPr>
        <w:t xml:space="preserve">.3.1.“政采贷”业务流程</w:t>
      </w:r>
      <w:r>
        <w:rPr>
          <w:rFonts w:hint="eastAsia" w:ascii="宋体" w:hAnsi="宋体" w:eastAsia="宋体" w:cs="仿宋"/>
          <w:color w:val="000000"/>
          <w:szCs w:val="24"/>
          <w:highlight w:val="none"/>
        </w:rPr>
      </w:r>
      <w:r/>
    </w:p>
    <w:p>
      <w:pPr>
        <w:pStyle w:val="1282"/>
        <w:ind w:firstLine="431"/>
        <w:jc w:val="center"/>
        <w:spacing w:line="360" w:lineRule="auto"/>
        <w:rPr>
          <w:rFonts w:hint="eastAsia" w:ascii="宋体" w:hAnsi="宋体" w:eastAsia="宋体" w:cs="仿宋"/>
          <w:color w:val="000000"/>
          <w:szCs w:val="24"/>
          <w:highlight w:val="none"/>
        </w:rPr>
      </w:pPr>
      <w:r>
        <w:rPr>
          <w:rFonts w:ascii="宋体" w:hAnsi="宋体" w:eastAsia="宋体" w:cs="仿宋"/>
          <w:color w:val="000000"/>
          <w:highlight w:val="none"/>
        </w:rPr>
        <mc:AlternateContent>
          <mc:Choice Requires="wpg">
            <w:drawing>
              <wp:inline xmlns:wp="http://schemas.openxmlformats.org/drawingml/2006/wordprocessingDrawing" distT="0" distB="0" distL="0" distR="0">
                <wp:extent cx="5141671" cy="1527073"/>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141671" cy="15270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04.9pt;height:120.2pt;mso-wrap-distance-left:0.0pt;mso-wrap-distance-top:0.0pt;mso-wrap-distance-right:0.0pt;mso-wrap-distance-bottom:0.0pt;" stroked="f">
                <v:path textboxrect="0,0,0,0"/>
                <v:imagedata r:id="rId20" o:title=""/>
              </v:shape>
            </w:pict>
          </mc:Fallback>
        </mc:AlternateContent>
      </w:r>
      <w:r>
        <w:rPr>
          <w:rFonts w:hint="eastAsia" w:ascii="宋体" w:hAnsi="宋体" w:eastAsia="宋体" w:cs="仿宋"/>
          <w:color w:val="000000"/>
          <w:szCs w:val="24"/>
          <w:highlight w:val="none"/>
        </w:rPr>
      </w:r>
      <w:r/>
    </w:p>
    <w:p>
      <w:pPr>
        <w:pStyle w:val="1282"/>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35</w:t>
      </w:r>
      <w:r>
        <w:rPr>
          <w:rFonts w:hint="eastAsia" w:ascii="宋体" w:hAnsi="宋体" w:eastAsia="宋体" w:cs="仿宋"/>
          <w:color w:val="000000"/>
          <w:szCs w:val="24"/>
          <w:highlight w:val="none"/>
        </w:rPr>
        <w:t xml:space="preserve">.3.2.操作流程</w:t>
      </w:r>
      <w:r>
        <w:rPr>
          <w:rFonts w:hint="eastAsia" w:ascii="宋体" w:hAnsi="宋体" w:eastAsia="宋体" w:cs="仿宋"/>
          <w:color w:val="000000"/>
          <w:szCs w:val="24"/>
          <w:highlight w:val="none"/>
        </w:rPr>
      </w:r>
      <w:r/>
    </w:p>
    <w:p>
      <w:pPr>
        <w:pStyle w:val="1282"/>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hint="eastAsia" w:ascii="宋体" w:hAnsi="宋体" w:eastAsia="宋体" w:cs="仿宋"/>
          <w:color w:val="000000"/>
          <w:szCs w:val="24"/>
          <w:highlight w:val="none"/>
        </w:rPr>
      </w:r>
      <w:r/>
    </w:p>
    <w:p>
      <w:pPr>
        <w:pStyle w:val="1282"/>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35</w:t>
      </w:r>
      <w:r>
        <w:rPr>
          <w:rFonts w:hint="eastAsia" w:ascii="宋体" w:hAnsi="宋体" w:eastAsia="宋体" w:cs="仿宋"/>
          <w:color w:val="000000"/>
          <w:szCs w:val="24"/>
          <w:highlight w:val="none"/>
        </w:rPr>
        <w:t xml:space="preserve">.3.3.常见问题</w:t>
      </w:r>
      <w:r>
        <w:rPr>
          <w:rFonts w:hint="eastAsia" w:ascii="宋体" w:hAnsi="宋体" w:eastAsia="宋体" w:cs="仿宋"/>
          <w:color w:val="000000"/>
          <w:szCs w:val="24"/>
          <w:highlight w:val="none"/>
        </w:rPr>
      </w:r>
      <w:r/>
    </w:p>
    <w:p>
      <w:pPr>
        <w:pStyle w:val="1282"/>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Q1：哪些企业能申请“政采贷”？</w:t>
      </w:r>
      <w:r>
        <w:rPr>
          <w:rFonts w:hint="eastAsia" w:ascii="宋体" w:hAnsi="宋体" w:eastAsia="宋体" w:cs="仿宋"/>
          <w:color w:val="000000"/>
          <w:szCs w:val="24"/>
          <w:highlight w:val="none"/>
        </w:rPr>
      </w:r>
      <w:r/>
    </w:p>
    <w:p>
      <w:pPr>
        <w:pStyle w:val="1282"/>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答：江苏省内采用国库集中支付的政府采购项目的中标供应商，可凭政府采购合同申请"政采贷"。</w:t>
      </w:r>
      <w:r>
        <w:rPr>
          <w:rFonts w:hint="eastAsia" w:ascii="宋体" w:hAnsi="宋体" w:eastAsia="宋体" w:cs="仿宋"/>
          <w:color w:val="000000"/>
          <w:szCs w:val="24"/>
          <w:highlight w:val="none"/>
        </w:rPr>
      </w:r>
      <w:r/>
    </w:p>
    <w:p>
      <w:pPr>
        <w:pStyle w:val="1282"/>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Q2：供应商在哪里申请“政采贷”？</w:t>
      </w:r>
      <w:r>
        <w:rPr>
          <w:rFonts w:hint="eastAsia" w:ascii="宋体" w:hAnsi="宋体" w:eastAsia="宋体" w:cs="仿宋"/>
          <w:color w:val="000000"/>
          <w:szCs w:val="24"/>
          <w:highlight w:val="none"/>
        </w:rPr>
      </w:r>
      <w:r/>
    </w:p>
    <w:p>
      <w:pPr>
        <w:pStyle w:val="1282"/>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答：中标供应商在“中征应收账款融资服务平台”（简称“中征平台”）上向意向银行发起融资申请</w:t>
      </w:r>
      <w:r>
        <w:rPr>
          <w:rFonts w:hint="eastAsia" w:ascii="宋体" w:hAnsi="宋体" w:eastAsia="宋体" w:cs="仿宋"/>
          <w:color w:val="000000"/>
          <w:szCs w:val="24"/>
          <w:highlight w:val="none"/>
        </w:rPr>
      </w:r>
      <w:r/>
    </w:p>
    <w:p>
      <w:pPr>
        <w:pStyle w:val="1282"/>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Q3：中标供应商要注意什么？</w:t>
      </w:r>
      <w:r>
        <w:rPr>
          <w:rFonts w:hint="eastAsia" w:ascii="宋体" w:hAnsi="宋体" w:eastAsia="宋体" w:cs="仿宋"/>
          <w:color w:val="000000"/>
          <w:szCs w:val="24"/>
          <w:highlight w:val="none"/>
        </w:rPr>
      </w:r>
      <w:r/>
    </w:p>
    <w:p>
      <w:pPr>
        <w:pStyle w:val="1282"/>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答：中标供应商要加强和采购单位的沟通协调，尽早确定融资需求。需要“政采贷”融资的，政府采购合同付款账号应当空置。</w:t>
      </w:r>
      <w:r>
        <w:rPr>
          <w:rFonts w:hint="eastAsia" w:ascii="宋体" w:hAnsi="宋体" w:eastAsia="宋体" w:cs="仿宋"/>
          <w:color w:val="000000"/>
          <w:szCs w:val="24"/>
          <w:highlight w:val="none"/>
        </w:rPr>
      </w:r>
      <w:r/>
    </w:p>
    <w:p>
      <w:pPr>
        <w:pStyle w:val="1282"/>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Q4：采购单位要做什么？</w:t>
      </w:r>
      <w:r>
        <w:rPr>
          <w:rFonts w:hint="eastAsia" w:ascii="宋体" w:hAnsi="宋体" w:eastAsia="宋体" w:cs="仿宋"/>
          <w:color w:val="000000"/>
          <w:szCs w:val="24"/>
          <w:highlight w:val="none"/>
        </w:rPr>
      </w:r>
      <w:r/>
    </w:p>
    <w:p>
      <w:pPr>
        <w:pStyle w:val="1282"/>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rPr>
          <w:rFonts w:hint="eastAsia" w:ascii="宋体" w:hAnsi="宋体" w:eastAsia="宋体" w:cs="仿宋"/>
          <w:color w:val="000000"/>
          <w:szCs w:val="24"/>
          <w:highlight w:val="none"/>
        </w:rPr>
      </w:r>
      <w:r/>
    </w:p>
    <w:p>
      <w:pPr>
        <w:pStyle w:val="1282"/>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Q5：“政采贷”融资失败怎么办？</w:t>
      </w:r>
      <w:r>
        <w:rPr>
          <w:rFonts w:hint="eastAsia" w:ascii="宋体" w:hAnsi="宋体" w:eastAsia="宋体" w:cs="仿宋"/>
          <w:color w:val="000000"/>
          <w:szCs w:val="24"/>
          <w:highlight w:val="none"/>
        </w:rPr>
      </w:r>
      <w:r/>
    </w:p>
    <w:p>
      <w:pPr>
        <w:pStyle w:val="1282"/>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rPr>
          <w:rFonts w:hint="eastAsia" w:ascii="宋体" w:hAnsi="宋体" w:eastAsia="宋体" w:cs="仿宋"/>
          <w:color w:val="000000"/>
          <w:szCs w:val="24"/>
          <w:highlight w:val="none"/>
        </w:rPr>
      </w:r>
      <w:r/>
    </w:p>
    <w:p>
      <w:pPr>
        <w:pStyle w:val="1282"/>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lang w:eastAsia="zh-CN"/>
        </w:rPr>
        <w:t xml:space="preserve">35</w:t>
      </w:r>
      <w:r>
        <w:rPr>
          <w:rFonts w:hint="eastAsia" w:ascii="宋体" w:hAnsi="宋体" w:eastAsia="宋体" w:cs="仿宋"/>
          <w:color w:val="000000"/>
          <w:szCs w:val="24"/>
          <w:highlight w:val="none"/>
        </w:rPr>
        <w:t xml:space="preserve">.3.4.网址及联系方式</w:t>
      </w:r>
      <w:r>
        <w:rPr>
          <w:rFonts w:hint="eastAsia" w:ascii="宋体" w:hAnsi="宋体" w:eastAsia="宋体" w:cs="仿宋"/>
          <w:color w:val="000000"/>
          <w:szCs w:val="24"/>
          <w:highlight w:val="none"/>
        </w:rPr>
      </w:r>
      <w:r/>
    </w:p>
    <w:p>
      <w:pPr>
        <w:pStyle w:val="1282"/>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政采贷：http://www.ccgp-jiangsu.gov.cn/jiangsu/paying.html</w:t>
      </w:r>
      <w:r>
        <w:rPr>
          <w:rFonts w:hint="eastAsia" w:ascii="宋体" w:hAnsi="宋体" w:eastAsia="宋体" w:cs="仿宋"/>
          <w:color w:val="000000"/>
          <w:szCs w:val="24"/>
          <w:highlight w:val="none"/>
        </w:rPr>
      </w:r>
      <w:r/>
    </w:p>
    <w:p>
      <w:pPr>
        <w:pStyle w:val="1282"/>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中征平台：https://www.crcrfsp.com/</w:t>
      </w:r>
      <w:r>
        <w:rPr>
          <w:rFonts w:hint="eastAsia" w:ascii="宋体" w:hAnsi="宋体" w:eastAsia="宋体" w:cs="仿宋"/>
          <w:color w:val="000000"/>
          <w:szCs w:val="24"/>
          <w:highlight w:val="none"/>
        </w:rPr>
      </w:r>
      <w:r/>
    </w:p>
    <w:p>
      <w:pPr>
        <w:pStyle w:val="1282"/>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联系人：翟先生           联系电话：0523-88816349</w:t>
      </w:r>
      <w:r>
        <w:rPr>
          <w:rFonts w:hint="eastAsia" w:ascii="宋体" w:hAnsi="宋体" w:eastAsia="宋体" w:cs="仿宋"/>
          <w:color w:val="000000"/>
          <w:szCs w:val="24"/>
          <w:highlight w:val="none"/>
        </w:rPr>
      </w:r>
      <w:r/>
    </w:p>
    <w:p>
      <w:pPr>
        <w:pStyle w:val="1282"/>
        <w:numPr>
          <w:ilvl w:val="0"/>
          <w:numId w:val="0"/>
        </w:numPr>
        <w:jc w:val="both"/>
        <w:spacing w:line="360" w:lineRule="auto"/>
        <w:rPr>
          <w:rFonts w:hint="eastAsia" w:ascii="宋体" w:hAnsi="宋体" w:eastAsia="宋体" w:cs="仿宋"/>
          <w:b/>
          <w:color w:val="000000"/>
          <w:szCs w:val="24"/>
          <w:highlight w:val="none"/>
        </w:rPr>
      </w:pPr>
      <w:r/>
      <w:bookmarkEnd w:id="39"/>
      <w:r>
        <w:rPr>
          <w:rFonts w:hint="eastAsia" w:ascii="宋体" w:hAnsi="宋体" w:eastAsia="宋体" w:cs="仿宋"/>
          <w:b/>
          <w:color w:val="000000"/>
          <w:sz w:val="24"/>
          <w:szCs w:val="24"/>
          <w:lang w:val="en-US" w:eastAsia="zh-CN"/>
        </w:rPr>
        <w:t xml:space="preserve">36.</w:t>
      </w:r>
      <w:r>
        <w:rPr>
          <w:rFonts w:hint="eastAsia" w:ascii="宋体" w:hAnsi="宋体" w:eastAsia="宋体" w:cs="仿宋"/>
          <w:b/>
          <w:color w:val="000000"/>
          <w:szCs w:val="24"/>
          <w:highlight w:val="none"/>
        </w:rPr>
        <w:t xml:space="preserve">服务的追加</w:t>
      </w:r>
      <w:r>
        <w:rPr>
          <w:rFonts w:hint="eastAsia" w:ascii="宋体" w:hAnsi="宋体" w:eastAsia="宋体" w:cs="仿宋"/>
          <w:b/>
          <w:color w:val="000000"/>
          <w:szCs w:val="24"/>
          <w:highlight w:val="none"/>
        </w:rPr>
      </w:r>
      <w:r/>
    </w:p>
    <w:p>
      <w:pPr>
        <w:pStyle w:val="1282"/>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政府采购合同履行中，采购人需追加与合同标的相同的服务的，在不改变合同其他条款的前提下，可以与中标人协商签订补充合同，但所有补充合同的采购金额不超过原合同金额10%。</w:t>
      </w:r>
      <w:r>
        <w:rPr>
          <w:rFonts w:hint="eastAsia" w:ascii="宋体" w:hAnsi="宋体" w:eastAsia="宋体" w:cs="仿宋"/>
          <w:color w:val="000000"/>
          <w:szCs w:val="24"/>
          <w:highlight w:val="none"/>
        </w:rPr>
      </w:r>
      <w:r/>
    </w:p>
    <w:p>
      <w:pPr>
        <w:pStyle w:val="1282"/>
        <w:ind w:firstLine="431"/>
        <w:jc w:val="both"/>
        <w:spacing w:line="360" w:lineRule="auto"/>
        <w:rPr>
          <w:rFonts w:ascii="宋体" w:hAnsi="宋体" w:eastAsia="宋体" w:cs="仿宋"/>
          <w:color w:val="000000"/>
          <w:szCs w:val="24"/>
        </w:rPr>
      </w:pPr>
      <w:r>
        <w:rPr>
          <w:rFonts w:ascii="宋体" w:hAnsi="宋体" w:eastAsia="宋体" w:cs="仿宋"/>
          <w:color w:val="000000"/>
          <w:szCs w:val="24"/>
        </w:rPr>
      </w:r>
      <w:r/>
    </w:p>
    <w:p>
      <w:pPr>
        <w:pStyle w:val="1282"/>
        <w:ind w:firstLine="431"/>
        <w:jc w:val="both"/>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r>
      <w:r/>
    </w:p>
    <w:p>
      <w:pPr>
        <w:pStyle w:val="1011"/>
        <w:rPr>
          <w:rFonts w:hint="eastAsia" w:ascii="宋体" w:hAnsi="宋体" w:eastAsia="宋体" w:cs="仿宋"/>
          <w:b/>
          <w:color w:val="000000"/>
          <w:sz w:val="32"/>
          <w:szCs w:val="32"/>
          <w:highlight w:val="none"/>
        </w:rPr>
      </w:pPr>
      <w:r>
        <w:rPr>
          <w:rFonts w:hint="eastAsia" w:ascii="宋体" w:hAnsi="宋体" w:eastAsia="宋体" w:cs="仿宋"/>
          <w:b/>
          <w:color w:val="000000"/>
          <w:sz w:val="32"/>
          <w:szCs w:val="32"/>
          <w:highlight w:val="none"/>
        </w:rPr>
        <w:br w:type="page" w:clear="all"/>
      </w:r>
      <w:r>
        <w:rPr>
          <w:rFonts w:hint="eastAsia" w:ascii="宋体" w:hAnsi="宋体" w:eastAsia="宋体" w:cs="仿宋"/>
          <w:b/>
          <w:color w:val="000000"/>
          <w:sz w:val="32"/>
          <w:szCs w:val="32"/>
          <w:highlight w:val="none"/>
        </w:rPr>
      </w:r>
      <w:r/>
    </w:p>
    <w:p>
      <w:pPr>
        <w:pStyle w:val="1282"/>
        <w:numPr>
          <w:ilvl w:val="0"/>
          <w:numId w:val="4"/>
        </w:numPr>
        <w:ind w:firstLine="0"/>
        <w:jc w:val="center"/>
        <w:spacing w:line="360" w:lineRule="auto"/>
        <w:rPr>
          <w:rFonts w:hint="eastAsia" w:ascii="宋体" w:hAnsi="宋体" w:eastAsia="宋体" w:cs="仿宋"/>
          <w:b/>
          <w:color w:val="000000"/>
          <w:sz w:val="32"/>
          <w:szCs w:val="32"/>
          <w:highlight w:val="none"/>
        </w:rPr>
      </w:pPr>
      <w:r>
        <w:rPr>
          <w:rFonts w:hint="eastAsia" w:ascii="宋体" w:hAnsi="宋体" w:eastAsia="宋体" w:cs="仿宋"/>
          <w:b/>
          <w:color w:val="000000"/>
          <w:sz w:val="32"/>
          <w:szCs w:val="32"/>
          <w:highlight w:val="none"/>
        </w:rPr>
        <w:t xml:space="preserve">采购</w:t>
      </w:r>
      <w:bookmarkEnd w:id="38"/>
      <w:r>
        <w:rPr>
          <w:rFonts w:hint="eastAsia" w:ascii="宋体" w:hAnsi="宋体" w:eastAsia="宋体" w:cs="仿宋"/>
          <w:b/>
          <w:color w:val="000000"/>
          <w:sz w:val="32"/>
          <w:szCs w:val="32"/>
          <w:highlight w:val="none"/>
        </w:rPr>
        <w:t xml:space="preserve">需求</w:t>
      </w:r>
      <w:r>
        <w:rPr>
          <w:rFonts w:hint="eastAsia" w:ascii="宋体" w:hAnsi="宋体" w:eastAsia="宋体" w:cs="仿宋"/>
          <w:b/>
          <w:color w:val="000000"/>
          <w:sz w:val="32"/>
          <w:szCs w:val="32"/>
          <w:highlight w:val="none"/>
        </w:rPr>
      </w:r>
      <w:r/>
    </w:p>
    <w:p>
      <w:pPr>
        <w:pStyle w:val="1283"/>
        <w:pageBreakBefore w:val="0"/>
        <w:spacing w:line="360" w:lineRule="auto"/>
        <w:rPr>
          <w:rFonts w:hint="eastAsia" w:ascii="宋体" w:hAnsi="宋体" w:eastAsia="宋体" w:cs="宋体"/>
          <w:b/>
          <w:bCs/>
          <w:color w:val="000000"/>
          <w:sz w:val="24"/>
          <w:szCs w:val="24"/>
          <w:lang w:val="en-US" w:eastAsia="zh-CN"/>
        </w:rPr>
      </w:pPr>
      <w:r/>
      <w:bookmarkStart w:id="40" w:name="_Toc409438821"/>
      <w:r/>
      <w:bookmarkStart w:id="41" w:name="_Toc388026588"/>
      <w:r>
        <w:rPr>
          <w:rFonts w:hint="eastAsia" w:ascii="宋体" w:cs="宋体"/>
          <w:b/>
          <w:bCs/>
          <w:color w:val="000000"/>
          <w:sz w:val="24"/>
          <w:szCs w:val="24"/>
          <w:lang w:val="en-US" w:eastAsia="zh-CN"/>
        </w:rPr>
        <w:t xml:space="preserve">一</w:t>
      </w:r>
      <w:r>
        <w:rPr>
          <w:rFonts w:hint="eastAsia" w:ascii="宋体" w:hAnsi="宋体" w:eastAsia="宋体" w:cs="宋体"/>
          <w:b/>
          <w:bCs/>
          <w:color w:val="000000"/>
          <w:sz w:val="24"/>
          <w:szCs w:val="24"/>
          <w:lang w:val="en-US"/>
        </w:rPr>
        <w:t xml:space="preserve">、</w:t>
      </w:r>
      <w:r>
        <w:rPr>
          <w:rFonts w:hint="eastAsia" w:ascii="宋体" w:cs="宋体"/>
          <w:b/>
          <w:bCs/>
          <w:color w:val="000000"/>
          <w:sz w:val="24"/>
          <w:szCs w:val="24"/>
          <w:lang w:val="en-US" w:eastAsia="zh-CN"/>
        </w:rPr>
        <w:t xml:space="preserve">项目概况</w:t>
      </w:r>
      <w:r>
        <w:rPr>
          <w:rFonts w:hint="eastAsia" w:ascii="宋体" w:hAnsi="宋体" w:eastAsia="宋体" w:cs="宋体"/>
          <w:b/>
          <w:bCs/>
          <w:color w:val="000000"/>
          <w:sz w:val="24"/>
          <w:szCs w:val="24"/>
          <w:lang w:val="en-US" w:eastAsia="zh-CN"/>
        </w:rPr>
      </w:r>
      <w:r/>
    </w:p>
    <w:p>
      <w:pPr>
        <w:pStyle w:val="1011"/>
        <w:ind w:firstLine="420"/>
        <w:spacing w:line="360" w:lineRule="auto"/>
        <w:rPr>
          <w:rFonts w:hint="eastAsia" w:ascii="宋体" w:hAnsi="宋体" w:eastAsia="宋体" w:cs="宋体"/>
          <w:color w:val="000000"/>
          <w:sz w:val="24"/>
          <w:szCs w:val="24"/>
          <w:lang w:val="en-US"/>
        </w:rPr>
      </w:pPr>
      <w:r/>
      <w:bookmarkStart w:id="42" w:name="OLE_LINK1"/>
      <w:r>
        <w:rPr>
          <w:rFonts w:hint="eastAsia" w:ascii="宋体" w:hAnsi="宋体" w:eastAsia="宋体" w:cs="宋体"/>
          <w:color w:val="000000"/>
          <w:sz w:val="24"/>
          <w:szCs w:val="24"/>
          <w:lang w:val="en-US" w:eastAsia="zh-CN"/>
        </w:rPr>
        <w:t xml:space="preserve">泰州市第二人民医院</w:t>
      </w:r>
      <w:r>
        <w:rPr>
          <w:rFonts w:hint="eastAsia" w:ascii="宋体" w:hAnsi="宋体" w:eastAsia="宋体" w:cs="宋体"/>
          <w:color w:val="000000"/>
          <w:sz w:val="24"/>
          <w:szCs w:val="24"/>
          <w:lang w:val="en-US"/>
        </w:rPr>
        <w:t xml:space="preserve">是一所集</w:t>
      </w:r>
      <w:bookmarkEnd w:id="42"/>
      <w:r>
        <w:rPr>
          <w:rFonts w:hint="eastAsia" w:ascii="宋体" w:hAnsi="宋体" w:eastAsia="宋体" w:cs="宋体"/>
          <w:color w:val="000000"/>
          <w:sz w:val="24"/>
          <w:szCs w:val="24"/>
          <w:lang w:val="en-US"/>
        </w:rPr>
        <w:t xml:space="preserve">医疗、教学、科研、急救、保健为一体的现代化综合医院。目前医院已经通过互联互通成熟度测评四级甲等、电子病历系统应用水平分级评价五级，为了继续提升患者就医服务体验和医院整体管理水平，开展本次项目建设。</w:t>
      </w:r>
      <w:r>
        <w:rPr>
          <w:rFonts w:hint="eastAsia" w:ascii="宋体" w:hAnsi="宋体" w:eastAsia="宋体" w:cs="宋体"/>
          <w:color w:val="000000"/>
          <w:sz w:val="24"/>
          <w:szCs w:val="24"/>
          <w:lang w:val="en-US"/>
        </w:rPr>
      </w:r>
      <w:r/>
    </w:p>
    <w:p>
      <w:pPr>
        <w:pStyle w:val="1283"/>
        <w:numPr>
          <w:ilvl w:val="0"/>
          <w:numId w:val="0"/>
        </w:numPr>
        <w:ind w:firstLine="573"/>
        <w:pageBreakBefore w:val="0"/>
        <w:spacing w:line="360" w:lineRule="auto"/>
        <w:rPr>
          <w:rFonts w:hint="eastAsia" w:ascii="宋体" w:hAnsi="宋体" w:eastAsia="宋体" w:cs="宋体"/>
          <w:b/>
          <w:bCs/>
          <w:color w:val="000000"/>
          <w:sz w:val="24"/>
          <w:szCs w:val="24"/>
          <w:lang w:val="en-US" w:eastAsia="zh-CN"/>
        </w:rPr>
      </w:pPr>
      <w:r>
        <w:rPr>
          <w:rFonts w:hint="eastAsia" w:ascii="宋体" w:cs="宋体"/>
          <w:b/>
          <w:bCs/>
          <w:color w:val="000000"/>
          <w:sz w:val="24"/>
          <w:szCs w:val="24"/>
          <w:lang w:val="en-US" w:eastAsia="zh-CN"/>
        </w:rPr>
        <w:t xml:space="preserve">二</w:t>
      </w:r>
      <w:r>
        <w:rPr>
          <w:rFonts w:hint="eastAsia" w:ascii="宋体" w:hAnsi="宋体" w:eastAsia="宋体" w:cs="宋体"/>
          <w:b/>
          <w:bCs/>
          <w:color w:val="000000"/>
          <w:sz w:val="24"/>
          <w:szCs w:val="24"/>
          <w:lang w:val="en-US" w:eastAsia="zh-CN"/>
        </w:rPr>
        <w:t xml:space="preserve">、建设目标</w:t>
      </w:r>
      <w:r>
        <w:rPr>
          <w:rFonts w:hint="eastAsia" w:ascii="宋体" w:hAnsi="宋体" w:eastAsia="宋体" w:cs="宋体"/>
          <w:b/>
          <w:bCs/>
          <w:color w:val="000000"/>
          <w:sz w:val="24"/>
          <w:szCs w:val="24"/>
          <w:lang w:val="en-US" w:eastAsia="zh-CN"/>
        </w:rPr>
      </w:r>
      <w:r/>
    </w:p>
    <w:p>
      <w:pPr>
        <w:pStyle w:val="1283"/>
        <w:numPr>
          <w:ilvl w:val="0"/>
          <w:numId w:val="0"/>
        </w:numPr>
        <w:ind w:firstLine="480"/>
        <w:pageBreakBefore w:val="0"/>
        <w:spacing w:line="360" w:lineRule="auto"/>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本次建设以互联网医院为核心，以服务居民健康为出发点，构建标准、开放、融合、创新、可持续运营的互联网医院生态平台，从医疗机构开始，有效连接并整合医疗资源、第三方服务机构资源及与居民健康相关的其他资源，通过“线上”和“线下”一体化的方式，共同为老百姓提供</w:t>
      </w:r>
      <w:r>
        <w:rPr>
          <w:rFonts w:hint="eastAsia" w:ascii="宋体" w:hAnsi="宋体" w:eastAsia="宋体" w:cs="宋体"/>
          <w:color w:val="000000"/>
          <w:sz w:val="24"/>
          <w:szCs w:val="24"/>
          <w:lang w:val="en-US" w:eastAsia="zh-CN"/>
        </w:rPr>
        <w:t xml:space="preserve">全方位</w:t>
      </w:r>
      <w:r>
        <w:rPr>
          <w:rFonts w:hint="eastAsia" w:ascii="宋体" w:hAnsi="宋体" w:eastAsia="宋体" w:cs="宋体"/>
          <w:color w:val="000000"/>
          <w:sz w:val="24"/>
          <w:szCs w:val="24"/>
          <w:lang w:val="en-US"/>
        </w:rPr>
        <w:t xml:space="preserve">健康服务，满足人民群众多层次多样化的健康需求，如健康教育、在线疾病咨询、在线复诊服务、预约挂号、导诊候诊、电子处方、远程会诊、检验检查报告查询打印、网上购药及药品配送、用药提醒、疾病随访、满意度调查等。</w:t>
      </w:r>
      <w:r>
        <w:rPr>
          <w:rFonts w:hint="eastAsia" w:ascii="宋体" w:hAnsi="宋体" w:eastAsia="宋体" w:cs="宋体"/>
          <w:color w:val="000000"/>
          <w:sz w:val="24"/>
          <w:szCs w:val="24"/>
          <w:highlight w:val="none"/>
          <w:lang w:val="en-US"/>
        </w:rPr>
        <w:t xml:space="preserve">最终</w:t>
      </w:r>
      <w:r>
        <w:rPr>
          <w:rFonts w:ascii="宋体" w:hAnsi="宋体" w:eastAsia="宋体" w:cs="宋体"/>
          <w:color w:val="000000"/>
          <w:sz w:val="24"/>
          <w:szCs w:val="24"/>
          <w:highlight w:val="none"/>
          <w:lang w:val="en-US"/>
        </w:rPr>
        <w:t xml:space="preserve">目标需协助医院通过</w:t>
      </w:r>
      <w:r>
        <w:rPr>
          <w:rFonts w:hint="eastAsia" w:ascii="宋体" w:hAnsi="宋体" w:eastAsia="宋体" w:cs="宋体"/>
          <w:color w:val="000000"/>
          <w:sz w:val="24"/>
          <w:szCs w:val="24"/>
          <w:highlight w:val="none"/>
          <w:lang w:val="en-US"/>
        </w:rPr>
        <w:t xml:space="preserve">国家卫健委《医院智慧</w:t>
      </w:r>
      <w:r>
        <w:rPr>
          <w:rFonts w:hint="eastAsia" w:ascii="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lang w:val="en-US"/>
        </w:rPr>
        <w:t xml:space="preserve">分级评估标准体系（试行）》三级评审</w:t>
      </w:r>
      <w:r>
        <w:rPr>
          <w:rFonts w:hint="eastAsia" w:ascii="宋体" w:hAnsi="宋体" w:eastAsia="宋体" w:cs="宋体"/>
          <w:color w:val="000000"/>
          <w:sz w:val="24"/>
          <w:szCs w:val="24"/>
          <w:lang w:val="en-US"/>
        </w:rPr>
        <w:t xml:space="preserve">。</w:t>
      </w:r>
      <w:r>
        <w:rPr>
          <w:rFonts w:hint="eastAsia" w:ascii="宋体" w:hAnsi="宋体" w:eastAsia="宋体" w:cs="宋体"/>
          <w:color w:val="000000"/>
          <w:sz w:val="24"/>
          <w:szCs w:val="24"/>
          <w:lang w:val="en-US"/>
        </w:rPr>
      </w:r>
      <w:r/>
    </w:p>
    <w:p>
      <w:pPr>
        <w:pStyle w:val="1283"/>
        <w:numPr>
          <w:ilvl w:val="0"/>
          <w:numId w:val="0"/>
        </w:numPr>
        <w:ind w:firstLine="482"/>
        <w:pageBreakBefore w:val="0"/>
        <w:spacing w:line="360" w:lineRule="auto"/>
        <w:rPr>
          <w:rFonts w:ascii="宋体" w:cs="宋体"/>
          <w:color w:val="000000"/>
          <w:sz w:val="24"/>
          <w:szCs w:val="24"/>
          <w:lang w:val="en-US" w:eastAsia="zh-CN"/>
        </w:rPr>
      </w:pPr>
      <w:r>
        <w:rPr>
          <w:rFonts w:hint="eastAsia" w:ascii="宋体" w:cs="宋体"/>
          <w:b/>
          <w:bCs/>
          <w:color w:val="000000"/>
          <w:sz w:val="24"/>
          <w:szCs w:val="24"/>
          <w:lang w:val="en-US" w:eastAsia="zh-CN"/>
        </w:rPr>
        <w:t xml:space="preserve">三</w:t>
      </w:r>
      <w:r>
        <w:rPr>
          <w:rFonts w:ascii="宋体" w:hAnsi="宋体" w:eastAsia="宋体" w:cs="宋体"/>
          <w:b/>
          <w:bCs/>
          <w:color w:val="000000"/>
          <w:sz w:val="24"/>
          <w:szCs w:val="24"/>
          <w:lang w:val="en-US" w:eastAsia="zh-CN"/>
        </w:rPr>
        <w:t xml:space="preserve">、</w:t>
      </w:r>
      <w:r>
        <w:rPr>
          <w:rFonts w:hint="eastAsia" w:ascii="宋体" w:cs="宋体"/>
          <w:b/>
          <w:bCs/>
          <w:color w:val="000000"/>
          <w:sz w:val="24"/>
          <w:szCs w:val="24"/>
          <w:lang w:val="en-US" w:eastAsia="zh-CN"/>
        </w:rPr>
        <w:t xml:space="preserve">总体技术要求</w:t>
      </w:r>
      <w:r>
        <w:rPr>
          <w:rFonts w:hint="eastAsia" w:ascii="宋体" w:cs="宋体"/>
          <w:color w:val="000000"/>
          <w:sz w:val="24"/>
          <w:szCs w:val="24"/>
          <w:lang w:val="en-US" w:eastAsia="zh-CN"/>
        </w:rPr>
        <w:t xml:space="preserve">    </w:t>
      </w:r>
      <w:r>
        <w:rPr>
          <w:rFonts w:ascii="宋体" w:cs="宋体"/>
          <w:color w:val="000000"/>
          <w:sz w:val="24"/>
          <w:szCs w:val="24"/>
          <w:lang w:val="en-US" w:eastAsia="zh-CN"/>
        </w:rPr>
      </w:r>
      <w:r/>
    </w:p>
    <w:tbl>
      <w:tblPr>
        <w:tblW w:w="87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1828"/>
        <w:gridCol w:w="6051"/>
      </w:tblGrid>
      <w:tr>
        <w:trPr>
          <w:trHeight w:val="630"/>
        </w:trPr>
        <w:tc>
          <w:tcPr>
            <w:tcW w:w="905" w:type="dxa"/>
            <w:vAlign w:val="center"/>
            <w:textDirection w:val="lrTb"/>
            <w:noWrap w:val="false"/>
          </w:tcPr>
          <w:p>
            <w:pPr>
              <w:pStyle w:val="1011"/>
              <w:jc w:val="center"/>
              <w:spacing w:line="240" w:lineRule="auto"/>
              <w:widowControl w:val="off"/>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序号</w:t>
            </w:r>
            <w:r>
              <w:rPr>
                <w:rFonts w:hint="eastAsia" w:ascii="仿宋" w:hAnsi="仿宋" w:eastAsia="仿宋" w:cs="仿宋"/>
                <w:color w:val="000000"/>
                <w:sz w:val="24"/>
                <w:szCs w:val="24"/>
                <w:lang w:val="en-US"/>
              </w:rPr>
            </w:r>
            <w:r/>
          </w:p>
        </w:tc>
        <w:tc>
          <w:tcPr>
            <w:tcW w:w="1828" w:type="dxa"/>
            <w:vAlign w:val="center"/>
            <w:textDirection w:val="lrTb"/>
            <w:noWrap w:val="false"/>
          </w:tcPr>
          <w:p>
            <w:pPr>
              <w:pStyle w:val="1011"/>
              <w:jc w:val="center"/>
              <w:spacing w:line="240" w:lineRule="auto"/>
              <w:widowControl w:val="off"/>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项目</w:t>
            </w:r>
            <w:r>
              <w:rPr>
                <w:rFonts w:hint="eastAsia" w:ascii="仿宋" w:hAnsi="仿宋" w:eastAsia="仿宋" w:cs="仿宋"/>
                <w:color w:val="000000"/>
                <w:sz w:val="24"/>
                <w:szCs w:val="24"/>
                <w:lang w:val="en-US"/>
              </w:rPr>
            </w:r>
            <w:r/>
          </w:p>
        </w:tc>
        <w:tc>
          <w:tcPr>
            <w:tcW w:w="6051" w:type="dxa"/>
            <w:vAlign w:val="center"/>
            <w:textDirection w:val="lrTb"/>
            <w:noWrap w:val="false"/>
          </w:tcPr>
          <w:p>
            <w:pPr>
              <w:pStyle w:val="1011"/>
              <w:ind w:firstLine="420"/>
              <w:jc w:val="center"/>
              <w:spacing w:line="240" w:lineRule="auto"/>
              <w:widowControl w:val="off"/>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技术要求</w:t>
            </w:r>
            <w:r>
              <w:rPr>
                <w:rFonts w:hint="eastAsia" w:ascii="仿宋" w:hAnsi="仿宋" w:eastAsia="仿宋" w:cs="仿宋"/>
                <w:color w:val="000000"/>
                <w:sz w:val="24"/>
                <w:szCs w:val="24"/>
                <w:lang w:val="en-US"/>
              </w:rPr>
            </w:r>
            <w:r/>
          </w:p>
        </w:tc>
      </w:tr>
      <w:tr>
        <w:trPr>
          <w:trHeight w:val="569"/>
        </w:trPr>
        <w:tc>
          <w:tcPr>
            <w:tcW w:w="905" w:type="dxa"/>
            <w:vAlign w:val="center"/>
            <w:textDirection w:val="lrTb"/>
            <w:noWrap w:val="false"/>
          </w:tcPr>
          <w:p>
            <w:pPr>
              <w:pStyle w:val="1011"/>
              <w:ind w:firstLine="210"/>
              <w:jc w:val="both"/>
              <w:spacing w:line="240" w:lineRule="auto"/>
              <w:widowControl w:val="off"/>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en-US"/>
              </w:rPr>
            </w:r>
            <w:r/>
          </w:p>
        </w:tc>
        <w:tc>
          <w:tcPr>
            <w:tcW w:w="1828" w:type="dxa"/>
            <w:vAlign w:val="center"/>
            <w:textDirection w:val="lrTb"/>
            <w:noWrap w:val="false"/>
          </w:tcPr>
          <w:p>
            <w:pPr>
              <w:pStyle w:val="1011"/>
              <w:jc w:val="center"/>
              <w:spacing w:line="240" w:lineRule="auto"/>
              <w:widowControl w:val="off"/>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标准化要求</w:t>
            </w:r>
            <w:r>
              <w:rPr>
                <w:rFonts w:hint="eastAsia" w:ascii="仿宋" w:hAnsi="仿宋" w:eastAsia="仿宋" w:cs="仿宋"/>
                <w:color w:val="000000"/>
                <w:sz w:val="24"/>
                <w:szCs w:val="24"/>
                <w:lang w:val="en-US"/>
              </w:rPr>
            </w:r>
            <w:r/>
          </w:p>
        </w:tc>
        <w:tc>
          <w:tcPr>
            <w:tcW w:w="6051" w:type="dxa"/>
            <w:vAlign w:val="center"/>
            <w:textDirection w:val="lrTb"/>
            <w:noWrap w:val="false"/>
          </w:tcPr>
          <w:p>
            <w:pPr>
              <w:pStyle w:val="1011"/>
              <w:ind w:firstLine="420"/>
              <w:spacing w:line="240" w:lineRule="auto"/>
              <w:widowControl w:val="off"/>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支持HL7、ICD-10、DICOM等协议标准，符合</w:t>
            </w:r>
            <w:r>
              <w:rPr>
                <w:rFonts w:hint="eastAsia" w:ascii="仿宋" w:hAnsi="仿宋" w:eastAsia="仿宋" w:cs="仿宋"/>
                <w:color w:val="000000"/>
                <w:sz w:val="24"/>
                <w:szCs w:val="24"/>
                <w:lang w:val="en-US" w:eastAsia="zh-CN"/>
              </w:rPr>
              <w:t xml:space="preserve">卫健委</w:t>
            </w:r>
            <w:r>
              <w:rPr>
                <w:rFonts w:hint="eastAsia" w:ascii="仿宋" w:hAnsi="仿宋" w:eastAsia="仿宋" w:cs="仿宋"/>
                <w:color w:val="000000"/>
                <w:sz w:val="24"/>
                <w:szCs w:val="24"/>
                <w:lang w:val="en-US"/>
              </w:rPr>
              <w:t xml:space="preserve">2002年4月《信息系统基本功能规范》要求，符合</w:t>
            </w:r>
            <w:r>
              <w:rPr>
                <w:rFonts w:hint="eastAsia" w:ascii="仿宋" w:hAnsi="仿宋" w:eastAsia="仿宋" w:cs="仿宋"/>
                <w:color w:val="000000"/>
                <w:sz w:val="24"/>
                <w:szCs w:val="24"/>
                <w:lang w:val="en-US" w:eastAsia="zh-CN"/>
              </w:rPr>
              <w:t xml:space="preserve">卫健委</w:t>
            </w:r>
            <w:r>
              <w:rPr>
                <w:rFonts w:hint="eastAsia" w:ascii="仿宋" w:hAnsi="仿宋" w:eastAsia="仿宋" w:cs="仿宋"/>
                <w:color w:val="000000"/>
                <w:sz w:val="24"/>
                <w:szCs w:val="24"/>
                <w:lang w:val="en-US"/>
              </w:rPr>
              <w:t xml:space="preserve">《电子病历基本架构与数据标准》的要求，软件数据字典应遵循国家数据字典、省部委数据字典、地区和用户数据字典规范，并能充分实现客户化。</w:t>
            </w:r>
            <w:r>
              <w:rPr>
                <w:rFonts w:hint="eastAsia" w:ascii="仿宋" w:hAnsi="仿宋" w:eastAsia="仿宋" w:cs="仿宋"/>
                <w:color w:val="000000"/>
                <w:sz w:val="24"/>
                <w:szCs w:val="24"/>
                <w:lang w:val="en-US"/>
              </w:rPr>
            </w:r>
            <w:r/>
          </w:p>
        </w:tc>
      </w:tr>
      <w:tr>
        <w:trPr>
          <w:trHeight w:val="569"/>
        </w:trPr>
        <w:tc>
          <w:tcPr>
            <w:tcW w:w="905" w:type="dxa"/>
            <w:vAlign w:val="center"/>
            <w:textDirection w:val="lrTb"/>
            <w:noWrap w:val="false"/>
          </w:tcPr>
          <w:p>
            <w:pPr>
              <w:pStyle w:val="1011"/>
              <w:ind w:firstLine="210"/>
              <w:jc w:val="both"/>
              <w:spacing w:line="240" w:lineRule="auto"/>
              <w:widowControl w:val="off"/>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val="en-US"/>
              </w:rPr>
            </w:r>
            <w:r/>
          </w:p>
        </w:tc>
        <w:tc>
          <w:tcPr>
            <w:tcW w:w="1828" w:type="dxa"/>
            <w:vAlign w:val="center"/>
            <w:textDirection w:val="lrTb"/>
            <w:noWrap w:val="false"/>
          </w:tcPr>
          <w:p>
            <w:pPr>
              <w:pStyle w:val="1011"/>
              <w:jc w:val="center"/>
              <w:spacing w:line="240" w:lineRule="auto"/>
              <w:widowControl w:val="off"/>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建设标准</w:t>
            </w:r>
            <w:r>
              <w:rPr>
                <w:rFonts w:hint="eastAsia" w:ascii="仿宋" w:hAnsi="仿宋" w:eastAsia="仿宋" w:cs="仿宋"/>
                <w:color w:val="000000"/>
                <w:sz w:val="24"/>
                <w:szCs w:val="24"/>
                <w:lang w:val="en-US"/>
              </w:rPr>
            </w:r>
            <w:r/>
          </w:p>
        </w:tc>
        <w:tc>
          <w:tcPr>
            <w:tcW w:w="6051" w:type="dxa"/>
            <w:vAlign w:val="center"/>
            <w:textDirection w:val="lrTb"/>
            <w:noWrap w:val="false"/>
          </w:tcPr>
          <w:p>
            <w:pPr>
              <w:pStyle w:val="1011"/>
              <w:ind w:firstLine="420"/>
              <w:spacing w:line="240" w:lineRule="auto"/>
              <w:widowControl w:val="off"/>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符合国家卫健委《医院智慧服务分级评估标准体系（试行）》三级的建设标准和要求。</w:t>
            </w:r>
            <w:r>
              <w:rPr>
                <w:rFonts w:hint="eastAsia" w:ascii="仿宋" w:hAnsi="仿宋" w:eastAsia="仿宋" w:cs="仿宋"/>
                <w:color w:val="000000"/>
                <w:sz w:val="24"/>
                <w:szCs w:val="24"/>
                <w:lang w:val="en-US"/>
              </w:rPr>
            </w:r>
            <w:r/>
          </w:p>
        </w:tc>
      </w:tr>
      <w:tr>
        <w:trPr>
          <w:trHeight w:val="444"/>
        </w:trPr>
        <w:tc>
          <w:tcPr>
            <w:tcW w:w="905" w:type="dxa"/>
            <w:vAlign w:val="center"/>
            <w:textDirection w:val="lrTb"/>
            <w:noWrap w:val="false"/>
          </w:tcPr>
          <w:p>
            <w:pPr>
              <w:pStyle w:val="1011"/>
              <w:ind w:firstLine="210"/>
              <w:jc w:val="both"/>
              <w:spacing w:line="240" w:lineRule="auto"/>
              <w:widowControl w:val="off"/>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val="en-US"/>
              </w:rPr>
            </w:r>
            <w:r/>
          </w:p>
        </w:tc>
        <w:tc>
          <w:tcPr>
            <w:tcW w:w="1828" w:type="dxa"/>
            <w:vAlign w:val="center"/>
            <w:textDirection w:val="lrTb"/>
            <w:noWrap w:val="false"/>
          </w:tcPr>
          <w:p>
            <w:pPr>
              <w:pStyle w:val="1011"/>
              <w:jc w:val="center"/>
              <w:spacing w:line="240" w:lineRule="auto"/>
              <w:widowControl w:val="off"/>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数据库要求</w:t>
            </w:r>
            <w:r>
              <w:rPr>
                <w:rFonts w:hint="eastAsia" w:ascii="仿宋" w:hAnsi="仿宋" w:eastAsia="仿宋" w:cs="仿宋"/>
                <w:color w:val="000000"/>
                <w:sz w:val="24"/>
                <w:szCs w:val="24"/>
                <w:lang w:val="en-US"/>
              </w:rPr>
            </w:r>
            <w:r/>
          </w:p>
        </w:tc>
        <w:tc>
          <w:tcPr>
            <w:tcW w:w="6051" w:type="dxa"/>
            <w:vAlign w:val="center"/>
            <w:textDirection w:val="lrTb"/>
            <w:noWrap w:val="false"/>
          </w:tcPr>
          <w:p>
            <w:pPr>
              <w:pStyle w:val="1011"/>
              <w:ind w:firstLine="420"/>
              <w:spacing w:line="240" w:lineRule="auto"/>
              <w:widowControl w:val="off"/>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支持OceanBase、PolarDB、openGauss 、金仓等国产数据库产品。</w:t>
            </w:r>
            <w:r>
              <w:rPr>
                <w:rFonts w:hint="eastAsia" w:ascii="仿宋" w:hAnsi="仿宋" w:eastAsia="仿宋" w:cs="仿宋"/>
                <w:color w:val="000000"/>
                <w:sz w:val="24"/>
                <w:szCs w:val="24"/>
                <w:lang w:val="en-US"/>
              </w:rPr>
            </w:r>
            <w:r/>
          </w:p>
        </w:tc>
      </w:tr>
      <w:tr>
        <w:trPr>
          <w:trHeight w:val="444"/>
        </w:trPr>
        <w:tc>
          <w:tcPr>
            <w:tcW w:w="905" w:type="dxa"/>
            <w:vAlign w:val="center"/>
            <w:textDirection w:val="lrTb"/>
            <w:noWrap w:val="false"/>
          </w:tcPr>
          <w:p>
            <w:pPr>
              <w:pStyle w:val="1011"/>
              <w:ind w:firstLine="210"/>
              <w:jc w:val="both"/>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val="en-US" w:eastAsia="zh-CN"/>
              </w:rPr>
            </w:r>
            <w:r/>
          </w:p>
        </w:tc>
        <w:tc>
          <w:tcPr>
            <w:tcW w:w="1828" w:type="dxa"/>
            <w:vAlign w:val="center"/>
            <w:textDirection w:val="lrTb"/>
            <w:noWrap w:val="false"/>
          </w:tcPr>
          <w:p>
            <w:pPr>
              <w:pStyle w:val="1011"/>
              <w:jc w:val="center"/>
              <w:spacing w:line="240" w:lineRule="auto"/>
              <w:widowControl w:val="off"/>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服务端操作系统要求</w:t>
            </w:r>
            <w:r>
              <w:rPr>
                <w:rFonts w:hint="eastAsia" w:ascii="仿宋" w:hAnsi="仿宋" w:eastAsia="仿宋" w:cs="仿宋"/>
                <w:color w:val="000000"/>
                <w:sz w:val="24"/>
                <w:szCs w:val="24"/>
                <w:lang w:val="en-US"/>
              </w:rPr>
            </w:r>
            <w:r/>
          </w:p>
        </w:tc>
        <w:tc>
          <w:tcPr>
            <w:tcW w:w="6051" w:type="dxa"/>
            <w:vAlign w:val="center"/>
            <w:textDirection w:val="lrTb"/>
            <w:noWrap w:val="false"/>
          </w:tcPr>
          <w:p>
            <w:pPr>
              <w:pStyle w:val="1011"/>
              <w:ind w:firstLine="42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rPr>
              <w:t xml:space="preserve">支持银河麒麟、统信或其他国产服务器操作系统</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val="en-US" w:eastAsia="zh-CN"/>
              </w:rPr>
            </w:r>
            <w:r/>
          </w:p>
        </w:tc>
      </w:tr>
      <w:tr>
        <w:trPr>
          <w:trHeight w:val="444"/>
        </w:trPr>
        <w:tc>
          <w:tcPr>
            <w:tcW w:w="905" w:type="dxa"/>
            <w:vAlign w:val="center"/>
            <w:textDirection w:val="lrTb"/>
            <w:noWrap w:val="false"/>
          </w:tcPr>
          <w:p>
            <w:pPr>
              <w:pStyle w:val="1011"/>
              <w:ind w:firstLine="210"/>
              <w:jc w:val="both"/>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val="en-US" w:eastAsia="zh-CN"/>
              </w:rPr>
            </w:r>
            <w:r/>
          </w:p>
        </w:tc>
        <w:tc>
          <w:tcPr>
            <w:tcW w:w="1828" w:type="dxa"/>
            <w:vAlign w:val="center"/>
            <w:textDirection w:val="lrTb"/>
            <w:noWrap w:val="false"/>
          </w:tcPr>
          <w:p>
            <w:pPr>
              <w:pStyle w:val="1011"/>
              <w:jc w:val="center"/>
              <w:spacing w:line="240" w:lineRule="auto"/>
              <w:widowControl w:val="off"/>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客户端操作系统要求</w:t>
            </w:r>
            <w:r>
              <w:rPr>
                <w:rFonts w:hint="eastAsia" w:ascii="仿宋" w:hAnsi="仿宋" w:eastAsia="仿宋" w:cs="仿宋"/>
                <w:color w:val="000000"/>
                <w:sz w:val="24"/>
                <w:szCs w:val="24"/>
                <w:lang w:val="en-US"/>
              </w:rPr>
            </w:r>
            <w:r/>
          </w:p>
        </w:tc>
        <w:tc>
          <w:tcPr>
            <w:tcW w:w="6051" w:type="dxa"/>
            <w:vAlign w:val="center"/>
            <w:textDirection w:val="lrTb"/>
            <w:noWrap w:val="false"/>
          </w:tcPr>
          <w:p>
            <w:pPr>
              <w:pStyle w:val="1011"/>
              <w:ind w:firstLine="42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rPr>
              <w:t xml:space="preserve">支持银河麒麟、统信或其他国产桌面操作系统</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val="en-US" w:eastAsia="zh-CN"/>
              </w:rPr>
            </w:r>
            <w:r/>
          </w:p>
        </w:tc>
      </w:tr>
      <w:tr>
        <w:trPr>
          <w:trHeight w:val="473"/>
        </w:trPr>
        <w:tc>
          <w:tcPr>
            <w:tcW w:w="905" w:type="dxa"/>
            <w:vAlign w:val="center"/>
            <w:textDirection w:val="lrTb"/>
            <w:noWrap w:val="false"/>
          </w:tcPr>
          <w:p>
            <w:pPr>
              <w:pStyle w:val="1011"/>
              <w:ind w:firstLine="210"/>
              <w:jc w:val="both"/>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lang w:val="en-US" w:eastAsia="zh-CN"/>
              </w:rPr>
            </w:r>
            <w:r/>
          </w:p>
        </w:tc>
        <w:tc>
          <w:tcPr>
            <w:tcW w:w="1828" w:type="dxa"/>
            <w:vAlign w:val="center"/>
            <w:textDirection w:val="lrTb"/>
            <w:noWrap w:val="false"/>
          </w:tcPr>
          <w:p>
            <w:pPr>
              <w:pStyle w:val="1011"/>
              <w:jc w:val="center"/>
              <w:spacing w:line="240" w:lineRule="auto"/>
              <w:widowControl w:val="off"/>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系统安全性要求</w:t>
            </w:r>
            <w:r>
              <w:rPr>
                <w:rFonts w:hint="eastAsia" w:ascii="仿宋" w:hAnsi="仿宋" w:eastAsia="仿宋" w:cs="仿宋"/>
                <w:color w:val="000000"/>
                <w:sz w:val="24"/>
                <w:szCs w:val="24"/>
                <w:lang w:val="en-US"/>
              </w:rPr>
            </w:r>
            <w:r/>
          </w:p>
        </w:tc>
        <w:tc>
          <w:tcPr>
            <w:tcW w:w="6051" w:type="dxa"/>
            <w:vAlign w:val="center"/>
            <w:textDirection w:val="lrTb"/>
            <w:noWrap w:val="false"/>
          </w:tcPr>
          <w:p>
            <w:pPr>
              <w:pStyle w:val="1011"/>
              <w:ind w:firstLine="420"/>
              <w:spacing w:line="240" w:lineRule="auto"/>
              <w:widowControl w:val="off"/>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应用系统授权方便、数据库登录用户权限、有完</w:t>
            </w:r>
            <w:r>
              <w:rPr>
                <w:rFonts w:hint="eastAsia" w:ascii="仿宋" w:hAnsi="仿宋" w:eastAsia="仿宋" w:cs="仿宋"/>
                <w:color w:val="000000"/>
                <w:sz w:val="24"/>
                <w:szCs w:val="24"/>
                <w:lang w:val="en-US" w:eastAsia="zh-CN"/>
              </w:rPr>
              <w:t xml:space="preserve">善的</w:t>
            </w:r>
            <w:r>
              <w:rPr>
                <w:rFonts w:hint="eastAsia" w:ascii="仿宋" w:hAnsi="仿宋" w:eastAsia="仿宋" w:cs="仿宋"/>
                <w:color w:val="000000"/>
                <w:sz w:val="24"/>
                <w:szCs w:val="24"/>
                <w:lang w:val="en-US"/>
              </w:rPr>
              <w:t xml:space="preserve">备份功能、有完备的恢复功能、提供数据修改全程监控、提供错误日志、提供系统运行日志。</w:t>
            </w:r>
            <w:r>
              <w:rPr>
                <w:rFonts w:hint="eastAsia" w:ascii="仿宋" w:hAnsi="仿宋" w:eastAsia="仿宋" w:cs="仿宋"/>
                <w:color w:val="000000"/>
                <w:sz w:val="24"/>
                <w:szCs w:val="24"/>
                <w:lang w:val="en-US"/>
              </w:rPr>
            </w:r>
            <w:r/>
          </w:p>
        </w:tc>
      </w:tr>
      <w:tr>
        <w:trPr>
          <w:trHeight w:val="558"/>
        </w:trPr>
        <w:tc>
          <w:tcPr>
            <w:tcW w:w="905" w:type="dxa"/>
            <w:vAlign w:val="center"/>
            <w:textDirection w:val="lrTb"/>
            <w:noWrap w:val="false"/>
          </w:tcPr>
          <w:p>
            <w:pPr>
              <w:pStyle w:val="1011"/>
              <w:ind w:firstLine="210"/>
              <w:jc w:val="both"/>
              <w:spacing w:line="240" w:lineRule="auto"/>
              <w:widowControl w:val="off"/>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lang w:val="en-US"/>
              </w:rPr>
            </w:r>
            <w:r/>
          </w:p>
        </w:tc>
        <w:tc>
          <w:tcPr>
            <w:tcW w:w="1828" w:type="dxa"/>
            <w:vAlign w:val="center"/>
            <w:textDirection w:val="lrTb"/>
            <w:noWrap w:val="false"/>
          </w:tcPr>
          <w:p>
            <w:pPr>
              <w:pStyle w:val="1011"/>
              <w:jc w:val="center"/>
              <w:spacing w:line="240" w:lineRule="auto"/>
              <w:widowControl w:val="off"/>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系统可维护性</w:t>
            </w:r>
            <w:r>
              <w:rPr>
                <w:rFonts w:hint="eastAsia" w:ascii="仿宋" w:hAnsi="仿宋" w:eastAsia="仿宋" w:cs="仿宋"/>
                <w:color w:val="000000"/>
                <w:sz w:val="24"/>
                <w:szCs w:val="24"/>
                <w:lang w:val="en-US"/>
              </w:rPr>
            </w:r>
            <w:r/>
          </w:p>
        </w:tc>
        <w:tc>
          <w:tcPr>
            <w:tcW w:w="6051" w:type="dxa"/>
            <w:vAlign w:val="center"/>
            <w:textDirection w:val="lrTb"/>
            <w:noWrap w:val="false"/>
          </w:tcPr>
          <w:p>
            <w:pPr>
              <w:pStyle w:val="1011"/>
              <w:ind w:firstLine="420"/>
              <w:spacing w:line="240" w:lineRule="auto"/>
              <w:widowControl w:val="off"/>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系统安装方便、在程序中提供维护数据库的工具。</w:t>
            </w:r>
            <w:r>
              <w:rPr>
                <w:rFonts w:hint="eastAsia" w:ascii="仿宋" w:hAnsi="仿宋" w:eastAsia="仿宋" w:cs="仿宋"/>
                <w:color w:val="000000"/>
                <w:sz w:val="24"/>
                <w:szCs w:val="24"/>
                <w:lang w:val="en-US"/>
              </w:rPr>
            </w:r>
            <w:r/>
          </w:p>
        </w:tc>
      </w:tr>
    </w:tbl>
    <w:p>
      <w:pPr>
        <w:pStyle w:val="1283"/>
        <w:numPr>
          <w:ilvl w:val="0"/>
          <w:numId w:val="0"/>
        </w:numPr>
        <w:ind w:firstLine="482"/>
        <w:pageBreakBefore w:val="0"/>
        <w:spacing w:line="360" w:lineRule="auto"/>
        <w:rPr>
          <w:rFonts w:ascii="宋体" w:hAnsi="宋体" w:eastAsia="宋体" w:cs="宋体"/>
          <w:b/>
          <w:bCs/>
          <w:color w:val="000000"/>
          <w:sz w:val="24"/>
          <w:szCs w:val="24"/>
          <w:lang w:val="en-US"/>
        </w:rPr>
      </w:pPr>
      <w:r>
        <w:rPr>
          <w:rFonts w:hint="eastAsia" w:ascii="宋体" w:cs="宋体"/>
          <w:b/>
          <w:bCs/>
          <w:color w:val="000000"/>
          <w:sz w:val="24"/>
          <w:szCs w:val="24"/>
          <w:lang w:val="en-US" w:eastAsia="zh-CN"/>
        </w:rPr>
        <w:t xml:space="preserve">四、服务清单</w:t>
      </w:r>
      <w:r>
        <w:rPr>
          <w:rFonts w:ascii="宋体" w:hAnsi="宋体" w:eastAsia="宋体" w:cs="宋体"/>
          <w:b/>
          <w:bCs/>
          <w:color w:val="000000"/>
          <w:sz w:val="24"/>
          <w:szCs w:val="24"/>
          <w:lang w:val="en-US"/>
        </w:rPr>
      </w:r>
      <w:r/>
    </w:p>
    <w:tbl>
      <w:tblPr>
        <w:tblW w:w="8754" w:type="dxa"/>
        <w:tblInd w:w="-216" w:type="dxa"/>
        <w:tblLayout w:type="fixed"/>
        <w:tblCellMar>
          <w:left w:w="108" w:type="dxa"/>
          <w:top w:w="0" w:type="dxa"/>
          <w:right w:w="108" w:type="dxa"/>
          <w:bottom w:w="0" w:type="dxa"/>
        </w:tblCellMar>
        <w:tblLook w:val="04A0" w:firstRow="1" w:lastRow="0" w:firstColumn="1" w:lastColumn="0" w:noHBand="0" w:noVBand="1"/>
      </w:tblPr>
      <w:tblGrid>
        <w:gridCol w:w="788"/>
        <w:gridCol w:w="3278"/>
        <w:gridCol w:w="4688"/>
      </w:tblGrid>
      <w:tr>
        <w:trPr>
          <w:trHeight w:val="285"/>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1011"/>
              <w:jc w:val="center"/>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序号</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pStyle w:val="1011"/>
              <w:jc w:val="center"/>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采购内容</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pStyle w:val="1011"/>
              <w:jc w:val="center"/>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具体要求</w:t>
            </w:r>
            <w:r>
              <w:rPr>
                <w:rFonts w:hint="eastAsia"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1011"/>
              <w:jc w:val="center"/>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pStyle w:val="1011"/>
              <w:jc w:val="center"/>
              <w:pageBreakBefore w:val="0"/>
              <w:spacing w:line="360" w:lineRule="auto"/>
              <w:widowControl/>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bidi="ar"/>
              </w:rPr>
              <w:t xml:space="preserve">互联网医院软件集成</w:t>
            </w:r>
            <w:r>
              <w:rPr>
                <w:rFonts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pStyle w:val="1011"/>
              <w:jc w:val="center"/>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详见“</w:t>
            </w:r>
            <w:r>
              <w:rPr>
                <w:rFonts w:hint="eastAsia" w:ascii="仿宋" w:hAnsi="仿宋" w:eastAsia="仿宋" w:cs="仿宋"/>
                <w:b/>
                <w:bCs/>
                <w:color w:val="000000"/>
                <w:sz w:val="24"/>
                <w:szCs w:val="24"/>
              </w:rPr>
              <w:t xml:space="preserve">技术指标和规格要求</w:t>
            </w:r>
            <w:r>
              <w:rPr>
                <w:rFonts w:hint="eastAsia" w:ascii="仿宋" w:hAnsi="仿宋" w:eastAsia="仿宋" w:cs="仿宋"/>
                <w:color w:val="000000"/>
                <w:sz w:val="24"/>
                <w:szCs w:val="24"/>
                <w:lang w:bidi="ar"/>
              </w:rPr>
              <w:t xml:space="preserve">”</w:t>
            </w:r>
            <w:r>
              <w:rPr>
                <w:rFonts w:hint="eastAsia" w:ascii="仿宋" w:hAnsi="仿宋" w:eastAsia="仿宋" w:cs="仿宋"/>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1011"/>
              <w:jc w:val="center"/>
              <w:pageBreakBefore w:val="0"/>
              <w:spacing w:line="360" w:lineRule="auto"/>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rPr>
                <w:rFonts w:hint="eastAsia" w:ascii="仿宋" w:hAnsi="仿宋" w:eastAsia="仿宋" w:cs="仿宋"/>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pStyle w:val="1011"/>
              <w:jc w:val="center"/>
              <w:pageBreakBefore w:val="0"/>
              <w:spacing w:line="360" w:lineRule="auto"/>
              <w:widowControl/>
              <w:rPr>
                <w:rFonts w:hint="eastAsia" w:ascii="仿宋" w:hAnsi="仿宋" w:eastAsia="仿宋" w:cs="仿宋"/>
                <w:color w:val="000000"/>
                <w:sz w:val="24"/>
                <w:szCs w:val="24"/>
                <w:highlight w:val="none"/>
                <w:lang w:val="en-US" w:eastAsia="zh-CN" w:bidi="ar"/>
              </w:rPr>
            </w:pPr>
            <w:r/>
            <w:bookmarkStart w:id="43" w:name="OLE_LINK2"/>
            <w:r>
              <w:rPr>
                <w:rFonts w:hint="eastAsia" w:ascii="仿宋" w:hAnsi="仿宋" w:eastAsia="仿宋" w:cs="仿宋"/>
                <w:color w:val="000000"/>
                <w:sz w:val="24"/>
                <w:szCs w:val="24"/>
                <w:highlight w:val="none"/>
                <w:lang w:bidi="ar"/>
              </w:rPr>
              <w:t xml:space="preserve">医院药学信息管理系统</w:t>
            </w:r>
            <w:bookmarkEnd w:id="43"/>
            <w:r>
              <w:rPr>
                <w:rFonts w:hint="eastAsia" w:ascii="仿宋" w:hAnsi="仿宋" w:eastAsia="仿宋" w:cs="仿宋"/>
                <w:color w:val="000000"/>
                <w:sz w:val="24"/>
                <w:szCs w:val="24"/>
                <w:highlight w:val="none"/>
                <w:lang w:val="en-US" w:eastAsia="zh-CN" w:bidi="ar"/>
              </w:rPr>
              <w:t xml:space="preserve">软件集成及升级</w:t>
            </w:r>
            <w:r>
              <w:rPr>
                <w:rFonts w:hint="eastAsia" w:ascii="仿宋" w:hAnsi="仿宋" w:eastAsia="仿宋" w:cs="仿宋"/>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pStyle w:val="1011"/>
              <w:jc w:val="center"/>
              <w:pageBreakBefore w:val="0"/>
              <w:spacing w:line="360" w:lineRule="auto"/>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详见“</w:t>
            </w:r>
            <w:r>
              <w:rPr>
                <w:rFonts w:hint="eastAsia" w:ascii="仿宋" w:hAnsi="仿宋" w:eastAsia="仿宋" w:cs="仿宋"/>
                <w:b/>
                <w:bCs/>
                <w:color w:val="000000"/>
                <w:sz w:val="24"/>
                <w:szCs w:val="24"/>
              </w:rPr>
              <w:t xml:space="preserve">技术指标和规格要求</w:t>
            </w:r>
            <w:r>
              <w:rPr>
                <w:rFonts w:hint="eastAsia" w:ascii="仿宋" w:hAnsi="仿宋" w:eastAsia="仿宋" w:cs="仿宋"/>
                <w:color w:val="000000"/>
                <w:sz w:val="24"/>
                <w:szCs w:val="24"/>
                <w:lang w:bidi="ar"/>
              </w:rPr>
              <w:t xml:space="preserve">”</w:t>
            </w:r>
            <w:r>
              <w:rPr>
                <w:rFonts w:hint="eastAsia" w:ascii="仿宋" w:hAnsi="仿宋" w:eastAsia="仿宋" w:cs="仿宋"/>
                <w:color w:val="000000"/>
                <w:sz w:val="24"/>
                <w:szCs w:val="24"/>
                <w:lang w:bidi="ar"/>
              </w:rPr>
            </w:r>
            <w:r/>
          </w:p>
        </w:tc>
      </w:tr>
      <w:tr>
        <w:trPr>
          <w:trHeight w:val="480"/>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1011"/>
              <w:jc w:val="center"/>
              <w:pageBreakBefore w:val="0"/>
              <w:spacing w:line="360" w:lineRule="auto"/>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3</w:t>
            </w:r>
            <w:r>
              <w:rPr>
                <w:rFonts w:hint="eastAsia" w:ascii="仿宋" w:hAnsi="仿宋" w:eastAsia="仿宋" w:cs="仿宋"/>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pStyle w:val="1011"/>
              <w:jc w:val="center"/>
              <w:pageBreakBefore w:val="0"/>
              <w:spacing w:line="360" w:lineRule="auto"/>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随访</w:t>
            </w:r>
            <w:r>
              <w:rPr>
                <w:rFonts w:hint="eastAsia" w:ascii="仿宋" w:hAnsi="仿宋" w:eastAsia="仿宋" w:cs="仿宋"/>
                <w:color w:val="000000"/>
                <w:sz w:val="24"/>
                <w:szCs w:val="24"/>
                <w:highlight w:val="none"/>
                <w:lang w:val="en-US" w:eastAsia="zh-CN" w:bidi="ar"/>
              </w:rPr>
              <w:t xml:space="preserve">管理</w:t>
            </w:r>
            <w:r>
              <w:rPr>
                <w:rFonts w:hint="eastAsia" w:ascii="仿宋" w:hAnsi="仿宋" w:eastAsia="仿宋" w:cs="仿宋"/>
                <w:color w:val="000000"/>
                <w:sz w:val="24"/>
                <w:szCs w:val="24"/>
                <w:highlight w:val="none"/>
                <w:lang w:bidi="ar"/>
              </w:rPr>
              <w:t xml:space="preserve">系统</w:t>
            </w:r>
            <w:r>
              <w:rPr>
                <w:rFonts w:hint="eastAsia" w:ascii="仿宋" w:hAnsi="仿宋" w:eastAsia="仿宋" w:cs="仿宋"/>
                <w:color w:val="000000"/>
                <w:sz w:val="24"/>
                <w:szCs w:val="24"/>
                <w:highlight w:val="none"/>
                <w:lang w:val="en-US" w:eastAsia="zh-CN" w:bidi="ar"/>
              </w:rPr>
              <w:t xml:space="preserve">软件集成及升级</w:t>
            </w: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pStyle w:val="1011"/>
              <w:jc w:val="center"/>
              <w:pageBreakBefore w:val="0"/>
              <w:spacing w:line="360" w:lineRule="auto"/>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详见“</w:t>
            </w:r>
            <w:r>
              <w:rPr>
                <w:rFonts w:hint="eastAsia" w:ascii="仿宋" w:hAnsi="仿宋" w:eastAsia="仿宋" w:cs="仿宋"/>
                <w:b/>
                <w:bCs/>
                <w:color w:val="000000"/>
                <w:sz w:val="24"/>
                <w:szCs w:val="24"/>
              </w:rPr>
              <w:t xml:space="preserve">技术指标和规格要求</w:t>
            </w:r>
            <w:r>
              <w:rPr>
                <w:rFonts w:hint="eastAsia" w:ascii="仿宋" w:hAnsi="仿宋" w:eastAsia="仿宋" w:cs="仿宋"/>
                <w:color w:val="000000"/>
                <w:sz w:val="24"/>
                <w:szCs w:val="24"/>
                <w:lang w:bidi="ar"/>
              </w:rPr>
              <w:t xml:space="preserve">”</w:t>
            </w:r>
            <w:r>
              <w:rPr>
                <w:rFonts w:hint="eastAsia" w:ascii="仿宋" w:hAnsi="仿宋" w:eastAsia="仿宋" w:cs="仿宋"/>
                <w:color w:val="000000"/>
                <w:sz w:val="24"/>
                <w:szCs w:val="24"/>
                <w:lang w:bidi="ar"/>
              </w:rPr>
            </w:r>
            <w:r/>
          </w:p>
        </w:tc>
      </w:tr>
      <w:tr>
        <w:trPr>
          <w:trHeight w:val="480"/>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1011"/>
              <w:jc w:val="center"/>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pStyle w:val="1011"/>
              <w:jc w:val="center"/>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院内导航系统</w:t>
            </w:r>
            <w:r>
              <w:rPr>
                <w:rFonts w:hint="eastAsia" w:ascii="仿宋" w:hAnsi="仿宋" w:eastAsia="仿宋" w:cs="仿宋"/>
                <w:color w:val="000000"/>
                <w:sz w:val="24"/>
                <w:szCs w:val="24"/>
                <w:highlight w:val="none"/>
                <w:lang w:val="en-US" w:eastAsia="zh-CN" w:bidi="ar"/>
              </w:rPr>
              <w:t xml:space="preserve">软件集成</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pStyle w:val="1011"/>
              <w:jc w:val="center"/>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详见“</w:t>
            </w:r>
            <w:r>
              <w:rPr>
                <w:rFonts w:hint="eastAsia" w:ascii="仿宋" w:hAnsi="仿宋" w:eastAsia="仿宋" w:cs="仿宋"/>
                <w:b/>
                <w:bCs/>
                <w:color w:val="000000"/>
                <w:sz w:val="24"/>
                <w:szCs w:val="24"/>
              </w:rPr>
              <w:t xml:space="preserve">技术指标和规格要求</w:t>
            </w:r>
            <w:r>
              <w:rPr>
                <w:rFonts w:hint="eastAsia" w:ascii="仿宋" w:hAnsi="仿宋" w:eastAsia="仿宋" w:cs="仿宋"/>
                <w:color w:val="000000"/>
                <w:sz w:val="24"/>
                <w:szCs w:val="24"/>
                <w:lang w:bidi="ar"/>
              </w:rPr>
              <w:t xml:space="preserve">”</w:t>
            </w:r>
            <w:r>
              <w:rPr>
                <w:rFonts w:hint="eastAsia" w:ascii="仿宋" w:hAnsi="仿宋" w:eastAsia="仿宋" w:cs="仿宋"/>
                <w:color w:val="000000"/>
                <w:sz w:val="24"/>
                <w:szCs w:val="24"/>
              </w:rPr>
            </w:r>
            <w:r/>
          </w:p>
        </w:tc>
      </w:tr>
    </w:tbl>
    <w:p>
      <w:pPr>
        <w:pStyle w:val="1011"/>
        <w:ind w:firstLine="241"/>
        <w:keepLines/>
        <w:keepNext/>
        <w:spacing w:line="400" w:lineRule="exact"/>
        <w:rPr>
          <w:rFonts w:hint="eastAsia" w:ascii="宋体" w:hAnsi="宋体" w:eastAsia="宋体" w:cs="仿宋"/>
          <w:b/>
          <w:bCs/>
          <w:color w:val="000000"/>
          <w:sz w:val="24"/>
          <w:szCs w:val="24"/>
          <w:highlight w:val="none"/>
          <w:shd w:val="clear" w:color="auto" w:fill="ffffff"/>
        </w:rPr>
        <w:outlineLvl w:val="3"/>
      </w:pPr>
      <w:r>
        <w:rPr>
          <w:rFonts w:hint="eastAsia" w:ascii="宋体" w:hAnsi="宋体" w:eastAsia="宋体" w:cs="仿宋"/>
          <w:b/>
          <w:bCs/>
          <w:color w:val="000000"/>
          <w:sz w:val="24"/>
          <w:szCs w:val="24"/>
          <w:highlight w:val="none"/>
          <w:shd w:val="clear" w:color="auto" w:fill="ffffff"/>
          <w:lang w:val="en-US" w:eastAsia="zh-CN"/>
        </w:rPr>
        <w:t xml:space="preserve">五、</w:t>
      </w:r>
      <w:r>
        <w:rPr>
          <w:rFonts w:hint="eastAsia" w:ascii="宋体" w:hAnsi="宋体" w:eastAsia="宋体" w:cs="仿宋"/>
          <w:b/>
          <w:bCs/>
          <w:color w:val="000000"/>
          <w:sz w:val="24"/>
          <w:szCs w:val="24"/>
          <w:highlight w:val="none"/>
          <w:shd w:val="clear" w:color="auto" w:fill="ffffff"/>
        </w:rPr>
        <w:t xml:space="preserve">政府采购中实施本国产品标准及相关政策</w:t>
      </w:r>
      <w:r>
        <w:rPr>
          <w:rFonts w:hint="eastAsia" w:ascii="宋体" w:hAnsi="宋体" w:eastAsia="宋体" w:cs="仿宋"/>
          <w:b/>
          <w:bCs/>
          <w:color w:val="000000"/>
          <w:sz w:val="24"/>
          <w:szCs w:val="24"/>
          <w:highlight w:val="none"/>
          <w:shd w:val="clear" w:color="auto" w:fill="ffffff"/>
        </w:rPr>
      </w:r>
      <w:r/>
    </w:p>
    <w:p>
      <w:pPr>
        <w:pStyle w:val="1011"/>
        <w:ind w:firstLine="555"/>
        <w:spacing w:line="400" w:lineRule="exact"/>
        <w:rPr>
          <w:rFonts w:hint="eastAsia" w:ascii="宋体" w:hAnsi="宋体" w:eastAsia="宋体" w:cs="仿宋"/>
          <w:color w:val="000000"/>
          <w:sz w:val="24"/>
          <w:szCs w:val="24"/>
          <w:highlight w:val="none"/>
          <w:shd w:val="clear" w:color="auto" w:fill="ffffff"/>
        </w:rPr>
      </w:pPr>
      <w:r>
        <w:rPr>
          <w:rFonts w:hint="eastAsia" w:ascii="宋体" w:hAnsi="宋体" w:eastAsia="宋体" w:cs="仿宋"/>
          <w:color w:val="000000"/>
          <w:sz w:val="24"/>
          <w:szCs w:val="24"/>
          <w:highlight w:val="none"/>
          <w:shd w:val="clear" w:color="auto" w:fill="ffffff"/>
        </w:rPr>
        <w:t xml:space="preserve">1.本项目对采购本国产品给予政策支持，具体内容见招标文件“第</w:t>
      </w:r>
      <w:r>
        <w:rPr>
          <w:rFonts w:hint="eastAsia" w:ascii="宋体" w:hAnsi="宋体" w:eastAsia="宋体" w:cs="仿宋"/>
          <w:color w:val="000000"/>
          <w:sz w:val="24"/>
          <w:szCs w:val="24"/>
          <w:highlight w:val="none"/>
          <w:shd w:val="clear" w:color="auto" w:fill="ffffff"/>
          <w:lang w:val="en-US" w:eastAsia="zh-CN"/>
        </w:rPr>
        <w:t xml:space="preserve">四</w:t>
      </w:r>
      <w:r>
        <w:rPr>
          <w:rFonts w:hint="eastAsia" w:ascii="宋体" w:hAnsi="宋体" w:eastAsia="宋体" w:cs="仿宋"/>
          <w:color w:val="000000"/>
          <w:sz w:val="24"/>
          <w:szCs w:val="24"/>
          <w:highlight w:val="none"/>
          <w:shd w:val="clear" w:color="auto" w:fill="ffffff"/>
        </w:rPr>
        <w:t xml:space="preserve">章 评标方法</w:t>
      </w:r>
      <w:r>
        <w:rPr>
          <w:rFonts w:hint="eastAsia" w:ascii="宋体" w:hAnsi="宋体" w:eastAsia="宋体" w:cs="仿宋"/>
          <w:color w:val="000000"/>
          <w:sz w:val="24"/>
          <w:szCs w:val="24"/>
          <w:highlight w:val="none"/>
          <w:shd w:val="clear" w:color="auto" w:fill="ffffff"/>
          <w:lang w:val="en-US" w:eastAsia="zh-CN"/>
        </w:rPr>
        <w:t xml:space="preserve">及</w:t>
      </w:r>
      <w:r>
        <w:rPr>
          <w:rFonts w:hint="eastAsia" w:ascii="宋体" w:hAnsi="宋体" w:eastAsia="宋体" w:cs="仿宋"/>
          <w:color w:val="000000"/>
          <w:sz w:val="24"/>
          <w:szCs w:val="24"/>
          <w:highlight w:val="none"/>
          <w:shd w:val="clear" w:color="auto" w:fill="ffffff"/>
        </w:rPr>
        <w:t xml:space="preserve">标准”。</w:t>
      </w:r>
      <w:r>
        <w:rPr>
          <w:rFonts w:hint="eastAsia" w:ascii="宋体" w:hAnsi="宋体" w:eastAsia="宋体" w:cs="仿宋"/>
          <w:color w:val="000000"/>
          <w:sz w:val="24"/>
          <w:szCs w:val="24"/>
          <w:highlight w:val="none"/>
          <w:shd w:val="clear" w:color="auto" w:fill="ffffff"/>
        </w:rPr>
      </w:r>
      <w:r/>
    </w:p>
    <w:p>
      <w:pPr>
        <w:pStyle w:val="1011"/>
        <w:ind w:firstLine="555"/>
        <w:spacing w:line="400" w:lineRule="exact"/>
        <w:rPr>
          <w:rFonts w:hint="eastAsia" w:ascii="宋体" w:hAnsi="宋体" w:eastAsia="宋体" w:cs="仿宋"/>
          <w:color w:val="000000"/>
          <w:sz w:val="24"/>
          <w:szCs w:val="24"/>
          <w:highlight w:val="none"/>
          <w:shd w:val="clear" w:color="auto" w:fill="ffffff"/>
        </w:rPr>
      </w:pPr>
      <w:r>
        <w:rPr>
          <w:rFonts w:hint="eastAsia" w:ascii="宋体" w:hAnsi="宋体" w:eastAsia="宋体" w:cs="仿宋"/>
          <w:color w:val="000000"/>
          <w:sz w:val="24"/>
          <w:szCs w:val="24"/>
          <w:highlight w:val="none"/>
          <w:shd w:val="clear" w:color="auto" w:fill="ffffff"/>
        </w:rPr>
        <w:t xml:space="preserve">2.标准适用于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仿宋"/>
          <w:color w:val="000000"/>
          <w:sz w:val="24"/>
          <w:szCs w:val="24"/>
          <w:highlight w:val="none"/>
          <w:shd w:val="clear" w:color="auto" w:fill="ffffff"/>
        </w:rPr>
      </w:r>
      <w:r/>
    </w:p>
    <w:p>
      <w:pPr>
        <w:pStyle w:val="1011"/>
        <w:ind w:firstLine="555"/>
        <w:spacing w:line="400" w:lineRule="exact"/>
        <w:rPr>
          <w:rFonts w:hint="eastAsia" w:ascii="宋体" w:hAnsi="宋体" w:eastAsia="宋体" w:cs="仿宋"/>
          <w:color w:val="000000"/>
          <w:sz w:val="24"/>
          <w:szCs w:val="24"/>
          <w:highlight w:val="none"/>
          <w:shd w:val="clear" w:color="auto" w:fill="ffffff"/>
        </w:rPr>
      </w:pPr>
      <w:r>
        <w:rPr>
          <w:rFonts w:hint="eastAsia" w:ascii="宋体" w:hAnsi="宋体" w:eastAsia="宋体" w:cs="仿宋"/>
          <w:color w:val="000000"/>
          <w:sz w:val="24"/>
          <w:szCs w:val="24"/>
          <w:highlight w:val="none"/>
          <w:shd w:val="clear" w:color="auto" w:fill="ffffff"/>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仿宋"/>
          <w:color w:val="000000"/>
          <w:sz w:val="24"/>
          <w:szCs w:val="24"/>
          <w:highlight w:val="none"/>
          <w:shd w:val="clear" w:color="auto" w:fill="ffffff"/>
        </w:rPr>
      </w:r>
      <w:r/>
    </w:p>
    <w:p>
      <w:pPr>
        <w:pStyle w:val="1283"/>
        <w:numPr>
          <w:ilvl w:val="0"/>
          <w:numId w:val="0"/>
        </w:numPr>
        <w:ind w:firstLine="482"/>
        <w:pageBreakBefore w:val="0"/>
        <w:spacing w:line="360" w:lineRule="auto"/>
        <w:rPr>
          <w:rFonts w:hint="eastAsia" w:ascii="宋体" w:cs="宋体"/>
          <w:b/>
          <w:bCs/>
          <w:color w:val="000000"/>
          <w:sz w:val="24"/>
          <w:szCs w:val="24"/>
          <w:lang w:val="en-US" w:eastAsia="zh-CN"/>
        </w:rPr>
      </w:pPr>
      <w:r>
        <w:rPr>
          <w:rFonts w:hint="eastAsia" w:ascii="宋体" w:cs="宋体"/>
          <w:b/>
          <w:bCs/>
          <w:color w:val="000000"/>
          <w:sz w:val="24"/>
          <w:szCs w:val="24"/>
          <w:lang w:val="en-US" w:eastAsia="zh-CN"/>
        </w:rPr>
        <w:br w:type="page" w:clear="all"/>
      </w:r>
      <w:r>
        <w:rPr>
          <w:rFonts w:hint="eastAsia" w:ascii="宋体" w:cs="宋体"/>
          <w:b/>
          <w:bCs/>
          <w:color w:val="000000"/>
          <w:sz w:val="24"/>
          <w:szCs w:val="24"/>
          <w:lang w:val="en-US" w:eastAsia="zh-CN"/>
        </w:rPr>
        <w:t xml:space="preserve">六、技术指标和规格要求</w:t>
      </w:r>
      <w:r>
        <w:rPr>
          <w:rFonts w:hint="eastAsia" w:ascii="宋体" w:cs="宋体"/>
          <w:b/>
          <w:bCs/>
          <w:color w:val="000000"/>
          <w:sz w:val="24"/>
          <w:szCs w:val="24"/>
          <w:lang w:val="en-US" w:eastAsia="zh-CN"/>
        </w:rPr>
      </w:r>
      <w:r/>
    </w:p>
    <w:p>
      <w:pPr>
        <w:pStyle w:val="101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w:t>
      </w:r>
      <w:r>
        <w:rPr>
          <w:rFonts w:hint="eastAsia" w:ascii="微软雅黑" w:hAnsi="微软雅黑" w:eastAsia="微软雅黑" w:cs="微软雅黑"/>
          <w:color w:val="000000"/>
          <w:sz w:val="24"/>
          <w:szCs w:val="24"/>
          <w:lang w:val="en-US" w:eastAsia="zh-CN"/>
        </w:rPr>
        <w:t xml:space="preserve">★</w:t>
      </w:r>
      <w:r>
        <w:rPr>
          <w:rFonts w:hint="eastAsia" w:ascii="宋体" w:hAnsi="宋体" w:eastAsia="宋体" w:cs="宋体"/>
          <w:color w:val="000000"/>
          <w:sz w:val="24"/>
          <w:szCs w:val="24"/>
        </w:rPr>
        <w:t xml:space="preserve">代表</w:t>
      </w:r>
      <w:r>
        <w:rPr>
          <w:rFonts w:hint="eastAsia" w:ascii="宋体" w:hAnsi="宋体" w:eastAsia="宋体" w:cs="宋体"/>
          <w:color w:val="000000"/>
          <w:sz w:val="24"/>
          <w:szCs w:val="24"/>
          <w:lang w:val="en-US" w:eastAsia="zh-CN"/>
        </w:rPr>
        <w:t xml:space="preserve">实质性指标，负偏离则响应无效。</w:t>
      </w:r>
      <w:r>
        <w:rPr>
          <w:rFonts w:hint="eastAsia" w:ascii="宋体" w:hAnsi="宋体" w:eastAsia="宋体" w:cs="宋体"/>
          <w:color w:val="000000"/>
          <w:sz w:val="24"/>
          <w:szCs w:val="24"/>
        </w:rPr>
        <w:t xml:space="preserve">▲代表重要指标，提供功能截图，不满足扣分，其余非标注指标项不满足扣分。</w:t>
      </w:r>
      <w:r>
        <w:rPr>
          <w:rFonts w:hint="eastAsia" w:ascii="宋体" w:hAnsi="宋体" w:eastAsia="宋体" w:cs="宋体"/>
          <w:color w:val="000000"/>
          <w:sz w:val="24"/>
          <w:szCs w:val="24"/>
        </w:rPr>
      </w:r>
      <w:r/>
    </w:p>
    <w:p>
      <w:pPr>
        <w:pStyle w:val="1011"/>
        <w:numPr>
          <w:ilvl w:val="0"/>
          <w:numId w:val="0"/>
        </w:numPr>
        <w:pageBreakBefore w:val="0"/>
        <w:spacing w:line="360" w:lineRule="auto"/>
        <w:rPr>
          <w:rFonts w:ascii="宋体" w:hAnsi="宋体" w:eastAsia="宋体" w:cs="宋体"/>
          <w:b/>
          <w:bCs/>
          <w:color w:val="000000"/>
          <w:sz w:val="24"/>
          <w:szCs w:val="24"/>
          <w:lang w:val="en-US" w:eastAsia="zh-CN"/>
        </w:rPr>
      </w:pPr>
      <w:r>
        <w:rPr>
          <w:rFonts w:hint="eastAsia" w:ascii="宋体" w:hAnsi="宋体" w:eastAsia="宋体" w:cs="宋体"/>
          <w:b/>
          <w:bCs/>
          <w:color w:val="000000"/>
          <w:sz w:val="24"/>
          <w:szCs w:val="24"/>
        </w:rPr>
        <w:t xml:space="preserve">（一）</w:t>
      </w:r>
      <w:r>
        <w:rPr>
          <w:rFonts w:hint="eastAsia" w:ascii="宋体" w:hAnsi="宋体" w:eastAsia="宋体" w:cs="宋体"/>
          <w:b/>
          <w:bCs/>
          <w:color w:val="000000"/>
          <w:sz w:val="24"/>
          <w:szCs w:val="24"/>
          <w:lang w:val="en-US" w:eastAsia="zh-CN"/>
        </w:rPr>
        <w:t xml:space="preserve">互联网医院软件集成</w:t>
      </w:r>
      <w:r>
        <w:rPr>
          <w:rFonts w:ascii="宋体" w:hAnsi="宋体" w:eastAsia="宋体" w:cs="宋体"/>
          <w:b/>
          <w:bCs/>
          <w:color w:val="000000"/>
          <w:sz w:val="24"/>
          <w:szCs w:val="24"/>
          <w:lang w:val="en-US" w:eastAsia="zh-CN"/>
        </w:rPr>
      </w:r>
      <w:r/>
    </w:p>
    <w:tbl>
      <w:tblPr>
        <w:tblW w:w="875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000"/>
        <w:gridCol w:w="1078"/>
        <w:gridCol w:w="5917"/>
      </w:tblGrid>
      <w:tr>
        <w:trPr>
          <w:trHeight w:val="510"/>
        </w:trPr>
        <w:tc>
          <w:tcPr>
            <w:tcW w:w="755" w:type="dxa"/>
            <w:vAlign w:val="center"/>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序号</w:t>
            </w:r>
            <w:r>
              <w:rPr>
                <w:rFonts w:hint="eastAsia" w:ascii="仿宋" w:hAnsi="仿宋" w:eastAsia="仿宋" w:cs="仿宋"/>
                <w:bCs/>
                <w:color w:val="000000"/>
                <w:sz w:val="24"/>
                <w:szCs w:val="24"/>
              </w:rPr>
            </w:r>
            <w:r/>
          </w:p>
        </w:tc>
        <w:tc>
          <w:tcPr>
            <w:gridSpan w:val="3"/>
            <w:tcW w:w="7995" w:type="dxa"/>
            <w:vAlign w:val="center"/>
            <w:textDirection w:val="lrTb"/>
            <w:noWrap w:val="false"/>
          </w:tcPr>
          <w:p>
            <w:pPr>
              <w:pStyle w:val="1011"/>
              <w:ind w:firstLine="420"/>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功能要求</w:t>
            </w:r>
            <w:r>
              <w:rPr>
                <w:rFonts w:hint="eastAsia" w:ascii="仿宋" w:hAnsi="仿宋" w:eastAsia="仿宋" w:cs="仿宋"/>
                <w:bCs/>
                <w:color w:val="000000"/>
                <w:sz w:val="24"/>
                <w:szCs w:val="24"/>
              </w:rPr>
            </w:r>
            <w:r/>
          </w:p>
        </w:tc>
      </w:tr>
      <w:tr>
        <w:trPr>
          <w:trHeight w:val="510"/>
        </w:trPr>
        <w:tc>
          <w:tcPr>
            <w:tcW w:w="755" w:type="dxa"/>
            <w:vAlign w:val="center"/>
            <w:vMerge w:val="restart"/>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1000" w:type="dxa"/>
            <w:vAlign w:val="center"/>
            <w:vMerge w:val="restart"/>
            <w:textDirection w:val="lrTb"/>
            <w:noWrap w:val="false"/>
          </w:tcPr>
          <w:p>
            <w:pPr>
              <w:pStyle w:val="1011"/>
              <w:jc w:val="left"/>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互联网医院患者服务平台</w:t>
            </w: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在线复诊</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支持查看出诊科室、出诊医生、出诊时间，预约挂号、支付医师服务费。</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支持在线阅读互联网诊疗知情同意书，同意后方可预约就诊。</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支持预约时支持系统复诊对象限定条件的自动判定</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（根据医院复诊规则）</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支持提交个人的病情描述、既往史、疾病史信息，支持检验检查报告图片上传。让医生提前了解问诊内容。</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支持患者与医生一对一在线交流，咨询过程支持语音、图片、文字。</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支持支付药品费用、检查检验等所有相关医嘱费用</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jc w:val="left"/>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支持医保实时结算报销。</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支持查询并下载检查检验结果和资料等</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jc w:val="left"/>
              <w:keepLines w:val="0"/>
              <w:keepNext w:val="0"/>
              <w:pageBreakBefore w:val="0"/>
              <w:spacing w:line="24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支持问诊完成后，对医生的服务态度、问诊过程进行评价。（1-5星评价、文字评价等）</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jc w:val="left"/>
              <w:keepLines w:val="0"/>
              <w:keepNext w:val="0"/>
              <w:pageBreakBefore w:val="0"/>
              <w:spacing w:line="24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支持查阅并下载电子处方、电子病历和医嘱（检验检查、心电图、住院单等）等就诊资料</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jc w:val="left"/>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支持查询既往挂号记录、既往复诊记录、复诊处方及病历等。</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护理咨询</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支持查看医院开放的护理咨询门诊信息。包括护理门诊、护士在线人数。</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支持查看护士的基本信息，包括级别、擅长领域、个人简介、咨询量、咨询评价、在线状态等信息</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支持申请单个护士进行图文咨询。申请前提交咨询基本信息，包括病情描述、咨询需求、上传病历资料等信息。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咨询过程中支持文字交流、图片发送、拍照补充病历资料。护士在线解答患者问题并提供专业的健康指导建议。</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咨询完成后，支持对医生的服务态度、问诊过程进行评价。</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支持查询本人和其他就诊人的咨询记录。包含咨询时间、问诊状态、取消咨询信息。</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药师咨询</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支持查看医院开放的药师咨询科室、药师。</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支持查看药师的基本信息，包括级别、擅长领域、个人简介、咨询量、咨询评价、在线状态等信息</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支持申请药师进行用药咨询。申请前提交咨询基本信息，包括病情描述、用药需求、上传病历资料等信息。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咨询过程中支持文字交流、图片发送、拍照补充病历资料。药师在线解答患者问题并提供专业的用药指导建议。</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咨询完成后，支持对药师的服务态度、问诊过程进行评价。</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支持查询本人和其他就诊人的咨询记录。包含咨询时间、问诊状态、取消咨询信息。</w:t>
            </w:r>
            <w:r>
              <w:rPr>
                <w:rFonts w:hint="eastAsia" w:ascii="仿宋" w:hAnsi="仿宋" w:eastAsia="仿宋" w:cs="仿宋"/>
                <w:color w:val="000000"/>
                <w:sz w:val="24"/>
                <w:szCs w:val="24"/>
              </w:rPr>
            </w:r>
            <w:r/>
          </w:p>
        </w:tc>
      </w:tr>
      <w:tr>
        <w:trPr>
          <w:trHeight w:val="9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就诊评价</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支持就诊结束后患者对就医服务进行评价。包括服务态度、专业水平、信息告知、响应速度维度，以便医院和医生共同提高就医服务水平。</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支持自定义敏感词库，包含敏感词的评价自动屏蔽。</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就诊结束后，系统支持定期向患者推送服务评价通知，邀请患者在线评价。</w:t>
            </w:r>
            <w:r>
              <w:rPr>
                <w:rFonts w:hint="eastAsia" w:ascii="仿宋" w:hAnsi="仿宋" w:eastAsia="仿宋" w:cs="仿宋"/>
                <w:color w:val="000000"/>
                <w:sz w:val="24"/>
                <w:szCs w:val="24"/>
              </w:rPr>
            </w:r>
            <w:r/>
          </w:p>
        </w:tc>
      </w:tr>
      <w:tr>
        <w:trPr>
          <w:trHeight w:val="9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帮助与</w:t>
            </w:r>
            <w:r>
              <w:rPr>
                <w:rFonts w:hint="eastAsia" w:ascii="仿宋" w:hAnsi="仿宋" w:eastAsia="仿宋" w:cs="仿宋"/>
                <w:color w:val="000000"/>
                <w:sz w:val="24"/>
                <w:szCs w:val="24"/>
              </w:rPr>
            </w:r>
            <w:r/>
          </w:p>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反馈</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常见问题的在线帮助手册，问题知识库支持在管理后台统一配置。</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支持用户在线提交反馈、投诉、建议、咨询等类型的问题，信息加密存储。支持管理者通过管理端查看、回复。</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患者宣教</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支持健康软文、患教资料的分类展示、宣传推广。支持通过管理后台配置。</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支持提供便利的科普工具、科普知识。包括急救知识、疾病知识、药品知识、化验单解读，健康小工具。</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物价查询</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支持将院内收费项目，按药品、非药品、材料等自定义类目归类展示。</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支持查询收费项目的详细信息。包括规格、单价、生产厂商、医保属性、注意事项、存储条件、提示说明等信息。</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检查预约</w:t>
            </w:r>
            <w:r>
              <w:rPr>
                <w:rFonts w:hint="eastAsia" w:ascii="仿宋" w:hAnsi="仿宋" w:eastAsia="仿宋" w:cs="仿宋"/>
                <w:color w:val="000000"/>
                <w:sz w:val="24"/>
                <w:szCs w:val="24"/>
                <w:highlight w:val="none"/>
                <w:lang w:val="en-US" w:eastAsia="zh-CN"/>
              </w:rPr>
              <w:t xml:space="preserve">升级改造</w:t>
            </w:r>
            <w:r>
              <w:rPr>
                <w:rFonts w:ascii="仿宋" w:hAnsi="仿宋" w:eastAsia="仿宋" w:cs="仿宋"/>
                <w:color w:val="000000"/>
                <w:sz w:val="24"/>
                <w:szCs w:val="24"/>
                <w:highlight w:val="none"/>
                <w:lang w:val="en-US" w:eastAsia="zh-CN"/>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对接院内检查预约平台，实时查询本人及就诊人的待预约的检查项目信息。内容包括申请单号、申请项目、开单医生、开单时间。</w:t>
            </w:r>
            <w:r>
              <w:rPr>
                <w:rFonts w:hint="eastAsia" w:ascii="仿宋" w:hAnsi="仿宋" w:eastAsia="仿宋" w:cs="仿宋"/>
                <w:color w:val="000000"/>
                <w:sz w:val="24"/>
                <w:szCs w:val="24"/>
                <w:highlight w:val="none"/>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支持预约前提示患者在线阅读检查须知、注意事项，提示内容支持管理平台配置。</w:t>
            </w:r>
            <w:r>
              <w:rPr>
                <w:rFonts w:hint="eastAsia" w:ascii="仿宋" w:hAnsi="仿宋" w:eastAsia="仿宋" w:cs="仿宋"/>
                <w:color w:val="000000"/>
                <w:sz w:val="24"/>
                <w:szCs w:val="24"/>
                <w:highlight w:val="none"/>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有排班的日期，系统以高亮、特殊标志等醒目的形式展示。</w:t>
            </w:r>
            <w:r>
              <w:rPr>
                <w:rFonts w:hint="eastAsia" w:ascii="仿宋" w:hAnsi="仿宋" w:eastAsia="仿宋" w:cs="仿宋"/>
                <w:color w:val="000000"/>
                <w:sz w:val="24"/>
                <w:szCs w:val="24"/>
                <w:highlight w:val="none"/>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系统支持检查项目的分时段预约，多项检查预约时优先推荐同一天。</w:t>
            </w:r>
            <w:r>
              <w:rPr>
                <w:rFonts w:hint="eastAsia" w:ascii="仿宋" w:hAnsi="仿宋" w:eastAsia="仿宋" w:cs="仿宋"/>
                <w:color w:val="000000"/>
                <w:sz w:val="24"/>
                <w:szCs w:val="24"/>
                <w:highlight w:val="none"/>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未执行的检查项目，支持在线变更预约时间，可变更次数支持系统配置。超出更改次数，不能继续在线变更时间。</w:t>
            </w:r>
            <w:r>
              <w:rPr>
                <w:rFonts w:hint="eastAsia" w:ascii="仿宋" w:hAnsi="仿宋" w:eastAsia="仿宋" w:cs="仿宋"/>
                <w:color w:val="000000"/>
                <w:sz w:val="24"/>
                <w:szCs w:val="24"/>
                <w:highlight w:val="none"/>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未执行项目，支持在线取消预约。取消后可重新发起预约。</w:t>
            </w:r>
            <w:r>
              <w:rPr>
                <w:rFonts w:hint="eastAsia" w:ascii="仿宋" w:hAnsi="仿宋" w:eastAsia="仿宋" w:cs="仿宋"/>
                <w:color w:val="000000"/>
                <w:sz w:val="24"/>
                <w:szCs w:val="24"/>
                <w:highlight w:val="none"/>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预约成功后系统支持生成流程指引单。</w:t>
            </w:r>
            <w:r>
              <w:rPr>
                <w:rFonts w:hint="eastAsia" w:ascii="仿宋" w:hAnsi="仿宋" w:eastAsia="仿宋" w:cs="仿宋"/>
                <w:color w:val="000000"/>
                <w:sz w:val="24"/>
                <w:szCs w:val="24"/>
                <w:highlight w:val="none"/>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自助签到</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扫码签到：患者到达医院后，扫描科室分诊二维码，自助完成签到候诊。</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定位签到：患者到达医院指定区域范围后（基于GPS定位），可自助完成签到候诊。</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电子处方签</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支持在线查阅门诊电子处方签，包括开方科室、开方时间、处方内容、用法用量、注意事项等信息。</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出诊信息查询</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支持按日期查询门诊科室、专家的出诊信息。</w:t>
            </w:r>
            <w:r>
              <w:rPr>
                <w:rFonts w:hint="eastAsia" w:ascii="仿宋" w:hAnsi="仿宋" w:eastAsia="仿宋" w:cs="仿宋"/>
                <w:color w:val="000000"/>
                <w:sz w:val="24"/>
                <w:szCs w:val="24"/>
                <w:lang w:eastAsia="zh-CN"/>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支持快速预约挂号。</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手术查询</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支持实时查看本人及亲属的手术计划、手术状态信息。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支持查看手术的详细进度、进程事件信息，及时了解手术状况。</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▲自助入院功功能升级</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支持在线接收院内入院办理的消息通知，根据通知指引引导患者开始自助办理入院登记。</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支持查看门诊开立的住院申请单详细信息。住院患者、病区、科室、预约时间、入院诊断等信息。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支持自助入院信息登记、信息补录等处理。支持对六岁以下儿童补录监护人等信息。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支持医保、自费的患者身份自动读取、识别。</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支持按住院申请单限定的初次预交金额，在线完成住院预交充值。未限定预交金额的患者，无需支付直接登记成功。</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支持对自费、医保等类型的患者，入院登记完成后，系统支持提示个性化业务办理指引说明。</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▲自助出院功能升级</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支持病区医生/护士操作预出院（出科待结算）后，系统向收费处发送结算通知</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支持查询住院预结算详细信息，包括住院费用总额、医保结算金额、自费金额、账户余额、费用明细。</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支持医保费用的分解、上传、结算（脱卡结算），自费部分支持选择是否使用医保个人账户结算。</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支持在线补缴费用。账户欠款状态时，在线补缴费用后，自动完成结算</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支持余额原路退回。账户结余状态时，且账户余额小于线上支付总额，结算后剩余费用原路退还账户余额。</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支持对接HIS系统，自动生成出院费用清单，电子票据。</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支持收费处线下退费申请审核，审核通过后实时退费。</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自出结算完成后，支持对接电子发票系统，自动生成出院结算发票。</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药品清单</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支持查看门诊带药信息（门诊记录、药品名称、数量、用法、用量、注意事项）。</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支持查看住院带药信息（住院记录、药品名称、数量、用法、用量、注意事项）。</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支持查看院内药品的使用说明信息。</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用药指导</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支持在线定制个人的服药计划。设定用药开始时间、结束时间、天数、频次、剂量、备注信息。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支持基于服药计划，自动生成服药提醒记录。在服药时间前系统自动推送提醒通知。支持在线服药确认、服药补签、服药笔记。</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支持在线查看个人的历史服药记录。支持按日历、按时间、按药品分项查看。</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电子发票</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支持对接院内发票系统、电子发票平台，查询预览门诊、住院的电子发票信息。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支持发票图片的本地保存。</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▲就医助手</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支持对接移动消息平台，向患者实时推送就诊提醒、候诊提醒、取药提醒、检查提醒、报告通知、评价通知、医师停诊、入院提示、出院提示等提醒、通知。</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串联诊前、诊中、诊后的可视化门诊就诊全流程模型，将就诊过程中的各个事件节点，通过待办、已办等方式清晰展示，并快速指引线上、线下办理渠道。结合实时的消息提醒通知，实现就诊全流程的智能化引导。</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根据医院定位，一键打开手机导航软件，规划来院路线，快速来院就诊。</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基于医院的电子地图，绘制楼宇科室布局图，通过语音、文字、图片提示的方式进行模拟导航。院内具备实时定位导航系统时，支持与导航系统的内置集成对接，就诊过程相关的挂号、候诊、取药、检查等科室目标，可实时精准定位，指引患者快速到达。</w:t>
            </w:r>
            <w:r>
              <w:rPr>
                <w:rFonts w:hint="eastAsia" w:ascii="仿宋" w:hAnsi="仿宋" w:eastAsia="仿宋" w:cs="仿宋"/>
                <w:color w:val="000000"/>
                <w:sz w:val="24"/>
                <w:szCs w:val="24"/>
              </w:rPr>
            </w:r>
            <w:r/>
          </w:p>
        </w:tc>
      </w:tr>
      <w:tr>
        <w:trPr>
          <w:trHeight w:val="510"/>
        </w:trPr>
        <w:tc>
          <w:tcPr>
            <w:tcW w:w="755" w:type="dxa"/>
            <w:vAlign w:val="center"/>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ind w:firstLine="480"/>
              <w:jc w:val="left"/>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eastAsia="zh-CN"/>
              </w:rPr>
              <w:t xml:space="preserve">院内导航</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接入院内导航模块，</w:t>
            </w:r>
            <w:r>
              <w:rPr>
                <w:rFonts w:hint="eastAsia" w:ascii="仿宋" w:hAnsi="仿宋" w:eastAsia="仿宋" w:cs="仿宋"/>
                <w:color w:val="000000"/>
                <w:sz w:val="24"/>
                <w:szCs w:val="24"/>
              </w:rPr>
              <w:t xml:space="preserve">支持展示院内的整体布局图、各楼层的科室位置图。</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4648"/>
        </w:trPr>
        <w:tc>
          <w:tcPr>
            <w:tcW w:w="755" w:type="dxa"/>
            <w:vAlign w:val="center"/>
            <w:vMerge w:val="restart"/>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restart"/>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ind w:firstLine="480"/>
              <w:jc w:val="left"/>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满意度调查功能改造</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color w:val="000000"/>
                <w:sz w:val="24"/>
                <w:szCs w:val="24"/>
                <w:lang w:eastAsia="zh-CN"/>
              </w:rPr>
            </w:r>
            <w:r/>
          </w:p>
        </w:tc>
        <w:tc>
          <w:tcPr>
            <w:tcW w:w="5917"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支持接入满意度调查模块，</w:t>
            </w:r>
            <w:r>
              <w:rPr>
                <w:rFonts w:hint="eastAsia" w:ascii="仿宋" w:hAnsi="仿宋" w:eastAsia="仿宋" w:cs="仿宋"/>
                <w:color w:val="000000"/>
                <w:sz w:val="24"/>
                <w:szCs w:val="24"/>
                <w:highlight w:val="none"/>
              </w:rPr>
              <w:t xml:space="preserve">就诊完成后，自动向患者推送满意度调查提醒，引导患者快速填写满意度调查问卷。支持满意度调查结果与就诊记录的</w:t>
            </w:r>
            <w:r>
              <w:rPr>
                <w:rFonts w:hint="eastAsia" w:ascii="仿宋" w:hAnsi="仿宋" w:eastAsia="仿宋" w:cs="仿宋"/>
                <w:color w:val="000000"/>
                <w:sz w:val="24"/>
                <w:szCs w:val="24"/>
                <w:highlight w:val="none"/>
              </w:rPr>
              <w:t xml:space="preserve">自动关联。支持生成二维码，患者扫码打开问卷，快速填写。支持在线配置满意度问卷模板，支持基本题型单选题 、多选题、问答题、评分题）的动态配置，自动生成满意度调查问卷。支持问卷的在线编辑功，编辑前支持选择保留答卷、删除答卷、复制编辑等多种编辑模式。支持根据诊疗活动，对问卷问题进行分类关联。支持对问卷的暂停、删除等处理。支持按院区、科室的综合排名分析。支持按时间、按题、按分组对调查结果进行多维度的统计分析。支持按问卷类型，查看所有已提交的问卷内容。支持特殊问卷的在线删除。支持已提交问卷的下载、导出Excel功能。</w:t>
            </w:r>
            <w:r>
              <w:rPr>
                <w:rFonts w:hint="eastAsia" w:ascii="仿宋" w:hAnsi="仿宋" w:eastAsia="仿宋" w:cs="仿宋"/>
                <w:color w:val="000000"/>
                <w:sz w:val="24"/>
                <w:szCs w:val="24"/>
                <w:highlight w:val="none"/>
              </w:rPr>
            </w:r>
            <w:r/>
          </w:p>
        </w:tc>
      </w:tr>
      <w:tr>
        <w:trPr>
          <w:trHeight w:val="6057"/>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投诉反馈</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支持接入投诉反馈模块，</w:t>
            </w:r>
            <w:r>
              <w:rPr>
                <w:rFonts w:hint="eastAsia" w:ascii="仿宋" w:hAnsi="仿宋" w:eastAsia="仿宋" w:cs="仿宋"/>
                <w:color w:val="000000"/>
                <w:sz w:val="24"/>
                <w:szCs w:val="24"/>
              </w:rPr>
              <w:t xml:space="preserve">患者</w:t>
            </w:r>
            <w:r>
              <w:rPr>
                <w:rFonts w:hint="eastAsia" w:ascii="仿宋" w:hAnsi="仿宋" w:eastAsia="仿宋" w:cs="仿宋"/>
                <w:color w:val="000000"/>
                <w:sz w:val="24"/>
                <w:szCs w:val="24"/>
                <w:lang w:eastAsia="zh-CN"/>
              </w:rPr>
              <w:t xml:space="preserve">可</w:t>
            </w:r>
            <w:r>
              <w:rPr>
                <w:rFonts w:hint="eastAsia" w:ascii="仿宋" w:hAnsi="仿宋" w:eastAsia="仿宋" w:cs="仿宋"/>
                <w:color w:val="000000"/>
                <w:sz w:val="24"/>
                <w:szCs w:val="24"/>
              </w:rPr>
              <w:t xml:space="preserve">查看常见问题的在线帮助手册。患者</w:t>
            </w:r>
            <w:r>
              <w:rPr>
                <w:rFonts w:hint="eastAsia" w:ascii="仿宋" w:hAnsi="仿宋" w:eastAsia="仿宋" w:cs="仿宋"/>
                <w:color w:val="000000"/>
                <w:sz w:val="24"/>
                <w:szCs w:val="24"/>
                <w:lang w:eastAsia="zh-CN"/>
              </w:rPr>
              <w:t xml:space="preserve">可</w:t>
            </w:r>
            <w:r>
              <w:rPr>
                <w:rFonts w:hint="eastAsia" w:ascii="仿宋" w:hAnsi="仿宋" w:eastAsia="仿宋" w:cs="仿宋"/>
                <w:color w:val="000000"/>
                <w:sz w:val="24"/>
                <w:szCs w:val="24"/>
              </w:rPr>
              <w:t xml:space="preserve">在线提交举报、反馈、投诉、建议、咨询等问题，提交后等待管理人员审核、反馈。支持对管理人员的处理结果进行评价。支持在线查询和处理投诉订单</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支持向下级部门分派投诉订单</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支持审核下级部门提交的投诉处理意见，支持通过、驳回、直接编辑工作</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支持填写投诉处置结果后，提交上级部门审核，审核通过后发送患者</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支持查看投诉订单的全部处理节点、过程信息可回溯。支持管理者在管理后台统一配置问题知识库。支持管理者配置投诉反馈权限，包括处理权限、处理科室及处理人员</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支持处理者通过管理端查看、分派、回复患者的投诉反馈意见，支持添加特别关注人员。支持标记投诉反馈意见为无效。支持对已处理的投诉反馈意见进行二次审核、处理。支持单点/批量上传多途径的投诉反馈意见。支持按类型、科室分析投诉反馈意见。支持按时间等筛选统计分析数据。支持按类型，查看所有已提交的投诉反馈意见。支持特殊意见的在线删除。</w:t>
            </w:r>
            <w:r>
              <w:rPr>
                <w:rFonts w:hint="eastAsia" w:ascii="仿宋" w:hAnsi="仿宋" w:eastAsia="仿宋" w:cs="仿宋"/>
                <w:color w:val="000000"/>
                <w:sz w:val="24"/>
                <w:szCs w:val="24"/>
              </w:rPr>
            </w:r>
            <w:r/>
          </w:p>
        </w:tc>
      </w:tr>
      <w:tr>
        <w:trPr>
          <w:trHeight w:val="510"/>
        </w:trPr>
        <w:tc>
          <w:tcPr>
            <w:tcW w:w="755" w:type="dxa"/>
            <w:vAlign w:val="center"/>
            <w:vMerge w:val="restart"/>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1000"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支付宝小程序</w:t>
            </w: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医院信息</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支持展示医院的基本信息介绍、联系电话、详细地址、来院路线。</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支持展示医院发布的公告信息，支持首页滚动播放和公告列表查询。</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支持展示院内的整体布局图、各楼层的科室位置图。</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支持展示医院位置信息。自动打开导航软件，规划来院路线，方便患者快速到院就诊。</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展示特色/优势科室的简介、位置、电话信息。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支持展示科室医生、专家的简介、擅长、评价信息。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支持展示院内各类就诊指南信息。</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就诊人管理</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支持在线实名制建档，通过人脸识别、院内预留手机号等验证方式，完成实名制验证。无证件号及不足6岁儿童，须填报监护人信息建档。支持管理我的就诊人信息。</w:t>
            </w:r>
            <w:r>
              <w:rPr>
                <w:rFonts w:hint="eastAsia" w:ascii="仿宋" w:hAnsi="仿宋" w:eastAsia="仿宋" w:cs="仿宋"/>
                <w:color w:val="000000"/>
                <w:sz w:val="24"/>
                <w:szCs w:val="24"/>
                <w:lang w:eastAsia="zh-CN"/>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支持编辑已添加的就诊人信息，支持一键删除就诊人，解除就诊人绑定关系。</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支持自动创建电子就诊卡、支持绑定实体卡，生成电子就诊卡。就诊过程支持扫描电子二维码完成身份认证、门诊就诊。支持解绑电子就诊卡。</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支持就诊首页展示个人的就诊卡信息，一键出示个人就诊码，便于自助机、窗口等线下场景的快速扫描、身份识别。</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预约挂号</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支持当日挂号、预约挂号。</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支持查询已排班的科室列表。科室列表支持默认排序(按符号、字母字典书序)和自定义排序；支持关键字搜索科室、医生。</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支持按时间、按医生分类查询科室医生的排班信息，展示当前排班状态（有号、约满）。</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支持查询医生指定日期的排班号源信息，与院内排班系统一致，分时段展示。</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支持在线支付挂号费用，支持在线预约，到院支付。完成后，向用户推送挂号成功通知信息。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超时未支付，系统支持自动取消预约。预约成功后</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支持在线退号退费。</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支持就诊预约的前一天，向患者推送就诊提醒信息。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医生停诊时，支持系统自动触发消息通知。支持停诊后的自动退款。</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排队候诊</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支持实时查看就诊科室的候诊信息(包括我的序号、当前叫号、排队人数)。</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门诊缴费</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支持实时获取患者的待缴费记录。包括就诊科室、开方医生、开方时间、处方项目、单价数量、合计费用、执行科室信息。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支持实时查询患者的已缴费记录。包括就诊科室、开方医生、开方时间、处方项目、单价数量、合计费用、执行科室、缴费渠道信息。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支持查询处方的详细信息。包括患者信息、开方医生信息、处方信息（项目、用法用量、注意事项、执行科室）、交易信息、发票信息。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支持在线完成处方、检查、检验、治疗门诊费用的支付。支付完成后，发送结果通知。</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报告查询</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支持在线查阅患者门诊/住院的检验报告。支持数据、PDF类型报告的展示。</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支持在线查阅患者门诊/住院的检查报告。支持数据、图片、PDF类型报告的展示。</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住院预交</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支持实时查询住院预交金余额，在线预交住院费用。支持实时查询在线住院预交记录。</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住院清单</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支持查看历史住院记录、每日费用清单。已出院记录，支持查看汇总费用清单。支持查看出院小结信息。</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就诊评价</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支持就诊结束后患者对就医服务进行评价。包括服务态度、专业水平、信息告知、响应速度维度，以便医院和医生共同提高就医服务水平。</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支持自定义敏感词库，包含敏感词的评价自动屏蔽。</w:t>
            </w:r>
            <w:r>
              <w:rPr>
                <w:rFonts w:hint="eastAsia" w:ascii="仿宋" w:hAnsi="仿宋" w:eastAsia="仿宋" w:cs="仿宋"/>
                <w:color w:val="000000"/>
                <w:sz w:val="24"/>
                <w:szCs w:val="24"/>
                <w:lang w:eastAsia="zh-CN"/>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就诊结束后，系统支持定期向患者推送服务评价通知，邀请患者在线评价。</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帮助与反馈</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常见问题的在线帮助手册，问题知识库支持在管理后台统一配置。</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支持用户在线提交反馈、投诉、建议、咨询等类型的问题，信息加密存储。支持管理者通过管理端查看、回复。</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物价查询</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支持将院内收费项目，按药品、非药品、材料等自定义类目归类展示。</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支持查询收费项目的详细信息。包括规格、单价、生产厂商、医保属性、注意事项、存储条件、提示说明等信息。</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医保移动支付</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对接支付宝医保开放平台，完成医保用户的在线登记、注册、鉴权流程。</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获取院内门沴处方明细，上传费用明细至医保移动支付中台，完成医保支付预结算。</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创建医保支付订单，调用微信医保平台结算接口，发起正式医保支付结算。</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基于医保结算结果，自动完成自费部分的在线支付。</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接收/查询医保移动支付平台的结算结果通知，结算数据同步回写院内HIS系统。</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对接医保移动支付平台结算撤销/退费接口，完成诊间支付费用的原路返还。</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对接医保移动支付平台交易查询接口，实现支付、退款结果的实时查询。</w:t>
            </w:r>
            <w:r>
              <w:rPr>
                <w:rFonts w:hint="eastAsia" w:ascii="仿宋" w:hAnsi="仿宋" w:eastAsia="仿宋" w:cs="仿宋"/>
                <w:color w:val="000000"/>
                <w:sz w:val="24"/>
                <w:szCs w:val="24"/>
              </w:rPr>
            </w:r>
            <w:r/>
          </w:p>
        </w:tc>
      </w:tr>
      <w:tr>
        <w:trPr>
          <w:trHeight w:val="510"/>
        </w:trPr>
        <w:tc>
          <w:tcPr>
            <w:tcW w:w="755" w:type="dxa"/>
            <w:vAlign w:val="center"/>
            <w:vMerge w:val="restart"/>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1000"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患者服务Web版</w:t>
            </w: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医院信息</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支持展示医院的基本信息介绍、联系电话、详细地址、来院路线。</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支持展示医院发布的公告信息，支持首页滚动播放和公告列表查询。</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支持展示院内的整体布局图、各楼层的科室位置图。</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支持展示医院位置信息。自动打开导航软件，规划来院路线，方便患者快速到院就诊。</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展示特色/优势科室的简介、位置、电话信息。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支持展示科室医生、专家的简介、擅长、评价信息。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支持展示院内各类就诊指南信息。</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就诊人管理</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支持在线实名制建档，通过人脸识别、院内预留手机号等验证方式，完成实名制验证。无证件号及不足6岁儿童，须填报监护人信息建档。支持管理我的就诊人信息。</w:t>
            </w:r>
            <w:r>
              <w:rPr>
                <w:rFonts w:hint="eastAsia" w:ascii="仿宋" w:hAnsi="仿宋" w:eastAsia="仿宋" w:cs="仿宋"/>
                <w:color w:val="000000"/>
                <w:sz w:val="24"/>
                <w:szCs w:val="24"/>
                <w:lang w:eastAsia="zh-CN"/>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支持编辑已添加的就诊人信息，支持一键删除就诊人，解除就诊人绑定关系。</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支持自动创建电子就诊卡、电子健康卡，支持绑定实体卡，生成电子就诊卡。就诊过程支持扫描电子二维码完成身份认证、门诊就诊。支持解绑电子就诊卡。</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支持维护个人的基本健康信息（身高、体重、血型、家族史、过敏史、既往史）。</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支持就诊首页展示个人的就诊卡信息，一键出示个人就诊码，便于自助机、窗口等线下场景的快速扫描、身份识别。</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预约挂号</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支持当日挂号、预约挂号。</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支持查询已排班的科室列表。科室列表支持默认排序(按符号、字母字典书序)和自定义排序；支持关键字搜索科室、医生。</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支持按时间、按医生分类查询科室医生的排班信息，展示当前排班状态（有号、约满）。</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支持查询医生指定日期的排班号源信息，与院内排班系统一致，分时段展示。</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支持在线支付挂号费用，支持在线预约，到院支付。完成后，向用户推送挂号成功通知信息。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超时未支付，系统支持自动取消预约。</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预约成功后支持在线退号退费。</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支持就诊预约的前一天，向患者推送就诊提醒信息。</w:t>
            </w:r>
            <w:r>
              <w:rPr>
                <w:rFonts w:hint="eastAsia" w:ascii="仿宋" w:hAnsi="仿宋" w:eastAsia="仿宋" w:cs="仿宋"/>
                <w:color w:val="000000"/>
                <w:sz w:val="24"/>
                <w:szCs w:val="24"/>
                <w:lang w:eastAsia="zh-CN"/>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医生停诊时，支持系统自动触发消息通知。支持停诊后的自动退款。</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就医导引</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支持就诊过程中实时的消息通知。包括预约挂号通知、就诊提醒、待缴费提醒、停诊通知、待评价提醒、住院余额提醒。</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支持就诊流程树模型，引导患者每一步的就诊过程。包括就诊、候诊、缴费、取药、治疗、检查检验的时间和地点。</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门诊缴费</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支持实时获取患者的待缴费记录。包括就诊科室、开方医生、开方时间、处方项目、单价数量、合计费用、执行科室信息。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支持实时查询患者的已缴费记录。包括就诊科室、开方医生、开方时间、处方项目、单价数量、合计费用、执行科室、缴费渠道信息。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支持查询处方的详细信息。包括患者信息、开方医生信息、处方信息（项目、用法用量、注意事项、执行科室）、交易信息、发票信息。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支持在线完成处方、检查、检验、治疗门诊费用的支付。支付完成后，发送结果通知。</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药品清单</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支持查看门诊带药信息（门诊记录、药品名称、数量、用法、用量、注意事项）。</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支持查看住院带药信息（住院记录、药品名称、数量、用法、用量、注意事项）。</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支持查看院内药品的使用说明信息。</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候诊排队</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支持实时查看就诊科室的候诊信息(包括我的序号、当前叫号、排队人数)。</w:t>
            </w:r>
            <w:r>
              <w:rPr>
                <w:rFonts w:hint="eastAsia" w:ascii="仿宋" w:hAnsi="仿宋" w:eastAsia="仿宋" w:cs="仿宋"/>
                <w:color w:val="000000"/>
                <w:sz w:val="24"/>
                <w:szCs w:val="24"/>
              </w:rPr>
            </w:r>
            <w:r/>
          </w:p>
        </w:tc>
      </w:tr>
      <w:tr>
        <w:trPr>
          <w:trHeight w:val="90"/>
        </w:trPr>
        <w:tc>
          <w:tcPr>
            <w:tcW w:w="755"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投诉意见</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支持用户在线提交反馈、投诉、建议、咨询等类型的问题，信息加密存储。支持管理者通过管理端查看、回复。</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满意度问卷</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PC版本满意度调查问卷填写功能对接</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rHeight w:val="510"/>
        </w:trPr>
        <w:tc>
          <w:tcPr>
            <w:tcW w:w="755"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随访问卷</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PC版本患者随访问卷填写功能对接</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rHeight w:val="510"/>
        </w:trPr>
        <w:tc>
          <w:tcPr>
            <w:tcW w:w="755" w:type="dxa"/>
            <w:vAlign w:val="center"/>
            <w:vMerge w:val="restart"/>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W w:w="1000" w:type="dxa"/>
            <w:vAlign w:val="center"/>
            <w:vMerge w:val="restart"/>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互联网医院医护服务平台</w:t>
            </w:r>
            <w:r>
              <w:rPr>
                <w:rFonts w:hint="eastAsia" w:ascii="仿宋" w:hAnsi="仿宋" w:eastAsia="仿宋" w:cs="仿宋"/>
                <w:color w:val="000000"/>
                <w:sz w:val="24"/>
                <w:szCs w:val="24"/>
              </w:rPr>
            </w:r>
            <w:r/>
          </w:p>
        </w:tc>
        <w:tc>
          <w:tcPr>
            <w:tcW w:w="1078"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账号管理</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支持对接院内HIS账号系统，实现统一的账号管理、权限管理。独立的登录认证机制，支持强密码策略、修改密码、找回密码等操作。</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支持通过手势密码快速解锁APP应用。</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支持查看个人的简介、擅长、个人名片等基本信息。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支持分享个人名片，患者扫描后可直接进入医生个人主页。</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支持查看院内各科室的通讯录，支持快速拨打通讯电话。</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患者360视图</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支持以日历形式查看个人门诊排班的患者预约信息。</w:t>
            </w:r>
            <w:r>
              <w:rPr>
                <w:rFonts w:hint="eastAsia" w:ascii="仿宋" w:hAnsi="仿宋" w:eastAsia="仿宋" w:cs="仿宋"/>
                <w:color w:val="000000"/>
                <w:sz w:val="24"/>
                <w:szCs w:val="24"/>
                <w:lang w:eastAsia="zh-CN"/>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支持查看患者基本信息、预约信息、预问诊信息、病史记录等。</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支持查看个人及本科室的在院患者信息。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支持查看患者基本信息、床位信息、医保信息、费用明细、诊断信息、电子病历、护理记录、检查检验报告等信息。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支持支持按入院时间、科室等条件筛选患者记录。</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支持查看个人及本科室出院患者信息。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支持查看患者基本信息、床位信息、医保信息、费用明细、诊断信息、电子病历、护理记录、检查检验报告等信息。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支持按出院时间、科室等条件筛选患者记录。</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支持对重点患者的关注、取消关注处理。</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支持查看已关注的患者列表，调阅患者的病史记录。</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支持查看患者姓名、 性别、年龄、职业、家庭住址、电话号码、身份类型、门诊号、住院号、健康档案等基本信息。支持在线拨打患者电话，联系患者。</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支持实时查阅门诊患者、住院患者、出院患者的就诊记录、电子病历、门诊处方、长期医嘱、临时医嘱、检查报告、检验报告、病理报告、手术报告、护理记录全面的诊疗数据。</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实时查阅患者的门诊处方、住院长期医嘱、住院临时医嘱信息。包括医嘱名称、医嘱类型、开立医生、开立时间、用法用量、执行护士、执行时间、执行状态等。支持按医嘱状态的特殊颜色分类，支持展示/隐藏作废医嘱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支持对患者添加文字、图片、语音、视频类型的随诊记录。</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支持上传随诊记录，按日期分组，支持编辑、删除等操作。</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支持患者的标签化管理。对患者进行标记标签、取消标签、查看标签操作。支持标签的新建、修改、删除、查看处理。</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支持将患者收藏为典型病例，在医学中心中快速查询和集中展示。</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支持通过门诊号、住院号、时间区间、分组标签、患者姓名等条件快速搜索患者。</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医学中心</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典型病例管理。支持查看已收藏的典型病例信息，取消典型收藏。</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常用的医学计算器。包括单位换算、输液速度、胰岛素初始计量等公式。</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各学科的学习、分享论坛。支持指南文献的上传分享、下载保存、点赞、评论。</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手术管理</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支持手术医生、麻醉医生、手术护士，实时查看个人的手术排班信息。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支持手术医生、麻醉医生、手术护士，实时查看本科室的手术排班信息。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支持手术医生、麻醉医生、手术护士，实时查看手术间的手术排班信息。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支持实时查看手术的详细信息（手术台次、主刀医生、护士、手术进度、手术事件）。</w:t>
            </w:r>
            <w:r>
              <w:rPr>
                <w:rFonts w:hint="eastAsia" w:ascii="仿宋" w:hAnsi="仿宋" w:eastAsia="仿宋" w:cs="仿宋"/>
                <w:color w:val="000000"/>
                <w:sz w:val="24"/>
                <w:szCs w:val="24"/>
                <w:lang w:eastAsia="zh-CN"/>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支持对接日程管理，系统自动推送每日的手术排班提醒。</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护理咨询</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支持设置个人的接诊状态（离线、在线）、每日接诊限额。</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支持分组查看待接诊、已接诊、已完成的咨询患者信息。</w:t>
            </w:r>
            <w:r>
              <w:rPr>
                <w:rFonts w:hint="eastAsia" w:ascii="仿宋" w:hAnsi="仿宋" w:eastAsia="仿宋" w:cs="仿宋"/>
                <w:color w:val="000000"/>
                <w:sz w:val="24"/>
                <w:szCs w:val="24"/>
                <w:lang w:eastAsia="zh-CN"/>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支持预览患者的咨询申请信息（包括基本信息、病情主诉、上传的图片信息）。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支持预览患者的咨询申请信息（包括基本信息、病情主诉、上传的图片信息）。医生可自主选择开始接诊、拒绝接诊，拒绝时需明确退诊理由。</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支持医生与患者一对一在线交流，咨询过程支持语音、图片、文字。医生可在线解答患者问题并提供专业的健康指导建议，不支持在线开立医嘱处方。</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支持编辑和维护个人的常用回复语，交流过程中一键快速回复患者。</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支持查看患者的电话号码，一键拨号呼叫。</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支持查看患者历次的咨询记录、历史咨询图文信息。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支持咨询结束后，医生患者主动结束在线问诊。</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支持未接诊时超过24小时自动退诊功能。接诊后24小时内自动结束问诊。</w:t>
            </w:r>
            <w:r>
              <w:rPr>
                <w:rFonts w:hint="eastAsia" w:ascii="仿宋" w:hAnsi="仿宋" w:eastAsia="仿宋" w:cs="仿宋"/>
                <w:color w:val="000000"/>
                <w:sz w:val="24"/>
                <w:szCs w:val="24"/>
              </w:rPr>
            </w:r>
            <w:r/>
          </w:p>
        </w:tc>
      </w:tr>
      <w:tr>
        <w:trPr>
          <w:trHeight w:val="9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药师咨询</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支持设置个人的接诊状态（离线、在线）、每日接诊限额。</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支持分组查看待接诊、已接诊、已完成的咨询患者信息。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支持预览患者的咨询申请信息（包括基本信息、病情主诉、上传的图片信息）。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支持预览患者的咨询申请信息（包括基本信息、病情主诉、上传的图片信息）。</w:t>
            </w:r>
            <w:r>
              <w:rPr>
                <w:rFonts w:hint="eastAsia" w:ascii="仿宋" w:hAnsi="仿宋" w:eastAsia="仿宋" w:cs="仿宋"/>
                <w:color w:val="000000"/>
                <w:sz w:val="24"/>
                <w:szCs w:val="24"/>
                <w:lang w:eastAsia="zh-CN"/>
              </w:rPr>
              <w:t xml:space="preserve">药师</w:t>
            </w:r>
            <w:r>
              <w:rPr>
                <w:rFonts w:hint="eastAsia" w:ascii="仿宋" w:hAnsi="仿宋" w:eastAsia="仿宋" w:cs="仿宋"/>
                <w:color w:val="000000"/>
                <w:sz w:val="24"/>
                <w:szCs w:val="24"/>
              </w:rPr>
              <w:t xml:space="preserve">可自主选择开始接诊、拒绝接诊，拒绝时需明确退诊理由。</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w:t>
            </w:r>
            <w:r>
              <w:rPr>
                <w:rFonts w:hint="eastAsia" w:ascii="仿宋" w:hAnsi="仿宋" w:eastAsia="仿宋" w:cs="仿宋"/>
                <w:color w:val="000000"/>
                <w:sz w:val="24"/>
                <w:szCs w:val="24"/>
                <w:lang w:eastAsia="zh-CN"/>
              </w:rPr>
              <w:t xml:space="preserve">药师</w:t>
            </w:r>
            <w:r>
              <w:rPr>
                <w:rFonts w:hint="eastAsia" w:ascii="仿宋" w:hAnsi="仿宋" w:eastAsia="仿宋" w:cs="仿宋"/>
                <w:color w:val="000000"/>
                <w:sz w:val="24"/>
                <w:szCs w:val="24"/>
              </w:rPr>
              <w:t xml:space="preserve">与患者一对一在线交流，咨询过程支持语音、图片、文字。</w:t>
            </w:r>
            <w:r>
              <w:rPr>
                <w:rFonts w:hint="eastAsia" w:ascii="仿宋" w:hAnsi="仿宋" w:eastAsia="仿宋" w:cs="仿宋"/>
                <w:color w:val="000000"/>
                <w:sz w:val="24"/>
                <w:szCs w:val="24"/>
                <w:lang w:eastAsia="zh-CN"/>
              </w:rPr>
              <w:t xml:space="preserve">药师</w:t>
            </w:r>
            <w:r>
              <w:rPr>
                <w:rFonts w:hint="eastAsia" w:ascii="仿宋" w:hAnsi="仿宋" w:eastAsia="仿宋" w:cs="仿宋"/>
                <w:color w:val="000000"/>
                <w:sz w:val="24"/>
                <w:szCs w:val="24"/>
              </w:rPr>
              <w:t xml:space="preserve">可在线解答患者问题并提供专业的健康指导建议，不支持在线开立医嘱处方。</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支持编辑和维护个人的常用回复语，交流过程中一键快速回复患者。</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支持查看患者的电话号码，一键拨号呼叫。</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支持查看患者历次的咨询记录、历史咨询图文信息。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支持咨询结束后，</w:t>
            </w:r>
            <w:r>
              <w:rPr>
                <w:rFonts w:hint="eastAsia" w:ascii="仿宋" w:hAnsi="仿宋" w:eastAsia="仿宋" w:cs="仿宋"/>
                <w:color w:val="000000"/>
                <w:sz w:val="24"/>
                <w:szCs w:val="24"/>
                <w:lang w:eastAsia="zh-CN"/>
              </w:rPr>
              <w:t xml:space="preserve">药师</w:t>
            </w:r>
            <w:r>
              <w:rPr>
                <w:rFonts w:hint="eastAsia" w:ascii="仿宋" w:hAnsi="仿宋" w:eastAsia="仿宋" w:cs="仿宋"/>
                <w:color w:val="000000"/>
                <w:sz w:val="24"/>
                <w:szCs w:val="24"/>
              </w:rPr>
              <w:t xml:space="preserve">患者主动结束在线问诊。</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支持未接诊时超过24小时自动退诊功能。接诊后24小时内自动结束问诊。</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在线复诊</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支持医生自主排班和院内统一排班。自主排班支持自动排班（长期排班）和手动排班（临时排班）。</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支持分组查看待接诊、接诊中、已完成的问诊患者信息。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支持预览患者的问诊申请信息（包括基本信息、病情主诉、上传的图片信息）。医生可自主选择开始接诊、拒绝接诊，拒绝时需明确退诊理由。</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支持医生与患者一对一的问诊交流，交流过程支持语音、图片、文字、视频、电话。支持查阅患者历史问诊消息记录。</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支持维护个人、科室的常用语，交流过程中快捷回复。问诊过程中，支持一键快速切换下一位待回复患者。</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支持医生查阅患者在院期间的就诊记录、病情诊断、医嘱处方、电子病历、检查检验报告、治疗费用诊疗信息。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支持医生在线开具电子处方（药品、检查、检验）</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支持提交检查检验申请单，支持对接CA系统，使用电子签名进行认证。</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支持对接合理用药系统，通过合理用药系统的自动审方规则，做统一的用药检查。支持特殊处方发送药师的人工审核。</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支持医生在线书写电子病历（ICD诊断、患者主诉、既往史、家族史、过敏史、医嘱处置等）。提前病历前，支持对接院内CA系统，使用电子签名进行认证，病历信息同步接入EMR系统。</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支持诊疗记录、医嘱信息、病历信息、诊断信息等实时保存在院内系统，实现患者线上线下诊疗一体化。</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支持在线生成挂号发票、及缴费发票、挂号发票冲红等。</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支持接诊过程中，对于需要线下面诊的患者，可根据医生的门诊排班，为患者申请加号。患者在线缴纳挂号费用后，可直接到门诊就诊。</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支持接诊过程中，对于符合住院条件的患者，在线开立电子住院证。患者按照医院的入院流程，办理住院。</w:t>
            </w:r>
            <w:r>
              <w:rPr>
                <w:rFonts w:hint="eastAsia" w:ascii="仿宋" w:hAnsi="仿宋" w:eastAsia="仿宋" w:cs="仿宋"/>
                <w:color w:val="000000"/>
                <w:sz w:val="24"/>
                <w:szCs w:val="24"/>
                <w:lang w:eastAsia="zh-CN"/>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支持线上查看处方、检查检验申请单、指引单、缴费申请单等。</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支持问诊结束后，医生、患者支持主动结束问诊，对于未及时接诊订单，系统定时自动关闭并退款。（订单失效时间可配置）</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支持提供在线咨询、在线复诊业务的音视频服务（包含第三方音视频服务费用）。</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处方审核</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待审核处方信息的查询。包括处方开立时间、开立科室、开立医生、处方项目明细、医嘱诊断等。</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对接合理用药系统，优先系统自动审方。</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在线审核处方，支持审批通过和申请驳回。驳回后向开方医生发送结果通知，并将结果审批信息推送至医生APP。</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对接物流系统，实现待发药、已发药、运输中、已收药等查询并发药操作。</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处方审核的汇总分析、导出。</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vMerge w:val="restart"/>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监管质控</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对接省级互联网医院监管平台，完成医疗机构、诊疗科目、诊疗科室、诊疗医生、审方药师的备案管理。提供预约记录、退号记录、就诊记录、开方记录、处方流转记录、药品配送、收费退费、服务评价、投诉举报等过程数据的查询服务。</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支持在线咨询、在线复诊服务过程的监管、回溯。包括服务时间、服务状态、参与人员、交流记录，音视频回放、医嘱信息、病历信息、诊断信息、检查检验内容。</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支持在线复诊的统一排班、停诊管理、模板管理。支持手动单次排班、周模板批量导入排班。支持按科室、医生姓名等筛选条件，快速查找排班。</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互联网医院核心运营指标的实时全屏监控。包括咨询业务量、问诊业务量、药品处方量、检查检验量、科室排名、医生排名、满意度评价等指标项。</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互联网医院</w:t>
            </w:r>
            <w:r>
              <w:rPr>
                <w:rFonts w:hint="eastAsia" w:ascii="仿宋" w:hAnsi="仿宋" w:eastAsia="仿宋" w:cs="仿宋"/>
                <w:color w:val="000000"/>
                <w:sz w:val="24"/>
                <w:szCs w:val="24"/>
              </w:rPr>
              <w:t xml:space="preserve">院长日报</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医院每日动态报表，医院运营数据分类统计，支持日、月、年的时间维度进行全院收入统计，门急诊人次统计、住院人次统计、医疗收入统计等内容。</w:t>
            </w:r>
            <w:r>
              <w:rPr>
                <w:rFonts w:hint="eastAsia" w:ascii="仿宋" w:hAnsi="仿宋" w:eastAsia="仿宋" w:cs="仿宋"/>
                <w:color w:val="000000"/>
                <w:sz w:val="24"/>
                <w:szCs w:val="24"/>
              </w:rPr>
            </w:r>
            <w:r/>
          </w:p>
        </w:tc>
      </w:tr>
      <w:tr>
        <w:trPr>
          <w:trHeight w:val="510"/>
        </w:trPr>
        <w:tc>
          <w:tcPr>
            <w:tcW w:w="755" w:type="dxa"/>
            <w:vAlign w:val="center"/>
            <w:vMerge w:val="restart"/>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rPr>
            </w:r>
            <w:r/>
          </w:p>
        </w:tc>
        <w:tc>
          <w:tcPr>
            <w:tcW w:w="1000"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互联网医院</w:t>
            </w:r>
            <w:r>
              <w:rPr>
                <w:rFonts w:hint="eastAsia" w:ascii="仿宋" w:hAnsi="仿宋" w:eastAsia="仿宋" w:cs="仿宋"/>
                <w:color w:val="000000"/>
                <w:sz w:val="24"/>
                <w:szCs w:val="24"/>
              </w:rPr>
              <w:t xml:space="preserve">运营管理平台</w:t>
            </w: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用户管理</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支持账号管理、权限管理、日志管理，用户通过帐户、密码登陆系统。支持通过安全验证之后的密码修改功能。支持自动退出登录功能。</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基础配置</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对支撑互联网医院正常运行的基础数据进行查询、新增、修改和删除等操作。包括医院信息、科室信息、医生信息、挂号信息、就医指南、楼层分布、公告信息、功能菜单、专家介绍、科室介绍、提示信息、健康资讯、导诊分诊、院内连接等。</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支持对支撑互联网医院正常运行的业务参数、字典数据进行查询、新增、修改和删除等操作。</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信息查询</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支持互联网医院业务订单查询。包括预约挂号、在线复诊、在线咨询、门诊处方、住院预交、体检预约等线上业务订单。支持按交易时间、订单状态、订单编号、业务项等信息的查询、筛选。</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运营统计</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支持互联网医院线上业务量的统计分析。包括注册用户、就诊人、预约挂号、门诊缴费、住院预交、互联网诊疗等已上线业务功能，支持按日期、业务条件等多维度的统计分析。支持报表下载，数据趋势分析。</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省监管平台对接</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支持对接互联网医院监管平台，完成医疗机构、诊疗科目、诊疗科室、诊疗医生、审方药师的备案管理。</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支持按照监管平台要求提供预约记录、退号记录、就诊记录、开方记录、处方流转信息、药品配送信息、收费退费信息、服务评价、投诉举报等数据的上传、查询服务。</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支持按照监管平台要求，完成监管平台技术对接验收，协助医院完成互联网医院牌照申领。</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诊疗质控监管</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支持监控管理在线咨询类业务的服务过程和服务质量。通过管理端实时回溯本次咨询服务时间、服务状态、参与人员、图文沟通信息，音视频回放、服务评价、交易信息等信息。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监控管理在线复诊类业务的服务过程和服务质量。通过管理端实时回溯本次复诊服务时间、服务状态、参与人员、图文沟通记录，音视频回放、医嘱处方、电子病历、疾病诊断、处方缴费、取药发药、物流配送、服务评价等信息。</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在线复诊排班</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支持在线咨询、在线复诊的全院统一排班。支持按科室、医生、日期、时段设置自动排班模板，系统每天定时生成医生排班号源。</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按出诊时间、出诊科室、出诊医生等条件，查询全院统一排班、医生自主排班的全部信息。支持人工在线新增、编辑排班信息。支持对已生效排班记录的封班、停诊操作，停诊后自动向患者发送停诊通知，退号退费。</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实时监控</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支持互联网医院核心运营指标的实时全屏监控。包括用户注册人次、咨询业务人次、问诊业务人次、药品处方数量、检查检验数量、费用收入金额、科室排名、医生排名、满意度评价等指标项。</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支持动态播报咨询、问诊服务的详细进展事件信息，包括医生接诊信息、医生结束问诊信息、患者支付情况、患者评价情况等。</w:t>
            </w:r>
            <w:r>
              <w:rPr>
                <w:rFonts w:hint="eastAsia" w:ascii="仿宋" w:hAnsi="仿宋" w:eastAsia="仿宋" w:cs="仿宋"/>
                <w:color w:val="000000"/>
                <w:sz w:val="24"/>
                <w:szCs w:val="24"/>
              </w:rPr>
            </w:r>
            <w:r/>
          </w:p>
        </w:tc>
      </w:tr>
      <w:tr>
        <w:trPr>
          <w:trHeight w:val="510"/>
        </w:trPr>
        <w:tc>
          <w:tcPr>
            <w:tcW w:w="755" w:type="dxa"/>
            <w:vAlign w:val="center"/>
            <w:vMerge w:val="restart"/>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rPr>
            </w:r>
            <w:r/>
          </w:p>
        </w:tc>
        <w:tc>
          <w:tcPr>
            <w:tcW w:w="1000" w:type="dxa"/>
            <w:vAlign w:val="center"/>
            <w:vMerge w:val="restart"/>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互联网服务质量管理系统</w:t>
            </w:r>
            <w:r>
              <w:rPr>
                <w:rFonts w:hint="eastAsia" w:ascii="仿宋" w:hAnsi="仿宋" w:eastAsia="仿宋" w:cs="仿宋"/>
                <w:color w:val="000000"/>
                <w:sz w:val="24"/>
                <w:szCs w:val="24"/>
              </w:rPr>
            </w:r>
            <w:r/>
          </w:p>
        </w:tc>
        <w:tc>
          <w:tcPr>
            <w:tcW w:w="1078" w:type="dxa"/>
            <w:vAlign w:val="center"/>
            <w:vMerge w:val="restart"/>
            <w:textDirection w:val="lrTb"/>
            <w:noWrap w:val="false"/>
          </w:tcPr>
          <w:p>
            <w:pPr>
              <w:pStyle w:val="1011"/>
              <w:pageBreakBefore w:val="0"/>
              <w:spacing w:line="240" w:lineRule="auto"/>
              <w:rPr>
                <w:rFonts w:hint="eastAsia" w:ascii="仿宋" w:hAnsi="仿宋" w:eastAsia="仿宋" w:cs="仿宋"/>
                <w:color w:val="000000"/>
                <w:sz w:val="24"/>
                <w:szCs w:val="24"/>
                <w:highlight w:val="red"/>
              </w:rPr>
            </w:pPr>
            <w:r>
              <w:rPr>
                <w:rFonts w:hint="eastAsia" w:ascii="仿宋" w:hAnsi="仿宋" w:eastAsia="仿宋" w:cs="仿宋"/>
                <w:color w:val="000000"/>
                <w:sz w:val="24"/>
                <w:szCs w:val="24"/>
              </w:rPr>
              <w:t xml:space="preserve">黑名单管理</w:t>
            </w:r>
            <w:r>
              <w:rPr>
                <w:rFonts w:hint="eastAsia" w:ascii="仿宋" w:hAnsi="仿宋" w:eastAsia="仿宋" w:cs="仿宋"/>
                <w:color w:val="000000"/>
                <w:sz w:val="24"/>
                <w:szCs w:val="24"/>
                <w:highlight w:val="red"/>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支持患者端基于黑名单规则校验:</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患者挂号、退号时，支持提示黑名单规则。</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highlight w:val="red"/>
              </w:rPr>
            </w:pPr>
            <w:r>
              <w:rPr>
                <w:rFonts w:hint="eastAsia" w:ascii="仿宋" w:hAnsi="仿宋" w:eastAsia="仿宋" w:cs="仿宋"/>
                <w:color w:val="000000"/>
                <w:sz w:val="24"/>
                <w:szCs w:val="24"/>
              </w:rPr>
              <w:t xml:space="preserve">加入黑名单的患者，不允许患者进行挂号操作，并显示加入黑名单原因。</w:t>
            </w:r>
            <w:r>
              <w:rPr>
                <w:rFonts w:hint="eastAsia" w:ascii="仿宋" w:hAnsi="仿宋" w:eastAsia="仿宋" w:cs="仿宋"/>
                <w:color w:val="000000"/>
                <w:sz w:val="24"/>
                <w:szCs w:val="24"/>
                <w:highlight w:val="red"/>
              </w:rPr>
            </w:r>
            <w:r/>
          </w:p>
        </w:tc>
      </w:tr>
      <w:tr>
        <w:trPr>
          <w:trHeight w:val="510"/>
        </w:trPr>
        <w:tc>
          <w:tcPr>
            <w:tcW w:w="755"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highlight w:val="red"/>
              </w:rPr>
            </w:pPr>
            <w:r>
              <w:rPr>
                <w:rFonts w:hint="eastAsia" w:ascii="仿宋" w:hAnsi="仿宋" w:eastAsia="仿宋" w:cs="仿宋"/>
                <w:color w:val="000000"/>
                <w:sz w:val="24"/>
                <w:szCs w:val="24"/>
                <w:highlight w:val="red"/>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支持管理端配置黑名单规则：</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1天内同一科室、医生的挂号次数限制；指定期间内，总挂号次数的限制。</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统计周期内，退号次数限制。超出退号次数自动加入系统黑名单。</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统计周期内，爽约（挂号未到诊）次数超过限定标准，自动加入系统黑名单。</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针对院内特殊账号，支持规则外的白名单管理，可不受规则限制。</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highlight w:val="red"/>
              </w:rPr>
            </w:pPr>
            <w:r>
              <w:rPr>
                <w:rFonts w:hint="eastAsia" w:ascii="仿宋" w:hAnsi="仿宋" w:eastAsia="仿宋" w:cs="仿宋"/>
                <w:color w:val="000000"/>
                <w:sz w:val="24"/>
                <w:szCs w:val="24"/>
              </w:rPr>
              <w:t xml:space="preserve">对疑似倒号、连续爽约（退号）行为的账号，支持人工添加系统黑名单。支持人工处理、移除黑名单。</w:t>
            </w:r>
            <w:r>
              <w:rPr>
                <w:rFonts w:hint="eastAsia" w:ascii="仿宋" w:hAnsi="仿宋" w:eastAsia="仿宋" w:cs="仿宋"/>
                <w:color w:val="000000"/>
                <w:sz w:val="24"/>
                <w:szCs w:val="24"/>
                <w:highlight w:val="red"/>
              </w:rPr>
            </w:r>
            <w:r/>
          </w:p>
        </w:tc>
      </w:tr>
      <w:tr>
        <w:trPr>
          <w:trHeight w:val="510"/>
        </w:trPr>
        <w:tc>
          <w:tcPr>
            <w:tcW w:w="755" w:type="dxa"/>
            <w:vAlign w:val="center"/>
            <w:vMerge w:val="restart"/>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rPr>
                <w:rFonts w:hint="eastAsia" w:ascii="仿宋" w:hAnsi="仿宋" w:eastAsia="仿宋" w:cs="仿宋"/>
                <w:color w:val="000000"/>
                <w:sz w:val="24"/>
                <w:szCs w:val="24"/>
              </w:rPr>
            </w:r>
            <w:r/>
          </w:p>
        </w:tc>
        <w:tc>
          <w:tcPr>
            <w:tcW w:w="1000" w:type="dxa"/>
            <w:vAlign w:val="center"/>
            <w:vMerge w:val="restart"/>
            <w:textDirection w:val="lrTb"/>
            <w:noWrap w:val="false"/>
          </w:tcPr>
          <w:p>
            <w:pPr>
              <w:pStyle w:val="1011"/>
              <w:pageBreakBefore w:val="0"/>
              <w:spacing w:line="240" w:lineRule="auto"/>
              <w:rPr>
                <w:rFonts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消息平台</w:t>
            </w:r>
            <w:r>
              <w:rPr>
                <w:rFonts w:hint="eastAsia" w:ascii="仿宋" w:hAnsi="仿宋" w:eastAsia="仿宋" w:cs="仿宋"/>
                <w:color w:val="000000"/>
                <w:sz w:val="24"/>
                <w:szCs w:val="24"/>
                <w:lang w:val="en-US" w:eastAsia="zh-CN"/>
              </w:rPr>
              <w:t xml:space="preserve">改造</w:t>
            </w:r>
            <w:r>
              <w:rPr>
                <w:rFonts w:ascii="仿宋" w:hAnsi="仿宋" w:eastAsia="仿宋" w:cs="仿宋"/>
                <w:color w:val="000000"/>
                <w:sz w:val="24"/>
                <w:szCs w:val="24"/>
                <w:lang w:val="en-US" w:eastAsia="zh-CN"/>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消息推送</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向患者推送覆盖诊前、诊中和诊后全程的消息提醒，进行完整的指引，做到患者应知尽知。包含就诊前挂号消息通知、诊前检查检验须知、各项知情同意书通知、入院及宣教提醒、手术安排通知、出院及术后指导提醒、检验检查报告提醒、开具电子发票成功提醒，诊后用药等遵医嘱消息通知、复诊通知、康复指导通知及随访通知等精准性、个性化消息，用于加强患者离院后诊疗依从性指引和管理。</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支持微信模板消息、就医助手消息、手机短信等多种推送渠道。</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支持患者通过公众号/小程序订阅可接收的消息类型。</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支持向院内业务系统提供消息推送API，将院内临床业务相关的消息（危急值、病历质控、医嘱、会诊等），发送到医生移动应用终端。</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消息管理</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支持商户接入配置，消息参数配置、推送规则配置、消息订阅管理、用户群组等基础管理。</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支持通过发送时间、消息类型、模板类型、接收人等多种条件实时查询消息推送记录，包括消息来源、接收方、发送方、发送时间、发送内容、发送状态、消息类型、发送类型等</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支持按发送方、接收方、发送时间、发送类型、发送状态、消息类型等多维度的消息统计报表。支持报告的下载、导出功能。</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支持手动向指定的注册患者、门诊患者、住院患者等患者群体发送微信模板消息、短信消息消息。</w:t>
            </w:r>
            <w:r>
              <w:rPr>
                <w:rFonts w:hint="eastAsia" w:ascii="仿宋" w:hAnsi="仿宋" w:eastAsia="仿宋" w:cs="仿宋"/>
                <w:color w:val="000000"/>
                <w:sz w:val="24"/>
                <w:szCs w:val="24"/>
              </w:rPr>
            </w:r>
            <w:r/>
          </w:p>
        </w:tc>
      </w:tr>
      <w:tr>
        <w:trPr>
          <w:trHeight w:val="510"/>
        </w:trPr>
        <w:tc>
          <w:tcPr>
            <w:tcW w:w="755" w:type="dxa"/>
            <w:vAlign w:val="center"/>
            <w:vMerge w:val="restart"/>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rPr>
                <w:rFonts w:hint="eastAsia" w:ascii="仿宋" w:hAnsi="仿宋" w:eastAsia="仿宋" w:cs="仿宋"/>
                <w:color w:val="000000"/>
                <w:sz w:val="24"/>
                <w:szCs w:val="24"/>
              </w:rPr>
            </w:r>
            <w:r/>
          </w:p>
        </w:tc>
        <w:tc>
          <w:tcPr>
            <w:tcW w:w="1000" w:type="dxa"/>
            <w:vAlign w:val="center"/>
            <w:vMerge w:val="restart"/>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科普宣教中心</w:t>
            </w: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宣教查阅</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支持按科室、专业、疾病、专家、视频等自定义科普专栏。支持资讯内容的快速搜索。</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支持患者对科普资料收藏、分享、点赞等操作。</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支持跳转专家首页，查阅专家资料，以实现内容的广泛传播，让更多患者受益，同时提升医院品牌形象</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支持给患者提供便利的健康测评小工具（BMI自测、预产期自测、乙肝自测、吸烟危害自测等），以便患者可对个人健康情况进行了解和评估。</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支持给患者提供系统、便利的科普知识和工具，如急救知识、药品知识、疾病知识、化验单解读知识、疫苗接种知识及工具等。</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支持查看医生个人品牌页、科普宣教专栏。</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宣教管理</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支持医生在线创建科普资料，科普内容支持文本、图片、音视频、PDF文件。支持临时保存到草稿箱，在草稿箱的继续提交。提交后等待管理部门审核，通过后可正式发布到科普专栏。</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支持医生管理个人的文章、视频等科普资料，支持临时保存、发布后撤回、删除操作。</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支持医生查阅全院医生分享的文章、视频等科普资料。支持科普知识分类查询，科普资料关注查询，支持科普资料分享。</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支持查看个人科普资料的发布数量、点赞数量、分享数量、阅读数量等数据的统计。</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支持科普资讯的分类管理，设置分类名称、显示顺序、级别等。</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支持科普资讯的发布管理，支持发布、撤回、删除操作。</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支持审核医生编辑的科普材料，通过后可正式发布科普专栏。审核失败时向医生发送失败通知，支持医生在线修改后重新审核。</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支持对接医院官微、业务科室的订阅号、公众号内相关的科普宣教信息，进行自动同步、归集。</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支持按科室、医生、科普分类统计数据，支持多维度的排名分析。</w:t>
            </w:r>
            <w:r>
              <w:rPr>
                <w:rFonts w:hint="eastAsia" w:ascii="仿宋" w:hAnsi="仿宋" w:eastAsia="仿宋" w:cs="仿宋"/>
                <w:color w:val="000000"/>
                <w:sz w:val="24"/>
                <w:szCs w:val="24"/>
              </w:rPr>
            </w:r>
            <w:r/>
          </w:p>
        </w:tc>
      </w:tr>
      <w:tr>
        <w:trPr>
          <w:trHeight w:val="510"/>
        </w:trPr>
        <w:tc>
          <w:tcPr>
            <w:tcW w:w="755" w:type="dxa"/>
            <w:vAlign w:val="center"/>
            <w:vMerge w:val="restart"/>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rPr>
                <w:rFonts w:hint="eastAsia" w:ascii="仿宋" w:hAnsi="仿宋" w:eastAsia="仿宋" w:cs="仿宋"/>
                <w:color w:val="000000"/>
                <w:sz w:val="24"/>
                <w:szCs w:val="24"/>
              </w:rPr>
            </w:r>
            <w:r/>
          </w:p>
        </w:tc>
        <w:tc>
          <w:tcPr>
            <w:tcW w:w="1000" w:type="dxa"/>
            <w:vAlign w:val="center"/>
            <w:vMerge w:val="restart"/>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智能化服务</w:t>
            </w:r>
            <w:r>
              <w:rPr>
                <w:rFonts w:hint="eastAsia" w:ascii="仿宋" w:hAnsi="仿宋" w:eastAsia="仿宋" w:cs="仿宋"/>
                <w:color w:val="000000"/>
                <w:sz w:val="24"/>
                <w:szCs w:val="24"/>
              </w:rPr>
            </w:r>
            <w:r/>
          </w:p>
        </w:tc>
        <w:tc>
          <w:tcPr>
            <w:tcW w:w="1078"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AI</w:t>
            </w:r>
            <w:r>
              <w:rPr>
                <w:rFonts w:hint="eastAsia" w:ascii="仿宋" w:hAnsi="仿宋" w:eastAsia="仿宋" w:cs="仿宋"/>
                <w:color w:val="000000"/>
                <w:sz w:val="24"/>
                <w:szCs w:val="24"/>
              </w:rPr>
              <w:t xml:space="preserve">导诊</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支持基于人工智能技术的医疗辅助工具，通过自然语言处理（NLP）、知识图谱和机器学习算法，为患者提供精准的预诊分科服务。</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以症状主诉为入口，结合用户输入的年龄、病史等基本信息，模拟医生问诊逻辑进行多轮交互，通过语义分析匹配疾病特征库中的数千种病症模型，最终推荐合适科室，支持医院挂号系统对接，一键跳转挂号系统，快速预约挂号。</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系统核心模块包括智能问答引擎、疾病知识库、动态分诊模型和实时数据分析平台，支持文字、语音等多种交互方式。</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至少提供10万次调阅服务。</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AI</w:t>
            </w:r>
            <w:r>
              <w:rPr>
                <w:rFonts w:hint="eastAsia" w:ascii="仿宋" w:hAnsi="仿宋" w:eastAsia="仿宋" w:cs="仿宋"/>
                <w:color w:val="000000"/>
                <w:sz w:val="24"/>
                <w:szCs w:val="24"/>
              </w:rPr>
              <w:t xml:space="preserve">预问诊</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智能预问诊系统是基于 AI 的院前辅助工具，旨在通过智能理解患者的主诉，模拟医生真实的问诊思路，协助患者系统地梳理病情，自动采集患者病史信息，优化诊疗流程。</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系统通过多轮对话交互（文字/语音），引导患者结构化描述症状、病程、用药史及生活习惯，结合NLP 与医学知识图谱解析病情特征，自动生成标准化预诊报告，包含主诉摘要、过往史、家族史、过敏史等病历信息。</w:t>
            </w:r>
            <w:r>
              <w:rPr>
                <w:rFonts w:hint="eastAsia" w:ascii="仿宋" w:hAnsi="仿宋" w:eastAsia="仿宋" w:cs="仿宋"/>
                <w:color w:val="000000"/>
                <w:sz w:val="24"/>
                <w:szCs w:val="24"/>
                <w:lang w:eastAsia="zh-CN"/>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支持智能预问诊对话界面根据实际的问题类型，提供不同的便捷输入方式，包括自由输入文本、数字、单选、多选、滚轮、下拉框等多种方式。提升可视化体验且尽量节约患者时间。</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预诊报告支持同步至医生工作站，医生接诊前调阅，可提前了解患者的基本病情，提高诊疗效率。</w:t>
            </w:r>
            <w:r>
              <w:rPr>
                <w:rFonts w:hint="eastAsia" w:ascii="仿宋" w:hAnsi="仿宋" w:eastAsia="仿宋" w:cs="仿宋"/>
                <w:color w:val="000000"/>
                <w:sz w:val="24"/>
                <w:szCs w:val="24"/>
                <w:lang w:eastAsia="zh-CN"/>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书写病历时，支持一键引用至电子病历模板，提高门诊病历书写质量和效率。</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至少提供10万次调阅服务。</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▲AI 报告解读</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智能报告解读系统是基于 AI 的医疗数据分析平台，通过自然语言处理、医学知识图谱及深度学习技术，实现对检验、影像、病理等多模态报告的自动化解析与风险评估。</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系统支持对标准化检查、检验结果数据，匹配临床指南与疾病特征库，标注异常指标、生成通俗化解读结论，并输出可视化图表与健康建议。</w:t>
            </w:r>
            <w:r>
              <w:rPr>
                <w:rFonts w:hint="eastAsia" w:ascii="仿宋" w:hAnsi="仿宋" w:eastAsia="仿宋" w:cs="仿宋"/>
                <w:color w:val="000000"/>
                <w:sz w:val="24"/>
                <w:szCs w:val="24"/>
                <w:lang w:eastAsia="zh-CN"/>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核心功能包括：异常指标预警、多报告交叉分析、疾病概率预测及分级诊疗推荐，覆盖血检、CT、基因检测等 95%以上常见报告类型。患者可通过智能问答进一步获取指标含义、复查建议及就医指引。</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至少提供30万次调阅服务费用。</w:t>
            </w:r>
            <w:r>
              <w:rPr>
                <w:rFonts w:hint="eastAsia" w:ascii="仿宋" w:hAnsi="仿宋" w:eastAsia="仿宋" w:cs="仿宋"/>
                <w:color w:val="000000"/>
                <w:sz w:val="24"/>
                <w:szCs w:val="24"/>
              </w:rPr>
            </w:r>
            <w:r/>
          </w:p>
        </w:tc>
      </w:tr>
      <w:tr>
        <w:trPr>
          <w:trHeight w:val="510"/>
        </w:trPr>
        <w:tc>
          <w:tcPr>
            <w:tcW w:w="755"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w:t>
            </w:r>
            <w:r>
              <w:rPr>
                <w:rFonts w:hint="eastAsia" w:ascii="仿宋" w:hAnsi="仿宋" w:eastAsia="仿宋" w:cs="仿宋"/>
                <w:color w:val="000000"/>
                <w:sz w:val="24"/>
                <w:szCs w:val="24"/>
              </w:rPr>
            </w:r>
            <w:r/>
          </w:p>
        </w:tc>
        <w:tc>
          <w:tcPr>
            <w:tcW w:w="1000"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互联网医疗远程诊疗系统</w:t>
            </w:r>
            <w:r>
              <w:rPr>
                <w:rFonts w:hint="eastAsia" w:ascii="仿宋" w:hAnsi="仿宋" w:eastAsia="仿宋" w:cs="仿宋"/>
                <w:color w:val="000000"/>
                <w:sz w:val="24"/>
                <w:szCs w:val="24"/>
              </w:rPr>
            </w:r>
            <w:r/>
          </w:p>
        </w:tc>
        <w:tc>
          <w:tcPr>
            <w:tcW w:w="1078"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远程会诊</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支持新建会诊功能。申请医院可在线发起会诊申请，对于不符合会诊单录入信息要求的内容进行提示；申请成功后，支持向会诊关联人员发送会诊通知和时间提醒（短信，APP推送通知）</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录入患者信息可包含患者姓名、主诉、初步诊断、病情摘要、诊疗经过等信息，会诊信息可包含会诊类别、邀请专家、患者来源、会诊目的等信息及上传会诊相关资料，支持通过图片、文件上传会诊资料，也可通过接口的方式从申请医院采集病历、医嘱、检查检验报告等结构化数据上传</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通过患者姓名、申请单位、申请日期、会诊日期、会诊状态等进行会诊查询与搜索，查看会诊申请信息、会诊资料、会诊执行状态和会诊安排等信息；支持修改会诊申请信息、增加或删除会诊资料；支持专家个人审批会诊申请、机构统一审批会诊申请</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支持医生之间通过视频、音频以及图文的形式进行会诊，视频、会诊资料支持浮窗分屏显示，会诊中支持开启桌面共享、互动白板等多人协作交流工具。</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支持在线提交会诊结论，会诊发起者可查看完整的会诊结论信息，会诊报告支持回传院内电子病历系统。</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支持通过时间、机构等条件，查询会诊业务量、会诊详细信息等。</w:t>
            </w:r>
            <w:r>
              <w:rPr>
                <w:rFonts w:hint="eastAsia" w:ascii="仿宋" w:hAnsi="仿宋" w:eastAsia="仿宋" w:cs="仿宋"/>
                <w:color w:val="000000"/>
                <w:sz w:val="24"/>
                <w:szCs w:val="24"/>
              </w:rPr>
            </w:r>
            <w:r/>
          </w:p>
        </w:tc>
      </w:tr>
      <w:tr>
        <w:trPr>
          <w:trHeight w:val="510"/>
        </w:trPr>
        <w:tc>
          <w:tcPr>
            <w:tcW w:w="755" w:type="dxa"/>
            <w:vAlign w:val="center"/>
            <w:vMerge w:val="restart"/>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rPr>
                <w:rFonts w:hint="eastAsia" w:ascii="仿宋" w:hAnsi="仿宋" w:eastAsia="仿宋" w:cs="仿宋"/>
                <w:color w:val="000000"/>
                <w:sz w:val="24"/>
                <w:szCs w:val="24"/>
              </w:rPr>
            </w:r>
            <w:r/>
          </w:p>
        </w:tc>
        <w:tc>
          <w:tcPr>
            <w:tcW w:w="1000" w:type="dxa"/>
            <w:vAlign w:val="center"/>
            <w:vMerge w:val="restart"/>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系统改造</w:t>
            </w:r>
            <w:r>
              <w:rPr>
                <w:rFonts w:hint="eastAsia" w:ascii="仿宋" w:hAnsi="仿宋" w:eastAsia="仿宋" w:cs="仿宋"/>
                <w:color w:val="000000"/>
                <w:sz w:val="24"/>
                <w:szCs w:val="24"/>
              </w:rPr>
            </w:r>
            <w:r/>
          </w:p>
        </w:tc>
        <w:tc>
          <w:tcPr>
            <w:tcW w:w="1078" w:type="dxa"/>
            <w:vAlign w:val="center"/>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宋体" w:hAnsi="宋体" w:eastAsia="宋体" w:cs="宋体"/>
                <w:color w:val="000000"/>
                <w:sz w:val="24"/>
                <w:szCs w:val="24"/>
              </w:rPr>
              <w:t xml:space="preserve">★</w:t>
            </w:r>
            <w:r>
              <w:rPr>
                <w:rFonts w:hint="eastAsia" w:ascii="仿宋" w:hAnsi="仿宋" w:eastAsia="仿宋" w:cs="仿宋"/>
                <w:color w:val="000000"/>
                <w:sz w:val="24"/>
                <w:szCs w:val="24"/>
              </w:rPr>
              <w:t xml:space="preserve">HIS改造</w:t>
            </w:r>
            <w:r>
              <w:rPr>
                <w:rFonts w:hint="eastAsia" w:ascii="仿宋" w:hAnsi="仿宋" w:eastAsia="仿宋" w:cs="仿宋"/>
                <w:b/>
                <w:bCs/>
                <w:color w:val="000000"/>
                <w:sz w:val="24"/>
                <w:szCs w:val="24"/>
                <w:lang w:eastAsia="zh-CN"/>
              </w:rPr>
              <w:t xml:space="preserve">（</w:t>
            </w:r>
            <w:r>
              <w:rPr>
                <w:rFonts w:hint="eastAsia" w:ascii="仿宋" w:hAnsi="仿宋" w:eastAsia="仿宋" w:cs="仿宋"/>
                <w:b/>
                <w:bCs/>
                <w:color w:val="000000"/>
                <w:sz w:val="24"/>
                <w:szCs w:val="24"/>
                <w:lang w:val="en-US" w:eastAsia="zh-CN"/>
              </w:rPr>
              <w:t xml:space="preserve">投标人需提供承诺函并加盖公章，格式自拟</w:t>
            </w:r>
            <w:r>
              <w:rPr>
                <w:rFonts w:hint="eastAsia" w:ascii="仿宋" w:hAnsi="仿宋" w:eastAsia="仿宋" w:cs="仿宋"/>
                <w:b/>
                <w:bCs/>
                <w:color w:val="000000"/>
                <w:sz w:val="24"/>
                <w:szCs w:val="24"/>
                <w:lang w:eastAsia="zh-CN"/>
              </w:rPr>
              <w:t xml:space="preserve">）</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bookmarkStart w:id="44" w:name="RANGE!E84"/>
            <w:r>
              <w:rPr>
                <w:rFonts w:hint="eastAsia" w:ascii="仿宋" w:hAnsi="仿宋" w:eastAsia="仿宋" w:cs="仿宋"/>
                <w:color w:val="000000"/>
                <w:sz w:val="24"/>
                <w:szCs w:val="24"/>
              </w:rPr>
              <w:t xml:space="preserve">按照智慧服务3级标准要求，</w:t>
            </w:r>
            <w:r>
              <w:rPr>
                <w:rFonts w:hint="eastAsia" w:ascii="仿宋" w:hAnsi="仿宋" w:eastAsia="仿宋" w:cs="仿宋"/>
                <w:color w:val="000000"/>
                <w:sz w:val="24"/>
                <w:szCs w:val="24"/>
                <w:lang w:eastAsia="zh-CN"/>
              </w:rPr>
              <w:t xml:space="preserve">负责</w:t>
            </w:r>
            <w:r>
              <w:rPr>
                <w:rFonts w:hint="eastAsia" w:ascii="仿宋" w:hAnsi="仿宋" w:eastAsia="仿宋" w:cs="仿宋"/>
                <w:color w:val="000000"/>
                <w:sz w:val="24"/>
                <w:szCs w:val="24"/>
              </w:rPr>
              <w:t xml:space="preserve">HIS系统相关的适应性改造。</w:t>
            </w:r>
            <w:r>
              <w:rPr>
                <w:rFonts w:hint="eastAsia" w:ascii="仿宋" w:hAnsi="仿宋" w:eastAsia="仿宋" w:cs="仿宋"/>
                <w:color w:val="000000"/>
                <w:sz w:val="24"/>
                <w:szCs w:val="24"/>
                <w:lang w:eastAsia="zh-CN"/>
              </w:rPr>
              <w:t xml:space="preserve">中标商需与医院</w:t>
            </w:r>
            <w:r>
              <w:rPr>
                <w:rFonts w:hint="eastAsia" w:ascii="仿宋" w:hAnsi="仿宋" w:eastAsia="仿宋" w:cs="仿宋"/>
                <w:color w:val="000000"/>
                <w:sz w:val="24"/>
                <w:szCs w:val="24"/>
                <w:lang w:val="en-US" w:eastAsia="zh-CN"/>
              </w:rPr>
              <w:t xml:space="preserve">HIS厂家自行协商合作事项，</w:t>
            </w:r>
            <w:r>
              <w:rPr>
                <w:rFonts w:hint="eastAsia" w:ascii="仿宋" w:hAnsi="仿宋" w:eastAsia="仿宋" w:cs="仿宋"/>
                <w:color w:val="000000"/>
                <w:sz w:val="24"/>
                <w:szCs w:val="24"/>
              </w:rPr>
              <w:t xml:space="preserve">包括业务数据分类查询、统计报表、免二次排队功能改造、黑名单管理、转诊会诊数据衔接等。</w:t>
            </w:r>
            <w:bookmarkEnd w:id="44"/>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CA系统改造</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bookmarkStart w:id="45" w:name="RANGE!E85"/>
            <w:r>
              <w:rPr>
                <w:rFonts w:hint="eastAsia" w:ascii="仿宋" w:hAnsi="仿宋" w:eastAsia="仿宋" w:cs="仿宋"/>
                <w:color w:val="000000"/>
                <w:sz w:val="24"/>
                <w:szCs w:val="24"/>
              </w:rPr>
              <w:t xml:space="preserve">支持手机端医嘱病历电子签名改造。</w:t>
            </w:r>
            <w:bookmarkEnd w:id="45"/>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音视频服务</w:t>
            </w:r>
            <w:r>
              <w:rPr>
                <w:rFonts w:hint="eastAsia" w:ascii="仿宋" w:hAnsi="仿宋" w:eastAsia="仿宋" w:cs="仿宋"/>
                <w:color w:val="000000"/>
                <w:sz w:val="24"/>
                <w:szCs w:val="24"/>
              </w:rPr>
            </w:r>
            <w:r/>
          </w:p>
        </w:tc>
        <w:tc>
          <w:tcPr>
            <w:tcW w:w="5917"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支持提供本项目范围内的在线咨询、在线复诊相关业务的音视频服务。</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自助机改造</w:t>
            </w:r>
            <w:r>
              <w:rPr>
                <w:rFonts w:ascii="仿宋" w:hAnsi="仿宋" w:eastAsia="仿宋" w:cs="仿宋"/>
                <w:color w:val="000000"/>
                <w:sz w:val="24"/>
                <w:szCs w:val="24"/>
                <w:highlight w:val="none"/>
                <w:lang w:val="en-US" w:eastAsia="zh-CN"/>
              </w:rPr>
            </w:r>
            <w:r/>
          </w:p>
        </w:tc>
        <w:tc>
          <w:tcPr>
            <w:tcW w:w="5917" w:type="dxa"/>
            <w:vAlign w:val="center"/>
            <w:textDirection w:val="lrTb"/>
            <w:noWrap w:val="false"/>
          </w:tcPr>
          <w:p>
            <w:pPr>
              <w:pStyle w:val="1011"/>
              <w:ind w:firstLine="480"/>
              <w:jc w:val="left"/>
              <w:keepLines w:val="0"/>
              <w:keepNext w:val="0"/>
              <w:pageBreakBefore w:val="0"/>
              <w:spacing w:line="24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支持建档、挂号、限号通知、停诊、黑名单、满意度调查、科室介绍、专家介绍、出诊信息等智慧服务三级评审要求功能点改造。</w:t>
            </w:r>
            <w:r>
              <w:rPr>
                <w:rFonts w:ascii="仿宋" w:hAnsi="仿宋" w:eastAsia="仿宋" w:cs="仿宋"/>
                <w:color w:val="000000"/>
                <w:sz w:val="24"/>
                <w:szCs w:val="24"/>
                <w:highlight w:val="none"/>
                <w:lang w:val="en-US" w:eastAsia="zh-CN"/>
              </w:rPr>
            </w:r>
            <w:r/>
          </w:p>
        </w:tc>
      </w:tr>
      <w:tr>
        <w:trPr>
          <w:trHeight w:val="510"/>
        </w:trPr>
        <w:tc>
          <w:tcPr>
            <w:tcW w:w="755" w:type="dxa"/>
            <w:vAlign w:val="center"/>
            <w:vMerge w:val="restart"/>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w:t>
            </w:r>
            <w:r>
              <w:rPr>
                <w:rFonts w:hint="eastAsia" w:ascii="仿宋" w:hAnsi="仿宋" w:eastAsia="仿宋" w:cs="仿宋"/>
                <w:color w:val="000000"/>
                <w:sz w:val="24"/>
                <w:szCs w:val="24"/>
              </w:rPr>
            </w:r>
            <w:r/>
          </w:p>
        </w:tc>
        <w:tc>
          <w:tcPr>
            <w:tcW w:w="1000" w:type="dxa"/>
            <w:vAlign w:val="center"/>
            <w:vMerge w:val="restart"/>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智慧服务评级指导</w:t>
            </w: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自测评审服务</w:t>
            </w:r>
            <w:r>
              <w:rPr>
                <w:rFonts w:hint="eastAsia" w:ascii="仿宋" w:hAnsi="仿宋" w:eastAsia="仿宋" w:cs="仿宋"/>
                <w:color w:val="000000"/>
                <w:sz w:val="24"/>
                <w:szCs w:val="24"/>
                <w:lang w:bidi="ar"/>
              </w:rPr>
            </w:r>
            <w:r/>
          </w:p>
        </w:tc>
        <w:tc>
          <w:tcPr>
            <w:tcW w:w="5917" w:type="dxa"/>
            <w:vAlign w:val="top"/>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提供医院智慧服务等级自测服务，提供评审自测工具，医院可根据申报等级进行自评，能根据自评情况提供评审服务报告及得分情况分析。</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现场调研服务</w:t>
            </w:r>
            <w:r>
              <w:rPr>
                <w:rFonts w:hint="eastAsia" w:ascii="仿宋" w:hAnsi="仿宋" w:eastAsia="仿宋" w:cs="仿宋"/>
                <w:color w:val="000000"/>
                <w:sz w:val="24"/>
                <w:szCs w:val="24"/>
                <w:lang w:bidi="ar"/>
              </w:rPr>
            </w:r>
            <w:r/>
          </w:p>
        </w:tc>
        <w:tc>
          <w:tcPr>
            <w:tcW w:w="5917" w:type="dxa"/>
            <w:vAlign w:val="top"/>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根据医院的自评情况，能结合医院智慧服务等级评审要求，组织相关人员调研，对医院现有信息系统进行全面梳理，收集临床反馈问题。</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标准解读服务</w:t>
            </w:r>
            <w:r>
              <w:rPr>
                <w:rFonts w:hint="eastAsia" w:ascii="仿宋" w:hAnsi="仿宋" w:eastAsia="仿宋" w:cs="仿宋"/>
                <w:color w:val="000000"/>
                <w:sz w:val="24"/>
                <w:szCs w:val="24"/>
                <w:lang w:bidi="ar"/>
              </w:rPr>
            </w:r>
            <w:r/>
          </w:p>
        </w:tc>
        <w:tc>
          <w:tcPr>
            <w:tcW w:w="5917" w:type="dxa"/>
            <w:vAlign w:val="top"/>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依据《医院智慧服务分级评估标准体系》以及最新相关政策要求进行解读，对其中8个基本项，9个选择项，逐一进行分析，明确各个项目的标准要求，对医院人员进行培训，辅助医院对指标的理解，确保医院对标准解读的全面性、准确性、深入性和一致性。</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差异分析服务</w:t>
            </w:r>
            <w:r>
              <w:rPr>
                <w:rFonts w:hint="eastAsia" w:ascii="仿宋" w:hAnsi="仿宋" w:eastAsia="仿宋" w:cs="仿宋"/>
                <w:color w:val="000000"/>
                <w:sz w:val="24"/>
                <w:szCs w:val="24"/>
                <w:lang w:bidi="ar"/>
              </w:rPr>
            </w:r>
            <w:r/>
          </w:p>
        </w:tc>
        <w:tc>
          <w:tcPr>
            <w:tcW w:w="5917" w:type="dxa"/>
            <w:vAlign w:val="top"/>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针对调研结果与智慧医院三级标准解读，对8个基本项，9个选择项逐一进行差异对标，找出不满足的内容，提供《差异对标报告》，整个项目过程中持续更新跟踪表，展现评级工作进展情况。</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项目跟踪服务</w:t>
            </w:r>
            <w:r>
              <w:rPr>
                <w:rFonts w:hint="eastAsia" w:ascii="仿宋" w:hAnsi="仿宋" w:eastAsia="仿宋" w:cs="仿宋"/>
                <w:color w:val="000000"/>
                <w:sz w:val="24"/>
                <w:szCs w:val="24"/>
                <w:lang w:bidi="ar"/>
              </w:rPr>
            </w:r>
            <w:r/>
          </w:p>
        </w:tc>
        <w:tc>
          <w:tcPr>
            <w:tcW w:w="5917" w:type="dxa"/>
            <w:vAlign w:val="top"/>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跟踪各项评级工作开展情况，及时对已完成的指标进行再次评审，将结果反馈给相关人员。把控工作进度及各阶段文档输出，直至评级结束。项目过程中遇到问题，积极采取应对措施。根据需要，提供不定时开展相关人员培训。</w:t>
            </w:r>
            <w:r>
              <w:rPr>
                <w:rFonts w:hint="eastAsia" w:ascii="仿宋" w:hAnsi="仿宋" w:eastAsia="仿宋" w:cs="仿宋"/>
                <w:color w:val="000000"/>
                <w:sz w:val="24"/>
                <w:szCs w:val="24"/>
              </w:rPr>
            </w:r>
            <w:r/>
          </w:p>
        </w:tc>
      </w:tr>
      <w:tr>
        <w:trPr>
          <w:trHeight w:val="510"/>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材料评审服务</w:t>
            </w:r>
            <w:r>
              <w:rPr>
                <w:rFonts w:hint="eastAsia" w:ascii="仿宋" w:hAnsi="仿宋" w:eastAsia="仿宋" w:cs="仿宋"/>
                <w:color w:val="000000"/>
                <w:sz w:val="24"/>
                <w:szCs w:val="24"/>
                <w:lang w:bidi="ar"/>
              </w:rPr>
            </w:r>
            <w:r/>
          </w:p>
        </w:tc>
        <w:tc>
          <w:tcPr>
            <w:tcW w:w="5917" w:type="dxa"/>
            <w:vAlign w:val="top"/>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指导医院完成文审材料的编写、审核、修订、提交，制定文审材料编制计划，为医院提供优秀模版，对参与编辑人员进行培训，组织多级审核，指导医院在填报平台上进行上传。</w:t>
            </w:r>
            <w:r>
              <w:rPr>
                <w:rFonts w:hint="eastAsia" w:ascii="仿宋" w:hAnsi="仿宋" w:eastAsia="仿宋" w:cs="仿宋"/>
                <w:color w:val="000000"/>
                <w:sz w:val="24"/>
                <w:szCs w:val="24"/>
              </w:rPr>
            </w:r>
            <w:r/>
          </w:p>
        </w:tc>
      </w:tr>
      <w:tr>
        <w:trPr>
          <w:trHeight w:val="738"/>
        </w:trPr>
        <w:tc>
          <w:tcPr>
            <w:tcW w:w="755"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00" w:type="dxa"/>
            <w:vAlign w:val="center"/>
            <w:vMerge w:val="continue"/>
            <w:textDirection w:val="lrTb"/>
            <w:noWrap w:val="false"/>
          </w:tcPr>
          <w:p>
            <w:pPr>
              <w:pStyle w:val="1011"/>
              <w:ind w:firstLine="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78"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迎检测评服务</w:t>
            </w:r>
            <w:r>
              <w:rPr>
                <w:rFonts w:hint="eastAsia" w:ascii="仿宋" w:hAnsi="仿宋" w:eastAsia="仿宋" w:cs="仿宋"/>
                <w:color w:val="000000"/>
                <w:sz w:val="24"/>
                <w:szCs w:val="24"/>
              </w:rPr>
            </w:r>
            <w:r/>
          </w:p>
        </w:tc>
        <w:tc>
          <w:tcPr>
            <w:tcW w:w="5917" w:type="dxa"/>
            <w:vAlign w:val="top"/>
            <w:textDirection w:val="lrTb"/>
            <w:noWrap w:val="false"/>
          </w:tcPr>
          <w:p>
            <w:pPr>
              <w:pStyle w:val="1011"/>
              <w:ind w:firstLine="480"/>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国家远程评审前，协助医院组建内部或外部专家团队进行现场模拟评审，现场对智慧医院评审三级各项指标进行评审。制定专家迎检方案，组织多轮培训，保证医务人员可熟练、规范的操作系统。指导医院做好会场部署、软硬件及网络部署、专家会场路线规划。</w:t>
            </w:r>
            <w:r>
              <w:rPr>
                <w:rFonts w:hint="eastAsia" w:ascii="仿宋" w:hAnsi="仿宋" w:eastAsia="仿宋" w:cs="仿宋"/>
                <w:color w:val="000000"/>
                <w:sz w:val="24"/>
                <w:szCs w:val="24"/>
              </w:rPr>
            </w:r>
            <w:r/>
          </w:p>
        </w:tc>
      </w:tr>
    </w:tbl>
    <w:p>
      <w:pPr>
        <w:pStyle w:val="1011"/>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lang w:eastAsia="zh-CN"/>
        </w:rPr>
        <w:t xml:space="preserve">）医院药学信息管理系统</w:t>
      </w:r>
      <w:r>
        <w:rPr>
          <w:rFonts w:hint="eastAsia" w:ascii="宋体" w:hAnsi="宋体" w:eastAsia="宋体" w:cs="宋体"/>
          <w:b/>
          <w:bCs/>
          <w:color w:val="000000"/>
          <w:sz w:val="24"/>
          <w:szCs w:val="24"/>
          <w:highlight w:val="none"/>
          <w:lang w:val="en-US" w:eastAsia="zh-CN"/>
        </w:rPr>
        <w:t xml:space="preserve">软件集成及升级</w:t>
      </w:r>
      <w:r>
        <w:rPr>
          <w:rFonts w:hint="eastAsia" w:ascii="宋体" w:hAnsi="宋体" w:eastAsia="宋体" w:cs="宋体"/>
          <w:b/>
          <w:bCs/>
          <w:color w:val="000000"/>
          <w:sz w:val="24"/>
          <w:szCs w:val="24"/>
          <w:highlight w:val="none"/>
          <w:lang w:eastAsia="zh-CN"/>
        </w:rPr>
      </w:r>
      <w:r/>
    </w:p>
    <w:tbl>
      <w:tblPr>
        <w:tblStyle w:val="1067"/>
        <w:tblW w:w="8858" w:type="dxa"/>
        <w:jc w:val="center"/>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4" w:type="dxa"/>
          <w:top w:w="32" w:type="dxa"/>
          <w:right w:w="64" w:type="dxa"/>
          <w:bottom w:w="32" w:type="dxa"/>
        </w:tblCellMar>
        <w:tblLook w:val="04A0" w:firstRow="1" w:lastRow="0" w:firstColumn="1" w:lastColumn="0" w:noHBand="0" w:noVBand="1"/>
      </w:tblPr>
      <w:tblGrid>
        <w:gridCol w:w="194"/>
        <w:gridCol w:w="464"/>
        <w:gridCol w:w="203"/>
        <w:gridCol w:w="1063"/>
        <w:gridCol w:w="177"/>
        <w:gridCol w:w="1004"/>
        <w:gridCol w:w="214"/>
        <w:gridCol w:w="5497"/>
        <w:gridCol w:w="236"/>
      </w:tblGrid>
      <w:tr>
        <w:trPr>
          <w:tblHeader/>
        </w:trPr>
        <w:tc>
          <w:tcPr>
            <w:gridSpan w:val="3"/>
            <w:tcW w:w="667" w:type="dxa"/>
            <w:vAlign w:val="center"/>
            <w:textDirection w:val="lrTb"/>
            <w:noWrap w:val="false"/>
          </w:tcPr>
          <w:p>
            <w:pPr>
              <w:pStyle w:val="1011"/>
              <w:jc w:val="center"/>
              <w:pageBreakBefore w:val="0"/>
              <w:spacing w:line="24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t xml:space="preserve">序号</w:t>
            </w:r>
            <w:r>
              <w:rPr>
                <w:rFonts w:hint="eastAsia" w:ascii="仿宋" w:hAnsi="仿宋" w:eastAsia="仿宋" w:cs="仿宋"/>
                <w:b/>
                <w:color w:val="000000"/>
                <w:sz w:val="24"/>
                <w:szCs w:val="24"/>
                <w:lang w:eastAsia="zh-CN"/>
              </w:rPr>
            </w:r>
            <w:r/>
          </w:p>
        </w:tc>
        <w:tc>
          <w:tcPr>
            <w:gridSpan w:val="6"/>
            <w:tcW w:w="8191" w:type="dxa"/>
            <w:vAlign w:val="center"/>
            <w:textDirection w:val="lrTb"/>
            <w:noWrap w:val="false"/>
          </w:tcPr>
          <w:p>
            <w:pPr>
              <w:pStyle w:val="1011"/>
              <w:jc w:val="center"/>
              <w:pageBreakBefore w:val="0"/>
              <w:spacing w:line="240" w:lineRule="auto"/>
              <w:rPr>
                <w:rFonts w:hint="eastAsia" w:ascii="仿宋" w:hAnsi="仿宋" w:eastAsia="仿宋" w:cs="仿宋"/>
                <w:b/>
                <w:color w:val="000000"/>
                <w:sz w:val="24"/>
                <w:szCs w:val="24"/>
                <w:lang w:eastAsia="zh-CN"/>
              </w:rPr>
            </w:pPr>
            <w:r>
              <w:rPr>
                <w:rFonts w:hint="eastAsia" w:ascii="仿宋" w:hAnsi="仿宋" w:eastAsia="仿宋" w:cs="仿宋"/>
                <w:b/>
                <w:bCs/>
                <w:color w:val="000000"/>
                <w:sz w:val="24"/>
                <w:szCs w:val="24"/>
                <w:lang w:eastAsia="zh-CN"/>
              </w:rPr>
              <w:t xml:space="preserve">功能要求</w:t>
            </w:r>
            <w:r>
              <w:rPr>
                <w:rFonts w:hint="eastAsia" w:ascii="仿宋" w:hAnsi="仿宋" w:eastAsia="仿宋" w:cs="仿宋"/>
                <w:b/>
                <w:color w:val="000000"/>
                <w:sz w:val="24"/>
                <w:szCs w:val="24"/>
                <w:lang w:eastAsia="zh-CN"/>
              </w:rPr>
            </w:r>
            <w:r/>
          </w:p>
        </w:tc>
      </w:tr>
      <w:tr>
        <w:trPr/>
        <w:tc>
          <w:tcPr>
            <w:gridSpan w:val="3"/>
            <w:tcW w:w="667" w:type="dxa"/>
            <w:vAlign w:val="center"/>
            <w:vMerge w:val="restart"/>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1</w:t>
            </w:r>
            <w:r>
              <w:rPr>
                <w:rFonts w:hint="eastAsia" w:ascii="仿宋" w:hAnsi="仿宋" w:eastAsia="仿宋" w:cs="仿宋"/>
                <w:color w:val="000000"/>
                <w:sz w:val="24"/>
                <w:szCs w:val="24"/>
              </w:rPr>
            </w:r>
            <w:r/>
          </w:p>
        </w:tc>
        <w:tc>
          <w:tcPr>
            <w:tcW w:w="1240" w:type="dxa"/>
            <w:vAlign w:val="center"/>
            <w:vMerge w:val="restart"/>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系统审查</w:t>
            </w:r>
            <w:r>
              <w:rPr>
                <w:rFonts w:hint="eastAsia" w:ascii="仿宋" w:hAnsi="仿宋" w:eastAsia="仿宋" w:cs="仿宋"/>
                <w:color w:val="000000"/>
                <w:sz w:val="24"/>
                <w:szCs w:val="24"/>
              </w:rPr>
            </w:r>
            <w:r/>
          </w:p>
        </w:tc>
        <w:tc>
          <w:tcPr>
            <w:gridSpan w:val="3"/>
            <w:tcW w:w="1218"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处方</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医嘱）用药审查</w:t>
            </w:r>
            <w:r>
              <w:rPr>
                <w:rFonts w:hint="eastAsia" w:ascii="仿宋" w:hAnsi="仿宋" w:eastAsia="仿宋" w:cs="仿宋"/>
                <w:color w:val="000000"/>
                <w:sz w:val="24"/>
                <w:szCs w:val="24"/>
              </w:rPr>
            </w:r>
            <w:r/>
          </w:p>
        </w:tc>
        <w:tc>
          <w:tcPr>
            <w:gridSpan w:val="2"/>
            <w:tcW w:w="5733" w:type="dxa"/>
            <w:vAlign w:val="center"/>
            <w:textDirection w:val="lrTb"/>
            <w:noWrap w:val="false"/>
          </w:tcPr>
          <w:p>
            <w:pPr>
              <w:pStyle w:val="1011"/>
              <w:ind w:firstLine="480"/>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系统应能对处方（医嘱）用药进行剂量审查、累积剂量审查、超多日用量审查、给药途径审查、相互作用审查、体外注射剂配伍审查、配伍浓度审查、钾离子监测、TPN处方审查、门诊输液审查、禁忌症审查、不良反应审查、特殊人群（儿童、成人、老人、妊娠、哺乳、性别）用药审查、重复用药（重复成分、重复治疗）审查、适应症审查、药物过敏审查、药物检验值审查、规范性审查、医保审查、监测指标审查、越权用药审查、围术期用药审查，并提示医生。</w:t>
            </w:r>
            <w:r>
              <w:rPr>
                <w:rFonts w:hint="eastAsia" w:ascii="仿宋" w:hAnsi="仿宋" w:eastAsia="仿宋" w:cs="仿宋"/>
                <w:color w:val="000000"/>
                <w:sz w:val="24"/>
                <w:szCs w:val="24"/>
              </w:rPr>
            </w:r>
            <w:r/>
          </w:p>
          <w:p>
            <w:pPr>
              <w:pStyle w:val="1011"/>
              <w:ind w:firstLine="480"/>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1、住院医嘱支持用药天数预警，提醒医生及时调整用药方案。</w:t>
            </w:r>
            <w:r>
              <w:rPr>
                <w:rFonts w:hint="eastAsia" w:ascii="仿宋" w:hAnsi="仿宋" w:eastAsia="仿宋" w:cs="仿宋"/>
                <w:color w:val="000000"/>
                <w:sz w:val="24"/>
                <w:szCs w:val="24"/>
              </w:rPr>
            </w:r>
            <w:r/>
          </w:p>
          <w:p>
            <w:pPr>
              <w:pStyle w:val="1011"/>
              <w:ind w:firstLine="480"/>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2、超多日用量审查可结合退费情况，管控提前取药患者药量累计持有天数。</w:t>
            </w:r>
            <w:r>
              <w:rPr>
                <w:rFonts w:hint="eastAsia" w:ascii="仿宋" w:hAnsi="仿宋" w:eastAsia="仿宋" w:cs="仿宋"/>
                <w:color w:val="000000"/>
                <w:sz w:val="24"/>
                <w:szCs w:val="24"/>
              </w:rPr>
            </w:r>
            <w:r/>
          </w:p>
          <w:p>
            <w:pPr>
              <w:pStyle w:val="1011"/>
              <w:ind w:firstLine="480"/>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3、利用大数据分析，自动生成药品品种单次异常剂量审查规则。</w:t>
            </w:r>
            <w:r>
              <w:rPr>
                <w:rFonts w:hint="eastAsia" w:ascii="仿宋" w:hAnsi="仿宋" w:eastAsia="仿宋" w:cs="仿宋"/>
                <w:color w:val="000000"/>
                <w:sz w:val="24"/>
                <w:szCs w:val="24"/>
              </w:rPr>
            </w:r>
            <w:r/>
          </w:p>
          <w:p>
            <w:pPr>
              <w:pStyle w:val="1011"/>
              <w:ind w:firstLine="480"/>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4、相互作用联合审查可排除已服用完毕的药品。</w:t>
            </w:r>
            <w:r>
              <w:rPr>
                <w:rFonts w:hint="eastAsia" w:ascii="仿宋" w:hAnsi="仿宋" w:eastAsia="仿宋" w:cs="仿宋"/>
                <w:color w:val="000000"/>
                <w:sz w:val="24"/>
                <w:szCs w:val="24"/>
              </w:rPr>
            </w:r>
            <w:r/>
          </w:p>
        </w:tc>
      </w:tr>
      <w:tr>
        <w:trPr>
          <w:trHeight w:val="1537"/>
        </w:trPr>
        <w:tc>
          <w:tcPr>
            <w:gridSpan w:val="3"/>
            <w:tcW w:w="667"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W w:w="1240"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3"/>
            <w:tcW w:w="1218"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药品信息提示</w:t>
            </w:r>
            <w:r>
              <w:rPr>
                <w:rFonts w:hint="eastAsia" w:ascii="仿宋" w:hAnsi="仿宋" w:eastAsia="仿宋" w:cs="仿宋"/>
                <w:color w:val="000000"/>
                <w:sz w:val="24"/>
                <w:szCs w:val="24"/>
              </w:rPr>
            </w:r>
            <w:r/>
          </w:p>
        </w:tc>
        <w:tc>
          <w:tcPr>
            <w:gridSpan w:val="2"/>
            <w:tcW w:w="5733" w:type="dxa"/>
            <w:vAlign w:val="center"/>
            <w:textDirection w:val="lrTb"/>
            <w:noWrap w:val="false"/>
          </w:tcPr>
          <w:p>
            <w:pPr>
              <w:pStyle w:val="1015"/>
              <w:numPr>
                <w:ilvl w:val="0"/>
                <w:numId w:val="0"/>
              </w:numPr>
              <w:ind w:firstLine="480"/>
              <w:jc w:val="left"/>
              <w:pageBreakBefore w:val="0"/>
              <w:spacing w:line="240" w:lineRule="auto"/>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可快捷查看药品相关重要信息</w:t>
            </w:r>
            <w:r>
              <w:rPr>
                <w:rFonts w:hint="eastAsia" w:ascii="仿宋" w:hAnsi="仿宋" w:eastAsia="仿宋" w:cs="仿宋"/>
                <w:b w:val="0"/>
                <w:bCs w:val="0"/>
                <w:color w:val="000000"/>
                <w:sz w:val="24"/>
                <w:szCs w:val="24"/>
                <w:lang w:eastAsia="zh-CN"/>
              </w:rPr>
              <w:t xml:space="preserve">、</w:t>
            </w:r>
            <w:r>
              <w:rPr>
                <w:rFonts w:hint="eastAsia" w:ascii="仿宋" w:hAnsi="仿宋" w:eastAsia="仿宋" w:cs="仿宋"/>
                <w:b w:val="0"/>
                <w:bCs w:val="0"/>
                <w:color w:val="000000"/>
                <w:sz w:val="24"/>
                <w:szCs w:val="24"/>
              </w:rPr>
              <w:t xml:space="preserve">药品厂家说明书，并可查看药监局发布的说明书修订勘误，修改和新增药品说明书内容；查询相应药品的中药材专论信息。</w:t>
            </w:r>
            <w:r>
              <w:rPr>
                <w:rFonts w:hint="eastAsia" w:ascii="仿宋" w:hAnsi="仿宋" w:eastAsia="仿宋" w:cs="仿宋"/>
                <w:b w:val="0"/>
                <w:bCs w:val="0"/>
                <w:color w:val="000000"/>
                <w:sz w:val="24"/>
                <w:szCs w:val="24"/>
              </w:rPr>
            </w:r>
            <w:r/>
          </w:p>
        </w:tc>
      </w:tr>
      <w:tr>
        <w:trPr/>
        <w:tc>
          <w:tcPr>
            <w:gridSpan w:val="3"/>
            <w:tcW w:w="667"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W w:w="1240"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3"/>
            <w:tcW w:w="1218"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质子泵抑制药专项管控</w:t>
            </w:r>
            <w:r>
              <w:rPr>
                <w:rFonts w:hint="eastAsia" w:ascii="仿宋" w:hAnsi="仿宋" w:eastAsia="仿宋" w:cs="仿宋"/>
                <w:color w:val="000000"/>
                <w:sz w:val="24"/>
                <w:szCs w:val="24"/>
              </w:rPr>
            </w:r>
            <w:r/>
          </w:p>
        </w:tc>
        <w:tc>
          <w:tcPr>
            <w:gridSpan w:val="2"/>
            <w:tcW w:w="5733" w:type="dxa"/>
            <w:vAlign w:val="center"/>
            <w:textDirection w:val="lrTb"/>
            <w:noWrap w:val="false"/>
          </w:tcPr>
          <w:p>
            <w:pPr>
              <w:pStyle w:val="1011"/>
              <w:ind w:firstLine="480"/>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医生开具质子泵抑制剂药品时，需填写用药评估单。提供评估单专项统计分析。</w:t>
            </w:r>
            <w:r>
              <w:rPr>
                <w:rFonts w:hint="eastAsia" w:ascii="仿宋" w:hAnsi="仿宋" w:eastAsia="仿宋" w:cs="仿宋"/>
                <w:color w:val="000000"/>
                <w:sz w:val="24"/>
                <w:szCs w:val="24"/>
              </w:rPr>
            </w:r>
            <w:r/>
          </w:p>
          <w:p>
            <w:pPr>
              <w:pStyle w:val="1011"/>
              <w:ind w:firstLine="480"/>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系统可评估患者病生状态，若存在应激性溃疡风险，提供质子泵抑制剂用药建议。</w:t>
            </w:r>
            <w:r>
              <w:rPr>
                <w:rFonts w:hint="eastAsia" w:ascii="仿宋" w:hAnsi="仿宋" w:eastAsia="仿宋" w:cs="仿宋"/>
                <w:color w:val="000000"/>
                <w:sz w:val="24"/>
                <w:szCs w:val="24"/>
              </w:rPr>
            </w:r>
            <w:r/>
          </w:p>
          <w:p>
            <w:pPr>
              <w:pStyle w:val="1011"/>
              <w:ind w:firstLine="480"/>
              <w:jc w:val="left"/>
              <w:pageBreakBefore w:val="0"/>
              <w:spacing w:line="240" w:lineRule="auto"/>
              <w:widowControl/>
              <w:rPr>
                <w:rFonts w:hint="eastAsia" w:ascii="仿宋" w:hAnsi="仿宋" w:eastAsia="仿宋" w:cs="仿宋"/>
                <w:b w:val="0"/>
                <w:bCs w:val="0"/>
                <w:color w:val="000000"/>
                <w:sz w:val="24"/>
                <w:szCs w:val="24"/>
              </w:rPr>
            </w:pPr>
            <w:r>
              <w:rPr>
                <w:rFonts w:hint="eastAsia" w:ascii="仿宋" w:hAnsi="仿宋" w:eastAsia="仿宋" w:cs="仿宋"/>
                <w:color w:val="000000"/>
                <w:sz w:val="24"/>
                <w:szCs w:val="24"/>
              </w:rPr>
              <w:t xml:space="preserve">围术期不合理使用质子泵抑制剂时，系统可警示医生。</w:t>
            </w:r>
            <w:r>
              <w:rPr>
                <w:rFonts w:hint="eastAsia" w:ascii="仿宋" w:hAnsi="仿宋" w:eastAsia="仿宋" w:cs="仿宋"/>
                <w:b w:val="0"/>
                <w:bCs w:val="0"/>
                <w:color w:val="000000"/>
                <w:sz w:val="24"/>
                <w:szCs w:val="24"/>
              </w:rPr>
            </w:r>
            <w:r/>
          </w:p>
        </w:tc>
      </w:tr>
      <w:tr>
        <w:trPr/>
        <w:tc>
          <w:tcPr>
            <w:gridSpan w:val="3"/>
            <w:tcW w:w="667"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W w:w="1240"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3"/>
            <w:tcW w:w="1218"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协定方专项管控</w:t>
            </w:r>
            <w:r>
              <w:rPr>
                <w:rFonts w:hint="eastAsia" w:ascii="仿宋" w:hAnsi="仿宋" w:eastAsia="仿宋" w:cs="仿宋"/>
                <w:color w:val="000000"/>
                <w:sz w:val="24"/>
                <w:szCs w:val="24"/>
              </w:rPr>
            </w:r>
            <w:r/>
          </w:p>
        </w:tc>
        <w:tc>
          <w:tcPr>
            <w:gridSpan w:val="2"/>
            <w:tcW w:w="5733" w:type="dxa"/>
            <w:vAlign w:val="center"/>
            <w:textDirection w:val="lrTb"/>
            <w:noWrap w:val="false"/>
          </w:tcPr>
          <w:p>
            <w:pPr>
              <w:pStyle w:val="1015"/>
              <w:numPr>
                <w:ilvl w:val="3"/>
                <w:numId w:val="0"/>
              </w:numPr>
              <w:ind w:firstLine="480"/>
              <w:jc w:val="left"/>
              <w:pageBreakBefore w:val="0"/>
              <w:spacing w:line="240" w:lineRule="auto"/>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系统提供医院中药协定方证型适宜性审查。</w:t>
            </w:r>
            <w:r>
              <w:rPr>
                <w:rFonts w:hint="eastAsia" w:ascii="仿宋" w:hAnsi="仿宋" w:eastAsia="仿宋" w:cs="仿宋"/>
                <w:b w:val="0"/>
                <w:bCs w:val="0"/>
                <w:color w:val="000000"/>
                <w:sz w:val="24"/>
                <w:szCs w:val="24"/>
              </w:rPr>
            </w:r>
            <w:r/>
          </w:p>
        </w:tc>
      </w:tr>
      <w:tr>
        <w:trPr/>
        <w:tc>
          <w:tcPr>
            <w:gridSpan w:val="3"/>
            <w:tcW w:w="667"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W w:w="1240"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3"/>
            <w:tcW w:w="1218"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经验性用药专项管控</w:t>
            </w:r>
            <w:r>
              <w:rPr>
                <w:rFonts w:hint="eastAsia" w:ascii="仿宋" w:hAnsi="仿宋" w:eastAsia="仿宋" w:cs="仿宋"/>
                <w:color w:val="000000"/>
                <w:sz w:val="24"/>
                <w:szCs w:val="24"/>
              </w:rPr>
            </w:r>
            <w:r/>
          </w:p>
        </w:tc>
        <w:tc>
          <w:tcPr>
            <w:gridSpan w:val="2"/>
            <w:tcW w:w="5733" w:type="dxa"/>
            <w:vAlign w:val="center"/>
            <w:textDirection w:val="lrTb"/>
            <w:noWrap w:val="false"/>
          </w:tcPr>
          <w:p>
            <w:pPr>
              <w:pStyle w:val="1015"/>
              <w:numPr>
                <w:ilvl w:val="3"/>
                <w:numId w:val="0"/>
              </w:numPr>
              <w:ind w:firstLine="480"/>
              <w:jc w:val="left"/>
              <w:pageBreakBefore w:val="0"/>
              <w:spacing w:line="240" w:lineRule="auto"/>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 xml:space="preserve">系统提供抗肿瘤药物过敏反应预处理用药合理性审查。</w:t>
            </w:r>
            <w:r>
              <w:rPr>
                <w:rFonts w:hint="eastAsia" w:ascii="仿宋" w:hAnsi="仿宋" w:eastAsia="仿宋" w:cs="仿宋"/>
                <w:b w:val="0"/>
                <w:color w:val="000000"/>
                <w:sz w:val="24"/>
                <w:szCs w:val="24"/>
              </w:rPr>
            </w:r>
            <w:r/>
          </w:p>
        </w:tc>
      </w:tr>
      <w:tr>
        <w:trPr/>
        <w:tc>
          <w:tcPr>
            <w:gridSpan w:val="3"/>
            <w:tcW w:w="667"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W w:w="1240"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3"/>
            <w:tcW w:w="1218"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抗菌药物专项管控</w:t>
            </w:r>
            <w:r>
              <w:rPr>
                <w:rFonts w:hint="eastAsia" w:ascii="仿宋" w:hAnsi="仿宋" w:eastAsia="仿宋" w:cs="仿宋"/>
                <w:color w:val="000000"/>
                <w:sz w:val="24"/>
                <w:szCs w:val="24"/>
              </w:rPr>
            </w:r>
            <w:r/>
          </w:p>
        </w:tc>
        <w:tc>
          <w:tcPr>
            <w:gridSpan w:val="2"/>
            <w:tcW w:w="5733" w:type="dxa"/>
            <w:vAlign w:val="center"/>
            <w:textDirection w:val="lrTb"/>
            <w:noWrap w:val="false"/>
          </w:tcPr>
          <w:p>
            <w:pPr>
              <w:pStyle w:val="1159"/>
              <w:ind w:left="0" w:firstLine="480"/>
              <w:jc w:val="left"/>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医生开具预防用抗菌药物时，需填写用药评估单，评估单区分非手术预防用药和手术预防用药。</w:t>
            </w:r>
            <w:r>
              <w:rPr>
                <w:rFonts w:hint="eastAsia" w:ascii="仿宋" w:hAnsi="仿宋" w:eastAsia="仿宋" w:cs="仿宋"/>
                <w:color w:val="000000"/>
                <w:sz w:val="24"/>
                <w:szCs w:val="24"/>
                <w:lang w:eastAsia="zh-CN"/>
              </w:rPr>
            </w:r>
            <w:r/>
          </w:p>
          <w:p>
            <w:pPr>
              <w:pStyle w:val="1159"/>
              <w:ind w:left="0" w:firstLine="480"/>
              <w:jc w:val="left"/>
              <w:pageBreakBefore w:val="0"/>
              <w:spacing w:line="240" w:lineRule="auto"/>
              <w:rPr>
                <w:rFonts w:hint="eastAsia" w:ascii="仿宋" w:hAnsi="仿宋" w:eastAsia="仿宋" w:cs="仿宋"/>
                <w:b/>
                <w:color w:val="000000"/>
                <w:sz w:val="24"/>
                <w:szCs w:val="24"/>
                <w:lang w:eastAsia="zh-CN"/>
              </w:rPr>
            </w:pPr>
            <w:r>
              <w:rPr>
                <w:rFonts w:hint="eastAsia" w:ascii="仿宋" w:hAnsi="仿宋" w:eastAsia="仿宋" w:cs="仿宋"/>
                <w:color w:val="000000"/>
                <w:sz w:val="24"/>
                <w:szCs w:val="24"/>
                <w:lang w:eastAsia="zh-CN"/>
              </w:rPr>
              <w:t xml:space="preserve">系统提供抗菌药物用药指征审查。医生开具抗菌药物必须有用药指征，否则系统将予以警示。</w:t>
            </w:r>
            <w:r>
              <w:rPr>
                <w:rFonts w:hint="eastAsia" w:ascii="仿宋" w:hAnsi="仿宋" w:eastAsia="仿宋" w:cs="仿宋"/>
                <w:b/>
                <w:color w:val="000000"/>
                <w:sz w:val="24"/>
                <w:szCs w:val="24"/>
                <w:lang w:eastAsia="zh-CN"/>
              </w:rPr>
            </w:r>
            <w:r/>
          </w:p>
        </w:tc>
      </w:tr>
      <w:tr>
        <w:trPr/>
        <w:tc>
          <w:tcPr>
            <w:gridSpan w:val="3"/>
            <w:tcW w:w="667"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W w:w="1240"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3"/>
            <w:tcW w:w="1218"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w:t>
            </w:r>
            <w:r>
              <w:rPr>
                <w:rFonts w:hint="eastAsia" w:ascii="仿宋" w:hAnsi="仿宋" w:eastAsia="仿宋" w:cs="仿宋"/>
                <w:color w:val="000000"/>
                <w:sz w:val="24"/>
                <w:szCs w:val="24"/>
              </w:rPr>
              <w:t xml:space="preserve">审查提示屏蔽功能</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color w:val="000000"/>
                <w:sz w:val="24"/>
                <w:szCs w:val="24"/>
              </w:rPr>
            </w:r>
            <w:r/>
          </w:p>
        </w:tc>
        <w:tc>
          <w:tcPr>
            <w:gridSpan w:val="2"/>
            <w:tcW w:w="5733" w:type="dxa"/>
            <w:vAlign w:val="center"/>
            <w:textDirection w:val="lrTb"/>
            <w:noWrap w:val="false"/>
          </w:tcPr>
          <w:p>
            <w:pPr>
              <w:pStyle w:val="1011"/>
              <w:ind w:firstLine="480"/>
              <w:jc w:val="left"/>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系统应能对剂量、给药途径、药物相互作用、体外注射剂配伍、配伍浓度、禁忌症、不良反应、儿童用药、老人用药、成人用药、性别用药、妊娠期用药、哺乳期用药、药物过敏、重复用药等审查项目进行审查提示屏蔽，支持分门诊、住院、急诊屏蔽，屏蔽后不再对相同问题进行提示。</w:t>
            </w:r>
            <w:r>
              <w:rPr>
                <w:rFonts w:hint="eastAsia" w:ascii="仿宋" w:hAnsi="仿宋" w:eastAsia="仿宋" w:cs="仿宋"/>
                <w:bCs/>
                <w:color w:val="000000"/>
                <w:sz w:val="24"/>
                <w:szCs w:val="24"/>
              </w:rPr>
            </w:r>
            <w:r/>
          </w:p>
        </w:tc>
      </w:tr>
      <w:tr>
        <w:trPr/>
        <w:tc>
          <w:tcPr>
            <w:gridSpan w:val="3"/>
            <w:tcW w:w="667"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W w:w="1240"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3"/>
            <w:tcW w:w="1218"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审查规则自定义功能（医院专家知识库）</w:t>
            </w:r>
            <w:r>
              <w:rPr>
                <w:rFonts w:hint="eastAsia" w:ascii="仿宋" w:hAnsi="仿宋" w:eastAsia="仿宋" w:cs="仿宋"/>
                <w:color w:val="000000"/>
                <w:sz w:val="24"/>
                <w:szCs w:val="24"/>
              </w:rPr>
            </w:r>
            <w:r/>
          </w:p>
        </w:tc>
        <w:tc>
          <w:tcPr>
            <w:gridSpan w:val="2"/>
            <w:tcW w:w="5733" w:type="dxa"/>
            <w:vAlign w:val="center"/>
            <w:textDirection w:val="lrTb"/>
            <w:noWrap w:val="false"/>
          </w:tcPr>
          <w:p>
            <w:pPr>
              <w:pStyle w:val="1159"/>
              <w:ind w:left="0" w:firstLine="48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▲系统可以提供多种自定义方式：</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lang w:eastAsia="zh-CN"/>
              </w:rPr>
            </w:r>
            <w:r/>
          </w:p>
          <w:p>
            <w:pPr>
              <w:pStyle w:val="1011"/>
              <w:ind w:firstLine="48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rPr>
              <w:t xml:space="preserve">（1）基于系统审查数据自定义方式，节省药师工作量</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lang w:eastAsia="zh-CN"/>
              </w:rPr>
            </w:r>
            <w:r/>
          </w:p>
          <w:p>
            <w:pPr>
              <w:pStyle w:val="1011"/>
              <w:ind w:firstLine="480"/>
              <w:jc w:val="left"/>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（2）可完全由用户新建审查规则包括审查要素和审查逻辑。</w:t>
            </w:r>
            <w:r>
              <w:rPr>
                <w:rFonts w:hint="eastAsia" w:ascii="仿宋" w:hAnsi="仿宋" w:eastAsia="仿宋" w:cs="仿宋"/>
                <w:bCs/>
                <w:color w:val="000000"/>
                <w:sz w:val="24"/>
                <w:szCs w:val="24"/>
              </w:rPr>
            </w:r>
            <w:r/>
          </w:p>
          <w:p>
            <w:pPr>
              <w:pStyle w:val="1159"/>
              <w:ind w:left="0" w:firstLine="48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用户可自定义药品警示、拦截规则，被拦截的问题处方必须返回修改，否则不可进行下一步操作。用户可设置已执行的长期医嘱是否拦截。</w:t>
            </w:r>
            <w:r>
              <w:rPr>
                <w:rFonts w:hint="eastAsia" w:ascii="仿宋" w:hAnsi="仿宋" w:eastAsia="仿宋" w:cs="仿宋"/>
                <w:bCs/>
                <w:color w:val="000000"/>
                <w:sz w:val="24"/>
                <w:szCs w:val="24"/>
                <w:lang w:eastAsia="zh-CN"/>
              </w:rPr>
            </w:r>
            <w:r/>
          </w:p>
          <w:p>
            <w:pPr>
              <w:pStyle w:val="1159"/>
              <w:ind w:left="0" w:firstLine="48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其中部分审查项目可支持以下功能：</w:t>
            </w:r>
            <w:r>
              <w:rPr>
                <w:rFonts w:hint="eastAsia" w:ascii="仿宋" w:hAnsi="仿宋" w:eastAsia="仿宋" w:cs="仿宋"/>
                <w:bCs/>
                <w:color w:val="000000"/>
                <w:sz w:val="24"/>
                <w:szCs w:val="24"/>
                <w:lang w:eastAsia="zh-CN"/>
              </w:rPr>
            </w:r>
            <w:r/>
          </w:p>
          <w:p>
            <w:pPr>
              <w:pStyle w:val="1159"/>
              <w:numPr>
                <w:ilvl w:val="0"/>
                <w:numId w:val="5"/>
              </w:numPr>
              <w:ind w:left="0" w:firstLine="48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剂量：可显示某个药品在本院近一个月医嘱用量统计，查看不同科室的剂量使用情况。用户只需维护药品一种给药单位的剂量审查规则，系统可自动将规则匹配到该药品其余给药单位。</w:t>
            </w:r>
            <w:r>
              <w:rPr>
                <w:rFonts w:hint="eastAsia" w:ascii="仿宋" w:hAnsi="仿宋" w:eastAsia="仿宋" w:cs="仿宋"/>
                <w:bCs/>
                <w:color w:val="000000"/>
                <w:sz w:val="24"/>
                <w:szCs w:val="24"/>
                <w:lang w:eastAsia="zh-CN"/>
              </w:rPr>
            </w:r>
            <w:r/>
          </w:p>
          <w:p>
            <w:pPr>
              <w:pStyle w:val="1159"/>
              <w:numPr>
                <w:ilvl w:val="0"/>
                <w:numId w:val="5"/>
              </w:numPr>
              <w:ind w:left="0" w:firstLine="480"/>
              <w:jc w:val="left"/>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lang w:eastAsia="zh-CN"/>
              </w:rPr>
              <w:t xml:space="preserve">超多日用量：可对门、急诊处方药品、麻醉药品和精一药品超多日用量天数进行设置，可针对慢病（区分医保、自费）、非慢病处方、特殊患者分别设置用药天数，并可根据超出天数设置不同的警示级别。用户可维护参与联合审查的历史处方时间范围。</w:t>
            </w:r>
            <w:r>
              <w:rPr>
                <w:rFonts w:hint="eastAsia" w:ascii="仿宋" w:hAnsi="仿宋" w:eastAsia="仿宋" w:cs="仿宋"/>
                <w:bCs/>
                <w:color w:val="000000"/>
                <w:sz w:val="24"/>
                <w:szCs w:val="24"/>
              </w:rPr>
              <w:t xml:space="preserve">针对特定药品可设置是否拆零参与审查。</w:t>
            </w:r>
            <w:r>
              <w:rPr>
                <w:rFonts w:hint="eastAsia" w:ascii="仿宋" w:hAnsi="仿宋" w:eastAsia="仿宋" w:cs="仿宋"/>
                <w:bCs/>
                <w:color w:val="000000"/>
                <w:sz w:val="24"/>
                <w:szCs w:val="24"/>
              </w:rPr>
            </w:r>
            <w:r/>
          </w:p>
          <w:p>
            <w:pPr>
              <w:pStyle w:val="1159"/>
              <w:numPr>
                <w:ilvl w:val="0"/>
                <w:numId w:val="5"/>
              </w:numPr>
              <w:ind w:left="0" w:firstLine="48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体外注射剂配伍：可设置小剂量胰岛素不参与体外配伍审查，具体剂量标准可由用户自行设置。</w:t>
            </w:r>
            <w:r>
              <w:rPr>
                <w:rFonts w:hint="eastAsia" w:ascii="仿宋" w:hAnsi="仿宋" w:eastAsia="仿宋" w:cs="仿宋"/>
                <w:bCs/>
                <w:color w:val="000000"/>
                <w:sz w:val="24"/>
                <w:szCs w:val="24"/>
                <w:lang w:eastAsia="zh-CN"/>
              </w:rPr>
            </w:r>
            <w:r/>
          </w:p>
          <w:p>
            <w:pPr>
              <w:pStyle w:val="1159"/>
              <w:numPr>
                <w:ilvl w:val="0"/>
                <w:numId w:val="5"/>
              </w:numPr>
              <w:ind w:left="0" w:firstLine="48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妊娠用药：提供多元化妊娠状态判断方式，可设置妊娠状态判断优先级。</w:t>
            </w:r>
            <w:r>
              <w:rPr>
                <w:rFonts w:hint="eastAsia" w:ascii="仿宋" w:hAnsi="仿宋" w:eastAsia="仿宋" w:cs="仿宋"/>
                <w:bCs/>
                <w:color w:val="000000"/>
                <w:sz w:val="24"/>
                <w:szCs w:val="24"/>
                <w:lang w:eastAsia="zh-CN"/>
              </w:rPr>
            </w:r>
            <w:r/>
          </w:p>
          <w:p>
            <w:pPr>
              <w:pStyle w:val="1159"/>
              <w:numPr>
                <w:ilvl w:val="0"/>
                <w:numId w:val="0"/>
              </w:numPr>
              <w:ind w:left="0" w:firstLine="48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lang w:val="en-US" w:eastAsia="zh-CN"/>
              </w:rPr>
              <w:t xml:space="preserve">5</w:t>
            </w:r>
            <w:r>
              <w:rPr>
                <w:rFonts w:hint="eastAsia" w:ascii="仿宋" w:hAnsi="仿宋" w:eastAsia="仿宋" w:cs="仿宋"/>
                <w:bCs/>
                <w:color w:val="000000"/>
                <w:sz w:val="24"/>
                <w:szCs w:val="24"/>
                <w:lang w:eastAsia="zh-CN"/>
              </w:rPr>
              <w:t xml:space="preserve">）▲可设置应激性溃疡风险的预警规则；设置可预防使用质子泵抑制剂的手术、质子泵抑制剂药品及术后质子泵抑制剂用药疗程。</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lang w:eastAsia="zh-CN"/>
              </w:rPr>
            </w:r>
            <w:r/>
          </w:p>
          <w:p>
            <w:pPr>
              <w:pStyle w:val="1159"/>
              <w:numPr>
                <w:ilvl w:val="0"/>
                <w:numId w:val="0"/>
              </w:numPr>
              <w:ind w:left="0" w:firstLine="48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lang w:val="en-US" w:eastAsia="zh-CN"/>
              </w:rPr>
              <w:t xml:space="preserve">6</w:t>
            </w:r>
            <w:r>
              <w:rPr>
                <w:rFonts w:hint="eastAsia" w:ascii="仿宋" w:hAnsi="仿宋" w:eastAsia="仿宋" w:cs="仿宋"/>
                <w:bCs/>
                <w:color w:val="000000"/>
                <w:sz w:val="24"/>
                <w:szCs w:val="24"/>
                <w:lang w:eastAsia="zh-CN"/>
              </w:rPr>
              <w:t xml:space="preserve">）用户可维护医院协定方及对应证型。</w:t>
            </w:r>
            <w:r>
              <w:rPr>
                <w:rFonts w:hint="eastAsia" w:ascii="仿宋" w:hAnsi="仿宋" w:eastAsia="仿宋" w:cs="仿宋"/>
                <w:bCs/>
                <w:color w:val="000000"/>
                <w:sz w:val="24"/>
                <w:szCs w:val="24"/>
                <w:lang w:eastAsia="zh-CN"/>
              </w:rPr>
            </w:r>
            <w:r/>
          </w:p>
          <w:p>
            <w:pPr>
              <w:pStyle w:val="1159"/>
              <w:numPr>
                <w:ilvl w:val="0"/>
                <w:numId w:val="0"/>
              </w:numPr>
              <w:ind w:left="0" w:firstLine="48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lang w:val="en-US" w:eastAsia="zh-CN"/>
              </w:rPr>
              <w:t xml:space="preserve">7</w:t>
            </w:r>
            <w:r>
              <w:rPr>
                <w:rFonts w:hint="eastAsia" w:ascii="仿宋" w:hAnsi="仿宋" w:eastAsia="仿宋" w:cs="仿宋"/>
                <w:bCs/>
                <w:color w:val="000000"/>
                <w:sz w:val="24"/>
                <w:szCs w:val="24"/>
                <w:lang w:eastAsia="zh-CN"/>
              </w:rPr>
              <w:t xml:space="preserve">）用户可设置抗肿瘤药物过敏反应预防药品品种。</w:t>
            </w:r>
            <w:r>
              <w:rPr>
                <w:rFonts w:hint="eastAsia" w:ascii="仿宋" w:hAnsi="仿宋" w:eastAsia="仿宋" w:cs="仿宋"/>
                <w:bCs/>
                <w:color w:val="000000"/>
                <w:sz w:val="24"/>
                <w:szCs w:val="24"/>
                <w:lang w:eastAsia="zh-CN"/>
              </w:rPr>
            </w:r>
            <w:r/>
          </w:p>
          <w:p>
            <w:pPr>
              <w:pStyle w:val="1159"/>
              <w:numPr>
                <w:ilvl w:val="0"/>
                <w:numId w:val="0"/>
              </w:numPr>
              <w:ind w:left="0" w:firstLine="48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lang w:val="en-US" w:eastAsia="zh-CN"/>
              </w:rPr>
              <w:t xml:space="preserve">8</w:t>
            </w:r>
            <w:r>
              <w:rPr>
                <w:rFonts w:hint="eastAsia" w:ascii="仿宋" w:hAnsi="仿宋" w:eastAsia="仿宋" w:cs="仿宋"/>
                <w:bCs/>
                <w:color w:val="000000"/>
                <w:sz w:val="24"/>
                <w:szCs w:val="24"/>
                <w:lang w:eastAsia="zh-CN"/>
              </w:rPr>
              <w:t xml:space="preserve">）用户可设置质子泵抑制药、抗菌药物用药评估单模板。</w:t>
            </w:r>
            <w:r>
              <w:rPr>
                <w:rFonts w:hint="eastAsia" w:ascii="仿宋" w:hAnsi="仿宋" w:eastAsia="仿宋" w:cs="仿宋"/>
                <w:bCs/>
                <w:color w:val="000000"/>
                <w:sz w:val="24"/>
                <w:szCs w:val="24"/>
                <w:lang w:eastAsia="zh-CN"/>
              </w:rPr>
            </w:r>
            <w:r/>
          </w:p>
          <w:p>
            <w:pPr>
              <w:pStyle w:val="1159"/>
              <w:ind w:left="0" w:firstLine="48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规则复制功能：系统支持将其它药品已有的自定义规则分模块复制到被选择的药品上。</w:t>
            </w:r>
            <w:r>
              <w:rPr>
                <w:rFonts w:hint="eastAsia" w:ascii="仿宋" w:hAnsi="仿宋" w:eastAsia="仿宋" w:cs="仿宋"/>
                <w:bCs/>
                <w:color w:val="000000"/>
                <w:sz w:val="24"/>
                <w:szCs w:val="24"/>
                <w:lang w:eastAsia="zh-CN"/>
              </w:rPr>
            </w:r>
            <w:r/>
          </w:p>
          <w:p>
            <w:pPr>
              <w:pStyle w:val="1159"/>
              <w:ind w:left="0" w:firstLine="48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▲豁免对象：可根据药品、医生、科室等条件设置特定对象不参与某些模块审查，并可按照模块查看对各种豁免情况的统计。</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lang w:eastAsia="zh-CN"/>
              </w:rPr>
            </w:r>
            <w:r/>
          </w:p>
          <w:p>
            <w:pPr>
              <w:pStyle w:val="1159"/>
              <w:ind w:left="0" w:firstLine="48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自定义规则查询：可查询药品、科室以及各模块的自定义规则。 </w:t>
            </w:r>
            <w:r>
              <w:rPr>
                <w:rFonts w:hint="eastAsia" w:ascii="仿宋" w:hAnsi="仿宋" w:eastAsia="仿宋" w:cs="仿宋"/>
                <w:bCs/>
                <w:color w:val="000000"/>
                <w:sz w:val="24"/>
                <w:szCs w:val="24"/>
                <w:lang w:eastAsia="zh-CN"/>
              </w:rPr>
            </w:r>
            <w:r/>
          </w:p>
        </w:tc>
      </w:tr>
      <w:tr>
        <w:trPr/>
        <w:tc>
          <w:tcPr>
            <w:gridSpan w:val="3"/>
            <w:tcW w:w="667"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W w:w="1240"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3"/>
            <w:tcW w:w="1218"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统计分析功能</w:t>
            </w:r>
            <w:r>
              <w:rPr>
                <w:rFonts w:hint="eastAsia" w:ascii="仿宋" w:hAnsi="仿宋" w:eastAsia="仿宋" w:cs="仿宋"/>
                <w:color w:val="000000"/>
                <w:sz w:val="24"/>
                <w:szCs w:val="24"/>
              </w:rPr>
            </w:r>
            <w:r/>
          </w:p>
        </w:tc>
        <w:tc>
          <w:tcPr>
            <w:gridSpan w:val="2"/>
            <w:tcW w:w="5733" w:type="dxa"/>
            <w:vAlign w:val="center"/>
            <w:textDirection w:val="lrTb"/>
            <w:noWrap w:val="false"/>
          </w:tcPr>
          <w:p>
            <w:pPr>
              <w:pStyle w:val="1159"/>
              <w:ind w:left="0" w:firstLine="48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问题处方（医嘱）保存、查询，以及不合理问题统计分析。</w:t>
            </w:r>
            <w:r>
              <w:rPr>
                <w:rFonts w:hint="eastAsia" w:ascii="仿宋" w:hAnsi="仿宋" w:eastAsia="仿宋" w:cs="仿宋"/>
                <w:bCs/>
                <w:color w:val="000000"/>
                <w:sz w:val="24"/>
                <w:szCs w:val="24"/>
                <w:lang w:eastAsia="zh-CN"/>
              </w:rPr>
            </w:r>
            <w:r/>
          </w:p>
          <w:p>
            <w:pPr>
              <w:pStyle w:val="1159"/>
              <w:ind w:left="0" w:firstLine="48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提供不合理问题评估功能，便于药师在做回顾性分析时对已评估的问题做记录。</w:t>
            </w:r>
            <w:r>
              <w:rPr>
                <w:rFonts w:hint="eastAsia" w:ascii="仿宋" w:hAnsi="仿宋" w:eastAsia="仿宋" w:cs="仿宋"/>
                <w:bCs/>
                <w:color w:val="000000"/>
                <w:sz w:val="24"/>
                <w:szCs w:val="24"/>
                <w:lang w:eastAsia="zh-CN"/>
              </w:rPr>
            </w:r>
            <w:r/>
          </w:p>
          <w:p>
            <w:pPr>
              <w:pStyle w:val="1159"/>
              <w:ind w:left="0" w:firstLine="480"/>
              <w:jc w:val="left"/>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用药理由统计</w:t>
            </w:r>
            <w:r>
              <w:rPr>
                <w:rFonts w:hint="eastAsia" w:ascii="仿宋" w:hAnsi="仿宋" w:eastAsia="仿宋" w:cs="仿宋"/>
                <w:bCs/>
                <w:color w:val="000000"/>
                <w:sz w:val="24"/>
                <w:szCs w:val="24"/>
              </w:rPr>
            </w:r>
            <w:r/>
          </w:p>
        </w:tc>
      </w:tr>
      <w:tr>
        <w:trPr/>
        <w:tc>
          <w:tcPr>
            <w:gridSpan w:val="3"/>
            <w:tcW w:w="667"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40"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3"/>
            <w:tcW w:w="1218"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通讯功能</w:t>
            </w:r>
            <w:r>
              <w:rPr>
                <w:rFonts w:hint="eastAsia" w:ascii="仿宋" w:hAnsi="仿宋" w:eastAsia="仿宋" w:cs="仿宋"/>
                <w:color w:val="000000"/>
                <w:sz w:val="24"/>
                <w:szCs w:val="24"/>
              </w:rPr>
            </w:r>
            <w:r/>
          </w:p>
        </w:tc>
        <w:tc>
          <w:tcPr>
            <w:gridSpan w:val="2"/>
            <w:tcW w:w="5733" w:type="dxa"/>
            <w:vAlign w:val="center"/>
            <w:textDirection w:val="lrTb"/>
            <w:noWrap w:val="false"/>
          </w:tcPr>
          <w:p>
            <w:pPr>
              <w:pStyle w:val="1159"/>
              <w:ind w:left="0"/>
              <w:jc w:val="left"/>
              <w:pageBreakBefore w:val="0"/>
              <w:spacing w:line="240" w:lineRule="auto"/>
              <w:rPr>
                <w:rFonts w:hint="eastAsia" w:ascii="仿宋" w:hAnsi="仿宋" w:eastAsia="仿宋" w:cs="仿宋"/>
                <w:b w:val="0"/>
                <w:bCs w:val="0"/>
                <w:color w:val="000000"/>
                <w:sz w:val="24"/>
                <w:szCs w:val="24"/>
              </w:rPr>
            </w:pPr>
            <w:r>
              <w:rPr>
                <w:rFonts w:hint="eastAsia" w:ascii="仿宋" w:hAnsi="仿宋" w:eastAsia="仿宋" w:cs="仿宋"/>
                <w:bCs/>
                <w:color w:val="000000"/>
                <w:sz w:val="24"/>
                <w:szCs w:val="24"/>
                <w:lang w:eastAsia="zh-CN"/>
              </w:rPr>
              <w:t xml:space="preserve">系统应提供药师和医生的在线沟通平台，提供截图、发送图片、文件传输、消息撤回、消息已读提示功能。</w:t>
            </w:r>
            <w:r>
              <w:rPr>
                <w:rFonts w:hint="eastAsia" w:ascii="仿宋" w:hAnsi="仿宋" w:eastAsia="仿宋" w:cs="仿宋"/>
                <w:b w:val="0"/>
                <w:bCs w:val="0"/>
                <w:color w:val="000000"/>
                <w:sz w:val="24"/>
                <w:szCs w:val="24"/>
              </w:rPr>
            </w:r>
            <w:r/>
          </w:p>
        </w:tc>
      </w:tr>
      <w:tr>
        <w:trPr/>
        <w:tc>
          <w:tcPr>
            <w:gridSpan w:val="3"/>
            <w:tcW w:w="667" w:type="dxa"/>
            <w:vAlign w:val="center"/>
            <w:vMerge w:val="restart"/>
            <w:textDirection w:val="lrTb"/>
            <w:noWrap w:val="false"/>
          </w:tcPr>
          <w:p>
            <w:pPr>
              <w:pStyle w:val="1011"/>
              <w:ind w:left="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40" w:type="dxa"/>
            <w:vAlign w:val="center"/>
            <w:vMerge w:val="restart"/>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药师审方干预</w:t>
            </w:r>
            <w:r>
              <w:rPr>
                <w:rFonts w:hint="eastAsia" w:ascii="仿宋" w:hAnsi="仿宋" w:eastAsia="仿宋" w:cs="仿宋"/>
                <w:color w:val="000000"/>
                <w:sz w:val="24"/>
                <w:szCs w:val="24"/>
              </w:rPr>
            </w:r>
            <w:r/>
          </w:p>
        </w:tc>
        <w:tc>
          <w:tcPr>
            <w:gridSpan w:val="3"/>
            <w:tcW w:w="1218"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审方时机和过程</w:t>
            </w:r>
            <w:r>
              <w:rPr>
                <w:rFonts w:hint="eastAsia" w:ascii="仿宋" w:hAnsi="仿宋" w:eastAsia="仿宋" w:cs="仿宋"/>
                <w:color w:val="000000"/>
                <w:sz w:val="24"/>
                <w:szCs w:val="24"/>
              </w:rPr>
            </w:r>
            <w:r/>
          </w:p>
        </w:tc>
        <w:tc>
          <w:tcPr>
            <w:gridSpan w:val="2"/>
            <w:tcW w:w="5733" w:type="dxa"/>
            <w:vAlign w:val="center"/>
            <w:textDirection w:val="lrTb"/>
            <w:noWrap w:val="false"/>
          </w:tcPr>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可以为药师提供专门的审方工作平台，帮助门诊药师在患者缴费前完成门诊处方实时审查、住院药师在护士领药前完成住院医嘱审查。系统先自动审查出问题处方（医嘱），再由药师人工审查，审查过程中药师可以与医生实时互动，直到处方（医嘱）通过。必要时，药师可同时接收门诊、住院任务。</w:t>
            </w:r>
            <w:r>
              <w:rPr>
                <w:rFonts w:hint="eastAsia" w:ascii="仿宋" w:hAnsi="仿宋" w:eastAsia="仿宋" w:cs="仿宋"/>
                <w:bCs/>
                <w:color w:val="000000"/>
                <w:sz w:val="24"/>
                <w:szCs w:val="24"/>
                <w:lang w:eastAsia="zh-CN"/>
              </w:rPr>
            </w:r>
            <w:r/>
          </w:p>
        </w:tc>
      </w:tr>
      <w:tr>
        <w:trPr/>
        <w:tc>
          <w:tcPr>
            <w:gridSpan w:val="3"/>
            <w:tcW w:w="667" w:type="dxa"/>
            <w:vAlign w:val="center"/>
            <w:vMerge w:val="continue"/>
            <w:textDirection w:val="lrTb"/>
            <w:noWrap w:val="false"/>
          </w:tcPr>
          <w:p>
            <w:pPr>
              <w:pStyle w:val="1011"/>
              <w:ind w:left="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40"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3"/>
            <w:tcW w:w="1218"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审方干预功能</w:t>
            </w:r>
            <w:r>
              <w:rPr>
                <w:rFonts w:hint="eastAsia" w:ascii="仿宋" w:hAnsi="仿宋" w:eastAsia="仿宋" w:cs="仿宋"/>
                <w:color w:val="000000"/>
                <w:sz w:val="24"/>
                <w:szCs w:val="24"/>
              </w:rPr>
            </w:r>
            <w:r/>
          </w:p>
        </w:tc>
        <w:tc>
          <w:tcPr>
            <w:gridSpan w:val="2"/>
            <w:tcW w:w="5733" w:type="dxa"/>
            <w:vAlign w:val="center"/>
            <w:textDirection w:val="lrTb"/>
            <w:noWrap w:val="false"/>
          </w:tcPr>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药师审查时，可在审查界面一体化查看当前处方（医嘱）历史干预记录，如医生操作、用药理由等。</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药师审查时可查看当前处方（医嘱）历史修改版本信息。</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药师可选择审核意见中的重点文字变色处理后发给医生。药师还可预设常用问题模板。</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▲药师可以根据不同任务情况选择医生处方（医嘱）直接双签通过还是需要药师复核。</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若一张处方（医嘱）通过前有多个修改版本，系统可以标记每个版本的处置状态。</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系统支持根据医生提交至药师处的中药处方智能检索近似经典方剂供药师参考。</w:t>
            </w:r>
            <w:r>
              <w:rPr>
                <w:rFonts w:hint="eastAsia" w:ascii="仿宋" w:hAnsi="仿宋" w:eastAsia="仿宋" w:cs="仿宋"/>
                <w:bCs/>
                <w:color w:val="000000"/>
                <w:sz w:val="24"/>
                <w:szCs w:val="24"/>
                <w:lang w:eastAsia="zh-CN"/>
              </w:rPr>
            </w:r>
            <w:r/>
          </w:p>
        </w:tc>
      </w:tr>
      <w:tr>
        <w:trPr/>
        <w:tc>
          <w:tcPr>
            <w:gridSpan w:val="3"/>
            <w:tcW w:w="667" w:type="dxa"/>
            <w:vAlign w:val="center"/>
            <w:vMerge w:val="continue"/>
            <w:textDirection w:val="lrTb"/>
            <w:noWrap w:val="false"/>
          </w:tcPr>
          <w:p>
            <w:pPr>
              <w:pStyle w:val="1011"/>
              <w:ind w:left="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40"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3"/>
            <w:tcW w:w="1218"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质量评价功能</w:t>
            </w:r>
            <w:r>
              <w:rPr>
                <w:rFonts w:hint="eastAsia" w:ascii="仿宋" w:hAnsi="仿宋" w:eastAsia="仿宋" w:cs="仿宋"/>
                <w:color w:val="000000"/>
                <w:sz w:val="24"/>
                <w:szCs w:val="24"/>
              </w:rPr>
            </w:r>
            <w:r/>
          </w:p>
        </w:tc>
        <w:tc>
          <w:tcPr>
            <w:gridSpan w:val="2"/>
            <w:tcW w:w="5733" w:type="dxa"/>
            <w:vAlign w:val="center"/>
            <w:textDirection w:val="lrTb"/>
            <w:noWrap w:val="false"/>
          </w:tcPr>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系统提供多种筛选方案设置功能，进行待评价任务筛选。评价人可对每个任务输入审核意见并打分。系统可自动生成任务评分表，并可导出到Excel。</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评价人可评估历史审核任务并设置问题推荐处置方案，供审方药师审核同一问题时参考。</w:t>
            </w:r>
            <w:r>
              <w:rPr>
                <w:rFonts w:hint="eastAsia" w:ascii="仿宋" w:hAnsi="仿宋" w:eastAsia="仿宋" w:cs="仿宋"/>
                <w:bCs/>
                <w:color w:val="000000"/>
                <w:sz w:val="24"/>
                <w:szCs w:val="24"/>
                <w:lang w:eastAsia="zh-CN"/>
              </w:rPr>
            </w:r>
            <w:r/>
          </w:p>
        </w:tc>
      </w:tr>
      <w:tr>
        <w:trPr/>
        <w:tc>
          <w:tcPr>
            <w:gridSpan w:val="3"/>
            <w:tcW w:w="667" w:type="dxa"/>
            <w:vAlign w:val="center"/>
            <w:vMerge w:val="continue"/>
            <w:textDirection w:val="lrTb"/>
            <w:noWrap w:val="false"/>
          </w:tcPr>
          <w:p>
            <w:pPr>
              <w:pStyle w:val="1011"/>
              <w:ind w:left="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40"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3"/>
            <w:tcW w:w="1218"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审方干预自定义功能</w:t>
            </w:r>
            <w:r>
              <w:rPr>
                <w:rFonts w:hint="eastAsia" w:ascii="仿宋" w:hAnsi="仿宋" w:eastAsia="仿宋" w:cs="仿宋"/>
                <w:color w:val="000000"/>
                <w:sz w:val="24"/>
                <w:szCs w:val="24"/>
              </w:rPr>
            </w:r>
            <w:r/>
          </w:p>
        </w:tc>
        <w:tc>
          <w:tcPr>
            <w:gridSpan w:val="2"/>
            <w:tcW w:w="5733" w:type="dxa"/>
            <w:vAlign w:val="center"/>
            <w:textDirection w:val="lrTb"/>
            <w:noWrap w:val="false"/>
          </w:tcPr>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用户可将任意科室、医生、患者、疾病、药品设置为重点关注，可按科室、医生、患者、疾病、药品、问题类型、警示级别多条件组合设置重点关注，包含重点关注信息的处方由药师进行全面审查。</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用户可设置双盲审方、单盲审方，在需要时隐藏医生、药师信息。</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bCs/>
                <w:color w:val="000000"/>
                <w:sz w:val="24"/>
                <w:szCs w:val="24"/>
                <w:lang w:eastAsia="zh-CN"/>
              </w:rPr>
              <w:t xml:space="preserve">用户可根据使用习惯进行个性化设置，如任务提示音（支持上传），处置按钮顺序及样式，审方界面字体及颜色，发送给医生的常用语等。</w:t>
            </w:r>
            <w:r>
              <w:rPr>
                <w:rFonts w:hint="eastAsia" w:ascii="仿宋" w:hAnsi="仿宋" w:eastAsia="仿宋" w:cs="仿宋"/>
                <w:color w:val="000000"/>
                <w:sz w:val="24"/>
                <w:szCs w:val="24"/>
                <w:lang w:eastAsia="zh-CN"/>
              </w:rPr>
            </w:r>
            <w:r/>
          </w:p>
          <w:p>
            <w:pPr>
              <w:pStyle w:val="1011"/>
              <w:jc w:val="left"/>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▲用户可设置自动干预模式，并设置医生填写用药理由的模式。药师不在岗时，系统自动干预，医生填写用药理由后方可执行，支持全院和分科室设置。</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rPr>
            </w:r>
            <w:r/>
          </w:p>
        </w:tc>
      </w:tr>
      <w:tr>
        <w:trPr/>
        <w:tc>
          <w:tcPr>
            <w:gridSpan w:val="3"/>
            <w:tcW w:w="667" w:type="dxa"/>
            <w:vAlign w:val="center"/>
            <w:vMerge w:val="continue"/>
            <w:textDirection w:val="lrTb"/>
            <w:noWrap w:val="false"/>
          </w:tcPr>
          <w:p>
            <w:pPr>
              <w:pStyle w:val="1011"/>
              <w:ind w:left="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40"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3"/>
            <w:tcW w:w="1218"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患者信息查看</w:t>
            </w:r>
            <w:r>
              <w:rPr>
                <w:rFonts w:hint="eastAsia" w:ascii="仿宋" w:hAnsi="仿宋" w:eastAsia="仿宋" w:cs="仿宋"/>
                <w:color w:val="000000"/>
                <w:sz w:val="24"/>
                <w:szCs w:val="24"/>
              </w:rPr>
            </w:r>
            <w:r/>
          </w:p>
        </w:tc>
        <w:tc>
          <w:tcPr>
            <w:gridSpan w:val="2"/>
            <w:tcW w:w="5733" w:type="dxa"/>
            <w:vAlign w:val="center"/>
            <w:textDirection w:val="lrTb"/>
            <w:noWrap w:val="false"/>
          </w:tcPr>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药师审方界面：可查看患者基本信息、患者过敏史、手术信息、检验检查信息、会诊信息、病程记录，检验结果异常项可单独显示。可链接EMR系统查看患者详细信息。</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可标记门诊特殊病人。</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可标记慢病处方。</w:t>
            </w:r>
            <w:r>
              <w:rPr>
                <w:rFonts w:hint="eastAsia" w:ascii="仿宋" w:hAnsi="仿宋" w:eastAsia="仿宋" w:cs="仿宋"/>
                <w:bCs/>
                <w:color w:val="000000"/>
                <w:sz w:val="24"/>
                <w:szCs w:val="24"/>
                <w:lang w:eastAsia="zh-CN"/>
              </w:rPr>
            </w:r>
            <w:r/>
          </w:p>
          <w:p>
            <w:pPr>
              <w:pStyle w:val="1159"/>
              <w:jc w:val="left"/>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药师审查时可查看当前患者的其他处方。</w:t>
            </w:r>
            <w:r>
              <w:rPr>
                <w:rFonts w:hint="eastAsia" w:ascii="仿宋" w:hAnsi="仿宋" w:eastAsia="仿宋" w:cs="仿宋"/>
                <w:bCs/>
                <w:color w:val="000000"/>
                <w:sz w:val="24"/>
                <w:szCs w:val="24"/>
              </w:rPr>
            </w:r>
            <w:r/>
          </w:p>
        </w:tc>
      </w:tr>
      <w:tr>
        <w:trPr/>
        <w:tc>
          <w:tcPr>
            <w:gridSpan w:val="3"/>
            <w:tcW w:w="667" w:type="dxa"/>
            <w:vAlign w:val="center"/>
            <w:vMerge w:val="continue"/>
            <w:textDirection w:val="lrTb"/>
            <w:noWrap w:val="false"/>
          </w:tcPr>
          <w:p>
            <w:pPr>
              <w:pStyle w:val="1011"/>
              <w:ind w:left="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40"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3"/>
            <w:tcW w:w="1218"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系统审查</w:t>
            </w:r>
            <w:r>
              <w:rPr>
                <w:rFonts w:hint="eastAsia" w:ascii="仿宋" w:hAnsi="仿宋" w:eastAsia="仿宋" w:cs="仿宋"/>
                <w:color w:val="000000"/>
                <w:sz w:val="24"/>
                <w:szCs w:val="24"/>
              </w:rPr>
            </w:r>
            <w:r/>
          </w:p>
        </w:tc>
        <w:tc>
          <w:tcPr>
            <w:gridSpan w:val="2"/>
            <w:tcW w:w="5733" w:type="dxa"/>
            <w:vAlign w:val="center"/>
            <w:textDirection w:val="lrTb"/>
            <w:noWrap w:val="false"/>
          </w:tcPr>
          <w:p>
            <w:pPr>
              <w:pStyle w:val="1011"/>
              <w:ind w:firstLine="480"/>
              <w:jc w:val="left"/>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系统审查项目、规则等应与医生端审方系统保持一致，并能实现无缝对接，即药师端可查看医生端审方系统的详细审查结果信息，同时药师审核问题标准可按医生端审方系统的审查项目和问题级别进行设置。</w:t>
            </w:r>
            <w:r>
              <w:rPr>
                <w:rFonts w:hint="eastAsia" w:ascii="仿宋" w:hAnsi="仿宋" w:eastAsia="仿宋" w:cs="仿宋"/>
                <w:bCs/>
                <w:color w:val="000000"/>
                <w:sz w:val="24"/>
                <w:szCs w:val="24"/>
              </w:rPr>
            </w:r>
            <w:r/>
          </w:p>
        </w:tc>
      </w:tr>
      <w:tr>
        <w:trPr/>
        <w:tc>
          <w:tcPr>
            <w:gridSpan w:val="3"/>
            <w:tcW w:w="667" w:type="dxa"/>
            <w:vAlign w:val="center"/>
            <w:vMerge w:val="continue"/>
            <w:textDirection w:val="lrTb"/>
            <w:noWrap w:val="false"/>
          </w:tcPr>
          <w:p>
            <w:pPr>
              <w:pStyle w:val="1011"/>
              <w:ind w:left="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40"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3"/>
            <w:tcW w:w="1218"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统计分析</w:t>
            </w:r>
            <w:r>
              <w:rPr>
                <w:rFonts w:hint="eastAsia" w:ascii="仿宋" w:hAnsi="仿宋" w:eastAsia="仿宋" w:cs="仿宋"/>
                <w:color w:val="000000"/>
                <w:sz w:val="24"/>
                <w:szCs w:val="24"/>
              </w:rPr>
            </w:r>
            <w:r/>
          </w:p>
        </w:tc>
        <w:tc>
          <w:tcPr>
            <w:gridSpan w:val="2"/>
            <w:tcW w:w="5733" w:type="dxa"/>
            <w:vAlign w:val="center"/>
            <w:textDirection w:val="lrTb"/>
            <w:noWrap w:val="false"/>
          </w:tcPr>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可以分别统计门诊、住院任务的审核率、干预率、合格率等重要指标，并可提供统计图。可按照科室、医生、药品、药师、药物类进行干预情况分类统计。</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可以统计每个药师的监测时长、审核工作量、干预工作量和干预有效率，并可提供统计图。</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可以提供不合理问题统计分析，支持按时间、问题类型、警示等级等条件进行统计，并可生成统计图。可以查看在人工审方时药师主动添加的问题的发生次数、发生率。</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可以分科室、医生、药品、问题类型提供干预效果追踪，并以统计图的方式体现干预效果。</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可按不同的处方（医嘱）通过状态进行统计，并可生成统计图。</w:t>
            </w:r>
            <w:r>
              <w:rPr>
                <w:rFonts w:hint="eastAsia" w:ascii="仿宋" w:hAnsi="仿宋" w:eastAsia="仿宋" w:cs="仿宋"/>
                <w:bCs/>
                <w:color w:val="000000"/>
                <w:sz w:val="24"/>
                <w:szCs w:val="24"/>
                <w:lang w:eastAsia="zh-CN"/>
              </w:rPr>
            </w:r>
            <w:r/>
          </w:p>
          <w:p>
            <w:pPr>
              <w:pStyle w:val="1011"/>
              <w:ind w:firstLine="480"/>
              <w:jc w:val="left"/>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医生端可通过用药自查，查看自身任务的审核干预相关统计数据。</w:t>
            </w:r>
            <w:r>
              <w:rPr>
                <w:rFonts w:hint="eastAsia" w:ascii="仿宋" w:hAnsi="仿宋" w:eastAsia="仿宋" w:cs="仿宋"/>
                <w:color w:val="000000"/>
                <w:sz w:val="24"/>
                <w:szCs w:val="24"/>
              </w:rPr>
            </w:r>
            <w:r/>
          </w:p>
        </w:tc>
      </w:tr>
      <w:tr>
        <w:trPr/>
        <w:tc>
          <w:tcPr>
            <w:gridSpan w:val="3"/>
            <w:tcW w:w="667" w:type="dxa"/>
            <w:vAlign w:val="center"/>
            <w:vMerge w:val="continue"/>
            <w:textDirection w:val="lrTb"/>
            <w:noWrap w:val="false"/>
          </w:tcPr>
          <w:p>
            <w:pPr>
              <w:pStyle w:val="1011"/>
              <w:ind w:left="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40"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3"/>
            <w:tcW w:w="1218"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大屏展示功能</w:t>
            </w:r>
            <w:r>
              <w:rPr>
                <w:rFonts w:hint="eastAsia" w:ascii="仿宋" w:hAnsi="仿宋" w:eastAsia="仿宋" w:cs="仿宋"/>
                <w:color w:val="000000"/>
                <w:sz w:val="24"/>
                <w:szCs w:val="24"/>
              </w:rPr>
            </w:r>
            <w:r/>
          </w:p>
        </w:tc>
        <w:tc>
          <w:tcPr>
            <w:gridSpan w:val="2"/>
            <w:tcW w:w="5733" w:type="dxa"/>
            <w:vAlign w:val="center"/>
            <w:textDirection w:val="lrTb"/>
            <w:noWrap w:val="false"/>
          </w:tcPr>
          <w:p>
            <w:pPr>
              <w:pStyle w:val="1159"/>
              <w:ind w:left="0"/>
              <w:jc w:val="left"/>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lang w:eastAsia="zh-CN"/>
              </w:rPr>
              <w:t xml:space="preserve">系统应支持将重要审方指标通过图表在用户大屏上展示。</w:t>
            </w:r>
            <w:r>
              <w:rPr>
                <w:rFonts w:hint="eastAsia" w:ascii="仿宋" w:hAnsi="仿宋" w:eastAsia="仿宋" w:cs="仿宋"/>
                <w:bCs/>
                <w:color w:val="000000"/>
                <w:sz w:val="24"/>
                <w:szCs w:val="24"/>
              </w:rPr>
            </w:r>
            <w:r/>
          </w:p>
        </w:tc>
      </w:tr>
      <w:tr>
        <w:trPr/>
        <w:tc>
          <w:tcPr>
            <w:gridSpan w:val="3"/>
            <w:tcW w:w="667" w:type="dxa"/>
            <w:vAlign w:val="center"/>
            <w:vMerge w:val="restart"/>
            <w:textDirection w:val="lrTb"/>
            <w:noWrap w:val="false"/>
          </w:tcPr>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center"/>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val="en-US" w:eastAsia="zh-CN"/>
              </w:rPr>
            </w:r>
            <w:r/>
          </w:p>
          <w:p>
            <w:pPr>
              <w:pStyle w:val="1011"/>
              <w:ind w:left="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40" w:type="dxa"/>
            <w:vAlign w:val="center"/>
            <w:vMerge w:val="restart"/>
            <w:textDirection w:val="lrTb"/>
            <w:noWrap w:val="false"/>
          </w:tcPr>
          <w:p>
            <w:pPr>
              <w:pStyle w:val="1011"/>
              <w:ind w:left="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ind w:left="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ind w:left="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ind w:left="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ind w:left="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ind w:left="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ind w:left="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ind w:left="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76"/>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76"/>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76"/>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76"/>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76"/>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76"/>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76"/>
              <w:jc w:val="center"/>
              <w:spacing w:line="240" w:lineRule="auto"/>
              <w:rPr>
                <w:rFonts w:hint="eastAsia" w:ascii="仿宋" w:eastAsia="仿宋"/>
                <w:color w:val="000000"/>
                <w:sz w:val="24"/>
              </w:rPr>
            </w:pPr>
            <w:r>
              <w:rPr>
                <w:rFonts w:hint="eastAsia" w:ascii="仿宋" w:eastAsia="仿宋"/>
                <w:color w:val="000000"/>
                <w:sz w:val="24"/>
              </w:rPr>
            </w:r>
            <w:r/>
          </w:p>
          <w:p>
            <w:pPr>
              <w:pStyle w:val="1011"/>
              <w:ind w:left="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ind w:left="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ind w:left="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ind w:left="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处方点评</w:t>
            </w: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3"/>
            <w:tcW w:w="1218"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智慧中心</w:t>
            </w:r>
            <w:r>
              <w:rPr>
                <w:rFonts w:hint="eastAsia" w:ascii="仿宋" w:hAnsi="仿宋" w:eastAsia="仿宋" w:cs="仿宋"/>
                <w:color w:val="000000"/>
                <w:sz w:val="24"/>
                <w:szCs w:val="24"/>
              </w:rPr>
            </w:r>
            <w:r/>
          </w:p>
        </w:tc>
        <w:tc>
          <w:tcPr>
            <w:gridSpan w:val="2"/>
            <w:tcW w:w="5733" w:type="dxa"/>
            <w:vAlign w:val="center"/>
            <w:textDirection w:val="lrTb"/>
            <w:noWrap w:val="false"/>
          </w:tcPr>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系统主页应能显示门诊/住院点评率、合理率、住院抗菌药物使用强度、门诊基本药物占比、住院静脉输液使用率等指标。</w:t>
            </w:r>
            <w:r>
              <w:rPr>
                <w:rFonts w:hint="eastAsia" w:ascii="仿宋" w:hAnsi="仿宋" w:eastAsia="仿宋" w:cs="仿宋"/>
                <w:bCs/>
                <w:color w:val="000000"/>
                <w:sz w:val="24"/>
                <w:szCs w:val="24"/>
                <w:lang w:eastAsia="zh-CN"/>
              </w:rPr>
            </w:r>
            <w:r/>
          </w:p>
        </w:tc>
      </w:tr>
      <w:tr>
        <w:trPr/>
        <w:tc>
          <w:tcPr>
            <w:gridSpan w:val="3"/>
            <w:tcW w:w="667" w:type="dxa"/>
            <w:vAlign w:val="center"/>
            <w:vMerge w:val="continue"/>
            <w:textDirection w:val="lrTb"/>
            <w:noWrap w:val="false"/>
          </w:tcPr>
          <w:p>
            <w:pPr>
              <w:pStyle w:val="1011"/>
              <w:ind w:left="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40"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3"/>
            <w:tcW w:w="1218"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读取和查看病人信息</w:t>
            </w:r>
            <w:r>
              <w:rPr>
                <w:rFonts w:hint="eastAsia" w:ascii="仿宋" w:hAnsi="仿宋" w:eastAsia="仿宋" w:cs="仿宋"/>
                <w:color w:val="000000"/>
                <w:sz w:val="24"/>
                <w:szCs w:val="24"/>
              </w:rPr>
            </w:r>
            <w:r/>
          </w:p>
        </w:tc>
        <w:tc>
          <w:tcPr>
            <w:gridSpan w:val="2"/>
            <w:tcW w:w="5733" w:type="dxa"/>
            <w:vAlign w:val="center"/>
            <w:textDirection w:val="lrTb"/>
            <w:noWrap w:val="false"/>
          </w:tcPr>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系统应能筛选患者并查看患者基本信息、医嘱、诊断、检查、检验、手术、费用、会诊、病程等信息，同时能提供EMR、PACS、LIS超链接功能，帮助药师快速切换。</w:t>
            </w:r>
            <w:r>
              <w:rPr>
                <w:rFonts w:hint="eastAsia" w:ascii="仿宋" w:hAnsi="仿宋" w:eastAsia="仿宋" w:cs="仿宋"/>
                <w:bCs/>
                <w:color w:val="000000"/>
                <w:sz w:val="24"/>
                <w:szCs w:val="24"/>
                <w:lang w:eastAsia="zh-CN"/>
              </w:rPr>
            </w:r>
            <w:r/>
          </w:p>
        </w:tc>
      </w:tr>
      <w:tr>
        <w:trPr/>
        <w:tc>
          <w:tcPr>
            <w:gridSpan w:val="3"/>
            <w:tcW w:w="667" w:type="dxa"/>
            <w:vAlign w:val="center"/>
            <w:vMerge w:val="continue"/>
            <w:textDirection w:val="lrTb"/>
            <w:noWrap w:val="false"/>
          </w:tcPr>
          <w:p>
            <w:pPr>
              <w:pStyle w:val="1011"/>
              <w:ind w:left="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40"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3"/>
            <w:tcW w:w="1218"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处方点评</w:t>
            </w:r>
            <w:r>
              <w:rPr>
                <w:rFonts w:hint="eastAsia" w:ascii="仿宋" w:hAnsi="仿宋" w:eastAsia="仿宋" w:cs="仿宋"/>
                <w:color w:val="000000"/>
                <w:sz w:val="24"/>
                <w:szCs w:val="24"/>
              </w:rPr>
            </w:r>
            <w:r/>
          </w:p>
        </w:tc>
        <w:tc>
          <w:tcPr>
            <w:gridSpan w:val="2"/>
            <w:tcW w:w="5733" w:type="dxa"/>
            <w:vAlign w:val="center"/>
            <w:textDirection w:val="lrTb"/>
            <w:noWrap w:val="false"/>
          </w:tcPr>
          <w:p>
            <w:pPr>
              <w:pStyle w:val="1159"/>
              <w:ind w:left="0" w:firstLine="420"/>
              <w:jc w:val="left"/>
              <w:keepLines w:val="0"/>
              <w:keepNext w:val="0"/>
              <w:pageBreakBefore w:val="0"/>
              <w:spacing w:line="240" w:lineRule="auto"/>
              <w:widowControl w:val="off"/>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eastAsia="zh-CN"/>
              </w:rPr>
              <w:t xml:space="preserve">系统应结合国家处方点评相关政策要求，实现对处方（医嘱）电子化评价功能。                                                                </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lang w:val="en-US" w:eastAsia="zh-CN"/>
              </w:rPr>
            </w:r>
            <w:r/>
          </w:p>
          <w:p>
            <w:pPr>
              <w:pStyle w:val="1159"/>
              <w:ind w:left="0" w:firstLine="420"/>
              <w:jc w:val="left"/>
              <w:keepLines w:val="0"/>
              <w:keepNext w:val="0"/>
              <w:pageBreakBefore w:val="0"/>
              <w:spacing w:line="240" w:lineRule="auto"/>
              <w:widowControl w:val="off"/>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应能提供程序点评功能，包括对处方（医嘱）用药进行以下程序点评：剂量审查、给药途径审查、相互作用审查、体外注射剂配伍审查、配伍浓度审查、钾离子监测、TPN处方审查、门诊输液审查、禁忌症审查、不良反应审查、特殊人群用药审查、重复用药审查、适应症审查、药物过敏审查、药物检验值审查、规范性审查、医保审查、越权用药审查、围术期用药审查，并提供审查规则自定义功能，使得点评结果更加符合医院实际用药情况。</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能实现点评任务分配、点评求助、点评复核、反馈医生、医生申述的闭环管理，并在医生、药师交互环节进行消息提示。点评结果反馈医生或科主任后，医生（工作站）可直接填写申述理由或确认，无需登录系统查看点评结果。</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▲系统应提供双盲点评设置、医生处理点评结果逾期设置、增补处方或病人、高亮显示被点评药品功能，方便药师点评。 </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系统应能自定义点评模板及点评点，实现个性化点评需求。</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▲系统应能自动生成住院患者用药联用图、时序图，并支持自定义。住院患者时序图包含患者体征、用药、手术和检验信息等内容。</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系统应能自动生成点评相关报表及任务完成情况等管理报表。</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包含全处方点评、全医嘱点评、门急诊/住院抗菌药物专项点评、围手术期抗菌药物专项点评、门急诊/住院专项药品点评、门急诊/住院抗肿瘤药物专项点评、住院病人特殊级抗菌药物专项点评、住院病人碳青霉烯类及替加环素专项点评、住院病人人血白蛋白专项点评、门（急）诊/住院中药饮片专项点评、门（急）诊中成药处方专项点评、用药排名医嘱点评、住院用药医嘱点评、出院带药医嘱点评、门（急）诊基本药物专项点评、住院病人肠外营养专项点评、住院病人自备药专项点评、门（急）诊外延处方点评。</w:t>
            </w:r>
            <w:r>
              <w:rPr>
                <w:rFonts w:hint="eastAsia" w:ascii="仿宋" w:hAnsi="仿宋" w:eastAsia="仿宋" w:cs="仿宋"/>
                <w:bCs/>
                <w:color w:val="000000"/>
                <w:sz w:val="24"/>
                <w:szCs w:val="24"/>
                <w:lang w:eastAsia="zh-CN"/>
              </w:rPr>
            </w:r>
            <w:r/>
          </w:p>
        </w:tc>
      </w:tr>
      <w:tr>
        <w:trPr/>
        <w:tc>
          <w:tcPr>
            <w:gridSpan w:val="3"/>
            <w:tcW w:w="667" w:type="dxa"/>
            <w:vAlign w:val="center"/>
            <w:vMerge w:val="continue"/>
            <w:textDirection w:val="lrTb"/>
            <w:noWrap w:val="false"/>
          </w:tcPr>
          <w:p>
            <w:pPr>
              <w:pStyle w:val="1011"/>
              <w:ind w:left="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40"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3"/>
            <w:tcW w:w="1218"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抗菌药物临床应用监测</w:t>
            </w:r>
            <w:r>
              <w:rPr>
                <w:rFonts w:hint="eastAsia" w:ascii="仿宋" w:hAnsi="仿宋" w:eastAsia="仿宋" w:cs="仿宋"/>
                <w:color w:val="000000"/>
                <w:sz w:val="24"/>
                <w:szCs w:val="24"/>
              </w:rPr>
            </w:r>
            <w:r/>
          </w:p>
        </w:tc>
        <w:tc>
          <w:tcPr>
            <w:gridSpan w:val="2"/>
            <w:tcW w:w="5733" w:type="dxa"/>
            <w:vAlign w:val="center"/>
            <w:textDirection w:val="lrTb"/>
            <w:noWrap w:val="false"/>
          </w:tcPr>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系统应根据卫生部《抗菌药物临床应用监测方案》中的相关规定，完成抗菌药物临床应用监测网要求的抗菌药物使用情况统计及上报工作。</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系统应提供手术/非手术抗菌药物使用情况调查表、门诊/急诊处方用药情况、住院患者抗菌药物使用情况统计报表的离线上报功能，可直接上传文档至监测网完成填报工作，避免二次填写。</w:t>
            </w:r>
            <w:r>
              <w:rPr>
                <w:rFonts w:hint="eastAsia" w:ascii="仿宋" w:hAnsi="仿宋" w:eastAsia="仿宋" w:cs="仿宋"/>
                <w:bCs/>
                <w:color w:val="000000"/>
                <w:sz w:val="24"/>
                <w:szCs w:val="24"/>
                <w:lang w:eastAsia="zh-CN"/>
              </w:rPr>
            </w:r>
            <w:r/>
          </w:p>
        </w:tc>
      </w:tr>
      <w:tr>
        <w:trPr/>
        <w:tc>
          <w:tcPr>
            <w:gridSpan w:val="3"/>
            <w:tcW w:w="667" w:type="dxa"/>
            <w:vAlign w:val="center"/>
            <w:vMerge w:val="continue"/>
            <w:textDirection w:val="lrTb"/>
            <w:noWrap w:val="false"/>
          </w:tcPr>
          <w:p>
            <w:pPr>
              <w:pStyle w:val="1011"/>
              <w:ind w:left="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40"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3"/>
            <w:tcW w:w="1218"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电子药历</w:t>
            </w:r>
            <w:r>
              <w:rPr>
                <w:rFonts w:hint="eastAsia" w:ascii="仿宋" w:hAnsi="仿宋" w:eastAsia="仿宋" w:cs="仿宋"/>
                <w:color w:val="000000"/>
                <w:sz w:val="24"/>
                <w:szCs w:val="24"/>
              </w:rPr>
            </w:r>
            <w:r/>
          </w:p>
        </w:tc>
        <w:tc>
          <w:tcPr>
            <w:gridSpan w:val="2"/>
            <w:tcW w:w="5733" w:type="dxa"/>
            <w:vAlign w:val="center"/>
            <w:textDirection w:val="lrTb"/>
            <w:noWrap w:val="false"/>
          </w:tcPr>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系统应提供工作药历、教学药历、查房记录填写模块，同时允许用户自定义药历的显示内容。系统应提供药历提交、审阅、退回、导出流程。应提供工作量统计，按时间段分别统计药历书写量及药历审阅量。</w:t>
            </w:r>
            <w:r>
              <w:rPr>
                <w:rFonts w:hint="eastAsia" w:ascii="仿宋" w:hAnsi="仿宋" w:eastAsia="仿宋" w:cs="仿宋"/>
                <w:bCs/>
                <w:color w:val="000000"/>
                <w:sz w:val="24"/>
                <w:szCs w:val="24"/>
                <w:lang w:eastAsia="zh-CN"/>
              </w:rPr>
            </w:r>
            <w:r/>
          </w:p>
        </w:tc>
      </w:tr>
      <w:tr>
        <w:trPr/>
        <w:tc>
          <w:tcPr>
            <w:gridSpan w:val="3"/>
            <w:tcW w:w="667" w:type="dxa"/>
            <w:vAlign w:val="center"/>
            <w:vMerge w:val="continue"/>
            <w:textDirection w:val="lrTb"/>
            <w:noWrap w:val="false"/>
          </w:tcPr>
          <w:p>
            <w:pPr>
              <w:pStyle w:val="1011"/>
              <w:ind w:left="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40"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3"/>
            <w:tcW w:w="1218"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统计分析</w:t>
            </w:r>
            <w:r>
              <w:rPr>
                <w:rFonts w:hint="eastAsia" w:ascii="仿宋" w:hAnsi="仿宋" w:eastAsia="仿宋" w:cs="仿宋"/>
                <w:color w:val="000000"/>
                <w:sz w:val="24"/>
                <w:szCs w:val="24"/>
              </w:rPr>
            </w:r>
            <w:r/>
          </w:p>
        </w:tc>
        <w:tc>
          <w:tcPr>
            <w:gridSpan w:val="2"/>
            <w:tcW w:w="5733" w:type="dxa"/>
            <w:vAlign w:val="center"/>
            <w:textDirection w:val="lrTb"/>
            <w:noWrap w:val="false"/>
          </w:tcPr>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系统应提供对医院合理用药指标及药品使用情况的统计分析，并能自定义显示和导出。同时提供关键字检索功能，便于快速查询指标。</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合理用药指标及趋势分析，包括：抗菌药物使用率、平均用药品种数、注射剂使用率、抗菌药物患者使用前病原送检率、X类切口手术预防用抗菌药物百分率、X类切口手术术前0.5-1.0小时预防给药百分率等。应能按全院、大科室、科室、医疗组、医生分别提供合理用药相关指标的统计，并能将合理用药指标重新组合并生成新的报表。应能实现抗菌药物使用强度、抗菌药物使用率、抗菌药物使用量、I类切口手术预防用抗菌药物百分率、国家基本药物药占比同比、环比分析。</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自定义合理用药指标</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系统应提供自定义合理用药指标功能，可自行设置指标分子、分母进行统计。自定义要素包含药品、治疗金额、药品金额、处方数、病人数、药品品种数、使用量DDDs、人天数、用药医嘱条目数。</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药品使用强度统计</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药品金额、数量、DDDs统计</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药品使用人次统计</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注射剂/大容量注射液统计</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药品品种/费用构成统计</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门（急）诊大处方分析</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抗菌药物使用清单及统计</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基本药物使用清单及统计</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重点监控合理用药药品监测</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麻精药品管理处方登记表</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国家三级公立医院绩效考核</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药事管理专业医疗质量控制指标</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全国抗菌药物临床应用管理数据统计</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国家卫生健康委抗菌药物临床应用管理数据上报</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▲全国合理用药监测系统数据统计</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医疗机构药品使用监测</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抗肿瘤药物临床应用情况调查表</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静脉输液使用情况调查表</w:t>
            </w:r>
            <w:r>
              <w:rPr>
                <w:rFonts w:hint="eastAsia" w:ascii="仿宋" w:hAnsi="仿宋" w:eastAsia="仿宋" w:cs="仿宋"/>
                <w:bCs/>
                <w:color w:val="000000"/>
                <w:sz w:val="24"/>
                <w:szCs w:val="24"/>
                <w:lang w:eastAsia="zh-CN"/>
              </w:rPr>
            </w:r>
            <w:r/>
          </w:p>
        </w:tc>
      </w:tr>
      <w:tr>
        <w:trPr/>
        <w:tc>
          <w:tcPr>
            <w:gridSpan w:val="3"/>
            <w:tcW w:w="667" w:type="dxa"/>
            <w:vAlign w:val="center"/>
            <w:vMerge w:val="continue"/>
            <w:textDirection w:val="lrTb"/>
            <w:noWrap w:val="false"/>
          </w:tcPr>
          <w:p>
            <w:pPr>
              <w:pStyle w:val="1011"/>
              <w:ind w:left="420"/>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40" w:type="dxa"/>
            <w:vAlign w:val="center"/>
            <w:vMerge w:val="continue"/>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3"/>
            <w:tcW w:w="1218"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其它</w:t>
            </w:r>
            <w:r>
              <w:rPr>
                <w:rFonts w:hint="eastAsia" w:ascii="仿宋" w:hAnsi="仿宋" w:eastAsia="仿宋" w:cs="仿宋"/>
                <w:color w:val="000000"/>
                <w:sz w:val="24"/>
                <w:szCs w:val="24"/>
              </w:rPr>
            </w:r>
            <w:r/>
          </w:p>
        </w:tc>
        <w:tc>
          <w:tcPr>
            <w:gridSpan w:val="2"/>
            <w:tcW w:w="5733" w:type="dxa"/>
            <w:vAlign w:val="center"/>
            <w:textDirection w:val="lrTb"/>
            <w:noWrap w:val="false"/>
          </w:tcPr>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自维护功能</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▲系统应对医院药品属性、给药途径、给药频次、感染疾病类型、检验申请/结果/收费项目类型、手术分类、科室类型、医生抗菌药物权限、围术期用药等基础数据进行程序自动维护。</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权限管理</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系统应对各项功能设置严格的权限管理，包括处方点评权限、报表的统计权限、导出权限等。系统应提供用户操作日志、版本更新内容查询功能。</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restart"/>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ind w:left="420"/>
              <w:jc w:val="both"/>
              <w:pageBreakBefore w:val="0"/>
              <w:spacing w:line="240" w:lineRule="auto"/>
              <w:rPr>
                <w:rFonts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4</w:t>
            </w:r>
            <w:r>
              <w:rPr>
                <w:rFonts w:ascii="仿宋" w:hAnsi="仿宋" w:eastAsia="仿宋" w:cs="仿宋"/>
                <w:bCs/>
                <w:color w:val="000000"/>
                <w:sz w:val="24"/>
                <w:szCs w:val="24"/>
                <w:lang w:val="en-US" w:eastAsia="zh-CN"/>
              </w:rPr>
            </w:r>
            <w:r/>
          </w:p>
        </w:tc>
        <w:tc>
          <w:tcPr>
            <w:gridSpan w:val="2"/>
            <w:tcW w:w="1266" w:type="dxa"/>
            <w:vAlign w:val="center"/>
            <w:vMerge w:val="restart"/>
            <w:textDirection w:val="lrTb"/>
            <w:noWrap w:val="false"/>
          </w:tcPr>
          <w:p>
            <w:pPr>
              <w:pStyle w:val="1011"/>
              <w:jc w:val="center"/>
              <w:pageBreakBefore w:val="0"/>
              <w:spacing w:line="24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1011"/>
              <w:jc w:val="center"/>
              <w:pageBreakBefore w:val="0"/>
              <w:spacing w:line="24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1011"/>
              <w:jc w:val="center"/>
              <w:pageBreakBefore w:val="0"/>
              <w:spacing w:line="24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1011"/>
              <w:jc w:val="center"/>
              <w:pageBreakBefore w:val="0"/>
              <w:spacing w:line="24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1011"/>
              <w:jc w:val="center"/>
              <w:pageBreakBefore w:val="0"/>
              <w:spacing w:line="24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1011"/>
              <w:jc w:val="center"/>
              <w:pageBreakBefore w:val="0"/>
              <w:spacing w:line="24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1011"/>
              <w:jc w:val="center"/>
              <w:pageBreakBefore w:val="0"/>
              <w:spacing w:line="24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r>
            <w:r/>
          </w:p>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lang w:eastAsia="zh-CN"/>
              </w:rPr>
              <w:t xml:space="preserve">药物信息查询</w:t>
            </w:r>
            <w:r>
              <w:rPr>
                <w:rFonts w:hint="eastAsia" w:ascii="仿宋" w:hAnsi="仿宋" w:eastAsia="仿宋" w:cs="仿宋"/>
                <w:bCs/>
                <w:color w:val="000000"/>
                <w:sz w:val="24"/>
                <w:szCs w:val="24"/>
              </w:rPr>
            </w:r>
            <w:r/>
          </w:p>
        </w:tc>
        <w:tc>
          <w:tcPr>
            <w:gridSpan w:val="2"/>
            <w:tcW w:w="1181" w:type="dxa"/>
            <w:vAlign w:val="center"/>
            <w:vMerge w:val="restart"/>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药物信息参考</w:t>
            </w:r>
            <w:r>
              <w:rPr>
                <w:rFonts w:hint="eastAsia" w:ascii="仿宋" w:hAnsi="仿宋" w:eastAsia="仿宋" w:cs="仿宋"/>
                <w:bCs/>
                <w:color w:val="000000"/>
                <w:sz w:val="24"/>
                <w:szCs w:val="24"/>
              </w:rPr>
            </w:r>
            <w:r/>
          </w:p>
        </w:tc>
        <w:tc>
          <w:tcPr>
            <w:gridSpan w:val="2"/>
            <w:tcW w:w="5711" w:type="dxa"/>
            <w:vAlign w:val="center"/>
            <w:textDirection w:val="lrTb"/>
            <w:noWrap w:val="false"/>
          </w:tcPr>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系统应提供国内外上市药品的详细临床用药信息，内容包括药物的各种名称、临床应用、用法与用量、注意事项、不良反应、药物相互作用、给药说明、药理、制剂与规格等信息。</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709"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系统应可查看特殊人群（老人、儿童、妊娠期妇女、哺乳期妇女）及特殊疾病状态（如肝功能不全、肾功能不全、心力衰竭等）患者用药的注意事项。</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709"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系统应提供与药物临床应用密切相关的信息如不良反应处理方法、药物对检验值或诊断的影响等。 </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709"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系统应提供高警讯药物、国外专科信息供临床参考。</w:t>
            </w:r>
            <w:r>
              <w:rPr>
                <w:rFonts w:hint="eastAsia" w:ascii="仿宋" w:hAnsi="仿宋" w:eastAsia="仿宋" w:cs="仿宋"/>
                <w:bCs/>
                <w:color w:val="000000"/>
                <w:sz w:val="24"/>
                <w:szCs w:val="24"/>
                <w:lang w:eastAsia="zh-CN"/>
              </w:rPr>
            </w:r>
            <w:r/>
          </w:p>
          <w:p>
            <w:pPr>
              <w:pStyle w:val="1159"/>
              <w:ind w:left="0"/>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所有信息均应提供参考文献。</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gridSpan w:val="2"/>
            <w:tcW w:w="1181" w:type="dxa"/>
            <w:vAlign w:val="center"/>
            <w:vMerge w:val="restart"/>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药品说明书</w:t>
            </w:r>
            <w:r>
              <w:rPr>
                <w:rFonts w:hint="eastAsia" w:ascii="仿宋" w:hAnsi="仿宋" w:eastAsia="仿宋" w:cs="仿宋"/>
                <w:bCs/>
                <w:color w:val="000000"/>
                <w:sz w:val="24"/>
                <w:szCs w:val="24"/>
              </w:rPr>
            </w:r>
            <w:r/>
          </w:p>
        </w:tc>
        <w:tc>
          <w:tcPr>
            <w:gridSpan w:val="2"/>
            <w:tcW w:w="5711" w:type="dxa"/>
            <w:vAlign w:val="center"/>
            <w:textDirection w:val="lrTb"/>
            <w:noWrap w:val="false"/>
          </w:tcPr>
          <w:p>
            <w:pPr>
              <w:pStyle w:val="1011"/>
              <w:ind w:firstLine="480"/>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系统应提供国家药品监督管理局（NMPA）批准的厂家药品说明书，应可查看NMPA发布的说明书修订通知。还应提供高级检索的功能。</w:t>
            </w:r>
            <w:r>
              <w:rPr>
                <w:rFonts w:hint="eastAsia" w:ascii="仿宋" w:hAnsi="仿宋" w:eastAsia="仿宋" w:cs="仿宋"/>
                <w:bCs/>
                <w:color w:val="000000"/>
                <w:sz w:val="24"/>
                <w:szCs w:val="24"/>
              </w:rPr>
            </w:r>
            <w:r/>
          </w:p>
        </w:tc>
      </w:tr>
      <w:tr>
        <w:trPr>
          <w:gridAfter w:val="1"/>
          <w:trHeight w:val="90"/>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gridSpan w:val="2"/>
            <w:tcW w:w="1181" w:type="dxa"/>
            <w:vAlign w:val="center"/>
            <w:vMerge w:val="restart"/>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▲妊娠哺乳用药</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rPr>
            </w:r>
            <w:r/>
          </w:p>
        </w:tc>
        <w:tc>
          <w:tcPr>
            <w:gridSpan w:val="2"/>
            <w:tcW w:w="5711" w:type="dxa"/>
            <w:vAlign w:val="center"/>
            <w:textDirection w:val="lrTb"/>
            <w:noWrap w:val="false"/>
          </w:tcPr>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基于循证医学原则评价国内外药品说明书、专业数据库、专著、研究文献，对妊娠期和哺乳期药物暴露风险进行评估，提出用药建议。提供药代动力学、文献报道等供临床参考。所有信息均应提供参考文献。</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gridSpan w:val="2"/>
            <w:tcW w:w="1181" w:type="dxa"/>
            <w:vAlign w:val="center"/>
            <w:vMerge w:val="restart"/>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用药教育</w:t>
            </w:r>
            <w:r>
              <w:rPr>
                <w:rFonts w:hint="eastAsia" w:ascii="仿宋" w:hAnsi="仿宋" w:eastAsia="仿宋" w:cs="仿宋"/>
                <w:bCs/>
                <w:color w:val="000000"/>
                <w:sz w:val="24"/>
                <w:szCs w:val="24"/>
              </w:rPr>
            </w:r>
            <w:r/>
          </w:p>
        </w:tc>
        <w:tc>
          <w:tcPr>
            <w:gridSpan w:val="2"/>
            <w:tcW w:w="5711" w:type="dxa"/>
            <w:vAlign w:val="center"/>
            <w:textDirection w:val="lrTb"/>
            <w:noWrap w:val="false"/>
          </w:tcPr>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系统应为专业人员提供便于辅导病人用药的信息，以通俗易懂的语言，借助图片等形式描述药品的用途、副作用、用药期间注意事项、特殊给药方式图示等信息。</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gridSpan w:val="2"/>
            <w:tcW w:w="1181" w:type="dxa"/>
            <w:vAlign w:val="center"/>
            <w:vMerge w:val="restart"/>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ICD</w:t>
            </w:r>
            <w:r>
              <w:rPr>
                <w:rFonts w:hint="eastAsia" w:ascii="仿宋" w:hAnsi="仿宋" w:eastAsia="仿宋" w:cs="仿宋"/>
                <w:bCs/>
                <w:color w:val="000000"/>
                <w:sz w:val="24"/>
                <w:szCs w:val="24"/>
              </w:rPr>
            </w:r>
            <w:r/>
          </w:p>
        </w:tc>
        <w:tc>
          <w:tcPr>
            <w:gridSpan w:val="2"/>
            <w:tcW w:w="5711" w:type="dxa"/>
            <w:vAlign w:val="center"/>
            <w:textDirection w:val="lrTb"/>
            <w:noWrap w:val="false"/>
          </w:tcPr>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系统应提供ICD10、ICD-9-CM-3、肿瘤形态学编码、ICD-11和国家医疗保障DRG分组的查询功能。</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gridSpan w:val="2"/>
            <w:tcW w:w="1181" w:type="dxa"/>
            <w:vAlign w:val="center"/>
            <w:vMerge w:val="restart"/>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ATC编码与DDD值</w:t>
            </w:r>
            <w:r>
              <w:rPr>
                <w:rFonts w:hint="eastAsia" w:ascii="仿宋" w:hAnsi="仿宋" w:eastAsia="仿宋" w:cs="仿宋"/>
                <w:bCs/>
                <w:color w:val="000000"/>
                <w:sz w:val="24"/>
                <w:szCs w:val="24"/>
              </w:rPr>
            </w:r>
            <w:r/>
          </w:p>
        </w:tc>
        <w:tc>
          <w:tcPr>
            <w:gridSpan w:val="2"/>
            <w:tcW w:w="5711" w:type="dxa"/>
            <w:vAlign w:val="center"/>
            <w:textDirection w:val="lrTb"/>
            <w:noWrap w:val="false"/>
          </w:tcPr>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系统应提供国内外权威机构发布的药物ATC编码与DDD值，应可查看药物对应的上市药品信息。</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gridSpan w:val="2"/>
            <w:tcW w:w="1181" w:type="dxa"/>
            <w:vAlign w:val="center"/>
            <w:vMerge w:val="restart"/>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检验值</w:t>
            </w:r>
            <w:r>
              <w:rPr>
                <w:rFonts w:hint="eastAsia" w:ascii="仿宋" w:hAnsi="仿宋" w:eastAsia="仿宋" w:cs="仿宋"/>
                <w:bCs/>
                <w:color w:val="000000"/>
                <w:sz w:val="24"/>
                <w:szCs w:val="24"/>
              </w:rPr>
            </w:r>
            <w:r/>
          </w:p>
        </w:tc>
        <w:tc>
          <w:tcPr>
            <w:gridSpan w:val="2"/>
            <w:tcW w:w="5711" w:type="dxa"/>
            <w:vAlign w:val="center"/>
            <w:textDirection w:val="lrTb"/>
            <w:noWrap w:val="false"/>
          </w:tcPr>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系统应提供常用检验项目信息，应包含检验项目正常参考值范围、结果及临床意义、药物对检验结果的影响等内容。可按检验类别查询，也可按检验名称查询检验值信息。</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gridSpan w:val="2"/>
            <w:tcW w:w="1181" w:type="dxa"/>
            <w:vAlign w:val="center"/>
            <w:vMerge w:val="restart"/>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药品基本信息</w:t>
            </w:r>
            <w:r>
              <w:rPr>
                <w:rFonts w:hint="eastAsia" w:ascii="仿宋" w:hAnsi="仿宋" w:eastAsia="仿宋" w:cs="仿宋"/>
                <w:bCs/>
                <w:color w:val="000000"/>
                <w:sz w:val="24"/>
                <w:szCs w:val="24"/>
              </w:rPr>
            </w:r>
            <w:r/>
          </w:p>
        </w:tc>
        <w:tc>
          <w:tcPr>
            <w:gridSpan w:val="2"/>
            <w:tcW w:w="5711" w:type="dxa"/>
            <w:vAlign w:val="center"/>
            <w:textDirection w:val="lrTb"/>
            <w:noWrap w:val="false"/>
          </w:tcPr>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提供国家药品监督管理局（NMPA）批准上市药品的信息，包括药品的通用名、商品名、剂型、规格、批准文号/药品编码、生产厂家，并标注基本药物、社保品种、OTC药物、兴奋药品、精神类药品、麻醉类药品、原研药、仿制药等。</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可查询药品生产企业获批生产的药品信息，并可查看药品说明书。</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可查询国家集采药品数据及替代药品参考监测范围、兴奋剂目录、国家重点监控合理用药药品目录。</w:t>
            </w:r>
            <w:r>
              <w:rPr>
                <w:rFonts w:hint="eastAsia" w:ascii="仿宋" w:hAnsi="仿宋" w:eastAsia="仿宋" w:cs="仿宋"/>
                <w:bCs/>
                <w:color w:val="000000"/>
                <w:sz w:val="24"/>
                <w:szCs w:val="24"/>
                <w:lang w:eastAsia="zh-CN"/>
              </w:rPr>
            </w:r>
            <w:r/>
          </w:p>
        </w:tc>
      </w:tr>
      <w:tr>
        <w:trPr>
          <w:gridAfter w:val="1"/>
          <w:trHeight w:val="90"/>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gridSpan w:val="2"/>
            <w:tcW w:w="1181" w:type="dxa"/>
            <w:vAlign w:val="center"/>
            <w:vMerge w:val="restart"/>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临床路径</w:t>
            </w:r>
            <w:r>
              <w:rPr>
                <w:rFonts w:hint="eastAsia" w:ascii="仿宋" w:hAnsi="仿宋" w:eastAsia="仿宋" w:cs="仿宋"/>
                <w:bCs/>
                <w:color w:val="000000"/>
                <w:sz w:val="24"/>
                <w:szCs w:val="24"/>
              </w:rPr>
            </w:r>
            <w:r/>
          </w:p>
        </w:tc>
        <w:tc>
          <w:tcPr>
            <w:gridSpan w:val="2"/>
            <w:tcW w:w="5711" w:type="dxa"/>
            <w:vAlign w:val="center"/>
            <w:textDirection w:val="lrTb"/>
            <w:noWrap w:val="false"/>
          </w:tcPr>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系统应提供国家卫健委发布的临床路径，应覆盖临床常见疾病品种。可按临床科室分类浏览，也可按疾病关键词检索临床路径。</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gridSpan w:val="2"/>
            <w:tcW w:w="1181" w:type="dxa"/>
            <w:vAlign w:val="center"/>
            <w:vMerge w:val="restart"/>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医药公式</w:t>
            </w:r>
            <w:r>
              <w:rPr>
                <w:rFonts w:hint="eastAsia" w:ascii="仿宋" w:hAnsi="仿宋" w:eastAsia="仿宋" w:cs="仿宋"/>
                <w:bCs/>
                <w:color w:val="000000"/>
                <w:sz w:val="24"/>
                <w:szCs w:val="24"/>
              </w:rPr>
            </w:r>
            <w:r/>
          </w:p>
        </w:tc>
        <w:tc>
          <w:tcPr>
            <w:gridSpan w:val="2"/>
            <w:tcW w:w="5711" w:type="dxa"/>
            <w:vAlign w:val="center"/>
            <w:textDirection w:val="lrTb"/>
            <w:noWrap w:val="false"/>
          </w:tcPr>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系统应提供常用医药公式、评分、分级标准量表等，内容涵盖了内科、外科、妇产科、儿科、神经科等，公式应提供计算功能。可按临床科室分类浏览，也可按公式名称检索。</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gridSpan w:val="2"/>
            <w:tcW w:w="1181" w:type="dxa"/>
            <w:vAlign w:val="center"/>
            <w:vMerge w:val="restart"/>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医药时讯</w:t>
            </w:r>
            <w:r>
              <w:rPr>
                <w:rFonts w:hint="eastAsia" w:ascii="仿宋" w:hAnsi="仿宋" w:eastAsia="仿宋" w:cs="仿宋"/>
                <w:bCs/>
                <w:color w:val="000000"/>
                <w:sz w:val="24"/>
                <w:szCs w:val="24"/>
              </w:rPr>
            </w:r>
            <w:r/>
          </w:p>
        </w:tc>
        <w:tc>
          <w:tcPr>
            <w:gridSpan w:val="2"/>
            <w:tcW w:w="5711" w:type="dxa"/>
            <w:vAlign w:val="center"/>
            <w:textDirection w:val="lrTb"/>
            <w:noWrap w:val="false"/>
          </w:tcPr>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系统应提供国内外政府网站和医药学专业数据库、核心期刊发布的最新药物研究成果、药物警戒信息、新药研发和上市资讯等内容。</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gridSpan w:val="2"/>
            <w:tcW w:w="1181" w:type="dxa"/>
            <w:vAlign w:val="center"/>
            <w:vMerge w:val="restart"/>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医药法规</w:t>
            </w:r>
            <w:r>
              <w:rPr>
                <w:rFonts w:hint="eastAsia" w:ascii="仿宋" w:hAnsi="仿宋" w:eastAsia="仿宋" w:cs="仿宋"/>
                <w:bCs/>
                <w:color w:val="000000"/>
                <w:sz w:val="24"/>
                <w:szCs w:val="24"/>
              </w:rPr>
            </w:r>
            <w:r/>
          </w:p>
        </w:tc>
        <w:tc>
          <w:tcPr>
            <w:gridSpan w:val="2"/>
            <w:tcW w:w="5711" w:type="dxa"/>
            <w:vAlign w:val="center"/>
            <w:textDirection w:val="lrTb"/>
            <w:noWrap w:val="false"/>
          </w:tcPr>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收录国家药品监督管理局、国家卫生健康委员会等权威机构发布的关于药品管理、传染病防治、医疗事故管理、医疗机构管理等方面的法律法规文件。应支持关键词检索，可通过发布部门、效力级别分类浏览。</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gridSpan w:val="2"/>
            <w:tcW w:w="1181" w:type="dxa"/>
            <w:vAlign w:val="center"/>
            <w:vMerge w:val="restart"/>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国家基本药物</w:t>
            </w:r>
            <w:r>
              <w:rPr>
                <w:rFonts w:hint="eastAsia" w:ascii="仿宋" w:hAnsi="仿宋" w:eastAsia="仿宋" w:cs="仿宋"/>
                <w:bCs/>
                <w:color w:val="000000"/>
                <w:sz w:val="24"/>
                <w:szCs w:val="24"/>
              </w:rPr>
            </w:r>
            <w:r/>
          </w:p>
        </w:tc>
        <w:tc>
          <w:tcPr>
            <w:gridSpan w:val="2"/>
            <w:tcW w:w="5711" w:type="dxa"/>
            <w:vAlign w:val="center"/>
            <w:textDirection w:val="lrTb"/>
            <w:noWrap w:val="false"/>
          </w:tcPr>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系统应提供最新版《国家基本药物目录》中的信息，包括目录中的化学药品、生物制品以及中成药品种。应可查看国家基本药物目录对应的上市药品品种的信息（包括生产厂家、批准文号等）。</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gridSpan w:val="2"/>
            <w:tcW w:w="1181" w:type="dxa"/>
            <w:vAlign w:val="center"/>
            <w:vMerge w:val="restart"/>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FDA妊娠用药安全性分级</w:t>
            </w:r>
            <w:r>
              <w:rPr>
                <w:rFonts w:hint="eastAsia" w:ascii="仿宋" w:hAnsi="仿宋" w:eastAsia="仿宋" w:cs="仿宋"/>
                <w:bCs/>
                <w:color w:val="000000"/>
                <w:sz w:val="24"/>
                <w:szCs w:val="24"/>
              </w:rPr>
            </w:r>
            <w:r/>
          </w:p>
        </w:tc>
        <w:tc>
          <w:tcPr>
            <w:gridSpan w:val="2"/>
            <w:tcW w:w="5711" w:type="dxa"/>
            <w:vAlign w:val="center"/>
            <w:textDirection w:val="lrTb"/>
            <w:noWrap w:val="false"/>
          </w:tcPr>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系统应提供美国食品药品监督管理局（FDA）根据药物对动物和妊娠期妇女致畸危险而作的妊娠期用药安全性分级，可通过药理分类或药名检索的方式实现，查询范围为临床各科室常用药物。</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gridSpan w:val="2"/>
            <w:tcW w:w="1181" w:type="dxa"/>
            <w:vAlign w:val="center"/>
            <w:vMerge w:val="restart"/>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▲中医药</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rPr>
            </w:r>
            <w:r/>
          </w:p>
        </w:tc>
        <w:tc>
          <w:tcPr>
            <w:gridSpan w:val="2"/>
            <w:tcW w:w="5711" w:type="dxa"/>
            <w:vAlign w:val="center"/>
            <w:textDirection w:val="lrTb"/>
            <w:noWrap w:val="false"/>
          </w:tcPr>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系统应提供中药材、中医方剂、中医诊疗方案、中医临床路径、中医标准术语、中医病证分类与代码等中医药信息内容。</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中药材：应包含权威专著中的品种信息，内容应侧重于中药材的基本属性和临床应用指导，应可便捷的查看毒性药材和妊娠期禁慎用药材。</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中医方剂：应包括临床常用方、中医经典方等方剂，应可查看方剂相关的附方及中成药信息。</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中医诊疗方案：应收录国家中医药管理局发布的诊疗方案。</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中医临床路径：应收录国家中医药管理局发布的临床路径。</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中医标准术语：应收录国家中医药管理局发布的各种临床标准术语。</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中医病症分类与代码：应收录国家中医药管理局发布中医病证分类与代码。</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r>
            <w:r/>
          </w:p>
        </w:tc>
        <w:tc>
          <w:tcPr>
            <w:gridSpan w:val="2"/>
            <w:tcW w:w="1181" w:type="dxa"/>
            <w:vAlign w:val="center"/>
            <w:vMerge w:val="restart"/>
            <w:textDirection w:val="lrTb"/>
            <w:noWrap w:val="false"/>
          </w:tcPr>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EMA药品说明书</w:t>
            </w:r>
            <w:r>
              <w:rPr>
                <w:rFonts w:hint="eastAsia" w:ascii="仿宋" w:hAnsi="仿宋" w:eastAsia="仿宋" w:cs="仿宋"/>
                <w:bCs/>
                <w:color w:val="000000"/>
                <w:sz w:val="24"/>
                <w:szCs w:val="24"/>
                <w:lang w:eastAsia="zh-CN"/>
              </w:rPr>
            </w:r>
            <w:r/>
          </w:p>
        </w:tc>
        <w:tc>
          <w:tcPr>
            <w:gridSpan w:val="2"/>
            <w:tcW w:w="5711" w:type="dxa"/>
            <w:vAlign w:val="center"/>
            <w:textDirection w:val="lrTb"/>
            <w:noWrap w:val="false"/>
          </w:tcPr>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系统应提供欧洲药品管理局（EMA）发布的英文原文药品说明书，英文说明书应提供中文翻译，并可便捷的查看对应的中文药品说明书。</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r>
            <w:r/>
          </w:p>
        </w:tc>
        <w:tc>
          <w:tcPr>
            <w:gridSpan w:val="2"/>
            <w:tcW w:w="1181" w:type="dxa"/>
            <w:vAlign w:val="center"/>
            <w:vMerge w:val="restart"/>
            <w:textDirection w:val="lrTb"/>
            <w:noWrap w:val="false"/>
          </w:tcPr>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FDA药品说明书</w:t>
            </w:r>
            <w:r>
              <w:rPr>
                <w:rFonts w:hint="eastAsia" w:ascii="仿宋" w:hAnsi="仿宋" w:eastAsia="仿宋" w:cs="仿宋"/>
                <w:bCs/>
                <w:color w:val="000000"/>
                <w:sz w:val="24"/>
                <w:szCs w:val="24"/>
                <w:lang w:eastAsia="zh-CN"/>
              </w:rPr>
            </w:r>
            <w:r/>
          </w:p>
        </w:tc>
        <w:tc>
          <w:tcPr>
            <w:gridSpan w:val="2"/>
            <w:tcW w:w="5711" w:type="dxa"/>
            <w:vAlign w:val="center"/>
            <w:textDirection w:val="lrTb"/>
            <w:noWrap w:val="false"/>
          </w:tcPr>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 系统应提供美国食品药品监督管理局(FDA)发布的英文原文药品说明书，英文说明书应提供中文翻译，并可便捷的查看对应的中文药品说明书。</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r>
            <w:r/>
          </w:p>
        </w:tc>
        <w:tc>
          <w:tcPr>
            <w:gridSpan w:val="2"/>
            <w:tcW w:w="1181" w:type="dxa"/>
            <w:vAlign w:val="center"/>
            <w:vMerge w:val="restart"/>
            <w:textDirection w:val="lrTb"/>
            <w:noWrap w:val="false"/>
          </w:tcPr>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超说明用药</w:t>
            </w:r>
            <w:r>
              <w:rPr>
                <w:rFonts w:hint="eastAsia" w:ascii="仿宋" w:hAnsi="仿宋" w:eastAsia="仿宋" w:cs="仿宋"/>
                <w:bCs/>
                <w:color w:val="000000"/>
                <w:sz w:val="24"/>
                <w:szCs w:val="24"/>
                <w:lang w:eastAsia="zh-CN"/>
              </w:rPr>
            </w:r>
            <w:r/>
          </w:p>
        </w:tc>
        <w:tc>
          <w:tcPr>
            <w:gridSpan w:val="2"/>
            <w:tcW w:w="5711" w:type="dxa"/>
            <w:vAlign w:val="center"/>
            <w:textDirection w:val="lrTb"/>
            <w:noWrap w:val="false"/>
          </w:tcPr>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系统应提供权威的超说明书用药信息，内容应包括用药类型、适应症、用法用量、循证医学证据等。</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r>
            <w:r/>
          </w:p>
        </w:tc>
        <w:tc>
          <w:tcPr>
            <w:gridSpan w:val="2"/>
            <w:tcW w:w="1181" w:type="dxa"/>
            <w:vAlign w:val="center"/>
            <w:vMerge w:val="restart"/>
            <w:textDirection w:val="lrTb"/>
            <w:noWrap w:val="false"/>
          </w:tcPr>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儿童用药</w:t>
            </w:r>
            <w:r>
              <w:rPr>
                <w:rFonts w:hint="eastAsia" w:ascii="仿宋" w:hAnsi="仿宋" w:eastAsia="仿宋" w:cs="仿宋"/>
                <w:bCs/>
                <w:color w:val="000000"/>
                <w:sz w:val="24"/>
                <w:szCs w:val="24"/>
                <w:lang w:eastAsia="zh-CN"/>
              </w:rPr>
            </w:r>
            <w:r/>
          </w:p>
        </w:tc>
        <w:tc>
          <w:tcPr>
            <w:gridSpan w:val="2"/>
            <w:tcW w:w="5711" w:type="dxa"/>
            <w:vAlign w:val="center"/>
            <w:textDirection w:val="lrTb"/>
            <w:noWrap w:val="false"/>
          </w:tcPr>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系统应提供婴幼儿或儿童的用药相关信息，内容应包括儿童用药的注意事项、用法用量、药代动力学等。并提供婴幼儿或儿童用药剂量计算功能。</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r>
            <w:r/>
          </w:p>
        </w:tc>
        <w:tc>
          <w:tcPr>
            <w:gridSpan w:val="2"/>
            <w:tcW w:w="1181" w:type="dxa"/>
            <w:vAlign w:val="center"/>
            <w:vMerge w:val="restart"/>
            <w:textDirection w:val="lrTb"/>
            <w:noWrap w:val="false"/>
          </w:tcPr>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药物相互作用审查</w:t>
            </w:r>
            <w:r>
              <w:rPr>
                <w:rFonts w:hint="eastAsia" w:ascii="仿宋" w:hAnsi="仿宋" w:eastAsia="仿宋" w:cs="仿宋"/>
                <w:bCs/>
                <w:color w:val="000000"/>
                <w:sz w:val="24"/>
                <w:szCs w:val="24"/>
                <w:lang w:eastAsia="zh-CN"/>
              </w:rPr>
            </w:r>
            <w:r/>
          </w:p>
        </w:tc>
        <w:tc>
          <w:tcPr>
            <w:gridSpan w:val="2"/>
            <w:tcW w:w="5711" w:type="dxa"/>
            <w:vAlign w:val="center"/>
            <w:textDirection w:val="lrTb"/>
            <w:noWrap w:val="false"/>
          </w:tcPr>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系统应提供药物-药物、药物-食物、药物-咖啡因、药物-酒精、药物-保健品、保健品-保健品之间的相互作用信息，应提供西药和西药、中药和中药、中药和西药的相互作用信息。</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内容应包括药物相互作用的结果、机制、临床处理、严重级别、案例评价及讨论等内容。</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应可实现单药相互作用分析及多药相互作用审查。</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参考文献应包含国内外的期刊文献、数据库等。</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r>
            <w:r/>
          </w:p>
        </w:tc>
        <w:tc>
          <w:tcPr>
            <w:gridSpan w:val="2"/>
            <w:tcW w:w="1181" w:type="dxa"/>
            <w:vAlign w:val="center"/>
            <w:vMerge w:val="restart"/>
            <w:textDirection w:val="lrTb"/>
            <w:noWrap w:val="false"/>
          </w:tcPr>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注射剂配伍审查</w:t>
            </w:r>
            <w:r>
              <w:rPr>
                <w:rFonts w:hint="eastAsia" w:ascii="仿宋" w:hAnsi="仿宋" w:eastAsia="仿宋" w:cs="仿宋"/>
                <w:bCs/>
                <w:color w:val="000000"/>
                <w:sz w:val="24"/>
                <w:szCs w:val="24"/>
                <w:lang w:eastAsia="zh-CN"/>
              </w:rPr>
            </w:r>
            <w:r/>
          </w:p>
        </w:tc>
        <w:tc>
          <w:tcPr>
            <w:gridSpan w:val="2"/>
            <w:tcW w:w="5711" w:type="dxa"/>
            <w:vAlign w:val="center"/>
            <w:textDirection w:val="lrTb"/>
            <w:noWrap w:val="false"/>
          </w:tcPr>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系统应提供注射药物配伍的信息，内容包括了注射药物配伍的物理化学变化及药效学变化、支持配伍结论的实验数据等。应可实现单药注射剂配伍分析及多药注射配伍进行审查。</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r>
            <w:r/>
          </w:p>
        </w:tc>
        <w:tc>
          <w:tcPr>
            <w:gridSpan w:val="2"/>
            <w:tcW w:w="1181" w:type="dxa"/>
            <w:vAlign w:val="center"/>
            <w:textDirection w:val="lrTb"/>
            <w:noWrap w:val="false"/>
          </w:tcPr>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其他功能</w:t>
            </w:r>
            <w:r>
              <w:rPr>
                <w:rFonts w:hint="eastAsia" w:ascii="仿宋" w:hAnsi="仿宋" w:eastAsia="仿宋" w:cs="仿宋"/>
                <w:bCs/>
                <w:color w:val="000000"/>
                <w:sz w:val="24"/>
                <w:szCs w:val="24"/>
                <w:lang w:eastAsia="zh-CN"/>
              </w:rPr>
            </w:r>
            <w:r/>
          </w:p>
        </w:tc>
        <w:tc>
          <w:tcPr>
            <w:gridSpan w:val="2"/>
            <w:tcW w:w="5711" w:type="dxa"/>
            <w:vAlign w:val="center"/>
            <w:textDirection w:val="lrTb"/>
            <w:noWrap w:val="false"/>
          </w:tcPr>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系统应支持分类浏览、关键词检索，可通过适应症、禁忌症、不良反应、全文检索等方式检索，支持名称及拼音简码检索，支持单数据库检索及多数据库检索。</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系统应支持对药物信息进行比较。</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系统应支持数据库之间相互关联和快速跳转。</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支持手机APP在线访问。</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定期更新，更新频率应不少于10次/年。</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restart"/>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ind w:left="420"/>
              <w:jc w:val="both"/>
              <w:pageBreakBefore w:val="0"/>
              <w:spacing w:line="240" w:lineRule="auto"/>
              <w:rPr>
                <w:rFonts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5</w:t>
            </w:r>
            <w:r>
              <w:rPr>
                <w:rFonts w:ascii="仿宋" w:hAnsi="仿宋" w:eastAsia="仿宋" w:cs="仿宋"/>
                <w:bCs/>
                <w:color w:val="000000"/>
                <w:sz w:val="24"/>
                <w:szCs w:val="24"/>
                <w:lang w:val="en-US" w:eastAsia="zh-CN"/>
              </w:rPr>
            </w:r>
            <w:r/>
          </w:p>
        </w:tc>
        <w:tc>
          <w:tcPr>
            <w:gridSpan w:val="2"/>
            <w:tcW w:w="1266" w:type="dxa"/>
            <w:vAlign w:val="center"/>
            <w:vMerge w:val="restart"/>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rPr>
              <w:t xml:space="preserve">处方集</w:t>
            </w:r>
            <w:r>
              <w:rPr>
                <w:rFonts w:hint="eastAsia" w:ascii="仿宋" w:hAnsi="仿宋" w:eastAsia="仿宋" w:cs="仿宋"/>
                <w:bCs/>
                <w:color w:val="000000"/>
                <w:sz w:val="24"/>
                <w:szCs w:val="24"/>
                <w:lang w:eastAsia="zh-CN"/>
              </w:rPr>
            </w:r>
            <w:r/>
          </w:p>
        </w:tc>
        <w:tc>
          <w:tcPr>
            <w:gridSpan w:val="2"/>
            <w:tcW w:w="1181" w:type="dxa"/>
            <w:vAlign w:val="top"/>
            <w:vMerge w:val="restart"/>
            <w:textDirection w:val="lrTb"/>
            <w:noWrap w:val="false"/>
          </w:tcPr>
          <w:p>
            <w:pPr>
              <w:pStyle w:val="1011"/>
              <w:jc w:val="left"/>
              <w:keepLines/>
              <w:keepNext/>
              <w:pageBreakBefore w:val="0"/>
              <w:spacing w:line="240" w:lineRule="auto"/>
              <w:rPr>
                <w:rFonts w:hint="eastAsia" w:ascii="仿宋" w:hAnsi="仿宋" w:eastAsia="仿宋" w:cs="仿宋"/>
                <w:bCs/>
                <w:color w:val="000000"/>
                <w:sz w:val="24"/>
                <w:szCs w:val="24"/>
                <w:lang w:eastAsia="zh-CN"/>
              </w:rPr>
              <w:outlineLvl w:val="2"/>
            </w:pPr>
            <w:r>
              <w:rPr>
                <w:rFonts w:hint="eastAsia" w:ascii="仿宋" w:hAnsi="仿宋" w:eastAsia="仿宋" w:cs="仿宋"/>
                <w:bCs/>
                <w:color w:val="000000"/>
                <w:sz w:val="24"/>
                <w:szCs w:val="24"/>
              </w:rPr>
              <w:t xml:space="preserve">医院处方集制作功能</w:t>
            </w:r>
            <w:r>
              <w:rPr>
                <w:rFonts w:hint="eastAsia" w:ascii="仿宋" w:hAnsi="仿宋" w:eastAsia="仿宋" w:cs="仿宋"/>
                <w:bCs/>
                <w:color w:val="000000"/>
                <w:sz w:val="24"/>
                <w:szCs w:val="24"/>
                <w:lang w:eastAsia="zh-CN"/>
              </w:rPr>
            </w:r>
            <w:r/>
          </w:p>
        </w:tc>
        <w:tc>
          <w:tcPr>
            <w:gridSpan w:val="2"/>
            <w:tcW w:w="5711" w:type="dxa"/>
            <w:vAlign w:val="top"/>
            <w:textDirection w:val="lrTb"/>
            <w:noWrap w:val="false"/>
          </w:tcPr>
          <w:p>
            <w:pPr>
              <w:pStyle w:val="1159"/>
              <w:ind w:left="0" w:firstLine="42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系统应提供总论、药品信息、治疗指南及附录四部分。应可根据医院的在院品种，制作医院的个性化的电子处方集。</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r>
            <w:r/>
          </w:p>
        </w:tc>
        <w:tc>
          <w:tcPr>
            <w:gridSpan w:val="2"/>
            <w:tcW w:w="1181" w:type="dxa"/>
            <w:vAlign w:val="top"/>
            <w:vMerge w:val="restart"/>
            <w:textDirection w:val="lrTb"/>
            <w:noWrap w:val="false"/>
          </w:tcPr>
          <w:p>
            <w:pPr>
              <w:pStyle w:val="1011"/>
              <w:jc w:val="left"/>
              <w:keepLines/>
              <w:keepNext/>
              <w:pageBreakBefore w:val="0"/>
              <w:spacing w:line="240" w:lineRule="auto"/>
              <w:rPr>
                <w:rFonts w:hint="eastAsia" w:ascii="仿宋" w:hAnsi="仿宋" w:eastAsia="仿宋" w:cs="仿宋"/>
                <w:bCs/>
                <w:color w:val="000000"/>
                <w:sz w:val="24"/>
                <w:szCs w:val="24"/>
                <w:lang w:eastAsia="zh-CN"/>
              </w:rPr>
              <w:outlineLvl w:val="2"/>
            </w:pPr>
            <w:r>
              <w:rPr>
                <w:rFonts w:hint="eastAsia" w:ascii="仿宋" w:hAnsi="仿宋" w:eastAsia="仿宋" w:cs="仿宋"/>
                <w:bCs/>
                <w:color w:val="000000"/>
                <w:sz w:val="24"/>
                <w:szCs w:val="24"/>
              </w:rPr>
              <w:t xml:space="preserve">医院处方集维护功能</w:t>
            </w:r>
            <w:r>
              <w:rPr>
                <w:rFonts w:hint="eastAsia" w:ascii="仿宋" w:hAnsi="仿宋" w:eastAsia="仿宋" w:cs="仿宋"/>
                <w:bCs/>
                <w:color w:val="000000"/>
                <w:sz w:val="24"/>
                <w:szCs w:val="24"/>
                <w:lang w:eastAsia="zh-CN"/>
              </w:rPr>
            </w:r>
            <w:r/>
          </w:p>
        </w:tc>
        <w:tc>
          <w:tcPr>
            <w:gridSpan w:val="2"/>
            <w:tcW w:w="5711" w:type="dxa"/>
            <w:vAlign w:val="top"/>
            <w:textDirection w:val="lrTb"/>
            <w:noWrap w:val="false"/>
          </w:tcPr>
          <w:p>
            <w:pPr>
              <w:pStyle w:val="1159"/>
              <w:ind w:left="0" w:firstLine="42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系统应可根据政策法规、在院药品品种的变化随时对处方集各部分内容进行修订，从而及时反映医院药事管理的实际要求和特点，以适应临床对在院药品信息查询的需求。</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r>
            <w:r/>
          </w:p>
        </w:tc>
        <w:tc>
          <w:tcPr>
            <w:gridSpan w:val="2"/>
            <w:tcW w:w="1181" w:type="dxa"/>
            <w:vAlign w:val="top"/>
            <w:vMerge w:val="restart"/>
            <w:textDirection w:val="lrTb"/>
            <w:noWrap w:val="false"/>
          </w:tcPr>
          <w:p>
            <w:pPr>
              <w:pStyle w:val="1011"/>
              <w:jc w:val="left"/>
              <w:keepLines/>
              <w:keepNext/>
              <w:pageBreakBefore w:val="0"/>
              <w:spacing w:line="240" w:lineRule="auto"/>
              <w:rPr>
                <w:rFonts w:hint="eastAsia" w:ascii="仿宋" w:hAnsi="仿宋" w:eastAsia="仿宋" w:cs="仿宋"/>
                <w:bCs/>
                <w:color w:val="000000"/>
                <w:sz w:val="24"/>
                <w:szCs w:val="24"/>
                <w:lang w:eastAsia="zh-CN"/>
              </w:rPr>
              <w:outlineLvl w:val="2"/>
            </w:pPr>
            <w:r>
              <w:rPr>
                <w:rFonts w:hint="eastAsia" w:ascii="仿宋" w:hAnsi="仿宋" w:eastAsia="仿宋" w:cs="仿宋"/>
                <w:bCs/>
                <w:color w:val="000000"/>
                <w:sz w:val="24"/>
                <w:szCs w:val="24"/>
              </w:rPr>
              <w:t xml:space="preserve">▲医院处方集查看及导出功能</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lang w:eastAsia="zh-CN"/>
              </w:rPr>
            </w:r>
            <w:r/>
          </w:p>
        </w:tc>
        <w:tc>
          <w:tcPr>
            <w:gridSpan w:val="2"/>
            <w:tcW w:w="5711" w:type="dxa"/>
            <w:vAlign w:val="top"/>
            <w:textDirection w:val="lrTb"/>
            <w:noWrap w:val="false"/>
          </w:tcPr>
          <w:p>
            <w:pPr>
              <w:pStyle w:val="1159"/>
              <w:ind w:left="0" w:firstLine="42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支持院内各科室通过局域网在线查看医院处方集的全部内容。各部分可通过分类进行浏览，也可通过关键字检索快速查找到相关信息。通过导出功能，系统可将电子版处方集以文本格式输出并保存为Word格式，方便医院开展印刷版处方集的制作工作。</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r>
            <w:r/>
          </w:p>
        </w:tc>
        <w:tc>
          <w:tcPr>
            <w:gridSpan w:val="2"/>
            <w:tcW w:w="1181" w:type="dxa"/>
            <w:vAlign w:val="top"/>
            <w:textDirection w:val="lrTb"/>
            <w:noWrap w:val="false"/>
          </w:tcPr>
          <w:p>
            <w:pPr>
              <w:pStyle w:val="1011"/>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rPr>
              <w:t xml:space="preserve">统计分析</w:t>
            </w:r>
            <w:r>
              <w:rPr>
                <w:rFonts w:hint="eastAsia" w:ascii="仿宋" w:hAnsi="仿宋" w:eastAsia="仿宋" w:cs="仿宋"/>
                <w:bCs/>
                <w:color w:val="000000"/>
                <w:sz w:val="24"/>
                <w:szCs w:val="24"/>
                <w:lang w:eastAsia="zh-CN"/>
              </w:rPr>
            </w:r>
            <w:r/>
          </w:p>
        </w:tc>
        <w:tc>
          <w:tcPr>
            <w:gridSpan w:val="2"/>
            <w:tcW w:w="5711" w:type="dxa"/>
            <w:vAlign w:val="top"/>
            <w:textDirection w:val="lrTb"/>
            <w:noWrap w:val="false"/>
          </w:tcPr>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系统应能根据药师工作内容生成以下报表：</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居家服务</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（1）推荐清单处理量</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（2）提醒消息发送量</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（3）不良反应统计</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（4）药箱整理统计</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（5）居家管理人次</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（6）居家监护统计</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（7）随访问卷结果统计</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（8）评估工具结果统计</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（9）智能用药指导发送量</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（10）智能用药指导阅读量</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用药咨询</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（1）个人工作量统计</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（2）问题类型统计</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（3）药理类别统计</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用药指导</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（1）指导原因统计</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（2）药品统计</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（3）药理类别统计</w:t>
            </w:r>
            <w:r>
              <w:rPr>
                <w:rFonts w:hint="eastAsia" w:ascii="仿宋" w:hAnsi="仿宋" w:eastAsia="仿宋" w:cs="仿宋"/>
                <w:bCs/>
                <w:color w:val="000000"/>
                <w:sz w:val="24"/>
                <w:szCs w:val="24"/>
                <w:lang w:eastAsia="zh-CN"/>
              </w:rPr>
            </w:r>
            <w:r/>
          </w:p>
          <w:p>
            <w:pPr>
              <w:pStyle w:val="1159"/>
              <w:ind w:left="0" w:firstLine="42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（4）指导效果统计</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restart"/>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ind w:left="420"/>
              <w:jc w:val="both"/>
              <w:pageBreakBefore w:val="0"/>
              <w:spacing w:line="240" w:lineRule="auto"/>
              <w:rPr>
                <w:rFonts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6</w:t>
            </w:r>
            <w:r>
              <w:rPr>
                <w:rFonts w:ascii="仿宋" w:hAnsi="仿宋" w:eastAsia="仿宋" w:cs="仿宋"/>
                <w:bCs/>
                <w:color w:val="000000"/>
                <w:sz w:val="24"/>
                <w:szCs w:val="24"/>
                <w:lang w:val="en-US" w:eastAsia="zh-CN"/>
              </w:rPr>
            </w:r>
            <w:r/>
          </w:p>
        </w:tc>
        <w:tc>
          <w:tcPr>
            <w:gridSpan w:val="2"/>
            <w:tcW w:w="1266" w:type="dxa"/>
            <w:vAlign w:val="center"/>
            <w:vMerge w:val="restart"/>
            <w:textDirection w:val="lrTb"/>
            <w:noWrap w:val="false"/>
          </w:tcPr>
          <w:p>
            <w:pPr>
              <w:pStyle w:val="1011"/>
              <w:jc w:val="center"/>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jc w:val="center"/>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jc w:val="center"/>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jc w:val="center"/>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p>
            <w:pPr>
              <w:pStyle w:val="1011"/>
              <w:jc w:val="center"/>
              <w:pageBreakBefore w:val="0"/>
              <w:spacing w:line="240" w:lineRule="auto"/>
              <w:rPr>
                <w:rFonts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互联网审方</w:t>
            </w:r>
            <w:r>
              <w:rPr>
                <w:rFonts w:ascii="仿宋" w:hAnsi="仿宋" w:eastAsia="仿宋" w:cs="仿宋"/>
                <w:bCs/>
                <w:color w:val="000000"/>
                <w:sz w:val="24"/>
                <w:szCs w:val="24"/>
                <w:lang w:val="en-US" w:eastAsia="zh-CN"/>
              </w:rPr>
            </w:r>
            <w:r/>
          </w:p>
        </w:tc>
        <w:tc>
          <w:tcPr>
            <w:gridSpan w:val="2"/>
            <w:tcW w:w="1181" w:type="dxa"/>
            <w:vAlign w:val="center"/>
            <w:vMerge w:val="restart"/>
            <w:textDirection w:val="lrTb"/>
            <w:noWrap w:val="false"/>
          </w:tcPr>
          <w:p>
            <w:pPr>
              <w:pStyle w:val="1011"/>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color w:val="000000"/>
                <w:sz w:val="24"/>
                <w:szCs w:val="24"/>
              </w:rPr>
              <w:t xml:space="preserve">互联网处方用药审查功能</w:t>
            </w:r>
            <w:r>
              <w:rPr>
                <w:rFonts w:hint="eastAsia" w:ascii="仿宋" w:hAnsi="仿宋" w:eastAsia="仿宋" w:cs="仿宋"/>
                <w:bCs/>
                <w:color w:val="000000"/>
                <w:sz w:val="24"/>
                <w:szCs w:val="24"/>
                <w:lang w:eastAsia="zh-CN"/>
              </w:rPr>
            </w:r>
            <w:r/>
          </w:p>
        </w:tc>
        <w:tc>
          <w:tcPr>
            <w:gridSpan w:val="2"/>
            <w:tcW w:w="5711" w:type="dxa"/>
            <w:vAlign w:val="center"/>
            <w:textDirection w:val="lrTb"/>
            <w:noWrap w:val="false"/>
          </w:tcPr>
          <w:p>
            <w:pPr>
              <w:pStyle w:val="1159"/>
              <w:ind w:left="0" w:firstLine="42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应能对互联网处方进行用法用量、超多日用量、药物相互作用、禁忌症、不良反应、特殊人群用药、性别用药、重复用药、适应症、药物过敏、处方规范性、医保用药、越权用药等合理用药相关审查，并提示医生。</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r>
            <w:r/>
          </w:p>
        </w:tc>
        <w:tc>
          <w:tcPr>
            <w:gridSpan w:val="2"/>
            <w:tcW w:w="1181" w:type="dxa"/>
            <w:vAlign w:val="center"/>
            <w:vMerge w:val="restart"/>
            <w:textDirection w:val="lrTb"/>
            <w:noWrap w:val="false"/>
          </w:tcPr>
          <w:p>
            <w:pPr>
              <w:pStyle w:val="1011"/>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w:t>
            </w:r>
            <w:r>
              <w:rPr>
                <w:rFonts w:hint="eastAsia" w:ascii="仿宋" w:hAnsi="仿宋" w:eastAsia="仿宋" w:cs="仿宋"/>
                <w:color w:val="000000"/>
                <w:sz w:val="24"/>
                <w:szCs w:val="24"/>
              </w:rPr>
              <w:t xml:space="preserve">审查提示屏蔽功能</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lang w:eastAsia="zh-CN"/>
              </w:rPr>
            </w:r>
            <w:r/>
          </w:p>
        </w:tc>
        <w:tc>
          <w:tcPr>
            <w:gridSpan w:val="2"/>
            <w:tcW w:w="5711" w:type="dxa"/>
            <w:vAlign w:val="center"/>
            <w:textDirection w:val="lrTb"/>
            <w:noWrap w:val="false"/>
          </w:tcPr>
          <w:p>
            <w:pPr>
              <w:pStyle w:val="1159"/>
              <w:ind w:left="0" w:firstLine="42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应能对剂量、给药途径、药物相互作用、禁忌症、不良反应、特殊人群用药、性别用药、药物过敏、重复用药、适应症审查项目进行审查提示屏蔽，屏蔽后不再对相同问题进行提示。</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r>
            <w:r/>
          </w:p>
        </w:tc>
        <w:tc>
          <w:tcPr>
            <w:gridSpan w:val="2"/>
            <w:tcW w:w="1181" w:type="dxa"/>
            <w:vAlign w:val="center"/>
            <w:vMerge w:val="restart"/>
            <w:textDirection w:val="lrTb"/>
            <w:noWrap w:val="false"/>
          </w:tcPr>
          <w:p>
            <w:pPr>
              <w:pStyle w:val="1011"/>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color w:val="000000"/>
                <w:sz w:val="24"/>
                <w:szCs w:val="24"/>
              </w:rPr>
              <w:t xml:space="preserve">审查规则自定义功能</w:t>
            </w:r>
            <w:r>
              <w:rPr>
                <w:rFonts w:hint="eastAsia" w:ascii="仿宋" w:hAnsi="仿宋" w:eastAsia="仿宋" w:cs="仿宋"/>
                <w:bCs/>
                <w:color w:val="000000"/>
                <w:sz w:val="24"/>
                <w:szCs w:val="24"/>
                <w:lang w:eastAsia="zh-CN"/>
              </w:rPr>
            </w:r>
            <w:r/>
          </w:p>
        </w:tc>
        <w:tc>
          <w:tcPr>
            <w:gridSpan w:val="2"/>
            <w:tcW w:w="5711" w:type="dxa"/>
            <w:vAlign w:val="center"/>
            <w:textDirection w:val="lrTb"/>
            <w:noWrap w:val="false"/>
          </w:tcPr>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应能在系统自带知识库的基础上，提供审查项目的审查规则自定义功能，以满足临床实际需要。</w:t>
            </w:r>
            <w:r>
              <w:rPr>
                <w:rFonts w:hint="eastAsia" w:ascii="仿宋" w:hAnsi="仿宋" w:eastAsia="仿宋" w:cs="仿宋"/>
                <w:bCs/>
                <w:color w:val="000000"/>
                <w:sz w:val="24"/>
                <w:szCs w:val="24"/>
                <w:lang w:eastAsia="zh-CN"/>
              </w:rPr>
            </w:r>
            <w:r/>
          </w:p>
          <w:p>
            <w:pPr>
              <w:pStyle w:val="1159"/>
              <w:ind w:left="0" w:firstLine="42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▲用户可自定义药品警示、拦截规则，被拦截的问题处方必须返回修改，否则不可进行下一步操作。</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r>
            <w:r/>
          </w:p>
        </w:tc>
        <w:tc>
          <w:tcPr>
            <w:gridSpan w:val="2"/>
            <w:tcW w:w="1181" w:type="dxa"/>
            <w:vAlign w:val="center"/>
            <w:vMerge w:val="restart"/>
            <w:textDirection w:val="lrTb"/>
            <w:noWrap w:val="false"/>
          </w:tcPr>
          <w:p>
            <w:pPr>
              <w:pStyle w:val="1015"/>
              <w:numPr>
                <w:ilvl w:val="3"/>
                <w:numId w:val="0"/>
              </w:numPr>
              <w:ind w:left="0" w:firstLine="0"/>
              <w:pageBreakBefore w:val="0"/>
              <w:spacing w:line="240" w:lineRule="auto"/>
              <w:rPr>
                <w:rFonts w:hint="eastAsia" w:ascii="仿宋" w:hAnsi="仿宋" w:eastAsia="仿宋" w:cs="仿宋"/>
                <w:b/>
                <w:bCs/>
                <w:color w:val="000000"/>
                <w:sz w:val="24"/>
                <w:szCs w:val="24"/>
                <w:lang w:eastAsia="zh-CN"/>
              </w:rPr>
            </w:pPr>
            <w:r>
              <w:rPr>
                <w:rFonts w:hint="eastAsia" w:ascii="仿宋" w:hAnsi="仿宋" w:eastAsia="仿宋" w:cs="仿宋"/>
                <w:b w:val="0"/>
                <w:color w:val="000000"/>
                <w:sz w:val="24"/>
                <w:szCs w:val="24"/>
              </w:rPr>
              <w:t xml:space="preserve">统计分析功能</w:t>
            </w:r>
            <w:r>
              <w:rPr>
                <w:rFonts w:hint="eastAsia" w:ascii="仿宋" w:hAnsi="仿宋" w:eastAsia="仿宋" w:cs="仿宋"/>
                <w:b/>
                <w:bCs/>
                <w:color w:val="000000"/>
                <w:sz w:val="24"/>
                <w:szCs w:val="24"/>
                <w:lang w:eastAsia="zh-CN"/>
              </w:rPr>
            </w:r>
            <w:r/>
          </w:p>
        </w:tc>
        <w:tc>
          <w:tcPr>
            <w:gridSpan w:val="2"/>
            <w:tcW w:w="5711" w:type="dxa"/>
            <w:vAlign w:val="center"/>
            <w:textDirection w:val="lrTb"/>
            <w:noWrap w:val="false"/>
          </w:tcPr>
          <w:p>
            <w:pPr>
              <w:pStyle w:val="1159"/>
              <w:ind w:left="0" w:firstLine="42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可以按照科室、医生、药品对不同严重程度、不同类型的问题处方及审查结果进行统计，为医院分析总结提供依据。</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r>
            <w:r/>
          </w:p>
        </w:tc>
        <w:tc>
          <w:tcPr>
            <w:gridSpan w:val="2"/>
            <w:tcW w:w="1181" w:type="dxa"/>
            <w:vAlign w:val="center"/>
            <w:vMerge w:val="restart"/>
            <w:textDirection w:val="lrTb"/>
            <w:noWrap w:val="false"/>
          </w:tcPr>
          <w:p>
            <w:pPr>
              <w:pStyle w:val="1011"/>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rPr>
              <w:t xml:space="preserve">药师审方功能</w:t>
            </w:r>
            <w:r>
              <w:rPr>
                <w:rFonts w:hint="eastAsia" w:ascii="仿宋" w:hAnsi="仿宋" w:eastAsia="仿宋" w:cs="仿宋"/>
                <w:bCs/>
                <w:color w:val="000000"/>
                <w:sz w:val="24"/>
                <w:szCs w:val="24"/>
                <w:lang w:eastAsia="zh-CN"/>
              </w:rPr>
            </w:r>
            <w:r/>
          </w:p>
        </w:tc>
        <w:tc>
          <w:tcPr>
            <w:gridSpan w:val="2"/>
            <w:tcW w:w="5711" w:type="dxa"/>
            <w:vAlign w:val="center"/>
            <w:textDirection w:val="lrTb"/>
            <w:noWrap w:val="false"/>
          </w:tcPr>
          <w:p>
            <w:pPr>
              <w:pStyle w:val="1159"/>
              <w:ind w:left="0" w:firstLine="42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药师可对来自互联网医院的处方进行审查干预，并可在审方时与医生进行在线交互。未经药师审核通过的处方，不可进入缴费环节。</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r>
            <w:r/>
          </w:p>
        </w:tc>
        <w:tc>
          <w:tcPr>
            <w:gridSpan w:val="2"/>
            <w:tcW w:w="1181" w:type="dxa"/>
            <w:vAlign w:val="center"/>
            <w:vMerge w:val="restart"/>
            <w:textDirection w:val="lrTb"/>
            <w:noWrap w:val="false"/>
          </w:tcPr>
          <w:p>
            <w:pPr>
              <w:pStyle w:val="1011"/>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color w:val="000000"/>
                <w:sz w:val="24"/>
                <w:szCs w:val="24"/>
              </w:rPr>
              <w:t xml:space="preserve">互联网处方用药审查功能</w:t>
            </w:r>
            <w:r>
              <w:rPr>
                <w:rFonts w:hint="eastAsia" w:ascii="仿宋" w:hAnsi="仿宋" w:eastAsia="仿宋" w:cs="仿宋"/>
                <w:bCs/>
                <w:color w:val="000000"/>
                <w:sz w:val="24"/>
                <w:szCs w:val="24"/>
                <w:lang w:eastAsia="zh-CN"/>
              </w:rPr>
            </w:r>
            <w:r/>
          </w:p>
        </w:tc>
        <w:tc>
          <w:tcPr>
            <w:gridSpan w:val="2"/>
            <w:tcW w:w="5711" w:type="dxa"/>
            <w:vAlign w:val="center"/>
            <w:textDirection w:val="lrTb"/>
            <w:noWrap w:val="false"/>
          </w:tcPr>
          <w:p>
            <w:pPr>
              <w:pStyle w:val="1159"/>
              <w:ind w:left="0" w:firstLine="42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应能对互联网处方进行用法用量、超多日用量、药物相互作用、禁忌症、不良反应、特殊人群用药、性别用药、重复用药、适应症、药物过敏、处方规范性、医保用药、越权用药等合理用药相关审查，并提示医生。</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r>
            <w:r/>
          </w:p>
        </w:tc>
        <w:tc>
          <w:tcPr>
            <w:gridSpan w:val="2"/>
            <w:tcW w:w="1181" w:type="dxa"/>
            <w:vAlign w:val="center"/>
            <w:textDirection w:val="lrTb"/>
            <w:noWrap w:val="false"/>
          </w:tcPr>
          <w:p>
            <w:pPr>
              <w:pStyle w:val="1011"/>
              <w:pageBreakBefore w:val="0"/>
              <w:spacing w:line="240" w:lineRule="auto"/>
              <w:rPr>
                <w:rFonts w:hint="eastAsia" w:ascii="仿宋" w:hAnsi="仿宋" w:eastAsia="仿宋" w:cs="仿宋"/>
                <w:color w:val="000000"/>
                <w:sz w:val="24"/>
                <w:szCs w:val="24"/>
                <w:lang w:eastAsia="zh-CN" w:bidi="en-US"/>
              </w:rPr>
            </w:pPr>
            <w:r>
              <w:rPr>
                <w:rFonts w:hint="eastAsia" w:ascii="仿宋" w:hAnsi="仿宋" w:eastAsia="仿宋" w:cs="仿宋"/>
                <w:color w:val="000000"/>
                <w:sz w:val="24"/>
                <w:szCs w:val="24"/>
                <w:lang w:bidi="en-US"/>
              </w:rPr>
              <w:t xml:space="preserve">线上线下一体化审方</w:t>
            </w:r>
            <w:r>
              <w:rPr>
                <w:rFonts w:hint="eastAsia" w:ascii="仿宋" w:hAnsi="仿宋" w:eastAsia="仿宋" w:cs="仿宋"/>
                <w:color w:val="000000"/>
                <w:sz w:val="24"/>
                <w:szCs w:val="24"/>
                <w:lang w:eastAsia="zh-CN" w:bidi="en-US"/>
              </w:rPr>
            </w:r>
            <w:r/>
          </w:p>
        </w:tc>
        <w:tc>
          <w:tcPr>
            <w:gridSpan w:val="2"/>
            <w:tcW w:w="5711" w:type="dxa"/>
            <w:vAlign w:val="center"/>
            <w:textDirection w:val="lrTb"/>
            <w:noWrap w:val="false"/>
          </w:tcPr>
          <w:p>
            <w:pPr>
              <w:pStyle w:val="1159"/>
              <w:ind w:left="0" w:firstLine="42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支持线上、线下一体化联合审方。</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restart"/>
            <w:textDirection w:val="lrTb"/>
            <w:noWrap w:val="false"/>
          </w:tcPr>
          <w:p>
            <w:pPr>
              <w:pStyle w:val="1011"/>
              <w:ind w:left="420"/>
              <w:jc w:val="both"/>
              <w:pageBreakBefore w:val="0"/>
              <w:spacing w:line="240" w:lineRule="auto"/>
              <w:rPr>
                <w:rFonts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7</w:t>
            </w:r>
            <w:r>
              <w:rPr>
                <w:rFonts w:ascii="仿宋" w:hAnsi="仿宋" w:eastAsia="仿宋" w:cs="仿宋"/>
                <w:bCs/>
                <w:color w:val="000000"/>
                <w:sz w:val="24"/>
                <w:szCs w:val="24"/>
                <w:lang w:val="en-US" w:eastAsia="zh-CN"/>
              </w:rPr>
            </w:r>
            <w:r/>
          </w:p>
        </w:tc>
        <w:tc>
          <w:tcPr>
            <w:gridSpan w:val="2"/>
            <w:tcW w:w="1266" w:type="dxa"/>
            <w:vAlign w:val="center"/>
            <w:vMerge w:val="restart"/>
            <w:textDirection w:val="lrTb"/>
            <w:noWrap w:val="false"/>
          </w:tcPr>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color w:val="000000"/>
                <w:sz w:val="24"/>
                <w:szCs w:val="24"/>
                <w:lang w:bidi="en-US"/>
              </w:rPr>
              <w:t xml:space="preserve">患者用药指导</w:t>
            </w:r>
            <w:r>
              <w:rPr>
                <w:rFonts w:hint="eastAsia" w:ascii="仿宋" w:hAnsi="仿宋" w:eastAsia="仿宋" w:cs="仿宋"/>
                <w:bCs/>
                <w:color w:val="000000"/>
                <w:sz w:val="24"/>
                <w:szCs w:val="24"/>
                <w:lang w:eastAsia="zh-CN"/>
              </w:rPr>
            </w:r>
            <w:r/>
          </w:p>
        </w:tc>
        <w:tc>
          <w:tcPr>
            <w:gridSpan w:val="2"/>
            <w:tcW w:w="1181" w:type="dxa"/>
            <w:vAlign w:val="center"/>
            <w:vMerge w:val="restart"/>
            <w:textDirection w:val="lrTb"/>
            <w:noWrap w:val="false"/>
          </w:tcPr>
          <w:p>
            <w:pPr>
              <w:pStyle w:val="1011"/>
              <w:pageBreakBefore w:val="0"/>
              <w:spacing w:line="240" w:lineRule="auto"/>
              <w:rPr>
                <w:rFonts w:hint="eastAsia" w:ascii="仿宋" w:hAnsi="仿宋" w:eastAsia="仿宋" w:cs="仿宋"/>
                <w:bCs/>
                <w:color w:val="000000"/>
                <w:sz w:val="24"/>
                <w:szCs w:val="24"/>
                <w:lang w:eastAsia="zh-CN" w:bidi="en-US"/>
              </w:rPr>
            </w:pPr>
            <w:r>
              <w:rPr>
                <w:rFonts w:hint="eastAsia" w:ascii="仿宋" w:hAnsi="仿宋" w:eastAsia="仿宋" w:cs="仿宋"/>
                <w:bCs/>
                <w:color w:val="000000"/>
                <w:sz w:val="24"/>
                <w:szCs w:val="24"/>
                <w:lang w:bidi="en-US"/>
              </w:rPr>
              <w:t xml:space="preserve">用药教育</w:t>
            </w:r>
            <w:r>
              <w:rPr>
                <w:rFonts w:hint="eastAsia" w:ascii="仿宋" w:hAnsi="仿宋" w:eastAsia="仿宋" w:cs="仿宋"/>
                <w:bCs/>
                <w:color w:val="000000"/>
                <w:sz w:val="24"/>
                <w:szCs w:val="24"/>
                <w:lang w:eastAsia="zh-CN" w:bidi="en-US"/>
              </w:rPr>
            </w:r>
            <w:r/>
          </w:p>
        </w:tc>
        <w:tc>
          <w:tcPr>
            <w:gridSpan w:val="2"/>
            <w:tcW w:w="5711" w:type="dxa"/>
            <w:vAlign w:val="center"/>
            <w:textDirection w:val="lrTb"/>
            <w:noWrap w:val="false"/>
          </w:tcPr>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系统应支持患者查看用药指导信息。</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系统应可保存患者历史用药指导信息。应可查看用药信息、注意事项、药品说明书、错时用药、饮食禁忌等。</w:t>
            </w:r>
            <w:r>
              <w:rPr>
                <w:rFonts w:hint="eastAsia" w:ascii="仿宋" w:hAnsi="仿宋" w:eastAsia="仿宋" w:cs="仿宋"/>
                <w:bCs/>
                <w:color w:val="000000"/>
                <w:sz w:val="24"/>
                <w:szCs w:val="24"/>
                <w:lang w:eastAsia="zh-CN"/>
              </w:rPr>
            </w:r>
            <w:r/>
          </w:p>
          <w:p>
            <w:pPr>
              <w:pStyle w:val="1159"/>
              <w:ind w:left="0" w:firstLine="42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系统应支持患者设置用药时间和购药提醒。</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r>
            <w:r/>
          </w:p>
        </w:tc>
        <w:tc>
          <w:tcPr>
            <w:gridSpan w:val="2"/>
            <w:tcW w:w="1181" w:type="dxa"/>
            <w:vAlign w:val="center"/>
            <w:vMerge w:val="restart"/>
            <w:textDirection w:val="lrTb"/>
            <w:noWrap w:val="false"/>
          </w:tcPr>
          <w:p>
            <w:pPr>
              <w:pStyle w:val="1011"/>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rPr>
              <w:t xml:space="preserve">用药记录</w:t>
            </w:r>
            <w:r>
              <w:rPr>
                <w:rFonts w:hint="eastAsia" w:ascii="仿宋" w:hAnsi="仿宋" w:eastAsia="仿宋" w:cs="仿宋"/>
                <w:bCs/>
                <w:color w:val="000000"/>
                <w:sz w:val="24"/>
                <w:szCs w:val="24"/>
                <w:lang w:eastAsia="zh-CN"/>
              </w:rPr>
            </w:r>
            <w:r/>
          </w:p>
        </w:tc>
        <w:tc>
          <w:tcPr>
            <w:gridSpan w:val="2"/>
            <w:tcW w:w="5711" w:type="dxa"/>
            <w:vAlign w:val="center"/>
            <w:textDirection w:val="lrTb"/>
            <w:noWrap w:val="false"/>
          </w:tcPr>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系统应支持按照日历的形式显示患者用药情况，并支持患者自定义补记用药记录。</w:t>
            </w:r>
            <w:r>
              <w:rPr>
                <w:rFonts w:hint="eastAsia" w:ascii="仿宋" w:hAnsi="仿宋" w:eastAsia="仿宋" w:cs="仿宋"/>
                <w:bCs/>
                <w:color w:val="000000"/>
                <w:sz w:val="24"/>
                <w:szCs w:val="24"/>
                <w:lang w:eastAsia="zh-CN"/>
              </w:rPr>
            </w:r>
            <w:r/>
          </w:p>
          <w:p>
            <w:pPr>
              <w:pStyle w:val="1159"/>
              <w:ind w:left="0" w:firstLine="42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应支持患者记录是否服药，并可生成用药依从性报告。</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r>
            <w:r/>
          </w:p>
        </w:tc>
        <w:tc>
          <w:tcPr>
            <w:gridSpan w:val="2"/>
            <w:tcW w:w="1181" w:type="dxa"/>
            <w:vAlign w:val="center"/>
            <w:vMerge w:val="restart"/>
            <w:textDirection w:val="lrTb"/>
            <w:noWrap w:val="false"/>
          </w:tcPr>
          <w:p>
            <w:pPr>
              <w:pStyle w:val="1011"/>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rPr>
              <w:t xml:space="preserve">科普专栏</w:t>
            </w:r>
            <w:r>
              <w:rPr>
                <w:rFonts w:hint="eastAsia" w:ascii="仿宋" w:hAnsi="仿宋" w:eastAsia="仿宋" w:cs="仿宋"/>
                <w:bCs/>
                <w:color w:val="000000"/>
                <w:sz w:val="24"/>
                <w:szCs w:val="24"/>
                <w:lang w:eastAsia="zh-CN"/>
              </w:rPr>
            </w:r>
            <w:r/>
          </w:p>
        </w:tc>
        <w:tc>
          <w:tcPr>
            <w:gridSpan w:val="2"/>
            <w:tcW w:w="5711" w:type="dxa"/>
            <w:vAlign w:val="center"/>
            <w:textDirection w:val="lrTb"/>
            <w:noWrap w:val="false"/>
          </w:tcPr>
          <w:p>
            <w:pPr>
              <w:pStyle w:val="1159"/>
              <w:ind w:left="0" w:firstLine="42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系统应支持患者查询用药安全教育知识</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r>
            <w:r/>
          </w:p>
        </w:tc>
        <w:tc>
          <w:tcPr>
            <w:gridSpan w:val="2"/>
            <w:tcW w:w="1181" w:type="dxa"/>
            <w:vAlign w:val="center"/>
            <w:vMerge w:val="restart"/>
            <w:textDirection w:val="lrTb"/>
            <w:noWrap w:val="false"/>
          </w:tcPr>
          <w:p>
            <w:pPr>
              <w:pStyle w:val="1011"/>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rPr>
              <w:t xml:space="preserve">健康记录</w:t>
            </w:r>
            <w:r>
              <w:rPr>
                <w:rFonts w:hint="eastAsia" w:ascii="仿宋" w:hAnsi="仿宋" w:eastAsia="仿宋" w:cs="仿宋"/>
                <w:bCs/>
                <w:color w:val="000000"/>
                <w:sz w:val="24"/>
                <w:szCs w:val="24"/>
                <w:lang w:eastAsia="zh-CN"/>
              </w:rPr>
            </w:r>
            <w:r/>
          </w:p>
        </w:tc>
        <w:tc>
          <w:tcPr>
            <w:gridSpan w:val="2"/>
            <w:tcW w:w="5711" w:type="dxa"/>
            <w:vAlign w:val="center"/>
            <w:textDirection w:val="lrTb"/>
            <w:noWrap w:val="false"/>
          </w:tcPr>
          <w:p>
            <w:pPr>
              <w:pStyle w:val="1159"/>
              <w:ind w:left="0" w:firstLine="42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系统应支持患者记录血压值、血糖值和INR值。</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r>
            <w:r/>
          </w:p>
        </w:tc>
        <w:tc>
          <w:tcPr>
            <w:gridSpan w:val="2"/>
            <w:tcW w:w="1181" w:type="dxa"/>
            <w:vAlign w:val="center"/>
            <w:vMerge w:val="restart"/>
            <w:textDirection w:val="lrTb"/>
            <w:noWrap w:val="false"/>
          </w:tcPr>
          <w:p>
            <w:pPr>
              <w:pStyle w:val="1011"/>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rPr>
              <w:t xml:space="preserve">健康自评</w:t>
            </w:r>
            <w:r>
              <w:rPr>
                <w:rFonts w:hint="eastAsia" w:ascii="仿宋" w:hAnsi="仿宋" w:eastAsia="仿宋" w:cs="仿宋"/>
                <w:bCs/>
                <w:color w:val="000000"/>
                <w:sz w:val="24"/>
                <w:szCs w:val="24"/>
                <w:lang w:eastAsia="zh-CN"/>
              </w:rPr>
            </w:r>
            <w:r/>
          </w:p>
        </w:tc>
        <w:tc>
          <w:tcPr>
            <w:gridSpan w:val="2"/>
            <w:tcW w:w="5711" w:type="dxa"/>
            <w:vAlign w:val="center"/>
            <w:textDirection w:val="lrTb"/>
            <w:noWrap w:val="false"/>
          </w:tcPr>
          <w:p>
            <w:pPr>
              <w:pStyle w:val="1159"/>
              <w:ind w:left="0" w:firstLine="42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系统应收录多种健康评估工具供患者评估自身健康状态。如：预产期及孕周计算、成人体重评估、烟草依赖性评估等。</w:t>
            </w:r>
            <w:r>
              <w:rPr>
                <w:rFonts w:hint="eastAsia" w:ascii="仿宋" w:hAnsi="仿宋" w:eastAsia="仿宋" w:cs="仿宋"/>
                <w:bCs/>
                <w:color w:val="000000"/>
                <w:sz w:val="24"/>
                <w:szCs w:val="24"/>
                <w:lang w:eastAsia="zh-CN"/>
              </w:rPr>
            </w:r>
            <w:r/>
          </w:p>
        </w:tc>
      </w:tr>
      <w:tr>
        <w:trPr>
          <w:gridAfter w:val="1"/>
        </w:trPr>
        <w:tc>
          <w:tcPr>
            <w:gridSpan w:val="2"/>
            <w:tcW w:w="658" w:type="dxa"/>
            <w:vAlign w:val="center"/>
            <w:vMerge w:val="continue"/>
            <w:textDirection w:val="lrTb"/>
            <w:noWrap w:val="false"/>
          </w:tcPr>
          <w:p>
            <w:pPr>
              <w:pStyle w:val="1011"/>
              <w:ind w:left="420"/>
              <w:jc w:val="both"/>
              <w:pageBreakBefore w:val="0"/>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r>
            <w:r/>
          </w:p>
        </w:tc>
        <w:tc>
          <w:tcPr>
            <w:gridSpan w:val="2"/>
            <w:tcW w:w="1266" w:type="dxa"/>
            <w:vAlign w:val="center"/>
            <w:vMerge w:val="continue"/>
            <w:textDirection w:val="lrTb"/>
            <w:noWrap w:val="false"/>
          </w:tcPr>
          <w:p>
            <w:pPr>
              <w:pStyle w:val="1011"/>
              <w:jc w:val="center"/>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r>
            <w:r/>
          </w:p>
        </w:tc>
        <w:tc>
          <w:tcPr>
            <w:gridSpan w:val="2"/>
            <w:tcW w:w="1181" w:type="dxa"/>
            <w:vAlign w:val="center"/>
            <w:textDirection w:val="lrTb"/>
            <w:noWrap w:val="false"/>
          </w:tcPr>
          <w:p>
            <w:pPr>
              <w:pStyle w:val="1011"/>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rPr>
              <w:t xml:space="preserve">个人档案</w:t>
            </w:r>
            <w:r>
              <w:rPr>
                <w:rFonts w:hint="eastAsia" w:ascii="仿宋" w:hAnsi="仿宋" w:eastAsia="仿宋" w:cs="仿宋"/>
                <w:bCs/>
                <w:color w:val="000000"/>
                <w:sz w:val="24"/>
                <w:szCs w:val="24"/>
                <w:lang w:eastAsia="zh-CN"/>
              </w:rPr>
            </w:r>
            <w:r/>
          </w:p>
        </w:tc>
        <w:tc>
          <w:tcPr>
            <w:gridSpan w:val="2"/>
            <w:tcW w:w="5711" w:type="dxa"/>
            <w:vAlign w:val="center"/>
            <w:textDirection w:val="lrTb"/>
            <w:noWrap w:val="false"/>
          </w:tcPr>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系统应支持维护个人档案。</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系统应支持显示用药时间轴。</w:t>
            </w:r>
            <w:r>
              <w:rPr>
                <w:rFonts w:hint="eastAsia" w:ascii="仿宋" w:hAnsi="仿宋" w:eastAsia="仿宋" w:cs="仿宋"/>
                <w:bCs/>
                <w:color w:val="000000"/>
                <w:sz w:val="24"/>
                <w:szCs w:val="24"/>
                <w:lang w:eastAsia="zh-CN"/>
              </w:rPr>
            </w:r>
            <w:r/>
          </w:p>
          <w:p>
            <w:pPr>
              <w:pStyle w:val="1159"/>
              <w:ind w:left="0" w:firstLine="42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系统应支持添加亲友信息。</w:t>
            </w:r>
            <w:r>
              <w:rPr>
                <w:rFonts w:hint="eastAsia" w:ascii="仿宋" w:hAnsi="仿宋" w:eastAsia="仿宋" w:cs="仿宋"/>
                <w:bCs/>
                <w:color w:val="000000"/>
                <w:sz w:val="24"/>
                <w:szCs w:val="24"/>
                <w:lang w:eastAsia="zh-CN"/>
              </w:rPr>
            </w:r>
            <w:r/>
          </w:p>
        </w:tc>
      </w:tr>
    </w:tbl>
    <w:p>
      <w:pPr>
        <w:pStyle w:val="1313"/>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11"/>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11"/>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）随访</w:t>
      </w:r>
      <w:r>
        <w:rPr>
          <w:rFonts w:hint="eastAsia" w:ascii="宋体" w:hAnsi="宋体" w:eastAsia="宋体" w:cs="宋体"/>
          <w:b/>
          <w:bCs/>
          <w:color w:val="000000"/>
          <w:sz w:val="24"/>
          <w:szCs w:val="24"/>
          <w:lang w:val="en-US" w:eastAsia="zh-CN"/>
        </w:rPr>
        <w:t xml:space="preserve">管理</w:t>
      </w:r>
      <w:r>
        <w:rPr>
          <w:rFonts w:hint="eastAsia" w:ascii="宋体" w:hAnsi="宋体" w:eastAsia="宋体" w:cs="宋体"/>
          <w:b/>
          <w:bCs/>
          <w:color w:val="000000"/>
          <w:sz w:val="24"/>
          <w:szCs w:val="24"/>
        </w:rPr>
        <w:t xml:space="preserve">系统</w:t>
      </w:r>
      <w:r>
        <w:rPr>
          <w:rFonts w:hint="eastAsia" w:ascii="宋体" w:hAnsi="宋体" w:eastAsia="宋体" w:cs="宋体"/>
          <w:b/>
          <w:bCs/>
          <w:color w:val="000000"/>
          <w:sz w:val="24"/>
          <w:szCs w:val="24"/>
          <w:lang w:val="en-US" w:eastAsia="zh-CN"/>
        </w:rPr>
        <w:t xml:space="preserve">软件集成及升级</w:t>
      </w:r>
      <w:r>
        <w:rPr>
          <w:rFonts w:hint="eastAsia" w:ascii="宋体" w:hAnsi="宋体" w:eastAsia="宋体" w:cs="宋体"/>
          <w:b/>
          <w:bCs/>
          <w:color w:val="000000"/>
          <w:sz w:val="24"/>
          <w:szCs w:val="24"/>
          <w:lang w:val="en-US" w:eastAsia="zh-CN"/>
        </w:rPr>
      </w:r>
      <w:r/>
    </w:p>
    <w:tbl>
      <w:tblPr>
        <w:tblW w:w="8906" w:type="dxa"/>
        <w:jc w:val="center"/>
        <w:tblInd w:w="-64" w:type="dxa"/>
        <w:tblLayout w:type="fixed"/>
        <w:tblCellMar>
          <w:left w:w="64" w:type="dxa"/>
          <w:top w:w="32" w:type="dxa"/>
          <w:right w:w="64" w:type="dxa"/>
          <w:bottom w:w="32" w:type="dxa"/>
        </w:tblCellMar>
        <w:tblLook w:val="04A0" w:firstRow="1" w:lastRow="0" w:firstColumn="1" w:lastColumn="0" w:noHBand="0" w:noVBand="1"/>
      </w:tblPr>
      <w:tblGrid>
        <w:gridCol w:w="767"/>
        <w:gridCol w:w="1277"/>
        <w:gridCol w:w="1162"/>
        <w:gridCol w:w="1266"/>
        <w:gridCol w:w="4434"/>
      </w:tblGrid>
      <w:tr>
        <w:trPr>
          <w:tblHeader/>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1313"/>
              <w:spacing w:line="360" w:lineRule="auto"/>
              <w:rPr>
                <w:rFonts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序号</w:t>
            </w:r>
            <w:r>
              <w:rPr>
                <w:rFonts w:ascii="仿宋" w:hAnsi="仿宋" w:eastAsia="仿宋" w:cs="仿宋"/>
                <w:b/>
                <w:bCs/>
                <w:color w:val="000000"/>
                <w:sz w:val="24"/>
                <w:szCs w:val="24"/>
                <w:lang w:val="en-US" w:eastAsia="zh-CN"/>
              </w:rPr>
            </w:r>
            <w:r/>
          </w:p>
        </w:tc>
        <w:tc>
          <w:tcPr>
            <w:gridSpan w:val="4"/>
            <w:tcBorders>
              <w:top w:val="single" w:color="000000" w:sz="4" w:space="0"/>
              <w:left w:val="single" w:color="000000" w:sz="4" w:space="0"/>
              <w:bottom w:val="single" w:color="000000" w:sz="4" w:space="0"/>
              <w:right w:val="single" w:color="000000" w:sz="4" w:space="0"/>
            </w:tcBorders>
            <w:tcW w:w="8139" w:type="dxa"/>
            <w:vAlign w:val="center"/>
            <w:textDirection w:val="lrTb"/>
            <w:noWrap w:val="false"/>
          </w:tcPr>
          <w:p>
            <w:pPr>
              <w:pStyle w:val="1313"/>
              <w:spacing w:line="360" w:lineRule="auto"/>
              <w:rPr>
                <w:rFonts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功能要求</w:t>
            </w:r>
            <w:r>
              <w:rPr>
                <w:rFonts w:ascii="仿宋" w:hAnsi="仿宋" w:eastAsia="仿宋" w:cs="仿宋"/>
                <w:b/>
                <w:bCs/>
                <w:color w:val="000000"/>
                <w:sz w:val="24"/>
                <w:szCs w:val="24"/>
                <w:lang w:val="en-US"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p>
            <w:pPr>
              <w:pStyle w:val="1076"/>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76"/>
              <w:jc w:val="center"/>
              <w:spacing w:line="240" w:lineRule="auto"/>
              <w:rPr>
                <w:rFonts w:hint="eastAsia" w:ascii="仿宋" w:eastAsia="仿宋"/>
                <w:color w:val="000000"/>
                <w:sz w:val="24"/>
              </w:rPr>
            </w:pPr>
            <w:r>
              <w:rPr>
                <w:rFonts w:hint="eastAsia" w:ascii="仿宋" w:eastAsia="仿宋"/>
                <w:color w:val="000000"/>
                <w:sz w:val="24"/>
              </w:rPr>
            </w:r>
            <w:r/>
          </w:p>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1011"/>
              <w:jc w:val="left"/>
              <w:pageBreakBefore w:val="0"/>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pageBreakBefore w:val="0"/>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pageBreakBefore w:val="0"/>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pageBreakBefore w:val="0"/>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pageBreakBefore w:val="0"/>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pageBreakBefore w:val="0"/>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pageBreakBefore w:val="0"/>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pageBreakBefore w:val="0"/>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pageBreakBefore w:val="0"/>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pageBreakBefore w:val="0"/>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业务基础平台</w:t>
            </w: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eastAsia="仿宋"/>
                <w:color w:val="000000"/>
                <w:sz w:val="24"/>
              </w:rPr>
            </w:pPr>
            <w:r>
              <w:rPr>
                <w:rFonts w:hint="eastAsia" w:ascii="仿宋" w:eastAsia="仿宋"/>
                <w:color w:val="000000"/>
                <w:sz w:val="24"/>
              </w:rPr>
            </w:r>
            <w:r/>
          </w:p>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工作站</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首页</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根据开通的功能模块，针对不同用户，实现首页模块自定义配置显示模块，包括随访管理、满意度调查等。</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随访入口</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提供随访任务快捷处理入口； 提供随访异常情况的展现和处理入口。</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满意度调查</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提供满意度调查任务快捷处理入口</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提供满意度调查异常情况的展现和处理入口。</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患者数据接入</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院内系统对接</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支持与医院HIS、EMR等系统等系统对接，实现患者列表、就诊记录查询与展现</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患者信息查询</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患者列表管理</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支持按照门诊、在院、出院类别进行列表化展现。</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门诊患者查询</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针对门诊患者可基于门诊信息（患者姓名、门诊号、联系方式、就诊日期、就诊科室、就诊医生、疾病诊断）等条件进行患者筛选和检索。</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在院患者查询</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针对在院患者可基于在院信息（患者姓名、住院号、病床号、入院日期、入院科室、入院病区、入院诊断）等条件进行患者筛选和检索。</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出院患者查询</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针对出院患者可基于出院信息（患者姓名、住院号、病床号、出院日期、出院科室、出院病区、出院诊断）等条件进行患者筛选和检索。</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患者基础档案</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基本信息维护</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查看患者个人信息，包括姓名、性别、年龄、电话等基本信息</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支持维护患者使用的联系方式，患者家属主要联系人的电话号码信息。</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门诊诊疗记录</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支持查看历次门诊诊疗信息，包括就诊记录、门诊诊断、检验、检查等</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按照时间顺序对历次门诊诊疗记录进行排列，同时可查看门诊就诊次数。</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住院诊疗记录</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支持查看历次住院诊疗记录，包括出院记录、医嘱信息、检验检查记录、手术记录等</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按照时间顺序对历次住院诊疗记录进行排列，同时可查看住院次数。</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快捷互动</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支持对当前选择的患者进行快捷的手动电话拨打、短信发送、问卷的推送等操作。</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系统管理</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权限管理</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权限管理包括用户管理、角色管理、科室管理和全息档案管理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用户管理包括基本信息设置和权限信息的设置，基本信息如账号、密码、用户类别、身份证号、手机号、性别、出生日期、科室、职称、病区的设置；权限信息如角色、全息档案试视图类型的设置、数据查看权限的设置、计划查看权限的设置、呼叫中心权限的设置等。</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角色管理包括系统模块、子模块以及下级功能菜单的权限配置，可用于用户权限配置关联。</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科室管理包括科室代码、科室名称、上级科室代码、上级科室名称、拼音码、科室电话、顺序号的设置</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全息档案管理可选择全息档案的显示功能模块与子模块，如健康档案、医疗档案、业务管理、业务记录的选择，以及这些模块的下级内容的设置。</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字典管理</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用于维护新增系统中角色职称、满意度、随访等业务模块中的下拉可选项内容</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互动渠道</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呼叫管理</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提供按钮式的电话拨打功能，通过电话端点击按钮，即可发起满意度调查电话</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▲支持查看呼出时间、通话记录、通话录音、及处理状态</w:t>
            </w:r>
            <w:r>
              <w:rPr>
                <w:rFonts w:hint="eastAsia" w:ascii="仿宋" w:hAnsi="仿宋" w:eastAsia="仿宋" w:cs="仿宋"/>
                <w:color w:val="000000"/>
                <w:sz w:val="24"/>
                <w:szCs w:val="24"/>
                <w:lang w:eastAsia="zh-CN"/>
              </w:rPr>
              <w:t xml:space="preserve">。</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通话录音支持播放速度设置和录音下载</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主叫号码显示与医院语音网关绑定线路号码一致。</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支持新建咨询（对疾病库、药品库、急救处理的知识库搜索）、预约挂号（对接院内预约挂号平台）、新建投诉表扬等快捷处理。</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通话记录</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支持后台实时记录通话内容并关联记录通话状态，并导出Excel列表</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支持按通话状态、科室、执行人、通话时间等条件筛选展示列表</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支持通话录音与通话记录的长期保存存档，并可随时调取播放和下载。</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手机号码归属地</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呼叫时可查看患者手机号码归属地，可区分患者是否为本地患者</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支持后台加拨规则设置，支持区分本地、外地加拨规则，固化区号加拨，科室加拨规则。</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短信批量发送</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支持制定短信定时任务，按科室，疾病等条件筛选门诊，住院，出院患者进行短信通知或到点提醒</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支持发送的短信内容生成预览。</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短信快速发送</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提供在病区护士随访场景下快速唤起短信发送界面，实时发送短信给患者。</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短信自动发送</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支持在病区护士随访任务中根据随访计划自动发送对应内容给患者。</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短信记录</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支持查看通过系统发送的所有短信记录</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支持根据发送时间、接收人、接收人电话、发送人、发送科室等条件进行查询，可查看发送状态</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支持针对发送失败的记录一键发起重发。</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短信平台对接</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支持与院方短信平台对接，实现短信通知、问卷链接的推送服务。</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微信平台对接</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支持与院方官方微信进行对接（须提供微信服务号），实现微信随访推送服务。</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tcPr>
          <w:p>
            <w:pPr>
              <w:pStyle w:val="1011"/>
              <w:ind w:firstLine="480"/>
              <w:jc w:val="center"/>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随访</w:t>
            </w:r>
            <w:r>
              <w:rPr>
                <w:rFonts w:hint="eastAsia" w:ascii="仿宋" w:hAnsi="仿宋" w:eastAsia="仿宋" w:cs="仿宋"/>
                <w:color w:val="000000"/>
                <w:sz w:val="24"/>
                <w:szCs w:val="24"/>
              </w:rPr>
            </w:r>
            <w:r/>
          </w:p>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病区随访</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内置病区随访场景</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支持按病区进行出院7-15天的患者随访。</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病区随访业务配置</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支持引用病区随访内置场景，并根据业务变动进行配置更改</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支持按出院患者来源，随访人员、计划随访时间、抽取比例的设置 支持按病区设置不同的随访问卷</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支持多种随访任务设置：如普通随访、定时随访、阶段随访。</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患者筛选引擎</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所有需要随访的患者，均通过预先设置的条件，每天定时自动筛选符合条件的患者，支持按比例、数量抽取患者并生成相应的随访任务。</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病区微信随访</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支持微信渠道开展随访，推送随访问卷到微信公众号，患者可在手机端接收并填写。</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病区</w:t>
            </w:r>
            <w:r>
              <w:rPr>
                <w:rFonts w:hint="eastAsia" w:ascii="仿宋" w:hAnsi="仿宋" w:eastAsia="仿宋" w:cs="仿宋"/>
                <w:color w:val="000000"/>
                <w:sz w:val="24"/>
                <w:szCs w:val="24"/>
                <w:lang w:val="en-US" w:eastAsia="zh-CN"/>
              </w:rPr>
              <w:t xml:space="preserve">Web</w:t>
            </w:r>
            <w:r>
              <w:rPr>
                <w:rFonts w:hint="eastAsia" w:ascii="仿宋" w:hAnsi="仿宋" w:eastAsia="仿宋" w:cs="仿宋"/>
                <w:color w:val="000000"/>
                <w:sz w:val="24"/>
                <w:szCs w:val="24"/>
              </w:rPr>
              <w:t xml:space="preserve">随访</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支持接入医院官网，支持病区随访，患者可填写随访表单，并可查询历史记录。</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病区短信随访</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支持短信渠道开展随访，推送带链接短信到患者手机端，患者在手机端填写并提交随访问卷。</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病区电话随访</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支持通过电话随访方式，对患者进行随访（可一键拨号，通话过程全程录音）。</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病区随访任务推送引擎</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支持实时或指定时间点推送随访问卷</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支持微信、短信、电话随访的多渠道设置。</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病区随访结果跟踪处理</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▲可直观的展现患者的随访情况，例如是否回复，是否异常等</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2"/>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患者回复无异常情况，支持随访任务自动完成</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支持对随访结果异常的患者进行回访沟通，明确异常情况，记录结果</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支持微信随访、短信随访下，患者回复有异常情况，自动生成宣教任务并推送给患者</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支持患者回复异常时手机消息提醒给管理人员的配置。</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黑名单管理</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 管理患者死亡名单，支持自动获取院内死亡名单和手动标识死亡</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病区随访计划内筛选患者时将自动过滤死亡名单，同时将正在随访的患者结案。</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▲管理过滤名单，将特殊纠纷或不愿打扰患者手动加入过滤名单，并可选择仅在病区随访中生效</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2"/>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病区随访计划内筛选患者时将自动过滤此名单，同时将正在随访的患者结案。</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病区随访业务统计</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内置随访业务统计，包含按科室/病区统计、按问卷统计、按随访人员统计随访量、随访率、失访率</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支持结果打印与导出Excel。</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u w:val="none"/>
                <w:lang w:val="en-US" w:eastAsia="zh-CN"/>
              </w:rPr>
            </w:pPr>
            <w:r>
              <w:rPr>
                <w:rFonts w:hint="eastAsia" w:ascii="仿宋" w:hAnsi="仿宋" w:eastAsia="仿宋" w:cs="仿宋"/>
                <w:color w:val="000000"/>
                <w:sz w:val="24"/>
                <w:szCs w:val="24"/>
                <w:u w:val="none"/>
                <w:lang w:val="en-US" w:eastAsia="zh-CN"/>
              </w:rPr>
              <w:t xml:space="preserve">门诊随访</w:t>
            </w:r>
            <w:r>
              <w:rPr>
                <w:rFonts w:hint="eastAsia" w:ascii="仿宋" w:hAnsi="仿宋" w:eastAsia="仿宋" w:cs="仿宋"/>
                <w:color w:val="000000"/>
                <w:sz w:val="24"/>
                <w:szCs w:val="24"/>
                <w:u w:val="none"/>
                <w:lang w:val="en-US" w:eastAsia="zh-CN"/>
              </w:rPr>
            </w:r>
            <w:r/>
          </w:p>
          <w:p>
            <w:pPr>
              <w:pStyle w:val="1011"/>
              <w:jc w:val="both"/>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4"/>
                <w:szCs w:val="24"/>
                <w:u w:val="none"/>
                <w:lang w:val="en-US" w:eastAsia="zh-CN" w:bidi="ar"/>
              </w:rPr>
              <w:t xml:space="preserve">内置门诊随访场景</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4"/>
                <w:szCs w:val="24"/>
                <w:u w:val="none"/>
                <w:lang w:val="en-US" w:eastAsia="zh-CN" w:bidi="ar"/>
              </w:rPr>
              <w:t xml:space="preserve">支持医院进行门诊就诊结束后一段时间内患者随访。</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both"/>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4"/>
                <w:szCs w:val="24"/>
                <w:u w:val="none"/>
                <w:lang w:val="en-US" w:eastAsia="zh-CN" w:bidi="ar"/>
              </w:rPr>
              <w:t xml:space="preserve">门诊随访业务配置</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可引用门诊随访内置场景，并根据实际业务要求进行配置更改；</w:t>
            </w:r>
            <w:r>
              <w:rPr>
                <w:rFonts w:hint="eastAsia" w:ascii="仿宋" w:hAnsi="仿宋" w:eastAsia="仿宋" w:cs="仿宋"/>
                <w:i w:val="0"/>
                <w:iCs w:val="0"/>
                <w:color w:val="000000"/>
                <w:sz w:val="24"/>
                <w:szCs w:val="24"/>
                <w:u w:val="none"/>
                <w:lang w:val="en-US" w:eastAsia="zh-CN" w:bidi="ar"/>
              </w:rPr>
            </w:r>
            <w:r/>
          </w:p>
          <w:p>
            <w:pPr>
              <w:pStyle w:val="1011"/>
              <w:ind w:firstLine="48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支持按出院患者来源，随访人员、计划随访时间、抽取比例的设置；</w:t>
            </w:r>
            <w:r>
              <w:rPr>
                <w:rFonts w:hint="eastAsia" w:ascii="仿宋" w:hAnsi="仿宋" w:eastAsia="仿宋" w:cs="仿宋"/>
                <w:i w:val="0"/>
                <w:iCs w:val="0"/>
                <w:color w:val="000000"/>
                <w:sz w:val="24"/>
                <w:szCs w:val="24"/>
                <w:u w:val="none"/>
                <w:lang w:val="en-US" w:eastAsia="zh-CN" w:bidi="ar"/>
              </w:rPr>
            </w:r>
            <w:r/>
          </w:p>
          <w:p>
            <w:pPr>
              <w:pStyle w:val="1011"/>
              <w:ind w:firstLine="480"/>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4"/>
                <w:szCs w:val="24"/>
                <w:u w:val="none"/>
                <w:lang w:val="en-US" w:eastAsia="zh-CN" w:bidi="ar"/>
              </w:rPr>
              <w:t xml:space="preserve"> 支持多种随访任务设置：如普通随访、定时随访、阶段随访。</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both"/>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4"/>
                <w:szCs w:val="24"/>
                <w:u w:val="none"/>
                <w:lang w:val="en-US" w:eastAsia="zh-CN" w:bidi="ar"/>
              </w:rPr>
              <w:t xml:space="preserve">门诊随访患者筛选引擎</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4"/>
                <w:szCs w:val="24"/>
                <w:u w:val="none"/>
                <w:lang w:val="en-US" w:eastAsia="zh-CN" w:bidi="ar"/>
              </w:rPr>
              <w:t xml:space="preserve">所有需要随访的患者，均通过预先设置的条件，每天定时自动筛选符合条件的患者，支持按比例、数量抽取患者并生成相应的随访任务。</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both"/>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4"/>
                <w:szCs w:val="24"/>
                <w:u w:val="none"/>
                <w:lang w:val="en-US" w:eastAsia="zh-CN" w:bidi="ar"/>
              </w:rPr>
              <w:t xml:space="preserve">门诊微信随访</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4"/>
                <w:szCs w:val="24"/>
                <w:u w:val="none"/>
                <w:lang w:val="en-US" w:eastAsia="zh-CN" w:bidi="ar"/>
              </w:rPr>
              <w:t xml:space="preserve">支持微信渠道开展随访，推送随访问卷到微信服务号，患者可在手机端接收并填写。</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both"/>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门诊web端随访</w:t>
            </w:r>
            <w:r>
              <w:rPr>
                <w:rFonts w:ascii="仿宋" w:hAnsi="仿宋" w:eastAsia="仿宋" w:cs="仿宋"/>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color w:val="000000"/>
                <w:sz w:val="24"/>
                <w:szCs w:val="24"/>
                <w:lang w:val="en-US" w:eastAsia="zh-CN"/>
              </w:rPr>
              <w:t xml:space="preserve">支持接入医院官网，支持门诊随访，患者科填写随访表单，并可查询历史记录。</w:t>
            </w:r>
            <w:r>
              <w:rPr>
                <w:rFonts w:hint="eastAsia" w:ascii="仿宋" w:hAnsi="仿宋" w:eastAsia="仿宋" w:cs="仿宋"/>
                <w:i w:val="0"/>
                <w:iCs w:val="0"/>
                <w:color w:val="000000"/>
                <w:sz w:val="24"/>
                <w:szCs w:val="24"/>
                <w:u w:val="none"/>
                <w:lang w:val="en-US" w:eastAsia="zh-CN" w:bidi="ar"/>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both"/>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4"/>
                <w:szCs w:val="24"/>
                <w:u w:val="none"/>
                <w:lang w:val="en-US" w:eastAsia="zh-CN" w:bidi="ar"/>
              </w:rPr>
              <w:t xml:space="preserve">门诊短信随访</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4"/>
                <w:szCs w:val="24"/>
                <w:u w:val="none"/>
                <w:lang w:val="en-US" w:eastAsia="zh-CN" w:bidi="ar"/>
              </w:rPr>
              <w:t xml:space="preserve">支持短信渠道开展随访，推送带链接短信到患者手机端，患者在手机端填写并提交随访问卷。</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both"/>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4"/>
                <w:szCs w:val="24"/>
                <w:u w:val="none"/>
                <w:lang w:val="en-US" w:eastAsia="zh-CN" w:bidi="ar"/>
              </w:rPr>
              <w:t xml:space="preserve">门诊电话随访</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4"/>
                <w:szCs w:val="24"/>
                <w:u w:val="none"/>
                <w:lang w:val="en-US" w:eastAsia="zh-CN" w:bidi="ar"/>
              </w:rPr>
              <w:t xml:space="preserve">支持通过电话随访方式，对患者进行随访（可一键拨号，通话过程全程录音）。</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both"/>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4"/>
                <w:szCs w:val="24"/>
                <w:u w:val="none"/>
                <w:lang w:val="en-US" w:eastAsia="zh-CN" w:bidi="ar"/>
              </w:rPr>
              <w:t xml:space="preserve">门诊随访任务推送引擎</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支持实时或指定时间点推送随访问卷；</w:t>
            </w:r>
            <w:r>
              <w:rPr>
                <w:rFonts w:hint="eastAsia" w:ascii="仿宋" w:hAnsi="仿宋" w:eastAsia="仿宋" w:cs="仿宋"/>
                <w:i w:val="0"/>
                <w:iCs w:val="0"/>
                <w:color w:val="000000"/>
                <w:sz w:val="24"/>
                <w:szCs w:val="24"/>
                <w:u w:val="none"/>
                <w:lang w:val="en-US" w:eastAsia="zh-CN" w:bidi="ar"/>
              </w:rPr>
            </w:r>
            <w:r/>
          </w:p>
          <w:p>
            <w:pPr>
              <w:pStyle w:val="1011"/>
              <w:ind w:firstLine="480"/>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4"/>
                <w:szCs w:val="24"/>
                <w:u w:val="none"/>
                <w:lang w:val="en-US" w:eastAsia="zh-CN" w:bidi="ar"/>
              </w:rPr>
              <w:t xml:space="preserve">支持微信、短信、电话随访的多渠道设置。</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both"/>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4"/>
                <w:szCs w:val="24"/>
                <w:u w:val="none"/>
                <w:lang w:val="en-US" w:eastAsia="zh-CN" w:bidi="ar"/>
              </w:rPr>
              <w:t xml:space="preserve">门诊随访结果跟踪处理</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可直观的展现患者的随访情况，例如是否回复，是否异常等； </w:t>
            </w:r>
            <w:r>
              <w:rPr>
                <w:rFonts w:hint="eastAsia" w:ascii="仿宋" w:hAnsi="仿宋" w:eastAsia="仿宋" w:cs="仿宋"/>
                <w:i w:val="0"/>
                <w:iCs w:val="0"/>
                <w:color w:val="000000"/>
                <w:sz w:val="24"/>
                <w:szCs w:val="24"/>
                <w:u w:val="none"/>
                <w:lang w:val="en-US" w:eastAsia="zh-CN" w:bidi="ar"/>
              </w:rPr>
            </w:r>
            <w:r/>
          </w:p>
          <w:p>
            <w:pPr>
              <w:pStyle w:val="1011"/>
              <w:ind w:firstLine="48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    患者回复无异常情况，支持随访任务自动完成；</w:t>
            </w:r>
            <w:r>
              <w:rPr>
                <w:rFonts w:hint="eastAsia" w:ascii="仿宋" w:hAnsi="仿宋" w:eastAsia="仿宋" w:cs="仿宋"/>
                <w:i w:val="0"/>
                <w:iCs w:val="0"/>
                <w:color w:val="000000"/>
                <w:sz w:val="24"/>
                <w:szCs w:val="24"/>
                <w:u w:val="none"/>
                <w:lang w:val="en-US" w:eastAsia="zh-CN" w:bidi="ar"/>
              </w:rPr>
            </w:r>
            <w:r/>
          </w:p>
          <w:p>
            <w:pPr>
              <w:pStyle w:val="1011"/>
              <w:ind w:firstLine="48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    支持患者回复异常时手机消息提醒给管理人员的配置；</w:t>
            </w:r>
            <w:r>
              <w:rPr>
                <w:rFonts w:hint="eastAsia" w:ascii="仿宋" w:hAnsi="仿宋" w:eastAsia="仿宋" w:cs="仿宋"/>
                <w:i w:val="0"/>
                <w:iCs w:val="0"/>
                <w:color w:val="000000"/>
                <w:sz w:val="24"/>
                <w:szCs w:val="24"/>
                <w:u w:val="none"/>
                <w:lang w:val="en-US" w:eastAsia="zh-CN" w:bidi="ar"/>
              </w:rPr>
            </w:r>
            <w:r/>
          </w:p>
          <w:p>
            <w:pPr>
              <w:pStyle w:val="1011"/>
              <w:ind w:firstLine="480"/>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4"/>
                <w:szCs w:val="24"/>
                <w:u w:val="none"/>
                <w:lang w:val="en-US" w:eastAsia="zh-CN" w:bidi="ar"/>
              </w:rPr>
              <w:t xml:space="preserve">    支持对随访结果异常的患者进行回访沟通，明确异常情况，记录结果。</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both"/>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4"/>
                <w:szCs w:val="24"/>
                <w:u w:val="none"/>
                <w:lang w:val="en-US" w:eastAsia="zh-CN" w:bidi="ar"/>
              </w:rPr>
              <w:t xml:space="preserve">黑名单管理</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管理患者死亡名单，支持自动获取院内死亡名单和手动标识死亡；</w:t>
            </w:r>
            <w:r>
              <w:rPr>
                <w:rFonts w:hint="eastAsia" w:ascii="仿宋" w:hAnsi="仿宋" w:eastAsia="仿宋" w:cs="仿宋"/>
                <w:i w:val="0"/>
                <w:iCs w:val="0"/>
                <w:color w:val="000000"/>
                <w:sz w:val="24"/>
                <w:szCs w:val="24"/>
                <w:u w:val="none"/>
                <w:lang w:val="en-US" w:eastAsia="zh-CN" w:bidi="ar"/>
              </w:rPr>
            </w:r>
            <w:r/>
          </w:p>
          <w:p>
            <w:pPr>
              <w:pStyle w:val="1011"/>
              <w:ind w:firstLine="480"/>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4"/>
                <w:szCs w:val="24"/>
                <w:u w:val="none"/>
                <w:lang w:val="en-US" w:eastAsia="zh-CN" w:bidi="ar"/>
              </w:rPr>
              <w:t xml:space="preserve">门诊随访计划内筛选患者时将自动过滤死亡名单，同时将正在随访的患者结案。</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both"/>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管理过滤名单，将特殊纠纷或不愿打扰患者手动加入过滤名单，并可选择仅在门诊随访中生效；</w:t>
            </w:r>
            <w:r>
              <w:rPr>
                <w:rFonts w:hint="eastAsia" w:ascii="仿宋" w:hAnsi="仿宋" w:eastAsia="仿宋" w:cs="仿宋"/>
                <w:i w:val="0"/>
                <w:iCs w:val="0"/>
                <w:color w:val="000000"/>
                <w:sz w:val="24"/>
                <w:szCs w:val="24"/>
                <w:u w:val="none"/>
                <w:lang w:val="en-US" w:eastAsia="zh-CN" w:bidi="ar"/>
              </w:rPr>
            </w:r>
            <w:r/>
          </w:p>
          <w:p>
            <w:pPr>
              <w:pStyle w:val="1011"/>
              <w:ind w:firstLine="480"/>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4"/>
                <w:szCs w:val="24"/>
                <w:u w:val="none"/>
                <w:lang w:val="en-US" w:eastAsia="zh-CN" w:bidi="ar"/>
              </w:rPr>
              <w:t xml:space="preserve">门诊随访计划内筛选患者时将自动过滤此名单，同时将正在随访的患者结案。</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none" w:color="000000" w:sz="0" w:space="0"/>
              <w:right w:val="single" w:color="000000" w:sz="4" w:space="0"/>
            </w:tcBorders>
            <w:tcW w:w="1162" w:type="dxa"/>
            <w:vAlign w:val="center"/>
            <w:vMerge w:val="continue"/>
            <w:textDirection w:val="lrTb"/>
            <w:noWrap w:val="false"/>
          </w:tcPr>
          <w:p>
            <w:pPr>
              <w:pStyle w:val="1011"/>
              <w:jc w:val="both"/>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4"/>
                <w:szCs w:val="24"/>
                <w:u w:val="none"/>
                <w:lang w:val="en-US" w:eastAsia="zh-CN" w:bidi="ar"/>
              </w:rPr>
              <w:t xml:space="preserve">患者重复入院管理</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4"/>
                <w:szCs w:val="24"/>
                <w:u w:val="none"/>
                <w:lang w:val="en-US" w:eastAsia="zh-CN" w:bidi="ar"/>
              </w:rPr>
              <w:t xml:space="preserve">可设置对重复入院的患者进行管理，若有未完成随访且患者再次入院，可自动结束之前的待随访任务，避免患者被重复随访。</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0"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both"/>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4"/>
                <w:szCs w:val="24"/>
                <w:u w:val="none"/>
                <w:lang w:val="en-US" w:eastAsia="zh-CN" w:bidi="ar"/>
              </w:rPr>
              <w:t xml:space="preserve">门诊随访业务统计</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内置随访业务统计，包含按患者科室统计、按科室任务统计、按问卷统计；</w:t>
            </w:r>
            <w:r>
              <w:rPr>
                <w:rFonts w:hint="eastAsia" w:ascii="仿宋" w:hAnsi="仿宋" w:eastAsia="仿宋" w:cs="仿宋"/>
                <w:i w:val="0"/>
                <w:iCs w:val="0"/>
                <w:color w:val="000000"/>
                <w:sz w:val="24"/>
                <w:szCs w:val="24"/>
                <w:u w:val="none"/>
                <w:lang w:val="en-US" w:eastAsia="zh-CN" w:bidi="ar"/>
              </w:rPr>
            </w:r>
            <w:r/>
          </w:p>
          <w:p>
            <w:pPr>
              <w:pStyle w:val="1011"/>
              <w:ind w:firstLine="480"/>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4"/>
                <w:szCs w:val="24"/>
                <w:u w:val="none"/>
                <w:lang w:val="en-US" w:eastAsia="zh-CN" w:bidi="ar"/>
              </w:rPr>
              <w:t xml:space="preserve">支持结果打印与导出Excel。</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pStyle w:val="1011"/>
              <w:jc w:val="center"/>
              <w:pageBreakBefore w:val="0"/>
              <w:spacing w:line="240" w:lineRule="auto"/>
              <w:widowControl/>
              <w:rPr>
                <w:rFonts w:ascii="等线" w:hAnsi="等线" w:eastAsia="等线" w:cs="等线"/>
                <w:i w:val="0"/>
                <w:iCs w:val="0"/>
                <w:color w:val="000000"/>
                <w:sz w:val="20"/>
                <w:szCs w:val="20"/>
                <w:u w:val="none"/>
                <w:lang w:val="en-US" w:eastAsia="zh-CN" w:bidi="ar"/>
              </w:rPr>
            </w:pPr>
            <w:r>
              <w:rPr>
                <w:rFonts w:ascii="等线" w:hAnsi="等线" w:eastAsia="等线" w:cs="等线"/>
                <w:i w:val="0"/>
                <w:iCs w:val="0"/>
                <w:color w:val="000000"/>
                <w:sz w:val="20"/>
                <w:szCs w:val="20"/>
                <w:u w:val="none"/>
                <w:lang w:val="en-US" w:eastAsia="zh-CN" w:bidi="ar"/>
              </w:rPr>
            </w:r>
            <w:r/>
          </w:p>
          <w:p>
            <w:pPr>
              <w:pStyle w:val="1011"/>
              <w:jc w:val="center"/>
              <w:pageBreakBefore w:val="0"/>
              <w:spacing w:line="240" w:lineRule="auto"/>
              <w:widowControl/>
              <w:rPr>
                <w:rFonts w:ascii="等线" w:hAnsi="等线" w:eastAsia="等线" w:cs="等线"/>
                <w:i w:val="0"/>
                <w:iCs w:val="0"/>
                <w:color w:val="000000"/>
                <w:sz w:val="20"/>
                <w:szCs w:val="20"/>
                <w:u w:val="none"/>
                <w:lang w:val="en-US" w:eastAsia="zh-CN" w:bidi="ar"/>
              </w:rPr>
            </w:pPr>
            <w:r>
              <w:rPr>
                <w:rFonts w:ascii="等线" w:hAnsi="等线" w:eastAsia="等线" w:cs="等线"/>
                <w:i w:val="0"/>
                <w:iCs w:val="0"/>
                <w:color w:val="000000"/>
                <w:sz w:val="20"/>
                <w:szCs w:val="20"/>
                <w:u w:val="none"/>
                <w:lang w:val="en-US" w:eastAsia="zh-CN" w:bidi="ar"/>
              </w:rPr>
            </w:r>
            <w:r/>
          </w:p>
          <w:p>
            <w:pPr>
              <w:pStyle w:val="1011"/>
              <w:jc w:val="center"/>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健康宣教</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内置宣教场景</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支持按病区对入院患者宣教、出院患者宣教。</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宣教业务配置</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初次概览宣教业务的配置信息，可修改并启动业务</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支持后续可根据业务变动进行配置更改</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支持按住院患者、科室/病区设置不同的出入院宣教时间、宣教内容。 自动过滤死亡患者。</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患者筛选引擎</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每天定时按科室/病区自动筛选患者，按照预先设置的宣教规则，针对需要宣教的患者生成宣教发送任务。</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微信宣教</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支持微信渠道开展宣教，推送宣教内容到微信公众号，患者可在手机端接收并查阅。</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短信宣教</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支持短信渠道开展宣教，推送带链接短信到患者手机端，患者在手机端接收并查阅宣教内容。</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76"/>
              <w:jc w:val="left"/>
              <w:spacing w:line="240" w:lineRule="auto"/>
              <w:rPr>
                <w:rFonts w:hint="eastAsia" w:ascii="仿宋" w:eastAsia="仿宋"/>
                <w:color w:val="000000"/>
                <w:sz w:val="24"/>
              </w:rPr>
            </w:pPr>
            <w:r>
              <w:rPr>
                <w:rFonts w:hint="eastAsia" w:ascii="仿宋" w:eastAsia="仿宋"/>
                <w:color w:val="000000"/>
                <w:sz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宣教任务推送引擎</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支持实时或指定时间点推送宣教内容</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支持微信、短信渠道的设置。</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宣教结果跟踪处理</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支持直观的展现患者的宣教执行情况，是否已发送、是否已读等</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支持对宣教未读的患者再次发送宣教。</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在院宣教</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支持对在院患者进行点对点的宣教，推送带链接的短信或者微信等方式的宣教内容到患者手机端。</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宣教业务统计</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支持按医护人员/科室/病区统计宣教总次数、宣教方式、宣教类别汇总</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支持宣教类型统计宣教类别和宣教阅读率</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支持在院宣教统计覆盖率和宣教阅读率</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支持宣教反馈统计点赞数、点踩数、留言数</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支持结果打印与导出Excel。</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tcPr>
          <w:p>
            <w:pPr>
              <w:pStyle w:val="1011"/>
              <w:ind w:firstLine="240"/>
              <w:jc w:val="left"/>
              <w:pageBreakBefore w:val="0"/>
              <w:spacing w:line="240" w:lineRule="auto"/>
              <w:widowControl/>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w:t>
            </w:r>
            <w:r>
              <w:rPr>
                <w:rFonts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1011"/>
              <w:jc w:val="left"/>
              <w:pageBreakBefore w:val="0"/>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pageBreakBefore w:val="0"/>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pageBreakBefore w:val="0"/>
              <w:spacing w:line="240" w:lineRule="auto"/>
              <w:widowControl/>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r>
            <w:r/>
          </w:p>
          <w:p>
            <w:pPr>
              <w:pStyle w:val="1011"/>
              <w:jc w:val="left"/>
              <w:pageBreakBefore w:val="0"/>
              <w:spacing w:line="240" w:lineRule="auto"/>
              <w:widowControl/>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r>
            <w:r/>
          </w:p>
          <w:p>
            <w:pPr>
              <w:pStyle w:val="1011"/>
              <w:jc w:val="left"/>
              <w:pageBreakBefore w:val="0"/>
              <w:spacing w:line="240" w:lineRule="auto"/>
              <w:widowControl/>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r>
            <w:r/>
          </w:p>
          <w:p>
            <w:pPr>
              <w:pStyle w:val="1011"/>
              <w:jc w:val="left"/>
              <w:pageBreakBefore w:val="0"/>
              <w:spacing w:line="240" w:lineRule="auto"/>
              <w:widowControl/>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r>
            <w:r/>
          </w:p>
          <w:p>
            <w:pPr>
              <w:pStyle w:val="1011"/>
              <w:jc w:val="left"/>
              <w:pageBreakBefore w:val="0"/>
              <w:spacing w:line="240" w:lineRule="auto"/>
              <w:widowControl/>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r>
            <w:r/>
          </w:p>
          <w:p>
            <w:pPr>
              <w:pStyle w:val="1011"/>
              <w:jc w:val="left"/>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left"/>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left"/>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left"/>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left"/>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left"/>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left"/>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left"/>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left"/>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left"/>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left"/>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满</w:t>
            </w:r>
            <w:r>
              <w:rPr>
                <w:rFonts w:hint="eastAsia" w:ascii="仿宋" w:hAnsi="仿宋" w:eastAsia="仿宋" w:cs="仿宋"/>
                <w:color w:val="000000"/>
                <w:sz w:val="24"/>
                <w:szCs w:val="24"/>
              </w:rPr>
              <w:t xml:space="preserve">意度管理</w:t>
            </w:r>
            <w:r>
              <w:rPr>
                <w:rFonts w:hint="eastAsia" w:ascii="仿宋" w:hAnsi="仿宋" w:eastAsia="仿宋" w:cs="仿宋"/>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11"/>
              <w:jc w:val="left"/>
              <w:spacing w:line="24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076"/>
              <w:jc w:val="left"/>
              <w:spacing w:line="240" w:lineRule="auto"/>
              <w:rPr>
                <w:rFonts w:hint="eastAsia" w:ascii="仿宋" w:eastAsia="仿宋"/>
                <w:color w:val="000000"/>
                <w:sz w:val="24"/>
              </w:rPr>
            </w:pPr>
            <w:r>
              <w:rPr>
                <w:rFonts w:hint="eastAsia" w:ascii="仿宋" w:eastAsia="仿宋"/>
                <w:color w:val="000000"/>
                <w:sz w:val="24"/>
              </w:rPr>
            </w:r>
            <w:r/>
          </w:p>
          <w:p>
            <w:pPr>
              <w:pStyle w:val="1076"/>
              <w:ind w:left="0" w:firstLine="0"/>
              <w:jc w:val="left"/>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76"/>
              <w:ind w:left="0" w:firstLine="0"/>
              <w:jc w:val="left"/>
              <w:spacing w:line="240" w:lineRule="auto"/>
              <w:rPr>
                <w:rFonts w:hint="eastAsia" w:ascii="仿宋" w:eastAsia="仿宋"/>
                <w:color w:val="000000"/>
                <w:sz w:val="24"/>
              </w:rPr>
            </w:pPr>
            <w:r>
              <w:rPr>
                <w:rFonts w:hint="eastAsia" w:ascii="仿宋" w:eastAsia="仿宋"/>
                <w:color w:val="000000"/>
                <w:sz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患者满意度调查</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内置调查场景</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在院、出院患者满意度调查及后续处理。</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病区调查业务配置</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支持出院满意度调查的设置信息，可修改并启动业务</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支持后续可根据业务变动进行配置更改</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支持按出院患者来源，调查病区、调查人员、计划调查时间、抽取比例的设置 支持按病区设置不同的满意度调查问卷。</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患者筛选引擎</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所有需要调查的患者，均通过预先设置的条件，每天定时自动筛选符合条件的患者，支持按比例、数量抽取患者并生成相应的调查任务。</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微信满意度调查</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支持微信渠道开展调查，推送调查问卷到微信公众号，患者可在手机端接收并填写。</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Web端满意度调查</w:t>
            </w:r>
            <w:r>
              <w:rPr>
                <w:rFonts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支持接入医院官网，支持门诊、住院满意度调查，并可查询历史记录。</w:t>
            </w:r>
            <w:r>
              <w:rPr>
                <w:rFonts w:ascii="仿宋" w:hAnsi="仿宋" w:eastAsia="仿宋" w:cs="仿宋"/>
                <w:color w:val="000000"/>
                <w:sz w:val="24"/>
                <w:szCs w:val="24"/>
                <w:lang w:val="en-US"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短信满意度调查</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支持短信渠道开展调查，推送带链接短信到患者手机端，患者在手机端填写并提交调查问卷。</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电话满意度调查</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通过电话调查方式，对患者进行调查。</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调查任务推送引擎</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支持实时或指定时间点推送满意度问卷</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支持微信、短信、电话随访的多渠道设置</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支持超时未回复的表单自动重发，可设置超时天数。</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调查结果跟踪处理</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▲可直观的展现患者的满意度调查情况，例如是否回复，是否异常等</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2"/>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患者回复无异常情况，支持满意度调查任务自动完成</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支持对满意度调查结果异常的患者进行回访沟通，明确异常情况，记录结果。</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黑名单管理</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管理患者死亡名单，支持自动获取院内死亡名单和手动标识死亡</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满意度调查计划内筛选患者时将自动过滤死亡名单，同时将正在调查的患者结案。</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▲管理过滤名单，将特殊纠纷或不愿打扰患者手动加入过滤名单，并可选择仅在满意度调查中生效</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2"/>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满意度调查计划内筛选患者时将自动过滤此名单，同时将正在调查的患者结案。</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病区调查业务统计</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内置满意度调查业务统计，包含按病区统计、按问卷统计、按题目分类、按单题统计</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支持结果打印与导出Excel。</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二维码满意度调查</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支持各科室或病区配置个性化的满意度问卷二维码，支持患者扫描二维码做满意度调查</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支持匿名/实名满意度二维码调查。</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受理流转插件</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异常处理人配置</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支持配置处理科室，及科室下多个异常处理人。</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异常任务流转</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支持异常任务自动指派到处理科室，处理科室处理并提交处理结果。</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异常处理审核</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调查科室负责人对处理结果审核，选择结束或再次手动指派给科室处理，直至完成异常任务处理。</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满意度终端设备扩展</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自助机设备扩展</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除去标准网络途径（短信，微信，电话）外，可扩展院内自助机设备嵌入满意度调查。</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投诉表扬</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投诉表扬登记</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在随访、抽查及满意度过程中发现患者有投诉、提出改进意见或表示赞誉的时候，可进行及时登记投诉或表扬内容，包括被投诉/被表扬人信息、投诉/表扬类别、投诉陈述和重点、发起投诉/表扬人信息，并自动将记录指派给各个分类的审核人</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同时支持患者能够在移动端主动发起投诉。</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76"/>
              <w:jc w:val="left"/>
              <w:spacing w:line="240" w:lineRule="auto"/>
              <w:rPr>
                <w:rFonts w:hint="eastAsia" w:ascii="仿宋" w:eastAsia="仿宋"/>
                <w:color w:val="000000"/>
                <w:sz w:val="24"/>
              </w:rPr>
            </w:pPr>
            <w:r>
              <w:rPr>
                <w:rFonts w:hint="eastAsia" w:ascii="仿宋" w:eastAsia="仿宋"/>
                <w:color w:val="000000"/>
                <w:sz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投诉表扬管理</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支持审核人审核通过后选择处理人，将记录流转至处理人</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支持审核人对已经处理的投诉表扬结果进行审核，回退再处理或审核通过归档。</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投诉表扬处理</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支持医护人员在PC端按投诉表扬状态进行查询和投诉表扬的处理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处理过程中可记录核实的情况及解决方案、沟通结果和处罚内容，并支持上传附件依据。同一次投诉/表扬支持记录多次处理结果，处理完成后即完成本次处理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可手动选择是否把处理结果发送给患者。</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投诉表扬查询</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支持对已处理的投诉表扬记录进行查询，并支持详情结果查看及导出Excel。</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投诉表扬配置</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支持配置投诉/表扬不同分类的审核人，投诉/表扬记录将根据分类自动交由各审核人进行审核。</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投诉表扬统计</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支持统计投诉表扬总数、各类别数量和占比、有效/无效投诉/表扬数、不同处理进度数量、处理结果满意/不满意情况</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rHeight w:val="67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76"/>
              <w:jc w:val="left"/>
              <w:spacing w:line="240" w:lineRule="auto"/>
              <w:rPr>
                <w:rFonts w:hint="eastAsia" w:ascii="仿宋" w:eastAsia="仿宋"/>
                <w:color w:val="000000"/>
                <w:sz w:val="24"/>
              </w:rPr>
            </w:pPr>
            <w:r>
              <w:rPr>
                <w:rFonts w:hint="eastAsia" w:ascii="仿宋" w:eastAsia="仿宋"/>
                <w:color w:val="000000"/>
                <w:sz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支持结果打印与导出Excel。</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tcPr>
          <w:p>
            <w:pPr>
              <w:pStyle w:val="1011"/>
              <w:ind w:firstLine="240"/>
              <w:jc w:val="center"/>
              <w:pageBreakBefore w:val="0"/>
              <w:spacing w:line="240" w:lineRule="auto"/>
              <w:widowControl/>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w:t>
            </w:r>
            <w:r>
              <w:rPr>
                <w:rFonts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知识库</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基础知识库</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随访内容维护</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提供标准化随访内容维护服务。</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表单编辑器工具</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新建表单支持引用模板，设置表单开头语和表单结束语。</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支持多题型（文本填空题，单选题，多选题，矩阵题，图片选择题，下拉选择题，多选输入框题）表单的自定义维护题目及选项内容</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支持维护表单选项异常项，并维护提示信息，且支持异常时配置宣教内容</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支持维护题目之间跳题逻辑</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表单控件包括布局控件和字段控件，可以对单个控件进行设置，设置的内容包括标题、标题别名、填充字段、标题宽度、标题布局、标题颜色、是否必选项、控件大小、文字位置，以及其他设置如是否发送手机端、是否纳入统计，保存后是否可编辑、是否隐藏题目、是否隐藏标题、是否隐藏边框、是否显示序号、是否设置默认值</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数据输入框还包括异常提示设置，内容规范设置、小数位数等</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▲表单编辑器系统提供操作手册查看功能，以直接操作引导的形式展现，非word文件等形式</w:t>
            </w:r>
            <w:r>
              <w:rPr>
                <w:rFonts w:hint="eastAsia" w:ascii="仿宋" w:hAnsi="仿宋" w:eastAsia="仿宋" w:cs="仿宋"/>
                <w:color w:val="000000"/>
                <w:sz w:val="24"/>
                <w:szCs w:val="24"/>
                <w:lang w:eastAsia="zh-CN"/>
              </w:rPr>
              <w:t xml:space="preserve">。</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表单编辑时支持引用单题，用于统一统计管理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表单维护好后，可进行预览查看，并且保存发布</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系统支持表单的版本号管理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布局控件支持一行二列布局、一行三列布局、表格任意布局等形式 表单设置包括跳转方式设置（逻辑跳转、子题跳转）</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关联逻辑设置、定义验证逻辑设置、控件间隔设置。</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随访问卷/表单知识库</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提供标准随访表单20份。</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宣教知识库</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提供200份宣教内容，可支持宣教内容维护，支持图片、视频等多形式进行自主编辑内容，格式，排版。</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提醒短语库</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提供提醒短语库的维护管理。</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疾病知识库</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提供600种以上疾病知识库。</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药品知识库</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提供4000种药品知识库。</w:t>
            </w:r>
            <w:r>
              <w:rPr>
                <w:rFonts w:hint="eastAsia" w:ascii="仿宋" w:hAnsi="仿宋" w:eastAsia="仿宋"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1011"/>
              <w:jc w:val="left"/>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急救指导知识库</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4434" w:type="dxa"/>
            <w:vAlign w:val="center"/>
            <w:textDirection w:val="lrTb"/>
            <w:noWrap w:val="false"/>
          </w:tcPr>
          <w:p>
            <w:pPr>
              <w:pStyle w:val="1011"/>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提供100种以上急救指导知识库。</w:t>
            </w:r>
            <w:r>
              <w:rPr>
                <w:rFonts w:hint="eastAsia" w:ascii="仿宋" w:hAnsi="仿宋" w:eastAsia="仿宋" w:cs="仿宋"/>
                <w:color w:val="000000"/>
                <w:sz w:val="24"/>
                <w:szCs w:val="24"/>
              </w:rPr>
            </w:r>
            <w:r/>
          </w:p>
        </w:tc>
      </w:tr>
    </w:tbl>
    <w:p>
      <w:pPr>
        <w:pStyle w:val="1011"/>
        <w:rPr>
          <w:rFonts w:hint="eastAsia" w:ascii="宋体" w:hAnsi="宋体" w:eastAsia="宋体" w:cs="宋体"/>
          <w:b/>
          <w:bCs/>
          <w:color w:val="000000"/>
          <w:sz w:val="24"/>
          <w:szCs w:val="24"/>
          <w:lang w:val="en-US" w:eastAsia="zh-CN"/>
        </w:rPr>
      </w:pPr>
      <w:r>
        <w:rPr>
          <w:rFonts w:hint="eastAsia" w:ascii="宋体" w:hAnsi="宋体" w:eastAsia="宋体"/>
          <w:b/>
          <w:color w:val="000000"/>
          <w:sz w:val="28"/>
          <w:szCs w:val="28"/>
          <w:highlight w:val="none"/>
          <w:lang w:eastAsia="zh-CN"/>
        </w:rPr>
        <w:br w:type="page" w:clear="all"/>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)院内导航系统</w:t>
      </w:r>
      <w:r>
        <w:rPr>
          <w:rFonts w:hint="eastAsia" w:ascii="宋体" w:hAnsi="宋体" w:eastAsia="宋体" w:cs="宋体"/>
          <w:b/>
          <w:bCs/>
          <w:color w:val="000000"/>
          <w:sz w:val="24"/>
          <w:szCs w:val="24"/>
          <w:lang w:val="en-US" w:eastAsia="zh-CN"/>
        </w:rPr>
        <w:t xml:space="preserve">软件集成</w:t>
      </w:r>
      <w:r>
        <w:rPr>
          <w:rFonts w:hint="eastAsia" w:ascii="宋体" w:hAnsi="宋体" w:eastAsia="宋体" w:cs="宋体"/>
          <w:b/>
          <w:bCs/>
          <w:color w:val="000000"/>
          <w:sz w:val="24"/>
          <w:szCs w:val="24"/>
          <w:lang w:val="en-US" w:eastAsia="zh-CN"/>
        </w:rPr>
      </w:r>
      <w:r/>
    </w:p>
    <w:tbl>
      <w:tblPr>
        <w:tblW w:w="842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99"/>
        <w:gridCol w:w="1616"/>
        <w:gridCol w:w="5810"/>
      </w:tblGrid>
      <w:tr>
        <w:trPr>
          <w:trHeight w:val="282"/>
        </w:trPr>
        <w:tc>
          <w:tcPr>
            <w:tcBorders>
              <w:top w:val="single" w:color="000000" w:sz="4" w:space="0"/>
              <w:left w:val="single" w:color="000000" w:sz="4" w:space="0"/>
              <w:bottom w:val="single" w:color="000000" w:sz="4" w:space="0"/>
              <w:right w:val="single" w:color="000000" w:sz="4" w:space="0"/>
            </w:tcBorders>
            <w:tcW w:w="999" w:type="dxa"/>
            <w:vAlign w:val="top"/>
            <w:textDirection w:val="lrTb"/>
            <w:noWrap/>
          </w:tcPr>
          <w:p>
            <w:pPr>
              <w:pStyle w:val="1011"/>
              <w:numPr>
                <w:ilvl w:val="0"/>
                <w:numId w:val="0"/>
              </w:numPr>
              <w:jc w:val="left"/>
              <w:keepLines w:val="0"/>
              <w:keepNext w:val="0"/>
              <w:pageBreakBefore w:val="0"/>
              <w:spacing w:line="520" w:lineRule="exact"/>
              <w:widowControl/>
              <w:tabs>
                <w:tab w:val="left" w:pos="126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rPr>
                <w:rFonts w:hint="eastAsia" w:ascii="仿宋" w:hAnsi="仿宋" w:eastAsia="仿宋" w:cs="仿宋"/>
                <w:b/>
                <w:bCs/>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7426" w:type="dxa"/>
            <w:vAlign w:val="center"/>
            <w:textDirection w:val="lrTb"/>
            <w:noWrap/>
          </w:tcPr>
          <w:p>
            <w:pPr>
              <w:pStyle w:val="1011"/>
              <w:numPr>
                <w:ilvl w:val="0"/>
                <w:numId w:val="0"/>
              </w:numPr>
              <w:jc w:val="left"/>
              <w:keepLines w:val="0"/>
              <w:keepNext w:val="0"/>
              <w:pageBreakBefore w:val="0"/>
              <w:spacing w:line="520" w:lineRule="exact"/>
              <w:widowControl/>
              <w:tabs>
                <w:tab w:val="left" w:pos="126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功能要求</w:t>
            </w:r>
            <w:r>
              <w:rPr>
                <w:rFonts w:hint="eastAsia" w:ascii="仿宋" w:hAnsi="仿宋" w:eastAsia="仿宋" w:cs="仿宋"/>
                <w:b/>
                <w:bCs/>
                <w:color w:val="000000"/>
                <w:sz w:val="24"/>
                <w:szCs w:val="24"/>
              </w:rPr>
            </w:r>
            <w:r/>
          </w:p>
        </w:tc>
      </w:tr>
      <w:tr>
        <w:trPr>
          <w:trHeight w:val="8259"/>
        </w:trPr>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1011"/>
              <w:jc w:val="both"/>
              <w:keepLines w:val="0"/>
              <w:keepNext w:val="0"/>
              <w:pageBreakBefore w:val="0"/>
              <w:spacing w:line="240" w:lineRule="auto"/>
              <w:widowControl/>
              <w:rPr>
                <w:rFonts w:hint="eastAsia" w:ascii="仿宋" w:hAnsi="仿宋" w:eastAsia="仿宋" w:cs="仿宋"/>
                <w:b/>
                <w:bCs/>
                <w:color w:val="000000"/>
                <w:sz w:val="24"/>
                <w:szCs w:val="24"/>
                <w:lang w:val="en-US" w:eastAsia="zh-CN"/>
              </w:rPr>
            </w:pPr>
            <w:r>
              <w:rPr>
                <w:rFonts w:hint="eastAsia" w:ascii="仿宋" w:hAnsi="仿宋" w:eastAsia="仿宋" w:cs="仿宋"/>
                <w:bCs/>
                <w:color w:val="000000"/>
                <w:sz w:val="24"/>
                <w:szCs w:val="24"/>
                <w:lang w:val="en-US" w:eastAsia="zh-CN"/>
              </w:rPr>
              <w:t xml:space="preserve">1</w:t>
            </w:r>
            <w:r>
              <w:rPr>
                <w:rFonts w:hint="eastAsia" w:ascii="仿宋" w:hAnsi="仿宋" w:eastAsia="仿宋" w:cs="仿宋"/>
                <w:b/>
                <w:bCs/>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1011"/>
              <w:jc w:val="both"/>
              <w:keepLines w:val="0"/>
              <w:keepNext w:val="0"/>
              <w:pageBreakBefore w:val="0"/>
              <w:spacing w:line="240" w:lineRule="auto"/>
              <w:widowControl/>
              <w:rPr>
                <w:rFonts w:ascii="仿宋" w:hAnsi="仿宋" w:eastAsia="仿宋" w:cs="仿宋"/>
                <w:b/>
                <w:bCs/>
                <w:color w:val="000000"/>
                <w:sz w:val="24"/>
                <w:szCs w:val="24"/>
                <w:lang w:val="en-US" w:eastAsia="zh-CN"/>
              </w:rPr>
            </w:pPr>
            <w:r>
              <w:rPr>
                <w:rFonts w:hint="eastAsia" w:ascii="仿宋" w:hAnsi="仿宋" w:eastAsia="仿宋" w:cs="仿宋"/>
                <w:bCs/>
                <w:color w:val="000000"/>
                <w:sz w:val="24"/>
                <w:szCs w:val="24"/>
                <w:lang w:val="en-US" w:eastAsia="zh-CN"/>
              </w:rPr>
              <w:t xml:space="preserve">系统建设要求和范围 </w:t>
            </w:r>
            <w:r>
              <w:rPr>
                <w:rFonts w:ascii="仿宋" w:hAnsi="仿宋" w:eastAsia="仿宋" w:cs="仿宋"/>
                <w:b/>
                <w:bCs/>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5810" w:type="dxa"/>
            <w:vAlign w:val="center"/>
            <w:textDirection w:val="lrTb"/>
            <w:noWrap/>
          </w:tcPr>
          <w:p>
            <w:pPr>
              <w:pStyle w:val="1313"/>
              <w:ind w:firstLine="480"/>
              <w:keepLines w:val="0"/>
              <w:keepNext w:val="0"/>
              <w:pageBreakBefore w:val="0"/>
              <w:spacing w:line="24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建设要求：</w:t>
            </w:r>
            <w:r>
              <w:rPr>
                <w:rFonts w:hint="eastAsia" w:ascii="仿宋" w:hAnsi="仿宋" w:eastAsia="仿宋" w:cs="仿宋"/>
                <w:bCs/>
                <w:color w:val="000000"/>
                <w:sz w:val="24"/>
                <w:szCs w:val="24"/>
                <w:lang w:val="en-US" w:eastAsia="zh-CN"/>
              </w:rPr>
            </w:r>
            <w:r/>
          </w:p>
          <w:p>
            <w:pPr>
              <w:pStyle w:val="1313"/>
              <w:ind w:firstLine="480"/>
              <w:keepLines w:val="0"/>
              <w:keepNext w:val="0"/>
              <w:pageBreakBefore w:val="0"/>
              <w:spacing w:line="24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1、实现室内位置快速识别和导航，为用户提供室内导航、位置搜索、路径规划和服务查询等功能。支持患者通过医院微信公众号或其他平台，利用院内导航系统快速找到目标科室，减少寻找和等待的时间，提高就医效率；支持根据用户的需求自动规划最优路径，使患者能够更加便捷地到达目的地。需进行适老化设计，满足老年人使用习惯。需满足医院智慧服务三级评审要求。</w:t>
            </w:r>
            <w:r>
              <w:rPr>
                <w:rFonts w:hint="eastAsia" w:ascii="仿宋" w:hAnsi="仿宋" w:eastAsia="仿宋" w:cs="仿宋"/>
                <w:bCs/>
                <w:color w:val="000000"/>
                <w:sz w:val="24"/>
                <w:szCs w:val="24"/>
                <w:lang w:val="en-US" w:eastAsia="zh-CN"/>
              </w:rPr>
            </w:r>
            <w:r/>
          </w:p>
          <w:p>
            <w:pPr>
              <w:pStyle w:val="1313"/>
              <w:ind w:firstLine="480"/>
              <w:keepLines w:val="0"/>
              <w:keepNext w:val="0"/>
              <w:pageBreakBefore w:val="0"/>
              <w:spacing w:line="24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2、门急诊、医技、体检中心等需精准定位的区域各个楼层均要求有720度VR全景图展示；</w:t>
            </w:r>
            <w:r>
              <w:rPr>
                <w:rFonts w:hint="eastAsia" w:ascii="仿宋" w:hAnsi="仿宋" w:eastAsia="仿宋" w:cs="仿宋"/>
                <w:bCs/>
                <w:color w:val="000000"/>
                <w:sz w:val="24"/>
                <w:szCs w:val="24"/>
                <w:lang w:val="en-US" w:eastAsia="zh-CN"/>
              </w:rPr>
            </w:r>
            <w:r/>
          </w:p>
          <w:p>
            <w:pPr>
              <w:pStyle w:val="1313"/>
              <w:ind w:firstLine="480"/>
              <w:keepLines w:val="0"/>
              <w:keepNext w:val="0"/>
              <w:pageBreakBefore w:val="0"/>
              <w:spacing w:line="24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3、全院通过无人机航拍的方式，实现数字孪生实景三维建模，提供实景1:1的高逼真呈现；</w:t>
            </w:r>
            <w:r>
              <w:rPr>
                <w:rFonts w:hint="eastAsia" w:ascii="仿宋" w:hAnsi="仿宋" w:eastAsia="仿宋" w:cs="仿宋"/>
                <w:bCs/>
                <w:color w:val="000000"/>
                <w:sz w:val="24"/>
                <w:szCs w:val="24"/>
                <w:lang w:val="en-US" w:eastAsia="zh-CN"/>
              </w:rPr>
            </w:r>
            <w:r/>
          </w:p>
          <w:p>
            <w:pPr>
              <w:pStyle w:val="1313"/>
              <w:ind w:firstLine="480"/>
              <w:keepLines w:val="0"/>
              <w:keepNext w:val="0"/>
              <w:pageBreakBefore w:val="0"/>
              <w:spacing w:line="24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4、支持医院APP、微信公众号或小程序调用患者诊疗过程中各科室的位置名称，并结合医院信息系统中的看病流程，对接动态就诊信息。</w:t>
            </w:r>
            <w:r>
              <w:rPr>
                <w:rFonts w:hint="eastAsia" w:ascii="仿宋" w:hAnsi="仿宋" w:eastAsia="仿宋" w:cs="仿宋"/>
                <w:bCs/>
                <w:color w:val="000000"/>
                <w:sz w:val="24"/>
                <w:szCs w:val="24"/>
                <w:lang w:val="en-US" w:eastAsia="zh-CN"/>
              </w:rPr>
            </w:r>
            <w:r/>
          </w:p>
          <w:p>
            <w:pPr>
              <w:pStyle w:val="1313"/>
              <w:ind w:firstLine="480"/>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建设范围 ：</w:t>
            </w:r>
            <w:r>
              <w:rPr>
                <w:rFonts w:hint="eastAsia" w:ascii="仿宋" w:hAnsi="仿宋" w:eastAsia="仿宋" w:cs="仿宋"/>
                <w:color w:val="000000"/>
                <w:sz w:val="24"/>
                <w:szCs w:val="24"/>
              </w:rPr>
              <w:t xml:space="preserve">绘制全院地图，包含各楼栋、院内道路、停车场区域、室外地图等</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313"/>
              <w:ind w:firstLine="480"/>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精准定位覆盖门急诊、医技、体检中心</w:t>
            </w:r>
            <w:r>
              <w:rPr>
                <w:rFonts w:hint="eastAsia" w:ascii="仿宋" w:hAnsi="仿宋" w:eastAsia="仿宋" w:cs="仿宋"/>
                <w:color w:val="000000"/>
                <w:sz w:val="24"/>
                <w:szCs w:val="24"/>
                <w:lang w:eastAsia="zh-CN"/>
              </w:rPr>
              <w:t xml:space="preserve">等</w:t>
            </w:r>
            <w:r>
              <w:rPr>
                <w:rFonts w:hint="eastAsia" w:ascii="仿宋" w:hAnsi="仿宋" w:eastAsia="仿宋" w:cs="仿宋"/>
                <w:color w:val="000000"/>
                <w:sz w:val="24"/>
                <w:szCs w:val="24"/>
              </w:rPr>
              <w:t xml:space="preserve">区域的患者走道，即2号楼F1-F5(门诊楼1-5楼、医技楼1-4楼)，8号楼F1-F6（体检楼）</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313"/>
              <w:ind w:firstLine="480"/>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楼层导航覆盖除门急诊、医技、体检中心区域以外的其他医疗区域，包含内科住院楼、外科住院楼、放疗中心、高压氧等对应的楼层，支持从电梯厅导航</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313"/>
              <w:ind w:firstLine="480"/>
              <w:keepLines w:val="0"/>
              <w:keepNext w:val="0"/>
              <w:pageBreakBefore w:val="0"/>
              <w:spacing w:line="240" w:lineRule="auto"/>
              <w:widowControl/>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本项目包含建设范围内的所有软硬件，不再产生任何其他费用。</w:t>
            </w:r>
            <w:r>
              <w:rPr>
                <w:rFonts w:ascii="仿宋" w:hAnsi="仿宋" w:eastAsia="仿宋" w:cs="仿宋"/>
                <w:color w:val="000000"/>
                <w:sz w:val="24"/>
                <w:szCs w:val="24"/>
                <w:lang w:val="en-US" w:eastAsia="zh-CN"/>
              </w:rPr>
            </w:r>
            <w:r/>
          </w:p>
        </w:tc>
      </w:tr>
      <w:tr>
        <w:trPr>
          <w:trHeight w:val="282"/>
        </w:trPr>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1011"/>
              <w:jc w:val="both"/>
              <w:keepLines w:val="0"/>
              <w:keepNext w:val="0"/>
              <w:pageBreakBefore w:val="0"/>
              <w:spacing w:line="240" w:lineRule="auto"/>
              <w:widowControl/>
              <w:rPr>
                <w:rFonts w:ascii="仿宋" w:hAnsi="仿宋" w:eastAsia="仿宋" w:cs="仿宋"/>
                <w:b/>
                <w:bCs/>
                <w:color w:val="000000"/>
                <w:sz w:val="24"/>
                <w:szCs w:val="24"/>
                <w:lang w:val="en-US" w:eastAsia="zh-CN"/>
              </w:rPr>
            </w:pPr>
            <w:r>
              <w:rPr>
                <w:rFonts w:hint="eastAsia" w:ascii="仿宋" w:hAnsi="仿宋" w:eastAsia="仿宋" w:cs="仿宋"/>
                <w:color w:val="000000"/>
                <w:sz w:val="24"/>
                <w:szCs w:val="24"/>
                <w:lang w:val="en-US" w:eastAsia="zh-CN"/>
              </w:rPr>
              <w:t xml:space="preserve">2</w:t>
            </w:r>
            <w:r>
              <w:rPr>
                <w:rFonts w:ascii="仿宋" w:hAnsi="仿宋" w:eastAsia="仿宋" w:cs="仿宋"/>
                <w:b/>
                <w:bCs/>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1011"/>
              <w:jc w:val="center"/>
              <w:keepLines w:val="0"/>
              <w:keepNext w:val="0"/>
              <w:pageBreakBefore w:val="0"/>
              <w:spacing w:line="240" w:lineRule="auto"/>
              <w:widowControl/>
              <w:rPr>
                <w:rFonts w:hint="eastAsia" w:ascii="仿宋" w:hAnsi="仿宋" w:eastAsia="仿宋" w:cs="仿宋"/>
                <w:b/>
                <w:bCs/>
                <w:color w:val="000000"/>
                <w:sz w:val="24"/>
                <w:szCs w:val="24"/>
                <w:lang w:val="en-US" w:eastAsia="zh-CN"/>
              </w:rPr>
            </w:pPr>
            <w:r>
              <w:rPr>
                <w:rFonts w:hint="eastAsia" w:ascii="仿宋" w:hAnsi="仿宋" w:eastAsia="仿宋" w:cs="仿宋"/>
                <w:bCs/>
                <w:color w:val="000000"/>
                <w:sz w:val="24"/>
                <w:szCs w:val="24"/>
                <w:lang w:val="en-US" w:eastAsia="zh-CN"/>
              </w:rPr>
              <w:t xml:space="preserve">定位平均精度</w:t>
            </w:r>
            <w:r>
              <w:rPr>
                <w:rFonts w:hint="eastAsia" w:ascii="仿宋" w:hAnsi="仿宋" w:eastAsia="仿宋" w:cs="仿宋"/>
                <w:b/>
                <w:bCs/>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5810" w:type="dxa"/>
            <w:vAlign w:val="center"/>
            <w:textDirection w:val="lrTb"/>
            <w:noWrap/>
          </w:tcPr>
          <w:p>
            <w:pPr>
              <w:pStyle w:val="1313"/>
              <w:ind w:firstLine="480"/>
              <w:keepLines w:val="0"/>
              <w:keepNext w:val="0"/>
              <w:pageBreakBefore w:val="0"/>
              <w:spacing w:line="24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蓝牙架构达到平均 1 ~3 米的定位精度，并能准确区别楼层和进行正确的路径规划；</w:t>
            </w:r>
            <w:r>
              <w:rPr>
                <w:rFonts w:hint="eastAsia" w:ascii="仿宋" w:hAnsi="仿宋" w:eastAsia="仿宋" w:cs="仿宋"/>
                <w:bCs/>
                <w:color w:val="000000"/>
                <w:sz w:val="24"/>
                <w:szCs w:val="24"/>
                <w:lang w:val="en-US" w:eastAsia="zh-CN"/>
              </w:rPr>
            </w:r>
            <w:r/>
          </w:p>
          <w:p>
            <w:pPr>
              <w:pStyle w:val="1313"/>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bCs/>
                <w:color w:val="000000"/>
                <w:sz w:val="24"/>
                <w:szCs w:val="24"/>
                <w:lang w:val="en-US" w:eastAsia="zh-CN"/>
              </w:rPr>
              <w:t xml:space="preserve">在需要定位覆盖的区域要部署安装蓝牙定位信标硬件,按最终实现定位精度1~3 米来要求，尤其针对医院高挑空大厅，通过安装蓝牙天线矩阵保障定位精度和时延；</w:t>
            </w:r>
            <w:r>
              <w:rPr>
                <w:rFonts w:hint="eastAsia" w:ascii="仿宋" w:hAnsi="仿宋" w:eastAsia="仿宋" w:cs="仿宋"/>
                <w:color w:val="000000"/>
                <w:sz w:val="24"/>
                <w:szCs w:val="24"/>
              </w:rPr>
            </w:r>
            <w:r/>
          </w:p>
        </w:tc>
      </w:tr>
      <w:tr>
        <w:trPr>
          <w:trHeight w:val="1546"/>
        </w:trPr>
        <w:tc>
          <w:tcPr>
            <w:tcBorders>
              <w:top w:val="single" w:color="000000" w:sz="4" w:space="0"/>
              <w:left w:val="single" w:color="000000" w:sz="4" w:space="0"/>
              <w:bottom w:val="single" w:color="000000" w:sz="4" w:space="0"/>
              <w:right w:val="single" w:color="000000" w:sz="4" w:space="0"/>
            </w:tcBorders>
            <w:tcW w:w="999" w:type="dxa"/>
            <w:vAlign w:val="center"/>
            <w:vMerge w:val="restart"/>
            <w:textDirection w:val="lrTb"/>
            <w:noWrap w:val="false"/>
          </w:tcPr>
          <w:p>
            <w:pPr>
              <w:pStyle w:val="1011"/>
              <w:ind w:firstLine="480"/>
              <w:jc w:val="both"/>
              <w:keepLines w:val="0"/>
              <w:keepNext w:val="0"/>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val="en-US" w:eastAsia="zh-CN"/>
              </w:rPr>
            </w:r>
            <w:r/>
          </w:p>
          <w:p>
            <w:pPr>
              <w:pStyle w:val="1011"/>
              <w:ind w:firstLine="480"/>
              <w:jc w:val="center"/>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16" w:type="dxa"/>
            <w:vAlign w:val="center"/>
            <w:vMerge w:val="restart"/>
            <w:textDirection w:val="lrTb"/>
            <w:noWrap w:val="false"/>
          </w:tcPr>
          <w:p>
            <w:pPr>
              <w:pStyle w:val="1011"/>
              <w:jc w:val="center"/>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3D地图</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810" w:type="dxa"/>
            <w:vAlign w:val="center"/>
            <w:textDirection w:val="lrTb"/>
            <w:noWrap w:val="false"/>
          </w:tcPr>
          <w:p>
            <w:pPr>
              <w:pStyle w:val="1011"/>
              <w:ind w:firstLine="480"/>
              <w:keepLines w:val="0"/>
              <w:keepNext w:val="0"/>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院内外地图一体化展示，将医院地图融入到如高德、百度、腾讯地图等室外地图当中统一展示。</w:t>
            </w:r>
            <w:r>
              <w:rPr>
                <w:rFonts w:hint="eastAsia" w:ascii="仿宋" w:hAnsi="仿宋" w:eastAsia="仿宋" w:cs="仿宋"/>
                <w:color w:val="000000"/>
                <w:sz w:val="24"/>
                <w:szCs w:val="24"/>
                <w:lang w:val="en-US" w:eastAsia="zh-CN"/>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院区室内外一体化展示，室内外景观保留主要建筑物、道路街景, 全方位、多角度、高逼真复现院区内室内外的环境设施。</w:t>
            </w:r>
            <w:r>
              <w:rPr>
                <w:rFonts w:hint="eastAsia" w:ascii="仿宋" w:hAnsi="仿宋" w:eastAsia="仿宋" w:cs="仿宋"/>
                <w:color w:val="000000"/>
                <w:sz w:val="24"/>
                <w:szCs w:val="24"/>
                <w:lang w:val="en-US" w:eastAsia="zh-CN"/>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支持室内地图多层 3D 立体展现，即在同一楼宇的不同层地图，可以在同一页面中同时展示，让患者快速了解该楼宇的结构，快速判断位置。</w:t>
            </w:r>
            <w:r>
              <w:rPr>
                <w:rFonts w:hint="eastAsia" w:ascii="仿宋" w:hAnsi="仿宋" w:eastAsia="仿宋" w:cs="仿宋"/>
                <w:color w:val="000000"/>
                <w:sz w:val="24"/>
                <w:szCs w:val="24"/>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室内地图采用3D向量地图，地图可随导航前进方向自动旋转，地图旋转时，字体不跟着旋转，保持字体正向显示，地图放大、缩小时不失真</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地图上的POI兴趣点可点选导航</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能提供APP工具直接对向量地图进行渲染美化</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实现航拍数字孪生医院实景三维建模，用无人机搭载高清相机对医院的整体建筑进行航拍，从不同角度和高度拍摄照片或者录制视频，基于航拍的测绘数据，可以生成全景视角，揭示建筑物的全貌，对医院的整院区楼栋进行3D神经元辐射场重建，及AI纹理压缩烘焙，实现轻量化的数字孪生实维三景建模。</w:t>
            </w:r>
            <w:r>
              <w:rPr>
                <w:rFonts w:hint="eastAsia" w:ascii="仿宋" w:hAnsi="仿宋" w:eastAsia="仿宋" w:cs="仿宋"/>
                <w:color w:val="000000"/>
                <w:sz w:val="24"/>
                <w:szCs w:val="24"/>
              </w:rPr>
            </w:r>
            <w:r/>
          </w:p>
        </w:tc>
      </w:tr>
      <w:tr>
        <w:trPr>
          <w:trHeight w:val="4385"/>
        </w:trPr>
        <w:tc>
          <w:tcPr>
            <w:tcBorders>
              <w:top w:val="single" w:color="000000" w:sz="4" w:space="0"/>
              <w:left w:val="single" w:color="000000" w:sz="4" w:space="0"/>
              <w:bottom w:val="none" w:color="000000" w:sz="0" w:space="0"/>
              <w:right w:val="single" w:color="000000" w:sz="4" w:space="0"/>
            </w:tcBorders>
            <w:tcW w:w="999" w:type="dxa"/>
            <w:vAlign w:val="center"/>
            <w:vMerge w:val="restart"/>
            <w:textDirection w:val="lrTb"/>
            <w:noWrap w:val="false"/>
          </w:tcPr>
          <w:p>
            <w:pPr>
              <w:pStyle w:val="1011"/>
              <w:ind w:firstLine="480"/>
              <w:jc w:val="both"/>
              <w:keepLines w:val="0"/>
              <w:keepNext w:val="0"/>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val="en-US" w:eastAsia="zh-CN"/>
              </w:rPr>
            </w:r>
            <w:r/>
          </w:p>
          <w:p>
            <w:pPr>
              <w:pStyle w:val="1011"/>
              <w:ind w:firstLine="480"/>
              <w:jc w:val="center"/>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none" w:color="000000" w:sz="0" w:space="0"/>
              <w:right w:val="single" w:color="000000" w:sz="4" w:space="0"/>
            </w:tcBorders>
            <w:tcW w:w="1616" w:type="dxa"/>
            <w:vAlign w:val="center"/>
            <w:vMerge w:val="restart"/>
            <w:textDirection w:val="lrTb"/>
            <w:noWrap w:val="false"/>
          </w:tcPr>
          <w:p>
            <w:pPr>
              <w:pStyle w:val="1011"/>
              <w:jc w:val="center"/>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科室POI</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810" w:type="dxa"/>
            <w:vAlign w:val="center"/>
            <w:textDirection w:val="lrTb"/>
            <w:noWrap w:val="false"/>
          </w:tcPr>
          <w:p>
            <w:pPr>
              <w:pStyle w:val="1011"/>
              <w:ind w:firstLine="480"/>
              <w:keepLines w:val="0"/>
              <w:keepNext w:val="0"/>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POI的分类：基于楼栋，基于楼层，基于科室名称，不同类型的功能设施（如自助挂号机、自助缴费机、自助报告打印机、自助取号机、自助售货机、卫生间、哺乳间、茶水间、充电站、ATM机、寄存柜、电梯、手扶梯）等</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POI的查询：直接从分类表中选择，</w:t>
            </w:r>
            <w:r>
              <w:rPr>
                <w:rFonts w:hint="eastAsia" w:ascii="仿宋" w:hAnsi="仿宋" w:eastAsia="仿宋" w:cs="仿宋"/>
                <w:color w:val="000000"/>
                <w:sz w:val="24"/>
                <w:szCs w:val="24"/>
                <w:lang w:eastAsia="zh-CN"/>
              </w:rPr>
              <w:t xml:space="preserve">支持</w:t>
            </w:r>
            <w:r>
              <w:rPr>
                <w:rFonts w:hint="eastAsia" w:ascii="仿宋" w:hAnsi="仿宋" w:eastAsia="仿宋" w:cs="仿宋"/>
                <w:color w:val="000000"/>
                <w:sz w:val="24"/>
                <w:szCs w:val="24"/>
              </w:rPr>
              <w:t xml:space="preserve">手工输入，语音输入等</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POI的信息：包括名称，经度，纬度，楼层，属性等</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确认初始定位后，POI兴趣点可以按照由近至远自动进行排序</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地图上POI的名称、经度、纬度、楼层、属性等数据能以Excel表的方式导出，用于管理者决策分析。</w:t>
            </w:r>
            <w:r>
              <w:rPr>
                <w:rFonts w:hint="eastAsia" w:ascii="仿宋" w:hAnsi="仿宋" w:eastAsia="仿宋" w:cs="仿宋"/>
                <w:color w:val="000000"/>
                <w:sz w:val="24"/>
                <w:szCs w:val="24"/>
              </w:rPr>
            </w:r>
            <w:r/>
          </w:p>
        </w:tc>
      </w:tr>
      <w:tr>
        <w:trPr>
          <w:trHeight w:val="2770"/>
        </w:trPr>
        <w:tc>
          <w:tcPr>
            <w:tcBorders>
              <w:top w:val="single" w:color="000000" w:sz="4" w:space="0"/>
              <w:left w:val="single" w:color="000000" w:sz="4" w:space="0"/>
              <w:bottom w:val="single" w:color="000000" w:sz="4" w:space="0"/>
              <w:right w:val="single" w:color="000000" w:sz="4" w:space="0"/>
            </w:tcBorders>
            <w:tcW w:w="999" w:type="dxa"/>
            <w:vAlign w:val="center"/>
            <w:vMerge w:val="restart"/>
            <w:textDirection w:val="lrTb"/>
            <w:noWrap w:val="false"/>
          </w:tcPr>
          <w:p>
            <w:pPr>
              <w:pStyle w:val="1011"/>
              <w:jc w:val="center"/>
              <w:keepLines w:val="0"/>
              <w:keepNext w:val="0"/>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616" w:type="dxa"/>
            <w:vAlign w:val="center"/>
            <w:vMerge w:val="restart"/>
            <w:textDirection w:val="lrTb"/>
            <w:noWrap w:val="false"/>
          </w:tcPr>
          <w:p>
            <w:pPr>
              <w:pStyle w:val="1011"/>
              <w:jc w:val="center"/>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定位技术</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810" w:type="dxa"/>
            <w:vAlign w:val="center"/>
            <w:textDirection w:val="lrTb"/>
            <w:noWrap w:val="false"/>
          </w:tcPr>
          <w:p>
            <w:pPr>
              <w:pStyle w:val="1011"/>
              <w:ind w:firstLine="480"/>
              <w:keepLines w:val="0"/>
              <w:keepNext w:val="0"/>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支持基于多信号源的强度检测，提取多径干扰的特征参数，并将其与数据库中预先存储的数据进行匹配；同时结合移动终端的多传感器信息，实现初始定位与动态移动定位的高精度体验</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在定位区域内在原地2～3秒内完成准确的初始定位和初始方向</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室内外定位无缝融合，室外定位采用GPS/北斗，室内定位采用融合定位技术（BT 4.0 LE/手机惯性传感器/地磁感应/压力计）</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rHeight w:val="581"/>
        </w:trPr>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1011"/>
              <w:jc w:val="center"/>
              <w:keepLines w:val="0"/>
              <w:keepNext w:val="0"/>
              <w:pageBreakBefore w:val="0"/>
              <w:spacing w:line="240" w:lineRule="auto"/>
              <w:widowControl/>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w:t>
            </w:r>
            <w:r>
              <w:rPr>
                <w:rFonts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pStyle w:val="1011"/>
              <w:jc w:val="center"/>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路径规划</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810" w:type="dxa"/>
            <w:vAlign w:val="center"/>
            <w:textDirection w:val="lrTb"/>
            <w:noWrap w:val="false"/>
          </w:tcPr>
          <w:p>
            <w:pPr>
              <w:pStyle w:val="1011"/>
              <w:ind w:firstLine="480"/>
              <w:keepLines w:val="0"/>
              <w:keepNext w:val="0"/>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在院内外地图一体化展示的基础上进行院内外路径统一规划预览并导航，可预览患者从院外到达医院大门的院外路径以及从医院大门到院内某楼栋内具体某地点的路径。</w:t>
            </w:r>
            <w:r>
              <w:rPr>
                <w:rFonts w:hint="eastAsia" w:ascii="仿宋" w:hAnsi="仿宋" w:eastAsia="仿宋" w:cs="仿宋"/>
                <w:color w:val="000000"/>
                <w:sz w:val="24"/>
                <w:szCs w:val="24"/>
                <w:lang w:val="en-US" w:eastAsia="zh-CN"/>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支持院内跨楼层和跨楼栋的导航路径预览。</w:t>
            </w:r>
            <w:r>
              <w:rPr>
                <w:rFonts w:hint="eastAsia" w:ascii="仿宋" w:hAnsi="仿宋" w:eastAsia="仿宋" w:cs="仿宋"/>
                <w:color w:val="000000"/>
                <w:sz w:val="24"/>
                <w:szCs w:val="24"/>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支持电梯模式、楼梯模式、手扶梯模式和无障碍模式等四种路径规划方式，并可根据用户实际位置智能推荐最适合模式，且导航中可随时切换模式。</w:t>
            </w:r>
            <w:r>
              <w:rPr>
                <w:rFonts w:hint="eastAsia" w:ascii="仿宋" w:hAnsi="仿宋" w:eastAsia="仿宋" w:cs="仿宋"/>
                <w:color w:val="000000"/>
                <w:sz w:val="24"/>
                <w:szCs w:val="24"/>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支持导航路线分时段控制，比如门诊楼和医技楼夜间关闭，</w:t>
            </w:r>
            <w:r>
              <w:rPr>
                <w:rFonts w:hint="eastAsia" w:ascii="仿宋" w:hAnsi="仿宋" w:eastAsia="仿宋" w:cs="仿宋"/>
                <w:color w:val="000000"/>
                <w:sz w:val="24"/>
                <w:szCs w:val="24"/>
                <w:lang w:val="en-US" w:eastAsia="zh-CN"/>
              </w:rPr>
              <w:t xml:space="preserve">系统</w:t>
            </w:r>
            <w:r>
              <w:rPr>
                <w:rFonts w:hint="eastAsia" w:ascii="仿宋" w:hAnsi="仿宋" w:eastAsia="仿宋" w:cs="仿宋"/>
                <w:color w:val="000000"/>
                <w:sz w:val="24"/>
                <w:szCs w:val="24"/>
              </w:rPr>
              <w:t xml:space="preserve">能自动提示当前时间此通道关闭，并自动为用户规划新的导航路线进行实时导航。</w:t>
            </w:r>
            <w:r>
              <w:rPr>
                <w:rFonts w:hint="eastAsia" w:ascii="仿宋" w:hAnsi="仿宋" w:eastAsia="仿宋" w:cs="仿宋"/>
                <w:color w:val="000000"/>
                <w:sz w:val="24"/>
                <w:szCs w:val="24"/>
              </w:rPr>
            </w:r>
            <w:r/>
          </w:p>
        </w:tc>
      </w:tr>
      <w:tr>
        <w:trPr>
          <w:trHeight w:val="933"/>
        </w:trPr>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1011"/>
              <w:jc w:val="center"/>
              <w:keepLines w:val="0"/>
              <w:keepNext w:val="0"/>
              <w:pageBreakBefore w:val="0"/>
              <w:spacing w:line="240" w:lineRule="auto"/>
              <w:widowControl/>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7</w:t>
            </w:r>
            <w:r>
              <w:rPr>
                <w:rFonts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pStyle w:val="1011"/>
              <w:jc w:val="center"/>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室外导航</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810" w:type="dxa"/>
            <w:vAlign w:val="center"/>
            <w:textDirection w:val="lrTb"/>
            <w:noWrap w:val="false"/>
          </w:tcPr>
          <w:p>
            <w:pPr>
              <w:pStyle w:val="1011"/>
              <w:ind w:firstLine="480"/>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支持来院导航功能，用户不在院区范围内时，提示用户可使用来院导航功能，并自动调用百度、高德或腾讯地图完成室外导航</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rHeight w:val="933"/>
        </w:trPr>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1011"/>
              <w:ind w:firstLine="480"/>
              <w:jc w:val="both"/>
              <w:keepLines w:val="0"/>
              <w:keepNext w:val="0"/>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pStyle w:val="1011"/>
              <w:jc w:val="center"/>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院内导航</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810" w:type="dxa"/>
            <w:vAlign w:val="center"/>
            <w:textDirection w:val="lrTb"/>
            <w:noWrap w:val="false"/>
          </w:tcPr>
          <w:p>
            <w:pPr>
              <w:pStyle w:val="1011"/>
              <w:ind w:firstLine="480"/>
              <w:keepLines w:val="0"/>
              <w:keepNext w:val="0"/>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支持跨楼层和跨楼栋实时导航，全程语音播报</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支持模拟导航，如果不在医院也可以搜索相应路线，并进行模拟导航</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导航时地图自动缩放至合适大小，并且上下手扶梯/楼梯以及电梯时，显示手扶梯/楼梯以及电梯照片以辅助导航</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支持通过微信发送当前院内实时位置或某个POI位置，对方通过收到的位置信息可直接导航到位置发送点</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支持室内位置实时共享，多用户之间可共享院内实时位置，移动轨迹实时展现，也一键导航亲友身边</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支持720度VR全景导航，无论是模拟导航还是实时导航均可展示关键节点位置的全景图像，并支持科室720度VR全景图横轴展示，方便用户判断当前所在位置，以及辨别方向</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导航小程序支持手机AR实景导航（iOS与Android系统同时支持）；在实际实时定位导航过程中，可以随时进入或者退出AR实景导航模式</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支持紧急逃生通道功能，启用后在医院地图内醒目显示医院紧急通道位置，并规划最近的逃生线路</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支持周边交通功能，可提供医院周边的交通线路给用户查询，比如公交车线路、地铁线路和停车场等，让用户便捷地选择最佳出行方式</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rPr>
              <w:t xml:space="preserve">支持深色模式，导航小程序支持随微信设置自动适配深色模式，在深色模式下，无论是3D地图界面、功能菜单界面，还是实时导航界面都可以完美适配，可有效降低在暗光环境下的视觉疲劳，提升患者导航使用体验。</w:t>
            </w:r>
            <w:r>
              <w:rPr>
                <w:rFonts w:hint="eastAsia" w:ascii="仿宋" w:hAnsi="仿宋" w:eastAsia="仿宋" w:cs="仿宋"/>
                <w:color w:val="000000"/>
                <w:sz w:val="24"/>
                <w:szCs w:val="24"/>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11、</w:t>
            </w:r>
            <w:r>
              <w:rPr>
                <w:rFonts w:hint="eastAsia" w:ascii="仿宋" w:hAnsi="仿宋" w:eastAsia="仿宋" w:cs="仿宋"/>
                <w:color w:val="000000"/>
                <w:sz w:val="24"/>
                <w:szCs w:val="24"/>
              </w:rPr>
              <w:t xml:space="preserve">支持位置收藏功能，对于经常去的位置可以将其收藏起来，下次直接点击收藏的地址就可以快速导航到目的地。</w:t>
            </w:r>
            <w:r>
              <w:rPr>
                <w:rFonts w:hint="eastAsia" w:ascii="仿宋" w:hAnsi="仿宋" w:eastAsia="仿宋" w:cs="仿宋"/>
                <w:color w:val="000000"/>
                <w:sz w:val="24"/>
                <w:szCs w:val="24"/>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12、</w:t>
            </w:r>
            <w:r>
              <w:rPr>
                <w:rFonts w:hint="eastAsia" w:ascii="仿宋" w:hAnsi="仿宋" w:eastAsia="仿宋" w:cs="仿宋"/>
                <w:color w:val="000000"/>
                <w:sz w:val="24"/>
                <w:szCs w:val="24"/>
              </w:rPr>
              <w:t xml:space="preserve">支持“关怀”模式，以更大、更清晰的文字，更强、更好认的色彩，更大、更易用的按钮，进一步便利老年人就医。</w:t>
            </w:r>
            <w:r>
              <w:rPr>
                <w:rFonts w:hint="eastAsia" w:ascii="仿宋" w:hAnsi="仿宋" w:eastAsia="仿宋" w:cs="仿宋"/>
                <w:color w:val="000000"/>
                <w:sz w:val="24"/>
                <w:szCs w:val="24"/>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13、</w:t>
            </w:r>
            <w:r>
              <w:rPr>
                <w:rFonts w:hint="eastAsia" w:ascii="仿宋" w:hAnsi="仿宋" w:eastAsia="仿宋" w:cs="仿宋"/>
                <w:color w:val="000000"/>
                <w:sz w:val="24"/>
                <w:szCs w:val="24"/>
              </w:rPr>
              <w:t xml:space="preserve">支持底层融合DeepSeek、通义千问或百川医疗等国产大模型技术底座的“Ai问路“功能，融合医院知识库，医院的“Ai导航数字人“，可智能解答患者就医过程中常见跟科室位置相关的查询及导航，减少人工客服压力，提升响应速度，改善患者咨询体验。</w:t>
            </w:r>
            <w:r>
              <w:rPr>
                <w:rFonts w:hint="eastAsia" w:ascii="仿宋" w:hAnsi="仿宋" w:eastAsia="仿宋" w:cs="仿宋"/>
                <w:color w:val="000000"/>
                <w:sz w:val="24"/>
                <w:szCs w:val="24"/>
              </w:rPr>
            </w:r>
            <w:r/>
          </w:p>
        </w:tc>
      </w:tr>
      <w:tr>
        <w:trPr>
          <w:trHeight w:val="463"/>
        </w:trPr>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1011"/>
              <w:ind w:firstLine="480"/>
              <w:jc w:val="both"/>
              <w:keepLines w:val="0"/>
              <w:keepNext w:val="0"/>
              <w:pageBreakBefore w:val="0"/>
              <w:spacing w:line="240" w:lineRule="auto"/>
              <w:widowControl/>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9</w:t>
            </w:r>
            <w:r>
              <w:rPr>
                <w:rFonts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pStyle w:val="1011"/>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业务系统对接</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810" w:type="dxa"/>
            <w:vAlign w:val="center"/>
            <w:textDirection w:val="lrTb"/>
            <w:noWrap w:val="false"/>
          </w:tcPr>
          <w:p>
            <w:pPr>
              <w:pStyle w:val="1011"/>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跟医院移动端业务流程对接，患者点击医院微信公众号的消息模板里的导航链接或就医导引的列表按钮，要直接跳转小程序对目的地地点开始导航。</w:t>
            </w:r>
            <w:r>
              <w:rPr>
                <w:rFonts w:hint="eastAsia" w:ascii="仿宋" w:hAnsi="仿宋" w:eastAsia="仿宋" w:cs="仿宋"/>
                <w:color w:val="000000"/>
                <w:sz w:val="24"/>
                <w:szCs w:val="24"/>
              </w:rPr>
            </w:r>
            <w:r/>
          </w:p>
        </w:tc>
      </w:tr>
      <w:tr>
        <w:trPr>
          <w:trHeight w:val="2168"/>
        </w:trPr>
        <w:tc>
          <w:tcPr>
            <w:tcBorders>
              <w:top w:val="single" w:color="000000" w:sz="4" w:space="0"/>
              <w:left w:val="single" w:color="000000" w:sz="4" w:space="0"/>
              <w:bottom w:val="single" w:color="000000" w:sz="4" w:space="0"/>
              <w:right w:val="single" w:color="000000" w:sz="4" w:space="0"/>
            </w:tcBorders>
            <w:tcW w:w="999" w:type="dxa"/>
            <w:vAlign w:val="center"/>
            <w:vMerge w:val="restart"/>
            <w:textDirection w:val="lrTb"/>
            <w:noWrap w:val="false"/>
          </w:tcPr>
          <w:p>
            <w:pPr>
              <w:pStyle w:val="1011"/>
              <w:jc w:val="center"/>
              <w:pageBreakBefore w:val="0"/>
              <w:spacing w:line="240" w:lineRule="auto"/>
              <w:widowControl/>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w:t>
            </w:r>
            <w:r>
              <w:rPr>
                <w:rFonts w:ascii="仿宋" w:hAnsi="仿宋" w:eastAsia="仿宋" w:cs="仿宋"/>
                <w:color w:val="000000"/>
                <w:sz w:val="24"/>
                <w:szCs w:val="24"/>
                <w:lang w:val="en-US" w:eastAsia="zh-CN"/>
              </w:rPr>
            </w:r>
            <w:r/>
          </w:p>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1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管理平台</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810" w:type="dxa"/>
            <w:vAlign w:val="center"/>
            <w:textDirection w:val="lrTb"/>
            <w:noWrap w:val="false"/>
          </w:tcPr>
          <w:p>
            <w:pPr>
              <w:pStyle w:val="1011"/>
              <w:ind w:firstLine="480"/>
              <w:pageBreakBefore w:val="0"/>
              <w:spacing w:line="240"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院内导航大数据分析平台可提供实时动线数据和历史数据统计。实时动线数据可实时浏览今日当前在线人数，今日使用次数，核心功能使用统计，用户使用终端占比，使用人数对比分析以及热门排行；历史数据统计可浏览用户过往时间段内人员分布热力图核心功能使用统计，用户使用终端占比以及热门排行。</w:t>
            </w:r>
            <w:r>
              <w:rPr>
                <w:rFonts w:hint="eastAsia" w:ascii="仿宋" w:hAnsi="仿宋" w:eastAsia="仿宋" w:cs="仿宋"/>
                <w:color w:val="000000"/>
                <w:sz w:val="24"/>
                <w:szCs w:val="24"/>
                <w:lang w:val="en-US" w:eastAsia="zh-CN"/>
              </w:rPr>
            </w:r>
            <w:r/>
          </w:p>
          <w:p>
            <w:pPr>
              <w:pStyle w:val="1011"/>
              <w:ind w:firstLine="48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提供APP对蓝牙定位信标进行集中管理，以便检测蓝牙设备是否遗失、是否正常工作、信标位置管理。</w:t>
            </w:r>
            <w:r>
              <w:rPr>
                <w:rFonts w:hint="eastAsia" w:ascii="仿宋" w:hAnsi="仿宋" w:eastAsia="仿宋" w:cs="仿宋"/>
                <w:color w:val="000000"/>
                <w:sz w:val="24"/>
                <w:szCs w:val="24"/>
              </w:rPr>
            </w:r>
            <w:r/>
          </w:p>
          <w:p>
            <w:pPr>
              <w:pStyle w:val="1011"/>
              <w:ind w:firstLine="48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提供专业的POI校准APP进行科室信息校对，并且用户自己可以通过APP工具对POI信息进行增删或修改</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支持院内道路、扶梯、电梯的通行性会不定期进行变更，应提供对院内扶梯方向进行定时修改的工具，保证院内导航过程中不会错误引导患者</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rHeight w:val="1254"/>
        </w:trPr>
        <w:tc>
          <w:tcPr>
            <w:tcBorders>
              <w:top w:val="single" w:color="000000" w:sz="4" w:space="0"/>
              <w:left w:val="single" w:color="000000" w:sz="4" w:space="0"/>
              <w:bottom w:val="none" w:color="000000" w:sz="0" w:space="0"/>
              <w:right w:val="single" w:color="000000" w:sz="4" w:space="0"/>
            </w:tcBorders>
            <w:tcW w:w="999" w:type="dxa"/>
            <w:vAlign w:val="center"/>
            <w:vMerge w:val="restart"/>
            <w:textDirection w:val="lrTb"/>
            <w:noWrap w:val="false"/>
          </w:tcPr>
          <w:p>
            <w:pPr>
              <w:pStyle w:val="1011"/>
              <w:jc w:val="center"/>
              <w:pageBreakBefore w:val="0"/>
              <w:spacing w:line="240" w:lineRule="auto"/>
              <w:widowControl/>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11</w:t>
            </w:r>
            <w:r>
              <w:rPr>
                <w:rFonts w:ascii="仿宋" w:hAnsi="仿宋" w:eastAsia="仿宋" w:cs="仿宋"/>
                <w:color w:val="000000"/>
                <w:sz w:val="24"/>
                <w:szCs w:val="24"/>
                <w:lang w:val="en-US" w:eastAsia="zh-CN"/>
              </w:rPr>
            </w:r>
            <w:r/>
          </w:p>
        </w:tc>
        <w:tc>
          <w:tcPr>
            <w:tcBorders>
              <w:top w:val="single" w:color="000000" w:sz="4" w:space="0"/>
              <w:left w:val="single" w:color="000000" w:sz="4" w:space="0"/>
              <w:bottom w:val="none" w:color="000000" w:sz="0" w:space="0"/>
              <w:right w:val="single" w:color="000000" w:sz="4" w:space="0"/>
            </w:tcBorders>
            <w:tcW w:w="1616" w:type="dxa"/>
            <w:vAlign w:val="center"/>
            <w:vMerge w:val="restart"/>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支持平台</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810" w:type="dxa"/>
            <w:vAlign w:val="center"/>
            <w:textDirection w:val="lrTb"/>
            <w:noWrap w:val="false"/>
          </w:tcPr>
          <w:p>
            <w:pPr>
              <w:pStyle w:val="1011"/>
              <w:ind w:firstLine="48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支持iOS 14.0及以上，Android 8.0及以上，鸿蒙3.0及以上的移动终端系统</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r>
            <w:r/>
          </w:p>
          <w:p>
            <w:pPr>
              <w:pStyle w:val="1011"/>
              <w:ind w:firstLine="48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支持嵌入到医院微信公众号</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支持嵌入到医院小程序</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rHeight w:val="2490"/>
        </w:trPr>
        <w:tc>
          <w:tcPr>
            <w:tcBorders>
              <w:top w:val="single" w:color="000000" w:sz="4" w:space="0"/>
              <w:left w:val="single" w:color="000000" w:sz="4" w:space="0"/>
              <w:bottom w:val="single" w:color="000000" w:sz="4" w:space="0"/>
              <w:right w:val="single" w:color="000000" w:sz="4" w:space="0"/>
            </w:tcBorders>
            <w:tcW w:w="999" w:type="dxa"/>
            <w:vAlign w:val="center"/>
            <w:vMerge w:val="restart"/>
            <w:textDirection w:val="lrTb"/>
            <w:noWrap w:val="false"/>
          </w:tcPr>
          <w:p>
            <w:pPr>
              <w:pStyle w:val="1011"/>
              <w:jc w:val="center"/>
              <w:pageBreakBefore w:val="0"/>
              <w:spacing w:line="240" w:lineRule="auto"/>
              <w:widowControl/>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w:t>
            </w:r>
            <w:r>
              <w:rPr>
                <w:rFonts w:ascii="仿宋" w:hAnsi="仿宋" w:eastAsia="仿宋" w:cs="仿宋"/>
                <w:color w:val="000000"/>
                <w:sz w:val="24"/>
                <w:szCs w:val="24"/>
                <w:lang w:val="en-US" w:eastAsia="zh-CN"/>
              </w:rPr>
            </w:r>
            <w:r/>
          </w:p>
          <w:p>
            <w:pPr>
              <w:pStyle w:val="1011"/>
              <w:ind w:firstLine="480"/>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16" w:type="dxa"/>
            <w:vAlign w:val="top"/>
            <w:vMerge w:val="restart"/>
            <w:textDirection w:val="lrTb"/>
            <w:noWrap w:val="false"/>
          </w:tcPr>
          <w:p>
            <w:pPr>
              <w:pStyle w:val="1011"/>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jc w:val="center"/>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蓝牙信标</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810" w:type="dxa"/>
            <w:vAlign w:val="top"/>
            <w:textDirection w:val="lrTb"/>
            <w:noWrap w:val="false"/>
          </w:tcPr>
          <w:p>
            <w:pPr>
              <w:pStyle w:val="1011"/>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支持Bluetooth BLE 4.0和标准iBeacon协议</w:t>
            </w:r>
            <w:r>
              <w:rPr>
                <w:rFonts w:hint="eastAsia" w:ascii="仿宋" w:hAnsi="仿宋" w:eastAsia="仿宋" w:cs="仿宋"/>
                <w:color w:val="000000"/>
                <w:sz w:val="24"/>
                <w:szCs w:val="24"/>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内置高容量锂亚电池≥2400mAh</w:t>
            </w:r>
            <w:r>
              <w:rPr>
                <w:rFonts w:hint="eastAsia" w:ascii="仿宋" w:hAnsi="仿宋" w:eastAsia="仿宋" w:cs="仿宋"/>
                <w:color w:val="000000"/>
                <w:sz w:val="24"/>
                <w:szCs w:val="24"/>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电池续航时间≥6年</w:t>
            </w:r>
            <w:r>
              <w:rPr>
                <w:rFonts w:hint="eastAsia" w:ascii="仿宋" w:hAnsi="仿宋" w:eastAsia="仿宋" w:cs="仿宋"/>
                <w:color w:val="000000"/>
                <w:sz w:val="24"/>
                <w:szCs w:val="24"/>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产品重量≤40g(含电池)</w:t>
            </w:r>
            <w:r>
              <w:rPr>
                <w:rFonts w:hint="eastAsia" w:ascii="仿宋" w:hAnsi="仿宋" w:eastAsia="仿宋" w:cs="仿宋"/>
                <w:color w:val="000000"/>
                <w:sz w:val="24"/>
                <w:szCs w:val="24"/>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产品美观大方，厚度≤21mm，直径≤50mm</w:t>
            </w:r>
            <w:r>
              <w:rPr>
                <w:rFonts w:hint="eastAsia" w:ascii="仿宋" w:hAnsi="仿宋" w:eastAsia="仿宋" w:cs="仿宋"/>
                <w:color w:val="000000"/>
                <w:sz w:val="24"/>
                <w:szCs w:val="24"/>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蓝牙信标数量要满足医院良好的导航使用体验</w:t>
            </w:r>
            <w:r>
              <w:rPr>
                <w:rFonts w:hint="eastAsia" w:ascii="仿宋" w:hAnsi="仿宋" w:eastAsia="仿宋" w:cs="仿宋"/>
                <w:color w:val="000000"/>
                <w:sz w:val="24"/>
                <w:szCs w:val="24"/>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蓝牙信标产品须符合GB/T 26572-2011的相关要求或具备RoHS证书。</w:t>
            </w:r>
            <w:r>
              <w:rPr>
                <w:rFonts w:hint="eastAsia" w:ascii="仿宋" w:hAnsi="仿宋" w:eastAsia="仿宋" w:cs="仿宋"/>
                <w:color w:val="000000"/>
                <w:sz w:val="24"/>
                <w:szCs w:val="24"/>
              </w:rPr>
            </w:r>
            <w:r/>
          </w:p>
        </w:tc>
      </w:tr>
      <w:tr>
        <w:trPr>
          <w:trHeight w:val="1515"/>
        </w:trPr>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1011"/>
              <w:ind w:firstLine="480"/>
              <w:jc w:val="center"/>
              <w:pageBreakBefore w:val="0"/>
              <w:spacing w:line="240" w:lineRule="auto"/>
              <w:widowControl/>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13</w:t>
            </w:r>
            <w:r>
              <w:rPr>
                <w:rFonts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pStyle w:val="1011"/>
              <w:jc w:val="center"/>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蓝牙天线矩阵</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810" w:type="dxa"/>
            <w:vAlign w:val="top"/>
            <w:textDirection w:val="lrTb"/>
            <w:noWrap w:val="false"/>
          </w:tcPr>
          <w:p>
            <w:pPr>
              <w:pStyle w:val="1011"/>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支持医院门诊中空大厅空旷区域的高精度定位覆盖</w:t>
            </w:r>
            <w:r>
              <w:rPr>
                <w:rFonts w:hint="eastAsia" w:ascii="仿宋" w:hAnsi="仿宋" w:eastAsia="仿宋" w:cs="仿宋"/>
                <w:color w:val="000000"/>
                <w:sz w:val="24"/>
                <w:szCs w:val="24"/>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支持Bluetooth BLE 5.1和标准iBeacon协议</w:t>
            </w:r>
            <w:r>
              <w:rPr>
                <w:rFonts w:hint="eastAsia" w:ascii="仿宋" w:hAnsi="仿宋" w:eastAsia="仿宋" w:cs="仿宋"/>
                <w:color w:val="000000"/>
                <w:sz w:val="24"/>
                <w:szCs w:val="24"/>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支持1×4或更高的圆极化天线单元</w:t>
            </w:r>
            <w:r>
              <w:rPr>
                <w:rFonts w:hint="eastAsia" w:ascii="仿宋" w:hAnsi="仿宋" w:eastAsia="仿宋" w:cs="仿宋"/>
                <w:color w:val="000000"/>
                <w:sz w:val="24"/>
                <w:szCs w:val="24"/>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发射功率≥-5dBm</w:t>
            </w:r>
            <w:r>
              <w:rPr>
                <w:rFonts w:hint="eastAsia" w:ascii="仿宋" w:hAnsi="仿宋" w:eastAsia="仿宋" w:cs="仿宋"/>
                <w:color w:val="000000"/>
                <w:sz w:val="24"/>
                <w:szCs w:val="24"/>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增益天线≥7dBi</w:t>
            </w:r>
            <w:r>
              <w:rPr>
                <w:rFonts w:hint="eastAsia" w:ascii="仿宋" w:hAnsi="仿宋" w:eastAsia="仿宋" w:cs="仿宋"/>
                <w:color w:val="000000"/>
                <w:sz w:val="24"/>
                <w:szCs w:val="24"/>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支持方向角定位技术</w:t>
            </w:r>
            <w:r>
              <w:rPr>
                <w:rFonts w:hint="eastAsia" w:ascii="仿宋" w:hAnsi="仿宋" w:eastAsia="仿宋" w:cs="仿宋"/>
                <w:color w:val="000000"/>
                <w:sz w:val="24"/>
                <w:szCs w:val="24"/>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支持类神经网络的深度学习算法</w:t>
            </w:r>
            <w:r>
              <w:rPr>
                <w:rFonts w:hint="eastAsia" w:ascii="仿宋" w:hAnsi="仿宋" w:eastAsia="仿宋" w:cs="仿宋"/>
                <w:color w:val="000000"/>
                <w:sz w:val="24"/>
                <w:szCs w:val="24"/>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支持多波束覆盖</w:t>
            </w:r>
            <w:r>
              <w:rPr>
                <w:rFonts w:hint="eastAsia" w:ascii="仿宋" w:hAnsi="仿宋" w:eastAsia="仿宋" w:cs="仿宋"/>
                <w:color w:val="000000"/>
                <w:sz w:val="24"/>
                <w:szCs w:val="24"/>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支持波束形成高指向性天线，可抗拒多重环境的路径干扰</w:t>
            </w:r>
            <w:r>
              <w:rPr>
                <w:rFonts w:hint="eastAsia" w:ascii="仿宋" w:hAnsi="仿宋" w:eastAsia="仿宋" w:cs="仿宋"/>
                <w:color w:val="000000"/>
                <w:sz w:val="24"/>
                <w:szCs w:val="24"/>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续航时间≥3年，电池可更换</w:t>
            </w:r>
            <w:r>
              <w:rPr>
                <w:rFonts w:hint="eastAsia" w:ascii="仿宋" w:hAnsi="仿宋" w:eastAsia="仿宋" w:cs="仿宋"/>
                <w:color w:val="000000"/>
                <w:sz w:val="24"/>
                <w:szCs w:val="24"/>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支持壁挂式安装</w:t>
            </w:r>
            <w:r>
              <w:rPr>
                <w:rFonts w:hint="eastAsia" w:ascii="仿宋" w:hAnsi="仿宋" w:eastAsia="仿宋" w:cs="仿宋"/>
                <w:color w:val="000000"/>
                <w:sz w:val="24"/>
                <w:szCs w:val="24"/>
              </w:rPr>
            </w:r>
            <w:r/>
          </w:p>
          <w:p>
            <w:pPr>
              <w:pStyle w:val="1011"/>
              <w:ind w:firstLine="480"/>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尺寸≤330×250×40mm（长宽高）</w:t>
            </w:r>
            <w:r>
              <w:rPr>
                <w:rFonts w:hint="eastAsia" w:ascii="仿宋" w:hAnsi="仿宋" w:eastAsia="仿宋" w:cs="仿宋"/>
                <w:color w:val="000000"/>
                <w:sz w:val="24"/>
                <w:szCs w:val="24"/>
              </w:rPr>
            </w:r>
            <w:r/>
          </w:p>
        </w:tc>
      </w:tr>
    </w:tbl>
    <w:p>
      <w:pPr>
        <w:pStyle w:val="1011"/>
        <w:ind w:firstLine="482"/>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七、接口对接及调试要求</w:t>
      </w:r>
      <w:r>
        <w:rPr>
          <w:rFonts w:hint="eastAsia" w:ascii="宋体" w:hAnsi="宋体" w:eastAsia="宋体" w:cs="宋体"/>
          <w:b/>
          <w:bCs/>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本项目包含但不限于以下接口，中标供应商需在合同履约期内免费提供接口对接和调试：</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（1）本项目包含的系统之间的对接接口，中标供应商需免费提供接口的对接和调试；</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（2）本项目包含的系统与第三方系统之间的接口，中标供应商需免费提供接口的对接和调试；</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（3）本项目包含的系统与采购人的设备、终端的接口，中标供应商需免费提供接口的对接和调试；</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（4）本项目包含的系统与国家、省、市、区相关平台的接口，中标供应商需免费提供接口的对接和调试。</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（5）本项目包含的系统与其他任何相关系统或平台的接口对接需求时，中标供应商也应积极配合并提供免费的接口对接和调试服务。</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在接口对接过程中，中标供应商需严格遵循国家及行业相关标准规范，确保接口的兼容性、稳定性和安全性。同时，需与相关方保持密切沟通，及时反馈对接进展情况，对于对接过程中出现的问题，应在采购人要求的时间内提出有效的解决方案并完成调试，直至接口能够正常、稳定地运行，满足系统整体功能需求。</w:t>
      </w:r>
      <w:r>
        <w:rPr>
          <w:rFonts w:hint="eastAsia" w:ascii="宋体" w:hAnsi="宋体" w:eastAsia="宋体" w:cs="宋体"/>
          <w:color w:val="000000"/>
          <w:sz w:val="24"/>
          <w:szCs w:val="24"/>
          <w:lang w:val="en-US" w:eastAsia="zh-CN"/>
        </w:rPr>
      </w:r>
      <w:r/>
    </w:p>
    <w:p>
      <w:pPr>
        <w:pStyle w:val="1011"/>
        <w:ind w:firstLine="482"/>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八、源代码相关要求</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本项目的互联网医院部分，中标供应商需做好采购人指定人员的培训工作，配合采购人快速上手。同时，中标供应商需做好采购人指定人员的系统部署、发布的培训工作，提供完整的部署文档，配置文档，发布手册，并由采购人独立负责程序的发布工作；</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（2）本项目的互联网医院部分，中标供应商需配合做好采购人自研模块的接入、调试，不得以任何理由限制采购人自研模块的接入。</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（3）本项目所有系统相关的接口源代码需免费提供并由采购人发布管理。</w:t>
      </w:r>
      <w:r>
        <w:rPr>
          <w:rFonts w:hint="eastAsia" w:ascii="宋体" w:hAnsi="宋体" w:eastAsia="宋体" w:cs="宋体"/>
          <w:color w:val="000000"/>
          <w:sz w:val="24"/>
          <w:szCs w:val="24"/>
          <w:lang w:val="en-US" w:eastAsia="zh-CN"/>
        </w:rPr>
      </w:r>
      <w:r/>
    </w:p>
    <w:p>
      <w:pPr>
        <w:pStyle w:val="1011"/>
        <w:ind w:firstLine="482"/>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九、</w:t>
      </w:r>
      <w:r>
        <w:rPr>
          <w:rFonts w:hint="eastAsia" w:ascii="宋体" w:hAnsi="宋体" w:eastAsia="宋体" w:cs="宋体"/>
          <w:b/>
          <w:bCs/>
          <w:color w:val="000000"/>
          <w:sz w:val="24"/>
          <w:szCs w:val="24"/>
          <w:lang w:val="en-US" w:eastAsia="zh-CN"/>
        </w:rPr>
        <w:t xml:space="preserve">其他要求</w:t>
      </w:r>
      <w:r>
        <w:rPr>
          <w:rFonts w:hint="eastAsia" w:ascii="宋体" w:hAnsi="宋体" w:eastAsia="宋体" w:cs="宋体"/>
          <w:b/>
          <w:bCs/>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red"/>
          <w:lang w:val="en-US" w:eastAsia="zh-CN"/>
        </w:rPr>
      </w:pPr>
      <w:r>
        <w:rPr>
          <w:rFonts w:hint="eastAsia" w:ascii="宋体" w:hAnsi="宋体" w:eastAsia="宋体" w:cs="宋体"/>
          <w:color w:val="000000"/>
          <w:sz w:val="24"/>
          <w:szCs w:val="24"/>
          <w:lang w:val="en-US" w:eastAsia="zh-CN"/>
        </w:rPr>
        <w:t xml:space="preserve">（1）中标供应商需根据招标文件、投标文件、合同免费配合改造、对接、调试</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red"/>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（2）本项目中的所有系统均需通过安全测试，并出具安全测试报告；</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（3）中标供应商需提供本项目中所有系统的数据库管理员账户及密码以及完整的表结构文档。</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（4）本项目中所有系统的建设均需支持满足信创的相关要求；</w:t>
      </w:r>
      <w:r>
        <w:rPr>
          <w:rFonts w:hint="eastAsia" w:ascii="宋体" w:hAnsi="宋体" w:eastAsia="宋体" w:cs="宋体"/>
          <w:color w:val="000000"/>
          <w:sz w:val="24"/>
          <w:szCs w:val="24"/>
          <w:lang w:val="en-US" w:eastAsia="zh-CN"/>
        </w:rPr>
      </w:r>
      <w:r/>
    </w:p>
    <w:p>
      <w:pPr>
        <w:pStyle w:val="1011"/>
        <w:ind w:firstLine="482"/>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 十、</w:t>
      </w:r>
      <w:r>
        <w:rPr>
          <w:rFonts w:hint="eastAsia" w:ascii="宋体" w:hAnsi="宋体" w:eastAsia="宋体" w:cs="宋体"/>
          <w:b/>
          <w:bCs/>
          <w:color w:val="000000"/>
          <w:sz w:val="24"/>
          <w:szCs w:val="24"/>
          <w:lang w:val="en-US" w:eastAsia="zh-CN"/>
        </w:rPr>
        <w:t xml:space="preserve">商务要求</w:t>
      </w:r>
      <w:r>
        <w:rPr>
          <w:rFonts w:hint="eastAsia" w:ascii="宋体" w:hAnsi="宋体" w:eastAsia="宋体" w:cs="宋体"/>
          <w:b/>
          <w:bCs/>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(1)项目实施要求</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eastAsia="宋体" w:cs="宋体"/>
          <w:color w:val="000000"/>
          <w:sz w:val="24"/>
          <w:szCs w:val="24"/>
          <w:highlight w:val="none"/>
          <w:lang w:val="en-US" w:eastAsia="zh-CN"/>
        </w:rPr>
        <w:t xml:space="preserve">投标人对本项目系统建设提供的实施管理需包含项目管理、项目进度管理、文档资料管理、项目难点分析、项目风险管理、项目验收管理。如投标人无法达成以下项目实施要求，均视为投标人违约。采购人有权直接向投标人开具“通知单”或“警告单”进行处理，详见采购需求中“违约责任”。</w:t>
      </w:r>
      <w:r>
        <w:rPr>
          <w:rFonts w:hint="eastAsia" w:ascii="宋体" w:hAnsi="宋体" w:cs="宋体"/>
          <w:color w:val="000000"/>
          <w:sz w:val="21"/>
          <w:szCs w:val="21"/>
          <w:highlight w:val="none"/>
        </w:rPr>
      </w:r>
      <w:r/>
    </w:p>
    <w:p>
      <w:pPr>
        <w:pStyle w:val="1011"/>
        <w:ind w:left="239"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微软雅黑" w:hAnsi="微软雅黑" w:eastAsia="微软雅黑" w:cs="微软雅黑"/>
          <w:color w:val="000000"/>
          <w:sz w:val="24"/>
          <w:szCs w:val="24"/>
          <w:lang w:val="en-US" w:eastAsia="zh-CN"/>
        </w:rPr>
        <w:t xml:space="preserve">①</w:t>
      </w:r>
      <w:r>
        <w:rPr>
          <w:rFonts w:hint="eastAsia" w:ascii="宋体" w:hAnsi="宋体" w:eastAsia="宋体" w:cs="宋体"/>
          <w:color w:val="000000"/>
          <w:sz w:val="24"/>
          <w:szCs w:val="24"/>
          <w:lang w:val="en-US" w:eastAsia="zh-CN"/>
        </w:rPr>
        <w:t xml:space="preserve">项目实施需在 550 个工作日内整体验收合格。</w:t>
      </w:r>
      <w:r>
        <w:rPr>
          <w:rFonts w:hint="eastAsia" w:ascii="宋体" w:hAnsi="宋体" w:eastAsia="宋体" w:cs="宋体"/>
          <w:color w:val="000000"/>
          <w:sz w:val="24"/>
          <w:szCs w:val="24"/>
          <w:lang w:val="en-US" w:eastAsia="zh-CN"/>
        </w:rPr>
      </w:r>
      <w:r/>
    </w:p>
    <w:p>
      <w:pPr>
        <w:pStyle w:val="1011"/>
        <w:ind w:left="239" w:firstLine="480"/>
        <w:keepLines w:val="0"/>
        <w:keepNext w:val="0"/>
        <w:pageBreakBefore w:val="0"/>
        <w:spacing w:line="360" w:lineRule="auto"/>
        <w:widowControl w:val="off"/>
        <w:rPr>
          <w:color w:val="000000"/>
        </w:rPr>
      </w:pPr>
      <w:r>
        <w:rPr>
          <w:rFonts w:hint="eastAsia" w:ascii="微软雅黑" w:hAnsi="微软雅黑" w:eastAsia="微软雅黑" w:cs="微软雅黑"/>
          <w:color w:val="000000"/>
          <w:sz w:val="24"/>
          <w:szCs w:val="24"/>
          <w:lang w:val="en-US" w:eastAsia="zh-CN"/>
        </w:rPr>
        <w:t xml:space="preserve">②</w:t>
      </w:r>
      <w:r>
        <w:rPr>
          <w:rFonts w:hint="eastAsia" w:ascii="宋体" w:hAnsi="宋体" w:eastAsia="宋体" w:cs="宋体"/>
          <w:color w:val="000000"/>
          <w:sz w:val="24"/>
          <w:szCs w:val="24"/>
          <w:lang w:val="en-US" w:eastAsia="zh-CN"/>
        </w:rPr>
        <w:t xml:space="preserve">采购人可针对投标人在项目实施过程中的问题发出项目限期整改联系单，投标人应在收到整改联系单后5个工作日内向采购人以书面方式提交具体整改计划（整改计划应经过采购人审核认可），并在采购人规定的期限内整改完毕。投标人过错导致投标人未按时提交具体整改计划的，或投标人未在采购人规定期限内整改完毕的，均视为投标人违约。</w:t>
      </w:r>
      <w:r>
        <w:rPr>
          <w:color w:val="000000"/>
        </w:rPr>
      </w:r>
      <w:r/>
    </w:p>
    <w:p>
      <w:pPr>
        <w:pStyle w:val="1011"/>
        <w:ind w:left="239"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微软雅黑" w:hAnsi="微软雅黑" w:eastAsia="微软雅黑" w:cs="微软雅黑"/>
          <w:color w:val="000000"/>
          <w:sz w:val="24"/>
          <w:szCs w:val="24"/>
          <w:lang w:val="en-US" w:eastAsia="zh-CN"/>
        </w:rPr>
        <w:t xml:space="preserve">③</w:t>
      </w:r>
      <w:r>
        <w:rPr>
          <w:rFonts w:hint="eastAsia" w:ascii="宋体" w:hAnsi="宋体" w:eastAsia="宋体" w:cs="宋体"/>
          <w:color w:val="000000"/>
          <w:sz w:val="24"/>
          <w:szCs w:val="24"/>
          <w:lang w:val="en-US" w:eastAsia="zh-CN"/>
        </w:rPr>
        <w:t xml:space="preserve">投标人的现场实施人员需根据采购人要求完成相应的系统上线工作。项目建设过程中，如遇政策、医院管理要求变化可能会导致本项目建设内容和范围略有调整，投标人在收到采购人的需求和功能修改通知后，应及时安排人员进行功能调整、测试，进度依实施计划要求。</w:t>
      </w:r>
      <w:r>
        <w:rPr>
          <w:rFonts w:hint="eastAsia" w:ascii="宋体" w:hAnsi="宋体" w:eastAsia="宋体" w:cs="宋体"/>
          <w:color w:val="000000"/>
          <w:sz w:val="24"/>
          <w:szCs w:val="24"/>
          <w:lang w:val="en-US" w:eastAsia="zh-CN"/>
        </w:rPr>
      </w:r>
      <w:r/>
    </w:p>
    <w:p>
      <w:pPr>
        <w:pStyle w:val="1011"/>
        <w:ind w:left="239"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微软雅黑" w:hAnsi="微软雅黑" w:eastAsia="微软雅黑" w:cs="微软雅黑"/>
          <w:color w:val="000000"/>
          <w:sz w:val="24"/>
          <w:szCs w:val="24"/>
          <w:lang w:val="en-US" w:eastAsia="zh-CN"/>
        </w:rPr>
        <w:t xml:space="preserve">④</w:t>
      </w:r>
      <w:r>
        <w:rPr>
          <w:rFonts w:hint="eastAsia" w:ascii="宋体" w:hAnsi="宋体" w:eastAsia="宋体" w:cs="宋体"/>
          <w:color w:val="000000"/>
          <w:sz w:val="24"/>
          <w:szCs w:val="24"/>
          <w:lang w:val="en-US" w:eastAsia="zh-CN"/>
        </w:rPr>
        <w:t xml:space="preserve">投标人具备质量管理和控制的能力。对本项目的风险预见以及风险规避有系统的解决方式及能力，对项目进行中的突发事件有紧急的预案。</w:t>
      </w:r>
      <w:r>
        <w:rPr>
          <w:rFonts w:hint="eastAsia" w:ascii="宋体" w:hAnsi="宋体" w:eastAsia="宋体" w:cs="宋体"/>
          <w:color w:val="000000"/>
          <w:sz w:val="24"/>
          <w:szCs w:val="24"/>
          <w:lang w:val="en-US" w:eastAsia="zh-CN"/>
        </w:rPr>
      </w:r>
      <w:r/>
    </w:p>
    <w:p>
      <w:pPr>
        <w:pStyle w:val="1011"/>
        <w:ind w:left="239"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微软雅黑" w:hAnsi="微软雅黑" w:eastAsia="微软雅黑" w:cs="微软雅黑"/>
          <w:color w:val="000000"/>
          <w:sz w:val="24"/>
          <w:szCs w:val="24"/>
          <w:lang w:val="en-US" w:eastAsia="zh-CN"/>
        </w:rPr>
        <w:t xml:space="preserve">⑤</w:t>
      </w:r>
      <w:r>
        <w:rPr>
          <w:rFonts w:hint="eastAsia" w:ascii="宋体" w:hAnsi="宋体" w:eastAsia="宋体" w:cs="宋体"/>
          <w:color w:val="000000"/>
          <w:sz w:val="24"/>
          <w:szCs w:val="24"/>
          <w:lang w:val="en-US" w:eastAsia="zh-CN"/>
        </w:rPr>
        <w:t xml:space="preserve">对于影响采购人日常运营的相关工作，投标人需在采购人规定的时间内解决。</w:t>
      </w:r>
      <w:r>
        <w:rPr>
          <w:rFonts w:hint="eastAsia" w:ascii="宋体" w:hAnsi="宋体" w:eastAsia="宋体" w:cs="宋体"/>
          <w:color w:val="000000"/>
          <w:sz w:val="24"/>
          <w:szCs w:val="24"/>
          <w:lang w:val="en-US" w:eastAsia="zh-CN"/>
        </w:rPr>
      </w:r>
      <w:r/>
    </w:p>
    <w:p>
      <w:pPr>
        <w:pStyle w:val="1011"/>
        <w:ind w:left="239"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微软雅黑" w:hAnsi="微软雅黑" w:eastAsia="微软雅黑" w:cs="微软雅黑"/>
          <w:color w:val="000000"/>
          <w:sz w:val="24"/>
          <w:szCs w:val="24"/>
          <w:lang w:val="en-US" w:eastAsia="zh-CN"/>
        </w:rPr>
        <w:t xml:space="preserve">⑥</w:t>
      </w:r>
      <w:r>
        <w:rPr>
          <w:rFonts w:hint="eastAsia" w:ascii="宋体" w:hAnsi="宋体" w:eastAsia="宋体" w:cs="宋体"/>
          <w:color w:val="000000"/>
          <w:sz w:val="24"/>
          <w:szCs w:val="24"/>
          <w:lang w:val="en-US" w:eastAsia="zh-CN"/>
        </w:rPr>
        <w:t xml:space="preserve">系统实施和售后服务期间，需免费配合医院对接第三方系统，并提供智慧服务三级评审期间的驻场服务（具体内容详见采购需求中项目组人员要求）。</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(2)项目组人员要求</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以下规定了本项目组相关人员组成，如投标人无法达成以下项目人员要求，则视为投标人违约，采购人有权向投标人开具“通知单”或“警告单”进行处理，</w:t>
      </w:r>
      <w:r>
        <w:rPr>
          <w:rFonts w:hint="eastAsia" w:ascii="宋体" w:hAnsi="宋体" w:eastAsia="宋体" w:cs="宋体"/>
          <w:color w:val="000000"/>
          <w:sz w:val="24"/>
          <w:szCs w:val="24"/>
          <w:highlight w:val="none"/>
          <w:lang w:val="en-US" w:eastAsia="zh-CN"/>
        </w:rPr>
        <w:t xml:space="preserve">详见采购需求中“违约责任”。</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微软雅黑" w:hAnsi="微软雅黑" w:eastAsia="微软雅黑" w:cs="微软雅黑"/>
          <w:color w:val="000000"/>
          <w:sz w:val="24"/>
          <w:szCs w:val="24"/>
          <w:lang w:val="en-US" w:eastAsia="zh-CN"/>
        </w:rPr>
        <w:t xml:space="preserve">①</w:t>
      </w:r>
      <w:r>
        <w:rPr>
          <w:rFonts w:hint="eastAsia" w:ascii="宋体" w:hAnsi="宋体" w:eastAsia="宋体" w:cs="宋体"/>
          <w:color w:val="000000"/>
          <w:sz w:val="24"/>
          <w:szCs w:val="24"/>
          <w:lang w:val="en-US" w:eastAsia="zh-CN"/>
        </w:rPr>
        <w:t xml:space="preserve">投标人应成立专门的项目实施团队，团队人员要求</w:t>
      </w:r>
      <w:r>
        <w:rPr>
          <w:rFonts w:hint="eastAsia" w:ascii="宋体" w:hAnsi="宋体" w:eastAsia="宋体" w:cs="宋体"/>
          <w:color w:val="000000"/>
          <w:sz w:val="24"/>
          <w:szCs w:val="24"/>
          <w:highlight w:val="none"/>
          <w:lang w:val="en-US" w:eastAsia="zh-CN"/>
        </w:rPr>
        <w:t xml:space="preserve">：项目经理1名，实施工程师3名。智慧服务三级评审期间另提供不低于5名（应包括评审咨询专家等）技术服务人员，合计至少配备9名人员，名单需交由采购人确认。投标人在系统部署、调试、上线期间以及医院进行智慧服务三级评审期间需提供驻场服务。</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微软雅黑" w:hAnsi="微软雅黑" w:eastAsia="微软雅黑" w:cs="微软雅黑"/>
          <w:color w:val="000000"/>
          <w:sz w:val="24"/>
          <w:szCs w:val="24"/>
          <w:lang w:val="en-US" w:eastAsia="zh-CN"/>
        </w:rPr>
        <w:t xml:space="preserve">②</w:t>
      </w:r>
      <w:r>
        <w:rPr>
          <w:rFonts w:hint="eastAsia" w:ascii="宋体" w:hAnsi="宋体" w:eastAsia="宋体" w:cs="宋体"/>
          <w:color w:val="000000"/>
          <w:sz w:val="24"/>
          <w:szCs w:val="24"/>
          <w:lang w:val="en-US" w:eastAsia="zh-CN"/>
        </w:rPr>
        <w:t xml:space="preserve">项目经理要求有三年以上项目管理经验，具备过硬的项目管理能力和现场协调能力，有近三年协助三级医院建设及智慧服务三级评审指导的经验。</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微软雅黑" w:hAnsi="微软雅黑" w:eastAsia="微软雅黑" w:cs="微软雅黑"/>
          <w:color w:val="000000"/>
          <w:sz w:val="24"/>
          <w:szCs w:val="24"/>
          <w:lang w:val="en-US" w:eastAsia="zh-CN"/>
        </w:rPr>
        <w:t xml:space="preserve">③</w:t>
      </w:r>
      <w:r>
        <w:rPr>
          <w:rFonts w:hint="eastAsia" w:ascii="宋体" w:hAnsi="宋体" w:eastAsia="宋体" w:cs="宋体"/>
          <w:color w:val="000000"/>
          <w:sz w:val="24"/>
          <w:szCs w:val="24"/>
          <w:lang w:val="en-US" w:eastAsia="zh-CN"/>
        </w:rPr>
        <w:t xml:space="preserve">以上</w:t>
      </w:r>
      <w:r>
        <w:rPr>
          <w:rFonts w:hint="eastAsia" w:ascii="微软雅黑" w:hAnsi="微软雅黑" w:eastAsia="微软雅黑" w:cs="微软雅黑"/>
          <w:color w:val="000000"/>
          <w:sz w:val="24"/>
          <w:szCs w:val="24"/>
          <w:lang w:val="en-US" w:eastAsia="zh-CN"/>
        </w:rPr>
        <w:t xml:space="preserve">①</w:t>
      </w:r>
      <w:r>
        <w:rPr>
          <w:rFonts w:hint="eastAsia" w:ascii="宋体" w:hAnsi="宋体" w:eastAsia="宋体" w:cs="宋体"/>
          <w:color w:val="000000"/>
          <w:sz w:val="24"/>
          <w:szCs w:val="24"/>
          <w:lang w:val="en-US" w:eastAsia="zh-CN"/>
        </w:rPr>
        <w:t xml:space="preserve">、</w:t>
      </w:r>
      <w:r>
        <w:rPr>
          <w:rFonts w:hint="eastAsia" w:ascii="微软雅黑" w:hAnsi="微软雅黑" w:eastAsia="微软雅黑" w:cs="微软雅黑"/>
          <w:color w:val="000000"/>
          <w:sz w:val="24"/>
          <w:szCs w:val="24"/>
          <w:lang w:val="en-US" w:eastAsia="zh-CN"/>
        </w:rPr>
        <w:t xml:space="preserve">②</w:t>
      </w:r>
      <w:r>
        <w:rPr>
          <w:rFonts w:hint="eastAsia" w:ascii="宋体" w:hAnsi="宋体" w:eastAsia="宋体" w:cs="宋体"/>
          <w:color w:val="000000"/>
          <w:sz w:val="24"/>
          <w:szCs w:val="24"/>
          <w:lang w:val="en-US" w:eastAsia="zh-CN"/>
        </w:rPr>
        <w:t xml:space="preserve">条人员配备要求为投标人必须达到的最低要求，投标人配置的人员必须达到或高于以上要求，否则视为无效响应。</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微软雅黑" w:hAnsi="微软雅黑" w:eastAsia="微软雅黑" w:cs="微软雅黑"/>
          <w:color w:val="000000"/>
          <w:sz w:val="24"/>
          <w:szCs w:val="24"/>
          <w:lang w:val="en-US" w:eastAsia="zh-CN"/>
        </w:rPr>
        <w:t xml:space="preserve">④</w:t>
      </w:r>
      <w:r>
        <w:rPr>
          <w:rFonts w:hint="eastAsia" w:ascii="宋体" w:hAnsi="宋体" w:eastAsia="宋体" w:cs="宋体"/>
          <w:color w:val="000000"/>
          <w:sz w:val="24"/>
          <w:szCs w:val="24"/>
          <w:lang w:val="en-US" w:eastAsia="zh-CN"/>
        </w:rPr>
        <w:t xml:space="preserve">驻场服务期间，驻场人员应遵从采购人关于的工作时间和工作地点要求，并接受采购人的服务考核，考核不达标时，采购人有权进行处理，具体考核要求及处理详见</w:t>
      </w:r>
      <w:r>
        <w:rPr>
          <w:rFonts w:hint="eastAsia" w:ascii="宋体" w:hAnsi="宋体" w:eastAsia="宋体" w:cs="宋体"/>
          <w:color w:val="000000"/>
          <w:sz w:val="24"/>
          <w:szCs w:val="24"/>
          <w:highlight w:val="none"/>
          <w:lang w:val="en-US" w:eastAsia="zh-CN"/>
        </w:rPr>
        <w:t xml:space="preserve">采购需求中“违约责任”</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微软雅黑" w:hAnsi="微软雅黑" w:eastAsia="微软雅黑" w:cs="微软雅黑"/>
          <w:color w:val="000000"/>
          <w:sz w:val="24"/>
          <w:szCs w:val="24"/>
          <w:lang w:val="en-US" w:eastAsia="zh-CN"/>
        </w:rPr>
        <w:t xml:space="preserve">⑤</w:t>
      </w:r>
      <w:r>
        <w:rPr>
          <w:rFonts w:hint="eastAsia" w:ascii="宋体" w:hAnsi="宋体" w:eastAsia="宋体" w:cs="宋体"/>
          <w:color w:val="000000"/>
          <w:sz w:val="24"/>
          <w:szCs w:val="24"/>
          <w:lang w:val="en-US" w:eastAsia="zh-CN"/>
        </w:rPr>
        <w:t xml:space="preserve">项目实施期间，项目工作组成员构成稳定，在双方合同期内，未经采购人书面同意，不得进行人员变更。若中标人需要变更项目团队人员，则应至少提前30天以书面形式向采购人提出申请，经采购人评估（包括更换技术人员是否已完成工作交接、更换技术人员能力是否满足岗位要求等）后方可进行人员变更。若采购人对中标人提供的技术人员不满意时，采购人有权要求中标人在规定的时间内更换人员，中标人须在收到采购人通知后3个工作日内更换合格人员（更换人员不得低于投标文件中所承诺的资质能力），直至采购人满意为止。</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(3)培训要求</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中标人对本项目系统建设提供的培训方案需包含培训目标、培训计划、培训方式、培训内容。</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中标人必须向采购人提供免费培训，针对不同的培训对象分别进行理论培训和现场培训。</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微软雅黑" w:hAnsi="微软雅黑" w:eastAsia="微软雅黑" w:cs="微软雅黑"/>
          <w:color w:val="000000"/>
          <w:sz w:val="24"/>
          <w:szCs w:val="24"/>
          <w:lang w:val="en-US" w:eastAsia="zh-CN"/>
        </w:rPr>
        <w:t xml:space="preserve">①</w:t>
      </w:r>
      <w:r>
        <w:rPr>
          <w:rFonts w:hint="eastAsia" w:ascii="宋体" w:hAnsi="宋体" w:eastAsia="宋体" w:cs="宋体"/>
          <w:color w:val="000000"/>
          <w:sz w:val="24"/>
          <w:szCs w:val="24"/>
          <w:lang w:val="en-US" w:eastAsia="zh-CN"/>
        </w:rPr>
        <w:t xml:space="preserve">中标人派出的培训教员应具备丰富的相同课程教学经验。</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微软雅黑" w:hAnsi="微软雅黑" w:eastAsia="微软雅黑" w:cs="微软雅黑"/>
          <w:color w:val="000000"/>
          <w:sz w:val="24"/>
          <w:szCs w:val="24"/>
          <w:lang w:val="en-US" w:eastAsia="zh-CN"/>
        </w:rPr>
        <w:t xml:space="preserve">②</w:t>
      </w:r>
      <w:r>
        <w:rPr>
          <w:rFonts w:hint="eastAsia" w:ascii="宋体" w:hAnsi="宋体" w:eastAsia="宋体" w:cs="宋体"/>
          <w:color w:val="000000"/>
          <w:sz w:val="24"/>
          <w:szCs w:val="24"/>
          <w:lang w:val="en-US" w:eastAsia="zh-CN"/>
        </w:rPr>
        <w:t xml:space="preserve">中标人应按采购人约定合理地安排培训时间。</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微软雅黑" w:hAnsi="微软雅黑" w:eastAsia="微软雅黑" w:cs="微软雅黑"/>
          <w:color w:val="000000"/>
          <w:sz w:val="24"/>
          <w:szCs w:val="24"/>
          <w:lang w:val="en-US" w:eastAsia="zh-CN"/>
        </w:rPr>
        <w:t xml:space="preserve">③</w:t>
      </w:r>
      <w:r>
        <w:rPr>
          <w:rFonts w:hint="eastAsia" w:ascii="宋体" w:hAnsi="宋体" w:eastAsia="宋体" w:cs="宋体"/>
          <w:color w:val="000000"/>
          <w:sz w:val="24"/>
          <w:szCs w:val="24"/>
          <w:lang w:val="en-US" w:eastAsia="zh-CN"/>
        </w:rPr>
        <w:t xml:space="preserve">中标人须在采购人指定的地点提供操作及维护培训，中标人提供的培训计划需包括培训对象、培训地点、培训时间等。</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微软雅黑" w:hAnsi="微软雅黑" w:eastAsia="微软雅黑" w:cs="微软雅黑"/>
          <w:color w:val="000000"/>
          <w:sz w:val="24"/>
          <w:szCs w:val="24"/>
          <w:lang w:val="en-US" w:eastAsia="zh-CN"/>
        </w:rPr>
        <w:t xml:space="preserve">④</w:t>
      </w:r>
      <w:r>
        <w:rPr>
          <w:rFonts w:hint="eastAsia" w:ascii="宋体" w:hAnsi="宋体" w:eastAsia="宋体" w:cs="宋体"/>
          <w:color w:val="000000"/>
          <w:sz w:val="24"/>
          <w:szCs w:val="24"/>
          <w:lang w:val="en-US" w:eastAsia="zh-CN"/>
        </w:rPr>
        <w:t xml:space="preserve">中标人需提供本次项目招标范围内所有建设内容培训。</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(4)售后服务要求</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中标人针对本项目提供的售后服务方案需包含服务承诺、服务计划、响应计划、免费售后服务期内服务、免费售后服务期外服务、维护方案。</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微软雅黑" w:hAnsi="微软雅黑" w:eastAsia="微软雅黑" w:cs="微软雅黑"/>
          <w:color w:val="000000"/>
          <w:sz w:val="24"/>
          <w:szCs w:val="24"/>
          <w:lang w:val="en-US" w:eastAsia="zh-CN"/>
        </w:rPr>
        <w:t xml:space="preserve">①</w:t>
      </w:r>
      <w:r>
        <w:rPr>
          <w:rFonts w:hint="eastAsia" w:ascii="宋体" w:hAnsi="宋体" w:eastAsia="宋体" w:cs="宋体"/>
          <w:color w:val="000000"/>
          <w:sz w:val="24"/>
          <w:szCs w:val="24"/>
          <w:lang w:val="en-US" w:eastAsia="zh-CN"/>
        </w:rPr>
        <w:t xml:space="preserve">本项目所涉及所有软件系统需提供从整体验收合格</w:t>
      </w:r>
      <w:r>
        <w:rPr>
          <w:rFonts w:hint="eastAsia" w:ascii="宋体" w:hAnsi="宋体" w:eastAsia="宋体" w:cs="宋体"/>
          <w:color w:val="000000"/>
          <w:sz w:val="24"/>
          <w:szCs w:val="24"/>
          <w:highlight w:val="none"/>
          <w:lang w:val="en-US" w:eastAsia="zh-CN"/>
        </w:rPr>
        <w:t xml:space="preserve">后起二年的免费维护服务。</w:t>
      </w:r>
      <w:r>
        <w:rPr>
          <w:rFonts w:hint="eastAsia" w:ascii="宋体" w:hAnsi="宋体" w:eastAsia="宋体" w:cs="宋体"/>
          <w:color w:val="000000"/>
          <w:sz w:val="24"/>
          <w:szCs w:val="24"/>
          <w:highlight w:val="none"/>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微软雅黑" w:hAnsi="微软雅黑" w:eastAsia="微软雅黑" w:cs="微软雅黑"/>
          <w:color w:val="000000"/>
          <w:sz w:val="24"/>
          <w:szCs w:val="24"/>
          <w:highlight w:val="none"/>
          <w:lang w:val="en-US" w:eastAsia="zh-CN"/>
        </w:rPr>
        <w:t xml:space="preserve">②</w:t>
      </w:r>
      <w:r>
        <w:rPr>
          <w:rFonts w:hint="eastAsia" w:ascii="宋体" w:hAnsi="宋体" w:eastAsia="宋体" w:cs="宋体"/>
          <w:color w:val="000000"/>
          <w:sz w:val="24"/>
          <w:szCs w:val="24"/>
          <w:highlight w:val="none"/>
          <w:lang w:val="en-US" w:eastAsia="zh-CN"/>
        </w:rPr>
        <w:t xml:space="preserve">本项目所涉及所有硬件终端产品需提供从整体验收合格后起二年</w:t>
      </w:r>
      <w:r>
        <w:rPr>
          <w:rFonts w:hint="eastAsia" w:ascii="宋体" w:hAnsi="宋体" w:eastAsia="宋体" w:cs="宋体"/>
          <w:color w:val="000000"/>
          <w:sz w:val="24"/>
          <w:szCs w:val="24"/>
          <w:lang w:val="en-US" w:eastAsia="zh-CN"/>
        </w:rPr>
        <w:t xml:space="preserve">的免费原厂售后服务。</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微软雅黑" w:hAnsi="微软雅黑" w:eastAsia="微软雅黑" w:cs="微软雅黑"/>
          <w:color w:val="000000"/>
          <w:sz w:val="24"/>
          <w:szCs w:val="24"/>
          <w:lang w:val="en-US" w:eastAsia="zh-CN"/>
        </w:rPr>
        <w:t xml:space="preserve">③</w:t>
      </w:r>
      <w:r>
        <w:rPr>
          <w:rFonts w:hint="eastAsia" w:ascii="宋体" w:hAnsi="宋体" w:eastAsia="宋体" w:cs="宋体"/>
          <w:color w:val="000000"/>
          <w:sz w:val="24"/>
          <w:szCs w:val="24"/>
          <w:lang w:val="en-US" w:eastAsia="zh-CN"/>
        </w:rPr>
        <w:t xml:space="preserve">故障报修的响应时间：应提供7×24×365天服务，若电话中无法解决，2小时内到达现场进行维护。</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微软雅黑" w:hAnsi="微软雅黑" w:eastAsia="微软雅黑" w:cs="微软雅黑"/>
          <w:color w:val="000000"/>
          <w:sz w:val="24"/>
          <w:szCs w:val="24"/>
          <w:lang w:val="en-US" w:eastAsia="zh-CN"/>
        </w:rPr>
        <w:t xml:space="preserve">④</w:t>
      </w:r>
      <w:r>
        <w:rPr>
          <w:rFonts w:hint="eastAsia" w:ascii="宋体" w:hAnsi="宋体" w:eastAsia="宋体" w:cs="宋体"/>
          <w:color w:val="000000"/>
          <w:sz w:val="24"/>
          <w:szCs w:val="24"/>
          <w:lang w:val="en-US" w:eastAsia="zh-CN"/>
        </w:rPr>
        <w:t xml:space="preserve">应提供应用软件系统扩充、升级方面的技术支持服务。</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微软雅黑" w:hAnsi="微软雅黑" w:eastAsia="微软雅黑" w:cs="微软雅黑"/>
          <w:color w:val="000000"/>
          <w:sz w:val="24"/>
          <w:szCs w:val="24"/>
          <w:lang w:val="en-US" w:eastAsia="zh-CN"/>
        </w:rPr>
        <w:t xml:space="preserve">⑤</w:t>
      </w:r>
      <w:r>
        <w:rPr>
          <w:rFonts w:hint="eastAsia" w:ascii="宋体" w:hAnsi="宋体" w:eastAsia="宋体" w:cs="宋体"/>
          <w:color w:val="000000"/>
          <w:sz w:val="24"/>
          <w:szCs w:val="24"/>
          <w:lang w:val="en-US" w:eastAsia="zh-CN"/>
        </w:rPr>
        <w:t xml:space="preserve">在项目实施及免费维护期内，应满足所提供项目软件各功能模块客户化需求，满足最新版国家智慧服务三级的要求。若期间可能由于政策的变化需要对系统功能进行相应的修改，应免费配合采购人并满足采购人修改需求。</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(5)成果交付要求</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在本期项目的上线过程中和交付使用后，各个阶段都会有各种成果和文档资料。这些成果和文档资料对所系统的维护和持续发展起着非常重大的作用。因此，要求将全面、规范的成果和文档资料交付给用户，而且要提供明确的交付清单。同时，成果和文档资料必须符合软件工程的相关要求。</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(6)验收标准与程序</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验收标准按照国家、地区相关标准，招标文件、投标文件、合同及其它项目正式文件中的要求条款执行。由于本项目信息系统涉及模块多，实施难度大，项目周期长，因此整个项目分批次验收：</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①系统上线验收</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lang w:val="en-US" w:eastAsia="zh-CN"/>
        </w:rPr>
        <w:t xml:space="preserve">验收内容：互联网医院软件集成</w:t>
      </w:r>
      <w:r>
        <w:rPr>
          <w:rFonts w:hint="eastAsia" w:ascii="宋体" w:hAnsi="宋体" w:eastAsia="宋体" w:cs="宋体"/>
          <w:color w:val="000000"/>
          <w:sz w:val="24"/>
          <w:szCs w:val="24"/>
          <w:highlight w:val="none"/>
          <w:lang w:val="en-US" w:eastAsia="zh-CN"/>
        </w:rPr>
        <w:t xml:space="preserve">、医院药学信息管理系统软件集成及升级、随访管理系统软件集成及升级、院内导航系统软件集成。</w:t>
      </w:r>
      <w:r>
        <w:rPr>
          <w:rFonts w:hint="eastAsia" w:ascii="宋体" w:hAnsi="宋体" w:eastAsia="宋体" w:cs="宋体"/>
          <w:color w:val="000000"/>
          <w:sz w:val="24"/>
          <w:szCs w:val="24"/>
          <w:highlight w:val="yellow"/>
          <w:lang w:val="en-US" w:eastAsia="zh-CN"/>
        </w:rPr>
      </w:r>
      <w:r/>
    </w:p>
    <w:p>
      <w:pPr>
        <w:pStyle w:val="1011"/>
        <w:ind w:firstLine="480"/>
        <w:keepLines w:val="0"/>
        <w:keepNext w:val="0"/>
        <w:pageBreakBefore w:val="0"/>
        <w:spacing w:line="360" w:lineRule="auto"/>
        <w:widowControl w:val="off"/>
        <w:rPr>
          <w:rFonts w:hint="eastAsia"/>
          <w:color w:val="000000"/>
          <w:lang w:val="en-US" w:eastAsia="zh-CN"/>
        </w:rPr>
      </w:pPr>
      <w:r>
        <w:rPr>
          <w:rFonts w:hint="eastAsia" w:ascii="宋体" w:hAnsi="宋体" w:eastAsia="宋体" w:cs="宋体"/>
          <w:color w:val="000000"/>
          <w:sz w:val="24"/>
          <w:szCs w:val="24"/>
          <w:lang w:val="en-US" w:eastAsia="zh-CN"/>
        </w:rPr>
        <w:t xml:space="preserve">验收条件：以上系统正常全量功能上线，业务科室开始使用，相关业务流程按采购人要求和采购人的实际情况确认实施。配合采购人使用科室的功能确认和用户使用报告确认。</w:t>
      </w:r>
      <w:r>
        <w:rPr>
          <w:rFonts w:hint="eastAsia"/>
          <w:color w:val="000000"/>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验收形式：由中标供应商提出验收申请，采购人组织院内验收，验收通过后由采购人出具系统上线验收报告。</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微软雅黑" w:hAnsi="微软雅黑" w:eastAsia="微软雅黑" w:cs="微软雅黑"/>
          <w:color w:val="000000"/>
          <w:sz w:val="24"/>
          <w:szCs w:val="24"/>
          <w:lang w:val="en-US" w:eastAsia="zh-CN"/>
        </w:rPr>
        <w:t xml:space="preserve">②</w:t>
      </w:r>
      <w:r>
        <w:rPr>
          <w:rFonts w:hint="eastAsia" w:ascii="宋体" w:hAnsi="宋体" w:eastAsia="宋体" w:cs="宋体"/>
          <w:color w:val="000000"/>
          <w:sz w:val="24"/>
          <w:szCs w:val="24"/>
          <w:lang w:val="en-US" w:eastAsia="zh-CN"/>
        </w:rPr>
        <w:t xml:space="preserve">整体验收</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验收内容：互联网医院软件集成</w:t>
      </w:r>
      <w:r>
        <w:rPr>
          <w:rFonts w:hint="eastAsia" w:ascii="宋体" w:hAnsi="宋体" w:eastAsia="宋体" w:cs="宋体"/>
          <w:color w:val="000000"/>
          <w:sz w:val="24"/>
          <w:szCs w:val="24"/>
          <w:highlight w:val="none"/>
          <w:lang w:val="en-US" w:eastAsia="zh-CN"/>
        </w:rPr>
        <w:t xml:space="preserve">、医院药学信息管理系统软件集成及升级、随访管理系统软件集成及升级、院内导航系统软件集成。</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验收条件：</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1）本项目所有系统技术性能规格及参数应符合招标文件和中标供应商投标文件所要求的技术标准及服务标准，符合国家卫健委《医院智慧服务分级评估标准体系（试行）》三级的标准和要求。</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2）本项目中相关系统的源代码管理符合采购人要求，详见“项目技术要求”中的具体细则。最终需获取采购人的《源代码确认报告》；</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3）本项目所有系统要求运行稳定，无故障，数据无错误。</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4）本项目采购的所有系统需获得使用科室的认可并获取《用户使用报告》的确认。</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验收形式：</w:t>
      </w:r>
      <w:r>
        <w:rPr>
          <w:rFonts w:hint="eastAsia" w:ascii="宋体" w:hAnsi="宋体" w:eastAsia="宋体" w:cs="宋体"/>
          <w:color w:val="000000"/>
          <w:sz w:val="24"/>
          <w:szCs w:val="24"/>
          <w:lang w:val="en-US" w:eastAsia="zh-CN"/>
        </w:rPr>
        <w:t xml:space="preserve">由中标供应商提出验收申请，采购人组织院内验收，验收通过后由采购人出具上述验收报告。</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任一项验收不合格的，中标供应商应负责在采购人要求的合理的限定期限内完成整改，因整改而导致的费用和损失由中标供应商自行承担。</w:t>
      </w:r>
      <w:r>
        <w:rPr>
          <w:rFonts w:hint="eastAsia" w:ascii="宋体" w:hAnsi="宋体" w:eastAsia="宋体" w:cs="宋体"/>
          <w:color w:val="000000"/>
          <w:sz w:val="24"/>
          <w:szCs w:val="24"/>
          <w:lang w:val="en-US" w:eastAsia="zh-CN"/>
        </w:rPr>
      </w:r>
      <w:r/>
    </w:p>
    <w:p>
      <w:pPr>
        <w:pStyle w:val="101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所有验收意见将由采购人以书面形式做出并签字和/或盖章确认。</w:t>
      </w:r>
      <w:r>
        <w:rPr>
          <w:rFonts w:hint="eastAsia" w:ascii="宋体" w:hAnsi="宋体" w:eastAsia="宋体" w:cs="宋体"/>
          <w:color w:val="000000"/>
          <w:sz w:val="24"/>
          <w:szCs w:val="24"/>
          <w:lang w:val="en-US" w:eastAsia="zh-CN"/>
        </w:rPr>
      </w:r>
      <w:r/>
    </w:p>
    <w:p>
      <w:pPr>
        <w:pStyle w:val="1011"/>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付款方式：合同签订后，支付合同金额30%的首付款，自收到合同全额发票的30个工作日内支付；系统上线验收合格后，30个工作日内支付合同总金额的30%；完成整体项目的建设且验收合格后，30个工作日内支付合同总金额的30%；免费维保期满后，服务及货物无质量问题，30个工作日内付清合同金额10%的尾款（无息）。 </w:t>
      </w:r>
      <w:r>
        <w:rPr>
          <w:rFonts w:hint="eastAsia" w:ascii="宋体" w:hAnsi="宋体" w:eastAsia="宋体" w:cs="宋体"/>
          <w:color w:val="000000"/>
          <w:sz w:val="24"/>
          <w:szCs w:val="24"/>
          <w:lang w:val="en-US" w:eastAsia="zh-CN"/>
        </w:rPr>
      </w:r>
      <w:r/>
    </w:p>
    <w:p>
      <w:pPr>
        <w:pStyle w:val="1011"/>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(8)违约责任</w:t>
      </w:r>
      <w:r>
        <w:rPr>
          <w:rFonts w:hint="eastAsia" w:ascii="宋体" w:hAnsi="宋体" w:eastAsia="宋体" w:cs="宋体"/>
          <w:color w:val="000000"/>
          <w:sz w:val="24"/>
          <w:szCs w:val="24"/>
          <w:lang w:val="en-US" w:eastAsia="zh-CN"/>
        </w:rPr>
      </w:r>
      <w:r/>
    </w:p>
    <w:p>
      <w:pPr>
        <w:pStyle w:val="1011"/>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微软雅黑" w:hAnsi="微软雅黑" w:eastAsia="微软雅黑" w:cs="微软雅黑"/>
          <w:color w:val="000000"/>
          <w:sz w:val="24"/>
          <w:szCs w:val="24"/>
          <w:lang w:val="en-US" w:eastAsia="zh-CN"/>
        </w:rPr>
        <w:t xml:space="preserve">①</w:t>
      </w:r>
      <w:r>
        <w:rPr>
          <w:rFonts w:hint="eastAsia" w:ascii="宋体" w:hAnsi="宋体" w:eastAsia="宋体" w:cs="宋体"/>
          <w:color w:val="000000"/>
          <w:sz w:val="24"/>
          <w:szCs w:val="24"/>
          <w:lang w:val="en-US" w:eastAsia="zh-CN"/>
        </w:rPr>
        <w:t xml:space="preserve">供应商过错导致项目逾期交付的，每逾期一天，供应商每天应向采购人支付合同总金额的万分之一作为违约金。延迟累计达【30】日的，采购人有权解除合同。如采购人未选择解除合同的，供应商仍应在采购人要求的期限内履行约定的义务，并承担由此给采购人造成的损失及采购人因此产生的对第三方的责任。采购人为采取必要的补救措施或因防止损失扩大而支出的合理费用应由供应商承担。</w:t>
      </w:r>
      <w:r>
        <w:rPr>
          <w:rFonts w:hint="eastAsia" w:ascii="宋体" w:hAnsi="宋体" w:eastAsia="宋体" w:cs="宋体"/>
          <w:color w:val="000000"/>
          <w:sz w:val="24"/>
          <w:szCs w:val="24"/>
          <w:lang w:val="en-US" w:eastAsia="zh-CN"/>
        </w:rPr>
      </w:r>
      <w:r/>
    </w:p>
    <w:p>
      <w:pPr>
        <w:pStyle w:val="1011"/>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微软雅黑" w:hAnsi="微软雅黑" w:eastAsia="微软雅黑" w:cs="微软雅黑"/>
          <w:color w:val="000000"/>
          <w:sz w:val="24"/>
          <w:szCs w:val="24"/>
          <w:lang w:val="en-US" w:eastAsia="zh-CN"/>
        </w:rPr>
        <w:t xml:space="preserve">②</w:t>
      </w:r>
      <w:r>
        <w:rPr>
          <w:rFonts w:hint="eastAsia" w:ascii="宋体" w:hAnsi="宋体" w:eastAsia="宋体" w:cs="宋体"/>
          <w:color w:val="000000"/>
          <w:sz w:val="24"/>
          <w:szCs w:val="24"/>
          <w:lang w:val="en-US" w:eastAsia="zh-CN"/>
        </w:rPr>
        <w:t xml:space="preserve">供应商交付的项目不合格或不合约，导致项目未能通过上线验收的，供应商整改期间，每天应向采购人支付合同总金额的万分之一作为违约金，直至该部分子项目通过最终验收。</w:t>
      </w:r>
      <w:r>
        <w:rPr>
          <w:rFonts w:hint="eastAsia" w:ascii="宋体" w:hAnsi="宋体" w:eastAsia="宋体" w:cs="宋体"/>
          <w:color w:val="000000"/>
          <w:sz w:val="24"/>
          <w:szCs w:val="24"/>
          <w:lang w:val="en-US" w:eastAsia="zh-CN"/>
        </w:rPr>
      </w:r>
      <w:r/>
    </w:p>
    <w:p>
      <w:pPr>
        <w:pStyle w:val="1011"/>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微软雅黑" w:hAnsi="微软雅黑" w:eastAsia="微软雅黑" w:cs="微软雅黑"/>
          <w:color w:val="000000"/>
          <w:sz w:val="24"/>
          <w:szCs w:val="24"/>
          <w:lang w:val="en-US" w:eastAsia="zh-CN"/>
        </w:rPr>
        <w:t xml:space="preserve">③</w:t>
      </w:r>
      <w:r>
        <w:rPr>
          <w:rFonts w:hint="eastAsia" w:ascii="宋体" w:hAnsi="宋体" w:eastAsia="宋体" w:cs="宋体"/>
          <w:color w:val="000000"/>
          <w:sz w:val="24"/>
          <w:szCs w:val="24"/>
          <w:lang w:val="en-US" w:eastAsia="zh-CN"/>
        </w:rPr>
        <w:t xml:space="preserve">供应商过错导致上述违约情况，除约定的开具“通知单”或“警告单”，每次供应商违约，采购人有权要求供应商支付合同总金额的10%作为违约金，总计不超过合同金额的30%。     </w:t>
      </w:r>
      <w:r>
        <w:rPr>
          <w:rFonts w:hint="eastAsia" w:ascii="宋体" w:hAnsi="宋体" w:eastAsia="宋体" w:cs="宋体"/>
          <w:color w:val="000000"/>
          <w:sz w:val="24"/>
          <w:szCs w:val="24"/>
          <w:lang w:val="en-US" w:eastAsia="zh-CN"/>
        </w:rPr>
      </w:r>
      <w:r/>
    </w:p>
    <w:p>
      <w:pPr>
        <w:pStyle w:val="1011"/>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微软雅黑" w:hAnsi="微软雅黑" w:eastAsia="微软雅黑" w:cs="微软雅黑"/>
          <w:color w:val="000000"/>
          <w:sz w:val="24"/>
          <w:szCs w:val="24"/>
          <w:lang w:val="en-US" w:eastAsia="zh-CN"/>
        </w:rPr>
        <w:t xml:space="preserve">④</w:t>
      </w:r>
      <w:r>
        <w:rPr>
          <w:rFonts w:hint="eastAsia" w:ascii="宋体" w:hAnsi="宋体" w:eastAsia="宋体" w:cs="宋体"/>
          <w:color w:val="000000"/>
          <w:sz w:val="24"/>
          <w:szCs w:val="24"/>
          <w:lang w:val="en-US" w:eastAsia="zh-CN"/>
        </w:rPr>
        <w:t xml:space="preserve">如果供应商在收到采购人的违约通知书【15】工作日内未作答复也没有按照采购人选择的方式承担违约责任，则采购人有权从尚未支付的合同价款或保证金中扣回相当于采购人选择的方式计算的索赔金额。如果前述金额不足以补偿，采购人有权向供应商提出不足部分的赔偿要求。</w:t>
      </w:r>
      <w:r>
        <w:rPr>
          <w:rFonts w:hint="eastAsia" w:ascii="宋体" w:hAnsi="宋体" w:eastAsia="宋体" w:cs="宋体"/>
          <w:color w:val="000000"/>
          <w:sz w:val="24"/>
          <w:szCs w:val="24"/>
          <w:lang w:val="en-US" w:eastAsia="zh-CN"/>
        </w:rPr>
      </w:r>
      <w:r/>
    </w:p>
    <w:p>
      <w:pPr>
        <w:pStyle w:val="1011"/>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微软雅黑" w:hAnsi="微软雅黑" w:eastAsia="微软雅黑" w:cs="微软雅黑"/>
          <w:color w:val="000000"/>
          <w:sz w:val="24"/>
          <w:szCs w:val="24"/>
          <w:lang w:val="en-US" w:eastAsia="zh-CN"/>
        </w:rPr>
        <w:t xml:space="preserve">⑤</w:t>
      </w:r>
      <w:r>
        <w:rPr>
          <w:rFonts w:hint="eastAsia" w:ascii="宋体" w:hAnsi="宋体" w:eastAsia="宋体" w:cs="宋体"/>
          <w:color w:val="000000"/>
          <w:sz w:val="24"/>
          <w:szCs w:val="24"/>
          <w:lang w:val="en-US" w:eastAsia="zh-CN"/>
        </w:rPr>
        <w:t xml:space="preserve">因采购人的原因导致项目进度延迟的，免除供应商相应的违约责任。</w:t>
      </w:r>
      <w:r>
        <w:rPr>
          <w:rFonts w:hint="eastAsia" w:ascii="宋体" w:hAnsi="宋体" w:eastAsia="宋体" w:cs="宋体"/>
          <w:color w:val="000000"/>
          <w:sz w:val="24"/>
          <w:szCs w:val="24"/>
          <w:lang w:val="en-US" w:eastAsia="zh-CN"/>
        </w:rPr>
      </w:r>
      <w:r/>
    </w:p>
    <w:p>
      <w:pPr>
        <w:pStyle w:val="1011"/>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微软雅黑" w:hAnsi="微软雅黑" w:eastAsia="微软雅黑" w:cs="微软雅黑"/>
          <w:color w:val="000000"/>
          <w:sz w:val="24"/>
          <w:szCs w:val="24"/>
          <w:lang w:val="en-US" w:eastAsia="zh-CN"/>
        </w:rPr>
        <w:t xml:space="preserve">⑥</w:t>
      </w:r>
      <w:r>
        <w:rPr>
          <w:rFonts w:hint="eastAsia" w:ascii="宋体" w:hAnsi="宋体" w:eastAsia="宋体" w:cs="宋体"/>
          <w:color w:val="000000"/>
          <w:sz w:val="24"/>
          <w:szCs w:val="24"/>
          <w:lang w:val="en-US" w:eastAsia="zh-CN"/>
        </w:rPr>
        <w:t xml:space="preserve">因供应商违约导致合同解除的，供应商应向采购人支付合同总金额20%的违约金并承担所有费用。</w:t>
      </w:r>
      <w:r>
        <w:rPr>
          <w:rFonts w:hint="eastAsia" w:ascii="宋体" w:hAnsi="宋体" w:eastAsia="宋体" w:cs="宋体"/>
          <w:color w:val="000000"/>
          <w:sz w:val="24"/>
          <w:szCs w:val="24"/>
          <w:lang w:val="en-US" w:eastAsia="zh-CN"/>
        </w:rPr>
      </w:r>
      <w:r/>
    </w:p>
    <w:p>
      <w:pPr>
        <w:pStyle w:val="1011"/>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微软雅黑" w:hAnsi="微软雅黑" w:eastAsia="微软雅黑" w:cs="微软雅黑"/>
          <w:color w:val="000000"/>
          <w:sz w:val="24"/>
          <w:szCs w:val="24"/>
          <w:lang w:val="en-US" w:eastAsia="zh-CN"/>
        </w:rPr>
        <w:t xml:space="preserve">⑦</w:t>
      </w:r>
      <w:r>
        <w:rPr>
          <w:rFonts w:hint="eastAsia" w:ascii="宋体" w:hAnsi="宋体" w:eastAsia="宋体" w:cs="宋体"/>
          <w:color w:val="000000"/>
          <w:sz w:val="24"/>
          <w:szCs w:val="24"/>
          <w:lang w:val="en-US" w:eastAsia="zh-CN"/>
        </w:rPr>
        <w:t xml:space="preserve">采购人有权根据供应商的违约情况由采购人直接向供应商开具“通知单”或“警告单”，并处以相应的处理。每张“通知单”按照1000元人民币扣款，每张“警告单”按照合同总金额的万分之五扣款，相关扣款从合同付款中核减。</w:t>
      </w:r>
      <w:r>
        <w:rPr>
          <w:rFonts w:hint="eastAsia" w:ascii="宋体" w:hAnsi="宋体" w:eastAsia="宋体" w:cs="宋体"/>
          <w:color w:val="000000"/>
          <w:sz w:val="24"/>
          <w:szCs w:val="24"/>
          <w:lang w:val="en-US" w:eastAsia="zh-CN"/>
        </w:rPr>
      </w:r>
      <w:r/>
    </w:p>
    <w:p>
      <w:pPr>
        <w:pStyle w:val="1011"/>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微软雅黑" w:hAnsi="微软雅黑" w:eastAsia="微软雅黑" w:cs="微软雅黑"/>
          <w:color w:val="000000"/>
          <w:sz w:val="24"/>
          <w:szCs w:val="24"/>
          <w:lang w:val="en-US" w:eastAsia="zh-CN"/>
        </w:rPr>
        <w:t xml:space="preserve">⑧</w:t>
      </w:r>
      <w:r>
        <w:rPr>
          <w:rFonts w:hint="eastAsia" w:ascii="宋体" w:hAnsi="宋体" w:eastAsia="宋体" w:cs="宋体"/>
          <w:color w:val="000000"/>
          <w:sz w:val="24"/>
          <w:szCs w:val="24"/>
          <w:lang w:val="en-US" w:eastAsia="zh-CN"/>
        </w:rPr>
        <w:t xml:space="preserve">如果出现政府采购监管部门在处理投诉事项期间，通知采购人暂停采购活动的情形，或者询问或质疑事项可能影响最终成交结果的，导致采购人中止履行合同的情形，均不视为采购人违约。 </w:t>
      </w:r>
      <w:r>
        <w:rPr>
          <w:rFonts w:hint="eastAsia" w:ascii="宋体" w:hAnsi="宋体" w:eastAsia="宋体" w:cs="宋体"/>
          <w:color w:val="000000"/>
          <w:sz w:val="24"/>
          <w:szCs w:val="24"/>
          <w:lang w:val="en-US" w:eastAsia="zh-CN"/>
        </w:rPr>
      </w:r>
      <w:r/>
    </w:p>
    <w:p>
      <w:pPr>
        <w:pStyle w:val="1011"/>
        <w:numPr>
          <w:ilvl w:val="0"/>
          <w:numId w:val="0"/>
        </w:numPr>
        <w:ind w:firstLine="482"/>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  十一、其他内容详见招标文件条款。</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lang w:val="en-US" w:eastAsia="zh-CN"/>
        </w:rPr>
      </w:r>
      <w:r/>
    </w:p>
    <w:p>
      <w:pPr>
        <w:pStyle w:val="1011"/>
        <w:rPr>
          <w:rFonts w:hint="eastAsia" w:ascii="宋体" w:hAnsi="宋体" w:eastAsia="宋体" w:cs="仿宋"/>
          <w:color w:val="000000"/>
          <w:sz w:val="32"/>
          <w:szCs w:val="32"/>
          <w:highlight w:val="none"/>
        </w:rPr>
      </w:pPr>
      <w:r>
        <w:rPr>
          <w:rFonts w:hint="eastAsia" w:ascii="宋体" w:hAnsi="宋体" w:eastAsia="宋体" w:cs="仿宋"/>
          <w:color w:val="000000"/>
          <w:sz w:val="32"/>
          <w:szCs w:val="32"/>
          <w:highlight w:val="none"/>
        </w:rPr>
        <w:br w:type="page" w:clear="all"/>
      </w:r>
      <w:r>
        <w:rPr>
          <w:rFonts w:hint="eastAsia" w:ascii="宋体" w:hAnsi="宋体" w:eastAsia="宋体" w:cs="仿宋"/>
          <w:color w:val="000000"/>
          <w:sz w:val="32"/>
          <w:szCs w:val="32"/>
          <w:highlight w:val="none"/>
        </w:rPr>
      </w:r>
      <w:r/>
    </w:p>
    <w:p>
      <w:pPr>
        <w:pStyle w:val="1285"/>
        <w:numPr>
          <w:ilvl w:val="0"/>
          <w:numId w:val="6"/>
        </w:numPr>
        <w:jc w:val="center"/>
        <w:spacing w:before="0" w:after="0" w:line="240" w:lineRule="auto"/>
        <w:rPr>
          <w:rFonts w:hint="eastAsia" w:ascii="宋体" w:hAnsi="宋体" w:eastAsia="宋体" w:cs="仿宋"/>
          <w:color w:val="000000"/>
          <w:sz w:val="32"/>
          <w:szCs w:val="32"/>
          <w:highlight w:val="none"/>
        </w:rPr>
      </w:pPr>
      <w:r>
        <w:rPr>
          <w:rFonts w:hint="eastAsia" w:ascii="宋体" w:hAnsi="宋体" w:eastAsia="宋体" w:cs="仿宋"/>
          <w:color w:val="000000"/>
          <w:sz w:val="32"/>
          <w:szCs w:val="32"/>
          <w:highlight w:val="none"/>
        </w:rPr>
        <w:t xml:space="preserve">评标办法及标准</w:t>
      </w:r>
      <w:bookmarkEnd w:id="40"/>
      <w:r/>
      <w:bookmarkEnd w:id="41"/>
      <w:r>
        <w:rPr>
          <w:rFonts w:hint="eastAsia" w:ascii="宋体" w:hAnsi="宋体" w:eastAsia="宋体" w:cs="仿宋"/>
          <w:color w:val="000000"/>
          <w:sz w:val="32"/>
          <w:szCs w:val="32"/>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lang w:val="en-US" w:eastAsia="zh-CN"/>
        </w:rPr>
        <w:t xml:space="preserve">一</w:t>
      </w:r>
      <w:r>
        <w:rPr>
          <w:rFonts w:hint="eastAsia" w:ascii="宋体" w:hAnsi="宋体" w:eastAsia="宋体" w:cs="仿宋"/>
          <w:b/>
          <w:color w:val="000000"/>
          <w:sz w:val="24"/>
          <w:szCs w:val="24"/>
          <w:highlight w:val="none"/>
        </w:rPr>
        <w:t xml:space="preserve">、评标办法：</w:t>
      </w:r>
      <w:r>
        <w:rPr>
          <w:rFonts w:hint="eastAsia" w:ascii="宋体" w:hAnsi="宋体" w:eastAsia="宋体" w:cs="仿宋"/>
          <w:b/>
          <w:color w:val="000000"/>
          <w:sz w:val="24"/>
          <w:szCs w:val="24"/>
          <w:highlight w:val="none"/>
        </w:rPr>
      </w:r>
      <w:r/>
    </w:p>
    <w:p>
      <w:pPr>
        <w:pStyle w:val="1062"/>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本项目评标采用综合评分法，总分为100分。合格投标人的综合得分为各评分项目汇总</w:t>
      </w:r>
      <w:r>
        <w:rPr>
          <w:rFonts w:hint="eastAsia" w:ascii="宋体" w:hAnsi="宋体" w:eastAsia="宋体" w:cs="仿宋"/>
          <w:color w:val="000000"/>
          <w:highlight w:val="none"/>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rPr>
          <w:rFonts w:hint="eastAsia" w:ascii="宋体" w:hAnsi="宋体" w:eastAsia="宋体" w:cs="仿宋"/>
          <w:color w:val="000000"/>
          <w:highlight w:val="none"/>
          <w:shd w:val="clear" w:color="auto" w:fill="ffffff"/>
        </w:rPr>
      </w:r>
      <w:r/>
    </w:p>
    <w:p>
      <w:pPr>
        <w:pStyle w:val="1062"/>
        <w:ind w:firstLine="420"/>
        <w:jc w:val="both"/>
        <w:spacing w:before="0" w:beforeAutospacing="0" w:after="0" w:afterAutospacing="0" w:line="360" w:lineRule="auto"/>
        <w:shd w:val="clear" w:color="auto" w:fill="ffffff"/>
        <w:rPr>
          <w:rFonts w:ascii="宋体" w:hAnsi="宋体" w:eastAsia="宋体" w:cs="仿宋"/>
          <w:color w:val="000000"/>
          <w:highlight w:val="none"/>
          <w:shd w:val="clear" w:color="auto" w:fill="ffffff"/>
          <w:lang w:val="en-US" w:eastAsia="zh-CN"/>
        </w:rPr>
      </w:pPr>
      <w:r>
        <w:rPr>
          <w:rFonts w:ascii="宋体" w:hAnsi="宋体" w:eastAsia="宋体" w:cs="仿宋"/>
          <w:color w:val="000000"/>
          <w:highlight w:val="none"/>
          <w:shd w:val="clear" w:color="auto" w:fill="ffffff"/>
          <w:lang w:val="en-US" w:eastAsia="zh-CN"/>
        </w:rPr>
        <w:t xml:space="preserve">评审过程中出现下列情形之一的，评审委员会应当启动异常低价投标(响应)审查程序:</w:t>
      </w:r>
      <w:r>
        <w:rPr>
          <w:rFonts w:ascii="宋体" w:hAnsi="宋体" w:eastAsia="宋体" w:cs="仿宋"/>
          <w:color w:val="000000"/>
          <w:highlight w:val="none"/>
          <w:shd w:val="clear" w:color="auto" w:fill="ffffff"/>
          <w:lang w:val="en-US" w:eastAsia="zh-CN"/>
        </w:rPr>
      </w:r>
      <w:r/>
    </w:p>
    <w:p>
      <w:pPr>
        <w:pStyle w:val="1062"/>
        <w:ind w:firstLine="420"/>
        <w:jc w:val="both"/>
        <w:spacing w:before="0" w:beforeAutospacing="0" w:after="0" w:afterAutospacing="0" w:line="360" w:lineRule="auto"/>
        <w:shd w:val="clear" w:color="auto" w:fill="ffffff"/>
        <w:rPr>
          <w:rFonts w:hint="eastAsia" w:ascii="宋体" w:hAnsi="宋体" w:eastAsia="宋体" w:cs="仿宋"/>
          <w:b w:val="0"/>
          <w:bCs w:val="0"/>
          <w:color w:val="000000"/>
          <w:highlight w:val="none"/>
          <w:shd w:val="clear" w:color="auto" w:fill="ffffff"/>
        </w:rPr>
      </w:pPr>
      <w:r>
        <w:rPr>
          <w:rFonts w:hint="eastAsia" w:ascii="宋体" w:hAnsi="宋体" w:eastAsia="宋体" w:cs="仿宋"/>
          <w:b w:val="0"/>
          <w:bCs w:val="0"/>
          <w:color w:val="000000"/>
          <w:highlight w:val="none"/>
          <w:shd w:val="clear" w:color="auto" w:fill="ffffff"/>
        </w:rPr>
        <w:t xml:space="preserve">（1）投标(响应)报价低于全部通过符合性审查供应商投标(响应)报价平均值50%的，即投标(响应)报价&lt;全部通过符合性审查供应商投标(响应)报价平均值X50%;</w:t>
      </w:r>
      <w:r>
        <w:rPr>
          <w:rFonts w:hint="eastAsia" w:ascii="宋体" w:hAnsi="宋体" w:eastAsia="宋体" w:cs="仿宋"/>
          <w:b w:val="0"/>
          <w:bCs w:val="0"/>
          <w:color w:val="000000"/>
          <w:highlight w:val="none"/>
          <w:shd w:val="clear" w:color="auto" w:fill="ffffff"/>
        </w:rPr>
      </w:r>
      <w:r/>
    </w:p>
    <w:p>
      <w:pPr>
        <w:pStyle w:val="1062"/>
        <w:ind w:firstLine="420"/>
        <w:jc w:val="both"/>
        <w:spacing w:before="0" w:beforeAutospacing="0" w:after="0" w:afterAutospacing="0" w:line="360" w:lineRule="auto"/>
        <w:shd w:val="clear" w:color="auto" w:fill="ffffff"/>
        <w:rPr>
          <w:rFonts w:hint="eastAsia" w:ascii="宋体" w:hAnsi="宋体" w:eastAsia="宋体" w:cs="仿宋"/>
          <w:b w:val="0"/>
          <w:bCs w:val="0"/>
          <w:color w:val="000000"/>
          <w:highlight w:val="none"/>
          <w:shd w:val="clear" w:color="auto" w:fill="ffffff"/>
        </w:rPr>
      </w:pPr>
      <w:r>
        <w:rPr>
          <w:rFonts w:hint="eastAsia" w:ascii="宋体" w:hAnsi="宋体" w:eastAsia="宋体" w:cs="仿宋"/>
          <w:b w:val="0"/>
          <w:bCs w:val="0"/>
          <w:color w:val="000000"/>
          <w:highlight w:val="none"/>
          <w:shd w:val="clear" w:color="auto" w:fill="ffffff"/>
        </w:rPr>
        <w:t xml:space="preserve">（2）投标(响应)报价低于通过符合性审查的次低报价供应商投标(响应)报价50%的，即投标(响应)报价&lt;通过符合性审查的次低报价供应商投标(响应)报价X50%;</w:t>
      </w:r>
      <w:r>
        <w:rPr>
          <w:rFonts w:hint="eastAsia" w:ascii="宋体" w:hAnsi="宋体" w:eastAsia="宋体" w:cs="仿宋"/>
          <w:b w:val="0"/>
          <w:bCs w:val="0"/>
          <w:color w:val="000000"/>
          <w:highlight w:val="none"/>
          <w:shd w:val="clear" w:color="auto" w:fill="ffffff"/>
        </w:rPr>
      </w:r>
      <w:r/>
    </w:p>
    <w:p>
      <w:pPr>
        <w:pStyle w:val="1062"/>
        <w:ind w:firstLine="420"/>
        <w:jc w:val="both"/>
        <w:spacing w:before="0" w:beforeAutospacing="0" w:after="0" w:afterAutospacing="0" w:line="360" w:lineRule="auto"/>
        <w:shd w:val="clear" w:color="auto" w:fill="ffffff"/>
        <w:rPr>
          <w:rFonts w:hint="eastAsia" w:ascii="宋体" w:hAnsi="宋体" w:eastAsia="宋体" w:cs="仿宋"/>
          <w:b w:val="0"/>
          <w:bCs w:val="0"/>
          <w:color w:val="000000"/>
          <w:highlight w:val="none"/>
          <w:shd w:val="clear" w:color="auto" w:fill="ffffff"/>
        </w:rPr>
      </w:pPr>
      <w:r>
        <w:rPr>
          <w:rFonts w:hint="eastAsia" w:ascii="宋体" w:hAnsi="宋体" w:eastAsia="宋体" w:cs="仿宋"/>
          <w:b w:val="0"/>
          <w:bCs w:val="0"/>
          <w:color w:val="000000"/>
          <w:highlight w:val="none"/>
          <w:shd w:val="clear" w:color="auto" w:fill="ffffff"/>
        </w:rPr>
        <w:t xml:space="preserve">（3）投标（响应）报价低于采购项目最高限价45%的，即投标（响应）报价〈采购项目最高限价×45% ；</w:t>
      </w:r>
      <w:r>
        <w:rPr>
          <w:rFonts w:hint="eastAsia" w:ascii="宋体" w:hAnsi="宋体" w:eastAsia="宋体" w:cs="仿宋"/>
          <w:b w:val="0"/>
          <w:bCs w:val="0"/>
          <w:color w:val="000000"/>
          <w:highlight w:val="none"/>
          <w:shd w:val="clear" w:color="auto" w:fill="ffffff"/>
        </w:rPr>
      </w:r>
      <w:r/>
    </w:p>
    <w:p>
      <w:pPr>
        <w:pStyle w:val="1062"/>
        <w:ind w:firstLine="420"/>
        <w:jc w:val="both"/>
        <w:spacing w:before="0" w:beforeAutospacing="0" w:after="0" w:afterAutospacing="0" w:line="360" w:lineRule="auto"/>
        <w:shd w:val="clear" w:color="auto" w:fill="ffffff"/>
        <w:rPr>
          <w:rFonts w:hint="eastAsia" w:ascii="宋体" w:hAnsi="宋体" w:eastAsia="宋体" w:cs="仿宋"/>
          <w:b w:val="0"/>
          <w:bCs w:val="0"/>
          <w:color w:val="000000"/>
          <w:highlight w:val="none"/>
          <w:shd w:val="clear" w:color="auto" w:fill="ffffff"/>
        </w:rPr>
      </w:pPr>
      <w:r>
        <w:rPr>
          <w:rFonts w:hint="eastAsia" w:ascii="宋体" w:hAnsi="宋体" w:eastAsia="宋体" w:cs="仿宋"/>
          <w:b w:val="0"/>
          <w:bCs w:val="0"/>
          <w:color w:val="000000"/>
          <w:highlight w:val="none"/>
          <w:shd w:val="clear" w:color="auto" w:fill="ffffff"/>
        </w:rPr>
        <w:t xml:space="preserve">（4）评审委员会认定的供应商报价过低、有可能影响产品质量或者不能诚信履约的其他情形。</w:t>
      </w:r>
      <w:r>
        <w:rPr>
          <w:rFonts w:hint="eastAsia" w:ascii="宋体" w:hAnsi="宋体" w:eastAsia="宋体" w:cs="仿宋"/>
          <w:b w:val="0"/>
          <w:bCs w:val="0"/>
          <w:color w:val="000000"/>
          <w:highlight w:val="none"/>
          <w:shd w:val="clear" w:color="auto" w:fill="ffffff"/>
        </w:rPr>
      </w:r>
      <w:r/>
    </w:p>
    <w:p>
      <w:pPr>
        <w:pStyle w:val="1062"/>
        <w:ind w:firstLine="420"/>
        <w:jc w:val="both"/>
        <w:spacing w:before="0" w:beforeAutospacing="0" w:after="0" w:afterAutospacing="0" w:line="360" w:lineRule="auto"/>
        <w:shd w:val="clear" w:color="auto" w:fill="ffffff"/>
        <w:rPr>
          <w:rFonts w:hint="eastAsia" w:ascii="宋体" w:hAnsi="宋体" w:eastAsia="宋体" w:cs="仿宋"/>
          <w:b w:val="0"/>
          <w:bCs w:val="0"/>
          <w:color w:val="000000"/>
          <w:highlight w:val="none"/>
          <w:shd w:val="clear" w:color="auto" w:fill="ffffff"/>
        </w:rPr>
      </w:pPr>
      <w:r>
        <w:rPr>
          <w:rFonts w:hint="eastAsia" w:ascii="宋体" w:hAnsi="宋体" w:eastAsia="宋体" w:cs="仿宋"/>
          <w:b w:val="0"/>
          <w:bCs w:val="0"/>
          <w:color w:val="000000"/>
          <w:highlight w:val="none"/>
          <w:shd w:val="clear" w:color="auto" w:fill="ffffff"/>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仿宋"/>
          <w:b w:val="0"/>
          <w:bCs w:val="0"/>
          <w:color w:val="000000"/>
          <w:highlight w:val="none"/>
          <w:shd w:val="clear" w:color="auto" w:fill="ffffff"/>
        </w:rPr>
      </w:r>
      <w:r/>
    </w:p>
    <w:p>
      <w:pPr>
        <w:pStyle w:val="1062"/>
        <w:ind w:firstLine="420"/>
        <w:jc w:val="both"/>
        <w:spacing w:before="0" w:beforeAutospacing="0" w:after="0" w:afterAutospacing="0" w:line="360" w:lineRule="auto"/>
        <w:shd w:val="clear" w:color="auto" w:fill="ffffff"/>
        <w:rPr>
          <w:rFonts w:hint="eastAsia" w:ascii="宋体" w:hAnsi="宋体" w:eastAsia="宋体" w:cs="仿宋"/>
          <w:b w:val="0"/>
          <w:bCs w:val="0"/>
          <w:color w:val="000000"/>
          <w:highlight w:val="none"/>
          <w:shd w:val="clear" w:color="auto" w:fill="ffffff"/>
        </w:rPr>
      </w:pPr>
      <w:r>
        <w:rPr>
          <w:rFonts w:hint="eastAsia" w:ascii="宋体" w:hAnsi="宋体" w:eastAsia="宋体" w:cs="仿宋"/>
          <w:b w:val="0"/>
          <w:bCs w:val="0"/>
          <w:color w:val="000000"/>
          <w:highlight w:val="none"/>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仿宋"/>
          <w:b w:val="0"/>
          <w:bCs w:val="0"/>
          <w:color w:val="000000"/>
          <w:highlight w:val="none"/>
          <w:shd w:val="clear" w:color="auto" w:fill="ffffff"/>
        </w:rPr>
      </w:r>
      <w:r/>
    </w:p>
    <w:p>
      <w:pPr>
        <w:pStyle w:val="1062"/>
        <w:ind w:firstLine="420"/>
        <w:jc w:val="both"/>
        <w:spacing w:before="0" w:beforeAutospacing="0" w:after="0" w:afterAutospacing="0" w:line="360" w:lineRule="auto"/>
        <w:shd w:val="clear" w:color="auto" w:fill="ffffff"/>
        <w:rPr>
          <w:rFonts w:hint="eastAsia" w:ascii="宋体" w:hAnsi="宋体" w:eastAsia="宋体" w:cs="仿宋"/>
          <w:b/>
          <w:bCs/>
          <w:color w:val="000000"/>
          <w:highlight w:val="none"/>
          <w:shd w:val="clear" w:color="auto" w:fill="ffffff"/>
        </w:rPr>
      </w:pPr>
      <w:r>
        <w:rPr>
          <w:rFonts w:hint="eastAsia" w:ascii="宋体" w:hAnsi="宋体" w:eastAsia="宋体" w:cs="仿宋"/>
          <w:b/>
          <w:bCs/>
          <w:color w:val="000000"/>
          <w:highlight w:val="none"/>
          <w:shd w:val="clear" w:color="auto" w:fill="ffffff"/>
        </w:rPr>
        <w:t xml:space="preserve">政府采购政策功能落实</w:t>
      </w:r>
      <w:r>
        <w:rPr>
          <w:rFonts w:hint="eastAsia" w:ascii="宋体" w:hAnsi="宋体" w:eastAsia="宋体" w:cs="仿宋"/>
          <w:b/>
          <w:bCs/>
          <w:color w:val="000000"/>
          <w:highlight w:val="none"/>
          <w:shd w:val="clear" w:color="auto" w:fill="ffffff"/>
        </w:rPr>
      </w:r>
      <w:r/>
    </w:p>
    <w:p>
      <w:pPr>
        <w:pStyle w:val="1062"/>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1、小微型企业价格扣除</w:t>
      </w:r>
      <w:r>
        <w:rPr>
          <w:rFonts w:hint="eastAsia" w:ascii="宋体" w:hAnsi="宋体" w:eastAsia="宋体" w:cs="仿宋"/>
          <w:color w:val="000000"/>
          <w:highlight w:val="none"/>
          <w:shd w:val="clear" w:color="auto" w:fill="ffffff"/>
        </w:rPr>
      </w:r>
      <w:r/>
    </w:p>
    <w:p>
      <w:pPr>
        <w:pStyle w:val="1062"/>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（1）本项目对小型和微型企业产品给予10%的扣除价格，用扣除后的价格参与评审。</w:t>
      </w:r>
      <w:r>
        <w:rPr>
          <w:rFonts w:hint="eastAsia" w:ascii="宋体" w:hAnsi="宋体" w:eastAsia="宋体" w:cs="仿宋"/>
          <w:color w:val="000000"/>
          <w:highlight w:val="none"/>
          <w:shd w:val="clear" w:color="auto" w:fill="ffffff"/>
        </w:rPr>
      </w:r>
      <w:r/>
    </w:p>
    <w:p>
      <w:pPr>
        <w:pStyle w:val="1062"/>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（2）供应商需按照采购文件的要求提供相应的《中小企业声明函》。</w:t>
      </w:r>
      <w:r>
        <w:rPr>
          <w:rFonts w:hint="eastAsia" w:ascii="宋体" w:hAnsi="宋体" w:eastAsia="宋体" w:cs="仿宋"/>
          <w:color w:val="000000"/>
          <w:highlight w:val="none"/>
          <w:shd w:val="clear" w:color="auto" w:fill="ffffff"/>
        </w:rPr>
      </w:r>
      <w:r/>
    </w:p>
    <w:p>
      <w:pPr>
        <w:pStyle w:val="1062"/>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（3）企业标准请参照《关于印发中小企业划型标准规定的通知》（工信部联企业[2011]300号）文件规定自行填写。</w:t>
      </w:r>
      <w:r>
        <w:rPr>
          <w:rFonts w:hint="eastAsia" w:ascii="宋体" w:hAnsi="宋体" w:eastAsia="宋体" w:cs="仿宋"/>
          <w:color w:val="000000"/>
          <w:highlight w:val="none"/>
          <w:shd w:val="clear" w:color="auto" w:fill="ffffff"/>
        </w:rPr>
      </w:r>
      <w:r/>
    </w:p>
    <w:p>
      <w:pPr>
        <w:pStyle w:val="1062"/>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2、残疾人福利单位价格扣除</w:t>
      </w:r>
      <w:r>
        <w:rPr>
          <w:rFonts w:hint="eastAsia" w:ascii="宋体" w:hAnsi="宋体" w:eastAsia="宋体" w:cs="仿宋"/>
          <w:color w:val="000000"/>
          <w:highlight w:val="none"/>
          <w:shd w:val="clear" w:color="auto" w:fill="ffffff"/>
        </w:rPr>
      </w:r>
      <w:r/>
    </w:p>
    <w:p>
      <w:pPr>
        <w:pStyle w:val="1062"/>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（1）本项目对残疾人福利性单位视同小型、微型企业，给予10%的价格扣除，用扣除后的价格参与评审。</w:t>
      </w:r>
      <w:r>
        <w:rPr>
          <w:rFonts w:hint="eastAsia" w:ascii="宋体" w:hAnsi="宋体" w:eastAsia="宋体" w:cs="仿宋"/>
          <w:color w:val="000000"/>
          <w:highlight w:val="none"/>
          <w:shd w:val="clear" w:color="auto" w:fill="ffffff"/>
        </w:rPr>
      </w:r>
      <w:r/>
    </w:p>
    <w:p>
      <w:pPr>
        <w:pStyle w:val="1062"/>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（2）残疾人福利单位需按照采购文件的要求提供《残疾人福利性单位声明函》。</w:t>
      </w:r>
      <w:r>
        <w:rPr>
          <w:rFonts w:hint="eastAsia" w:ascii="宋体" w:hAnsi="宋体" w:eastAsia="宋体" w:cs="仿宋"/>
          <w:color w:val="000000"/>
          <w:highlight w:val="none"/>
          <w:shd w:val="clear" w:color="auto" w:fill="ffffff"/>
        </w:rPr>
      </w:r>
      <w:r/>
    </w:p>
    <w:p>
      <w:pPr>
        <w:pStyle w:val="1062"/>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（3）残疾人福利单位标准请参照《关于促进残疾人就业政府采购政策的通知》（财库〔2017〕141号）。</w:t>
      </w:r>
      <w:r>
        <w:rPr>
          <w:rFonts w:hint="eastAsia" w:ascii="宋体" w:hAnsi="宋体" w:eastAsia="宋体" w:cs="仿宋"/>
          <w:color w:val="000000"/>
          <w:highlight w:val="none"/>
          <w:shd w:val="clear" w:color="auto" w:fill="ffffff"/>
        </w:rPr>
      </w:r>
      <w:r/>
    </w:p>
    <w:p>
      <w:pPr>
        <w:pStyle w:val="1062"/>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3、监狱和戒毒企业价格扣除</w:t>
      </w:r>
      <w:r>
        <w:rPr>
          <w:rFonts w:hint="eastAsia" w:ascii="宋体" w:hAnsi="宋体" w:eastAsia="宋体" w:cs="仿宋"/>
          <w:color w:val="000000"/>
          <w:highlight w:val="none"/>
          <w:shd w:val="clear" w:color="auto" w:fill="ffffff"/>
        </w:rPr>
      </w:r>
      <w:r/>
    </w:p>
    <w:p>
      <w:pPr>
        <w:pStyle w:val="1062"/>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（1）本项目对监狱和戒毒企业（简称监狱企业）视同小型、微型企业，给予10%的价格扣除，用扣除后的价格参与评审。</w:t>
      </w:r>
      <w:r>
        <w:rPr>
          <w:rFonts w:hint="eastAsia" w:ascii="宋体" w:hAnsi="宋体" w:eastAsia="宋体" w:cs="仿宋"/>
          <w:color w:val="000000"/>
          <w:highlight w:val="none"/>
          <w:shd w:val="clear" w:color="auto" w:fill="ffffff"/>
        </w:rPr>
      </w:r>
      <w:r/>
    </w:p>
    <w:p>
      <w:pPr>
        <w:pStyle w:val="1062"/>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仿宋"/>
          <w:color w:val="000000"/>
          <w:highlight w:val="none"/>
          <w:shd w:val="clear" w:color="auto" w:fill="ffffff"/>
        </w:rPr>
      </w:r>
      <w:r/>
    </w:p>
    <w:p>
      <w:pPr>
        <w:pStyle w:val="1062"/>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（3）监狱企业标准请参照《关于政府采购支持监狱企业发展有关问题的通知》（财库[2014]68号）。</w:t>
      </w:r>
      <w:r>
        <w:rPr>
          <w:rFonts w:hint="eastAsia" w:ascii="宋体" w:hAnsi="宋体" w:eastAsia="宋体" w:cs="仿宋"/>
          <w:color w:val="000000"/>
          <w:highlight w:val="none"/>
          <w:shd w:val="clear" w:color="auto" w:fill="ffffff"/>
        </w:rPr>
      </w:r>
      <w:r/>
    </w:p>
    <w:p>
      <w:pPr>
        <w:pStyle w:val="1062"/>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4、残疾人福利单位、监狱企业属于小型、微型企业的，不重复享受政策。</w:t>
      </w:r>
      <w:r>
        <w:rPr>
          <w:rFonts w:hint="eastAsia" w:ascii="宋体" w:hAnsi="宋体" w:eastAsia="宋体" w:cs="仿宋"/>
          <w:color w:val="000000"/>
          <w:highlight w:val="none"/>
          <w:shd w:val="clear" w:color="auto" w:fill="ffffff"/>
        </w:rPr>
      </w:r>
      <w:r/>
    </w:p>
    <w:p>
      <w:pPr>
        <w:pStyle w:val="1062"/>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宋体" w:hAnsi="宋体" w:eastAsia="宋体" w:cs="仿宋"/>
          <w:color w:val="000000"/>
          <w:highlight w:val="none"/>
          <w:shd w:val="clear" w:color="auto" w:fill="ffffff"/>
          <w:lang w:val="en-US" w:eastAsia="zh-CN"/>
        </w:rPr>
        <w:t xml:space="preserve">3</w:t>
      </w:r>
      <w:r>
        <w:rPr>
          <w:rFonts w:hint="eastAsia" w:ascii="宋体" w:hAnsi="宋体" w:eastAsia="宋体" w:cs="仿宋"/>
          <w:color w:val="000000"/>
          <w:highlight w:val="none"/>
          <w:shd w:val="clear" w:color="auto" w:fill="ffffff"/>
        </w:rPr>
        <w:t xml:space="preserve">0%以上的，给予联合体或者大中型企业4%的价格扣除，用扣除后的价格参与评审。</w:t>
      </w:r>
      <w:r>
        <w:rPr>
          <w:rFonts w:hint="eastAsia" w:ascii="宋体" w:hAnsi="宋体" w:eastAsia="宋体" w:cs="仿宋"/>
          <w:color w:val="000000"/>
          <w:highlight w:val="none"/>
          <w:shd w:val="clear" w:color="auto" w:fill="ffffff"/>
        </w:rPr>
      </w:r>
      <w:r/>
    </w:p>
    <w:p>
      <w:pPr>
        <w:pStyle w:val="1062"/>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6、联合体各方均为小型、微型企业（残疾人福利单位、监狱企业）的，联合体享受10%价格扣除，用扣除后的价格参与评审。</w:t>
      </w:r>
      <w:r>
        <w:rPr>
          <w:rFonts w:hint="eastAsia" w:ascii="宋体" w:hAnsi="宋体" w:eastAsia="宋体" w:cs="仿宋"/>
          <w:color w:val="000000"/>
          <w:highlight w:val="none"/>
          <w:shd w:val="clear" w:color="auto" w:fill="ffffff"/>
        </w:rPr>
      </w:r>
      <w:r/>
    </w:p>
    <w:p>
      <w:pPr>
        <w:pStyle w:val="1062"/>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7、采购本国产品的支持政策</w:t>
      </w:r>
      <w:r>
        <w:rPr>
          <w:rFonts w:hint="eastAsia" w:ascii="宋体" w:hAnsi="宋体" w:eastAsia="宋体" w:cs="仿宋"/>
          <w:color w:val="000000"/>
          <w:highlight w:val="none"/>
          <w:shd w:val="clear" w:color="auto" w:fill="ffffff"/>
        </w:rPr>
      </w:r>
      <w:r/>
    </w:p>
    <w:p>
      <w:pPr>
        <w:pStyle w:val="1062"/>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7.1 本项目政府采购活动中既有本国产品又有非本国产品参与竞争的，依法对本国产品给予价格评审优惠，对本国产品的报价给予</w:t>
      </w:r>
      <w:r>
        <w:rPr>
          <w:rFonts w:hint="eastAsia" w:ascii="宋体" w:hAnsi="宋体" w:eastAsia="宋体" w:cs="仿宋"/>
          <w:color w:val="000000"/>
          <w:highlight w:val="none"/>
          <w:u w:val="single"/>
          <w:shd w:val="clear" w:color="auto" w:fill="ffffff"/>
        </w:rPr>
        <w:t xml:space="preserve">20%</w:t>
      </w:r>
      <w:r>
        <w:rPr>
          <w:rFonts w:hint="eastAsia" w:ascii="宋体" w:hAnsi="宋体" w:eastAsia="宋体" w:cs="仿宋"/>
          <w:color w:val="000000"/>
          <w:highlight w:val="none"/>
          <w:shd w:val="clear" w:color="auto" w:fill="ffffff"/>
        </w:rPr>
        <w:t xml:space="preserve">的价格扣除，用扣除后的价格参与评审。</w:t>
      </w:r>
      <w:r>
        <w:rPr>
          <w:rFonts w:hint="eastAsia" w:ascii="宋体" w:hAnsi="宋体" w:eastAsia="宋体" w:cs="仿宋"/>
          <w:color w:val="000000"/>
          <w:highlight w:val="none"/>
          <w:shd w:val="clear" w:color="auto" w:fill="ffffff"/>
        </w:rPr>
      </w:r>
      <w:r/>
    </w:p>
    <w:p>
      <w:pPr>
        <w:pStyle w:val="1062"/>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仿宋"/>
          <w:color w:val="000000"/>
          <w:highlight w:val="none"/>
          <w:u w:val="single"/>
          <w:shd w:val="clear" w:color="auto" w:fill="ffffff"/>
        </w:rPr>
        <w:t xml:space="preserve">80%</w:t>
      </w:r>
      <w:r>
        <w:rPr>
          <w:rFonts w:hint="eastAsia" w:ascii="宋体" w:hAnsi="宋体" w:eastAsia="宋体" w:cs="仿宋"/>
          <w:color w:val="000000"/>
          <w:highlight w:val="none"/>
          <w:shd w:val="clear" w:color="auto" w:fill="ffffff"/>
        </w:rPr>
        <w:t xml:space="preserve">以上时（供应商需在“第六章 投标文件格式”的“投标分项报价表”中填写比例数值），依法对该供应商提供的全部产品给予价格评审优惠，即对该供应商提供的全部产品的总报价给予</w:t>
      </w:r>
      <w:r>
        <w:rPr>
          <w:rFonts w:hint="eastAsia" w:ascii="宋体" w:hAnsi="宋体" w:eastAsia="宋体" w:cs="仿宋"/>
          <w:color w:val="000000"/>
          <w:highlight w:val="none"/>
          <w:u w:val="single"/>
          <w:shd w:val="clear" w:color="auto" w:fill="ffffff"/>
        </w:rPr>
        <w:t xml:space="preserve">20%</w:t>
      </w:r>
      <w:r>
        <w:rPr>
          <w:rFonts w:hint="eastAsia" w:ascii="宋体" w:hAnsi="宋体" w:eastAsia="宋体" w:cs="仿宋"/>
          <w:color w:val="000000"/>
          <w:highlight w:val="none"/>
          <w:shd w:val="clear" w:color="auto" w:fill="ffffff"/>
        </w:rPr>
        <w:t xml:space="preserve">的价格扣除，用扣除后的价格参与评审。供应商未填写比例数值，或比例数值未达到80%的，将不享受本国产品价格评审优惠。</w:t>
      </w:r>
      <w:r>
        <w:rPr>
          <w:rFonts w:hint="eastAsia" w:ascii="宋体" w:hAnsi="宋体" w:eastAsia="宋体" w:cs="仿宋"/>
          <w:color w:val="000000"/>
          <w:highlight w:val="none"/>
          <w:shd w:val="clear" w:color="auto" w:fill="ffffff"/>
        </w:rPr>
      </w:r>
      <w:r/>
    </w:p>
    <w:p>
      <w:pPr>
        <w:pStyle w:val="1062"/>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7.3 供应商需按照招标文件的要求提供《关于符合本国产品标准的声明函》（以下简称《声明函》），如不提供将不享受本国产品价格评审优惠。</w:t>
      </w:r>
      <w:r>
        <w:rPr>
          <w:rFonts w:hint="eastAsia" w:ascii="宋体" w:hAnsi="宋体" w:eastAsia="宋体" w:cs="仿宋"/>
          <w:color w:val="000000"/>
          <w:highlight w:val="none"/>
          <w:shd w:val="clear" w:color="auto" w:fill="ffffff"/>
        </w:rPr>
      </w:r>
      <w:r/>
    </w:p>
    <w:p>
      <w:pPr>
        <w:pStyle w:val="1062"/>
        <w:ind w:firstLine="420"/>
        <w:jc w:val="both"/>
        <w:spacing w:before="0" w:beforeAutospacing="0" w:after="0" w:afterAutospacing="0" w:line="36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cs="仿宋"/>
          <w:color w:val="000000"/>
          <w:highlight w:val="none"/>
          <w:shd w:val="clear" w:color="auto" w:fill="ffffff"/>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仿宋"/>
          <w:color w:val="000000"/>
          <w:highlight w:val="none"/>
          <w:shd w:val="clear" w:color="auto" w:fill="ffffff"/>
        </w:rPr>
      </w:r>
      <w:r/>
    </w:p>
    <w:p>
      <w:pPr>
        <w:pStyle w:val="1062"/>
        <w:ind w:firstLine="420"/>
        <w:jc w:val="both"/>
        <w:spacing w:before="0" w:beforeAutospacing="0" w:after="0" w:afterAutospacing="0" w:line="360" w:lineRule="auto"/>
        <w:shd w:val="clear" w:color="auto" w:fill="ffffff"/>
        <w:rPr>
          <w:rFonts w:hint="eastAsia" w:ascii="宋体" w:hAnsi="宋体" w:eastAsia="宋体"/>
          <w:b/>
          <w:color w:val="000000"/>
          <w:sz w:val="24"/>
          <w:szCs w:val="24"/>
          <w:highlight w:val="none"/>
          <w:lang w:val="en-US" w:eastAsia="zh-CN"/>
        </w:rPr>
      </w:pPr>
      <w:r>
        <w:rPr>
          <w:rFonts w:hint="eastAsia" w:ascii="宋体" w:hAnsi="宋体" w:eastAsia="宋体" w:cs="仿宋"/>
          <w:color w:val="000000"/>
          <w:highlight w:val="none"/>
          <w:shd w:val="clear" w:color="auto" w:fill="ffffff"/>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b/>
          <w:color w:val="000000"/>
          <w:sz w:val="24"/>
          <w:szCs w:val="24"/>
          <w:highlight w:val="none"/>
          <w:lang w:val="en-US" w:eastAsia="zh-CN"/>
        </w:rPr>
      </w:r>
      <w:r/>
    </w:p>
    <w:p>
      <w:pPr>
        <w:pStyle w:val="1062"/>
        <w:ind w:firstLine="0"/>
        <w:jc w:val="both"/>
        <w:spacing w:before="0" w:beforeAutospacing="0" w:after="0" w:afterAutospacing="0" w:line="240" w:lineRule="auto"/>
        <w:shd w:val="clear" w:color="auto" w:fill="ffffff"/>
        <w:rPr>
          <w:rFonts w:hint="eastAsia" w:ascii="宋体" w:hAnsi="宋体" w:eastAsia="宋体" w:cs="仿宋"/>
          <w:color w:val="000000"/>
          <w:highlight w:val="none"/>
          <w:shd w:val="clear" w:color="auto" w:fill="ffffff"/>
        </w:rPr>
      </w:pPr>
      <w:r>
        <w:rPr>
          <w:rFonts w:hint="eastAsia" w:ascii="宋体" w:hAnsi="宋体" w:eastAsia="宋体"/>
          <w:b/>
          <w:color w:val="000000"/>
          <w:sz w:val="24"/>
          <w:szCs w:val="24"/>
          <w:highlight w:val="none"/>
          <w:lang w:val="en-US" w:eastAsia="zh-CN"/>
        </w:rPr>
        <w:t xml:space="preserve">二、</w:t>
      </w:r>
      <w:r>
        <w:rPr>
          <w:rFonts w:hint="eastAsia" w:ascii="宋体" w:hAnsi="宋体" w:eastAsia="宋体"/>
          <w:b/>
          <w:color w:val="000000"/>
          <w:sz w:val="24"/>
          <w:szCs w:val="24"/>
          <w:highlight w:val="none"/>
        </w:rPr>
        <w:t xml:space="preserve">评标内容及标准</w:t>
      </w:r>
      <w:r>
        <w:rPr>
          <w:rFonts w:hint="eastAsia" w:ascii="宋体" w:hAnsi="宋体" w:eastAsia="宋体" w:cs="仿宋"/>
          <w:b/>
          <w:color w:val="000000"/>
          <w:sz w:val="24"/>
          <w:szCs w:val="24"/>
          <w:highlight w:val="none"/>
        </w:rPr>
        <w:t xml:space="preserve">：</w:t>
      </w:r>
      <w:r>
        <w:rPr>
          <w:rFonts w:hint="eastAsia" w:ascii="宋体" w:hAnsi="宋体" w:eastAsia="宋体" w:cs="仿宋"/>
          <w:color w:val="000000"/>
          <w:highlight w:val="none"/>
          <w:shd w:val="clear" w:color="auto" w:fill="ffffff"/>
        </w:rPr>
      </w:r>
      <w:r/>
    </w:p>
    <w:tbl>
      <w:tblPr>
        <w:tblpPr w:horzAnchor="page" w:tblpX="1787" w:vertAnchor="text" w:tblpY="574"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7022"/>
        <w:gridCol w:w="594"/>
      </w:tblGrid>
      <w:tr>
        <w:trPr>
          <w:trHeight w:val="502"/>
        </w:trPr>
        <w:tc>
          <w:tcPr>
            <w:tcW w:w="900" w:type="dxa"/>
            <w:vAlign w:val="center"/>
            <w:textDirection w:val="lrTb"/>
            <w:noWrap w:val="false"/>
          </w:tcPr>
          <w:p>
            <w:pPr>
              <w:pStyle w:val="1011"/>
              <w:ind w:firstLine="0"/>
              <w:jc w:val="center"/>
              <w:keepLines w:val="0"/>
              <w:keepNext w:val="0"/>
              <w:pageBreakBefore w:val="0"/>
              <w:spacing w:line="240" w:lineRule="auto"/>
              <w:widowControl w:val="off"/>
              <w:rPr>
                <w:rFonts w:hint="eastAsia" w:ascii="仿宋" w:hAnsi="仿宋" w:eastAsia="仿宋" w:cs="仿宋"/>
                <w:b/>
                <w:bCs/>
                <w:color w:val="000000"/>
                <w:sz w:val="24"/>
                <w:szCs w:val="24"/>
                <w:highlight w:val="none"/>
              </w:rPr>
              <w:framePr w:vAnchor="text" w:hAnchor="page" w:x="1787" w:y="574"/>
            </w:pPr>
            <w:r/>
            <w:bookmarkStart w:id="46" w:name="_Hlk147842034"/>
            <w:r>
              <w:rPr>
                <w:rFonts w:hint="eastAsia" w:ascii="仿宋" w:hAnsi="仿宋" w:eastAsia="仿宋" w:cs="仿宋"/>
                <w:b/>
                <w:bCs/>
                <w:color w:val="000000"/>
                <w:sz w:val="24"/>
                <w:szCs w:val="24"/>
                <w:highlight w:val="none"/>
              </w:rPr>
              <w:t xml:space="preserve">评分因素</w:t>
            </w:r>
            <w:r>
              <w:rPr>
                <w:rFonts w:hint="eastAsia" w:ascii="仿宋" w:hAnsi="仿宋" w:eastAsia="仿宋" w:cs="仿宋"/>
                <w:b/>
                <w:bCs/>
                <w:color w:val="000000"/>
                <w:sz w:val="24"/>
                <w:szCs w:val="24"/>
                <w:highlight w:val="none"/>
              </w:rPr>
            </w:r>
            <w:r/>
          </w:p>
        </w:tc>
        <w:tc>
          <w:tcPr>
            <w:tcW w:w="7022" w:type="dxa"/>
            <w:vAlign w:val="center"/>
            <w:textDirection w:val="lrTb"/>
            <w:noWrap w:val="false"/>
          </w:tcPr>
          <w:p>
            <w:pPr>
              <w:pStyle w:val="1011"/>
              <w:ind w:firstLine="482"/>
              <w:jc w:val="center"/>
              <w:keepLines w:val="0"/>
              <w:keepNext w:val="0"/>
              <w:pageBreakBefore w:val="0"/>
              <w:spacing w:line="240" w:lineRule="auto"/>
              <w:widowControl w:val="off"/>
              <w:rPr>
                <w:rFonts w:hint="eastAsia" w:ascii="仿宋" w:hAnsi="仿宋" w:eastAsia="仿宋" w:cs="仿宋"/>
                <w:b/>
                <w:bCs/>
                <w:color w:val="000000"/>
                <w:sz w:val="24"/>
                <w:szCs w:val="24"/>
                <w:highlight w:val="none"/>
              </w:rPr>
              <w:framePr w:vAnchor="text" w:hAnchor="page" w:x="1787" w:y="574"/>
            </w:pPr>
            <w:r>
              <w:rPr>
                <w:rFonts w:hint="eastAsia" w:ascii="仿宋" w:hAnsi="仿宋" w:eastAsia="仿宋" w:cs="仿宋"/>
                <w:b/>
                <w:bCs/>
                <w:color w:val="000000"/>
                <w:sz w:val="24"/>
                <w:szCs w:val="24"/>
                <w:highlight w:val="none"/>
              </w:rPr>
              <w:t xml:space="preserve">评分细则</w:t>
            </w:r>
            <w:r>
              <w:rPr>
                <w:rFonts w:hint="eastAsia" w:ascii="仿宋" w:hAnsi="仿宋" w:eastAsia="仿宋" w:cs="仿宋"/>
                <w:b/>
                <w:bCs/>
                <w:color w:val="000000"/>
                <w:sz w:val="24"/>
                <w:szCs w:val="24"/>
                <w:highlight w:val="none"/>
              </w:rPr>
            </w:r>
            <w:r/>
          </w:p>
        </w:tc>
        <w:tc>
          <w:tcPr>
            <w:tcW w:w="594" w:type="dxa"/>
            <w:vAlign w:val="center"/>
            <w:textDirection w:val="lrTb"/>
            <w:noWrap w:val="false"/>
          </w:tcPr>
          <w:p>
            <w:pPr>
              <w:pStyle w:val="1011"/>
              <w:ind w:firstLine="0"/>
              <w:jc w:val="center"/>
              <w:keepLines w:val="0"/>
              <w:keepNext w:val="0"/>
              <w:pageBreakBefore w:val="0"/>
              <w:spacing w:line="240" w:lineRule="auto"/>
              <w:widowControl w:val="off"/>
              <w:rPr>
                <w:rFonts w:hint="eastAsia" w:ascii="仿宋" w:hAnsi="仿宋" w:eastAsia="仿宋" w:cs="仿宋"/>
                <w:b/>
                <w:bCs/>
                <w:color w:val="000000"/>
                <w:sz w:val="24"/>
                <w:szCs w:val="24"/>
                <w:highlight w:val="none"/>
              </w:rPr>
              <w:framePr w:vAnchor="text" w:hAnchor="page" w:x="1787" w:y="574"/>
            </w:pPr>
            <w:r>
              <w:rPr>
                <w:rFonts w:hint="eastAsia" w:ascii="仿宋" w:hAnsi="仿宋" w:eastAsia="仿宋" w:cs="仿宋"/>
                <w:b/>
                <w:bCs/>
                <w:color w:val="000000"/>
                <w:sz w:val="24"/>
                <w:szCs w:val="24"/>
                <w:highlight w:val="none"/>
              </w:rPr>
              <w:t xml:space="preserve">分值</w:t>
            </w:r>
            <w:r>
              <w:rPr>
                <w:rFonts w:hint="eastAsia" w:ascii="仿宋" w:hAnsi="仿宋" w:eastAsia="仿宋" w:cs="仿宋"/>
                <w:b/>
                <w:bCs/>
                <w:color w:val="000000"/>
                <w:sz w:val="24"/>
                <w:szCs w:val="24"/>
                <w:highlight w:val="none"/>
              </w:rPr>
            </w:r>
            <w:r/>
          </w:p>
        </w:tc>
      </w:tr>
      <w:tr>
        <w:trPr/>
        <w:tc>
          <w:tcPr>
            <w:tcW w:w="900" w:type="dxa"/>
            <w:vAlign w:val="center"/>
            <w:textDirection w:val="lrTb"/>
            <w:noWrap w:val="false"/>
          </w:tcPr>
          <w:p>
            <w:pPr>
              <w:pStyle w:val="1011"/>
              <w:numPr>
                <w:ilvl w:val="0"/>
                <w:numId w:val="0"/>
              </w:numPr>
              <w:ind w:right="113" w:firstLine="0"/>
              <w:jc w:val="center"/>
              <w:keepLines w:val="0"/>
              <w:keepNext w:val="0"/>
              <w:pageBreakBefore w:val="0"/>
              <w:spacing w:line="240" w:lineRule="auto"/>
              <w:widowControl w:val="off"/>
              <w:rPr>
                <w:rFonts w:hint="eastAsia" w:ascii="仿宋" w:hAnsi="仿宋" w:eastAsia="仿宋" w:cs="仿宋"/>
                <w:color w:val="000000"/>
                <w:sz w:val="24"/>
                <w:szCs w:val="24"/>
                <w:highlight w:val="none"/>
              </w:rPr>
              <w:framePr w:vAnchor="text" w:hAnchor="page" w:x="1787" w:y="574"/>
            </w:pPr>
            <w:r>
              <w:rPr>
                <w:rFonts w:hint="eastAsia" w:ascii="仿宋" w:hAnsi="仿宋" w:eastAsia="仿宋" w:cs="仿宋"/>
                <w:color w:val="000000"/>
                <w:sz w:val="24"/>
                <w:szCs w:val="24"/>
                <w:highlight w:val="none"/>
                <w:lang w:val="zh-CN"/>
              </w:rPr>
              <w:t xml:space="preserve">投标报价</w:t>
            </w:r>
            <w:r>
              <w:rPr>
                <w:rFonts w:hint="eastAsia" w:ascii="仿宋" w:hAnsi="仿宋" w:eastAsia="仿宋" w:cs="仿宋"/>
                <w:color w:val="000000"/>
                <w:sz w:val="24"/>
                <w:szCs w:val="24"/>
                <w:highlight w:val="none"/>
              </w:rPr>
            </w:r>
            <w:r/>
          </w:p>
        </w:tc>
        <w:tc>
          <w:tcPr>
            <w:tcW w:w="7022" w:type="dxa"/>
            <w:vAlign w:val="center"/>
            <w:textDirection w:val="lrTb"/>
            <w:noWrap w:val="false"/>
          </w:tcPr>
          <w:p>
            <w:pPr>
              <w:pStyle w:val="1011"/>
              <w:ind w:firstLine="480"/>
              <w:keepLines w:val="0"/>
              <w:keepNext w:val="0"/>
              <w:pageBreakBefore w:val="0"/>
              <w:spacing w:line="240" w:lineRule="auto"/>
              <w:widowControl w:val="off"/>
              <w:rPr>
                <w:rFonts w:hint="eastAsia" w:ascii="仿宋" w:hAnsi="仿宋" w:eastAsia="仿宋" w:cs="仿宋"/>
                <w:color w:val="000000"/>
                <w:sz w:val="24"/>
                <w:szCs w:val="24"/>
                <w:highlight w:val="none"/>
              </w:rPr>
              <w:framePr w:vAnchor="text" w:hAnchor="page" w:x="1787" w:y="574"/>
            </w:pPr>
            <w:r>
              <w:rPr>
                <w:rFonts w:hint="eastAsia" w:ascii="仿宋" w:hAnsi="仿宋" w:eastAsia="仿宋" w:cs="仿宋"/>
                <w:color w:val="000000"/>
                <w:sz w:val="24"/>
                <w:szCs w:val="24"/>
                <w:highlight w:val="none"/>
              </w:rPr>
              <w:t xml:space="preserve">满足招标文件要求且投标价格最低的投标报价为评标基准价，其价格分为满分( </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rPr>
              <w:t xml:space="preserve">分)。其他合格投标供应商的投标报价得分按如下公式计算：</w:t>
            </w:r>
            <w:r>
              <w:rPr>
                <w:rFonts w:hint="eastAsia" w:ascii="仿宋" w:hAnsi="仿宋" w:eastAsia="仿宋" w:cs="仿宋"/>
                <w:color w:val="000000"/>
                <w:sz w:val="24"/>
                <w:szCs w:val="24"/>
                <w:highlight w:val="none"/>
              </w:rPr>
            </w:r>
            <w:r/>
          </w:p>
          <w:p>
            <w:pPr>
              <w:pStyle w:val="1011"/>
              <w:ind w:firstLine="480"/>
              <w:keepLines w:val="0"/>
              <w:keepNext w:val="0"/>
              <w:pageBreakBefore w:val="0"/>
              <w:spacing w:line="240" w:lineRule="auto"/>
              <w:widowControl w:val="off"/>
              <w:rPr>
                <w:rFonts w:hint="eastAsia" w:ascii="仿宋" w:hAnsi="仿宋" w:eastAsia="仿宋" w:cs="仿宋"/>
                <w:color w:val="000000"/>
                <w:sz w:val="24"/>
                <w:szCs w:val="24"/>
                <w:highlight w:val="none"/>
              </w:rPr>
              <w:framePr w:vAnchor="text" w:hAnchor="page" w:x="1787" w:y="574"/>
            </w:pPr>
            <w:r>
              <w:rPr>
                <w:rFonts w:hint="eastAsia" w:ascii="仿宋" w:hAnsi="仿宋" w:eastAsia="仿宋" w:cs="仿宋"/>
                <w:color w:val="000000"/>
                <w:sz w:val="24"/>
                <w:szCs w:val="24"/>
                <w:highlight w:val="none"/>
              </w:rPr>
              <w:t xml:space="preserve">投标报价得分=（评标基准价/投标报价）× </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rPr>
              <w:t xml:space="preserve">分，四舍五入保留小数点后两位。</w:t>
            </w:r>
            <w:r>
              <w:rPr>
                <w:rFonts w:hint="eastAsia" w:ascii="仿宋" w:hAnsi="仿宋" w:eastAsia="仿宋" w:cs="仿宋"/>
                <w:color w:val="000000"/>
                <w:sz w:val="24"/>
                <w:szCs w:val="24"/>
                <w:highlight w:val="none"/>
              </w:rPr>
            </w:r>
            <w:r/>
          </w:p>
        </w:tc>
        <w:tc>
          <w:tcPr>
            <w:tcW w:w="594" w:type="dxa"/>
            <w:vAlign w:val="center"/>
            <w:textDirection w:val="lrTb"/>
            <w:noWrap w:val="false"/>
          </w:tcPr>
          <w:p>
            <w:pPr>
              <w:pStyle w:val="1011"/>
              <w:numPr>
                <w:ilvl w:val="0"/>
                <w:numId w:val="0"/>
              </w:numPr>
              <w:ind w:right="113" w:firstLine="0"/>
              <w:jc w:val="center"/>
              <w:keepLines w:val="0"/>
              <w:keepNext w:val="0"/>
              <w:pageBreakBefore w:val="0"/>
              <w:spacing w:line="240" w:lineRule="auto"/>
              <w:widowControl w:val="off"/>
              <w:rPr>
                <w:rFonts w:hint="eastAsia" w:ascii="仿宋" w:hAnsi="仿宋" w:eastAsia="仿宋" w:cs="仿宋"/>
                <w:color w:val="000000"/>
                <w:sz w:val="24"/>
                <w:szCs w:val="24"/>
                <w:highlight w:val="none"/>
                <w:lang w:val="en-US"/>
              </w:rPr>
              <w:framePr w:vAnchor="text" w:hAnchor="page" w:x="1787" w:y="574"/>
            </w:pP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lang w:val="en-US"/>
              </w:rPr>
            </w:r>
            <w:r/>
          </w:p>
        </w:tc>
      </w:tr>
      <w:tr>
        <w:trPr/>
        <w:tc>
          <w:tcPr>
            <w:tcW w:w="900" w:type="dxa"/>
            <w:vAlign w:val="center"/>
            <w:textDirection w:val="lrTb"/>
            <w:noWrap w:val="false"/>
          </w:tcPr>
          <w:p>
            <w:pPr>
              <w:pStyle w:val="1011"/>
              <w:numPr>
                <w:ilvl w:val="0"/>
                <w:numId w:val="0"/>
              </w:numPr>
              <w:ind w:left="0" w:right="113" w:firstLine="0"/>
              <w:jc w:val="center"/>
              <w:keepLines w:val="0"/>
              <w:keepNext w:val="0"/>
              <w:pageBreakBefore w:val="0"/>
              <w:spacing w:line="240" w:lineRule="auto"/>
              <w:widowControl w:val="off"/>
              <w:rPr>
                <w:rFonts w:hint="eastAsia" w:ascii="仿宋" w:hAnsi="仿宋" w:eastAsia="仿宋" w:cs="仿宋"/>
                <w:color w:val="000000"/>
                <w:sz w:val="24"/>
                <w:szCs w:val="24"/>
                <w:highlight w:val="none"/>
                <w:lang w:val="zh-CN"/>
              </w:rPr>
              <w:framePr w:vAnchor="text" w:hAnchor="page" w:x="1787" w:y="574"/>
            </w:pPr>
            <w:r>
              <w:rPr>
                <w:rFonts w:hint="eastAsia" w:ascii="仿宋" w:hAnsi="仿宋" w:eastAsia="仿宋" w:cs="仿宋"/>
                <w:color w:val="000000"/>
                <w:sz w:val="24"/>
                <w:szCs w:val="24"/>
                <w:highlight w:val="none"/>
                <w:lang w:val="zh-CN"/>
              </w:rPr>
              <w:t xml:space="preserve">技术参数要求</w:t>
            </w:r>
            <w:r>
              <w:rPr>
                <w:rFonts w:hint="eastAsia" w:ascii="仿宋" w:hAnsi="仿宋" w:eastAsia="仿宋" w:cs="仿宋"/>
                <w:color w:val="000000"/>
                <w:sz w:val="24"/>
                <w:szCs w:val="24"/>
                <w:highlight w:val="none"/>
                <w:lang w:val="zh-CN"/>
              </w:rPr>
            </w:r>
            <w:r/>
          </w:p>
        </w:tc>
        <w:tc>
          <w:tcPr>
            <w:tcW w:w="7022" w:type="dxa"/>
            <w:vAlign w:val="center"/>
            <w:textDirection w:val="lrTb"/>
            <w:noWrap w:val="false"/>
          </w:tcPr>
          <w:p>
            <w:pPr>
              <w:pStyle w:val="1011"/>
              <w:numPr>
                <w:ilvl w:val="0"/>
                <w:numId w:val="0"/>
              </w:numPr>
              <w:ind w:right="113" w:firstLine="480"/>
              <w:jc w:val="left"/>
              <w:keepLines w:val="0"/>
              <w:keepNext w:val="0"/>
              <w:pageBreakBefore w:val="0"/>
              <w:spacing w:line="240" w:lineRule="auto"/>
              <w:widowControl w:val="off"/>
              <w:rPr>
                <w:rFonts w:hint="eastAsia" w:ascii="仿宋" w:hAnsi="仿宋" w:eastAsia="仿宋" w:cs="仿宋"/>
                <w:color w:val="000000"/>
                <w:sz w:val="24"/>
                <w:szCs w:val="24"/>
                <w:highlight w:val="none"/>
                <w:lang w:val="zh-CN" w:eastAsia="zh-CN"/>
              </w:rPr>
              <w:framePr w:vAnchor="text" w:hAnchor="page" w:x="1787" w:y="574"/>
            </w:pPr>
            <w:r>
              <w:rPr>
                <w:rFonts w:hint="eastAsia" w:ascii="仿宋" w:hAnsi="仿宋" w:eastAsia="仿宋" w:cs="仿宋"/>
                <w:color w:val="000000"/>
                <w:sz w:val="24"/>
                <w:szCs w:val="24"/>
                <w:highlight w:val="none"/>
                <w:lang w:val="zh-CN" w:eastAsia="zh-CN"/>
              </w:rPr>
              <w:t xml:space="preserve">技术参数全部满足招标要求的得满分，打▲指标为重要指标，有1项负偏离扣1分，普通指标有1项负偏离扣0.5分，扣完为止。</w:t>
            </w:r>
            <w:r>
              <w:rPr>
                <w:rFonts w:hint="eastAsia" w:ascii="仿宋" w:hAnsi="仿宋" w:eastAsia="仿宋" w:cs="仿宋"/>
                <w:color w:val="000000"/>
                <w:sz w:val="24"/>
                <w:szCs w:val="24"/>
                <w:highlight w:val="none"/>
                <w:lang w:val="zh-CN" w:eastAsia="zh-CN"/>
              </w:rPr>
            </w:r>
            <w:r/>
          </w:p>
          <w:p>
            <w:pPr>
              <w:pStyle w:val="1011"/>
              <w:numPr>
                <w:ilvl w:val="0"/>
                <w:numId w:val="0"/>
              </w:numPr>
              <w:ind w:left="0" w:right="113" w:firstLine="480"/>
              <w:jc w:val="left"/>
              <w:keepLines w:val="0"/>
              <w:keepNext w:val="0"/>
              <w:pageBreakBefore w:val="0"/>
              <w:spacing w:line="240" w:lineRule="auto"/>
              <w:widowControl w:val="off"/>
              <w:rPr>
                <w:rFonts w:hint="eastAsia" w:ascii="仿宋" w:hAnsi="仿宋" w:eastAsia="仿宋" w:cs="仿宋"/>
                <w:color w:val="000000"/>
                <w:sz w:val="24"/>
                <w:szCs w:val="24"/>
                <w:highlight w:val="none"/>
                <w:lang w:val="zh-CN" w:eastAsia="zh-CN"/>
              </w:rPr>
              <w:framePr w:vAnchor="text" w:hAnchor="page" w:x="1787" w:y="574"/>
            </w:pPr>
            <w:r>
              <w:rPr>
                <w:rFonts w:hint="eastAsia" w:ascii="仿宋" w:hAnsi="仿宋" w:eastAsia="仿宋" w:cs="仿宋"/>
                <w:color w:val="000000"/>
                <w:sz w:val="24"/>
                <w:szCs w:val="24"/>
                <w:highlight w:val="none"/>
                <w:lang w:val="zh-CN" w:eastAsia="zh-CN"/>
              </w:rPr>
              <w:t xml:space="preserve">注：详细填写“技术要求响应及偏离表”，偏离表中列出的实质性</w:t>
            </w:r>
            <w:r>
              <w:rPr>
                <w:rFonts w:hint="eastAsia" w:ascii="仿宋" w:hAnsi="仿宋" w:eastAsia="仿宋" w:cs="仿宋"/>
                <w:color w:val="000000"/>
                <w:sz w:val="24"/>
                <w:szCs w:val="24"/>
                <w:highlight w:val="none"/>
                <w:lang w:val="en-US" w:eastAsia="zh-CN"/>
              </w:rPr>
              <w:t xml:space="preserve">指标</w:t>
            </w:r>
            <w:r>
              <w:rPr>
                <w:rFonts w:hint="eastAsia" w:ascii="仿宋" w:hAnsi="仿宋" w:eastAsia="仿宋" w:cs="仿宋"/>
                <w:color w:val="000000"/>
                <w:sz w:val="24"/>
                <w:szCs w:val="24"/>
                <w:highlight w:val="none"/>
                <w:lang w:val="zh-CN" w:eastAsia="zh-CN"/>
              </w:rPr>
              <w:t xml:space="preserve">与重要</w:t>
            </w:r>
            <w:r>
              <w:rPr>
                <w:rFonts w:hint="eastAsia" w:ascii="仿宋" w:hAnsi="仿宋" w:eastAsia="仿宋" w:cs="仿宋"/>
                <w:color w:val="000000"/>
                <w:sz w:val="24"/>
                <w:szCs w:val="24"/>
                <w:highlight w:val="none"/>
                <w:lang w:val="en-US" w:eastAsia="zh-CN"/>
              </w:rPr>
              <w:t xml:space="preserve">指标</w:t>
            </w:r>
            <w:r>
              <w:rPr>
                <w:rFonts w:hint="eastAsia" w:ascii="仿宋" w:hAnsi="仿宋" w:eastAsia="仿宋" w:cs="仿宋"/>
                <w:color w:val="000000"/>
                <w:sz w:val="24"/>
                <w:szCs w:val="24"/>
                <w:highlight w:val="none"/>
                <w:lang w:val="zh-CN" w:eastAsia="zh-CN"/>
              </w:rPr>
              <w:t xml:space="preserve">（与采购需求一致）需提供证明材料。普通指标在偏离表中仅需列出正偏离与负偏离的技术参数，未列明的技术参数视为承诺完全响应招标文件，投标人未提供采购需求中要求必须提供的相关证明材料的或提供与要求不符的视为负偏离。 </w:t>
            </w:r>
            <w:r>
              <w:rPr>
                <w:rFonts w:hint="eastAsia" w:ascii="仿宋" w:hAnsi="仿宋" w:eastAsia="仿宋" w:cs="仿宋"/>
                <w:color w:val="000000"/>
                <w:sz w:val="24"/>
                <w:szCs w:val="24"/>
                <w:highlight w:val="none"/>
                <w:lang w:val="zh-CN" w:eastAsia="zh-CN"/>
              </w:rPr>
            </w:r>
            <w:r/>
          </w:p>
        </w:tc>
        <w:tc>
          <w:tcPr>
            <w:tcW w:w="594" w:type="dxa"/>
            <w:vAlign w:val="center"/>
            <w:textDirection w:val="lrTb"/>
            <w:noWrap w:val="false"/>
          </w:tcPr>
          <w:p>
            <w:pPr>
              <w:pStyle w:val="1011"/>
              <w:numPr>
                <w:ilvl w:val="0"/>
                <w:numId w:val="0"/>
              </w:numPr>
              <w:ind w:left="0" w:right="113" w:firstLine="0"/>
              <w:jc w:val="center"/>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rPr>
              <w:framePr w:vAnchor="text" w:hAnchor="page" w:x="1787" w:y="574"/>
            </w:pPr>
            <w:r>
              <w:rPr>
                <w:rFonts w:hint="eastAsia" w:ascii="仿宋" w:hAnsi="仿宋" w:eastAsia="仿宋" w:cs="仿宋"/>
                <w:color w:val="000000"/>
                <w:sz w:val="24"/>
                <w:szCs w:val="24"/>
                <w:highlight w:val="none"/>
                <w:lang w:val="en-US" w:eastAsia="zh-CN"/>
              </w:rPr>
              <w:t xml:space="preserve">39</w:t>
            </w:r>
            <w:r>
              <w:rPr>
                <w:rFonts w:hint="eastAsia" w:ascii="仿宋" w:hAnsi="仿宋" w:eastAsia="仿宋" w:cs="仿宋"/>
                <w:color w:val="000000"/>
                <w:sz w:val="24"/>
                <w:szCs w:val="24"/>
                <w:highlight w:val="none"/>
                <w:lang w:val="en-US" w:eastAsia="zh-CN"/>
              </w:rPr>
            </w:r>
            <w:r/>
          </w:p>
        </w:tc>
      </w:tr>
      <w:tr>
        <w:trPr/>
        <w:tc>
          <w:tcPr>
            <w:tcW w:w="900" w:type="dxa"/>
            <w:vAlign w:val="center"/>
            <w:textDirection w:val="lrTb"/>
            <w:noWrap w:val="false"/>
          </w:tcPr>
          <w:p>
            <w:pPr>
              <w:pStyle w:val="1011"/>
              <w:numPr>
                <w:ilvl w:val="0"/>
                <w:numId w:val="0"/>
              </w:numPr>
              <w:ind w:right="113" w:firstLine="0"/>
              <w:jc w:val="center"/>
              <w:keepLines w:val="0"/>
              <w:keepNext w:val="0"/>
              <w:pageBreakBefore w:val="0"/>
              <w:spacing w:line="240" w:lineRule="auto"/>
              <w:widowControl w:val="off"/>
              <w:rPr>
                <w:rFonts w:hint="eastAsia" w:ascii="仿宋" w:hAnsi="仿宋" w:eastAsia="仿宋" w:cs="仿宋"/>
                <w:color w:val="000000"/>
                <w:sz w:val="24"/>
                <w:szCs w:val="24"/>
                <w:highlight w:val="none"/>
                <w:lang w:val="zh-CN"/>
              </w:rPr>
              <w:framePr w:vAnchor="text" w:hAnchor="page" w:x="1787" w:y="574"/>
            </w:pPr>
            <w:r>
              <w:rPr>
                <w:rFonts w:hint="eastAsia" w:ascii="仿宋" w:hAnsi="仿宋" w:eastAsia="仿宋" w:cs="仿宋"/>
                <w:color w:val="000000"/>
                <w:sz w:val="24"/>
                <w:szCs w:val="24"/>
                <w:highlight w:val="none"/>
                <w:lang w:val="zh-CN"/>
              </w:rPr>
              <w:t xml:space="preserve">业绩案例</w:t>
            </w:r>
            <w:r>
              <w:rPr>
                <w:rFonts w:hint="eastAsia" w:ascii="仿宋" w:hAnsi="仿宋" w:eastAsia="仿宋" w:cs="仿宋"/>
                <w:color w:val="000000"/>
                <w:sz w:val="24"/>
                <w:szCs w:val="24"/>
                <w:highlight w:val="none"/>
                <w:lang w:val="zh-CN"/>
              </w:rPr>
            </w:r>
            <w:r/>
          </w:p>
        </w:tc>
        <w:tc>
          <w:tcPr>
            <w:tcW w:w="7022" w:type="dxa"/>
            <w:vAlign w:val="center"/>
            <w:textDirection w:val="lrTb"/>
            <w:noWrap w:val="false"/>
          </w:tcPr>
          <w:p>
            <w:pPr>
              <w:pStyle w:val="1011"/>
              <w:numPr>
                <w:ilvl w:val="0"/>
                <w:numId w:val="0"/>
              </w:numPr>
              <w:ind w:right="113" w:firstLine="480"/>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rPr>
              <w:framePr w:vAnchor="text" w:hAnchor="page" w:x="1787" w:y="574"/>
            </w:pPr>
            <w:r>
              <w:rPr>
                <w:rFonts w:hint="eastAsia" w:ascii="仿宋" w:hAnsi="仿宋" w:eastAsia="仿宋" w:cs="仿宋"/>
                <w:color w:val="000000"/>
                <w:sz w:val="24"/>
                <w:szCs w:val="24"/>
                <w:highlight w:val="none"/>
                <w:lang w:val="en-US" w:eastAsia="zh-CN"/>
              </w:rPr>
              <w:t xml:space="preserve">投标人（联合体投标的，成员方或牵头方均可）或投标人（联合体投标的，成员方或牵头方均可）本项目选用的软件系统制造商，以上任意一方具备2023年2月1日以来（以合同签订时间为准）协助医院通过国家卫健委“医院智慧服务分级评估”（智慧服务三级用户）的案例证明的，每提供1个案例证明得1.5分，本项最多得6分。</w:t>
            </w:r>
            <w:r>
              <w:rPr>
                <w:rFonts w:hint="eastAsia" w:ascii="仿宋" w:hAnsi="仿宋" w:eastAsia="仿宋" w:cs="仿宋"/>
                <w:color w:val="000000"/>
                <w:sz w:val="24"/>
                <w:szCs w:val="24"/>
                <w:highlight w:val="none"/>
                <w:lang w:val="en-US" w:eastAsia="zh-CN"/>
              </w:rPr>
            </w:r>
            <w:r/>
          </w:p>
          <w:p>
            <w:pPr>
              <w:pStyle w:val="1011"/>
              <w:numPr>
                <w:ilvl w:val="0"/>
                <w:numId w:val="0"/>
              </w:numPr>
              <w:ind w:right="113" w:firstLine="480"/>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rPr>
              <w:framePr w:vAnchor="text" w:hAnchor="page" w:x="1787" w:y="574"/>
            </w:pPr>
            <w:r>
              <w:rPr>
                <w:rFonts w:hint="eastAsia" w:ascii="仿宋" w:hAnsi="仿宋" w:eastAsia="仿宋" w:cs="仿宋"/>
                <w:color w:val="000000"/>
                <w:sz w:val="24"/>
                <w:szCs w:val="24"/>
                <w:highlight w:val="none"/>
                <w:lang w:val="en-US" w:eastAsia="zh-CN"/>
              </w:rPr>
              <w:t xml:space="preserve">备注：须提供合同复印件和评价等级证明材料，证明材料以国家卫健委网站或相关行政主管部门的证明材料的评级结果公告通知名单为准。（投标文件中提供以上证明材料复印件加盖公章，否则不得分。如果是制造商的案例证明，须提供完整的证明材料，否则不得分。）</w:t>
            </w:r>
            <w:r>
              <w:rPr>
                <w:rFonts w:hint="eastAsia" w:ascii="仿宋" w:hAnsi="仿宋" w:eastAsia="仿宋" w:cs="仿宋"/>
                <w:color w:val="000000"/>
                <w:sz w:val="24"/>
                <w:szCs w:val="24"/>
                <w:highlight w:val="none"/>
                <w:lang w:val="en-US" w:eastAsia="zh-CN"/>
              </w:rPr>
            </w:r>
            <w:r/>
          </w:p>
        </w:tc>
        <w:tc>
          <w:tcPr>
            <w:tcW w:w="594" w:type="dxa"/>
            <w:vAlign w:val="center"/>
            <w:textDirection w:val="lrTb"/>
            <w:noWrap w:val="false"/>
          </w:tcPr>
          <w:p>
            <w:pPr>
              <w:pStyle w:val="1011"/>
              <w:numPr>
                <w:ilvl w:val="0"/>
                <w:numId w:val="0"/>
              </w:numPr>
              <w:ind w:right="113" w:firstLine="0"/>
              <w:jc w:val="center"/>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rPr>
              <w:framePr w:vAnchor="text" w:hAnchor="page" w:x="1787" w:y="574"/>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eastAsia="zh-CN"/>
              </w:rPr>
            </w:r>
            <w:r/>
          </w:p>
        </w:tc>
      </w:tr>
      <w:tr>
        <w:trPr>
          <w:trHeight w:val="385"/>
        </w:trPr>
        <w:tc>
          <w:tcPr>
            <w:tcW w:w="900" w:type="dxa"/>
            <w:vAlign w:val="center"/>
            <w:textDirection w:val="lrTb"/>
            <w:noWrap w:val="false"/>
          </w:tcPr>
          <w:p>
            <w:pPr>
              <w:pStyle w:val="1011"/>
              <w:numPr>
                <w:ilvl w:val="0"/>
                <w:numId w:val="0"/>
              </w:numPr>
              <w:ind w:right="113" w:firstLine="0"/>
              <w:jc w:val="center"/>
              <w:keepLines w:val="0"/>
              <w:keepNext w:val="0"/>
              <w:pageBreakBefore w:val="0"/>
              <w:spacing w:line="240" w:lineRule="auto"/>
              <w:widowControl w:val="off"/>
              <w:rPr>
                <w:rFonts w:hint="eastAsia" w:ascii="仿宋" w:hAnsi="仿宋" w:eastAsia="仿宋" w:cs="仿宋"/>
                <w:color w:val="000000"/>
                <w:sz w:val="24"/>
                <w:szCs w:val="24"/>
                <w:highlight w:val="none"/>
                <w:lang w:val="zh-CN"/>
              </w:rPr>
              <w:framePr w:vAnchor="text" w:hAnchor="page" w:x="1787" w:y="574"/>
            </w:pPr>
            <w:r>
              <w:rPr>
                <w:rFonts w:hint="eastAsia" w:ascii="仿宋" w:hAnsi="仿宋" w:eastAsia="仿宋" w:cs="仿宋"/>
                <w:color w:val="000000"/>
                <w:sz w:val="24"/>
                <w:szCs w:val="24"/>
                <w:highlight w:val="none"/>
                <w:lang w:val="zh-CN"/>
              </w:rPr>
            </w:r>
            <w:r/>
          </w:p>
          <w:p>
            <w:pPr>
              <w:pStyle w:val="1011"/>
              <w:numPr>
                <w:ilvl w:val="0"/>
                <w:numId w:val="0"/>
              </w:numPr>
              <w:ind w:right="113" w:firstLine="0"/>
              <w:jc w:val="center"/>
              <w:keepLines w:val="0"/>
              <w:keepNext w:val="0"/>
              <w:pageBreakBefore w:val="0"/>
              <w:spacing w:line="240" w:lineRule="auto"/>
              <w:widowControl w:val="off"/>
              <w:rPr>
                <w:rFonts w:hint="eastAsia" w:ascii="仿宋" w:hAnsi="仿宋" w:eastAsia="仿宋" w:cs="仿宋"/>
                <w:color w:val="000000"/>
                <w:sz w:val="24"/>
                <w:szCs w:val="24"/>
                <w:highlight w:val="none"/>
                <w:lang w:val="zh-CN"/>
              </w:rPr>
              <w:framePr w:vAnchor="text" w:hAnchor="page" w:x="1787" w:y="574"/>
            </w:pPr>
            <w:r>
              <w:rPr>
                <w:rFonts w:hint="eastAsia" w:ascii="仿宋" w:hAnsi="仿宋" w:eastAsia="仿宋" w:cs="仿宋"/>
                <w:color w:val="000000"/>
                <w:sz w:val="24"/>
                <w:szCs w:val="24"/>
                <w:highlight w:val="none"/>
                <w:lang w:val="zh-CN"/>
              </w:rPr>
              <w:t xml:space="preserve">企业能力</w:t>
            </w:r>
            <w:r>
              <w:rPr>
                <w:rFonts w:hint="eastAsia" w:ascii="仿宋" w:hAnsi="仿宋" w:eastAsia="仿宋" w:cs="仿宋"/>
                <w:color w:val="000000"/>
                <w:sz w:val="24"/>
                <w:szCs w:val="24"/>
                <w:highlight w:val="none"/>
                <w:lang w:val="zh-CN"/>
              </w:rPr>
            </w:r>
            <w:r/>
          </w:p>
        </w:tc>
        <w:tc>
          <w:tcPr>
            <w:tcW w:w="7022" w:type="dxa"/>
            <w:vAlign w:val="center"/>
            <w:textDirection w:val="lrTb"/>
            <w:noWrap w:val="false"/>
          </w:tcPr>
          <w:p>
            <w:pPr>
              <w:pStyle w:val="1011"/>
              <w:numPr>
                <w:ilvl w:val="0"/>
                <w:numId w:val="7"/>
              </w:numPr>
              <w:ind w:right="113" w:firstLine="480"/>
              <w:jc w:val="left"/>
              <w:keepLines w:val="0"/>
              <w:keepNext w:val="0"/>
              <w:pageBreakBefore w:val="0"/>
              <w:spacing w:line="240" w:lineRule="auto"/>
              <w:widowControl w:val="off"/>
              <w:rPr>
                <w:rFonts w:hint="eastAsia" w:ascii="仿宋" w:hAnsi="仿宋" w:eastAsia="仿宋" w:cs="仿宋"/>
                <w:color w:val="000000"/>
                <w:sz w:val="24"/>
                <w:szCs w:val="24"/>
                <w:highlight w:val="none"/>
                <w:lang w:val="zh-CN"/>
              </w:rPr>
              <w:framePr w:vAnchor="text" w:hAnchor="page" w:x="1787" w:y="574"/>
            </w:pPr>
            <w:r>
              <w:rPr>
                <w:rFonts w:hint="eastAsia" w:ascii="仿宋" w:hAnsi="仿宋" w:eastAsia="仿宋" w:cs="仿宋"/>
                <w:color w:val="000000"/>
                <w:sz w:val="24"/>
                <w:szCs w:val="24"/>
                <w:highlight w:val="none"/>
                <w:lang w:val="zh-CN"/>
              </w:rPr>
              <w:t xml:space="preserve">投标人（</w:t>
            </w:r>
            <w:r>
              <w:rPr>
                <w:rFonts w:hint="eastAsia" w:ascii="仿宋" w:hAnsi="仿宋" w:eastAsia="仿宋" w:cs="仿宋"/>
                <w:color w:val="000000"/>
                <w:sz w:val="24"/>
                <w:szCs w:val="24"/>
                <w:highlight w:val="none"/>
                <w:lang w:val="en-US" w:eastAsia="zh-CN"/>
              </w:rPr>
              <w:t xml:space="preserve">联合体投标的，成员方和牵头方同时具备</w:t>
            </w:r>
            <w:r>
              <w:rPr>
                <w:rFonts w:hint="eastAsia" w:ascii="仿宋" w:hAnsi="仿宋" w:eastAsia="仿宋" w:cs="仿宋"/>
                <w:color w:val="000000"/>
                <w:sz w:val="24"/>
                <w:szCs w:val="24"/>
                <w:highlight w:val="none"/>
                <w:lang w:val="zh-CN"/>
              </w:rPr>
              <w:t xml:space="preserve">）具有ISO9001质量管理体系认证、ISO27001信息安全管理体系认证、ISO20000 信息技术服务管理体系认证、ISO45001职业健康安全管理体系认证，每提供1个认证证书的得0.5分，本项最多得2分，没有不得分。</w:t>
            </w:r>
            <w:r>
              <w:rPr>
                <w:rFonts w:hint="eastAsia" w:ascii="仿宋" w:hAnsi="仿宋" w:eastAsia="仿宋" w:cs="仿宋"/>
                <w:color w:val="000000"/>
                <w:sz w:val="24"/>
                <w:szCs w:val="24"/>
                <w:highlight w:val="none"/>
                <w:lang w:val="zh-CN"/>
              </w:rPr>
            </w:r>
            <w:r/>
          </w:p>
          <w:p>
            <w:pPr>
              <w:pStyle w:val="1011"/>
              <w:numPr>
                <w:ilvl w:val="0"/>
                <w:numId w:val="0"/>
              </w:numPr>
              <w:ind w:right="113" w:firstLine="480"/>
              <w:jc w:val="left"/>
              <w:keepLines w:val="0"/>
              <w:keepNext w:val="0"/>
              <w:pageBreakBefore w:val="0"/>
              <w:spacing w:line="240" w:lineRule="auto"/>
              <w:widowControl w:val="off"/>
              <w:rPr>
                <w:rFonts w:ascii="仿宋" w:hAnsi="仿宋" w:eastAsia="仿宋" w:cs="仿宋"/>
                <w:color w:val="000000"/>
                <w:sz w:val="24"/>
                <w:szCs w:val="24"/>
                <w:highlight w:val="none"/>
                <w:lang w:val="en-US" w:eastAsia="zh-CN"/>
              </w:rPr>
              <w:framePr w:vAnchor="text" w:hAnchor="page" w:x="1787" w:y="574"/>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zh-CN"/>
              </w:rPr>
              <w:t xml:space="preserve">投标人（</w:t>
            </w:r>
            <w:r>
              <w:rPr>
                <w:rFonts w:hint="eastAsia" w:ascii="仿宋" w:hAnsi="仿宋" w:eastAsia="仿宋" w:cs="仿宋"/>
                <w:color w:val="000000"/>
                <w:sz w:val="24"/>
                <w:szCs w:val="24"/>
                <w:highlight w:val="none"/>
                <w:lang w:val="en-US" w:eastAsia="zh-CN"/>
              </w:rPr>
              <w:t xml:space="preserve">联合体投标的，成员方和牵头方同时具备</w:t>
            </w:r>
            <w:r>
              <w:rPr>
                <w:rFonts w:hint="eastAsia" w:ascii="仿宋" w:hAnsi="仿宋" w:eastAsia="仿宋" w:cs="仿宋"/>
                <w:color w:val="000000"/>
                <w:sz w:val="24"/>
                <w:szCs w:val="24"/>
                <w:highlight w:val="none"/>
                <w:lang w:val="zh-CN"/>
              </w:rPr>
              <w:t xml:space="preserve">）具备CS信息系统建设与服务能力等级证书的，5级及以上的得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zh-CN"/>
              </w:rPr>
              <w:t xml:space="preserve">分；4级的得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zh-CN"/>
              </w:rPr>
              <w:t xml:space="preserve">分，3级及以下的得1分，不提供的不得分。 </w:t>
            </w:r>
            <w:r>
              <w:rPr>
                <w:rFonts w:ascii="仿宋" w:hAnsi="仿宋" w:eastAsia="仿宋" w:cs="仿宋"/>
                <w:color w:val="000000"/>
                <w:sz w:val="24"/>
                <w:szCs w:val="24"/>
                <w:highlight w:val="none"/>
                <w:lang w:val="en-US" w:eastAsia="zh-CN"/>
              </w:rPr>
            </w:r>
            <w:r/>
          </w:p>
        </w:tc>
        <w:tc>
          <w:tcPr>
            <w:tcW w:w="594" w:type="dxa"/>
            <w:vAlign w:val="center"/>
            <w:textDirection w:val="lrTb"/>
            <w:noWrap w:val="false"/>
          </w:tcPr>
          <w:p>
            <w:pPr>
              <w:pStyle w:val="1011"/>
              <w:numPr>
                <w:ilvl w:val="0"/>
                <w:numId w:val="0"/>
              </w:numPr>
              <w:ind w:right="113" w:firstLine="0"/>
              <w:jc w:val="center"/>
              <w:keepLines w:val="0"/>
              <w:keepNext w:val="0"/>
              <w:pageBreakBefore w:val="0"/>
              <w:spacing w:line="240" w:lineRule="auto"/>
              <w:widowControl w:val="off"/>
              <w:rPr>
                <w:rFonts w:ascii="仿宋" w:hAnsi="仿宋" w:eastAsia="仿宋" w:cs="仿宋"/>
                <w:color w:val="000000"/>
                <w:sz w:val="24"/>
                <w:szCs w:val="24"/>
                <w:highlight w:val="none"/>
                <w:lang w:val="en-US"/>
              </w:rPr>
              <w:framePr w:vAnchor="text" w:hAnchor="page" w:x="1787" w:y="574"/>
            </w:pPr>
            <w:r>
              <w:rPr>
                <w:rFonts w:hint="eastAsia" w:ascii="仿宋" w:hAnsi="仿宋" w:eastAsia="仿宋" w:cs="仿宋"/>
                <w:color w:val="000000"/>
                <w:sz w:val="24"/>
                <w:szCs w:val="24"/>
                <w:highlight w:val="none"/>
                <w:lang w:val="en-US" w:eastAsia="zh-CN"/>
              </w:rPr>
              <w:t xml:space="preserve">5</w:t>
            </w:r>
            <w:r>
              <w:rPr>
                <w:rFonts w:ascii="仿宋" w:hAnsi="仿宋" w:eastAsia="仿宋" w:cs="仿宋"/>
                <w:color w:val="000000"/>
                <w:sz w:val="24"/>
                <w:szCs w:val="24"/>
                <w:highlight w:val="none"/>
                <w:lang w:val="en-US"/>
              </w:rPr>
            </w:r>
            <w:r/>
          </w:p>
        </w:tc>
      </w:tr>
      <w:tr>
        <w:trPr>
          <w:trHeight w:val="385"/>
        </w:trPr>
        <w:tc>
          <w:tcPr>
            <w:tcW w:w="900" w:type="dxa"/>
            <w:vAlign w:val="center"/>
            <w:textDirection w:val="lrTb"/>
            <w:noWrap w:val="false"/>
          </w:tcPr>
          <w:p>
            <w:pPr>
              <w:pStyle w:val="1011"/>
              <w:numPr>
                <w:ilvl w:val="0"/>
                <w:numId w:val="0"/>
              </w:numPr>
              <w:ind w:right="113" w:firstLine="0"/>
              <w:jc w:val="center"/>
              <w:keepLines w:val="0"/>
              <w:keepNext w:val="0"/>
              <w:pageBreakBefore w:val="0"/>
              <w:spacing w:line="240" w:lineRule="auto"/>
              <w:widowControl w:val="off"/>
              <w:rPr>
                <w:rFonts w:hint="eastAsia" w:ascii="仿宋" w:hAnsi="仿宋" w:eastAsia="仿宋" w:cs="仿宋"/>
                <w:color w:val="000000"/>
                <w:sz w:val="24"/>
                <w:szCs w:val="24"/>
                <w:highlight w:val="none"/>
                <w:lang w:val="zh-CN"/>
              </w:rPr>
              <w:framePr w:vAnchor="text" w:hAnchor="page" w:x="1787" w:y="574"/>
            </w:pPr>
            <w:r>
              <w:rPr>
                <w:rFonts w:hint="eastAsia" w:ascii="仿宋" w:hAnsi="仿宋" w:eastAsia="仿宋" w:cs="仿宋"/>
                <w:color w:val="000000"/>
                <w:sz w:val="24"/>
                <w:szCs w:val="24"/>
                <w:highlight w:val="none"/>
                <w:lang w:val="en-US" w:eastAsia="zh-CN"/>
              </w:rPr>
              <w:t xml:space="preserve">项目团队</w:t>
            </w:r>
            <w:r>
              <w:rPr>
                <w:rFonts w:hint="eastAsia" w:ascii="仿宋" w:hAnsi="仿宋" w:eastAsia="仿宋" w:cs="仿宋"/>
                <w:color w:val="000000"/>
                <w:sz w:val="24"/>
                <w:szCs w:val="24"/>
                <w:highlight w:val="none"/>
                <w:lang w:val="zh-CN"/>
              </w:rPr>
            </w:r>
            <w:r/>
          </w:p>
        </w:tc>
        <w:tc>
          <w:tcPr>
            <w:tcW w:w="7022" w:type="dxa"/>
            <w:vAlign w:val="center"/>
            <w:textDirection w:val="lrTb"/>
            <w:noWrap w:val="false"/>
          </w:tcPr>
          <w:p>
            <w:pPr>
              <w:pStyle w:val="1011"/>
              <w:numPr>
                <w:ilvl w:val="0"/>
                <w:numId w:val="0"/>
              </w:numPr>
              <w:ind w:right="113" w:firstLine="480"/>
              <w:jc w:val="left"/>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rPr>
              <w:framePr w:vAnchor="text" w:hAnchor="page" w:x="1787" w:y="574"/>
            </w:pPr>
            <w:r>
              <w:rPr>
                <w:rFonts w:hint="eastAsia" w:ascii="仿宋" w:hAnsi="仿宋" w:eastAsia="仿宋" w:cs="仿宋"/>
                <w:color w:val="000000"/>
                <w:sz w:val="24"/>
                <w:szCs w:val="24"/>
                <w:highlight w:val="none"/>
                <w:lang w:val="en-US" w:eastAsia="zh-CN"/>
              </w:rPr>
              <w:t xml:space="preserve">项目实施团队人员具有信息系统项目管理师证书、系统分析师证书、软件设计师证书,每提供一类证书得2分,同一人具有多项证书的可重复计算，多人获得同一证书的不重复计算，本项最高得6分。</w:t>
            </w:r>
            <w:r>
              <w:rPr>
                <w:rFonts w:hint="eastAsia" w:ascii="仿宋" w:hAnsi="仿宋" w:eastAsia="仿宋" w:cs="仿宋"/>
                <w:b/>
                <w:bCs/>
                <w:color w:val="000000"/>
                <w:sz w:val="24"/>
                <w:szCs w:val="24"/>
                <w:highlight w:val="none"/>
                <w:lang w:val="en-US" w:eastAsia="zh-CN"/>
              </w:rPr>
              <w:t xml:space="preserve">（需提供相关证书扫描件和近6个月内任意1个月供应商为该员工缴纳社会保险的证明材料扫描件并加盖投标人公章。）</w:t>
            </w:r>
            <w:r>
              <w:rPr>
                <w:rFonts w:hint="eastAsia" w:ascii="仿宋" w:hAnsi="仿宋" w:eastAsia="仿宋" w:cs="仿宋"/>
                <w:color w:val="000000"/>
                <w:sz w:val="24"/>
                <w:szCs w:val="24"/>
                <w:highlight w:val="none"/>
                <w:lang w:val="en-US" w:eastAsia="zh-CN"/>
              </w:rPr>
            </w:r>
            <w:r/>
          </w:p>
        </w:tc>
        <w:tc>
          <w:tcPr>
            <w:tcW w:w="594" w:type="dxa"/>
            <w:vAlign w:val="center"/>
            <w:textDirection w:val="lrTb"/>
            <w:noWrap w:val="false"/>
          </w:tcPr>
          <w:p>
            <w:pPr>
              <w:pStyle w:val="1011"/>
              <w:numPr>
                <w:ilvl w:val="0"/>
                <w:numId w:val="0"/>
              </w:numPr>
              <w:ind w:right="113" w:firstLine="0"/>
              <w:jc w:val="center"/>
              <w:keepLines w:val="0"/>
              <w:keepNext w:val="0"/>
              <w:pageBreakBefore w:val="0"/>
              <w:spacing w:line="240" w:lineRule="auto"/>
              <w:widowControl w:val="off"/>
              <w:rPr>
                <w:rFonts w:ascii="仿宋" w:hAnsi="仿宋" w:eastAsia="仿宋" w:cs="仿宋"/>
                <w:color w:val="000000"/>
                <w:sz w:val="24"/>
                <w:szCs w:val="24"/>
                <w:highlight w:val="none"/>
                <w:lang w:val="en-US" w:eastAsia="zh-CN"/>
              </w:rPr>
              <w:framePr w:vAnchor="text" w:hAnchor="page" w:x="1787" w:y="574"/>
            </w:pPr>
            <w:r>
              <w:rPr>
                <w:rFonts w:hint="eastAsia" w:ascii="仿宋" w:hAnsi="仿宋" w:eastAsia="仿宋" w:cs="仿宋"/>
                <w:color w:val="000000"/>
                <w:sz w:val="24"/>
                <w:szCs w:val="24"/>
                <w:highlight w:val="none"/>
                <w:lang w:val="en-US" w:eastAsia="zh-CN"/>
              </w:rPr>
              <w:t xml:space="preserve">6</w:t>
            </w:r>
            <w:r>
              <w:rPr>
                <w:rFonts w:ascii="仿宋" w:hAnsi="仿宋" w:eastAsia="仿宋" w:cs="仿宋"/>
                <w:color w:val="000000"/>
                <w:sz w:val="24"/>
                <w:szCs w:val="24"/>
                <w:highlight w:val="none"/>
                <w:lang w:val="en-US" w:eastAsia="zh-CN"/>
              </w:rPr>
            </w:r>
            <w:r/>
          </w:p>
        </w:tc>
      </w:tr>
      <w:tr>
        <w:trPr>
          <w:trHeight w:val="90"/>
        </w:trPr>
        <w:tc>
          <w:tcPr>
            <w:tcW w:w="900" w:type="dxa"/>
            <w:vAlign w:val="center"/>
            <w:textDirection w:val="lrTb"/>
            <w:noWrap w:val="false"/>
          </w:tcPr>
          <w:p>
            <w:pPr>
              <w:pStyle w:val="1011"/>
              <w:numPr>
                <w:ilvl w:val="0"/>
                <w:numId w:val="0"/>
              </w:numPr>
              <w:ind w:right="113" w:firstLine="0"/>
              <w:jc w:val="center"/>
              <w:keepLines w:val="0"/>
              <w:keepNext w:val="0"/>
              <w:pageBreakBefore w:val="0"/>
              <w:spacing w:line="240" w:lineRule="auto"/>
              <w:widowControl w:val="off"/>
              <w:rPr>
                <w:rFonts w:hint="eastAsia" w:ascii="仿宋" w:hAnsi="仿宋" w:eastAsia="仿宋" w:cs="仿宋"/>
                <w:color w:val="000000"/>
                <w:sz w:val="24"/>
                <w:szCs w:val="24"/>
                <w:highlight w:val="none"/>
                <w:lang w:val="zh-CN"/>
              </w:rPr>
              <w:framePr w:vAnchor="text" w:hAnchor="page" w:x="1787" w:y="574"/>
            </w:pPr>
            <w:r>
              <w:rPr>
                <w:rFonts w:hint="eastAsia" w:ascii="仿宋" w:hAnsi="仿宋" w:eastAsia="仿宋" w:cs="仿宋"/>
                <w:color w:val="000000"/>
                <w:sz w:val="24"/>
                <w:szCs w:val="24"/>
                <w:highlight w:val="none"/>
                <w:lang w:val="zh-CN"/>
              </w:rPr>
              <w:t xml:space="preserve">整体实施方案</w:t>
            </w:r>
            <w:r>
              <w:rPr>
                <w:rFonts w:hint="eastAsia" w:ascii="仿宋" w:hAnsi="仿宋" w:eastAsia="仿宋" w:cs="仿宋"/>
                <w:color w:val="000000"/>
                <w:sz w:val="24"/>
                <w:szCs w:val="24"/>
                <w:highlight w:val="none"/>
                <w:lang w:val="zh-CN"/>
              </w:rPr>
            </w:r>
            <w:r/>
          </w:p>
        </w:tc>
        <w:tc>
          <w:tcPr>
            <w:tcW w:w="7022" w:type="dxa"/>
            <w:vAlign w:val="center"/>
            <w:textDirection w:val="lrTb"/>
            <w:noWrap w:val="false"/>
          </w:tcPr>
          <w:p>
            <w:pPr>
              <w:pStyle w:val="1011"/>
              <w:numPr>
                <w:ilvl w:val="0"/>
                <w:numId w:val="0"/>
              </w:numPr>
              <w:ind w:right="113" w:firstLine="480"/>
              <w:jc w:val="left"/>
              <w:keepLines w:val="0"/>
              <w:keepNext w:val="0"/>
              <w:pageBreakBefore w:val="0"/>
              <w:spacing w:line="240" w:lineRule="auto"/>
              <w:widowControl w:val="off"/>
              <w:rPr>
                <w:rFonts w:hint="eastAsia" w:ascii="仿宋" w:hAnsi="仿宋" w:eastAsia="仿宋" w:cs="仿宋"/>
                <w:color w:val="000000"/>
                <w:sz w:val="24"/>
                <w:szCs w:val="24"/>
                <w:highlight w:val="none"/>
                <w:lang w:val="zh-CN"/>
              </w:rPr>
              <w:framePr w:vAnchor="text" w:hAnchor="page" w:x="1787" w:y="574"/>
            </w:pPr>
            <w:r>
              <w:rPr>
                <w:rFonts w:hint="eastAsia" w:ascii="仿宋" w:hAnsi="仿宋" w:eastAsia="仿宋" w:cs="仿宋"/>
                <w:color w:val="000000"/>
                <w:sz w:val="24"/>
                <w:szCs w:val="24"/>
                <w:highlight w:val="none"/>
                <w:lang w:val="zh-CN"/>
              </w:rPr>
              <w:t xml:space="preserve">投标人需根据本项目提供</w:t>
            </w:r>
            <w:r>
              <w:rPr>
                <w:rFonts w:hint="eastAsia" w:ascii="仿宋" w:hAnsi="仿宋" w:eastAsia="仿宋" w:cs="仿宋"/>
                <w:color w:val="000000"/>
                <w:sz w:val="24"/>
                <w:szCs w:val="24"/>
                <w:highlight w:val="none"/>
                <w:lang w:val="en-US" w:eastAsia="zh-CN"/>
              </w:rPr>
              <w:t xml:space="preserve">服务</w:t>
            </w:r>
            <w:r>
              <w:rPr>
                <w:rFonts w:hint="eastAsia" w:ascii="仿宋" w:hAnsi="仿宋" w:eastAsia="仿宋" w:cs="仿宋"/>
                <w:color w:val="000000"/>
                <w:sz w:val="24"/>
                <w:szCs w:val="24"/>
                <w:highlight w:val="none"/>
                <w:lang w:val="zh-CN"/>
              </w:rPr>
              <w:t xml:space="preserve">详细实施方案，需包含项目管理、项目进度管理、文档资料管理、项目难点分析、项目风险管理、项目验收管理，售后服务。评委根据方案响应程度进行综合评审。</w:t>
            </w:r>
            <w:r>
              <w:rPr>
                <w:rFonts w:hint="eastAsia" w:ascii="仿宋" w:hAnsi="仿宋" w:eastAsia="仿宋" w:cs="仿宋"/>
                <w:color w:val="000000"/>
                <w:sz w:val="24"/>
                <w:szCs w:val="24"/>
                <w:highlight w:val="none"/>
                <w:lang w:val="zh-CN"/>
              </w:rPr>
            </w:r>
            <w:r/>
          </w:p>
          <w:p>
            <w:pPr>
              <w:pStyle w:val="1011"/>
              <w:numPr>
                <w:ilvl w:val="0"/>
                <w:numId w:val="0"/>
              </w:numPr>
              <w:ind w:right="113" w:firstLine="480"/>
              <w:jc w:val="left"/>
              <w:keepLines w:val="0"/>
              <w:keepNext w:val="0"/>
              <w:pageBreakBefore w:val="0"/>
              <w:spacing w:line="240" w:lineRule="auto"/>
              <w:widowControl w:val="off"/>
              <w:rPr>
                <w:rFonts w:hint="eastAsia" w:ascii="仿宋" w:hAnsi="仿宋" w:eastAsia="仿宋" w:cs="仿宋"/>
                <w:color w:val="000000"/>
                <w:sz w:val="24"/>
                <w:szCs w:val="24"/>
                <w:highlight w:val="none"/>
                <w:lang w:val="zh-CN"/>
              </w:rPr>
              <w:framePr w:vAnchor="text" w:hAnchor="page" w:x="1787" w:y="574"/>
            </w:pPr>
            <w:r>
              <w:rPr>
                <w:rFonts w:hint="eastAsia" w:ascii="仿宋" w:hAnsi="仿宋" w:eastAsia="仿宋" w:cs="仿宋"/>
                <w:color w:val="000000"/>
                <w:sz w:val="24"/>
                <w:szCs w:val="24"/>
                <w:highlight w:val="none"/>
                <w:lang w:val="zh-CN"/>
              </w:rPr>
              <w:t xml:space="preserve">（1）方案全面、科学、严谨、合理，可行性强，完全满足且优于采购需求的，得7分。</w:t>
            </w:r>
            <w:r>
              <w:rPr>
                <w:rFonts w:hint="eastAsia" w:ascii="仿宋" w:hAnsi="仿宋" w:eastAsia="仿宋" w:cs="仿宋"/>
                <w:color w:val="000000"/>
                <w:sz w:val="24"/>
                <w:szCs w:val="24"/>
                <w:highlight w:val="none"/>
                <w:lang w:val="zh-CN"/>
              </w:rPr>
            </w:r>
            <w:r/>
          </w:p>
          <w:p>
            <w:pPr>
              <w:pStyle w:val="1011"/>
              <w:numPr>
                <w:ilvl w:val="0"/>
                <w:numId w:val="0"/>
              </w:numPr>
              <w:ind w:right="113" w:firstLine="480"/>
              <w:jc w:val="left"/>
              <w:keepLines w:val="0"/>
              <w:keepNext w:val="0"/>
              <w:pageBreakBefore w:val="0"/>
              <w:spacing w:line="240" w:lineRule="auto"/>
              <w:widowControl w:val="off"/>
              <w:rPr>
                <w:rFonts w:hint="eastAsia" w:ascii="仿宋" w:hAnsi="仿宋" w:eastAsia="仿宋" w:cs="仿宋"/>
                <w:color w:val="000000"/>
                <w:sz w:val="24"/>
                <w:szCs w:val="24"/>
                <w:highlight w:val="none"/>
                <w:lang w:val="zh-CN"/>
              </w:rPr>
              <w:framePr w:vAnchor="text" w:hAnchor="page" w:x="1787" w:y="574"/>
            </w:pPr>
            <w:r>
              <w:rPr>
                <w:rFonts w:hint="eastAsia" w:ascii="仿宋" w:hAnsi="仿宋" w:eastAsia="仿宋" w:cs="仿宋"/>
                <w:color w:val="000000"/>
                <w:sz w:val="24"/>
                <w:szCs w:val="24"/>
                <w:highlight w:val="none"/>
                <w:lang w:val="zh-CN"/>
              </w:rPr>
              <w:t xml:space="preserve">（2）方案合理、具备可行性强，满足采购需求的，得5分。</w:t>
            </w:r>
            <w:r>
              <w:rPr>
                <w:rFonts w:hint="eastAsia" w:ascii="仿宋" w:hAnsi="仿宋" w:eastAsia="仿宋" w:cs="仿宋"/>
                <w:color w:val="000000"/>
                <w:sz w:val="24"/>
                <w:szCs w:val="24"/>
                <w:highlight w:val="none"/>
                <w:lang w:val="zh-CN"/>
              </w:rPr>
            </w:r>
            <w:r/>
          </w:p>
          <w:p>
            <w:pPr>
              <w:pStyle w:val="1011"/>
              <w:numPr>
                <w:ilvl w:val="0"/>
                <w:numId w:val="0"/>
              </w:numPr>
              <w:ind w:right="113" w:firstLine="480"/>
              <w:jc w:val="left"/>
              <w:keepLines w:val="0"/>
              <w:keepNext w:val="0"/>
              <w:pageBreakBefore w:val="0"/>
              <w:spacing w:line="240" w:lineRule="auto"/>
              <w:widowControl w:val="off"/>
              <w:rPr>
                <w:rFonts w:hint="eastAsia" w:ascii="仿宋" w:hAnsi="仿宋" w:eastAsia="仿宋" w:cs="仿宋"/>
                <w:color w:val="000000"/>
                <w:sz w:val="24"/>
                <w:szCs w:val="24"/>
                <w:highlight w:val="none"/>
                <w:lang w:val="zh-CN"/>
              </w:rPr>
              <w:framePr w:vAnchor="text" w:hAnchor="page" w:x="1787" w:y="574"/>
            </w:pPr>
            <w:r>
              <w:rPr>
                <w:rFonts w:hint="eastAsia" w:ascii="仿宋" w:hAnsi="仿宋" w:eastAsia="仿宋" w:cs="仿宋"/>
                <w:color w:val="000000"/>
                <w:sz w:val="24"/>
                <w:szCs w:val="24"/>
                <w:highlight w:val="none"/>
                <w:lang w:val="zh-CN"/>
              </w:rPr>
              <w:t xml:space="preserve">（3）方案可行，基本满足采购需求但有瑕疵的，得3分。</w:t>
            </w:r>
            <w:r>
              <w:rPr>
                <w:rFonts w:hint="eastAsia" w:ascii="仿宋" w:hAnsi="仿宋" w:eastAsia="仿宋" w:cs="仿宋"/>
                <w:color w:val="000000"/>
                <w:sz w:val="24"/>
                <w:szCs w:val="24"/>
                <w:highlight w:val="none"/>
                <w:lang w:val="zh-CN"/>
              </w:rPr>
            </w:r>
            <w:r/>
          </w:p>
          <w:p>
            <w:pPr>
              <w:pStyle w:val="1011"/>
              <w:numPr>
                <w:ilvl w:val="0"/>
                <w:numId w:val="0"/>
              </w:numPr>
              <w:ind w:right="113" w:firstLine="480"/>
              <w:jc w:val="left"/>
              <w:keepLines w:val="0"/>
              <w:keepNext w:val="0"/>
              <w:pageBreakBefore w:val="0"/>
              <w:spacing w:line="240" w:lineRule="auto"/>
              <w:widowControl w:val="off"/>
              <w:rPr>
                <w:rFonts w:hint="eastAsia" w:ascii="仿宋" w:hAnsi="仿宋" w:eastAsia="仿宋" w:cs="仿宋"/>
                <w:color w:val="000000"/>
                <w:sz w:val="24"/>
                <w:szCs w:val="24"/>
                <w:highlight w:val="none"/>
                <w:lang w:val="zh-CN" w:eastAsia="zh-CN"/>
              </w:rPr>
              <w:framePr w:vAnchor="text" w:hAnchor="page" w:x="1787" w:y="574"/>
            </w:pPr>
            <w:r>
              <w:rPr>
                <w:rFonts w:hint="eastAsia" w:ascii="仿宋" w:hAnsi="仿宋" w:eastAsia="仿宋" w:cs="仿宋"/>
                <w:color w:val="000000"/>
                <w:sz w:val="24"/>
                <w:szCs w:val="24"/>
                <w:highlight w:val="none"/>
                <w:lang w:val="zh-CN"/>
              </w:rPr>
              <w:t xml:space="preserve">（4）方案不可行或未提供得0分。</w:t>
            </w:r>
            <w:r>
              <w:rPr>
                <w:rFonts w:hint="eastAsia" w:ascii="仿宋" w:hAnsi="仿宋" w:eastAsia="仿宋" w:cs="仿宋"/>
                <w:color w:val="000000"/>
                <w:sz w:val="24"/>
                <w:szCs w:val="24"/>
                <w:highlight w:val="none"/>
                <w:lang w:val="zh-CN" w:eastAsia="zh-CN"/>
              </w:rPr>
            </w:r>
            <w:r/>
          </w:p>
        </w:tc>
        <w:tc>
          <w:tcPr>
            <w:tcW w:w="594" w:type="dxa"/>
            <w:vAlign w:val="center"/>
            <w:textDirection w:val="lrTb"/>
            <w:noWrap w:val="false"/>
          </w:tcPr>
          <w:p>
            <w:pPr>
              <w:pStyle w:val="1011"/>
              <w:numPr>
                <w:ilvl w:val="0"/>
                <w:numId w:val="0"/>
              </w:numPr>
              <w:ind w:right="113" w:firstLine="0"/>
              <w:jc w:val="center"/>
              <w:keepLines w:val="0"/>
              <w:keepNext w:val="0"/>
              <w:pageBreakBefore w:val="0"/>
              <w:spacing w:line="240" w:lineRule="auto"/>
              <w:widowControl w:val="off"/>
              <w:rPr>
                <w:rFonts w:ascii="仿宋" w:hAnsi="仿宋" w:eastAsia="仿宋" w:cs="仿宋"/>
                <w:color w:val="000000"/>
                <w:sz w:val="24"/>
                <w:szCs w:val="24"/>
                <w:highlight w:val="none"/>
                <w:lang w:val="en-US" w:eastAsia="zh-CN"/>
              </w:rPr>
              <w:framePr w:vAnchor="text" w:hAnchor="page" w:x="1787" w:y="574"/>
            </w:pPr>
            <w:r>
              <w:rPr>
                <w:rFonts w:hint="eastAsia" w:ascii="仿宋" w:hAnsi="仿宋" w:eastAsia="仿宋" w:cs="仿宋"/>
                <w:color w:val="000000"/>
                <w:sz w:val="24"/>
                <w:szCs w:val="24"/>
                <w:highlight w:val="none"/>
                <w:lang w:val="en-US" w:eastAsia="zh-CN"/>
              </w:rPr>
              <w:t xml:space="preserve">7</w:t>
            </w:r>
            <w:r>
              <w:rPr>
                <w:rFonts w:ascii="仿宋" w:hAnsi="仿宋" w:eastAsia="仿宋" w:cs="仿宋"/>
                <w:color w:val="000000"/>
                <w:sz w:val="24"/>
                <w:szCs w:val="24"/>
                <w:highlight w:val="none"/>
                <w:lang w:val="en-US" w:eastAsia="zh-CN"/>
              </w:rPr>
            </w:r>
            <w:r/>
          </w:p>
        </w:tc>
      </w:tr>
      <w:tr>
        <w:trPr>
          <w:trHeight w:val="90"/>
        </w:trPr>
        <w:tc>
          <w:tcPr>
            <w:tcW w:w="900" w:type="dxa"/>
            <w:vAlign w:val="center"/>
            <w:textDirection w:val="lrTb"/>
            <w:noWrap w:val="false"/>
          </w:tcPr>
          <w:p>
            <w:pPr>
              <w:pStyle w:val="1011"/>
              <w:numPr>
                <w:ilvl w:val="0"/>
                <w:numId w:val="0"/>
              </w:numPr>
              <w:ind w:right="113" w:firstLine="0"/>
              <w:jc w:val="center"/>
              <w:keepLines w:val="0"/>
              <w:keepNext w:val="0"/>
              <w:pageBreakBefore w:val="0"/>
              <w:spacing w:line="240" w:lineRule="auto"/>
              <w:widowControl w:val="off"/>
              <w:rPr>
                <w:rFonts w:hint="eastAsia" w:ascii="仿宋" w:hAnsi="仿宋" w:eastAsia="仿宋" w:cs="仿宋"/>
                <w:color w:val="000000"/>
                <w:sz w:val="24"/>
                <w:szCs w:val="24"/>
                <w:highlight w:val="none"/>
                <w:lang w:val="zh-CN"/>
              </w:rPr>
              <w:framePr w:vAnchor="text" w:hAnchor="page" w:x="1787" w:y="574"/>
            </w:pPr>
            <w:r>
              <w:rPr>
                <w:rFonts w:hint="eastAsia" w:ascii="仿宋" w:hAnsi="仿宋" w:eastAsia="仿宋" w:cs="仿宋"/>
                <w:color w:val="000000"/>
                <w:sz w:val="24"/>
                <w:szCs w:val="24"/>
                <w:highlight w:val="none"/>
                <w:lang w:val="zh-CN"/>
              </w:rPr>
              <w:t xml:space="preserve">培训方案</w:t>
            </w:r>
            <w:r>
              <w:rPr>
                <w:rFonts w:hint="eastAsia" w:ascii="仿宋" w:hAnsi="仿宋" w:eastAsia="仿宋" w:cs="仿宋"/>
                <w:color w:val="000000"/>
                <w:sz w:val="24"/>
                <w:szCs w:val="24"/>
                <w:highlight w:val="none"/>
                <w:lang w:val="zh-CN"/>
              </w:rPr>
            </w:r>
            <w:r/>
          </w:p>
        </w:tc>
        <w:tc>
          <w:tcPr>
            <w:tcW w:w="7022" w:type="dxa"/>
            <w:vAlign w:val="center"/>
            <w:textDirection w:val="lrTb"/>
            <w:noWrap w:val="false"/>
          </w:tcPr>
          <w:p>
            <w:pPr>
              <w:pStyle w:val="1011"/>
              <w:numPr>
                <w:ilvl w:val="0"/>
                <w:numId w:val="0"/>
              </w:numPr>
              <w:ind w:right="113" w:firstLine="480"/>
              <w:jc w:val="left"/>
              <w:keepLines w:val="0"/>
              <w:keepNext w:val="0"/>
              <w:pageBreakBefore w:val="0"/>
              <w:spacing w:line="240" w:lineRule="auto"/>
              <w:widowControl w:val="off"/>
              <w:rPr>
                <w:rFonts w:hint="eastAsia" w:ascii="仿宋" w:hAnsi="仿宋" w:eastAsia="仿宋" w:cs="仿宋"/>
                <w:color w:val="000000"/>
                <w:sz w:val="24"/>
                <w:szCs w:val="24"/>
                <w:highlight w:val="none"/>
                <w:lang w:val="zh-CN" w:eastAsia="zh-CN"/>
              </w:rPr>
              <w:framePr w:vAnchor="text" w:hAnchor="page" w:x="1787" w:y="574"/>
            </w:pPr>
            <w:r>
              <w:rPr>
                <w:rFonts w:hint="eastAsia" w:ascii="仿宋" w:hAnsi="仿宋" w:eastAsia="仿宋" w:cs="仿宋"/>
                <w:color w:val="000000"/>
                <w:sz w:val="24"/>
                <w:szCs w:val="24"/>
                <w:highlight w:val="none"/>
                <w:lang w:val="zh-CN" w:eastAsia="zh-CN"/>
              </w:rPr>
              <w:t xml:space="preserve">投标人需根据本项目提供详细的培训方案，需包含培训目标、培训计划、师资力量、培训内容、培训评估和管理，评委根据方案响应程度进行综合评审。</w:t>
            </w:r>
            <w:r>
              <w:rPr>
                <w:rFonts w:hint="eastAsia" w:ascii="仿宋" w:hAnsi="仿宋" w:eastAsia="仿宋" w:cs="仿宋"/>
                <w:color w:val="000000"/>
                <w:sz w:val="24"/>
                <w:szCs w:val="24"/>
                <w:highlight w:val="none"/>
                <w:lang w:val="zh-CN" w:eastAsia="zh-CN"/>
              </w:rPr>
            </w:r>
            <w:r/>
          </w:p>
          <w:p>
            <w:pPr>
              <w:pStyle w:val="1011"/>
              <w:numPr>
                <w:ilvl w:val="0"/>
                <w:numId w:val="0"/>
              </w:numPr>
              <w:ind w:right="113" w:firstLine="480"/>
              <w:jc w:val="left"/>
              <w:keepLines w:val="0"/>
              <w:keepNext w:val="0"/>
              <w:pageBreakBefore w:val="0"/>
              <w:spacing w:line="240" w:lineRule="auto"/>
              <w:widowControl w:val="off"/>
              <w:rPr>
                <w:rFonts w:hint="eastAsia" w:ascii="仿宋" w:hAnsi="仿宋" w:eastAsia="仿宋" w:cs="仿宋"/>
                <w:color w:val="000000"/>
                <w:sz w:val="24"/>
                <w:szCs w:val="24"/>
                <w:highlight w:val="none"/>
                <w:lang w:val="zh-CN" w:eastAsia="zh-CN"/>
              </w:rPr>
              <w:framePr w:vAnchor="text" w:hAnchor="page" w:x="1787" w:y="574"/>
            </w:pPr>
            <w:r>
              <w:rPr>
                <w:rFonts w:hint="eastAsia" w:ascii="仿宋" w:hAnsi="仿宋" w:eastAsia="仿宋" w:cs="仿宋"/>
                <w:color w:val="000000"/>
                <w:sz w:val="24"/>
                <w:szCs w:val="24"/>
                <w:highlight w:val="none"/>
                <w:lang w:val="zh-CN" w:eastAsia="zh-CN"/>
              </w:rPr>
              <w:t xml:space="preserve">（1）方案全面、科学、严谨、合理，可行性强，完全满足且优于采购需求的，得</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val="zh-CN" w:eastAsia="zh-CN"/>
              </w:rPr>
              <w:t xml:space="preserve">分。</w:t>
            </w:r>
            <w:r>
              <w:rPr>
                <w:rFonts w:hint="eastAsia" w:ascii="仿宋" w:hAnsi="仿宋" w:eastAsia="仿宋" w:cs="仿宋"/>
                <w:color w:val="000000"/>
                <w:sz w:val="24"/>
                <w:szCs w:val="24"/>
                <w:highlight w:val="none"/>
                <w:lang w:val="zh-CN" w:eastAsia="zh-CN"/>
              </w:rPr>
            </w:r>
            <w:r/>
          </w:p>
          <w:p>
            <w:pPr>
              <w:pStyle w:val="1011"/>
              <w:numPr>
                <w:ilvl w:val="0"/>
                <w:numId w:val="8"/>
              </w:numPr>
              <w:ind w:right="113" w:firstLine="480"/>
              <w:jc w:val="left"/>
              <w:keepLines w:val="0"/>
              <w:keepNext w:val="0"/>
              <w:pageBreakBefore w:val="0"/>
              <w:spacing w:line="240" w:lineRule="auto"/>
              <w:widowControl w:val="off"/>
              <w:rPr>
                <w:rFonts w:hint="eastAsia" w:ascii="仿宋" w:hAnsi="仿宋" w:eastAsia="仿宋" w:cs="仿宋"/>
                <w:color w:val="000000"/>
                <w:sz w:val="24"/>
                <w:szCs w:val="24"/>
                <w:highlight w:val="none"/>
                <w:lang w:val="zh-CN" w:eastAsia="zh-CN"/>
              </w:rPr>
              <w:framePr w:vAnchor="text" w:hAnchor="page" w:x="1787" w:y="574"/>
            </w:pPr>
            <w:r>
              <w:rPr>
                <w:rFonts w:hint="eastAsia" w:ascii="仿宋" w:hAnsi="仿宋" w:eastAsia="仿宋" w:cs="仿宋"/>
                <w:color w:val="000000"/>
                <w:sz w:val="24"/>
                <w:szCs w:val="24"/>
                <w:highlight w:val="none"/>
                <w:lang w:val="zh-CN" w:eastAsia="zh-CN"/>
              </w:rPr>
              <w:t xml:space="preserve">方案合理、具备可行性强，满足采购需求的，得</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zh-CN" w:eastAsia="zh-CN"/>
              </w:rPr>
              <w:t xml:space="preserve">分。</w:t>
            </w:r>
            <w:r>
              <w:rPr>
                <w:rFonts w:hint="eastAsia" w:ascii="仿宋" w:hAnsi="仿宋" w:eastAsia="仿宋" w:cs="仿宋"/>
                <w:color w:val="000000"/>
                <w:sz w:val="24"/>
                <w:szCs w:val="24"/>
                <w:highlight w:val="none"/>
                <w:lang w:val="zh-CN" w:eastAsia="zh-CN"/>
              </w:rPr>
            </w:r>
            <w:r/>
          </w:p>
          <w:p>
            <w:pPr>
              <w:pStyle w:val="1011"/>
              <w:numPr>
                <w:ilvl w:val="0"/>
                <w:numId w:val="0"/>
              </w:numPr>
              <w:ind w:right="113" w:firstLine="480"/>
              <w:jc w:val="left"/>
              <w:keepLines w:val="0"/>
              <w:keepNext w:val="0"/>
              <w:pageBreakBefore w:val="0"/>
              <w:spacing w:line="240" w:lineRule="auto"/>
              <w:widowControl w:val="off"/>
              <w:rPr>
                <w:rFonts w:hint="eastAsia" w:ascii="仿宋" w:hAnsi="仿宋" w:eastAsia="仿宋" w:cs="仿宋"/>
                <w:color w:val="000000"/>
                <w:sz w:val="24"/>
                <w:szCs w:val="24"/>
                <w:highlight w:val="none"/>
                <w:lang w:val="zh-CN" w:eastAsia="zh-CN"/>
              </w:rPr>
              <w:framePr w:vAnchor="text" w:hAnchor="page" w:x="1787" w:y="574"/>
            </w:pPr>
            <w:r>
              <w:rPr>
                <w:rFonts w:hint="eastAsia" w:ascii="仿宋" w:hAnsi="仿宋" w:eastAsia="仿宋" w:cs="仿宋"/>
                <w:color w:val="000000"/>
                <w:sz w:val="24"/>
                <w:szCs w:val="24"/>
                <w:highlight w:val="none"/>
                <w:lang w:val="zh-CN" w:eastAsia="zh-CN"/>
              </w:rPr>
              <w:t xml:space="preserve">（3）方案可行，基本满足采购需求但有瑕疵的，得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zh-CN" w:eastAsia="zh-CN"/>
              </w:rPr>
              <w:t xml:space="preserve">分。</w:t>
            </w:r>
            <w:r>
              <w:rPr>
                <w:rFonts w:hint="eastAsia" w:ascii="仿宋" w:hAnsi="仿宋" w:eastAsia="仿宋" w:cs="仿宋"/>
                <w:color w:val="000000"/>
                <w:sz w:val="24"/>
                <w:szCs w:val="24"/>
                <w:highlight w:val="none"/>
                <w:lang w:val="zh-CN" w:eastAsia="zh-CN"/>
              </w:rPr>
            </w:r>
            <w:r/>
          </w:p>
          <w:p>
            <w:pPr>
              <w:pStyle w:val="1011"/>
              <w:numPr>
                <w:ilvl w:val="0"/>
                <w:numId w:val="0"/>
              </w:numPr>
              <w:ind w:right="113" w:firstLine="480"/>
              <w:jc w:val="left"/>
              <w:keepLines w:val="0"/>
              <w:keepNext w:val="0"/>
              <w:pageBreakBefore w:val="0"/>
              <w:spacing w:line="240" w:lineRule="auto"/>
              <w:widowControl w:val="off"/>
              <w:rPr>
                <w:rFonts w:hint="eastAsia" w:ascii="仿宋" w:hAnsi="仿宋" w:eastAsia="仿宋" w:cs="仿宋"/>
                <w:color w:val="000000"/>
                <w:sz w:val="24"/>
                <w:szCs w:val="24"/>
                <w:highlight w:val="none"/>
                <w:lang w:val="zh-CN" w:eastAsia="zh-CN"/>
              </w:rPr>
              <w:framePr w:vAnchor="text" w:hAnchor="page" w:x="1787" w:y="574"/>
            </w:pPr>
            <w:r>
              <w:rPr>
                <w:rFonts w:hint="eastAsia" w:ascii="仿宋" w:hAnsi="仿宋" w:eastAsia="仿宋" w:cs="仿宋"/>
                <w:color w:val="000000"/>
                <w:sz w:val="24"/>
                <w:szCs w:val="24"/>
                <w:highlight w:val="none"/>
                <w:lang w:val="zh-CN" w:eastAsia="zh-CN"/>
              </w:rPr>
              <w:t xml:space="preserve">（4）方案不可行或未提供得0分。</w:t>
            </w:r>
            <w:r>
              <w:rPr>
                <w:rFonts w:hint="eastAsia" w:ascii="仿宋" w:hAnsi="仿宋" w:eastAsia="仿宋" w:cs="仿宋"/>
                <w:color w:val="000000"/>
                <w:sz w:val="24"/>
                <w:szCs w:val="24"/>
                <w:highlight w:val="none"/>
                <w:lang w:val="zh-CN" w:eastAsia="zh-CN"/>
              </w:rPr>
            </w:r>
            <w:r/>
          </w:p>
        </w:tc>
        <w:tc>
          <w:tcPr>
            <w:tcW w:w="594" w:type="dxa"/>
            <w:vAlign w:val="center"/>
            <w:textDirection w:val="lrTb"/>
            <w:noWrap w:val="false"/>
          </w:tcPr>
          <w:p>
            <w:pPr>
              <w:pStyle w:val="1011"/>
              <w:numPr>
                <w:ilvl w:val="0"/>
                <w:numId w:val="0"/>
              </w:numPr>
              <w:ind w:right="113" w:firstLine="0"/>
              <w:jc w:val="center"/>
              <w:keepLines w:val="0"/>
              <w:keepNext w:val="0"/>
              <w:pageBreakBefore w:val="0"/>
              <w:spacing w:line="240" w:lineRule="auto"/>
              <w:widowControl w:val="off"/>
              <w:rPr>
                <w:rFonts w:ascii="仿宋" w:hAnsi="仿宋" w:eastAsia="仿宋" w:cs="仿宋"/>
                <w:color w:val="000000"/>
                <w:sz w:val="24"/>
                <w:szCs w:val="24"/>
                <w:highlight w:val="none"/>
                <w:lang w:val="en-US" w:eastAsia="zh-CN"/>
              </w:rPr>
              <w:framePr w:vAnchor="text" w:hAnchor="page" w:x="1787" w:y="574"/>
            </w:pPr>
            <w:r>
              <w:rPr>
                <w:rFonts w:hint="eastAsia" w:ascii="仿宋" w:hAnsi="仿宋" w:eastAsia="仿宋" w:cs="仿宋"/>
                <w:color w:val="000000"/>
                <w:sz w:val="24"/>
                <w:szCs w:val="24"/>
                <w:highlight w:val="none"/>
                <w:lang w:val="en-US" w:eastAsia="zh-CN"/>
              </w:rPr>
              <w:t xml:space="preserve">7</w:t>
            </w:r>
            <w:r>
              <w:rPr>
                <w:rFonts w:ascii="仿宋" w:hAnsi="仿宋" w:eastAsia="仿宋" w:cs="仿宋"/>
                <w:color w:val="000000"/>
                <w:sz w:val="24"/>
                <w:szCs w:val="24"/>
                <w:highlight w:val="none"/>
                <w:lang w:val="en-US" w:eastAsia="zh-CN"/>
              </w:rPr>
            </w:r>
            <w:r/>
          </w:p>
        </w:tc>
      </w:tr>
    </w:tbl>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三、推荐中标候选人:</w:t>
      </w:r>
      <w:r>
        <w:rPr>
          <w:rFonts w:hint="eastAsia" w:ascii="宋体" w:hAnsi="宋体" w:eastAsia="宋体" w:cs="仿宋"/>
          <w:b/>
          <w:color w:val="000000"/>
          <w:sz w:val="24"/>
          <w:szCs w:val="24"/>
          <w:highlight w:val="none"/>
        </w:rPr>
      </w:r>
      <w:r/>
    </w:p>
    <w:p>
      <w:pPr>
        <w:pStyle w:val="1011"/>
        <w:ind w:firstLine="488"/>
        <w:spacing w:line="360" w:lineRule="auto"/>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汇总上述各项分值（保留两位小数,小数点后第三位四舍五入），按总得分由高到低的顺序排列,综合得分最高的为中标候选人。</w:t>
      </w:r>
      <w:bookmarkEnd w:id="46"/>
      <w:r>
        <w:rPr>
          <w:rFonts w:hint="eastAsia" w:ascii="宋体" w:hAnsi="宋体" w:eastAsia="宋体" w:cs="仿宋"/>
          <w:bCs/>
          <w:color w:val="000000"/>
          <w:sz w:val="24"/>
          <w:szCs w:val="24"/>
          <w:highlight w:val="none"/>
        </w:rPr>
        <w:t xml:space="preserve">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w:t>
      </w:r>
      <w:r>
        <w:rPr>
          <w:rFonts w:hint="eastAsia" w:ascii="宋体" w:hAnsi="宋体" w:eastAsia="宋体" w:cs="仿宋"/>
          <w:bCs/>
          <w:color w:val="000000"/>
          <w:sz w:val="24"/>
          <w:szCs w:val="24"/>
          <w:highlight w:val="none"/>
        </w:rPr>
      </w:r>
      <w:r/>
    </w:p>
    <w:p>
      <w:pPr>
        <w:pStyle w:val="1011"/>
        <w:jc w:val="center"/>
        <w:rPr>
          <w:rFonts w:hint="eastAsia" w:ascii="宋体" w:hAnsi="宋体" w:eastAsia="宋体" w:cs="仿宋"/>
          <w:b/>
          <w:color w:val="000000"/>
          <w:sz w:val="32"/>
          <w:szCs w:val="32"/>
          <w:highlight w:val="none"/>
        </w:rPr>
      </w:pPr>
      <w:r>
        <w:rPr>
          <w:rFonts w:ascii="宋体" w:hAnsi="宋体" w:eastAsia="宋体"/>
          <w:color w:val="000000"/>
          <w:highlight w:val="none"/>
        </w:rPr>
        <w:br w:type="page" w:clear="all"/>
      </w:r>
      <w:r>
        <w:rPr>
          <w:rFonts w:hint="eastAsia" w:ascii="宋体" w:hAnsi="宋体" w:eastAsia="宋体" w:cs="仿宋"/>
          <w:b/>
          <w:color w:val="000000"/>
          <w:sz w:val="32"/>
          <w:szCs w:val="32"/>
          <w:highlight w:val="none"/>
        </w:rPr>
        <w:t xml:space="preserve">第五章 合同条款</w:t>
      </w:r>
      <w:r>
        <w:rPr>
          <w:rFonts w:hint="eastAsia" w:ascii="宋体" w:hAnsi="宋体" w:eastAsia="宋体" w:cs="仿宋"/>
          <w:b/>
          <w:color w:val="000000"/>
          <w:sz w:val="32"/>
          <w:szCs w:val="32"/>
          <w:highlight w:val="none"/>
        </w:rPr>
      </w:r>
      <w:r/>
    </w:p>
    <w:p>
      <w:pPr>
        <w:pStyle w:val="101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1011"/>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注：本合同仅为合同的参考文本，合同签订双方可根据项目的具体要求进行修订。</w:t>
      </w:r>
      <w:r>
        <w:rPr>
          <w:rFonts w:hint="eastAsia" w:ascii="宋体" w:hAnsi="宋体" w:eastAsia="宋体"/>
          <w:bCs/>
          <w:color w:val="000000"/>
          <w:sz w:val="24"/>
          <w:szCs w:val="24"/>
        </w:rPr>
      </w:r>
      <w:r/>
    </w:p>
    <w:p>
      <w:pPr>
        <w:pStyle w:val="101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p>
      <w:pPr>
        <w:pStyle w:val="1011"/>
        <w:ind w:firstLine="480"/>
        <w:tabs>
          <w:tab w:val="left" w:pos="936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eastAsia="zh-CN"/>
        </w:rPr>
        <w:t xml:space="preserve"> (采购人); 乙方：</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(成交人);    </w:t>
      </w:r>
      <w:r>
        <w:rPr>
          <w:rFonts w:hint="eastAsia" w:ascii="宋体" w:hAnsi="宋体" w:eastAsia="宋体" w:cs="宋体"/>
          <w:color w:val="000000"/>
          <w:sz w:val="24"/>
          <w:szCs w:val="24"/>
          <w:lang w:eastAsia="zh-CN"/>
        </w:rPr>
      </w:r>
      <w:r/>
    </w:p>
    <w:p>
      <w:pPr>
        <w:pStyle w:val="1011"/>
        <w:ind w:firstLine="440"/>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lang w:eastAsia="zh-CN"/>
        </w:rPr>
        <w:t xml:space="preserve">签订地点：</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 签订时间：</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年</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月</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日。   </w:t>
      </w:r>
      <w:r>
        <w:rPr>
          <w:rFonts w:hint="eastAsia" w:ascii="宋体" w:hAnsi="宋体" w:eastAsia="宋体" w:cs="宋体"/>
          <w:color w:val="000000"/>
          <w:sz w:val="24"/>
          <w:szCs w:val="24"/>
          <w:u w:val="single"/>
          <w:lang w:eastAsia="zh-CN"/>
        </w:rPr>
      </w:r>
      <w:r/>
    </w:p>
    <w:p>
      <w:pPr>
        <w:pStyle w:val="1011"/>
        <w:ind w:firstLine="44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甲乙双方根据《中华人民共和国政府采购法》、《民法典》及政府采购文件(招标文件编号:</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)，按照平等、自愿的原则，协商签订政府采购供货合同。             </w:t>
      </w:r>
      <w:r>
        <w:rPr>
          <w:rFonts w:hint="eastAsia" w:ascii="宋体" w:hAnsi="宋体" w:eastAsia="宋体" w:cs="宋体"/>
          <w:color w:val="000000"/>
          <w:sz w:val="24"/>
          <w:szCs w:val="24"/>
          <w:lang w:eastAsia="zh-CN"/>
        </w:rPr>
      </w:r>
      <w:r/>
    </w:p>
    <w:p>
      <w:pPr>
        <w:pStyle w:val="1011"/>
        <w:ind w:firstLine="431"/>
        <w:tabs>
          <w:tab w:val="left" w:pos="0" w:leader="none"/>
          <w:tab w:val="left" w:pos="993" w:leader="none"/>
          <w:tab w:val="left" w:pos="1134" w:leader="none"/>
        </w:tabs>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一、说明：</w:t>
      </w:r>
      <w:r>
        <w:rPr>
          <w:rFonts w:hint="eastAsia" w:ascii="宋体" w:hAnsi="宋体" w:eastAsia="宋体" w:cs="宋体"/>
          <w:b/>
          <w:color w:val="000000"/>
          <w:sz w:val="24"/>
          <w:szCs w:val="24"/>
          <w:lang w:eastAsia="zh-CN"/>
        </w:rPr>
      </w:r>
      <w:r/>
    </w:p>
    <w:p>
      <w:pPr>
        <w:pStyle w:val="1011"/>
        <w:ind w:firstLine="422"/>
        <w:tabs>
          <w:tab w:val="left" w:pos="0" w:leader="none"/>
          <w:tab w:val="left" w:pos="993" w:leader="none"/>
          <w:tab w:val="left" w:pos="1134"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受甲方委托，江苏</w:t>
      </w:r>
      <w:r>
        <w:rPr>
          <w:rFonts w:hint="eastAsia" w:ascii="宋体" w:hAnsi="宋体" w:eastAsia="宋体" w:cs="宋体"/>
          <w:color w:val="000000"/>
          <w:sz w:val="24"/>
          <w:szCs w:val="24"/>
          <w:lang w:val="en-US" w:eastAsia="zh-CN"/>
        </w:rPr>
        <w:t xml:space="preserve">省招标中心</w:t>
      </w:r>
      <w:r>
        <w:rPr>
          <w:rFonts w:hint="eastAsia" w:ascii="宋体" w:hAnsi="宋体" w:eastAsia="宋体" w:cs="宋体"/>
          <w:color w:val="000000"/>
          <w:sz w:val="24"/>
          <w:szCs w:val="24"/>
          <w:lang w:eastAsia="zh-CN"/>
        </w:rPr>
        <w:t xml:space="preserve">有限公司于</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年</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月</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日组织了</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的招标，经评标委员会认真严格的评审，确定由乙方成交。</w:t>
      </w:r>
      <w:r>
        <w:rPr>
          <w:rFonts w:hint="eastAsia" w:ascii="宋体" w:hAnsi="宋体" w:eastAsia="宋体" w:cs="宋体"/>
          <w:color w:val="000000"/>
          <w:sz w:val="24"/>
          <w:szCs w:val="24"/>
          <w:lang w:eastAsia="zh-CN"/>
        </w:rPr>
      </w:r>
      <w:r/>
    </w:p>
    <w:p>
      <w:pPr>
        <w:pStyle w:val="1011"/>
        <w:ind w:firstLine="429"/>
        <w:tabs>
          <w:tab w:val="left" w:pos="3806" w:leader="none"/>
        </w:tabs>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二、适用范围</w:t>
      </w:r>
      <w:r>
        <w:rPr>
          <w:rFonts w:hint="eastAsia" w:ascii="宋体" w:hAnsi="宋体" w:eastAsia="宋体" w:cs="宋体"/>
          <w:b/>
          <w:color w:val="000000"/>
          <w:sz w:val="24"/>
          <w:szCs w:val="24"/>
          <w:lang w:eastAsia="zh-CN"/>
        </w:rPr>
        <w:tab/>
      </w:r>
      <w:r>
        <w:rPr>
          <w:rFonts w:hint="eastAsia" w:ascii="宋体" w:hAnsi="宋体" w:eastAsia="宋体" w:cs="宋体"/>
          <w:b/>
          <w:color w:val="000000"/>
          <w:sz w:val="24"/>
          <w:szCs w:val="24"/>
          <w:lang w:eastAsia="zh-CN"/>
        </w:rPr>
      </w:r>
      <w:r/>
    </w:p>
    <w:p>
      <w:pPr>
        <w:pStyle w:val="1011"/>
        <w:ind w:firstLine="44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本合同条款适用与本次采购活动。项目实施范围详见附件（招标文件和响应文件及补充文件、承诺书等）。</w:t>
      </w:r>
      <w:r>
        <w:rPr>
          <w:rFonts w:hint="eastAsia" w:ascii="宋体" w:hAnsi="宋体" w:eastAsia="宋体" w:cs="宋体"/>
          <w:color w:val="000000"/>
          <w:sz w:val="24"/>
          <w:szCs w:val="24"/>
          <w:lang w:eastAsia="zh-CN"/>
        </w:rPr>
      </w:r>
      <w:r/>
    </w:p>
    <w:p>
      <w:pPr>
        <w:pStyle w:val="1011"/>
        <w:ind w:firstLine="431"/>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三</w:t>
      </w:r>
      <w:r>
        <w:rPr>
          <w:rFonts w:hint="eastAsia" w:ascii="宋体" w:hAnsi="宋体" w:eastAsia="宋体" w:cs="宋体"/>
          <w:color w:val="000000"/>
          <w:sz w:val="24"/>
          <w:szCs w:val="24"/>
          <w:lang w:eastAsia="zh-CN"/>
        </w:rPr>
        <w:t xml:space="preserve">、</w:t>
      </w:r>
      <w:r>
        <w:rPr>
          <w:rFonts w:hint="eastAsia" w:ascii="宋体" w:hAnsi="宋体" w:eastAsia="宋体" w:cs="宋体"/>
          <w:b/>
          <w:color w:val="000000"/>
          <w:sz w:val="24"/>
          <w:szCs w:val="24"/>
          <w:lang w:eastAsia="zh-CN"/>
        </w:rPr>
        <w:t xml:space="preserve">项目基本情况</w:t>
      </w:r>
      <w:r>
        <w:rPr>
          <w:rFonts w:hint="eastAsia" w:ascii="宋体" w:hAnsi="宋体" w:eastAsia="宋体" w:cs="宋体"/>
          <w:b/>
          <w:color w:val="000000"/>
          <w:sz w:val="24"/>
          <w:szCs w:val="24"/>
          <w:lang w:eastAsia="zh-CN"/>
        </w:rPr>
      </w:r>
      <w:r/>
    </w:p>
    <w:p>
      <w:pPr>
        <w:pStyle w:val="1011"/>
        <w:ind w:firstLine="44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 </w:t>
      </w:r>
      <w:r>
        <w:rPr>
          <w:rFonts w:hint="eastAsia" w:ascii="宋体" w:hAnsi="宋体" w:eastAsia="宋体" w:cs="宋体"/>
          <w:color w:val="000000"/>
          <w:sz w:val="24"/>
          <w:szCs w:val="24"/>
          <w:lang w:eastAsia="zh-CN"/>
        </w:rPr>
      </w:r>
      <w:r/>
    </w:p>
    <w:p>
      <w:pPr>
        <w:pStyle w:val="1011"/>
        <w:ind w:firstLine="431"/>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四、</w:t>
      </w:r>
      <w:r>
        <w:rPr>
          <w:rFonts w:hint="eastAsia" w:ascii="宋体" w:hAnsi="宋体" w:eastAsia="宋体" w:cs="宋体"/>
          <w:color w:val="000000"/>
          <w:sz w:val="24"/>
          <w:szCs w:val="24"/>
          <w:lang w:eastAsia="zh-CN"/>
        </w:rPr>
        <w:t xml:space="preserve"> </w:t>
      </w:r>
      <w:r>
        <w:rPr>
          <w:rFonts w:hint="eastAsia" w:ascii="宋体" w:hAnsi="宋体" w:eastAsia="宋体" w:cs="宋体"/>
          <w:b/>
          <w:color w:val="000000"/>
          <w:sz w:val="24"/>
          <w:szCs w:val="24"/>
          <w:lang w:eastAsia="zh-CN"/>
        </w:rPr>
        <w:t xml:space="preserve">委托服务事项</w:t>
      </w:r>
      <w:r>
        <w:rPr>
          <w:rFonts w:hint="eastAsia" w:ascii="宋体" w:hAnsi="宋体" w:eastAsia="宋体" w:cs="宋体"/>
          <w:b/>
          <w:color w:val="000000"/>
          <w:sz w:val="24"/>
          <w:szCs w:val="24"/>
          <w:lang w:eastAsia="zh-CN"/>
        </w:rPr>
      </w:r>
      <w:r/>
    </w:p>
    <w:p>
      <w:pPr>
        <w:pStyle w:val="1011"/>
        <w:ind w:firstLine="431"/>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r>
      <w:r/>
    </w:p>
    <w:p>
      <w:pPr>
        <w:pStyle w:val="1011"/>
        <w:ind w:firstLine="431"/>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五、</w:t>
      </w:r>
      <w:r>
        <w:rPr>
          <w:rFonts w:hint="eastAsia" w:ascii="宋体" w:hAnsi="宋体" w:eastAsia="宋体" w:cs="宋体"/>
          <w:color w:val="000000"/>
          <w:sz w:val="24"/>
          <w:szCs w:val="24"/>
        </w:rPr>
        <w:t xml:space="preserve"> </w:t>
      </w:r>
      <w:r>
        <w:rPr>
          <w:rFonts w:hint="eastAsia" w:ascii="宋体" w:hAnsi="宋体" w:eastAsia="宋体" w:cs="宋体"/>
          <w:b/>
          <w:color w:val="000000"/>
          <w:sz w:val="24"/>
          <w:szCs w:val="24"/>
        </w:rPr>
        <w:t xml:space="preserve">合同期限</w:t>
      </w:r>
      <w:r>
        <w:rPr>
          <w:rFonts w:hint="eastAsia" w:ascii="宋体" w:hAnsi="宋体" w:eastAsia="宋体" w:cs="宋体"/>
          <w:b/>
          <w:color w:val="000000"/>
          <w:sz w:val="24"/>
          <w:szCs w:val="24"/>
        </w:rPr>
      </w:r>
      <w:r/>
    </w:p>
    <w:p>
      <w:pPr>
        <w:pStyle w:val="1011"/>
        <w:ind w:firstLine="44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本合同期限自</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日起至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日止。</w:t>
      </w:r>
      <w:r>
        <w:rPr>
          <w:rFonts w:hint="eastAsia" w:ascii="宋体" w:hAnsi="宋体" w:eastAsia="宋体" w:cs="宋体"/>
          <w:color w:val="000000"/>
          <w:sz w:val="24"/>
          <w:szCs w:val="24"/>
        </w:rPr>
      </w:r>
      <w:r/>
    </w:p>
    <w:p>
      <w:pPr>
        <w:pStyle w:val="1287"/>
        <w:ind w:firstLine="412"/>
        <w:spacing w:before="0" w:line="240" w:lineRule="auto"/>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六、费用结算方式</w:t>
      </w:r>
      <w:r>
        <w:rPr>
          <w:rFonts w:hint="eastAsia" w:ascii="宋体" w:hAnsi="宋体" w:eastAsia="宋体" w:cs="宋体"/>
          <w:b/>
          <w:color w:val="000000"/>
          <w:sz w:val="24"/>
          <w:szCs w:val="24"/>
          <w:lang w:eastAsia="zh-CN"/>
        </w:rPr>
      </w:r>
      <w:r/>
    </w:p>
    <w:p>
      <w:pPr>
        <w:pStyle w:val="1011"/>
        <w:ind w:firstLine="431"/>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u w:val="single"/>
          <w:lang w:eastAsia="zh-CN"/>
        </w:rPr>
      </w:r>
      <w:r/>
    </w:p>
    <w:p>
      <w:pPr>
        <w:pStyle w:val="1011"/>
        <w:ind w:firstLine="431"/>
        <w:rPr>
          <w:rFonts w:hint="eastAsia" w:ascii="宋体" w:hAnsi="宋体" w:eastAsia="宋体" w:cs="宋体"/>
          <w:color w:val="000000"/>
          <w:sz w:val="24"/>
          <w:szCs w:val="24"/>
          <w:lang w:eastAsia="zh-CN"/>
        </w:rPr>
      </w:pPr>
      <w:r>
        <w:rPr>
          <w:rFonts w:hint="eastAsia" w:ascii="宋体" w:hAnsi="宋体" w:eastAsia="宋体" w:cs="宋体"/>
          <w:b/>
          <w:color w:val="000000"/>
          <w:sz w:val="24"/>
          <w:szCs w:val="24"/>
          <w:lang w:eastAsia="zh-CN"/>
        </w:rPr>
        <w:t xml:space="preserve">七、履约保证金</w:t>
      </w:r>
      <w:r>
        <w:rPr>
          <w:rFonts w:hint="eastAsia" w:ascii="宋体" w:hAnsi="宋体" w:eastAsia="宋体" w:cs="宋体"/>
          <w:color w:val="000000"/>
          <w:sz w:val="24"/>
          <w:szCs w:val="24"/>
          <w:lang w:eastAsia="zh-CN"/>
        </w:rPr>
      </w:r>
      <w:r/>
    </w:p>
    <w:p>
      <w:pPr>
        <w:pStyle w:val="1011"/>
        <w:ind w:firstLine="44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履约保证金为中标价的</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，以保证乙方遵守本合同的一切条款、条件和承诺，该保证金在甲方的规定存续期间不计息。</w:t>
      </w:r>
      <w:r>
        <w:rPr>
          <w:rFonts w:hint="eastAsia" w:ascii="宋体" w:hAnsi="宋体" w:eastAsia="宋体" w:cs="宋体"/>
          <w:color w:val="000000"/>
          <w:sz w:val="24"/>
          <w:szCs w:val="24"/>
          <w:lang w:eastAsia="zh-CN"/>
        </w:rPr>
      </w:r>
      <w:r/>
    </w:p>
    <w:p>
      <w:pPr>
        <w:pStyle w:val="1011"/>
        <w:ind w:firstLine="440"/>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八、</w:t>
      </w:r>
      <w:r>
        <w:rPr>
          <w:rFonts w:hint="eastAsia" w:ascii="宋体" w:hAnsi="宋体" w:eastAsia="宋体" w:cs="宋体"/>
          <w:b/>
          <w:color w:val="000000"/>
          <w:sz w:val="24"/>
          <w:szCs w:val="24"/>
          <w:u w:val="single"/>
          <w:lang w:eastAsia="zh-CN"/>
        </w:rPr>
        <w:t xml:space="preserve">                                       </w:t>
      </w:r>
      <w:r>
        <w:rPr>
          <w:rFonts w:hint="eastAsia" w:ascii="宋体" w:hAnsi="宋体" w:eastAsia="宋体" w:cs="宋体"/>
          <w:b/>
          <w:color w:val="000000"/>
          <w:sz w:val="24"/>
          <w:szCs w:val="24"/>
          <w:lang w:eastAsia="zh-CN"/>
        </w:rPr>
        <w:t xml:space="preserve">项目工作要求</w:t>
      </w:r>
      <w:r>
        <w:rPr>
          <w:rFonts w:hint="eastAsia" w:ascii="宋体" w:hAnsi="宋体" w:eastAsia="宋体" w:cs="宋体"/>
          <w:b/>
          <w:color w:val="000000"/>
          <w:sz w:val="24"/>
          <w:szCs w:val="24"/>
          <w:lang w:eastAsia="zh-CN"/>
        </w:rPr>
      </w:r>
      <w:r/>
    </w:p>
    <w:p>
      <w:pPr>
        <w:pStyle w:val="1011"/>
        <w:ind w:firstLine="44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1011"/>
        <w:ind w:firstLine="324"/>
        <w:rPr>
          <w:rFonts w:hint="eastAsia" w:ascii="宋体" w:hAnsi="宋体" w:eastAsia="宋体" w:cs="宋体"/>
          <w:color w:val="000000"/>
          <w:sz w:val="24"/>
          <w:szCs w:val="24"/>
          <w:lang w:eastAsia="zh-CN"/>
        </w:rPr>
      </w:pPr>
      <w:r>
        <w:rPr>
          <w:rFonts w:hint="eastAsia" w:ascii="宋体" w:hAnsi="宋体" w:eastAsia="宋体" w:cs="宋体"/>
          <w:b/>
          <w:color w:val="000000"/>
          <w:sz w:val="24"/>
          <w:szCs w:val="24"/>
          <w:lang w:eastAsia="zh-CN"/>
        </w:rPr>
        <w:t xml:space="preserve">九、合同生效和终止</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011"/>
        <w:ind w:firstLine="323"/>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1011"/>
        <w:ind w:firstLine="324"/>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十、双方权利义务：</w:t>
      </w:r>
      <w:r>
        <w:rPr>
          <w:rFonts w:hint="eastAsia" w:ascii="宋体" w:hAnsi="宋体" w:eastAsia="宋体" w:cs="宋体"/>
          <w:b/>
          <w:color w:val="000000"/>
          <w:sz w:val="24"/>
          <w:szCs w:val="24"/>
          <w:lang w:eastAsia="zh-CN"/>
        </w:rPr>
      </w:r>
      <w:r/>
    </w:p>
    <w:p>
      <w:pPr>
        <w:pStyle w:val="1011"/>
        <w:ind w:firstLine="323"/>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1011"/>
        <w:ind w:firstLine="324"/>
        <w:rPr>
          <w:rFonts w:hint="eastAsia" w:ascii="宋体" w:hAnsi="宋体" w:eastAsia="宋体" w:cs="宋体"/>
          <w:b/>
          <w:color w:val="000000"/>
          <w:sz w:val="24"/>
          <w:szCs w:val="24"/>
          <w:lang w:val="zh-CN" w:eastAsia="zh-CN"/>
        </w:rPr>
      </w:pPr>
      <w:r>
        <w:rPr>
          <w:rFonts w:hint="eastAsia" w:ascii="宋体" w:hAnsi="宋体" w:eastAsia="宋体" w:cs="宋体"/>
          <w:b/>
          <w:color w:val="000000"/>
          <w:sz w:val="24"/>
          <w:szCs w:val="24"/>
          <w:lang w:eastAsia="zh-CN"/>
        </w:rPr>
        <w:t xml:space="preserve">十一、</w:t>
      </w:r>
      <w:r>
        <w:rPr>
          <w:rFonts w:hint="eastAsia" w:ascii="宋体" w:hAnsi="宋体" w:eastAsia="宋体" w:cs="宋体"/>
          <w:b/>
          <w:color w:val="000000"/>
          <w:sz w:val="24"/>
          <w:szCs w:val="24"/>
          <w:lang w:val="zh-CN" w:eastAsia="zh-CN"/>
        </w:rPr>
        <w:t xml:space="preserve">争议处理</w:t>
      </w:r>
      <w:r>
        <w:rPr>
          <w:rFonts w:hint="eastAsia" w:ascii="宋体" w:hAnsi="宋体" w:eastAsia="宋体" w:cs="宋体"/>
          <w:b/>
          <w:color w:val="000000"/>
          <w:sz w:val="24"/>
          <w:szCs w:val="24"/>
          <w:lang w:val="zh-CN" w:eastAsia="zh-CN"/>
        </w:rPr>
      </w:r>
      <w:r/>
    </w:p>
    <w:p>
      <w:pPr>
        <w:pStyle w:val="1011"/>
        <w:ind w:firstLine="323"/>
        <w:rPr>
          <w:rFonts w:hint="eastAsia" w:ascii="宋体" w:hAnsi="宋体" w:eastAsia="宋体" w:cs="宋体"/>
          <w:b/>
          <w:color w:val="000000"/>
          <w:sz w:val="24"/>
          <w:szCs w:val="24"/>
          <w:lang w:eastAsia="zh-CN"/>
        </w:rPr>
      </w:pPr>
      <w:r>
        <w:rPr>
          <w:rFonts w:hint="eastAsia" w:ascii="宋体" w:hAnsi="宋体" w:eastAsia="宋体" w:cs="宋体"/>
          <w:color w:val="000000"/>
          <w:sz w:val="24"/>
          <w:szCs w:val="24"/>
          <w:lang w:val="zh-CN" w:eastAsia="zh-CN"/>
        </w:rPr>
        <w:t xml:space="preserve">合同在履行过程中发生争议时，甲方与乙方及时协商解决。协商不成时，提请泰州仲裁委员会仲裁。</w:t>
      </w:r>
      <w:r>
        <w:rPr>
          <w:rFonts w:hint="eastAsia" w:ascii="宋体" w:hAnsi="宋体" w:eastAsia="宋体" w:cs="宋体"/>
          <w:b/>
          <w:color w:val="000000"/>
          <w:sz w:val="24"/>
          <w:szCs w:val="24"/>
          <w:lang w:eastAsia="zh-CN"/>
        </w:rPr>
      </w:r>
      <w:r/>
    </w:p>
    <w:p>
      <w:pPr>
        <w:pStyle w:val="1011"/>
        <w:ind w:firstLine="324"/>
        <w:rPr>
          <w:rFonts w:hint="eastAsia" w:ascii="宋体" w:hAnsi="宋体" w:eastAsia="宋体" w:cs="宋体"/>
          <w:b/>
          <w:color w:val="000000"/>
          <w:sz w:val="24"/>
          <w:szCs w:val="24"/>
          <w:lang w:val="zh-CN" w:eastAsia="zh-CN"/>
        </w:rPr>
      </w:pPr>
      <w:r>
        <w:rPr>
          <w:rFonts w:hint="eastAsia" w:ascii="宋体" w:hAnsi="宋体" w:eastAsia="宋体" w:cs="宋体"/>
          <w:b/>
          <w:color w:val="000000"/>
          <w:sz w:val="24"/>
          <w:szCs w:val="24"/>
          <w:lang w:eastAsia="zh-CN"/>
        </w:rPr>
        <w:t xml:space="preserve">十二、 </w:t>
      </w:r>
      <w:r>
        <w:rPr>
          <w:rFonts w:hint="eastAsia" w:ascii="宋体" w:hAnsi="宋体" w:eastAsia="宋体" w:cs="宋体"/>
          <w:b/>
          <w:color w:val="000000"/>
          <w:sz w:val="24"/>
          <w:szCs w:val="24"/>
          <w:lang w:val="zh-CN" w:eastAsia="zh-CN"/>
        </w:rPr>
        <w:t xml:space="preserve">其他</w:t>
      </w:r>
      <w:r>
        <w:rPr>
          <w:rFonts w:hint="eastAsia" w:ascii="宋体" w:hAnsi="宋体" w:eastAsia="宋体" w:cs="宋体"/>
          <w:b/>
          <w:color w:val="000000"/>
          <w:sz w:val="24"/>
          <w:szCs w:val="24"/>
          <w:lang w:val="zh-CN" w:eastAsia="zh-CN"/>
        </w:rPr>
      </w:r>
      <w:r/>
    </w:p>
    <w:p>
      <w:pPr>
        <w:pStyle w:val="1011"/>
        <w:ind w:firstLine="440"/>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lang w:val="zh-CN" w:eastAsia="zh-CN"/>
        </w:rPr>
        <w:t xml:space="preserve">未经过甲方的书面同意，乙方不得转让其应履行的合同项下的义务，和将部分合同项下的义务分包给其他单位完成。</w:t>
      </w:r>
      <w:r>
        <w:rPr>
          <w:rFonts w:hint="eastAsia" w:ascii="宋体" w:hAnsi="宋体" w:eastAsia="宋体" w:cs="宋体"/>
          <w:color w:val="000000"/>
          <w:sz w:val="24"/>
          <w:szCs w:val="24"/>
          <w:lang w:val="zh-CN" w:eastAsia="zh-CN"/>
        </w:rPr>
      </w:r>
      <w:r/>
    </w:p>
    <w:p>
      <w:pPr>
        <w:pStyle w:val="1011"/>
        <w:ind w:firstLine="44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2．合同履行期内甲乙双方均不得随意变更或解除合同。合同若有未尽事宜，需经双方共同协商，订立补充协议，补充协议与本合同有同等法律效力。</w:t>
      </w:r>
      <w:r>
        <w:rPr>
          <w:rFonts w:hint="eastAsia" w:ascii="宋体" w:hAnsi="宋体" w:eastAsia="宋体" w:cs="宋体"/>
          <w:color w:val="000000"/>
          <w:sz w:val="24"/>
          <w:szCs w:val="24"/>
          <w:lang w:eastAsia="zh-CN"/>
        </w:rPr>
      </w:r>
      <w:r/>
    </w:p>
    <w:p>
      <w:pPr>
        <w:pStyle w:val="1011"/>
        <w:ind w:firstLine="44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lang w:eastAsia="zh-CN"/>
        </w:rPr>
        <w:t xml:space="preserve">文件（编号：     ）、</w:t>
      </w:r>
      <w:r>
        <w:rPr>
          <w:rFonts w:hint="eastAsia"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lang w:eastAsia="zh-CN"/>
        </w:rPr>
        <w:t xml:space="preserve">文件及评标过程中形成的文字资料、询标纪要均作为本合同的组成部分，具有同等效力。</w:t>
      </w:r>
      <w:r>
        <w:rPr>
          <w:rFonts w:hint="eastAsia" w:ascii="宋体" w:hAnsi="宋体" w:eastAsia="宋体" w:cs="宋体"/>
          <w:color w:val="000000"/>
          <w:sz w:val="24"/>
          <w:szCs w:val="24"/>
          <w:lang w:eastAsia="zh-CN"/>
        </w:rPr>
      </w:r>
      <w:r/>
    </w:p>
    <w:p>
      <w:pPr>
        <w:pStyle w:val="1011"/>
        <w:ind w:firstLine="44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4、本合同一式肆份，自签订之日起生效。</w:t>
      </w:r>
      <w:r>
        <w:rPr>
          <w:rFonts w:hint="eastAsia" w:ascii="宋体" w:hAnsi="宋体" w:eastAsia="宋体" w:cs="宋体"/>
          <w:color w:val="000000"/>
          <w:sz w:val="24"/>
          <w:szCs w:val="24"/>
          <w:lang w:eastAsia="zh-CN"/>
        </w:rPr>
      </w:r>
      <w:r/>
    </w:p>
    <w:p>
      <w:pPr>
        <w:pStyle w:val="1011"/>
        <w:ind w:firstLine="44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5、本合同未尽事宜，遵照《民法典》有关条文执行。</w:t>
      </w:r>
      <w:r>
        <w:rPr>
          <w:rFonts w:hint="eastAsia" w:ascii="宋体" w:hAnsi="宋体" w:eastAsia="宋体" w:cs="宋体"/>
          <w:color w:val="000000"/>
          <w:sz w:val="24"/>
          <w:szCs w:val="24"/>
          <w:lang w:eastAsia="zh-CN"/>
        </w:rPr>
      </w:r>
      <w:r/>
    </w:p>
    <w:p>
      <w:pPr>
        <w:pStyle w:val="1011"/>
        <w:ind w:firstLine="44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甲方签章：                              乙方签章：                              </w:t>
      </w:r>
      <w:r>
        <w:rPr>
          <w:rFonts w:hint="eastAsia" w:ascii="宋体" w:hAnsi="宋体" w:eastAsia="宋体" w:cs="宋体"/>
          <w:color w:val="000000"/>
          <w:sz w:val="24"/>
          <w:szCs w:val="24"/>
          <w:lang w:eastAsia="zh-CN"/>
        </w:rPr>
      </w:r>
      <w:r/>
    </w:p>
    <w:p>
      <w:pPr>
        <w:pStyle w:val="1011"/>
        <w:ind w:firstLine="44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单位地址：                              单位地址：                               </w:t>
      </w:r>
      <w:r>
        <w:rPr>
          <w:rFonts w:hint="eastAsia" w:ascii="宋体" w:hAnsi="宋体" w:eastAsia="宋体" w:cs="宋体"/>
          <w:color w:val="000000"/>
          <w:sz w:val="24"/>
          <w:szCs w:val="24"/>
          <w:lang w:eastAsia="zh-CN"/>
        </w:rPr>
      </w:r>
      <w:r/>
    </w:p>
    <w:p>
      <w:pPr>
        <w:pStyle w:val="1011"/>
        <w:ind w:firstLine="44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代表人签字：                            代表人签字：                                </w:t>
      </w:r>
      <w:r>
        <w:rPr>
          <w:rFonts w:hint="eastAsia" w:ascii="宋体" w:hAnsi="宋体" w:eastAsia="宋体" w:cs="宋体"/>
          <w:color w:val="000000"/>
          <w:sz w:val="24"/>
          <w:szCs w:val="24"/>
          <w:lang w:eastAsia="zh-CN"/>
        </w:rPr>
      </w:r>
      <w:r/>
    </w:p>
    <w:p>
      <w:pPr>
        <w:pStyle w:val="1011"/>
        <w:ind w:firstLine="440"/>
        <w:rPr>
          <w:rFonts w:hint="eastAsia" w:ascii="宋体" w:hAnsi="宋体" w:eastAsia="宋体" w:cs="宋体"/>
          <w:b/>
          <w:color w:val="000000"/>
          <w:sz w:val="24"/>
          <w:szCs w:val="24"/>
          <w:lang w:eastAsia="zh-CN"/>
        </w:rPr>
      </w:pPr>
      <w:r>
        <w:rPr>
          <w:rFonts w:hint="eastAsia" w:ascii="宋体" w:hAnsi="宋体" w:eastAsia="宋体" w:cs="宋体"/>
          <w:color w:val="000000"/>
          <w:sz w:val="24"/>
          <w:szCs w:val="24"/>
          <w:lang w:eastAsia="zh-CN"/>
        </w:rPr>
        <w:t xml:space="preserve">签订日期：  年   月   日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签订日期：  年   月   日</w:t>
      </w:r>
      <w:r>
        <w:rPr>
          <w:rFonts w:hint="eastAsia" w:ascii="宋体" w:hAnsi="宋体" w:eastAsia="宋体" w:cs="宋体"/>
          <w:b/>
          <w:color w:val="000000"/>
          <w:sz w:val="24"/>
          <w:szCs w:val="24"/>
          <w:lang w:eastAsia="zh-CN"/>
        </w:rPr>
      </w:r>
      <w:r/>
    </w:p>
    <w:p>
      <w:pPr>
        <w:pStyle w:val="1011"/>
        <w:rPr>
          <w:rFonts w:hint="eastAsia" w:ascii="宋体" w:hAnsi="宋体" w:eastAsia="宋体" w:cs="仿宋"/>
          <w:b/>
          <w:color w:val="000000"/>
          <w:sz w:val="30"/>
          <w:szCs w:val="30"/>
          <w:highlight w:val="none"/>
        </w:rPr>
      </w:pPr>
      <w:r>
        <w:rPr>
          <w:rFonts w:hint="eastAsia" w:ascii="宋体" w:hAnsi="宋体" w:cs="宋体"/>
          <w:b/>
          <w:bCs/>
          <w:color w:val="000000"/>
          <w:sz w:val="32"/>
          <w:szCs w:val="32"/>
        </w:rPr>
        <w:br w:type="page" w:clear="all"/>
      </w:r>
      <w:r>
        <w:rPr>
          <w:rFonts w:hint="eastAsia" w:ascii="宋体" w:hAnsi="宋体" w:eastAsia="宋体" w:cs="仿宋"/>
          <w:b/>
          <w:color w:val="000000"/>
          <w:sz w:val="30"/>
          <w:szCs w:val="30"/>
          <w:highlight w:val="none"/>
        </w:rPr>
      </w:r>
      <w:r/>
    </w:p>
    <w:p>
      <w:pPr>
        <w:pStyle w:val="1011"/>
        <w:jc w:val="center"/>
        <w:rPr>
          <w:rFonts w:hint="eastAsia" w:ascii="宋体" w:hAnsi="宋体" w:eastAsia="宋体" w:cs="仿宋"/>
          <w:b/>
          <w:bCs/>
          <w:color w:val="000000"/>
          <w:sz w:val="32"/>
          <w:szCs w:val="32"/>
          <w:highlight w:val="none"/>
        </w:rPr>
      </w:pPr>
      <w:r>
        <w:rPr>
          <w:rFonts w:hint="eastAsia" w:ascii="宋体" w:hAnsi="宋体" w:eastAsia="宋体" w:cs="仿宋"/>
          <w:b/>
          <w:bCs/>
          <w:color w:val="000000"/>
          <w:sz w:val="32"/>
          <w:szCs w:val="32"/>
          <w:highlight w:val="none"/>
        </w:rPr>
      </w:r>
      <w:r/>
    </w:p>
    <w:p>
      <w:pPr>
        <w:pStyle w:val="1011"/>
        <w:jc w:val="center"/>
        <w:rPr>
          <w:rFonts w:hint="eastAsia" w:ascii="宋体" w:hAnsi="宋体" w:eastAsia="宋体" w:cs="仿宋"/>
          <w:b/>
          <w:bCs/>
          <w:color w:val="000000"/>
          <w:sz w:val="32"/>
          <w:szCs w:val="32"/>
          <w:highlight w:val="none"/>
        </w:rPr>
      </w:pPr>
      <w:r>
        <w:rPr>
          <w:rFonts w:hint="eastAsia" w:ascii="宋体" w:hAnsi="宋体" w:eastAsia="宋体" w:cs="仿宋"/>
          <w:b/>
          <w:bCs/>
          <w:color w:val="000000"/>
          <w:sz w:val="32"/>
          <w:szCs w:val="32"/>
          <w:highlight w:val="none"/>
        </w:rPr>
      </w:r>
      <w:r/>
    </w:p>
    <w:p>
      <w:pPr>
        <w:pStyle w:val="1011"/>
        <w:jc w:val="center"/>
        <w:rPr>
          <w:rFonts w:hint="eastAsia" w:ascii="宋体" w:hAnsi="宋体" w:eastAsia="宋体" w:cs="仿宋"/>
          <w:b/>
          <w:bCs/>
          <w:color w:val="000000"/>
          <w:sz w:val="32"/>
          <w:szCs w:val="32"/>
          <w:highlight w:val="none"/>
        </w:rPr>
      </w:pPr>
      <w:r>
        <w:rPr>
          <w:rFonts w:hint="eastAsia" w:ascii="宋体" w:hAnsi="宋体" w:eastAsia="宋体" w:cs="仿宋"/>
          <w:b/>
          <w:bCs/>
          <w:color w:val="000000"/>
          <w:sz w:val="32"/>
          <w:szCs w:val="32"/>
          <w:highlight w:val="none"/>
        </w:rPr>
        <w:t xml:space="preserve">第六章 投标文件格式</w:t>
      </w:r>
      <w:r>
        <w:rPr>
          <w:rFonts w:hint="eastAsia" w:ascii="宋体" w:hAnsi="宋体" w:eastAsia="宋体" w:cs="仿宋"/>
          <w:b/>
          <w:bCs/>
          <w:color w:val="000000"/>
          <w:sz w:val="32"/>
          <w:szCs w:val="32"/>
          <w:highlight w:val="none"/>
        </w:rPr>
      </w:r>
      <w:r/>
    </w:p>
    <w:p>
      <w:pPr>
        <w:pStyle w:val="1282"/>
        <w:ind w:firstLine="240"/>
        <w:spacing w:line="360" w:lineRule="auto"/>
        <w:rPr>
          <w:rFonts w:hint="eastAsia" w:ascii="宋体" w:hAnsi="宋体" w:eastAsia="宋体" w:cs="仿宋"/>
          <w:color w:val="000000"/>
          <w:highlight w:val="none"/>
        </w:rPr>
      </w:pPr>
      <w:r>
        <w:rPr>
          <w:rFonts w:hint="eastAsia" w:ascii="宋体" w:hAnsi="宋体" w:eastAsia="宋体" w:cs="仿宋"/>
          <w:color w:val="000000"/>
          <w:highlight w:val="none"/>
        </w:rPr>
      </w:r>
      <w:r/>
    </w:p>
    <w:p>
      <w:pPr>
        <w:pStyle w:val="1282"/>
        <w:ind w:firstLine="240"/>
        <w:spacing w:line="360" w:lineRule="auto"/>
        <w:rPr>
          <w:rFonts w:hint="eastAsia" w:ascii="宋体" w:hAnsi="宋体" w:eastAsia="宋体" w:cs="仿宋"/>
          <w:color w:val="000000"/>
          <w:szCs w:val="24"/>
          <w:highlight w:val="none"/>
        </w:rPr>
      </w:pPr>
      <w:r>
        <w:rPr>
          <w:rFonts w:hint="eastAsia" w:ascii="宋体" w:hAnsi="宋体" w:eastAsia="宋体" w:cs="仿宋"/>
          <w:color w:val="000000"/>
          <w:szCs w:val="24"/>
          <w:highlight w:val="none"/>
        </w:rPr>
        <w:t xml:space="preserve">1、说明：对本章所有的投标书格式 ，除开标一览表外，投标方可根据自身情况进行补充和修改，但补充和修改不得造成与本格式内容有实质性的违背。</w:t>
      </w:r>
      <w:r>
        <w:rPr>
          <w:rFonts w:hint="eastAsia" w:ascii="宋体" w:hAnsi="宋体" w:eastAsia="宋体" w:cs="仿宋"/>
          <w:color w:val="000000"/>
          <w:szCs w:val="24"/>
          <w:highlight w:val="none"/>
        </w:rPr>
      </w:r>
      <w:r/>
    </w:p>
    <w:p>
      <w:pPr>
        <w:pStyle w:val="1011"/>
        <w:jc w:val="left"/>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rPr>
      </w:r>
      <w:r/>
    </w:p>
    <w:p>
      <w:pPr>
        <w:pStyle w:val="1011"/>
        <w:numPr>
          <w:ilvl w:val="0"/>
          <w:numId w:val="7"/>
        </w:numPr>
        <w:ind w:left="0" w:firstLine="480"/>
        <w:jc w:val="left"/>
        <w:spacing w:line="360" w:lineRule="auto"/>
        <w:rPr>
          <w:rFonts w:hint="eastAsia" w:ascii="宋体" w:hAnsi="宋体" w:eastAsia="宋体" w:cs="仿宋"/>
          <w:color w:val="000000"/>
          <w:sz w:val="32"/>
          <w:szCs w:val="32"/>
          <w:highlight w:val="none"/>
        </w:rPr>
      </w:pPr>
      <w:r>
        <w:rPr>
          <w:rFonts w:hint="eastAsia" w:ascii="宋体" w:hAnsi="宋体" w:eastAsia="宋体" w:cs="仿宋"/>
          <w:color w:val="000000"/>
          <w:sz w:val="24"/>
          <w:szCs w:val="24"/>
          <w:highlight w:val="none"/>
        </w:rPr>
        <w:t xml:space="preserve">投标人应按标段准备投标文件并清楚注明标段名称,否则造成的一切后果由投标人自行承担。</w:t>
      </w:r>
      <w:r>
        <w:rPr>
          <w:rFonts w:hint="eastAsia" w:ascii="宋体" w:hAnsi="宋体" w:eastAsia="宋体" w:cs="仿宋"/>
          <w:color w:val="000000"/>
          <w:sz w:val="32"/>
          <w:szCs w:val="32"/>
          <w:highlight w:val="none"/>
        </w:rPr>
        <w:br w:type="page" w:clear="all"/>
      </w:r>
      <w:bookmarkStart w:id="47" w:name="_Toc263753600"/>
      <w:r/>
      <w:bookmarkStart w:id="48" w:name="_Toc297204985"/>
      <w:r/>
      <w:bookmarkStart w:id="49" w:name="_Toc217446085"/>
      <w:r/>
      <w:bookmarkStart w:id="50" w:name="_Toc237145385"/>
      <w:r/>
      <w:bookmarkStart w:id="51" w:name="_Toc250041691"/>
      <w:r/>
      <w:bookmarkStart w:id="52" w:name="_Toc263768864"/>
      <w:r/>
      <w:bookmarkStart w:id="53" w:name="_Toc256175382"/>
      <w:r/>
      <w:bookmarkStart w:id="54" w:name="_Toc217446086"/>
      <w:r>
        <w:rPr>
          <w:rFonts w:hint="eastAsia" w:ascii="宋体" w:hAnsi="宋体" w:eastAsia="宋体" w:cs="仿宋"/>
          <w:color w:val="000000"/>
          <w:sz w:val="32"/>
          <w:szCs w:val="32"/>
          <w:highlight w:val="none"/>
          <w:lang w:val="en-US" w:eastAsia="zh-CN"/>
        </w:rPr>
        <w:t xml:space="preserve">附件</w:t>
      </w:r>
      <w:r>
        <w:rPr>
          <w:rFonts w:hint="eastAsia" w:ascii="宋体" w:hAnsi="宋体" w:eastAsia="宋体" w:cs="仿宋"/>
          <w:color w:val="000000"/>
          <w:sz w:val="32"/>
          <w:szCs w:val="32"/>
          <w:highlight w:val="none"/>
        </w:rPr>
      </w:r>
      <w:r/>
    </w:p>
    <w:p>
      <w:pPr>
        <w:pStyle w:val="1011"/>
        <w:numPr>
          <w:ilvl w:val="0"/>
          <w:numId w:val="0"/>
        </w:numPr>
        <w:jc w:val="left"/>
        <w:spacing w:line="360" w:lineRule="auto"/>
        <w:rPr>
          <w:rFonts w:ascii="宋体" w:hAnsi="宋体" w:eastAsia="宋体" w:cs="宋体"/>
          <w:b/>
          <w:color w:val="000000"/>
          <w:sz w:val="44"/>
          <w:szCs w:val="44"/>
          <w:highlight w:val="none"/>
        </w:rPr>
      </w:pPr>
      <w:r>
        <w:rPr>
          <w:rFonts w:hint="eastAsia" w:ascii="宋体" w:hAnsi="宋体" w:eastAsia="宋体" w:cs="宋体"/>
          <w:b/>
          <w:color w:val="000000"/>
          <w:sz w:val="52"/>
          <w:szCs w:val="52"/>
          <w:highlight w:val="none"/>
        </w:rPr>
        <w:t xml:space="preserve">封面</w:t>
      </w:r>
      <w:r>
        <w:rPr>
          <w:rFonts w:ascii="宋体" w:hAnsi="宋体" w:eastAsia="宋体" w:cs="宋体"/>
          <w:b/>
          <w:color w:val="000000"/>
          <w:sz w:val="44"/>
          <w:szCs w:val="44"/>
          <w:highlight w:val="none"/>
        </w:rPr>
      </w:r>
      <w:r/>
    </w:p>
    <w:p>
      <w:pPr>
        <w:pStyle w:val="1011"/>
        <w:jc w:val="center"/>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011"/>
        <w:jc w:val="center"/>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011"/>
        <w:jc w:val="center"/>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062"/>
        <w:jc w:val="center"/>
        <w:spacing w:before="0" w:beforeAutospacing="0" w:after="0" w:afterAutospacing="0"/>
        <w:rPr>
          <w:color w:val="000000"/>
          <w:highlight w:val="none"/>
        </w:rPr>
      </w:pPr>
      <w:r>
        <w:rPr>
          <w:rFonts w:eastAsia="宋体" w:cs="宋体"/>
          <w:b/>
          <w:bCs/>
          <w:color w:val="000000"/>
          <w:sz w:val="72"/>
          <w:szCs w:val="72"/>
          <w:highlight w:val="none"/>
        </w:rPr>
        <w:t xml:space="preserve">投标文件</w:t>
      </w:r>
      <w:r>
        <w:rPr>
          <w:color w:val="000000"/>
          <w:highlight w:val="none"/>
        </w:rPr>
      </w:r>
      <w:r/>
    </w:p>
    <w:p>
      <w:pPr>
        <w:pStyle w:val="1062"/>
        <w:jc w:val="center"/>
        <w:spacing w:before="0" w:beforeAutospacing="0" w:after="0" w:afterAutospacing="0"/>
        <w:rPr>
          <w:color w:val="000000"/>
          <w:highlight w:val="none"/>
        </w:rPr>
      </w:pPr>
      <w:r>
        <w:rPr>
          <w:color w:val="000000"/>
          <w:highlight w:val="none"/>
        </w:rPr>
      </w:r>
      <w:r/>
    </w:p>
    <w:p>
      <w:pPr>
        <w:pStyle w:val="1062"/>
        <w:jc w:val="center"/>
        <w:spacing w:before="0" w:beforeAutospacing="0" w:after="0" w:afterAutospacing="0"/>
        <w:rPr>
          <w:color w:val="000000"/>
          <w:highlight w:val="none"/>
        </w:rPr>
      </w:pPr>
      <w:r>
        <w:rPr>
          <w:color w:val="000000"/>
          <w:highlight w:val="none"/>
        </w:rPr>
      </w:r>
      <w:r/>
    </w:p>
    <w:p>
      <w:pPr>
        <w:pStyle w:val="1062"/>
        <w:jc w:val="center"/>
        <w:spacing w:before="0" w:beforeAutospacing="0" w:after="0" w:afterAutospacing="0"/>
        <w:rPr>
          <w:color w:val="000000"/>
          <w:highlight w:val="none"/>
        </w:rPr>
      </w:pPr>
      <w:r>
        <w:rPr>
          <w:color w:val="000000"/>
          <w:highlight w:val="none"/>
        </w:rPr>
      </w:r>
      <w:r/>
    </w:p>
    <w:p>
      <w:pPr>
        <w:pStyle w:val="1062"/>
        <w:jc w:val="center"/>
        <w:spacing w:before="0" w:beforeAutospacing="0" w:after="0" w:afterAutospacing="0"/>
        <w:rPr>
          <w:color w:val="000000"/>
          <w:highlight w:val="none"/>
        </w:rPr>
      </w:pPr>
      <w:r>
        <w:rPr>
          <w:color w:val="000000"/>
          <w:highlight w:val="none"/>
        </w:rPr>
      </w:r>
      <w:r/>
    </w:p>
    <w:p>
      <w:pPr>
        <w:pStyle w:val="1062"/>
        <w:spacing w:before="0" w:beforeAutospacing="0" w:after="0" w:afterAutospacing="0"/>
        <w:rPr>
          <w:color w:val="000000"/>
          <w:sz w:val="32"/>
          <w:szCs w:val="32"/>
          <w:highlight w:val="none"/>
        </w:rPr>
      </w:pPr>
      <w:r>
        <w:rPr>
          <w:color w:val="000000"/>
          <w:sz w:val="32"/>
          <w:szCs w:val="32"/>
          <w:highlight w:val="none"/>
        </w:rPr>
      </w:r>
      <w:r/>
    </w:p>
    <w:p>
      <w:pPr>
        <w:pStyle w:val="1290"/>
        <w:ind w:left="0" w:firstLine="600"/>
        <w:spacing w:after="0" w:line="360" w:lineRule="auto"/>
        <w:rPr>
          <w:rFonts w:ascii="宋体" w:hAnsi="宋体" w:eastAsia="宋体" w:cs="宋体"/>
          <w:bCs/>
          <w:color w:val="000000"/>
          <w:sz w:val="32"/>
          <w:szCs w:val="32"/>
          <w:highlight w:val="none"/>
        </w:rPr>
      </w:pPr>
      <w:r>
        <w:rPr>
          <w:rFonts w:ascii="宋体" w:hAnsi="宋体" w:eastAsia="宋体" w:cs="宋体"/>
          <w:bCs/>
          <w:color w:val="000000"/>
          <w:sz w:val="32"/>
          <w:szCs w:val="32"/>
          <w:highlight w:val="none"/>
        </w:rPr>
      </w:r>
      <w:r/>
    </w:p>
    <w:p>
      <w:pPr>
        <w:pStyle w:val="1290"/>
        <w:ind w:left="0" w:firstLine="600"/>
        <w:spacing w:after="0" w:line="360" w:lineRule="auto"/>
        <w:rPr>
          <w:rFonts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项目名称：</w:t>
      </w:r>
      <w:r>
        <w:rPr>
          <w:rFonts w:ascii="宋体" w:hAnsi="宋体" w:eastAsia="宋体" w:cs="宋体"/>
          <w:bCs/>
          <w:color w:val="000000"/>
          <w:sz w:val="32"/>
          <w:szCs w:val="32"/>
          <w:highlight w:val="none"/>
        </w:rPr>
      </w:r>
      <w:r/>
    </w:p>
    <w:p>
      <w:pPr>
        <w:pStyle w:val="1290"/>
        <w:ind w:left="0" w:firstLine="600"/>
        <w:spacing w:after="0" w:line="360" w:lineRule="auto"/>
        <w:rPr>
          <w:rFonts w:ascii="宋体" w:hAnsi="宋体" w:eastAsia="宋体" w:cs="宋体"/>
          <w:bCs/>
          <w:color w:val="000000"/>
          <w:sz w:val="32"/>
          <w:szCs w:val="32"/>
          <w:highlight w:val="none"/>
        </w:rPr>
      </w:pPr>
      <w:r>
        <w:rPr>
          <w:rFonts w:ascii="宋体" w:hAnsi="宋体" w:eastAsia="宋体" w:cs="宋体"/>
          <w:bCs/>
          <w:color w:val="000000"/>
          <w:sz w:val="32"/>
          <w:szCs w:val="32"/>
          <w:highlight w:val="none"/>
        </w:rPr>
      </w:r>
      <w:r/>
    </w:p>
    <w:p>
      <w:pPr>
        <w:pStyle w:val="1290"/>
        <w:ind w:left="0" w:firstLine="600"/>
        <w:spacing w:after="0" w:line="360" w:lineRule="auto"/>
        <w:rPr>
          <w:rFonts w:ascii="宋体" w:hAnsi="宋体" w:eastAsia="宋体" w:cs="宋体"/>
          <w:bCs/>
          <w:color w:val="000000"/>
          <w:sz w:val="32"/>
          <w:szCs w:val="32"/>
          <w:highlight w:val="none"/>
          <w:u w:val="single"/>
        </w:rPr>
      </w:pPr>
      <w:r>
        <w:rPr>
          <w:rFonts w:hint="eastAsia" w:ascii="宋体" w:hAnsi="宋体" w:eastAsia="宋体" w:cs="宋体"/>
          <w:bCs/>
          <w:color w:val="000000"/>
          <w:sz w:val="32"/>
          <w:szCs w:val="32"/>
          <w:highlight w:val="none"/>
        </w:rPr>
        <w:t xml:space="preserve">项目编号：</w:t>
      </w:r>
      <w:r>
        <w:rPr>
          <w:rFonts w:ascii="宋体" w:hAnsi="宋体" w:eastAsia="宋体" w:cs="宋体"/>
          <w:bCs/>
          <w:color w:val="000000"/>
          <w:sz w:val="32"/>
          <w:szCs w:val="32"/>
          <w:highlight w:val="none"/>
          <w:u w:val="single"/>
        </w:rPr>
      </w:r>
      <w:r/>
    </w:p>
    <w:p>
      <w:pPr>
        <w:pStyle w:val="1290"/>
        <w:ind w:left="0" w:firstLine="600"/>
        <w:spacing w:after="0" w:line="360" w:lineRule="auto"/>
        <w:rPr>
          <w:rFonts w:ascii="宋体" w:hAnsi="宋体" w:eastAsia="宋体" w:cs="宋体"/>
          <w:bCs/>
          <w:color w:val="000000"/>
          <w:sz w:val="32"/>
          <w:szCs w:val="32"/>
          <w:highlight w:val="none"/>
          <w:u w:val="single"/>
        </w:rPr>
      </w:pPr>
      <w:r>
        <w:rPr>
          <w:rFonts w:ascii="宋体" w:hAnsi="宋体" w:eastAsia="宋体" w:cs="宋体"/>
          <w:bCs/>
          <w:color w:val="000000"/>
          <w:sz w:val="32"/>
          <w:szCs w:val="32"/>
          <w:highlight w:val="none"/>
          <w:u w:val="single"/>
        </w:rPr>
      </w:r>
      <w:r/>
    </w:p>
    <w:p>
      <w:pPr>
        <w:pStyle w:val="1290"/>
        <w:ind w:left="0" w:firstLine="600"/>
        <w:spacing w:after="0" w:line="360" w:lineRule="auto"/>
        <w:rPr>
          <w:rFonts w:ascii="宋体" w:hAnsi="宋体" w:eastAsia="宋体" w:cs="宋体"/>
          <w:bCs/>
          <w:color w:val="000000"/>
          <w:sz w:val="32"/>
          <w:szCs w:val="32"/>
          <w:highlight w:val="none"/>
          <w:u w:val="single"/>
        </w:rPr>
      </w:pPr>
      <w:r>
        <w:rPr>
          <w:rFonts w:ascii="宋体" w:hAnsi="宋体" w:eastAsia="宋体" w:cs="宋体"/>
          <w:bCs/>
          <w:color w:val="000000"/>
          <w:sz w:val="32"/>
          <w:szCs w:val="32"/>
          <w:highlight w:val="none"/>
          <w:u w:val="single"/>
        </w:rPr>
      </w:r>
      <w:r/>
    </w:p>
    <w:p>
      <w:pPr>
        <w:pStyle w:val="1290"/>
        <w:ind w:left="0" w:firstLine="600"/>
        <w:spacing w:after="0" w:line="360" w:lineRule="auto"/>
        <w:rPr>
          <w:rFonts w:ascii="宋体" w:hAnsi="宋体" w:eastAsia="宋体" w:cs="宋体"/>
          <w:bCs/>
          <w:color w:val="000000"/>
          <w:sz w:val="32"/>
          <w:szCs w:val="32"/>
          <w:highlight w:val="none"/>
          <w:u w:val="single"/>
        </w:rPr>
      </w:pPr>
      <w:r>
        <w:rPr>
          <w:rFonts w:ascii="宋体" w:hAnsi="宋体" w:eastAsia="宋体" w:cs="宋体"/>
          <w:bCs/>
          <w:color w:val="000000"/>
          <w:sz w:val="32"/>
          <w:szCs w:val="32"/>
          <w:highlight w:val="none"/>
          <w:u w:val="single"/>
        </w:rPr>
      </w:r>
      <w:r/>
    </w:p>
    <w:p>
      <w:pPr>
        <w:pStyle w:val="1290"/>
        <w:spacing w:after="0" w:line="360" w:lineRule="auto"/>
        <w:rPr>
          <w:rFonts w:ascii="宋体" w:hAnsi="宋体" w:eastAsia="宋体" w:cs="宋体"/>
          <w:bCs/>
          <w:color w:val="000000"/>
          <w:sz w:val="32"/>
          <w:szCs w:val="32"/>
          <w:highlight w:val="none"/>
          <w:u w:val="single"/>
        </w:rPr>
      </w:pPr>
      <w:r>
        <w:rPr>
          <w:rFonts w:hint="eastAsia" w:ascii="宋体" w:hAnsi="宋体" w:eastAsia="宋体" w:cs="宋体"/>
          <w:bCs/>
          <w:color w:val="000000"/>
          <w:sz w:val="32"/>
          <w:szCs w:val="32"/>
          <w:highlight w:val="none"/>
        </w:rPr>
        <w:t xml:space="preserve">投标人名称：</w:t>
      </w:r>
      <w:r>
        <w:rPr>
          <w:rFonts w:hint="eastAsia" w:ascii="宋体" w:hAnsi="宋体" w:eastAsia="宋体" w:cs="宋体"/>
          <w:bCs/>
          <w:color w:val="000000"/>
          <w:sz w:val="32"/>
          <w:szCs w:val="32"/>
          <w:highlight w:val="none"/>
          <w:u w:val="single"/>
        </w:rPr>
        <w:t xml:space="preserve">（加盖CA电子公章）</w:t>
      </w:r>
      <w:r>
        <w:rPr>
          <w:rFonts w:ascii="宋体" w:hAnsi="宋体" w:eastAsia="宋体" w:cs="宋体"/>
          <w:bCs/>
          <w:color w:val="000000"/>
          <w:sz w:val="32"/>
          <w:szCs w:val="32"/>
          <w:highlight w:val="none"/>
          <w:u w:val="single"/>
        </w:rPr>
      </w:r>
      <w:r/>
    </w:p>
    <w:p>
      <w:pPr>
        <w:pStyle w:val="1290"/>
        <w:ind w:left="0" w:firstLine="600"/>
        <w:spacing w:after="0" w:line="360" w:lineRule="auto"/>
        <w:rPr>
          <w:rFonts w:ascii="宋体" w:hAnsi="宋体" w:eastAsia="宋体" w:cs="宋体"/>
          <w:bCs/>
          <w:color w:val="000000"/>
          <w:sz w:val="32"/>
          <w:szCs w:val="32"/>
          <w:highlight w:val="none"/>
        </w:rPr>
      </w:pPr>
      <w:r>
        <w:rPr>
          <w:rFonts w:ascii="宋体" w:hAnsi="宋体" w:eastAsia="宋体" w:cs="宋体"/>
          <w:bCs/>
          <w:color w:val="000000"/>
          <w:sz w:val="32"/>
          <w:szCs w:val="32"/>
          <w:highlight w:val="none"/>
        </w:rPr>
      </w:r>
      <w:r/>
    </w:p>
    <w:p>
      <w:pPr>
        <w:pStyle w:val="1290"/>
        <w:spacing w:after="0" w:line="360" w:lineRule="auto"/>
        <w:rPr>
          <w:rFonts w:ascii="宋体" w:hAnsi="宋体" w:eastAsia="宋体" w:cs="宋体"/>
          <w:bCs/>
          <w:color w:val="000000"/>
          <w:sz w:val="21"/>
          <w:szCs w:val="21"/>
          <w:highlight w:val="none"/>
          <w:u w:val="single"/>
        </w:rPr>
      </w:pPr>
      <w:r>
        <w:rPr>
          <w:rFonts w:hint="eastAsia" w:ascii="宋体" w:hAnsi="宋体" w:eastAsia="宋体" w:cs="宋体"/>
          <w:bCs/>
          <w:color w:val="000000"/>
          <w:sz w:val="32"/>
          <w:szCs w:val="32"/>
          <w:highlight w:val="none"/>
        </w:rPr>
        <w:t xml:space="preserve">日期：</w:t>
      </w:r>
      <w:r>
        <w:rPr>
          <w:rFonts w:ascii="宋体" w:hAnsi="宋体" w:eastAsia="宋体" w:cs="宋体"/>
          <w:bCs/>
          <w:color w:val="000000"/>
          <w:sz w:val="21"/>
          <w:szCs w:val="21"/>
          <w:highlight w:val="none"/>
          <w:u w:val="single"/>
        </w:rPr>
      </w:r>
      <w:r/>
    </w:p>
    <w:p>
      <w:pPr>
        <w:pStyle w:val="1011"/>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仿宋"/>
          <w:color w:val="000000"/>
          <w:sz w:val="32"/>
          <w:szCs w:val="32"/>
          <w:highlight w:val="none"/>
        </w:rPr>
        <w:br w:type="page" w:clear="all"/>
      </w:r>
      <w:bookmarkEnd w:id="47"/>
      <w:r/>
      <w:bookmarkEnd w:id="48"/>
      <w:r/>
      <w:bookmarkEnd w:id="49"/>
      <w:r/>
      <w:bookmarkEnd w:id="50"/>
      <w:r/>
      <w:bookmarkEnd w:id="51"/>
      <w:r/>
      <w:bookmarkEnd w:id="52"/>
      <w:r/>
      <w:bookmarkEnd w:id="53"/>
      <w:r/>
      <w:bookmarkEnd w:id="54"/>
      <w:r>
        <w:rPr>
          <w:rFonts w:hint="eastAsia" w:ascii="宋体" w:hAnsi="宋体" w:eastAsia="宋体" w:cs="宋体"/>
          <w:b/>
          <w:bCs/>
          <w:color w:val="000000"/>
          <w:sz w:val="32"/>
          <w:szCs w:val="32"/>
          <w:highlight w:val="none"/>
        </w:rPr>
        <w:t xml:space="preserve">投标文件目录</w:t>
      </w:r>
      <w:r>
        <w:rPr>
          <w:rFonts w:hint="eastAsia" w:ascii="宋体" w:hAnsi="宋体" w:eastAsia="宋体" w:cs="宋体"/>
          <w:b/>
          <w:bCs/>
          <w:color w:val="000000"/>
          <w:sz w:val="32"/>
          <w:szCs w:val="32"/>
          <w:highlight w:val="none"/>
        </w:rPr>
      </w:r>
      <w:r/>
    </w:p>
    <w:p>
      <w:pPr>
        <w:pStyle w:val="1011"/>
        <w:ind w:left="630"/>
        <w:jc w:val="left"/>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一、法人或者其他组织的营业执照等证明文件，自然人的身份证明</w:t>
      </w:r>
      <w:r>
        <w:rPr>
          <w:rFonts w:hint="eastAsia" w:ascii="宋体" w:hAnsi="宋体" w:eastAsia="宋体" w:cs="宋体"/>
          <w:b/>
          <w:bCs/>
          <w:iCs/>
          <w:color w:val="000000"/>
          <w:sz w:val="24"/>
          <w:szCs w:val="24"/>
          <w:highlight w:val="none"/>
        </w:rPr>
        <w:t xml:space="preserve">（若为联合体响应，联合体双方均需提供）</w:t>
      </w:r>
      <w:r>
        <w:rPr>
          <w:rFonts w:hint="eastAsia" w:ascii="宋体" w:hAnsi="宋体" w:eastAsia="宋体" w:cs="宋体"/>
          <w:iCs/>
          <w:color w:val="000000"/>
          <w:sz w:val="24"/>
          <w:szCs w:val="24"/>
          <w:highlight w:val="none"/>
        </w:rPr>
      </w:r>
      <w:r/>
    </w:p>
    <w:p>
      <w:pPr>
        <w:pStyle w:val="1011"/>
        <w:ind w:left="630"/>
        <w:jc w:val="left"/>
        <w:spacing w:line="360" w:lineRule="auto"/>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rPr>
        <w:t xml:space="preserve">二、具有良好的商业信誉和健全的财务会计制度</w:t>
      </w:r>
      <w:r>
        <w:rPr>
          <w:rFonts w:hint="eastAsia" w:ascii="宋体" w:hAnsi="宋体" w:eastAsia="宋体" w:cs="宋体"/>
          <w:iCs/>
          <w:color w:val="000000"/>
          <w:sz w:val="24"/>
          <w:szCs w:val="24"/>
          <w:highlight w:val="none"/>
          <w:lang w:val="en-US" w:eastAsia="zh-CN"/>
        </w:rPr>
        <w:t xml:space="preserve">的相关材料</w:t>
      </w:r>
      <w:r>
        <w:rPr>
          <w:rFonts w:hint="eastAsia" w:ascii="宋体" w:hAnsi="宋体" w:eastAsia="宋体" w:cs="宋体"/>
          <w:b/>
          <w:bCs/>
          <w:iCs/>
          <w:color w:val="000000"/>
          <w:sz w:val="24"/>
          <w:szCs w:val="24"/>
          <w:highlight w:val="none"/>
        </w:rPr>
        <w:t xml:space="preserve">（若为联合体响应，联合体双方均需提供）</w:t>
      </w:r>
      <w:r>
        <w:rPr>
          <w:rFonts w:hint="eastAsia" w:ascii="宋体" w:hAnsi="宋体" w:eastAsia="宋体" w:cs="宋体"/>
          <w:iCs/>
          <w:color w:val="000000"/>
          <w:sz w:val="24"/>
          <w:szCs w:val="24"/>
          <w:highlight w:val="none"/>
          <w:lang w:val="en-US" w:eastAsia="zh-CN"/>
        </w:rPr>
      </w:r>
      <w:r/>
    </w:p>
    <w:p>
      <w:pPr>
        <w:pStyle w:val="1011"/>
        <w:ind w:left="630"/>
        <w:jc w:val="left"/>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三、依法缴纳税收和社会保障资金的相关材料</w:t>
      </w:r>
      <w:r>
        <w:rPr>
          <w:rFonts w:hint="eastAsia" w:ascii="宋体" w:hAnsi="宋体" w:eastAsia="宋体" w:cs="宋体"/>
          <w:b/>
          <w:bCs/>
          <w:iCs/>
          <w:color w:val="000000"/>
          <w:sz w:val="24"/>
          <w:szCs w:val="24"/>
          <w:highlight w:val="none"/>
        </w:rPr>
        <w:t xml:space="preserve">（若为联合体响应，联合体双方均需提供）</w:t>
      </w:r>
      <w:r>
        <w:rPr>
          <w:rFonts w:hint="eastAsia" w:ascii="宋体" w:hAnsi="宋体" w:eastAsia="宋体" w:cs="宋体"/>
          <w:iCs/>
          <w:color w:val="000000"/>
          <w:sz w:val="24"/>
          <w:szCs w:val="24"/>
          <w:highlight w:val="none"/>
        </w:rPr>
      </w:r>
      <w:r/>
    </w:p>
    <w:p>
      <w:pPr>
        <w:pStyle w:val="1011"/>
        <w:ind w:left="630"/>
        <w:jc w:val="left"/>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四、具备履行合同所必需的设备和专业技术能力的书面声明</w:t>
      </w:r>
      <w:r>
        <w:rPr>
          <w:rFonts w:hint="eastAsia" w:ascii="宋体" w:hAnsi="宋体" w:eastAsia="宋体" w:cs="宋体"/>
          <w:b/>
          <w:bCs/>
          <w:iCs/>
          <w:color w:val="000000"/>
          <w:sz w:val="24"/>
          <w:szCs w:val="24"/>
          <w:highlight w:val="none"/>
        </w:rPr>
        <w:t xml:space="preserve">（若为联合体响应，联合体双方均需提供）</w:t>
      </w:r>
      <w:r>
        <w:rPr>
          <w:rFonts w:hint="eastAsia" w:ascii="宋体" w:hAnsi="宋体" w:eastAsia="宋体" w:cs="宋体"/>
          <w:iCs/>
          <w:color w:val="000000"/>
          <w:sz w:val="24"/>
          <w:szCs w:val="24"/>
          <w:highlight w:val="none"/>
        </w:rPr>
      </w:r>
      <w:r/>
    </w:p>
    <w:p>
      <w:pPr>
        <w:pStyle w:val="1011"/>
        <w:ind w:left="630"/>
        <w:jc w:val="left"/>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五、参加政府采购活动前 3 年内在经营活动中没有重大违法记录的书面声明</w:t>
      </w:r>
      <w:r>
        <w:rPr>
          <w:rFonts w:hint="eastAsia" w:ascii="宋体" w:hAnsi="宋体" w:eastAsia="宋体" w:cs="宋体"/>
          <w:b/>
          <w:bCs/>
          <w:iCs/>
          <w:color w:val="000000"/>
          <w:sz w:val="24"/>
          <w:szCs w:val="24"/>
          <w:highlight w:val="none"/>
        </w:rPr>
        <w:t xml:space="preserve">（若为联合体响应，联合体双方均需提供）</w:t>
      </w:r>
      <w:r>
        <w:rPr>
          <w:rFonts w:hint="eastAsia" w:ascii="宋体" w:hAnsi="宋体" w:eastAsia="宋体" w:cs="宋体"/>
          <w:iCs/>
          <w:color w:val="000000"/>
          <w:sz w:val="24"/>
          <w:szCs w:val="24"/>
          <w:highlight w:val="none"/>
        </w:rPr>
      </w:r>
      <w:r/>
    </w:p>
    <w:p>
      <w:pPr>
        <w:pStyle w:val="1011"/>
        <w:ind w:left="630"/>
        <w:jc w:val="left"/>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六、中小企业声明函</w:t>
      </w:r>
      <w:r>
        <w:rPr>
          <w:rFonts w:hint="eastAsia" w:ascii="宋体" w:hAnsi="宋体" w:eastAsia="宋体" w:cs="宋体"/>
          <w:iCs/>
          <w:color w:val="000000"/>
          <w:sz w:val="24"/>
          <w:szCs w:val="24"/>
          <w:highlight w:val="none"/>
        </w:rPr>
      </w:r>
      <w:r/>
    </w:p>
    <w:p>
      <w:pPr>
        <w:pStyle w:val="1011"/>
        <w:ind w:left="63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iCs/>
          <w:color w:val="000000"/>
          <w:sz w:val="24"/>
          <w:szCs w:val="24"/>
          <w:highlight w:val="none"/>
        </w:rPr>
        <w:t xml:space="preserve">七、残疾人福利性单位声明函</w:t>
      </w:r>
      <w:r>
        <w:rPr>
          <w:rFonts w:hint="eastAsia" w:ascii="宋体" w:hAnsi="宋体" w:eastAsia="宋体" w:cs="宋体"/>
          <w:color w:val="000000"/>
          <w:sz w:val="24"/>
          <w:szCs w:val="24"/>
          <w:highlight w:val="none"/>
        </w:rPr>
      </w:r>
      <w:r/>
    </w:p>
    <w:p>
      <w:pPr>
        <w:pStyle w:val="1011"/>
        <w:ind w:left="630"/>
        <w:jc w:val="left"/>
        <w:spacing w:line="360" w:lineRule="auto"/>
        <w:rPr>
          <w:rFonts w:hint="eastAsia" w:ascii="宋体" w:hAnsi="宋体" w:eastAsia="宋体" w:cs="仿宋"/>
          <w:b/>
          <w:bCs/>
          <w:color w:val="000000"/>
          <w:sz w:val="24"/>
          <w:szCs w:val="24"/>
          <w:highlight w:val="none"/>
        </w:rPr>
      </w:pPr>
      <w:r>
        <w:rPr>
          <w:rFonts w:hint="eastAsia" w:ascii="宋体" w:hAnsi="宋体" w:eastAsia="宋体" w:cs="宋体"/>
          <w:iCs/>
          <w:color w:val="000000"/>
          <w:sz w:val="24"/>
          <w:szCs w:val="24"/>
          <w:highlight w:val="none"/>
        </w:rPr>
        <w:t xml:space="preserve">八、</w:t>
      </w:r>
      <w:r>
        <w:rPr>
          <w:rFonts w:hint="eastAsia" w:ascii="宋体" w:hAnsi="宋体" w:eastAsia="宋体" w:cs="仿宋"/>
          <w:color w:val="000000"/>
          <w:sz w:val="24"/>
          <w:szCs w:val="24"/>
          <w:highlight w:val="none"/>
        </w:rPr>
        <w:t xml:space="preserve">未被列入“信用中国”网站(www.creditchina.gov.cn)失信被执行人名单、重大税收违法案件当事人名单和中国政府采购网(www.ccgp.gov.cn)政府采购严重违法失信行为记录名单（网页截图）</w:t>
      </w:r>
      <w:r>
        <w:rPr>
          <w:rFonts w:hint="eastAsia" w:ascii="宋体" w:hAnsi="宋体" w:eastAsia="宋体" w:cs="仿宋"/>
          <w:b/>
          <w:bCs/>
          <w:color w:val="000000"/>
          <w:sz w:val="24"/>
          <w:szCs w:val="24"/>
          <w:highlight w:val="none"/>
        </w:rPr>
        <w:t xml:space="preserve">（若为联合体响应，联合体双方均需提供）</w:t>
      </w:r>
      <w:r>
        <w:rPr>
          <w:rFonts w:hint="eastAsia" w:ascii="宋体" w:hAnsi="宋体" w:eastAsia="宋体" w:cs="仿宋"/>
          <w:b/>
          <w:bCs/>
          <w:color w:val="000000"/>
          <w:sz w:val="24"/>
          <w:szCs w:val="24"/>
          <w:highlight w:val="none"/>
        </w:rPr>
      </w:r>
      <w:r/>
    </w:p>
    <w:p>
      <w:pPr>
        <w:pStyle w:val="1011"/>
        <w:ind w:left="630"/>
        <w:jc w:val="left"/>
        <w:spacing w:line="360" w:lineRule="auto"/>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t xml:space="preserve">九、</w:t>
      </w:r>
      <w:r>
        <w:rPr>
          <w:rFonts w:hint="eastAsia" w:ascii="宋体" w:hAnsi="宋体" w:eastAsia="宋体" w:cs="宋体"/>
          <w:iCs/>
          <w:color w:val="000000"/>
          <w:sz w:val="24"/>
          <w:szCs w:val="24"/>
          <w:highlight w:val="none"/>
        </w:rPr>
        <w:t xml:space="preserve">关于符合本国产品标准的声明函</w:t>
      </w:r>
      <w:r>
        <w:rPr>
          <w:rFonts w:hint="eastAsia" w:ascii="宋体" w:hAnsi="宋体" w:eastAsia="宋体" w:cs="宋体"/>
          <w:iCs/>
          <w:color w:val="000000"/>
          <w:sz w:val="24"/>
          <w:szCs w:val="24"/>
          <w:highlight w:val="none"/>
          <w:lang w:val="en-US" w:eastAsia="zh-CN"/>
        </w:rPr>
      </w:r>
      <w:r/>
    </w:p>
    <w:p>
      <w:pPr>
        <w:pStyle w:val="1011"/>
        <w:ind w:left="630"/>
        <w:jc w:val="left"/>
        <w:spacing w:line="360" w:lineRule="auto"/>
        <w:rPr>
          <w:rFonts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t xml:space="preserve">十</w:t>
      </w:r>
      <w:r>
        <w:rPr>
          <w:rFonts w:hint="eastAsia" w:ascii="宋体" w:hAnsi="宋体" w:eastAsia="宋体" w:cs="宋体"/>
          <w:iCs/>
          <w:color w:val="000000"/>
          <w:sz w:val="24"/>
          <w:szCs w:val="24"/>
          <w:highlight w:val="none"/>
          <w:lang w:eastAsia="zh-CN"/>
        </w:rPr>
        <w:t xml:space="preserve">、</w:t>
      </w:r>
      <w:r>
        <w:rPr>
          <w:rFonts w:hint="eastAsia" w:ascii="宋体" w:hAnsi="宋体" w:eastAsia="宋体" w:cs="宋体"/>
          <w:iCs/>
          <w:color w:val="000000"/>
          <w:sz w:val="24"/>
          <w:szCs w:val="24"/>
          <w:highlight w:val="none"/>
          <w:lang w:val="en-US" w:eastAsia="zh-CN"/>
        </w:rPr>
        <w:t xml:space="preserve">联合体协议书（如有）</w:t>
      </w:r>
      <w:r>
        <w:rPr>
          <w:rFonts w:ascii="宋体" w:hAnsi="宋体" w:eastAsia="宋体" w:cs="宋体"/>
          <w:iCs/>
          <w:color w:val="000000"/>
          <w:sz w:val="24"/>
          <w:szCs w:val="24"/>
          <w:highlight w:val="none"/>
          <w:lang w:val="en-US" w:eastAsia="zh-CN"/>
        </w:rPr>
      </w:r>
      <w:r/>
    </w:p>
    <w:p>
      <w:pPr>
        <w:pStyle w:val="1011"/>
        <w:ind w:left="630"/>
        <w:jc w:val="left"/>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十</w:t>
      </w:r>
      <w:r>
        <w:rPr>
          <w:rFonts w:hint="eastAsia" w:ascii="宋体" w:hAnsi="宋体" w:eastAsia="宋体" w:cs="宋体"/>
          <w:iCs/>
          <w:color w:val="000000"/>
          <w:sz w:val="24"/>
          <w:szCs w:val="24"/>
          <w:highlight w:val="none"/>
          <w:lang w:val="en-US" w:eastAsia="zh-CN"/>
        </w:rPr>
        <w:t xml:space="preserve">一</w:t>
      </w:r>
      <w:r>
        <w:rPr>
          <w:rFonts w:hint="eastAsia" w:ascii="宋体" w:hAnsi="宋体" w:eastAsia="宋体" w:cs="宋体"/>
          <w:iCs/>
          <w:color w:val="000000"/>
          <w:sz w:val="24"/>
          <w:szCs w:val="24"/>
          <w:highlight w:val="none"/>
        </w:rPr>
        <w:t xml:space="preserve">、开标一览表</w:t>
      </w:r>
      <w:r>
        <w:rPr>
          <w:rFonts w:hint="eastAsia" w:ascii="宋体" w:hAnsi="宋体" w:eastAsia="宋体" w:cs="宋体"/>
          <w:iCs/>
          <w:color w:val="000000"/>
          <w:sz w:val="24"/>
          <w:szCs w:val="24"/>
          <w:highlight w:val="none"/>
        </w:rPr>
      </w:r>
      <w:r/>
    </w:p>
    <w:p>
      <w:pPr>
        <w:pStyle w:val="1011"/>
        <w:ind w:left="630"/>
        <w:jc w:val="left"/>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十</w:t>
      </w:r>
      <w:r>
        <w:rPr>
          <w:rFonts w:hint="eastAsia" w:ascii="宋体" w:hAnsi="宋体" w:eastAsia="宋体" w:cs="宋体"/>
          <w:iCs/>
          <w:color w:val="000000"/>
          <w:sz w:val="24"/>
          <w:szCs w:val="24"/>
          <w:highlight w:val="none"/>
          <w:lang w:val="en-US" w:eastAsia="zh-CN"/>
        </w:rPr>
        <w:t xml:space="preserve">二</w:t>
      </w:r>
      <w:r>
        <w:rPr>
          <w:rFonts w:hint="eastAsia" w:ascii="宋体" w:hAnsi="宋体" w:eastAsia="宋体" w:cs="宋体"/>
          <w:iCs/>
          <w:color w:val="000000"/>
          <w:sz w:val="24"/>
          <w:szCs w:val="24"/>
          <w:highlight w:val="none"/>
        </w:rPr>
        <w:t xml:space="preserve">、法人授权书</w:t>
      </w:r>
      <w:r>
        <w:rPr>
          <w:rFonts w:hint="eastAsia" w:ascii="宋体" w:hAnsi="宋体" w:eastAsia="宋体" w:cs="宋体"/>
          <w:iCs/>
          <w:color w:val="000000"/>
          <w:sz w:val="24"/>
          <w:szCs w:val="24"/>
          <w:highlight w:val="none"/>
        </w:rPr>
      </w:r>
      <w:r/>
    </w:p>
    <w:p>
      <w:pPr>
        <w:pStyle w:val="1011"/>
        <w:ind w:left="630"/>
        <w:jc w:val="left"/>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十</w:t>
      </w:r>
      <w:r>
        <w:rPr>
          <w:rFonts w:hint="eastAsia" w:ascii="宋体" w:hAnsi="宋体" w:eastAsia="宋体" w:cs="宋体"/>
          <w:iCs/>
          <w:color w:val="000000"/>
          <w:sz w:val="24"/>
          <w:szCs w:val="24"/>
          <w:highlight w:val="none"/>
          <w:lang w:val="en-US" w:eastAsia="zh-CN"/>
        </w:rPr>
        <w:t xml:space="preserve">三</w:t>
      </w:r>
      <w:r>
        <w:rPr>
          <w:rFonts w:hint="eastAsia" w:ascii="宋体" w:hAnsi="宋体" w:eastAsia="宋体" w:cs="宋体"/>
          <w:iCs/>
          <w:color w:val="000000"/>
          <w:sz w:val="24"/>
          <w:szCs w:val="24"/>
          <w:highlight w:val="none"/>
        </w:rPr>
        <w:t xml:space="preserve">、投标函</w:t>
      </w:r>
      <w:r>
        <w:rPr>
          <w:rFonts w:hint="eastAsia" w:ascii="宋体" w:hAnsi="宋体" w:eastAsia="宋体" w:cs="宋体"/>
          <w:iCs/>
          <w:color w:val="000000"/>
          <w:sz w:val="24"/>
          <w:szCs w:val="24"/>
          <w:highlight w:val="none"/>
        </w:rPr>
      </w:r>
      <w:r/>
    </w:p>
    <w:p>
      <w:pPr>
        <w:pStyle w:val="1011"/>
        <w:ind w:left="630"/>
        <w:jc w:val="left"/>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十</w:t>
      </w:r>
      <w:r>
        <w:rPr>
          <w:rFonts w:hint="eastAsia" w:ascii="宋体" w:hAnsi="宋体" w:eastAsia="宋体" w:cs="宋体"/>
          <w:iCs/>
          <w:color w:val="000000"/>
          <w:sz w:val="24"/>
          <w:szCs w:val="24"/>
          <w:highlight w:val="none"/>
          <w:lang w:val="en-US" w:eastAsia="zh-CN"/>
        </w:rPr>
        <w:t xml:space="preserve">四</w:t>
      </w:r>
      <w:r>
        <w:rPr>
          <w:rFonts w:hint="eastAsia" w:ascii="宋体" w:hAnsi="宋体" w:eastAsia="宋体" w:cs="宋体"/>
          <w:iCs/>
          <w:color w:val="000000"/>
          <w:sz w:val="24"/>
          <w:szCs w:val="24"/>
          <w:highlight w:val="none"/>
        </w:rPr>
        <w:t xml:space="preserve">、投标分项报价表</w:t>
      </w:r>
      <w:r>
        <w:rPr>
          <w:rFonts w:hint="eastAsia" w:ascii="宋体" w:hAnsi="宋体" w:eastAsia="宋体" w:cs="宋体"/>
          <w:iCs/>
          <w:color w:val="000000"/>
          <w:sz w:val="24"/>
          <w:szCs w:val="24"/>
          <w:highlight w:val="none"/>
        </w:rPr>
      </w:r>
      <w:r/>
    </w:p>
    <w:p>
      <w:pPr>
        <w:pStyle w:val="1011"/>
        <w:ind w:left="630"/>
        <w:jc w:val="left"/>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十</w:t>
      </w:r>
      <w:r>
        <w:rPr>
          <w:rFonts w:hint="eastAsia" w:ascii="宋体" w:hAnsi="宋体" w:eastAsia="宋体" w:cs="宋体"/>
          <w:iCs/>
          <w:color w:val="000000"/>
          <w:sz w:val="24"/>
          <w:szCs w:val="24"/>
          <w:highlight w:val="none"/>
          <w:lang w:val="en-US" w:eastAsia="zh-CN"/>
        </w:rPr>
        <w:t xml:space="preserve">五</w:t>
      </w:r>
      <w:r>
        <w:rPr>
          <w:rFonts w:hint="eastAsia" w:ascii="宋体" w:hAnsi="宋体" w:eastAsia="宋体" w:cs="宋体"/>
          <w:iCs/>
          <w:color w:val="000000"/>
          <w:sz w:val="24"/>
          <w:szCs w:val="24"/>
          <w:highlight w:val="none"/>
        </w:rPr>
        <w:t xml:space="preserve">、技术要求响应及偏离表及证明文件</w:t>
      </w:r>
      <w:r>
        <w:rPr>
          <w:rFonts w:hint="eastAsia" w:ascii="宋体" w:hAnsi="宋体" w:eastAsia="宋体" w:cs="宋体"/>
          <w:iCs/>
          <w:color w:val="000000"/>
          <w:sz w:val="24"/>
          <w:szCs w:val="24"/>
          <w:highlight w:val="none"/>
        </w:rPr>
      </w:r>
      <w:r/>
    </w:p>
    <w:p>
      <w:pPr>
        <w:pStyle w:val="1011"/>
        <w:ind w:left="630"/>
        <w:jc w:val="left"/>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十</w:t>
      </w:r>
      <w:r>
        <w:rPr>
          <w:rFonts w:hint="eastAsia" w:ascii="宋体" w:hAnsi="宋体" w:eastAsia="宋体" w:cs="宋体"/>
          <w:iCs/>
          <w:color w:val="000000"/>
          <w:sz w:val="24"/>
          <w:szCs w:val="24"/>
          <w:highlight w:val="none"/>
          <w:lang w:val="en-US" w:eastAsia="zh-CN"/>
        </w:rPr>
        <w:t xml:space="preserve">六</w:t>
      </w:r>
      <w:r>
        <w:rPr>
          <w:rFonts w:hint="eastAsia" w:ascii="宋体" w:hAnsi="宋体" w:eastAsia="宋体" w:cs="宋体"/>
          <w:iCs/>
          <w:color w:val="000000"/>
          <w:sz w:val="24"/>
          <w:szCs w:val="24"/>
          <w:highlight w:val="none"/>
        </w:rPr>
        <w:t xml:space="preserve">、商务要求响应及偏离表</w:t>
      </w:r>
      <w:r>
        <w:rPr>
          <w:rFonts w:hint="eastAsia" w:ascii="宋体" w:hAnsi="宋体" w:eastAsia="宋体" w:cs="宋体"/>
          <w:iCs/>
          <w:color w:val="000000"/>
          <w:sz w:val="24"/>
          <w:szCs w:val="24"/>
          <w:highlight w:val="none"/>
        </w:rPr>
      </w:r>
      <w:r/>
    </w:p>
    <w:p>
      <w:pPr>
        <w:pStyle w:val="1011"/>
        <w:ind w:left="630"/>
        <w:jc w:val="left"/>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lang w:val="en-US" w:eastAsia="zh-CN"/>
        </w:rPr>
        <w:t xml:space="preserve">十七、</w:t>
      </w:r>
      <w:r>
        <w:rPr>
          <w:rFonts w:hint="eastAsia" w:ascii="宋体" w:hAnsi="宋体" w:eastAsia="宋体" w:cs="宋体"/>
          <w:iCs/>
          <w:color w:val="000000"/>
          <w:sz w:val="24"/>
          <w:szCs w:val="24"/>
          <w:highlight w:val="none"/>
        </w:rPr>
        <w:t xml:space="preserve">投入本项目人员配备一览表</w:t>
      </w:r>
      <w:r>
        <w:rPr>
          <w:rFonts w:hint="eastAsia" w:ascii="宋体" w:hAnsi="宋体" w:eastAsia="宋体" w:cs="宋体"/>
          <w:iCs/>
          <w:color w:val="000000"/>
          <w:sz w:val="24"/>
          <w:szCs w:val="24"/>
          <w:highlight w:val="none"/>
        </w:rPr>
      </w:r>
      <w:r/>
    </w:p>
    <w:p>
      <w:pPr>
        <w:pStyle w:val="1011"/>
        <w:ind w:left="630"/>
        <w:jc w:val="left"/>
        <w:spacing w:line="360" w:lineRule="auto"/>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t xml:space="preserve">十八、业绩一览表</w:t>
      </w:r>
      <w:r>
        <w:rPr>
          <w:rFonts w:hint="eastAsia" w:ascii="宋体" w:hAnsi="宋体" w:eastAsia="宋体" w:cs="宋体"/>
          <w:iCs/>
          <w:color w:val="000000"/>
          <w:sz w:val="24"/>
          <w:szCs w:val="24"/>
          <w:highlight w:val="none"/>
          <w:lang w:val="en-US" w:eastAsia="zh-CN"/>
        </w:rPr>
      </w:r>
      <w:r/>
    </w:p>
    <w:p>
      <w:pPr>
        <w:pStyle w:val="1011"/>
        <w:ind w:left="630"/>
        <w:jc w:val="left"/>
        <w:spacing w:line="360" w:lineRule="auto"/>
        <w:rPr>
          <w:rFonts w:hint="eastAsia" w:ascii="宋体" w:hAnsi="宋体" w:eastAsia="宋体" w:cs="宋体"/>
          <w:iCs/>
          <w:color w:val="000000"/>
          <w:sz w:val="24"/>
          <w:szCs w:val="24"/>
          <w:highlight w:val="none"/>
          <w:lang w:eastAsia="zh-CN"/>
        </w:rPr>
      </w:pPr>
      <w:r>
        <w:rPr>
          <w:rFonts w:hint="eastAsia" w:ascii="宋体" w:hAnsi="宋体" w:eastAsia="宋体" w:cs="宋体"/>
          <w:iCs/>
          <w:color w:val="000000"/>
          <w:sz w:val="24"/>
          <w:szCs w:val="24"/>
          <w:highlight w:val="none"/>
          <w:lang w:val="en-US" w:eastAsia="zh-CN"/>
        </w:rPr>
        <w:t xml:space="preserve">十九、</w:t>
      </w:r>
      <w:r>
        <w:rPr>
          <w:rFonts w:hint="eastAsia" w:ascii="宋体" w:hAnsi="宋体" w:eastAsia="宋体" w:cs="宋体"/>
          <w:iCs/>
          <w:color w:val="000000"/>
          <w:sz w:val="24"/>
          <w:szCs w:val="24"/>
          <w:highlight w:val="none"/>
          <w:lang w:eastAsia="zh-CN"/>
        </w:rPr>
        <w:t xml:space="preserve">其他材料</w:t>
      </w:r>
      <w:r>
        <w:rPr>
          <w:rFonts w:hint="eastAsia" w:ascii="宋体" w:hAnsi="宋体" w:eastAsia="宋体" w:cs="宋体"/>
          <w:iCs/>
          <w:color w:val="000000"/>
          <w:sz w:val="24"/>
          <w:szCs w:val="24"/>
          <w:highlight w:val="none"/>
          <w:lang w:eastAsia="zh-CN"/>
        </w:rPr>
      </w:r>
      <w:r/>
    </w:p>
    <w:p>
      <w:pPr>
        <w:pStyle w:val="1011"/>
        <w:ind w:left="630"/>
        <w:jc w:val="left"/>
        <w:spacing w:line="360" w:lineRule="auto"/>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t xml:space="preserve">二十、质疑函范本</w:t>
      </w:r>
      <w:r>
        <w:rPr>
          <w:rFonts w:hint="eastAsia" w:ascii="宋体" w:hAnsi="宋体" w:eastAsia="宋体" w:cs="宋体"/>
          <w:iCs/>
          <w:color w:val="000000"/>
          <w:sz w:val="24"/>
          <w:szCs w:val="24"/>
          <w:highlight w:val="none"/>
          <w:lang w:val="en-US" w:eastAsia="zh-CN"/>
        </w:rPr>
      </w:r>
      <w:r/>
    </w:p>
    <w:p>
      <w:pPr>
        <w:pStyle w:val="1011"/>
        <w:jc w:val="center"/>
        <w:spacing w:line="48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具备履行合同所必需的设备和专业技术能力的声明</w:t>
      </w:r>
      <w:r>
        <w:rPr>
          <w:rFonts w:hint="eastAsia" w:ascii="宋体" w:hAnsi="宋体" w:eastAsia="宋体" w:cs="宋体"/>
          <w:b/>
          <w:color w:val="000000"/>
          <w:sz w:val="32"/>
          <w:szCs w:val="32"/>
          <w:highlight w:val="none"/>
        </w:rPr>
      </w:r>
      <w:r/>
    </w:p>
    <w:p>
      <w:pPr>
        <w:pStyle w:val="1011"/>
        <w:jc w:val="center"/>
        <w:spacing w:line="48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11"/>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u w:val="single"/>
        </w:rPr>
        <w:t xml:space="preserve">               （采购单位名称）：</w:t>
      </w:r>
      <w:r>
        <w:rPr>
          <w:rFonts w:hint="eastAsia" w:ascii="宋体" w:hAnsi="宋体" w:eastAsia="宋体" w:cs="宋体"/>
          <w:color w:val="000000"/>
          <w:sz w:val="24"/>
          <w:szCs w:val="24"/>
          <w:highlight w:val="none"/>
        </w:rPr>
      </w:r>
      <w:r/>
    </w:p>
    <w:p>
      <w:pPr>
        <w:pStyle w:val="1011"/>
        <w:ind w:firstLine="42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（供应商名称）郑重声明：我公司具备履行本项采购合同所必需的设备和专业技术能力，为履行本项采购合同我单位具备如下主要设备和主要专业技术能力：</w:t>
      </w:r>
      <w:r>
        <w:rPr>
          <w:rFonts w:hint="eastAsia" w:ascii="宋体" w:hAnsi="宋体" w:eastAsia="宋体" w:cs="宋体"/>
          <w:color w:val="000000"/>
          <w:sz w:val="24"/>
          <w:szCs w:val="24"/>
          <w:highlight w:val="none"/>
        </w:rPr>
      </w:r>
      <w:r/>
    </w:p>
    <w:p>
      <w:pPr>
        <w:pStyle w:val="1011"/>
        <w:ind w:firstLine="42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主要设备有：                          。( 若有 )</w:t>
      </w:r>
      <w:r>
        <w:rPr>
          <w:rFonts w:hint="eastAsia" w:ascii="宋体" w:hAnsi="宋体" w:eastAsia="宋体" w:cs="宋体"/>
          <w:color w:val="000000"/>
          <w:sz w:val="24"/>
          <w:szCs w:val="24"/>
          <w:highlight w:val="none"/>
        </w:rPr>
      </w:r>
      <w:r/>
    </w:p>
    <w:p>
      <w:pPr>
        <w:pStyle w:val="1011"/>
        <w:ind w:firstLine="42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                  。( 若有 )</w:t>
      </w:r>
      <w:r>
        <w:rPr>
          <w:rFonts w:hint="eastAsia" w:ascii="宋体" w:hAnsi="宋体" w:eastAsia="宋体" w:cs="宋体"/>
          <w:color w:val="000000"/>
          <w:sz w:val="24"/>
          <w:szCs w:val="24"/>
          <w:highlight w:val="none"/>
        </w:rPr>
      </w:r>
      <w:r/>
    </w:p>
    <w:p>
      <w:pPr>
        <w:pStyle w:val="1011"/>
        <w:ind w:firstLine="42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278"/>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仿宋"/>
          <w:color w:val="000000"/>
          <w:sz w:val="24"/>
          <w:szCs w:val="24"/>
          <w:highlight w:val="none"/>
        </w:rPr>
        <w:t xml:space="preserve">（加盖CA电子公章）：</w:t>
      </w:r>
      <w:r>
        <w:rPr>
          <w:rFonts w:hint="eastAsia" w:ascii="宋体" w:hAnsi="宋体" w:eastAsia="宋体" w:cs="宋体"/>
          <w:color w:val="000000"/>
          <w:sz w:val="24"/>
          <w:szCs w:val="24"/>
          <w:highlight w:val="none"/>
        </w:rPr>
      </w:r>
      <w:r/>
    </w:p>
    <w:p>
      <w:pPr>
        <w:pStyle w:val="1278"/>
        <w:ind w:firstLine="2640"/>
        <w:jc w:val="righ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法定代表人或授权</w:t>
      </w:r>
      <w:r>
        <w:rPr>
          <w:rFonts w:hint="eastAsia" w:ascii="宋体" w:hAnsi="宋体" w:cs="仿宋"/>
          <w:color w:val="000000"/>
          <w:sz w:val="24"/>
          <w:szCs w:val="24"/>
          <w:highlight w:val="none"/>
          <w:lang w:val="en-US" w:eastAsia="zh-CN"/>
        </w:rPr>
        <w:t xml:space="preserve">委托人</w:t>
      </w:r>
      <w:r>
        <w:rPr>
          <w:rFonts w:hint="eastAsia" w:ascii="宋体" w:hAnsi="宋体" w:eastAsia="宋体" w:cs="仿宋"/>
          <w:color w:val="000000"/>
          <w:sz w:val="24"/>
          <w:szCs w:val="24"/>
          <w:highlight w:val="none"/>
        </w:rPr>
        <w:t xml:space="preserve">（签字或盖章）：</w:t>
      </w:r>
      <w:r>
        <w:rPr>
          <w:rFonts w:hint="eastAsia" w:ascii="宋体" w:hAnsi="宋体" w:eastAsia="宋体" w:cs="仿宋"/>
          <w:color w:val="000000"/>
          <w:sz w:val="24"/>
          <w:szCs w:val="24"/>
          <w:highlight w:val="none"/>
        </w:rPr>
      </w:r>
      <w:r/>
    </w:p>
    <w:p>
      <w:pPr>
        <w:pStyle w:val="1278"/>
        <w:ind w:firstLine="5040"/>
        <w:jc w:val="right"/>
        <w:rPr>
          <w:rFonts w:ascii="宋体" w:hAnsi="宋体" w:eastAsia="宋体"/>
          <w:b/>
          <w:bCs/>
          <w:color w:val="000000"/>
          <w:sz w:val="24"/>
          <w:szCs w:val="24"/>
          <w:highlight w:val="none"/>
        </w:rPr>
      </w:pPr>
      <w:r>
        <w:rPr>
          <w:rFonts w:ascii="宋体" w:hAnsi="宋体" w:eastAsia="宋体"/>
          <w:color w:val="000000"/>
          <w:sz w:val="24"/>
          <w:szCs w:val="24"/>
          <w:highlight w:val="none"/>
        </w:rPr>
        <w:t xml:space="preserve">日 期：   年   月   日</w:t>
      </w:r>
      <w:r>
        <w:rPr>
          <w:rFonts w:ascii="宋体" w:hAnsi="宋体" w:eastAsia="宋体"/>
          <w:b/>
          <w:bCs/>
          <w:color w:val="000000"/>
          <w:sz w:val="24"/>
          <w:szCs w:val="24"/>
          <w:highlight w:val="none"/>
        </w:rPr>
      </w:r>
      <w:r/>
    </w:p>
    <w:p>
      <w:pPr>
        <w:pStyle w:val="1011"/>
        <w:rPr>
          <w:rFonts w:hint="eastAsia" w:ascii="宋体" w:hAnsi="宋体" w:eastAsia="宋体" w:cs="仿宋"/>
          <w:b/>
          <w:color w:val="000000"/>
          <w:sz w:val="32"/>
          <w:szCs w:val="32"/>
          <w:highlight w:val="none"/>
        </w:rPr>
      </w:pPr>
      <w:r>
        <w:rPr>
          <w:rFonts w:hint="eastAsia" w:ascii="宋体" w:hAnsi="宋体" w:eastAsia="宋体" w:cs="仿宋"/>
          <w:b/>
          <w:color w:val="000000"/>
          <w:sz w:val="32"/>
          <w:szCs w:val="32"/>
          <w:highlight w:val="none"/>
        </w:rPr>
        <w:br w:type="page" w:clear="all"/>
      </w:r>
      <w:r>
        <w:rPr>
          <w:rFonts w:hint="eastAsia" w:ascii="宋体" w:hAnsi="宋体" w:eastAsia="宋体" w:cs="仿宋"/>
          <w:b/>
          <w:color w:val="000000"/>
          <w:sz w:val="32"/>
          <w:szCs w:val="32"/>
          <w:highlight w:val="none"/>
        </w:rPr>
      </w:r>
      <w:r/>
    </w:p>
    <w:p>
      <w:pPr>
        <w:pStyle w:val="1011"/>
        <w:jc w:val="center"/>
        <w:rPr>
          <w:rFonts w:hint="eastAsia" w:ascii="宋体" w:hAnsi="宋体" w:eastAsia="宋体" w:cs="仿宋"/>
          <w:b/>
          <w:color w:val="000000"/>
          <w:sz w:val="32"/>
          <w:szCs w:val="32"/>
          <w:highlight w:val="none"/>
        </w:rPr>
        <w:outlineLvl w:val="0"/>
      </w:pPr>
      <w:r>
        <w:rPr>
          <w:rFonts w:hint="eastAsia" w:ascii="宋体" w:hAnsi="宋体" w:eastAsia="宋体" w:cs="仿宋"/>
          <w:b/>
          <w:color w:val="000000"/>
          <w:sz w:val="32"/>
          <w:szCs w:val="32"/>
          <w:highlight w:val="none"/>
        </w:rPr>
        <w:t xml:space="preserve">关于参加采购活动前3年内在经营活动中没有重大违法记录的书面声明</w:t>
      </w:r>
      <w:r>
        <w:rPr>
          <w:rFonts w:hint="eastAsia" w:ascii="宋体" w:hAnsi="宋体" w:eastAsia="宋体" w:cs="仿宋"/>
          <w:b/>
          <w:color w:val="000000"/>
          <w:sz w:val="32"/>
          <w:szCs w:val="32"/>
          <w:highlight w:val="none"/>
        </w:rPr>
      </w:r>
      <w:r/>
    </w:p>
    <w:p>
      <w:pPr>
        <w:pStyle w:val="1011"/>
        <w:jc w:val="center"/>
        <w:rPr>
          <w:rFonts w:hint="eastAsia" w:ascii="宋体" w:hAnsi="宋体" w:eastAsia="宋体" w:cs="仿宋"/>
          <w:bCs/>
          <w:color w:val="000000"/>
          <w:sz w:val="32"/>
          <w:highlight w:val="none"/>
        </w:rPr>
      </w:pPr>
      <w:r>
        <w:rPr>
          <w:rFonts w:hint="eastAsia" w:ascii="宋体" w:hAnsi="宋体" w:eastAsia="宋体" w:cs="仿宋"/>
          <w:bCs/>
          <w:color w:val="000000"/>
          <w:sz w:val="32"/>
          <w:highlight w:val="none"/>
        </w:rPr>
      </w:r>
      <w:r/>
    </w:p>
    <w:p>
      <w:pPr>
        <w:pStyle w:val="1290"/>
        <w:ind w:left="0"/>
        <w:spacing w:after="0" w:line="360" w:lineRule="auto"/>
        <w:rPr>
          <w:rFonts w:hint="eastAsia" w:ascii="宋体" w:hAnsi="宋体" w:eastAsia="宋体" w:cs="仿宋"/>
          <w:bCs/>
          <w:iCs/>
          <w:color w:val="000000"/>
          <w:sz w:val="24"/>
          <w:szCs w:val="24"/>
          <w:highlight w:val="none"/>
          <w:u w:val="single"/>
        </w:rPr>
      </w:pPr>
      <w:r>
        <w:rPr>
          <w:rFonts w:hint="eastAsia" w:ascii="宋体" w:hAnsi="宋体" w:eastAsia="宋体" w:cs="仿宋"/>
          <w:bCs/>
          <w:iCs/>
          <w:color w:val="000000"/>
          <w:sz w:val="24"/>
          <w:szCs w:val="24"/>
          <w:highlight w:val="none"/>
          <w:u w:val="single"/>
        </w:rPr>
        <w:t xml:space="preserve">                   ：</w:t>
      </w:r>
      <w:r>
        <w:rPr>
          <w:rFonts w:hint="eastAsia" w:ascii="宋体" w:hAnsi="宋体" w:eastAsia="宋体" w:cs="仿宋"/>
          <w:bCs/>
          <w:iCs/>
          <w:color w:val="000000"/>
          <w:sz w:val="24"/>
          <w:szCs w:val="24"/>
          <w:highlight w:val="none"/>
          <w:u w:val="single"/>
        </w:rPr>
      </w:r>
      <w:r/>
    </w:p>
    <w:p>
      <w:pPr>
        <w:pStyle w:val="1011"/>
        <w:ind w:firstLine="480"/>
        <w:spacing w:line="360" w:lineRule="auto"/>
        <w:rPr>
          <w:rFonts w:hint="eastAsia" w:ascii="宋体" w:hAnsi="宋体" w:eastAsia="宋体" w:cs="仿宋"/>
          <w:bCs/>
          <w:color w:val="000000"/>
          <w:sz w:val="24"/>
          <w:szCs w:val="24"/>
          <w:highlight w:val="none"/>
        </w:rPr>
      </w:pPr>
      <w:r>
        <w:rPr>
          <w:rFonts w:hint="eastAsia" w:ascii="宋体" w:hAnsi="宋体" w:eastAsia="宋体" w:cs="仿宋"/>
          <w:color w:val="000000"/>
          <w:sz w:val="24"/>
          <w:szCs w:val="24"/>
          <w:highlight w:val="none"/>
        </w:rPr>
        <w:t xml:space="preserve">我公司（单位）参加本次项目（    ）采购活动前三年内，在经营活动中没有重大违法记录，我公司（单位）愿针对本次项目（    ）进行投标，投标文件中所有关于投标资格的文件、证明、陈述均是真实的、准确的。若有违背，我</w:t>
      </w:r>
      <w:r>
        <w:rPr>
          <w:rFonts w:hint="eastAsia" w:ascii="宋体" w:hAnsi="宋体" w:eastAsia="宋体" w:cs="仿宋"/>
          <w:color w:val="000000"/>
          <w:sz w:val="24"/>
          <w:szCs w:val="24"/>
          <w:highlight w:val="none"/>
          <w:u w:val="single"/>
        </w:rPr>
        <w:t xml:space="preserve">公司（单位）</w:t>
      </w:r>
      <w:r>
        <w:rPr>
          <w:rFonts w:hint="eastAsia" w:ascii="宋体" w:hAnsi="宋体" w:eastAsia="宋体" w:cs="仿宋"/>
          <w:color w:val="000000"/>
          <w:sz w:val="24"/>
          <w:szCs w:val="24"/>
          <w:highlight w:val="none"/>
        </w:rPr>
        <w:t xml:space="preserve">愿意承担由此而产生的一切后果。</w:t>
      </w:r>
      <w:r>
        <w:rPr>
          <w:rFonts w:hint="eastAsia" w:ascii="宋体" w:hAnsi="宋体" w:eastAsia="宋体" w:cs="仿宋"/>
          <w:bCs/>
          <w:color w:val="000000"/>
          <w:sz w:val="24"/>
          <w:szCs w:val="24"/>
          <w:highlight w:val="none"/>
        </w:rPr>
      </w:r>
      <w:r/>
    </w:p>
    <w:p>
      <w:pPr>
        <w:pStyle w:val="1011"/>
        <w:spacing w:line="480" w:lineRule="auto"/>
        <w:rPr>
          <w:rFonts w:hint="eastAsia" w:ascii="宋体" w:hAnsi="宋体" w:eastAsia="宋体" w:cs="仿宋"/>
          <w:bCs/>
          <w:color w:val="000000"/>
          <w:sz w:val="28"/>
          <w:szCs w:val="28"/>
          <w:highlight w:val="none"/>
        </w:rPr>
      </w:pPr>
      <w:r>
        <w:rPr>
          <w:rFonts w:hint="eastAsia" w:ascii="宋体" w:hAnsi="宋体" w:eastAsia="宋体" w:cs="仿宋"/>
          <w:bCs/>
          <w:color w:val="000000"/>
          <w:sz w:val="28"/>
          <w:szCs w:val="28"/>
          <w:highlight w:val="none"/>
        </w:rPr>
      </w:r>
      <w:r/>
    </w:p>
    <w:p>
      <w:pPr>
        <w:pStyle w:val="1011"/>
        <w:ind w:firstLine="3153"/>
        <w:jc w:val="right"/>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val="en-US" w:eastAsia="zh-CN"/>
        </w:rPr>
        <w:t xml:space="preserve">供应商</w:t>
      </w:r>
      <w:r>
        <w:rPr>
          <w:rFonts w:hint="eastAsia" w:ascii="宋体" w:hAnsi="宋体" w:eastAsia="宋体" w:cs="仿宋"/>
          <w:color w:val="000000"/>
          <w:sz w:val="24"/>
          <w:szCs w:val="24"/>
          <w:highlight w:val="none"/>
        </w:rPr>
        <w:t xml:space="preserve">（加盖CA电子公章）：</w:t>
      </w:r>
      <w:r>
        <w:rPr>
          <w:rFonts w:hint="eastAsia" w:ascii="宋体" w:hAnsi="宋体" w:eastAsia="宋体" w:cs="仿宋"/>
          <w:color w:val="000000"/>
          <w:sz w:val="24"/>
          <w:szCs w:val="24"/>
          <w:highlight w:val="none"/>
        </w:rPr>
      </w:r>
      <w:r/>
    </w:p>
    <w:p>
      <w:pPr>
        <w:pStyle w:val="1011"/>
        <w:ind w:firstLine="480"/>
        <w:jc w:val="right"/>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lang w:val="en-US" w:eastAsia="zh-CN"/>
        </w:rPr>
        <w:t xml:space="preserve">   </w:t>
      </w:r>
      <w:r>
        <w:rPr>
          <w:rFonts w:hint="eastAsia" w:ascii="宋体" w:hAnsi="宋体" w:eastAsia="宋体" w:cs="仿宋"/>
          <w:color w:val="000000"/>
          <w:sz w:val="24"/>
          <w:szCs w:val="24"/>
          <w:highlight w:val="none"/>
        </w:rPr>
        <w:t xml:space="preserve">法定代表人或授权</w:t>
      </w:r>
      <w:r>
        <w:rPr>
          <w:rFonts w:hint="eastAsia" w:ascii="宋体" w:hAnsi="宋体" w:eastAsia="宋体" w:cs="仿宋"/>
          <w:color w:val="000000"/>
          <w:sz w:val="24"/>
          <w:szCs w:val="24"/>
          <w:highlight w:val="none"/>
          <w:lang w:val="en-US" w:eastAsia="zh-CN"/>
        </w:rPr>
        <w:t xml:space="preserve">委托人</w:t>
      </w:r>
      <w:r>
        <w:rPr>
          <w:rFonts w:hint="eastAsia" w:ascii="宋体" w:hAnsi="宋体" w:eastAsia="宋体" w:cs="仿宋"/>
          <w:color w:val="000000"/>
          <w:sz w:val="24"/>
          <w:szCs w:val="24"/>
          <w:highlight w:val="none"/>
        </w:rPr>
        <w:t xml:space="preserve">（签字或盖章）：</w:t>
      </w:r>
      <w:r>
        <w:rPr>
          <w:rFonts w:hint="eastAsia" w:ascii="宋体" w:hAnsi="宋体" w:eastAsia="宋体" w:cs="仿宋"/>
          <w:color w:val="000000"/>
          <w:sz w:val="24"/>
          <w:szCs w:val="24"/>
          <w:highlight w:val="none"/>
        </w:rPr>
      </w:r>
      <w:r/>
    </w:p>
    <w:p>
      <w:pPr>
        <w:pStyle w:val="1011"/>
        <w:ind w:firstLine="480"/>
        <w:jc w:val="right"/>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                                    日期：</w:t>
      </w:r>
      <w:r>
        <w:rPr>
          <w:rFonts w:hint="eastAsia" w:ascii="宋体" w:hAnsi="宋体" w:eastAsia="宋体" w:cs="仿宋"/>
          <w:color w:val="000000"/>
          <w:sz w:val="24"/>
          <w:szCs w:val="24"/>
          <w:highlight w:val="none"/>
        </w:rPr>
      </w:r>
      <w:r/>
    </w:p>
    <w:p>
      <w:pPr>
        <w:pStyle w:val="1011"/>
        <w:ind w:firstLine="480"/>
        <w:jc w:val="right"/>
        <w:spacing w:line="52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276"/>
        <w:ind w:firstLine="480"/>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276"/>
        <w:ind w:firstLine="480"/>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276"/>
        <w:ind w:firstLine="480"/>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276"/>
        <w:ind w:firstLine="480"/>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011"/>
        <w:rPr>
          <w:rStyle w:val="1288"/>
          <w:rFonts w:hint="eastAsia" w:ascii="宋体" w:hAnsi="宋体" w:eastAsia="宋体" w:cs="宋体"/>
          <w:b w:val="0"/>
          <w:color w:val="000000"/>
          <w:sz w:val="32"/>
          <w:szCs w:val="15"/>
          <w:highlight w:val="none"/>
        </w:rPr>
      </w:pPr>
      <w:r>
        <w:rPr>
          <w:rStyle w:val="1288"/>
          <w:rFonts w:hint="eastAsia" w:ascii="宋体" w:hAnsi="宋体" w:eastAsia="宋体" w:cs="宋体"/>
          <w:b w:val="0"/>
          <w:color w:val="000000"/>
          <w:sz w:val="32"/>
          <w:szCs w:val="15"/>
          <w:highlight w:val="none"/>
        </w:rPr>
      </w:r>
      <w:r/>
    </w:p>
    <w:p>
      <w:pPr>
        <w:pStyle w:val="1011"/>
        <w:jc w:val="center"/>
        <w:rPr>
          <w:rFonts w:ascii="宋体" w:hAnsi="宋体" w:eastAsia="宋体" w:cs="宋体"/>
          <w:color w:val="000000"/>
          <w:highlight w:val="none"/>
          <w:lang w:eastAsia="zh-CN"/>
        </w:rPr>
      </w:pPr>
      <w:r>
        <w:rPr>
          <w:rStyle w:val="1288"/>
          <w:rFonts w:hint="eastAsia" w:ascii="宋体" w:hAnsi="宋体" w:eastAsia="宋体" w:cs="仿宋"/>
          <w:b w:val="0"/>
          <w:color w:val="000000"/>
          <w:sz w:val="32"/>
          <w:szCs w:val="15"/>
          <w:highlight w:val="none"/>
        </w:rPr>
        <w:br w:type="page" w:clear="all"/>
      </w:r>
      <w:bookmarkStart w:id="55" w:name="_Toc169184846"/>
      <w:r>
        <w:rPr>
          <w:rFonts w:hint="eastAsia" w:ascii="宋体" w:hAnsi="宋体" w:eastAsia="宋体" w:cs="宋体"/>
          <w:color w:val="000000"/>
          <w:highlight w:val="none"/>
          <w:lang w:eastAsia="zh-CN"/>
        </w:rPr>
        <w:t xml:space="preserve">小微企业声明函（格式）：</w:t>
      </w:r>
      <w:bookmarkEnd w:id="55"/>
      <w:r>
        <w:rPr>
          <w:rFonts w:ascii="宋体" w:hAnsi="宋体" w:eastAsia="宋体" w:cs="宋体"/>
          <w:color w:val="000000"/>
          <w:highlight w:val="none"/>
          <w:lang w:eastAsia="zh-CN"/>
        </w:rPr>
      </w:r>
      <w:r/>
    </w:p>
    <w:p>
      <w:pPr>
        <w:pStyle w:val="1062"/>
        <w:jc w:val="center"/>
        <w:spacing w:before="0" w:beforeAutospacing="0" w:after="0" w:afterAutospacing="0" w:line="460" w:lineRule="atLeast"/>
        <w:rPr>
          <w:color w:val="000000"/>
          <w:highlight w:val="none"/>
          <w:lang w:eastAsia="zh-CN"/>
        </w:rPr>
      </w:pPr>
      <w:r>
        <w:rPr>
          <w:rFonts w:ascii="黑体" w:eastAsia="黑体" w:cs="黑体"/>
          <w:b/>
          <w:bCs/>
          <w:color w:val="000000"/>
          <w:sz w:val="32"/>
          <w:szCs w:val="32"/>
          <w:highlight w:val="none"/>
          <w:lang w:eastAsia="zh-CN"/>
        </w:rPr>
        <w:t xml:space="preserve">中小企业声明函（服务）</w:t>
      </w:r>
      <w:r>
        <w:rPr>
          <w:color w:val="000000"/>
          <w:highlight w:val="none"/>
          <w:lang w:eastAsia="zh-CN"/>
        </w:rPr>
      </w:r>
      <w:r/>
    </w:p>
    <w:p>
      <w:pPr>
        <w:pStyle w:val="1062"/>
        <w:ind w:firstLine="360"/>
        <w:jc w:val="both"/>
        <w:spacing w:before="0" w:beforeAutospacing="0" w:after="0" w:afterAutospacing="0" w:line="559" w:lineRule="atLeast"/>
        <w:rPr>
          <w:color w:val="000000"/>
          <w:highlight w:val="none"/>
          <w:lang w:eastAsia="zh-CN"/>
        </w:rPr>
      </w:pPr>
      <w:r>
        <w:rPr>
          <w:rFonts w:eastAsia="宋体" w:cs="宋体"/>
          <w:color w:val="000000"/>
          <w:highlight w:val="none"/>
          <w:lang w:eastAsia="zh-CN"/>
        </w:rPr>
        <w:t xml:space="preserve">本公司（联合体）郑重声明，根据《政府采购促进中小企业发展管理办法》（财库﹝2020﹞46 号）的规定，本公司（联合体）参加</w:t>
      </w:r>
      <w:r>
        <w:rPr>
          <w:rFonts w:eastAsia="宋体" w:cs="宋体"/>
          <w:color w:val="000000"/>
          <w:highlight w:val="none"/>
          <w:u w:val="single"/>
          <w:lang w:eastAsia="zh-CN"/>
        </w:rPr>
        <w:t xml:space="preserve">（采购单位名称）</w:t>
      </w:r>
      <w:r>
        <w:rPr>
          <w:rFonts w:eastAsia="宋体" w:cs="宋体"/>
          <w:color w:val="000000"/>
          <w:highlight w:val="none"/>
          <w:lang w:eastAsia="zh-CN"/>
        </w:rPr>
        <w:t xml:space="preserve">的</w:t>
      </w:r>
      <w:r>
        <w:rPr>
          <w:rFonts w:eastAsia="宋体" w:cs="宋体"/>
          <w:color w:val="000000"/>
          <w:highlight w:val="none"/>
          <w:u w:val="single"/>
          <w:lang w:eastAsia="zh-CN"/>
        </w:rPr>
        <w:t xml:space="preserve">（项目名称）</w:t>
      </w:r>
      <w:r>
        <w:rPr>
          <w:rFonts w:eastAsia="宋体" w:cs="宋体"/>
          <w:color w:val="000000"/>
          <w:highlight w:val="none"/>
          <w:lang w:eastAsia="zh-CN"/>
        </w:rPr>
        <w:t xml:space="preserve">采购活动，服务全部由符合政策要求的中小企业承接。相关企业（含联合体中的中小企业、签订分包意向协议的中小企业）的具体情况如下：</w:t>
      </w:r>
      <w:r>
        <w:rPr>
          <w:color w:val="000000"/>
          <w:highlight w:val="none"/>
          <w:lang w:eastAsia="zh-CN"/>
        </w:rPr>
      </w:r>
      <w:r/>
    </w:p>
    <w:p>
      <w:pPr>
        <w:pStyle w:val="1062"/>
        <w:ind w:firstLine="360"/>
        <w:jc w:val="both"/>
        <w:spacing w:before="0" w:beforeAutospacing="0" w:after="0" w:afterAutospacing="0" w:line="559" w:lineRule="atLeast"/>
        <w:rPr>
          <w:color w:val="000000"/>
          <w:highlight w:val="none"/>
          <w:lang w:eastAsia="zh-CN"/>
        </w:rPr>
      </w:pPr>
      <w:r>
        <w:rPr>
          <w:rFonts w:eastAsia="宋体" w:cs="宋体"/>
          <w:color w:val="000000"/>
          <w:highlight w:val="none"/>
          <w:lang w:eastAsia="zh-CN"/>
        </w:rPr>
        <w:t xml:space="preserve">1.（标的名称），属于（采购文件中明确的所属行业）；承接企业为（企业名称），从业人员</w:t>
      </w:r>
      <w:r>
        <w:rPr>
          <w:rFonts w:eastAsia="宋体" w:cs="宋体"/>
          <w:color w:val="000000"/>
          <w:highlight w:val="none"/>
          <w:u w:val="single"/>
          <w:lang w:eastAsia="zh-CN"/>
        </w:rPr>
        <w:t xml:space="preserve">  </w:t>
      </w:r>
      <w:r>
        <w:rPr>
          <w:rFonts w:eastAsia="宋体" w:cs="宋体"/>
          <w:color w:val="000000"/>
          <w:highlight w:val="none"/>
          <w:lang w:eastAsia="zh-CN"/>
        </w:rPr>
        <w:t xml:space="preserve">人，营业收入为</w:t>
      </w:r>
      <w:r>
        <w:rPr>
          <w:rFonts w:eastAsia="宋体" w:cs="宋体"/>
          <w:color w:val="000000"/>
          <w:highlight w:val="none"/>
          <w:u w:val="single"/>
          <w:lang w:eastAsia="zh-CN"/>
        </w:rPr>
        <w:t xml:space="preserve">    </w:t>
      </w:r>
      <w:r>
        <w:rPr>
          <w:rFonts w:eastAsia="宋体" w:cs="宋体"/>
          <w:color w:val="000000"/>
          <w:highlight w:val="none"/>
          <w:lang w:eastAsia="zh-CN"/>
        </w:rPr>
        <w:t xml:space="preserve">万元，资产总额为</w:t>
      </w:r>
      <w:r>
        <w:rPr>
          <w:rFonts w:eastAsia="宋体" w:cs="宋体"/>
          <w:color w:val="000000"/>
          <w:highlight w:val="none"/>
          <w:u w:val="single"/>
          <w:lang w:eastAsia="zh-CN"/>
        </w:rPr>
        <w:t xml:space="preserve"> </w:t>
      </w:r>
      <w:r>
        <w:rPr>
          <w:rFonts w:eastAsia="宋体" w:cs="宋体"/>
          <w:color w:val="000000"/>
          <w:highlight w:val="none"/>
          <w:lang w:eastAsia="zh-CN"/>
        </w:rPr>
        <w:t xml:space="preserve">万元，属于（</w:t>
      </w:r>
      <w:r>
        <w:rPr>
          <w:rFonts w:eastAsia="宋体" w:cs="宋体"/>
          <w:color w:val="000000"/>
          <w:highlight w:val="none"/>
          <w:u w:val="single"/>
          <w:lang w:eastAsia="zh-CN"/>
        </w:rPr>
        <w:t xml:space="preserve">中型企业、小型企业、微型企业</w:t>
      </w:r>
      <w:r>
        <w:rPr>
          <w:rFonts w:eastAsia="宋体" w:cs="宋体"/>
          <w:color w:val="000000"/>
          <w:highlight w:val="none"/>
          <w:lang w:eastAsia="zh-CN"/>
        </w:rPr>
        <w:t xml:space="preserve">）；</w:t>
      </w:r>
      <w:r>
        <w:rPr>
          <w:color w:val="000000"/>
          <w:highlight w:val="none"/>
          <w:lang w:eastAsia="zh-CN"/>
        </w:rPr>
      </w:r>
      <w:r/>
    </w:p>
    <w:p>
      <w:pPr>
        <w:pStyle w:val="1062"/>
        <w:ind w:firstLine="360"/>
        <w:jc w:val="both"/>
        <w:spacing w:before="0" w:beforeAutospacing="0" w:after="0" w:afterAutospacing="0" w:line="559" w:lineRule="atLeast"/>
        <w:rPr>
          <w:color w:val="000000"/>
          <w:highlight w:val="none"/>
          <w:lang w:eastAsia="zh-CN"/>
        </w:rPr>
      </w:pPr>
      <w:r>
        <w:rPr>
          <w:rFonts w:eastAsia="宋体" w:cs="宋体"/>
          <w:color w:val="000000"/>
          <w:highlight w:val="none"/>
          <w:lang w:eastAsia="zh-CN"/>
        </w:rPr>
        <w:t xml:space="preserve">2.（标的名称），属于（采购文件中明确的所属行业）；承接企业为（企业名称），从业人员</w:t>
      </w:r>
      <w:r>
        <w:rPr>
          <w:rFonts w:eastAsia="宋体" w:cs="宋体"/>
          <w:color w:val="000000"/>
          <w:highlight w:val="none"/>
          <w:u w:val="single"/>
          <w:lang w:eastAsia="zh-CN"/>
        </w:rPr>
        <w:t xml:space="preserve">  </w:t>
      </w:r>
      <w:r>
        <w:rPr>
          <w:rFonts w:eastAsia="宋体" w:cs="宋体"/>
          <w:color w:val="000000"/>
          <w:highlight w:val="none"/>
          <w:lang w:eastAsia="zh-CN"/>
        </w:rPr>
        <w:t xml:space="preserve">人，营业收入为</w:t>
      </w:r>
      <w:r>
        <w:rPr>
          <w:rFonts w:eastAsia="宋体" w:cs="宋体"/>
          <w:color w:val="000000"/>
          <w:highlight w:val="none"/>
          <w:u w:val="single"/>
          <w:lang w:eastAsia="zh-CN"/>
        </w:rPr>
        <w:t xml:space="preserve">      </w:t>
      </w:r>
      <w:r>
        <w:rPr>
          <w:rFonts w:eastAsia="宋体" w:cs="宋体"/>
          <w:color w:val="000000"/>
          <w:highlight w:val="none"/>
          <w:lang w:eastAsia="zh-CN"/>
        </w:rPr>
        <w:t xml:space="preserve">万元，资产总额为</w:t>
      </w:r>
      <w:r>
        <w:rPr>
          <w:rFonts w:eastAsia="宋体" w:cs="宋体"/>
          <w:color w:val="000000"/>
          <w:highlight w:val="none"/>
          <w:u w:val="single"/>
          <w:lang w:eastAsia="zh-CN"/>
        </w:rPr>
        <w:t xml:space="preserve"> </w:t>
      </w:r>
      <w:r>
        <w:rPr>
          <w:rFonts w:eastAsia="宋体" w:cs="宋体"/>
          <w:color w:val="000000"/>
          <w:highlight w:val="none"/>
          <w:lang w:eastAsia="zh-CN"/>
        </w:rPr>
        <w:t xml:space="preserve">万元，属于（</w:t>
      </w:r>
      <w:r>
        <w:rPr>
          <w:rFonts w:eastAsia="宋体" w:cs="宋体"/>
          <w:color w:val="000000"/>
          <w:highlight w:val="none"/>
          <w:u w:val="single"/>
          <w:lang w:eastAsia="zh-CN"/>
        </w:rPr>
        <w:t xml:space="preserve">中型企业、小型企业、微型企业</w:t>
      </w:r>
      <w:r>
        <w:rPr>
          <w:rFonts w:eastAsia="宋体" w:cs="宋体"/>
          <w:color w:val="000000"/>
          <w:highlight w:val="none"/>
          <w:lang w:eastAsia="zh-CN"/>
        </w:rPr>
        <w:t xml:space="preserve">）；</w:t>
      </w:r>
      <w:r>
        <w:rPr>
          <w:color w:val="000000"/>
          <w:highlight w:val="none"/>
          <w:lang w:eastAsia="zh-CN"/>
        </w:rPr>
      </w:r>
      <w:r/>
    </w:p>
    <w:p>
      <w:pPr>
        <w:pStyle w:val="1062"/>
        <w:ind w:firstLine="360"/>
        <w:jc w:val="both"/>
        <w:spacing w:before="0" w:beforeAutospacing="0" w:after="0" w:afterAutospacing="0" w:line="559" w:lineRule="atLeast"/>
        <w:rPr>
          <w:color w:val="000000"/>
          <w:highlight w:val="none"/>
          <w:lang w:eastAsia="zh-CN"/>
        </w:rPr>
      </w:pPr>
      <w:r>
        <w:rPr>
          <w:rFonts w:eastAsia="宋体" w:cs="宋体"/>
          <w:color w:val="000000"/>
          <w:highlight w:val="none"/>
          <w:lang w:eastAsia="zh-CN"/>
        </w:rPr>
        <w:t xml:space="preserve">……</w:t>
      </w:r>
      <w:r>
        <w:rPr>
          <w:color w:val="000000"/>
          <w:highlight w:val="none"/>
          <w:lang w:eastAsia="zh-CN"/>
        </w:rPr>
      </w:r>
      <w:r/>
    </w:p>
    <w:p>
      <w:pPr>
        <w:pStyle w:val="1062"/>
        <w:ind w:firstLine="360"/>
        <w:jc w:val="both"/>
        <w:spacing w:before="0" w:beforeAutospacing="0" w:after="0" w:afterAutospacing="0" w:line="559" w:lineRule="atLeast"/>
        <w:rPr>
          <w:color w:val="000000"/>
          <w:highlight w:val="none"/>
          <w:lang w:eastAsia="zh-CN"/>
        </w:rPr>
      </w:pPr>
      <w:r>
        <w:rPr>
          <w:rFonts w:eastAsia="宋体" w:cs="宋体"/>
          <w:color w:val="000000"/>
          <w:highlight w:val="none"/>
          <w:lang w:eastAsia="zh-CN"/>
        </w:rPr>
        <w:t xml:space="preserve">以上企业，不属于大企业的分支机构，不存在控股股东为大企业的情形，也不存在与大企业的负责人为同一人的情形。</w:t>
      </w:r>
      <w:r>
        <w:rPr>
          <w:color w:val="000000"/>
          <w:highlight w:val="none"/>
          <w:lang w:eastAsia="zh-CN"/>
        </w:rPr>
      </w:r>
      <w:r/>
    </w:p>
    <w:p>
      <w:pPr>
        <w:pStyle w:val="1062"/>
        <w:ind w:firstLine="360"/>
        <w:jc w:val="both"/>
        <w:spacing w:before="0" w:beforeAutospacing="0" w:after="0" w:afterAutospacing="0" w:line="559" w:lineRule="atLeast"/>
        <w:rPr>
          <w:color w:val="000000"/>
          <w:highlight w:val="none"/>
          <w:lang w:eastAsia="zh-CN"/>
        </w:rPr>
      </w:pPr>
      <w:r>
        <w:rPr>
          <w:rFonts w:eastAsia="宋体" w:cs="宋体"/>
          <w:color w:val="000000"/>
          <w:highlight w:val="none"/>
          <w:lang w:eastAsia="zh-CN"/>
        </w:rPr>
        <w:t xml:space="preserve">本企业对上述声明内容的真实性负责。如有虚假，将依法承担相应责任。</w:t>
      </w:r>
      <w:r>
        <w:rPr>
          <w:color w:val="000000"/>
          <w:highlight w:val="none"/>
          <w:lang w:eastAsia="zh-CN"/>
        </w:rPr>
      </w:r>
      <w:r/>
    </w:p>
    <w:p>
      <w:pPr>
        <w:pStyle w:val="1062"/>
        <w:ind w:firstLine="360"/>
        <w:jc w:val="both"/>
        <w:spacing w:before="0" w:beforeAutospacing="0" w:after="0" w:afterAutospacing="0" w:line="559" w:lineRule="atLeast"/>
        <w:rPr>
          <w:color w:val="000000"/>
          <w:highlight w:val="none"/>
          <w:lang w:eastAsia="zh-CN"/>
        </w:rPr>
      </w:pPr>
      <w:r>
        <w:rPr>
          <w:rFonts w:eastAsia="宋体" w:cs="宋体"/>
          <w:color w:val="000000"/>
          <w:highlight w:val="none"/>
          <w:lang w:eastAsia="zh-CN"/>
        </w:rPr>
        <w:t xml:space="preserve"> </w:t>
      </w:r>
      <w:r>
        <w:rPr>
          <w:color w:val="000000"/>
          <w:highlight w:val="none"/>
          <w:lang w:eastAsia="zh-CN"/>
        </w:rPr>
      </w:r>
      <w:r/>
    </w:p>
    <w:p>
      <w:pPr>
        <w:pStyle w:val="1011"/>
        <w:ind w:firstLine="3153"/>
        <w:jc w:val="right"/>
        <w:spacing w:line="480" w:lineRule="auto"/>
        <w:rPr>
          <w:rFonts w:hint="eastAsia" w:ascii="宋体" w:hAnsi="宋体" w:eastAsia="宋体" w:cs="仿宋"/>
          <w:color w:val="000000"/>
          <w:sz w:val="24"/>
          <w:szCs w:val="24"/>
          <w:highlight w:val="none"/>
        </w:rPr>
      </w:pPr>
      <w:r>
        <w:rPr>
          <w:rFonts w:eastAsia="宋体" w:cs="宋体"/>
          <w:color w:val="000000"/>
          <w:highlight w:val="none"/>
          <w:lang w:eastAsia="zh-CN"/>
        </w:rPr>
        <w:t xml:space="preserve">               </w:t>
      </w:r>
      <w:r>
        <w:rPr>
          <w:rFonts w:hint="eastAsia" w:ascii="宋体" w:hAnsi="宋体" w:eastAsia="宋体" w:cs="仿宋"/>
          <w:color w:val="000000"/>
          <w:sz w:val="24"/>
          <w:szCs w:val="24"/>
          <w:highlight w:val="none"/>
          <w:lang w:val="en-US" w:eastAsia="zh-CN"/>
        </w:rPr>
        <w:t xml:space="preserve">投标人</w:t>
      </w:r>
      <w:r>
        <w:rPr>
          <w:rFonts w:hint="eastAsia" w:ascii="宋体" w:hAnsi="宋体" w:eastAsia="宋体" w:cs="仿宋"/>
          <w:color w:val="000000"/>
          <w:sz w:val="24"/>
          <w:szCs w:val="24"/>
          <w:highlight w:val="none"/>
        </w:rPr>
        <w:t xml:space="preserve">（加盖CA电子公章）：</w:t>
      </w:r>
      <w:r>
        <w:rPr>
          <w:rFonts w:hint="eastAsia" w:ascii="宋体" w:hAnsi="宋体" w:eastAsia="宋体" w:cs="仿宋"/>
          <w:color w:val="000000"/>
          <w:sz w:val="24"/>
          <w:szCs w:val="24"/>
          <w:highlight w:val="none"/>
        </w:rPr>
      </w:r>
      <w:r/>
    </w:p>
    <w:p>
      <w:pPr>
        <w:pStyle w:val="1011"/>
        <w:ind w:firstLine="480"/>
        <w:jc w:val="right"/>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lang w:val="en-US" w:eastAsia="zh-CN"/>
        </w:rPr>
        <w:t xml:space="preserve">   </w:t>
      </w:r>
      <w:r>
        <w:rPr>
          <w:rFonts w:hint="eastAsia" w:ascii="宋体" w:hAnsi="宋体" w:eastAsia="宋体" w:cs="仿宋"/>
          <w:color w:val="000000"/>
          <w:sz w:val="24"/>
          <w:szCs w:val="24"/>
          <w:highlight w:val="none"/>
        </w:rPr>
        <w:t xml:space="preserve">法定代表人或法定代表人授权代表（签字或盖章）：</w:t>
      </w:r>
      <w:r>
        <w:rPr>
          <w:rFonts w:hint="eastAsia" w:ascii="宋体" w:hAnsi="宋体" w:eastAsia="宋体" w:cs="仿宋"/>
          <w:color w:val="000000"/>
          <w:sz w:val="24"/>
          <w:szCs w:val="24"/>
          <w:highlight w:val="none"/>
        </w:rPr>
      </w:r>
      <w:r/>
    </w:p>
    <w:p>
      <w:pPr>
        <w:pStyle w:val="1011"/>
        <w:ind w:firstLine="480"/>
        <w:jc w:val="right"/>
        <w:spacing w:line="480" w:lineRule="auto"/>
        <w:rPr>
          <w:color w:val="000000"/>
          <w:highlight w:val="none"/>
          <w:lang w:val="en-US" w:eastAsia="zh-CN"/>
        </w:rPr>
      </w:pPr>
      <w:r>
        <w:rPr>
          <w:rFonts w:hint="eastAsia" w:ascii="宋体" w:hAnsi="宋体" w:eastAsia="宋体" w:cs="仿宋"/>
          <w:color w:val="000000"/>
          <w:sz w:val="24"/>
          <w:szCs w:val="24"/>
          <w:highlight w:val="none"/>
        </w:rPr>
        <w:t xml:space="preserve">                                    日期：</w:t>
      </w:r>
      <w:r>
        <w:rPr>
          <w:rFonts w:eastAsia="宋体" w:cs="宋体"/>
          <w:color w:val="000000"/>
          <w:highlight w:val="none"/>
          <w:lang w:eastAsia="zh-CN"/>
        </w:rPr>
        <w:t xml:space="preserve"> </w:t>
      </w:r>
      <w:r>
        <w:rPr>
          <w:rFonts w:hint="eastAsia" w:eastAsia="宋体" w:cs="宋体"/>
          <w:color w:val="000000"/>
          <w:highlight w:val="none"/>
          <w:lang w:val="en-US" w:eastAsia="zh-CN"/>
        </w:rPr>
        <w:t xml:space="preserve">               </w:t>
      </w:r>
      <w:r>
        <w:rPr>
          <w:color w:val="000000"/>
          <w:highlight w:val="none"/>
          <w:lang w:val="en-US" w:eastAsia="zh-CN"/>
        </w:rPr>
      </w:r>
      <w:r/>
    </w:p>
    <w:p>
      <w:pPr>
        <w:pStyle w:val="1062"/>
        <w:ind w:firstLine="480"/>
        <w:jc w:val="both"/>
        <w:spacing w:before="0" w:beforeAutospacing="0" w:after="0" w:afterAutospacing="0" w:line="559" w:lineRule="atLeast"/>
        <w:rPr>
          <w:color w:val="000000"/>
          <w:highlight w:val="none"/>
          <w:lang w:eastAsia="zh-CN"/>
        </w:rPr>
      </w:pPr>
      <w:r>
        <w:rPr>
          <w:rFonts w:eastAsia="宋体" w:cs="宋体"/>
          <w:color w:val="000000"/>
          <w:highlight w:val="none"/>
          <w:lang w:eastAsia="zh-CN"/>
        </w:rPr>
        <w:t xml:space="preserve">备注：从业人员、营业收入、资产总额填报上一年度数据，无上一年度数据的新成立企业可不填报。</w:t>
      </w:r>
      <w:r>
        <w:rPr>
          <w:color w:val="000000"/>
          <w:highlight w:val="none"/>
          <w:lang w:eastAsia="zh-CN"/>
        </w:rPr>
      </w:r>
      <w:r/>
    </w:p>
    <w:p>
      <w:pPr>
        <w:pStyle w:val="1062"/>
        <w:jc w:val="both"/>
        <w:spacing w:before="0" w:beforeAutospacing="0" w:after="0" w:afterAutospacing="0"/>
        <w:rPr>
          <w:rFonts w:ascii="宋体" w:hAnsi="宋体" w:eastAsia="宋体" w:cs="仿宋"/>
          <w:color w:val="000000"/>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仿宋"/>
          <w:color w:val="000000"/>
        </w:rPr>
      </w:r>
      <w:r/>
    </w:p>
    <w:p>
      <w:pPr>
        <w:pStyle w:val="1062"/>
        <w:ind w:left="600"/>
        <w:jc w:val="both"/>
        <w:spacing w:before="210" w:beforeAutospacing="0" w:after="210" w:afterAutospacing="0"/>
        <w:rPr>
          <w:color w:val="000000"/>
          <w:highlight w:val="none"/>
          <w:lang w:eastAsia="zh-CN"/>
        </w:rPr>
      </w:pPr>
      <w:r>
        <w:rPr>
          <w:rFonts w:eastAsia="宋体" w:cs="宋体"/>
          <w:color w:val="000000"/>
          <w:highlight w:val="none"/>
          <w:lang w:eastAsia="zh-CN"/>
        </w:rPr>
        <w:t xml:space="preserve"> </w:t>
      </w:r>
      <w:r>
        <w:rPr>
          <w:color w:val="000000"/>
          <w:highlight w:val="none"/>
          <w:lang w:eastAsia="zh-CN"/>
        </w:rPr>
      </w:r>
      <w:r/>
    </w:p>
    <w:p>
      <w:pPr>
        <w:pStyle w:val="1062"/>
        <w:spacing w:before="0" w:beforeAutospacing="0" w:after="0" w:afterAutospacing="0"/>
        <w:rPr>
          <w:rFonts w:hint="eastAsia" w:ascii="宋体" w:hAnsi="宋体" w:eastAsia="宋体" w:cs="仿宋"/>
          <w:color w:val="000000"/>
          <w:highlight w:val="none"/>
        </w:rPr>
        <w:sectPr>
          <w:headerReference w:type="default" r:id="rId9"/>
          <w:footerReference w:type="default" r:id="rId13"/>
          <w:footerReference w:type="first" r:id="rId14"/>
          <w:footnotePr/>
          <w:endnotePr/>
          <w:type w:val="nextPage"/>
          <w:pgSz w:w="11906" w:h="16838" w:orient="portrait"/>
          <w:pgMar w:top="1440" w:right="1803" w:bottom="1440" w:left="1803" w:header="680" w:footer="737" w:gutter="0"/>
          <w:cols w:num="1" w:sep="0" w:space="1701" w:equalWidth="1"/>
          <w:docGrid w:linePitch="360"/>
          <w:titlePg/>
        </w:sectPr>
      </w:pPr>
      <w:r>
        <w:rPr>
          <w:rFonts w:hint="eastAsia" w:ascii="宋体" w:hAnsi="宋体" w:eastAsia="宋体" w:cs="仿宋"/>
          <w:color w:val="000000"/>
          <w:highlight w:val="none"/>
        </w:rPr>
      </w:r>
      <w:r/>
    </w:p>
    <w:p>
      <w:pPr>
        <w:pStyle w:val="1011"/>
        <w:ind w:left="-60" w:right="-81"/>
        <w:jc w:val="center"/>
        <w:spacing w:line="240" w:lineRule="atLeast"/>
        <w:rPr>
          <w:rFonts w:hint="eastAsia" w:ascii="仿宋" w:hAnsi="仿宋" w:eastAsia="仿宋"/>
          <w:b/>
          <w:color w:val="000000"/>
          <w:position w:val="-10"/>
          <w:sz w:val="30"/>
          <w:szCs w:val="30"/>
          <w:highlight w:val="none"/>
        </w:rPr>
      </w:pPr>
      <w:r/>
      <w:bookmarkStart w:id="56" w:name="_Toc476153619"/>
      <w:r>
        <w:rPr>
          <w:rFonts w:hint="eastAsia" w:ascii="仿宋" w:hAnsi="仿宋" w:eastAsia="仿宋"/>
          <w:b/>
          <w:color w:val="000000"/>
          <w:position w:val="-10"/>
          <w:sz w:val="30"/>
          <w:szCs w:val="30"/>
          <w:highlight w:val="none"/>
        </w:rPr>
        <w:t xml:space="preserve">中小企业划型标准</w:t>
      </w:r>
      <w:bookmarkEnd w:id="56"/>
      <w:r>
        <w:rPr>
          <w:rFonts w:hint="eastAsia" w:ascii="仿宋" w:hAnsi="仿宋" w:eastAsia="仿宋"/>
          <w:b/>
          <w:color w:val="000000"/>
          <w:position w:val="-10"/>
          <w:sz w:val="30"/>
          <w:szCs w:val="30"/>
          <w:highlight w:val="none"/>
        </w:rPr>
      </w:r>
      <w:r/>
    </w:p>
    <w:tbl>
      <w:tblPr>
        <w:tblW w:w="14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trHeight w:val="500"/>
          <w:tblHeader/>
        </w:trPr>
        <w:tc>
          <w:tcPr>
            <w:tcBorders>
              <w:top w:val="single" w:color="000000" w:sz="4" w:space="0"/>
              <w:left w:val="single" w:color="000000" w:sz="4" w:space="0"/>
              <w:bottom w:val="none" w:color="000000" w:sz="0" w:space="0"/>
              <w:right w:val="single" w:color="000000" w:sz="4" w:space="0"/>
            </w:tcBorders>
            <w:tcW w:w="490" w:type="dxa"/>
            <w:vAlign w:val="center"/>
            <w:vMerge w:val="restart"/>
            <w:textDirection w:val="lrTb"/>
            <w:noWrap w:val="false"/>
          </w:tcPr>
          <w:p>
            <w:pPr>
              <w:pStyle w:val="1011"/>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序号</w:t>
            </w:r>
            <w:r>
              <w:rPr>
                <w:rFonts w:hint="eastAsia" w:ascii="宋体" w:hAnsi="宋体" w:eastAsia="宋体"/>
                <w:b/>
                <w:color w:val="000000"/>
                <w:position w:val="-10"/>
                <w:sz w:val="20"/>
                <w:highlight w:val="none"/>
              </w:rPr>
            </w:r>
            <w:r/>
          </w:p>
        </w:tc>
        <w:tc>
          <w:tcPr>
            <w:tcBorders>
              <w:top w:val="single" w:color="000000" w:sz="4" w:space="0"/>
              <w:left w:val="none" w:color="000000" w:sz="4" w:space="0"/>
              <w:bottom w:val="none" w:color="000000" w:sz="0" w:space="0"/>
              <w:right w:val="single" w:color="000000" w:sz="4" w:space="0"/>
            </w:tcBorders>
            <w:tcW w:w="1954" w:type="dxa"/>
            <w:vAlign w:val="center"/>
            <w:vMerge w:val="restart"/>
            <w:textDirection w:val="lrTb"/>
            <w:noWrap w:val="false"/>
          </w:tcPr>
          <w:p>
            <w:pPr>
              <w:pStyle w:val="1011"/>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行业</w:t>
            </w:r>
            <w:r>
              <w:rPr>
                <w:rFonts w:hint="eastAsia" w:ascii="宋体" w:hAnsi="宋体" w:eastAsia="宋体"/>
                <w:b/>
                <w:color w:val="000000"/>
                <w:position w:val="-10"/>
                <w:sz w:val="20"/>
                <w:highlight w:val="none"/>
              </w:rPr>
            </w:r>
            <w:r/>
          </w:p>
        </w:tc>
        <w:tc>
          <w:tcPr>
            <w:gridSpan w:val="3"/>
            <w:tcBorders>
              <w:top w:val="single" w:color="000000" w:sz="4" w:space="0"/>
              <w:left w:val="none" w:color="000000" w:sz="4" w:space="0"/>
              <w:bottom w:val="single" w:color="000000" w:sz="4" w:space="0"/>
              <w:right w:val="single" w:color="000000" w:sz="4" w:space="0"/>
            </w:tcBorders>
            <w:tcW w:w="3062" w:type="dxa"/>
            <w:vAlign w:val="center"/>
            <w:textDirection w:val="lrTb"/>
            <w:noWrap w:val="false"/>
          </w:tcPr>
          <w:p>
            <w:pPr>
              <w:pStyle w:val="1011"/>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大型企业</w:t>
            </w:r>
            <w:r>
              <w:rPr>
                <w:rFonts w:hint="eastAsia" w:ascii="宋体" w:hAnsi="宋体" w:eastAsia="宋体"/>
                <w:b/>
                <w:color w:val="000000"/>
                <w:position w:val="-10"/>
                <w:sz w:val="20"/>
                <w:highlight w:val="none"/>
              </w:rPr>
            </w:r>
            <w:r/>
          </w:p>
        </w:tc>
        <w:tc>
          <w:tcPr>
            <w:gridSpan w:val="3"/>
            <w:tcBorders>
              <w:top w:val="single" w:color="000000" w:sz="4" w:space="0"/>
              <w:left w:val="none" w:color="000000" w:sz="4" w:space="0"/>
              <w:bottom w:val="single" w:color="000000" w:sz="4" w:space="0"/>
              <w:right w:val="single" w:color="000000" w:sz="4" w:space="0"/>
            </w:tcBorders>
            <w:tcW w:w="3049" w:type="dxa"/>
            <w:vAlign w:val="center"/>
            <w:textDirection w:val="lrTb"/>
            <w:noWrap w:val="false"/>
          </w:tcPr>
          <w:p>
            <w:pPr>
              <w:pStyle w:val="1011"/>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中型企业</w:t>
            </w:r>
            <w:r>
              <w:rPr>
                <w:rFonts w:hint="eastAsia" w:ascii="宋体" w:hAnsi="宋体" w:eastAsia="宋体"/>
                <w:b/>
                <w:color w:val="000000"/>
                <w:position w:val="-10"/>
                <w:sz w:val="20"/>
                <w:highlight w:val="none"/>
              </w:rPr>
            </w:r>
            <w:r/>
          </w:p>
        </w:tc>
        <w:tc>
          <w:tcPr>
            <w:gridSpan w:val="3"/>
            <w:tcBorders>
              <w:top w:val="single" w:color="000000" w:sz="4" w:space="0"/>
              <w:left w:val="none" w:color="000000" w:sz="4" w:space="0"/>
              <w:bottom w:val="single" w:color="000000" w:sz="4" w:space="0"/>
              <w:right w:val="single" w:color="000000" w:sz="4" w:space="0"/>
            </w:tcBorders>
            <w:tcW w:w="3073" w:type="dxa"/>
            <w:vAlign w:val="center"/>
            <w:textDirection w:val="lrTb"/>
            <w:noWrap w:val="false"/>
          </w:tcPr>
          <w:p>
            <w:pPr>
              <w:pStyle w:val="1011"/>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小型企业</w:t>
            </w:r>
            <w:r>
              <w:rPr>
                <w:rFonts w:hint="eastAsia" w:ascii="宋体" w:hAnsi="宋体" w:eastAsia="宋体"/>
                <w:b/>
                <w:color w:val="000000"/>
                <w:position w:val="-10"/>
                <w:sz w:val="20"/>
                <w:highlight w:val="none"/>
              </w:rPr>
            </w:r>
            <w:r/>
          </w:p>
        </w:tc>
        <w:tc>
          <w:tcPr>
            <w:gridSpan w:val="3"/>
            <w:tcBorders>
              <w:top w:val="single" w:color="000000" w:sz="4" w:space="0"/>
              <w:left w:val="none" w:color="000000" w:sz="4" w:space="0"/>
              <w:bottom w:val="single" w:color="000000" w:sz="4" w:space="0"/>
              <w:right w:val="single" w:color="000000" w:sz="4" w:space="0"/>
            </w:tcBorders>
            <w:tcW w:w="2842" w:type="dxa"/>
            <w:vAlign w:val="center"/>
            <w:textDirection w:val="lrTb"/>
            <w:noWrap w:val="false"/>
          </w:tcPr>
          <w:p>
            <w:pPr>
              <w:pStyle w:val="1011"/>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微型企业</w:t>
            </w:r>
            <w:r>
              <w:rPr>
                <w:rFonts w:hint="eastAsia" w:ascii="宋体" w:hAnsi="宋体" w:eastAsia="宋体"/>
                <w:b/>
                <w:color w:val="000000"/>
                <w:position w:val="-10"/>
                <w:sz w:val="20"/>
                <w:highlight w:val="none"/>
              </w:rPr>
            </w:r>
            <w:r/>
          </w:p>
        </w:tc>
      </w:tr>
      <w:tr>
        <w:trPr>
          <w:trHeight w:val="226"/>
          <w:tblHeader/>
        </w:trPr>
        <w:tc>
          <w:tcPr>
            <w:tcBorders>
              <w:top w:val="none" w:color="000000" w:sz="0" w:space="0"/>
              <w:left w:val="single" w:color="000000" w:sz="4" w:space="0"/>
              <w:bottom w:val="single" w:color="000000" w:sz="4" w:space="0"/>
              <w:right w:val="single" w:color="000000" w:sz="4" w:space="0"/>
            </w:tcBorders>
            <w:tcW w:w="490" w:type="dxa"/>
            <w:vAlign w:val="center"/>
            <w:vMerge w:val="continue"/>
            <w:textDirection w:val="lrTb"/>
            <w:noWrap w:val="false"/>
          </w:tcPr>
          <w:p>
            <w:pPr>
              <w:pStyle w:val="1011"/>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r>
            <w:r/>
          </w:p>
        </w:tc>
        <w:tc>
          <w:tcPr>
            <w:tcBorders>
              <w:top w:val="none" w:color="000000" w:sz="0" w:space="0"/>
              <w:left w:val="none" w:color="000000" w:sz="4" w:space="0"/>
              <w:bottom w:val="single" w:color="000000" w:sz="4" w:space="0"/>
              <w:right w:val="single" w:color="000000" w:sz="4" w:space="0"/>
            </w:tcBorders>
            <w:tcW w:w="1954" w:type="dxa"/>
            <w:vAlign w:val="center"/>
            <w:vMerge w:val="continue"/>
            <w:textDirection w:val="lrTb"/>
            <w:noWrap w:val="false"/>
          </w:tcPr>
          <w:p>
            <w:pPr>
              <w:pStyle w:val="1011"/>
              <w:ind w:left="-60" w:right="-81"/>
              <w:jc w:val="left"/>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1"/>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营业收入</w:t>
            </w:r>
            <w:r>
              <w:rPr>
                <w:rFonts w:hint="eastAsia" w:ascii="宋体" w:hAnsi="宋体" w:eastAsia="宋体"/>
                <w:b/>
                <w:color w:val="000000"/>
                <w:position w:val="-10"/>
                <w:sz w:val="20"/>
                <w:highlight w:val="none"/>
              </w:rPr>
            </w:r>
            <w:r/>
          </w:p>
          <w:p>
            <w:pPr>
              <w:pStyle w:val="1011"/>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(万元)</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1"/>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从业人员</w:t>
            </w:r>
            <w:r>
              <w:rPr>
                <w:rFonts w:hint="eastAsia" w:ascii="宋体" w:hAnsi="宋体" w:eastAsia="宋体"/>
                <w:b/>
                <w:color w:val="000000"/>
                <w:position w:val="-10"/>
                <w:sz w:val="20"/>
                <w:highlight w:val="none"/>
              </w:rPr>
            </w:r>
            <w:r/>
          </w:p>
          <w:p>
            <w:pPr>
              <w:pStyle w:val="1011"/>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(人)</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1"/>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总资产</w:t>
            </w:r>
            <w:r>
              <w:rPr>
                <w:rFonts w:hint="eastAsia" w:ascii="宋体" w:hAnsi="宋体" w:eastAsia="宋体"/>
                <w:b/>
                <w:color w:val="000000"/>
                <w:position w:val="-10"/>
                <w:sz w:val="20"/>
                <w:highlight w:val="none"/>
              </w:rPr>
            </w:r>
            <w:r/>
          </w:p>
          <w:p>
            <w:pPr>
              <w:pStyle w:val="1011"/>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(万元)</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营业收入</w:t>
            </w:r>
            <w:r>
              <w:rPr>
                <w:rFonts w:hint="eastAsia" w:ascii="宋体" w:hAnsi="宋体" w:eastAsia="宋体"/>
                <w:b/>
                <w:color w:val="000000"/>
                <w:position w:val="-10"/>
                <w:sz w:val="20"/>
                <w:highlight w:val="none"/>
              </w:rPr>
            </w:r>
            <w:r/>
          </w:p>
          <w:p>
            <w:pPr>
              <w:pStyle w:val="1011"/>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(万元)</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1"/>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从业人员</w:t>
            </w:r>
            <w:r>
              <w:rPr>
                <w:rFonts w:hint="eastAsia" w:ascii="宋体" w:hAnsi="宋体" w:eastAsia="宋体"/>
                <w:b/>
                <w:color w:val="000000"/>
                <w:position w:val="-10"/>
                <w:sz w:val="20"/>
                <w:highlight w:val="none"/>
              </w:rPr>
            </w:r>
            <w:r/>
          </w:p>
          <w:p>
            <w:pPr>
              <w:pStyle w:val="1011"/>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(人)</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1"/>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总资产</w:t>
            </w:r>
            <w:r>
              <w:rPr>
                <w:rFonts w:hint="eastAsia" w:ascii="宋体" w:hAnsi="宋体" w:eastAsia="宋体"/>
                <w:b/>
                <w:color w:val="000000"/>
                <w:position w:val="-10"/>
                <w:sz w:val="20"/>
                <w:highlight w:val="none"/>
              </w:rPr>
            </w:r>
            <w:r/>
          </w:p>
          <w:p>
            <w:pPr>
              <w:pStyle w:val="1011"/>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(万元)</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营业收入</w:t>
            </w:r>
            <w:r>
              <w:rPr>
                <w:rFonts w:hint="eastAsia" w:ascii="宋体" w:hAnsi="宋体" w:eastAsia="宋体"/>
                <w:b/>
                <w:color w:val="000000"/>
                <w:position w:val="-10"/>
                <w:sz w:val="20"/>
                <w:highlight w:val="none"/>
              </w:rPr>
            </w:r>
            <w:r/>
          </w:p>
          <w:p>
            <w:pPr>
              <w:pStyle w:val="1011"/>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(万元)</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1"/>
              <w:ind w:left="99" w:right="-81" w:hanging="159"/>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从业人员</w:t>
            </w:r>
            <w:r>
              <w:rPr>
                <w:rFonts w:hint="eastAsia" w:ascii="宋体" w:hAnsi="宋体" w:eastAsia="宋体"/>
                <w:b/>
                <w:color w:val="000000"/>
                <w:position w:val="-10"/>
                <w:sz w:val="20"/>
                <w:highlight w:val="none"/>
              </w:rPr>
            </w:r>
            <w:r/>
          </w:p>
          <w:p>
            <w:pPr>
              <w:pStyle w:val="1011"/>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(人)</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1"/>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总资产</w:t>
            </w:r>
            <w:r>
              <w:rPr>
                <w:rFonts w:hint="eastAsia" w:ascii="宋体" w:hAnsi="宋体" w:eastAsia="宋体"/>
                <w:b/>
                <w:color w:val="000000"/>
                <w:position w:val="-10"/>
                <w:sz w:val="20"/>
                <w:highlight w:val="none"/>
              </w:rPr>
            </w:r>
            <w:r/>
          </w:p>
          <w:p>
            <w:pPr>
              <w:pStyle w:val="1011"/>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(万元)</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营业收入</w:t>
            </w:r>
            <w:r>
              <w:rPr>
                <w:rFonts w:hint="eastAsia" w:ascii="宋体" w:hAnsi="宋体" w:eastAsia="宋体"/>
                <w:b/>
                <w:color w:val="000000"/>
                <w:position w:val="-10"/>
                <w:sz w:val="20"/>
                <w:highlight w:val="none"/>
              </w:rPr>
            </w:r>
            <w:r/>
          </w:p>
          <w:p>
            <w:pPr>
              <w:pStyle w:val="1011"/>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(万元)</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1"/>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从业人员</w:t>
            </w:r>
            <w:r>
              <w:rPr>
                <w:rFonts w:hint="eastAsia" w:ascii="宋体" w:hAnsi="宋体" w:eastAsia="宋体"/>
                <w:b/>
                <w:color w:val="000000"/>
                <w:position w:val="-10"/>
                <w:sz w:val="20"/>
                <w:highlight w:val="none"/>
              </w:rPr>
            </w:r>
            <w:r/>
          </w:p>
          <w:p>
            <w:pPr>
              <w:pStyle w:val="1011"/>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(人)</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1"/>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总资产</w:t>
            </w:r>
            <w:r>
              <w:rPr>
                <w:rFonts w:hint="eastAsia" w:ascii="宋体" w:hAnsi="宋体" w:eastAsia="宋体"/>
                <w:b/>
                <w:color w:val="000000"/>
                <w:position w:val="-10"/>
                <w:sz w:val="20"/>
                <w:highlight w:val="none"/>
              </w:rPr>
            </w:r>
            <w:r/>
          </w:p>
          <w:p>
            <w:pPr>
              <w:pStyle w:val="1011"/>
              <w:ind w:left="-60" w:right="-81"/>
              <w:jc w:val="center"/>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(万元)</w:t>
            </w:r>
            <w:r>
              <w:rPr>
                <w:rFonts w:hint="eastAsia" w:ascii="宋体" w:hAnsi="宋体" w:eastAsia="宋体"/>
                <w:b/>
                <w:color w:val="000000"/>
                <w:position w:val="-10"/>
                <w:sz w:val="20"/>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1"/>
              <w:ind w:left="-133" w:right="-133"/>
              <w:jc w:val="center"/>
              <w:spacing w:line="240" w:lineRule="atLeast"/>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1</w:t>
            </w:r>
            <w:r>
              <w:rPr>
                <w:rFonts w:hint="eastAsia" w:ascii="宋体" w:hAnsi="宋体" w:eastAsia="宋体"/>
                <w:b/>
                <w:bCs/>
                <w:color w:val="000000"/>
                <w:position w:val="-10"/>
                <w:sz w:val="20"/>
                <w:highlight w:val="none"/>
              </w:rPr>
            </w:r>
            <w:r/>
          </w:p>
        </w:tc>
        <w:tc>
          <w:tcPr>
            <w:tcBorders>
              <w:top w:val="singl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1"/>
              <w:ind w:left="-34" w:right="-81"/>
              <w:jc w:val="left"/>
              <w:spacing w:line="240" w:lineRule="atLeast"/>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农、林、牧、渔业</w:t>
            </w:r>
            <w:r>
              <w:rPr>
                <w:rFonts w:hint="eastAsia" w:ascii="宋体" w:hAnsi="宋体" w:eastAsia="宋体"/>
                <w:b/>
                <w:bCs/>
                <w:color w:val="000000"/>
                <w:position w:val="-10"/>
                <w:sz w:val="20"/>
                <w:highlight w:val="none"/>
              </w:rPr>
            </w:r>
            <w:r/>
          </w:p>
        </w:tc>
        <w:tc>
          <w:tcPr>
            <w:tcBorders>
              <w:top w:val="singl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≥500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≥50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＜50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1"/>
              <w:ind w:left="-133" w:right="-133"/>
              <w:jc w:val="center"/>
              <w:spacing w:line="240" w:lineRule="atLeast"/>
              <w:widowControl/>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2</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1"/>
              <w:ind w:left="-34" w:right="-81"/>
              <w:jc w:val="left"/>
              <w:spacing w:line="240" w:lineRule="atLeast"/>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工业</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≥40000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1"/>
              <w:ind w:left="-133" w:right="-133"/>
              <w:jc w:val="center"/>
              <w:spacing w:line="240" w:lineRule="atLeast"/>
              <w:widowControl/>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3</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1"/>
              <w:ind w:left="-34" w:right="-81"/>
              <w:jc w:val="left"/>
              <w:spacing w:line="240" w:lineRule="atLeast"/>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建筑业</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≥80000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≥80000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≥5000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≥5000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1"/>
              <w:ind w:left="-133" w:right="-133"/>
              <w:jc w:val="center"/>
              <w:spacing w:line="240" w:lineRule="atLeast"/>
              <w:widowControl/>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4</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1"/>
              <w:ind w:left="-34" w:right="-81"/>
              <w:jc w:val="left"/>
              <w:spacing w:line="240" w:lineRule="atLeast"/>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批发业</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≥40000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≥5000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＜5</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1"/>
              <w:ind w:left="-133" w:right="-133"/>
              <w:jc w:val="center"/>
              <w:spacing w:line="240" w:lineRule="atLeast"/>
              <w:widowControl/>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5</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1"/>
              <w:ind w:left="-34" w:right="-81"/>
              <w:jc w:val="left"/>
              <w:spacing w:line="240" w:lineRule="atLeast"/>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零售业</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≥500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≥50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1"/>
              <w:ind w:left="-133" w:right="-133"/>
              <w:jc w:val="center"/>
              <w:spacing w:line="240" w:lineRule="atLeast"/>
              <w:widowControl/>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6</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1"/>
              <w:ind w:left="-34" w:right="-81"/>
              <w:jc w:val="left"/>
              <w:spacing w:line="240" w:lineRule="atLeast"/>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交通运输业</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1"/>
              <w:ind w:left="-133" w:right="-133"/>
              <w:jc w:val="center"/>
              <w:spacing w:line="240" w:lineRule="atLeast"/>
              <w:widowControl/>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7</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1"/>
              <w:ind w:left="-34" w:right="-81"/>
              <w:jc w:val="left"/>
              <w:spacing w:line="240" w:lineRule="atLeast"/>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仓储业</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1"/>
              <w:ind w:left="-133" w:right="-133"/>
              <w:jc w:val="center"/>
              <w:spacing w:line="240" w:lineRule="atLeast"/>
              <w:widowControl/>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8</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1"/>
              <w:ind w:left="-34" w:right="-81"/>
              <w:jc w:val="left"/>
              <w:spacing w:line="240" w:lineRule="atLeast"/>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邮政业</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1"/>
              <w:ind w:left="-133" w:right="-133"/>
              <w:jc w:val="center"/>
              <w:spacing w:line="240" w:lineRule="atLeast"/>
              <w:widowControl/>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9</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1"/>
              <w:ind w:left="-34" w:right="-81"/>
              <w:jc w:val="left"/>
              <w:spacing w:line="240" w:lineRule="atLeast"/>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住宿业</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1"/>
              <w:ind w:left="-133" w:right="-133"/>
              <w:jc w:val="center"/>
              <w:spacing w:line="240" w:lineRule="atLeast"/>
              <w:widowControl/>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10</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1"/>
              <w:ind w:left="-34" w:right="-81"/>
              <w:jc w:val="left"/>
              <w:spacing w:line="240" w:lineRule="atLeast"/>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餐饮业</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11</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1"/>
              <w:ind w:left="-34" w:right="-81"/>
              <w:jc w:val="left"/>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信息传输业</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12</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1"/>
              <w:ind w:left="-34" w:right="-81"/>
              <w:jc w:val="left"/>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软件和信息技术服务业</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≥50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＜50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1"/>
              <w:ind w:left="-133" w:right="-133"/>
              <w:jc w:val="center"/>
              <w:spacing w:line="240" w:lineRule="atLeast"/>
              <w:widowControl/>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13</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1"/>
              <w:ind w:left="-34" w:right="-81"/>
              <w:jc w:val="left"/>
              <w:spacing w:line="240" w:lineRule="atLeast"/>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房地产开发经验</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≥200000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或,≥10000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且,≥5000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且,≥2000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或,＜2000</w:t>
            </w:r>
            <w:r>
              <w:rPr>
                <w:rFonts w:hint="eastAsia" w:ascii="宋体" w:hAnsi="宋体" w:eastAsia="宋体"/>
                <w:b/>
                <w:color w:val="000000"/>
                <w:position w:val="-1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1"/>
              <w:ind w:left="-133" w:right="-133"/>
              <w:jc w:val="center"/>
              <w:spacing w:line="240" w:lineRule="atLeast"/>
              <w:widowControl/>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14</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1"/>
              <w:ind w:left="-34" w:right="-81"/>
              <w:jc w:val="left"/>
              <w:spacing w:line="240" w:lineRule="atLeast"/>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物业管理</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≥5000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≥500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＜500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1"/>
              <w:ind w:left="-133" w:right="-133"/>
              <w:jc w:val="center"/>
              <w:spacing w:line="240" w:lineRule="atLeast"/>
              <w:widowControl/>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15</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1"/>
              <w:ind w:left="-34" w:right="-81"/>
              <w:jc w:val="left"/>
              <w:spacing w:line="240" w:lineRule="atLeast"/>
              <w:rPr>
                <w:rFonts w:hint="eastAsia" w:ascii="宋体" w:hAnsi="宋体" w:eastAsia="宋体"/>
                <w:b/>
                <w:bCs/>
                <w:color w:val="000000"/>
                <w:position w:val="-10"/>
                <w:sz w:val="20"/>
                <w:highlight w:val="none"/>
              </w:rPr>
            </w:pPr>
            <w:r>
              <w:rPr>
                <w:rFonts w:hint="eastAsia" w:ascii="宋体" w:hAnsi="宋体" w:eastAsia="宋体"/>
                <w:b/>
                <w:bCs/>
                <w:color w:val="000000"/>
                <w:position w:val="-10"/>
                <w:sz w:val="20"/>
                <w:highlight w:val="none"/>
              </w:rPr>
              <w:t xml:space="preserve">租赁和商务服务业</w:t>
            </w:r>
            <w:r>
              <w:rPr>
                <w:rFonts w:hint="eastAsia" w:ascii="宋体" w:hAnsi="宋体" w:eastAsia="宋体"/>
                <w:b/>
                <w:bCs/>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或,≥120000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且,≥8000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且,≥100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或,＜100</w:t>
            </w:r>
            <w:r>
              <w:rPr>
                <w:rFonts w:hint="eastAsia" w:ascii="宋体" w:hAnsi="宋体" w:eastAsia="宋体"/>
                <w:b/>
                <w:color w:val="000000"/>
                <w:position w:val="-10"/>
                <w:sz w:val="20"/>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16</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1011"/>
              <w:ind w:left="-34" w:right="-81"/>
              <w:jc w:val="left"/>
              <w:spacing w:line="240" w:lineRule="atLeast"/>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其他未列明行业</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≥300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1011"/>
              <w:ind w:left="-133" w:right="-133"/>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＜10</w:t>
            </w:r>
            <w:r>
              <w:rPr>
                <w:rFonts w:hint="eastAsia" w:ascii="宋体" w:hAnsi="宋体" w:eastAsia="宋体"/>
                <w:b/>
                <w:color w:val="000000"/>
                <w:position w:val="-10"/>
                <w:sz w:val="20"/>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1011"/>
              <w:jc w:val="center"/>
              <w:spacing w:line="240" w:lineRule="atLeast"/>
              <w:widowControl/>
              <w:rPr>
                <w:rFonts w:hint="eastAsia" w:ascii="宋体" w:hAnsi="宋体" w:eastAsia="宋体"/>
                <w:b/>
                <w:color w:val="000000"/>
                <w:position w:val="-10"/>
                <w:sz w:val="20"/>
                <w:highlight w:val="none"/>
              </w:rPr>
            </w:pPr>
            <w:r>
              <w:rPr>
                <w:rFonts w:hint="eastAsia" w:ascii="宋体" w:hAnsi="宋体" w:eastAsia="宋体"/>
                <w:b/>
                <w:color w:val="000000"/>
                <w:position w:val="-10"/>
                <w:sz w:val="20"/>
                <w:highlight w:val="none"/>
              </w:rPr>
              <w:t xml:space="preserve">　</w:t>
            </w:r>
            <w:r>
              <w:rPr>
                <w:rFonts w:hint="eastAsia" w:ascii="宋体" w:hAnsi="宋体" w:eastAsia="宋体"/>
                <w:b/>
                <w:color w:val="000000"/>
                <w:position w:val="-10"/>
                <w:sz w:val="20"/>
                <w:highlight w:val="none"/>
              </w:rPr>
            </w:r>
            <w:r/>
          </w:p>
        </w:tc>
      </w:tr>
    </w:tbl>
    <w:p>
      <w:pPr>
        <w:pStyle w:val="1281"/>
        <w:rPr>
          <w:rFonts w:hint="eastAsia" w:ascii="宋体" w:hAnsi="宋体" w:eastAsia="宋体" w:cs="仿宋"/>
          <w:b/>
          <w:color w:val="000000"/>
          <w:sz w:val="32"/>
          <w:szCs w:val="32"/>
          <w:highlight w:val="none"/>
        </w:rPr>
        <w:sectPr>
          <w:footnotePr/>
          <w:endnotePr/>
          <w:type w:val="nextPage"/>
          <w:pgSz w:w="16838" w:h="11906" w:orient="landscape"/>
          <w:pgMar w:top="1803" w:right="1440" w:bottom="1418" w:left="1440" w:header="680" w:footer="737" w:gutter="0"/>
          <w:cols w:num="1" w:sep="0" w:space="1701" w:equalWidth="1"/>
          <w:docGrid w:linePitch="360"/>
          <w:titlePg/>
        </w:sectPr>
      </w:pPr>
      <w:r>
        <w:rPr>
          <w:rFonts w:hint="eastAsia" w:hAnsi="宋体" w:eastAsia="宋体" w:cs="仿宋"/>
          <w:b/>
          <w:color w:val="000000"/>
          <w:position w:val="-10"/>
          <w:sz w:val="20"/>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int="eastAsia" w:ascii="宋体" w:hAnsi="宋体" w:eastAsia="宋体" w:cs="仿宋"/>
          <w:b/>
          <w:color w:val="000000"/>
          <w:sz w:val="32"/>
          <w:szCs w:val="32"/>
          <w:highlight w:val="none"/>
        </w:rPr>
      </w:r>
      <w:r/>
    </w:p>
    <w:p>
      <w:pPr>
        <w:pStyle w:val="1014"/>
        <w:jc w:val="center"/>
        <w:rPr>
          <w:rFonts w:ascii="宋体" w:hAnsi="宋体" w:eastAsia="宋体" w:cs="宋体"/>
          <w:b/>
          <w:bCs/>
          <w:color w:val="000000"/>
          <w:sz w:val="32"/>
          <w:szCs w:val="32"/>
          <w:highlight w:val="none"/>
          <w:lang w:eastAsia="zh-CN"/>
        </w:rPr>
      </w:pPr>
      <w:r/>
      <w:bookmarkStart w:id="57" w:name="_Toc169184847"/>
      <w:r>
        <w:rPr>
          <w:rFonts w:hint="eastAsia" w:ascii="宋体" w:hAnsi="宋体" w:eastAsia="宋体" w:cs="宋体"/>
          <w:b/>
          <w:bCs/>
          <w:color w:val="000000"/>
          <w:sz w:val="32"/>
          <w:szCs w:val="32"/>
          <w:highlight w:val="none"/>
          <w:lang w:eastAsia="zh-CN"/>
        </w:rPr>
        <w:t xml:space="preserve">残疾人福利性单位声明函</w:t>
      </w:r>
      <w:bookmarkEnd w:id="57"/>
      <w:r>
        <w:rPr>
          <w:rFonts w:ascii="宋体" w:hAnsi="宋体" w:eastAsia="宋体" w:cs="宋体"/>
          <w:b/>
          <w:bCs/>
          <w:color w:val="000000"/>
          <w:sz w:val="32"/>
          <w:szCs w:val="32"/>
          <w:highlight w:val="none"/>
          <w:lang w:eastAsia="zh-CN"/>
        </w:rPr>
      </w:r>
      <w:r/>
    </w:p>
    <w:p>
      <w:pPr>
        <w:pStyle w:val="1011"/>
        <w:ind w:firstLine="624"/>
        <w:spacing w:line="588" w:lineRule="exact"/>
        <w:rPr>
          <w:rFonts w:ascii="仿宋_GB2312" w:hAnsi="Times New Roman" w:eastAsia="仿宋_GB2312"/>
          <w:color w:val="000000"/>
          <w:spacing w:val="6"/>
          <w:sz w:val="30"/>
          <w:szCs w:val="30"/>
          <w:highlight w:val="none"/>
          <w:lang w:eastAsia="zh-CN"/>
        </w:rPr>
      </w:pPr>
      <w:r>
        <w:rPr>
          <w:rFonts w:ascii="仿宋_GB2312" w:hAnsi="Times New Roman" w:eastAsia="仿宋_GB2312"/>
          <w:color w:val="000000"/>
          <w:spacing w:val="6"/>
          <w:sz w:val="30"/>
          <w:szCs w:val="30"/>
          <w:highlight w:val="none"/>
          <w:lang w:eastAsia="zh-CN"/>
        </w:rPr>
      </w:r>
      <w:r/>
    </w:p>
    <w:p>
      <w:pPr>
        <w:pStyle w:val="1011"/>
        <w:ind w:firstLine="480"/>
        <w:spacing w:line="588" w:lineRule="exact"/>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由本单位提供服务（提供本单位制造的货物），或者提供其他残疾人福利性单位制造的货物（不包括使用非残疾人福利性单位注册商标的货物）。</w:t>
      </w:r>
      <w:r>
        <w:rPr>
          <w:rFonts w:ascii="宋体" w:hAnsi="宋体" w:eastAsia="宋体" w:cs="宋体"/>
          <w:color w:val="000000"/>
          <w:sz w:val="24"/>
          <w:highlight w:val="none"/>
          <w:lang w:eastAsia="zh-CN"/>
        </w:rPr>
      </w:r>
      <w:r/>
    </w:p>
    <w:p>
      <w:pPr>
        <w:pStyle w:val="1011"/>
        <w:ind w:firstLine="480"/>
        <w:spacing w:line="588" w:lineRule="exact"/>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本单位对上述声明的真实性负责。如有虚假，将依法承担相应责任。</w:t>
      </w:r>
      <w:r>
        <w:rPr>
          <w:rFonts w:ascii="宋体" w:hAnsi="宋体" w:eastAsia="宋体" w:cs="宋体"/>
          <w:color w:val="000000"/>
          <w:sz w:val="24"/>
          <w:highlight w:val="none"/>
          <w:lang w:eastAsia="zh-CN"/>
        </w:rPr>
      </w:r>
      <w:r/>
    </w:p>
    <w:p>
      <w:pPr>
        <w:pStyle w:val="1011"/>
        <w:ind w:firstLine="480"/>
        <w:spacing w:line="588" w:lineRule="exact"/>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1011"/>
        <w:ind w:firstLine="480"/>
        <w:spacing w:line="588" w:lineRule="exact"/>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（备注：1、供应商如不提供此声明函，价格将不做相应扣除。2、中标供应商为残疾人福利单位的，此声明函将随中标结果同时公告，接受社会监督）</w:t>
      </w:r>
      <w:r>
        <w:rPr>
          <w:rFonts w:ascii="宋体" w:hAnsi="宋体" w:eastAsia="宋体" w:cs="宋体"/>
          <w:color w:val="000000"/>
          <w:sz w:val="24"/>
          <w:highlight w:val="none"/>
          <w:lang w:eastAsia="zh-CN"/>
        </w:rPr>
      </w:r>
      <w:r/>
    </w:p>
    <w:p>
      <w:pPr>
        <w:pStyle w:val="1062"/>
        <w:ind w:firstLine="624"/>
        <w:jc w:val="both"/>
        <w:spacing w:before="0" w:beforeAutospacing="0" w:after="0" w:afterAutospacing="0" w:line="587" w:lineRule="atLeast"/>
        <w:rPr>
          <w:rFonts w:ascii="宋体" w:hAnsi="宋体" w:eastAsia="宋体" w:cs="仿宋"/>
          <w:color w:val="000000"/>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仿宋"/>
          <w:color w:val="000000"/>
        </w:rPr>
      </w:r>
      <w:r/>
    </w:p>
    <w:p>
      <w:pPr>
        <w:pStyle w:val="1011"/>
        <w:ind w:firstLine="3153"/>
        <w:jc w:val="right"/>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val="en-US" w:eastAsia="zh-CN"/>
        </w:rPr>
        <w:t xml:space="preserve">投标人</w:t>
      </w:r>
      <w:r>
        <w:rPr>
          <w:rFonts w:hint="eastAsia" w:ascii="宋体" w:hAnsi="宋体" w:eastAsia="宋体" w:cs="仿宋"/>
          <w:color w:val="000000"/>
          <w:sz w:val="24"/>
          <w:szCs w:val="24"/>
          <w:highlight w:val="none"/>
        </w:rPr>
        <w:t xml:space="preserve">（加盖CA电子公章）：</w:t>
      </w:r>
      <w:r>
        <w:rPr>
          <w:rFonts w:hint="eastAsia" w:ascii="宋体" w:hAnsi="宋体" w:eastAsia="宋体" w:cs="仿宋"/>
          <w:color w:val="000000"/>
          <w:sz w:val="24"/>
          <w:szCs w:val="24"/>
          <w:highlight w:val="none"/>
        </w:rPr>
      </w:r>
      <w:r/>
    </w:p>
    <w:p>
      <w:pPr>
        <w:pStyle w:val="1011"/>
        <w:ind w:firstLine="480"/>
        <w:jc w:val="right"/>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lang w:val="en-US" w:eastAsia="zh-CN"/>
        </w:rPr>
        <w:t xml:space="preserve">   </w:t>
      </w:r>
      <w:r>
        <w:rPr>
          <w:rFonts w:hint="eastAsia" w:ascii="宋体" w:hAnsi="宋体" w:eastAsia="宋体" w:cs="仿宋"/>
          <w:color w:val="000000"/>
          <w:sz w:val="24"/>
          <w:szCs w:val="24"/>
          <w:highlight w:val="none"/>
        </w:rPr>
        <w:t xml:space="preserve">法定代表人或法定代表人授权代表（签字或盖章）：</w:t>
      </w:r>
      <w:r>
        <w:rPr>
          <w:rFonts w:hint="eastAsia" w:ascii="宋体" w:hAnsi="宋体" w:eastAsia="宋体" w:cs="仿宋"/>
          <w:color w:val="000000"/>
          <w:sz w:val="24"/>
          <w:szCs w:val="24"/>
          <w:highlight w:val="none"/>
        </w:rPr>
      </w:r>
      <w:r/>
    </w:p>
    <w:p>
      <w:pPr>
        <w:pStyle w:val="1011"/>
        <w:ind w:firstLine="480"/>
        <w:jc w:val="right"/>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                                    日期：</w:t>
      </w:r>
      <w:r>
        <w:rPr>
          <w:rFonts w:hint="eastAsia" w:ascii="宋体" w:hAnsi="宋体" w:eastAsia="宋体" w:cs="仿宋"/>
          <w:color w:val="000000"/>
          <w:sz w:val="24"/>
          <w:szCs w:val="24"/>
          <w:highlight w:val="none"/>
        </w:rPr>
      </w:r>
      <w:r/>
    </w:p>
    <w:p>
      <w:pPr>
        <w:pStyle w:val="1310"/>
        <w:rPr>
          <w:color w:val="000000"/>
          <w:highlight w:val="none"/>
        </w:rPr>
      </w:pPr>
      <w:r>
        <w:rPr>
          <w:color w:val="000000"/>
          <w:highlight w:val="none"/>
        </w:rPr>
      </w:r>
      <w:r/>
    </w:p>
    <w:p>
      <w:pPr>
        <w:pStyle w:val="1011"/>
        <w:spacing w:after="0" w:line="240" w:lineRule="auto"/>
        <w:rPr>
          <w:rFonts w:ascii="宋体" w:hAnsi="宋体" w:eastAsia="微软雅黑" w:cs="仿宋_GB2312"/>
          <w:color w:val="000000"/>
          <w:sz w:val="24"/>
          <w:szCs w:val="24"/>
          <w:highlight w:val="none"/>
          <w:lang w:eastAsia="zh-CN"/>
        </w:rPr>
      </w:pPr>
      <w:r>
        <w:rPr>
          <w:color w:val="000000"/>
          <w:highlight w:val="none"/>
          <w:lang w:eastAsia="zh-CN"/>
        </w:rPr>
        <w:br w:type="page" w:clear="all"/>
      </w:r>
      <w:r>
        <w:rPr>
          <w:rFonts w:ascii="宋体" w:hAnsi="宋体" w:eastAsia="微软雅黑" w:cs="仿宋_GB2312"/>
          <w:color w:val="000000"/>
          <w:sz w:val="24"/>
          <w:szCs w:val="24"/>
          <w:highlight w:val="none"/>
          <w:lang w:eastAsia="zh-CN"/>
        </w:rPr>
      </w:r>
      <w:r/>
    </w:p>
    <w:p>
      <w:pPr>
        <w:pStyle w:val="1310"/>
        <w:rPr>
          <w:color w:val="000000"/>
          <w:highlight w:val="none"/>
        </w:rPr>
      </w:pPr>
      <w:r>
        <w:rPr>
          <w:color w:val="000000"/>
          <w:highlight w:val="none"/>
        </w:rPr>
      </w:r>
      <w:r/>
    </w:p>
    <w:p>
      <w:pPr>
        <w:pStyle w:val="1013"/>
        <w:jc w:val="center"/>
        <w:rPr>
          <w:rFonts w:ascii="宋体" w:hAnsi="宋体" w:eastAsia="宋体" w:cs="宋体"/>
          <w:color w:val="000000"/>
          <w:highlight w:val="none"/>
          <w:lang w:eastAsia="zh-CN"/>
        </w:rPr>
      </w:pPr>
      <w:r/>
      <w:bookmarkStart w:id="58" w:name="_Toc169184848"/>
      <w:r>
        <w:rPr>
          <w:rFonts w:hint="eastAsia" w:ascii="宋体" w:hAnsi="宋体" w:eastAsia="宋体" w:cs="宋体"/>
          <w:b/>
          <w:bCs/>
          <w:color w:val="000000"/>
          <w:sz w:val="32"/>
          <w:szCs w:val="32"/>
          <w:highlight w:val="none"/>
          <w:lang w:eastAsia="zh-CN"/>
        </w:rPr>
        <w:t xml:space="preserve">属于监狱企业的证明文件</w:t>
      </w:r>
      <w:bookmarkEnd w:id="58"/>
      <w:r>
        <w:rPr>
          <w:rFonts w:ascii="宋体" w:hAnsi="宋体" w:eastAsia="宋体" w:cs="宋体"/>
          <w:color w:val="000000"/>
          <w:highlight w:val="none"/>
          <w:lang w:eastAsia="zh-CN"/>
        </w:rPr>
      </w:r>
      <w:r/>
    </w:p>
    <w:p>
      <w:pPr>
        <w:pStyle w:val="1011"/>
        <w:jc w:val="center"/>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（提供由省级以上监狱管理局、戒毒管理局(含新疆生产建设兵团)出具的属于监狱企业的证明文件）</w:t>
      </w:r>
      <w:r>
        <w:rPr>
          <w:rFonts w:ascii="宋体" w:hAnsi="宋体" w:eastAsia="宋体" w:cs="宋体"/>
          <w:color w:val="000000"/>
          <w:sz w:val="24"/>
          <w:highlight w:val="none"/>
          <w:lang w:eastAsia="zh-CN"/>
        </w:rPr>
      </w:r>
      <w:r/>
    </w:p>
    <w:p>
      <w:pPr>
        <w:pStyle w:val="1013"/>
        <w:jc w:val="center"/>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br w:type="page" w:clear="all"/>
      </w:r>
      <w:r>
        <w:rPr>
          <w:rFonts w:hint="eastAsia" w:ascii="宋体" w:hAnsi="宋体" w:eastAsia="宋体" w:cs="宋体"/>
          <w:b/>
          <w:bCs/>
          <w:color w:val="000000"/>
          <w:sz w:val="32"/>
          <w:szCs w:val="32"/>
          <w:highlight w:val="none"/>
          <w:lang w:eastAsia="zh-CN"/>
        </w:rPr>
        <w:t xml:space="preserve">关于符合本国产品标准的声明函</w:t>
      </w:r>
      <w:r>
        <w:rPr>
          <w:rFonts w:hint="eastAsia" w:ascii="宋体" w:hAnsi="宋体" w:eastAsia="宋体" w:cs="宋体"/>
          <w:b/>
          <w:bCs/>
          <w:color w:val="000000"/>
          <w:sz w:val="32"/>
          <w:szCs w:val="32"/>
          <w:highlight w:val="none"/>
          <w:lang w:eastAsia="zh-CN"/>
        </w:rPr>
      </w:r>
      <w:r/>
    </w:p>
    <w:p>
      <w:pPr>
        <w:pStyle w:val="1062"/>
        <w:ind w:firstLine="420"/>
        <w:spacing w:before="0" w:beforeAutospacing="0" w:after="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1062"/>
        <w:ind w:firstLine="420"/>
        <w:spacing w:before="0" w:beforeAutospacing="0" w:after="0" w:afterAutospacing="0" w:line="0" w:lineRule="atLeast"/>
        <w:rPr>
          <w:rFonts w:hint="eastAsia" w:ascii="宋体" w:hAnsi="宋体" w:eastAsia="宋体" w:cs="宋体"/>
          <w:color w:val="000000"/>
        </w:rPr>
      </w:pPr>
      <w:r>
        <w:rPr>
          <w:rFonts w:hint="eastAsia" w:ascii="宋体" w:hAnsi="宋体" w:eastAsia="宋体" w:cs="宋体"/>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rPr>
      </w:r>
      <w:r/>
    </w:p>
    <w:p>
      <w:pPr>
        <w:pStyle w:val="1062"/>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9;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3;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1;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hd w:val="clear" w:color="auto" w:fill="ffffff"/>
        </w:rPr>
        <w:t xml:space="preserve">1.</w:t>
      </w:r>
      <w:r>
        <w:rPr>
          <w:rStyle w:val="1069"/>
          <w:rFonts w:hint="eastAsia" w:ascii="宋体" w:hAnsi="宋体" w:eastAsia="宋体" w:cs="宋体"/>
          <w:i w:val="0"/>
          <w:color w:val="000000"/>
          <w:u w:val="single"/>
          <w:shd w:val="clear" w:color="auto" w:fill="ffffff"/>
        </w:rPr>
        <w:t xml:space="preserve">（产品名称1）</w:t>
      </w:r>
      <w:r>
        <w:rPr>
          <w:rStyle w:val="1069"/>
          <w:rFonts w:hint="eastAsia" w:ascii="宋体" w:hAnsi="宋体" w:eastAsia="宋体" w:cs="宋体"/>
          <w:i w:val="0"/>
          <w:color w:val="000000"/>
          <w:shd w:val="clear" w:color="auto" w:fill="ffffff"/>
          <w:vertAlign w:val="superscript"/>
        </w:rPr>
        <w:t xml:space="preserve">1</w:t>
      </w:r>
      <w:r>
        <w:rPr>
          <w:rFonts w:hint="eastAsia" w:ascii="宋体" w:hAnsi="宋体" w:eastAsia="宋体" w:cs="宋体"/>
          <w:color w:val="000000"/>
          <w:shd w:val="clear" w:color="auto" w:fill="ffffff"/>
        </w:rPr>
        <w:t xml:space="preserve">，生产厂为</w:t>
      </w:r>
      <w:r>
        <w:rPr>
          <w:rStyle w:val="1069"/>
          <w:rFonts w:hint="eastAsia" w:ascii="宋体" w:hAnsi="宋体" w:eastAsia="宋体" w:cs="宋体"/>
          <w:i w:val="0"/>
          <w:color w:val="000000"/>
          <w:u w:val="single"/>
          <w:shd w:val="clear" w:color="auto" w:fill="ffffff"/>
        </w:rPr>
        <w:t xml:space="preserve">（厂名）</w:t>
      </w:r>
      <w:r>
        <w:rPr>
          <w:rStyle w:val="1069"/>
          <w:rFonts w:hint="eastAsia" w:ascii="宋体" w:hAnsi="宋体" w:eastAsia="宋体" w:cs="宋体"/>
          <w:i w:val="0"/>
          <w:color w:val="000000"/>
          <w:shd w:val="clear" w:color="auto" w:fill="ffffff"/>
          <w:vertAlign w:val="superscript"/>
        </w:rPr>
        <w:t xml:space="preserve">2</w:t>
      </w:r>
      <w:r>
        <w:rPr>
          <w:rFonts w:hint="eastAsia" w:ascii="宋体" w:hAnsi="宋体" w:eastAsia="宋体" w:cs="宋体"/>
          <w:color w:val="000000"/>
          <w:shd w:val="clear" w:color="auto" w:fill="ffffff"/>
        </w:rPr>
        <w:t xml:space="preserve">，厂址为</w:t>
      </w:r>
      <w:r>
        <w:rPr>
          <w:rStyle w:val="1069"/>
          <w:rFonts w:hint="eastAsia" w:ascii="宋体" w:hAnsi="宋体" w:eastAsia="宋体" w:cs="宋体"/>
          <w:i w:val="0"/>
          <w:color w:val="000000"/>
          <w:u w:val="single"/>
          <w:shd w:val="clear" w:color="auto" w:fill="ffffff"/>
        </w:rPr>
        <w:t xml:space="preserve">（生产厂址）</w:t>
      </w:r>
      <w:r>
        <w:rPr>
          <w:rFonts w:hint="eastAsia" w:ascii="宋体" w:hAnsi="宋体" w:eastAsia="宋体" w:cs="宋体"/>
          <w:color w:val="000000"/>
          <w:shd w:val="clear" w:color="auto" w:fill="ffffff"/>
        </w:rPr>
        <w:t xml:space="preserve">。</w:t>
      </w:r>
      <w:r>
        <w:rPr>
          <w:rFonts w:hint="eastAsia" w:ascii="宋体" w:hAnsi="宋体" w:eastAsia="宋体" w:cs="宋体"/>
          <w:color w:val="000000"/>
          <w:u w:val="single"/>
          <w:shd w:val="clear" w:color="auto" w:fill="ffffff"/>
        </w:rPr>
        <w:t xml:space="preserve"> </w:t>
      </w:r>
      <w:r>
        <w:rPr>
          <w:rStyle w:val="1069"/>
          <w:rFonts w:hint="eastAsia" w:ascii="宋体" w:hAnsi="宋体" w:eastAsia="宋体" w:cs="宋体"/>
          <w:i w:val="0"/>
          <w:color w:val="000000"/>
          <w:u w:val="single"/>
          <w:shd w:val="clear" w:color="auto" w:fill="ffffff"/>
        </w:rPr>
        <w:t xml:space="preserve">（产品名称1） </w:t>
      </w:r>
      <w:r>
        <w:rPr>
          <w:rFonts w:hint="eastAsia" w:ascii="宋体" w:hAnsi="宋体" w:eastAsia="宋体" w:cs="宋体"/>
          <w:color w:val="000000"/>
          <w:shd w:val="clear" w:color="auto" w:fill="ffffff"/>
        </w:rPr>
        <w:t xml:space="preserve">的中国境内生产的组件成本占比≥</w:t>
      </w:r>
      <w:r>
        <w:rPr>
          <w:rStyle w:val="1069"/>
          <w:rFonts w:hint="eastAsia" w:ascii="宋体" w:hAnsi="宋体" w:eastAsia="宋体" w:cs="宋体"/>
          <w:i w:val="0"/>
          <w:color w:val="000000"/>
          <w:u w:val="single"/>
          <w:shd w:val="clear" w:color="auto" w:fill="ffffff"/>
        </w:rPr>
        <w:t xml:space="preserve">（规定比例）</w:t>
      </w:r>
      <w:r>
        <w:rPr>
          <w:rStyle w:val="1069"/>
          <w:rFonts w:hint="eastAsia" w:ascii="宋体" w:hAnsi="宋体" w:eastAsia="宋体" w:cs="宋体"/>
          <w:i w:val="0"/>
          <w:color w:val="000000"/>
          <w:shd w:val="clear" w:color="auto" w:fill="ffffff"/>
          <w:vertAlign w:val="superscript"/>
        </w:rPr>
        <w:t xml:space="preserve">3</w:t>
      </w:r>
      <w:r>
        <w:rPr>
          <w:rFonts w:hint="eastAsia" w:ascii="宋体" w:hAnsi="宋体" w:eastAsia="宋体" w:cs="宋体"/>
          <w:color w:val="000000"/>
          <w:shd w:val="clear" w:color="auto" w:fill="ffffff"/>
        </w:rPr>
        <w:t xml:space="preserve">。</w:t>
      </w:r>
      <w:r>
        <w:rPr>
          <w:rStyle w:val="1069"/>
          <w:rFonts w:hint="eastAsia" w:ascii="宋体" w:hAnsi="宋体" w:eastAsia="宋体" w:cs="宋体"/>
          <w:i w:val="0"/>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1069"/>
          <w:rFonts w:hint="eastAsia" w:ascii="宋体" w:hAnsi="宋体" w:eastAsia="宋体" w:cs="宋体"/>
          <w:i w:val="0"/>
          <w:color w:val="000000"/>
          <w:u w:val="single"/>
          <w:shd w:val="clear" w:color="auto" w:fill="ffffff"/>
        </w:rPr>
        <w:t xml:space="preserve">（关键组件）</w:t>
      </w:r>
      <w:r>
        <w:rPr>
          <w:rStyle w:val="1069"/>
          <w:rFonts w:hint="eastAsia" w:ascii="宋体" w:hAnsi="宋体" w:eastAsia="宋体" w:cs="宋体"/>
          <w:i w:val="0"/>
          <w:color w:val="000000"/>
          <w:shd w:val="clear" w:color="auto" w:fill="ffffff"/>
          <w:vertAlign w:val="superscript"/>
        </w:rPr>
        <w:t xml:space="preserve">4</w:t>
      </w:r>
      <w:r>
        <w:rPr>
          <w:rFonts w:hint="eastAsia" w:ascii="宋体" w:hAnsi="宋体" w:eastAsia="宋体" w:cs="宋体"/>
          <w:color w:val="000000"/>
          <w:shd w:val="clear" w:color="auto" w:fill="ffffff"/>
        </w:rPr>
        <w:t xml:space="preserve">在中国境内生产。</w:t>
      </w:r>
      <w:r>
        <w:rPr>
          <w:rStyle w:val="1069"/>
          <w:rFonts w:hint="eastAsia" w:ascii="宋体" w:hAnsi="宋体" w:eastAsia="宋体" w:cs="宋体"/>
          <w:i w:val="0"/>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1069"/>
          <w:rFonts w:hint="eastAsia" w:ascii="宋体" w:hAnsi="宋体" w:eastAsia="宋体" w:cs="宋体"/>
          <w:i w:val="0"/>
          <w:color w:val="000000"/>
          <w:u w:val="single"/>
          <w:shd w:val="clear" w:color="auto" w:fill="ffffff"/>
        </w:rPr>
        <w:t xml:space="preserve">（关键工序）</w:t>
      </w:r>
      <w:r>
        <w:rPr>
          <w:rStyle w:val="1069"/>
          <w:rFonts w:hint="eastAsia" w:ascii="宋体" w:hAnsi="宋体" w:eastAsia="宋体" w:cs="宋体"/>
          <w:i w:val="0"/>
          <w:color w:val="000000"/>
          <w:shd w:val="clear" w:color="auto" w:fill="ffffff"/>
          <w:vertAlign w:val="superscript"/>
        </w:rPr>
        <w:t xml:space="preserve">5</w:t>
      </w:r>
      <w:r>
        <w:rPr>
          <w:rFonts w:hint="eastAsia" w:ascii="宋体" w:hAnsi="宋体" w:eastAsia="宋体" w:cs="宋体"/>
          <w:color w:val="000000"/>
          <w:shd w:val="clear" w:color="auto" w:fill="ffffff"/>
        </w:rPr>
        <w:t xml:space="preserve">在中国境内完成。</w:t>
      </w:r>
      <w:r>
        <w:rPr>
          <w:rFonts w:hint="eastAsia" w:ascii="宋体" w:hAnsi="宋体" w:eastAsia="宋体" w:cs="宋体"/>
          <w:color w:val="000000"/>
        </w:rPr>
      </w:r>
      <w:r/>
    </w:p>
    <w:p>
      <w:pPr>
        <w:pStyle w:val="1062"/>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5;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5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53;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7;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5;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hd w:val="clear" w:color="auto" w:fill="ffffff"/>
        </w:rPr>
        <w:t xml:space="preserve">2.</w:t>
      </w:r>
      <w:r>
        <w:rPr>
          <w:rStyle w:val="1069"/>
          <w:rFonts w:hint="eastAsia" w:ascii="宋体" w:hAnsi="宋体" w:eastAsia="宋体" w:cs="宋体"/>
          <w:i w:val="0"/>
          <w:color w:val="000000"/>
          <w:u w:val="single"/>
          <w:shd w:val="clear" w:color="auto" w:fill="ffffff"/>
        </w:rPr>
        <w:t xml:space="preserve">（产品名称2）</w:t>
      </w:r>
      <w:r>
        <w:rPr>
          <w:rFonts w:hint="eastAsia" w:ascii="宋体" w:hAnsi="宋体" w:eastAsia="宋体" w:cs="宋体"/>
          <w:color w:val="000000"/>
          <w:shd w:val="clear" w:color="auto" w:fill="ffffff"/>
        </w:rPr>
        <w:t xml:space="preserve">，生产厂为</w:t>
      </w:r>
      <w:r>
        <w:rPr>
          <w:rStyle w:val="1069"/>
          <w:rFonts w:hint="eastAsia" w:ascii="宋体" w:hAnsi="宋体" w:eastAsia="宋体" w:cs="宋体"/>
          <w:i w:val="0"/>
          <w:color w:val="000000"/>
          <w:u w:val="single"/>
          <w:shd w:val="clear" w:color="auto" w:fill="ffffff"/>
        </w:rPr>
        <w:t xml:space="preserve">（厂名）</w:t>
      </w:r>
      <w:r>
        <w:rPr>
          <w:rFonts w:hint="eastAsia" w:ascii="宋体" w:hAnsi="宋体" w:eastAsia="宋体" w:cs="宋体"/>
          <w:color w:val="000000"/>
          <w:shd w:val="clear" w:color="auto" w:fill="ffffff"/>
        </w:rPr>
        <w:t xml:space="preserve">，厂址为</w:t>
      </w:r>
      <w:r>
        <w:rPr>
          <w:rStyle w:val="1069"/>
          <w:rFonts w:hint="eastAsia" w:ascii="宋体" w:hAnsi="宋体" w:eastAsia="宋体" w:cs="宋体"/>
          <w:i w:val="0"/>
          <w:color w:val="000000"/>
          <w:u w:val="single"/>
          <w:shd w:val="clear" w:color="auto" w:fill="ffffff"/>
        </w:rPr>
        <w:t xml:space="preserve">（生产厂址）</w:t>
      </w:r>
      <w:r>
        <w:rPr>
          <w:rFonts w:hint="eastAsia" w:ascii="宋体" w:hAnsi="宋体" w:eastAsia="宋体" w:cs="宋体"/>
          <w:color w:val="000000"/>
          <w:shd w:val="clear" w:color="auto" w:fill="ffffff"/>
        </w:rPr>
        <w:t xml:space="preserve">。</w:t>
      </w:r>
      <w:r>
        <w:rPr>
          <w:rStyle w:val="1069"/>
          <w:rFonts w:hint="eastAsia" w:ascii="宋体" w:hAnsi="宋体" w:eastAsia="宋体" w:cs="宋体"/>
          <w:i w:val="0"/>
          <w:color w:val="000000"/>
          <w:u w:val="single"/>
          <w:shd w:val="clear" w:color="auto" w:fill="ffffff"/>
        </w:rPr>
        <w:t xml:space="preserve">（产品名称2）</w:t>
      </w:r>
      <w:r>
        <w:rPr>
          <w:rFonts w:hint="eastAsia" w:ascii="宋体" w:hAnsi="宋体" w:eastAsia="宋体" w:cs="宋体"/>
          <w:color w:val="000000"/>
          <w:shd w:val="clear" w:color="auto" w:fill="ffffff"/>
        </w:rPr>
        <w:t xml:space="preserve">的中国境内生产的组件成本占比≥</w:t>
      </w:r>
      <w:r>
        <w:rPr>
          <w:rStyle w:val="1069"/>
          <w:rFonts w:hint="eastAsia" w:ascii="宋体" w:hAnsi="宋体" w:eastAsia="宋体" w:cs="宋体"/>
          <w:i w:val="0"/>
          <w:color w:val="000000"/>
          <w:u w:val="single"/>
          <w:shd w:val="clear" w:color="auto" w:fill="ffffff"/>
        </w:rPr>
        <w:t xml:space="preserve">（规定比例）</w:t>
      </w:r>
      <w:r>
        <w:rPr>
          <w:rFonts w:hint="eastAsia" w:ascii="宋体" w:hAnsi="宋体" w:eastAsia="宋体" w:cs="宋体"/>
          <w:color w:val="000000"/>
          <w:shd w:val="clear" w:color="auto" w:fill="ffffff"/>
        </w:rPr>
        <w:t xml:space="preserve">。</w:t>
      </w:r>
      <w:r>
        <w:rPr>
          <w:rStyle w:val="1069"/>
          <w:rFonts w:hint="eastAsia" w:ascii="宋体" w:hAnsi="宋体" w:eastAsia="宋体" w:cs="宋体"/>
          <w:i w:val="0"/>
          <w:color w:val="000000"/>
          <w:u w:val="single"/>
          <w:shd w:val="clear" w:color="auto" w:fill="ffffff"/>
        </w:rPr>
        <w:t xml:space="preserve">（产品名称2）</w:t>
      </w:r>
      <w:r>
        <w:rPr>
          <w:rFonts w:hint="eastAsia" w:ascii="宋体" w:hAnsi="宋体" w:eastAsia="宋体" w:cs="宋体"/>
          <w:color w:val="000000"/>
          <w:shd w:val="clear" w:color="auto" w:fill="ffffff"/>
        </w:rPr>
        <w:t xml:space="preserve">的</w:t>
      </w:r>
      <w:r>
        <w:rPr>
          <w:rStyle w:val="1069"/>
          <w:rFonts w:hint="eastAsia" w:ascii="宋体" w:hAnsi="宋体" w:eastAsia="宋体" w:cs="宋体"/>
          <w:i w:val="0"/>
          <w:color w:val="000000"/>
          <w:u w:val="single"/>
          <w:shd w:val="clear" w:color="auto" w:fill="ffffff"/>
        </w:rPr>
        <w:t xml:space="preserve">（关键组件）</w:t>
      </w:r>
      <w:r>
        <w:rPr>
          <w:rFonts w:hint="eastAsia" w:ascii="宋体" w:hAnsi="宋体" w:eastAsia="宋体" w:cs="宋体"/>
          <w:color w:val="000000"/>
          <w:shd w:val="clear" w:color="auto" w:fill="ffffff"/>
        </w:rPr>
        <w:t xml:space="preserve">在中国境内生产。</w:t>
      </w:r>
      <w:r>
        <w:rPr>
          <w:rStyle w:val="1069"/>
          <w:rFonts w:hint="eastAsia" w:ascii="宋体" w:hAnsi="宋体" w:eastAsia="宋体" w:cs="宋体"/>
          <w:i w:val="0"/>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1069"/>
          <w:rFonts w:hint="eastAsia" w:ascii="宋体" w:hAnsi="宋体" w:eastAsia="宋体" w:cs="宋体"/>
          <w:i w:val="0"/>
          <w:color w:val="000000"/>
          <w:u w:val="single"/>
          <w:shd w:val="clear" w:color="auto" w:fill="ffffff"/>
        </w:rPr>
        <w:t xml:space="preserve">（关键工序）</w:t>
      </w:r>
      <w:r>
        <w:rPr>
          <w:rFonts w:hint="eastAsia" w:ascii="宋体" w:hAnsi="宋体" w:eastAsia="宋体" w:cs="宋体"/>
          <w:color w:val="000000"/>
          <w:shd w:val="clear" w:color="auto" w:fill="ffffff"/>
        </w:rPr>
        <w:t xml:space="preserve">在中国境内完成。</w:t>
      </w:r>
      <w:r>
        <w:rPr>
          <w:rFonts w:hint="eastAsia" w:ascii="宋体" w:hAnsi="宋体" w:eastAsia="宋体" w:cs="宋体"/>
          <w:color w:val="000000"/>
        </w:rPr>
      </w:r>
      <w:r/>
    </w:p>
    <w:p>
      <w:pPr>
        <w:pStyle w:val="1062"/>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w:t>
      </w:r>
      <w:r>
        <w:rPr>
          <w:rFonts w:hint="eastAsia" w:ascii="宋体" w:hAnsi="宋体" w:eastAsia="宋体" w:cs="宋体"/>
          <w:color w:val="000000"/>
        </w:rPr>
      </w:r>
      <w:r/>
    </w:p>
    <w:p>
      <w:pPr>
        <w:pStyle w:val="1062"/>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本公司（单位）对上述声明内容的真实性负责。如有虚假，愿承担相应法律责任。</w:t>
      </w:r>
      <w:r>
        <w:rPr>
          <w:rFonts w:hint="eastAsia" w:ascii="宋体" w:hAnsi="宋体" w:eastAsia="宋体" w:cs="宋体"/>
          <w:color w:val="000000"/>
        </w:rPr>
      </w:r>
      <w:r/>
    </w:p>
    <w:p>
      <w:pPr>
        <w:pStyle w:val="1062"/>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1062"/>
        <w:ind w:right="480" w:firstLine="37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公司（单位）名称（盖章）：　        </w:t>
      </w:r>
      <w:r>
        <w:rPr>
          <w:rFonts w:hint="eastAsia" w:ascii="宋体" w:hAnsi="宋体" w:eastAsia="宋体" w:cs="宋体"/>
          <w:color w:val="000000"/>
        </w:rPr>
      </w:r>
      <w:r/>
    </w:p>
    <w:p>
      <w:pPr>
        <w:pStyle w:val="1062"/>
        <w:jc w:val="center"/>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                                日期：　   年　  月　  日         </w:t>
      </w:r>
      <w:r>
        <w:rPr>
          <w:rFonts w:hint="eastAsia" w:ascii="宋体" w:hAnsi="宋体" w:eastAsia="宋体" w:cs="宋体"/>
          <w:color w:val="000000"/>
        </w:rPr>
      </w:r>
      <w:r/>
    </w:p>
    <w:p>
      <w:pPr>
        <w:pStyle w:val="1062"/>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__________________</w:t>
      </w:r>
      <w:r>
        <w:rPr>
          <w:rFonts w:hint="eastAsia" w:ascii="宋体" w:hAnsi="宋体" w:eastAsia="宋体" w:cs="宋体"/>
          <w:color w:val="000000"/>
        </w:rPr>
      </w:r>
      <w:r/>
    </w:p>
    <w:p>
      <w:pPr>
        <w:pStyle w:val="1062"/>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1.产品如有型号，请在“产品名称”栏一并填写。</w:t>
      </w:r>
      <w:r>
        <w:rPr>
          <w:rFonts w:hint="eastAsia" w:ascii="宋体" w:hAnsi="宋体" w:eastAsia="宋体" w:cs="宋体"/>
          <w:color w:val="000000"/>
          <w:sz w:val="22"/>
        </w:rPr>
      </w:r>
      <w:r/>
    </w:p>
    <w:p>
      <w:pPr>
        <w:pStyle w:val="1062"/>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2.生产厂名与厂址应与生产厂营业执照载明的相关信息保持一致。</w:t>
      </w:r>
      <w:r>
        <w:rPr>
          <w:rFonts w:hint="eastAsia" w:ascii="宋体" w:hAnsi="宋体" w:eastAsia="宋体" w:cs="宋体"/>
          <w:color w:val="000000"/>
          <w:sz w:val="22"/>
        </w:rPr>
      </w:r>
      <w:r/>
    </w:p>
    <w:p>
      <w:pPr>
        <w:pStyle w:val="1062"/>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2"/>
        </w:rPr>
      </w:r>
      <w:r/>
    </w:p>
    <w:p>
      <w:pPr>
        <w:pStyle w:val="1062"/>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4.该产品的关键组件要求实施前，“关键组件”栏可不填，下同。</w:t>
      </w:r>
      <w:r>
        <w:rPr>
          <w:rFonts w:hint="eastAsia" w:ascii="宋体" w:hAnsi="宋体" w:eastAsia="宋体" w:cs="宋体"/>
          <w:color w:val="000000"/>
          <w:sz w:val="22"/>
        </w:rPr>
      </w:r>
      <w:r/>
    </w:p>
    <w:p>
      <w:pPr>
        <w:pStyle w:val="1062"/>
        <w:spacing w:before="30" w:beforeAutospacing="0" w:after="30" w:afterAutospacing="0" w:line="0" w:lineRule="atLeast"/>
        <w:rPr>
          <w:rFonts w:hint="eastAsia" w:ascii="宋体" w:hAnsi="宋体" w:eastAsia="宋体" w:cs="宋体"/>
          <w:color w:val="000000"/>
          <w:sz w:val="22"/>
          <w:shd w:val="clear" w:color="auto" w:fill="ffffff"/>
        </w:rPr>
      </w:pPr>
      <w:r>
        <w:rPr>
          <w:rFonts w:hint="eastAsia" w:ascii="宋体" w:hAnsi="宋体" w:eastAsia="宋体" w:cs="宋体"/>
          <w:color w:val="000000"/>
          <w:sz w:val="22"/>
          <w:shd w:val="clear" w:color="auto" w:fill="ffffff"/>
        </w:rPr>
        <w:t xml:space="preserve">5.该产品的关键工序要求实施前，“关键工序”栏可不填，下同。</w:t>
      </w:r>
      <w:r>
        <w:rPr>
          <w:rFonts w:hint="eastAsia" w:ascii="宋体" w:hAnsi="宋体" w:eastAsia="宋体" w:cs="宋体"/>
          <w:color w:val="000000"/>
          <w:sz w:val="22"/>
          <w:shd w:val="clear" w:color="auto" w:fill="ffffff"/>
        </w:rPr>
      </w:r>
      <w:r/>
    </w:p>
    <w:p>
      <w:pPr>
        <w:pStyle w:val="1062"/>
        <w:spacing w:before="30" w:beforeAutospacing="0" w:after="30" w:afterAutospacing="0" w:line="0" w:lineRule="atLeast"/>
        <w:rPr>
          <w:rFonts w:hint="eastAsia" w:ascii="宋体" w:hAnsi="宋体" w:eastAsia="宋体" w:cs="宋体"/>
          <w:color w:val="000000"/>
          <w:sz w:val="22"/>
          <w:shd w:val="clear" w:color="auto" w:fill="ffffff"/>
        </w:rPr>
      </w:pPr>
      <w:r>
        <w:rPr>
          <w:rFonts w:hint="eastAsia" w:ascii="宋体" w:hAnsi="宋体" w:eastAsia="宋体" w:cs="宋体"/>
          <w:color w:val="000000"/>
          <w:sz w:val="22"/>
          <w:shd w:val="clear" w:color="auto" w:fill="ffffff"/>
        </w:rPr>
        <w:t xml:space="preserve">6.用斜线划除的地方无需填写。</w:t>
      </w:r>
      <w:r>
        <w:rPr>
          <w:rFonts w:hint="eastAsia" w:ascii="宋体" w:hAnsi="宋体" w:eastAsia="宋体" w:cs="宋体"/>
          <w:color w:val="000000"/>
          <w:sz w:val="22"/>
          <w:shd w:val="clear" w:color="auto" w:fill="ffffff"/>
        </w:rPr>
      </w:r>
      <w:r/>
    </w:p>
    <w:p>
      <w:pPr>
        <w:pStyle w:val="1011"/>
        <w:jc w:val="center"/>
        <w:spacing w:line="360" w:lineRule="auto"/>
        <w:rPr>
          <w:rFonts w:hint="eastAsia" w:ascii="宋体" w:hAnsi="宋体" w:eastAsia="宋体" w:cs="仿宋"/>
          <w:color w:val="000000"/>
          <w:sz w:val="24"/>
          <w:highlight w:val="none"/>
        </w:rPr>
      </w:pPr>
      <w:r>
        <w:rPr>
          <w:rFonts w:hint="eastAsia" w:ascii="宋体" w:hAnsi="宋体" w:eastAsia="宋体" w:cs="仿宋"/>
          <w:color w:val="000000"/>
          <w:sz w:val="24"/>
          <w:highlight w:val="none"/>
        </w:rPr>
      </w:r>
      <w:r/>
    </w:p>
    <w:p>
      <w:pPr>
        <w:pStyle w:val="1011"/>
        <w:rPr>
          <w:rStyle w:val="1288"/>
          <w:rFonts w:hint="eastAsia" w:ascii="宋体" w:hAnsi="宋体" w:eastAsia="宋体" w:cs="仿宋"/>
          <w:b/>
          <w:bCs w:val="0"/>
          <w:color w:val="000000"/>
          <w:sz w:val="32"/>
          <w:szCs w:val="15"/>
          <w:highlight w:val="none"/>
        </w:rPr>
      </w:pPr>
      <w:r>
        <w:rPr>
          <w:rStyle w:val="1288"/>
          <w:rFonts w:hint="eastAsia" w:ascii="宋体" w:hAnsi="宋体" w:eastAsia="宋体" w:cs="仿宋"/>
          <w:b/>
          <w:bCs w:val="0"/>
          <w:color w:val="000000"/>
          <w:sz w:val="32"/>
          <w:szCs w:val="15"/>
          <w:highlight w:val="none"/>
        </w:rPr>
        <w:br w:type="page" w:clear="all"/>
      </w:r>
      <w:r>
        <w:rPr>
          <w:rStyle w:val="1288"/>
          <w:rFonts w:hint="eastAsia" w:ascii="宋体" w:hAnsi="宋体" w:eastAsia="宋体" w:cs="仿宋"/>
          <w:b/>
          <w:bCs w:val="0"/>
          <w:color w:val="000000"/>
          <w:sz w:val="32"/>
          <w:szCs w:val="15"/>
          <w:highlight w:val="none"/>
        </w:rPr>
      </w:r>
      <w:r/>
    </w:p>
    <w:p>
      <w:pPr>
        <w:pStyle w:val="1014"/>
        <w:jc w:val="center"/>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t xml:space="preserve">联合体协议书（格式）</w:t>
      </w:r>
      <w:r>
        <w:rPr>
          <w:rFonts w:hint="eastAsia" w:ascii="宋体" w:hAnsi="宋体" w:eastAsia="宋体" w:cs="宋体"/>
          <w:b/>
          <w:bCs/>
          <w:color w:val="000000"/>
          <w:sz w:val="32"/>
          <w:szCs w:val="32"/>
          <w:highlight w:val="none"/>
          <w:lang w:eastAsia="zh-CN"/>
        </w:rPr>
      </w:r>
      <w:r/>
    </w:p>
    <w:p>
      <w:pPr>
        <w:pStyle w:val="1011"/>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1011"/>
        <w:ind w:firstLine="480"/>
        <w:spacing w:line="24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______ 、 _____ 就________（项目名称采购项目的</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lang w:eastAsia="zh-CN"/>
        </w:rPr>
        <w:t xml:space="preserve">事宜，经各方充分协商一致，达成如下协议：</w:t>
      </w:r>
      <w:r>
        <w:rPr>
          <w:rFonts w:hint="eastAsia" w:ascii="宋体" w:hAnsi="宋体" w:eastAsia="宋体" w:cs="宋体"/>
          <w:color w:val="000000"/>
          <w:sz w:val="24"/>
          <w:highlight w:val="none"/>
          <w:lang w:eastAsia="zh-CN"/>
        </w:rPr>
      </w:r>
      <w:r/>
    </w:p>
    <w:p>
      <w:pPr>
        <w:pStyle w:val="1011"/>
        <w:ind w:firstLine="480"/>
        <w:spacing w:line="24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一、由_________牵头，__________参加，组成联合体共同进行采购项目的</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lang w:eastAsia="zh-CN"/>
        </w:rPr>
        <w:t xml:space="preserve">工作。</w:t>
      </w:r>
      <w:r>
        <w:rPr>
          <w:rFonts w:hint="eastAsia" w:ascii="宋体" w:hAnsi="宋体" w:eastAsia="宋体" w:cs="宋体"/>
          <w:color w:val="000000"/>
          <w:sz w:val="24"/>
          <w:highlight w:val="none"/>
          <w:lang w:eastAsia="zh-CN"/>
        </w:rPr>
      </w:r>
      <w:r/>
    </w:p>
    <w:p>
      <w:pPr>
        <w:pStyle w:val="1011"/>
        <w:ind w:firstLine="480"/>
        <w:spacing w:line="24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二、______为本次响应的牵头人，联合体以牵头人的名义参加响应，联合体成交后，联合体各方共同与采购人签订合同，就采购合同约定的事项对采购人承担连带责任。</w:t>
      </w:r>
      <w:r>
        <w:rPr>
          <w:rFonts w:hint="eastAsia" w:ascii="宋体" w:hAnsi="宋体" w:eastAsia="宋体" w:cs="宋体"/>
          <w:color w:val="000000"/>
          <w:sz w:val="24"/>
          <w:highlight w:val="none"/>
          <w:lang w:eastAsia="zh-CN"/>
        </w:rPr>
      </w:r>
      <w:r/>
    </w:p>
    <w:p>
      <w:pPr>
        <w:pStyle w:val="1011"/>
        <w:ind w:firstLine="480"/>
        <w:spacing w:line="24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三、联合体各方均同意由牵头人代表其他联合体成员单位按</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lang w:eastAsia="zh-CN"/>
        </w:rPr>
        <w:t xml:space="preserve">文件要求出具《授权委托书》。</w:t>
      </w:r>
      <w:r>
        <w:rPr>
          <w:rFonts w:hint="eastAsia" w:ascii="宋体" w:hAnsi="宋体" w:eastAsia="宋体" w:cs="宋体"/>
          <w:color w:val="000000"/>
          <w:sz w:val="24"/>
          <w:highlight w:val="none"/>
          <w:lang w:eastAsia="zh-CN"/>
        </w:rPr>
      </w:r>
      <w:r/>
    </w:p>
    <w:p>
      <w:pPr>
        <w:pStyle w:val="1011"/>
        <w:ind w:firstLine="480"/>
        <w:spacing w:line="24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四、牵头人为项目的总负责单位；组织各参加方进行项目实施工作。</w:t>
      </w:r>
      <w:r>
        <w:rPr>
          <w:rFonts w:hint="eastAsia" w:ascii="宋体" w:hAnsi="宋体" w:eastAsia="宋体" w:cs="宋体"/>
          <w:color w:val="000000"/>
          <w:sz w:val="24"/>
          <w:highlight w:val="none"/>
          <w:lang w:eastAsia="zh-CN"/>
        </w:rPr>
      </w:r>
      <w:r/>
    </w:p>
    <w:p>
      <w:pPr>
        <w:pStyle w:val="1011"/>
        <w:ind w:firstLine="480"/>
        <w:spacing w:line="24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五、______负责_____，具体工作范围、内容以响应文件及合同为准。</w:t>
      </w:r>
      <w:r>
        <w:rPr>
          <w:rFonts w:hint="eastAsia" w:ascii="宋体" w:hAnsi="宋体" w:eastAsia="宋体" w:cs="宋体"/>
          <w:color w:val="000000"/>
          <w:sz w:val="24"/>
          <w:highlight w:val="none"/>
          <w:lang w:eastAsia="zh-CN"/>
        </w:rPr>
      </w:r>
      <w:r/>
    </w:p>
    <w:p>
      <w:pPr>
        <w:pStyle w:val="1011"/>
        <w:ind w:firstLine="480"/>
        <w:spacing w:line="24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六、______负责_____，具体工作范围、内容以响应文件及合同为准。</w:t>
      </w:r>
      <w:r>
        <w:rPr>
          <w:rFonts w:hint="eastAsia" w:ascii="宋体" w:hAnsi="宋体" w:eastAsia="宋体" w:cs="宋体"/>
          <w:color w:val="000000"/>
          <w:sz w:val="24"/>
          <w:highlight w:val="none"/>
          <w:lang w:eastAsia="zh-CN"/>
        </w:rPr>
      </w:r>
      <w:r/>
    </w:p>
    <w:p>
      <w:pPr>
        <w:pStyle w:val="1011"/>
        <w:ind w:firstLine="480"/>
        <w:spacing w:line="24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七、______负责_____（如有），具体工作范围、内容以响应文件及合同为准。</w:t>
      </w:r>
      <w:r>
        <w:rPr>
          <w:rFonts w:hint="eastAsia" w:ascii="宋体" w:hAnsi="宋体" w:eastAsia="宋体" w:cs="宋体"/>
          <w:color w:val="000000"/>
          <w:sz w:val="24"/>
          <w:highlight w:val="none"/>
          <w:lang w:eastAsia="zh-CN"/>
        </w:rPr>
      </w:r>
      <w:r/>
    </w:p>
    <w:p>
      <w:pPr>
        <w:pStyle w:val="1011"/>
        <w:ind w:firstLine="480"/>
        <w:spacing w:line="24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八、本项目联合协议合同总额为________元，联合体各成员按照如下比例分摊（按联合体成员分别列明）：</w:t>
      </w:r>
      <w:r>
        <w:rPr>
          <w:rFonts w:hint="eastAsia" w:ascii="宋体" w:hAnsi="宋体" w:eastAsia="宋体" w:cs="宋体"/>
          <w:color w:val="000000"/>
          <w:sz w:val="24"/>
          <w:highlight w:val="none"/>
          <w:lang w:eastAsia="zh-CN"/>
        </w:rPr>
      </w:r>
      <w:r/>
    </w:p>
    <w:p>
      <w:pPr>
        <w:pStyle w:val="1011"/>
        <w:ind w:firstLine="480"/>
        <w:spacing w:line="24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（1）______为□大型企业□中型企业、□小微企业（包含监狱企业、残疾人福利性单位）、□其他，合同金额为_____元，占合同总金额    %；</w:t>
      </w:r>
      <w:r>
        <w:rPr>
          <w:rFonts w:hint="eastAsia" w:ascii="宋体" w:hAnsi="宋体" w:eastAsia="宋体" w:cs="宋体"/>
          <w:color w:val="000000"/>
          <w:sz w:val="24"/>
          <w:highlight w:val="none"/>
          <w:lang w:eastAsia="zh-CN"/>
        </w:rPr>
      </w:r>
      <w:r/>
    </w:p>
    <w:p>
      <w:pPr>
        <w:pStyle w:val="1011"/>
        <w:ind w:firstLine="480"/>
        <w:spacing w:line="24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（2）______为□大型企业□中型企业、□小微企业（包含监狱企业、残疾人福利性单位）、□其他，合同金额为_____元，占合同总金额    %；</w:t>
      </w:r>
      <w:r>
        <w:rPr>
          <w:rFonts w:hint="eastAsia" w:ascii="宋体" w:hAnsi="宋体" w:eastAsia="宋体" w:cs="宋体"/>
          <w:color w:val="000000"/>
          <w:sz w:val="24"/>
          <w:highlight w:val="none"/>
          <w:lang w:eastAsia="zh-CN"/>
        </w:rPr>
      </w:r>
      <w:r/>
    </w:p>
    <w:p>
      <w:pPr>
        <w:pStyle w:val="1011"/>
        <w:ind w:firstLine="480"/>
        <w:spacing w:line="24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（…）______为□大型企业□中型企业、□小微企业（包含监狱企业、残疾人福利性单位）、□其他，合同金额为_____元。</w:t>
      </w:r>
      <w:r>
        <w:rPr>
          <w:rFonts w:hint="eastAsia" w:ascii="宋体" w:hAnsi="宋体" w:eastAsia="宋体" w:cs="宋体"/>
          <w:color w:val="000000"/>
          <w:sz w:val="24"/>
          <w:highlight w:val="none"/>
          <w:lang w:eastAsia="zh-CN"/>
        </w:rPr>
      </w:r>
      <w:r/>
    </w:p>
    <w:p>
      <w:pPr>
        <w:pStyle w:val="1011"/>
        <w:ind w:firstLine="480"/>
        <w:spacing w:line="24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以联合体形式参加政府采购活动的，联合体各方不得再单独参加或者与其他供应商另外组成联合体参加同一合同项下的政府采购活动。</w:t>
      </w:r>
      <w:r>
        <w:rPr>
          <w:rFonts w:hint="eastAsia" w:ascii="宋体" w:hAnsi="宋体" w:eastAsia="宋体" w:cs="宋体"/>
          <w:color w:val="000000"/>
          <w:sz w:val="24"/>
          <w:highlight w:val="none"/>
          <w:lang w:eastAsia="zh-CN"/>
        </w:rPr>
      </w:r>
      <w:r/>
    </w:p>
    <w:p>
      <w:pPr>
        <w:pStyle w:val="1011"/>
        <w:ind w:firstLine="480"/>
        <w:spacing w:line="24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其他约定（如有）：_______。</w:t>
      </w:r>
      <w:r>
        <w:rPr>
          <w:rFonts w:hint="eastAsia" w:ascii="宋体" w:hAnsi="宋体" w:eastAsia="宋体" w:cs="宋体"/>
          <w:color w:val="000000"/>
          <w:sz w:val="24"/>
          <w:highlight w:val="none"/>
          <w:lang w:eastAsia="zh-CN"/>
        </w:rPr>
      </w:r>
      <w:r/>
    </w:p>
    <w:p>
      <w:pPr>
        <w:pStyle w:val="1011"/>
        <w:ind w:firstLine="480"/>
        <w:spacing w:line="24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本协议自各方盖章后生效，采购合同履行完毕后自动失效。如未成交，本协议自动终止。</w:t>
      </w:r>
      <w:r>
        <w:rPr>
          <w:rFonts w:hint="eastAsia" w:ascii="宋体" w:hAnsi="宋体" w:eastAsia="宋体" w:cs="宋体"/>
          <w:color w:val="000000"/>
          <w:sz w:val="24"/>
          <w:highlight w:val="none"/>
          <w:lang w:eastAsia="zh-CN"/>
        </w:rPr>
      </w:r>
      <w:r/>
    </w:p>
    <w:p>
      <w:pPr>
        <w:pStyle w:val="1011"/>
        <w:ind w:firstLine="480"/>
        <w:spacing w:line="24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注：本协议书由法定代表人（单位负责人）签字的，应附法定代表人（单位负责人）身份证明；由委托代理人签字的，应同时附法定代表人（单位负责人）授权书。</w:t>
      </w:r>
      <w:r>
        <w:rPr>
          <w:rFonts w:hint="eastAsia" w:ascii="宋体" w:hAnsi="宋体" w:eastAsia="宋体" w:cs="宋体"/>
          <w:color w:val="000000"/>
          <w:sz w:val="24"/>
          <w:highlight w:val="none"/>
          <w:lang w:eastAsia="zh-CN"/>
        </w:rPr>
      </w:r>
      <w:r/>
    </w:p>
    <w:p>
      <w:pPr>
        <w:pStyle w:val="1011"/>
        <w:ind w:firstLine="480"/>
        <w:spacing w:line="24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 </w:t>
      </w:r>
      <w:r>
        <w:rPr>
          <w:rFonts w:hint="eastAsia" w:ascii="宋体" w:hAnsi="宋体" w:eastAsia="宋体" w:cs="宋体"/>
          <w:color w:val="000000"/>
          <w:sz w:val="24"/>
          <w:highlight w:val="none"/>
          <w:lang w:eastAsia="zh-CN"/>
        </w:rPr>
      </w:r>
      <w:r/>
    </w:p>
    <w:p>
      <w:pPr>
        <w:pStyle w:val="1011"/>
        <w:ind w:firstLine="480"/>
        <w:jc w:val="right"/>
        <w:spacing w:line="24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联合体牵头人名称： </w:t>
      </w:r>
      <w:r>
        <w:rPr>
          <w:rFonts w:hint="eastAsia" w:ascii="宋体" w:hAnsi="宋体" w:eastAsia="宋体" w:cs="宋体"/>
          <w:color w:val="000000"/>
          <w:sz w:val="24"/>
          <w:highlight w:val="none"/>
          <w:lang w:eastAsia="zh-CN"/>
        </w:rPr>
        <w:tab/>
      </w:r>
      <w:r>
        <w:rPr>
          <w:rFonts w:hint="eastAsia" w:ascii="宋体" w:hAnsi="宋体" w:eastAsia="宋体" w:cs="宋体"/>
          <w:color w:val="000000"/>
          <w:sz w:val="24"/>
          <w:highlight w:val="none"/>
          <w:lang w:eastAsia="zh-CN"/>
        </w:rPr>
        <w:t xml:space="preserve">（公章）</w:t>
      </w:r>
      <w:r>
        <w:rPr>
          <w:rFonts w:hint="eastAsia" w:ascii="宋体" w:hAnsi="宋体" w:eastAsia="宋体" w:cs="宋体"/>
          <w:color w:val="000000"/>
          <w:sz w:val="24"/>
          <w:highlight w:val="none"/>
          <w:lang w:eastAsia="zh-CN"/>
        </w:rPr>
      </w:r>
      <w:r/>
    </w:p>
    <w:p>
      <w:pPr>
        <w:pStyle w:val="1011"/>
        <w:ind w:firstLine="480"/>
        <w:jc w:val="right"/>
        <w:spacing w:line="24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法定代表人（单位负责人）或其委托代理人： </w:t>
      </w:r>
      <w:r>
        <w:rPr>
          <w:rFonts w:hint="eastAsia" w:ascii="宋体" w:hAnsi="宋体" w:eastAsia="宋体" w:cs="宋体"/>
          <w:color w:val="000000"/>
          <w:sz w:val="24"/>
          <w:highlight w:val="none"/>
          <w:lang w:eastAsia="zh-CN"/>
        </w:rPr>
        <w:tab/>
      </w:r>
      <w:r>
        <w:rPr>
          <w:rFonts w:hint="eastAsia" w:ascii="宋体" w:hAnsi="宋体" w:eastAsia="宋体" w:cs="宋体"/>
          <w:color w:val="000000"/>
          <w:sz w:val="24"/>
          <w:highlight w:val="none"/>
          <w:lang w:eastAsia="zh-CN"/>
        </w:rPr>
        <w:t xml:space="preserve">（签字）</w:t>
      </w:r>
      <w:r>
        <w:rPr>
          <w:rFonts w:hint="eastAsia" w:ascii="宋体" w:hAnsi="宋体" w:eastAsia="宋体" w:cs="宋体"/>
          <w:color w:val="000000"/>
          <w:sz w:val="24"/>
          <w:highlight w:val="none"/>
          <w:lang w:eastAsia="zh-CN"/>
        </w:rPr>
      </w:r>
      <w:r/>
    </w:p>
    <w:p>
      <w:pPr>
        <w:pStyle w:val="1011"/>
        <w:ind w:firstLine="480"/>
        <w:jc w:val="right"/>
        <w:spacing w:line="24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 </w:t>
      </w:r>
      <w:r>
        <w:rPr>
          <w:rFonts w:hint="eastAsia" w:ascii="宋体" w:hAnsi="宋体" w:eastAsia="宋体" w:cs="宋体"/>
          <w:color w:val="000000"/>
          <w:sz w:val="24"/>
          <w:highlight w:val="none"/>
          <w:lang w:eastAsia="zh-CN"/>
        </w:rPr>
      </w:r>
      <w:r/>
    </w:p>
    <w:p>
      <w:pPr>
        <w:pStyle w:val="1011"/>
        <w:ind w:firstLine="480"/>
        <w:jc w:val="right"/>
        <w:spacing w:line="24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联合体成员名称： </w:t>
      </w:r>
      <w:r>
        <w:rPr>
          <w:rFonts w:hint="eastAsia" w:ascii="宋体" w:hAnsi="宋体" w:eastAsia="宋体" w:cs="宋体"/>
          <w:color w:val="000000"/>
          <w:sz w:val="24"/>
          <w:highlight w:val="none"/>
          <w:lang w:eastAsia="zh-CN"/>
        </w:rPr>
        <w:tab/>
      </w:r>
      <w:r>
        <w:rPr>
          <w:rFonts w:hint="eastAsia" w:ascii="宋体" w:hAnsi="宋体" w:eastAsia="宋体" w:cs="宋体"/>
          <w:color w:val="000000"/>
          <w:sz w:val="24"/>
          <w:highlight w:val="none"/>
          <w:lang w:eastAsia="zh-CN"/>
        </w:rPr>
        <w:t xml:space="preserve">（公章）</w:t>
      </w:r>
      <w:r>
        <w:rPr>
          <w:rFonts w:hint="eastAsia" w:ascii="宋体" w:hAnsi="宋体" w:eastAsia="宋体" w:cs="宋体"/>
          <w:color w:val="000000"/>
          <w:sz w:val="24"/>
          <w:highlight w:val="none"/>
          <w:lang w:eastAsia="zh-CN"/>
        </w:rPr>
      </w:r>
      <w:r/>
    </w:p>
    <w:p>
      <w:pPr>
        <w:pStyle w:val="1011"/>
        <w:ind w:firstLine="480"/>
        <w:jc w:val="right"/>
        <w:spacing w:line="24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法定代表人（单位负责人）或其委托代理人： </w:t>
      </w:r>
      <w:r>
        <w:rPr>
          <w:rFonts w:hint="eastAsia" w:ascii="宋体" w:hAnsi="宋体" w:eastAsia="宋体" w:cs="宋体"/>
          <w:color w:val="000000"/>
          <w:sz w:val="24"/>
          <w:highlight w:val="none"/>
          <w:lang w:eastAsia="zh-CN"/>
        </w:rPr>
        <w:tab/>
      </w:r>
      <w:r>
        <w:rPr>
          <w:rFonts w:hint="eastAsia" w:ascii="宋体" w:hAnsi="宋体" w:eastAsia="宋体" w:cs="宋体"/>
          <w:color w:val="000000"/>
          <w:sz w:val="24"/>
          <w:highlight w:val="none"/>
          <w:lang w:eastAsia="zh-CN"/>
        </w:rPr>
        <w:t xml:space="preserve">（签字）</w:t>
      </w:r>
      <w:r>
        <w:rPr>
          <w:rFonts w:hint="eastAsia" w:ascii="宋体" w:hAnsi="宋体" w:eastAsia="宋体" w:cs="宋体"/>
          <w:color w:val="000000"/>
          <w:sz w:val="24"/>
          <w:highlight w:val="none"/>
          <w:lang w:eastAsia="zh-CN"/>
        </w:rPr>
      </w:r>
      <w:r/>
    </w:p>
    <w:p>
      <w:pPr>
        <w:pStyle w:val="1011"/>
        <w:ind w:firstLine="480"/>
        <w:jc w:val="right"/>
        <w:spacing w:line="24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1"/>
        <w:ind w:firstLine="480"/>
        <w:jc w:val="right"/>
        <w:spacing w:line="24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日期：</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eastAsia="zh-CN"/>
        </w:rPr>
        <w:t xml:space="preserve">年    月    日</w:t>
      </w:r>
      <w:r>
        <w:rPr>
          <w:rFonts w:hint="eastAsia" w:ascii="宋体" w:hAnsi="宋体" w:eastAsia="宋体" w:cs="宋体"/>
          <w:color w:val="000000"/>
          <w:sz w:val="24"/>
          <w:highlight w:val="none"/>
          <w:lang w:eastAsia="zh-CN"/>
        </w:rPr>
      </w:r>
      <w:r/>
    </w:p>
    <w:p>
      <w:pPr>
        <w:pStyle w:val="1285"/>
        <w:jc w:val="center"/>
        <w:keepLines w:val="0"/>
        <w:keepNext w:val="0"/>
        <w:widowControl/>
        <w:rPr>
          <w:rStyle w:val="1288"/>
          <w:rFonts w:hint="eastAsia" w:ascii="宋体" w:hAnsi="宋体" w:eastAsia="宋体" w:cs="仿宋"/>
          <w:b/>
          <w:bCs w:val="0"/>
          <w:color w:val="000000"/>
          <w:sz w:val="32"/>
          <w:szCs w:val="15"/>
          <w:highlight w:val="none"/>
        </w:rPr>
      </w:pPr>
      <w:r>
        <w:rPr>
          <w:rStyle w:val="1288"/>
          <w:rFonts w:hint="eastAsia" w:ascii="宋体" w:hAnsi="宋体" w:eastAsia="宋体" w:cs="仿宋"/>
          <w:b/>
          <w:bCs w:val="0"/>
          <w:color w:val="000000"/>
          <w:sz w:val="32"/>
          <w:szCs w:val="15"/>
          <w:highlight w:val="none"/>
        </w:rPr>
      </w:r>
      <w:r/>
    </w:p>
    <w:p>
      <w:pPr>
        <w:pStyle w:val="1285"/>
        <w:jc w:val="center"/>
        <w:keepLines w:val="0"/>
        <w:keepNext w:val="0"/>
        <w:widowControl/>
        <w:rPr>
          <w:rFonts w:hint="eastAsia" w:ascii="宋体" w:hAnsi="宋体" w:eastAsia="宋体" w:cs="仿宋"/>
          <w:b/>
          <w:bCs w:val="0"/>
          <w:color w:val="000000"/>
          <w:sz w:val="32"/>
          <w:szCs w:val="15"/>
          <w:highlight w:val="none"/>
        </w:rPr>
      </w:pPr>
      <w:r>
        <w:rPr>
          <w:rStyle w:val="1288"/>
          <w:rFonts w:hint="eastAsia" w:ascii="宋体" w:hAnsi="宋体" w:eastAsia="宋体" w:cs="仿宋"/>
          <w:b/>
          <w:bCs w:val="0"/>
          <w:color w:val="000000"/>
          <w:sz w:val="32"/>
          <w:szCs w:val="15"/>
          <w:highlight w:val="none"/>
        </w:rPr>
        <w:t xml:space="preserve">开标一览表(以</w:t>
      </w:r>
      <w:r>
        <w:rPr>
          <w:rStyle w:val="1288"/>
          <w:rFonts w:ascii="宋体" w:hAnsi="宋体" w:eastAsia="宋体" w:cs="仿宋"/>
          <w:b/>
          <w:bCs w:val="0"/>
          <w:color w:val="000000"/>
          <w:sz w:val="32"/>
          <w:szCs w:val="15"/>
          <w:highlight w:val="none"/>
        </w:rPr>
        <w:t xml:space="preserve">苏采云内填写的模板为准</w:t>
      </w:r>
      <w:r>
        <w:rPr>
          <w:rStyle w:val="1288"/>
          <w:rFonts w:hint="eastAsia" w:ascii="宋体" w:hAnsi="宋体" w:eastAsia="宋体" w:cs="仿宋"/>
          <w:b/>
          <w:bCs w:val="0"/>
          <w:color w:val="000000"/>
          <w:sz w:val="32"/>
          <w:szCs w:val="15"/>
          <w:highlight w:val="none"/>
        </w:rPr>
        <w:t xml:space="preserve">)</w:t>
      </w:r>
      <w:r>
        <w:rPr>
          <w:rFonts w:hint="eastAsia" w:ascii="宋体" w:hAnsi="宋体" w:eastAsia="宋体" w:cs="仿宋"/>
          <w:b/>
          <w:bCs w:val="0"/>
          <w:color w:val="000000"/>
          <w:sz w:val="32"/>
          <w:szCs w:val="15"/>
          <w:highlight w:val="none"/>
        </w:rPr>
      </w:r>
      <w:r/>
    </w:p>
    <w:p>
      <w:pPr>
        <w:pStyle w:val="1289"/>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项目名称：                           项目编号：</w:t>
      </w:r>
      <w:r>
        <w:rPr>
          <w:rFonts w:hint="eastAsia" w:ascii="宋体" w:hAnsi="宋体" w:eastAsia="宋体" w:cs="仿宋"/>
          <w:color w:val="000000"/>
          <w:sz w:val="24"/>
          <w:szCs w:val="24"/>
          <w:highlight w:val="none"/>
        </w:rPr>
      </w:r>
      <w:r/>
    </w:p>
    <w:p>
      <w:pPr>
        <w:pStyle w:val="1289"/>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货币单位：人民币元</w:t>
      </w:r>
      <w:r>
        <w:rPr>
          <w:rFonts w:hint="eastAsia" w:ascii="宋体" w:hAnsi="宋体" w:eastAsia="宋体" w:cs="仿宋"/>
          <w:color w:val="000000"/>
          <w:sz w:val="24"/>
          <w:szCs w:val="24"/>
          <w:highlight w:val="none"/>
        </w:rPr>
      </w:r>
      <w:r/>
    </w:p>
    <w:tbl>
      <w:tblPr>
        <w:tblW w:w="8897" w:type="dxa"/>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48"/>
        </w:trPr>
        <w:tc>
          <w:tcPr>
            <w:tcW w:w="2567" w:type="dxa"/>
            <w:vAlign w:val="center"/>
            <w:textDirection w:val="lrTb"/>
            <w:noWrap w:val="false"/>
          </w:tcPr>
          <w:p>
            <w:pPr>
              <w:pStyle w:val="1289"/>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项目名称</w:t>
            </w:r>
            <w:r>
              <w:rPr>
                <w:rFonts w:hint="eastAsia" w:ascii="宋体" w:hAnsi="宋体" w:eastAsia="宋体" w:cs="仿宋"/>
                <w:color w:val="000000"/>
                <w:sz w:val="24"/>
                <w:szCs w:val="24"/>
                <w:highlight w:val="none"/>
              </w:rPr>
            </w:r>
            <w:r/>
          </w:p>
        </w:tc>
        <w:tc>
          <w:tcPr>
            <w:tcW w:w="2551" w:type="dxa"/>
            <w:vAlign w:val="center"/>
            <w:textDirection w:val="lrTb"/>
            <w:noWrap w:val="false"/>
          </w:tcPr>
          <w:p>
            <w:pPr>
              <w:pStyle w:val="1289"/>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项目内容</w:t>
            </w:r>
            <w:r>
              <w:rPr>
                <w:rFonts w:hint="eastAsia" w:ascii="宋体" w:hAnsi="宋体" w:eastAsia="宋体" w:cs="仿宋"/>
                <w:color w:val="000000"/>
                <w:sz w:val="24"/>
                <w:szCs w:val="24"/>
                <w:highlight w:val="none"/>
              </w:rPr>
            </w:r>
            <w:r/>
          </w:p>
        </w:tc>
        <w:tc>
          <w:tcPr>
            <w:tcW w:w="3779" w:type="dxa"/>
            <w:vAlign w:val="center"/>
            <w:textDirection w:val="lrTb"/>
            <w:noWrap w:val="false"/>
          </w:tcPr>
          <w:p>
            <w:pPr>
              <w:pStyle w:val="1289"/>
              <w:rPr>
                <w:rFonts w:hint="eastAsia" w:ascii="宋体" w:hAnsi="宋体" w:eastAsia="宋体" w:cs="仿宋"/>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cs="仿宋"/>
                <w:color w:val="000000"/>
                <w:sz w:val="24"/>
                <w:szCs w:val="24"/>
                <w:highlight w:val="none"/>
              </w:rPr>
              <w:t xml:space="preserve">总价（小写）</w:t>
            </w:r>
            <w:r>
              <w:rPr>
                <w:rFonts w:hint="eastAsia" w:ascii="宋体" w:hAnsi="宋体" w:eastAsia="宋体" w:cs="仿宋"/>
                <w:color w:val="000000"/>
                <w:sz w:val="24"/>
                <w:szCs w:val="24"/>
                <w:highlight w:val="none"/>
              </w:rPr>
            </w:r>
            <w:r/>
          </w:p>
        </w:tc>
      </w:tr>
      <w:tr>
        <w:trPr>
          <w:trHeight w:val="1059"/>
        </w:trPr>
        <w:tc>
          <w:tcPr>
            <w:tcW w:w="2567" w:type="dxa"/>
            <w:vAlign w:val="center"/>
            <w:textDirection w:val="lrTb"/>
            <w:noWrap w:val="false"/>
          </w:tcPr>
          <w:p>
            <w:pPr>
              <w:pStyle w:val="1011"/>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项目名称</w:t>
            </w:r>
            <w:r>
              <w:rPr>
                <w:rFonts w:hint="eastAsia" w:ascii="宋体" w:hAnsi="宋体" w:eastAsia="宋体" w:cs="仿宋"/>
                <w:color w:val="000000"/>
                <w:sz w:val="24"/>
                <w:szCs w:val="24"/>
                <w:highlight w:val="none"/>
              </w:rPr>
            </w:r>
            <w:r/>
          </w:p>
        </w:tc>
        <w:tc>
          <w:tcPr>
            <w:tcW w:w="2551" w:type="dxa"/>
            <w:vAlign w:val="center"/>
            <w:textDirection w:val="lrTb"/>
            <w:noWrap w:val="false"/>
          </w:tcPr>
          <w:p>
            <w:pPr>
              <w:pStyle w:val="1289"/>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详见投标文件</w:t>
            </w:r>
            <w:r>
              <w:rPr>
                <w:rFonts w:hint="eastAsia" w:ascii="宋体" w:hAnsi="宋体" w:eastAsia="宋体" w:cs="仿宋"/>
                <w:color w:val="000000"/>
                <w:sz w:val="24"/>
                <w:szCs w:val="24"/>
                <w:highlight w:val="none"/>
              </w:rPr>
            </w:r>
            <w:r/>
          </w:p>
        </w:tc>
        <w:tc>
          <w:tcPr>
            <w:tcW w:w="3779" w:type="dxa"/>
            <w:vAlign w:val="center"/>
            <w:textDirection w:val="lrTb"/>
            <w:noWrap w:val="false"/>
          </w:tcPr>
          <w:p>
            <w:pPr>
              <w:pStyle w:val="1289"/>
              <w:rPr>
                <w:rFonts w:hint="eastAsia" w:ascii="宋体" w:hAnsi="宋体" w:eastAsia="宋体" w:cs="仿宋"/>
                <w:color w:val="000000"/>
                <w:sz w:val="24"/>
                <w:szCs w:val="24"/>
                <w:highlight w:val="none"/>
              </w:rPr>
            </w:pPr>
            <w:r>
              <w:rPr>
                <w:rFonts w:ascii="宋体" w:hAnsi="宋体" w:eastAsia="宋体" w:cs="仿宋"/>
                <w:color w:val="000000"/>
                <w:sz w:val="24"/>
                <w:szCs w:val="24"/>
                <w:highlight w:val="none"/>
                <w:shd w:val="clear" w:color="auto" w:fill="ffffff"/>
              </w:rPr>
              <mc:AlternateContent>
                <mc:Choice Requires="wpg">
                  <w:drawing>
                    <wp:inline xmlns:wp="http://schemas.openxmlformats.org/drawingml/2006/wordprocessingDrawing" distT="0" distB="0" distL="0" distR="0">
                      <wp:extent cx="635610" cy="264147"/>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635610" cy="2641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50.0pt;height:20.8pt;mso-wrap-distance-left:0.0pt;mso-wrap-distance-top:0.0pt;mso-wrap-distance-right:0.0pt;mso-wrap-distance-bottom:0.0pt;" stroked="f">
                      <v:path textboxrect="0,0,0,0"/>
                      <v:imagedata r:id="rId21" o:title=""/>
                    </v:shape>
                  </w:pict>
                </mc:Fallback>
              </mc:AlternateContent>
            </w:r>
            <w:r>
              <w:rPr>
                <w:rFonts w:hint="eastAsia" w:ascii="宋体" w:hAnsi="宋体" w:eastAsia="宋体"/>
                <w:color w:val="000000"/>
                <w:sz w:val="24"/>
                <w:szCs w:val="24"/>
                <w:highlight w:val="none"/>
              </w:rPr>
              <w:t xml:space="preserve"> </w:t>
            </w:r>
            <w:r>
              <w:rPr>
                <w:rFonts w:hint="eastAsia" w:ascii="宋体" w:hAnsi="宋体" w:eastAsia="宋体" w:cs="仿宋"/>
                <w:color w:val="000000"/>
                <w:sz w:val="24"/>
                <w:szCs w:val="24"/>
                <w:highlight w:val="none"/>
              </w:rPr>
              <w:t xml:space="preserve">元 </w:t>
            </w:r>
            <w:r>
              <w:rPr>
                <w:rFonts w:hint="eastAsia" w:ascii="宋体" w:hAnsi="宋体" w:eastAsia="宋体" w:cs="仿宋"/>
                <w:color w:val="000000"/>
                <w:sz w:val="24"/>
                <w:szCs w:val="24"/>
                <w:highlight w:val="none"/>
              </w:rPr>
            </w:r>
            <w:r/>
          </w:p>
        </w:tc>
      </w:tr>
      <w:tr>
        <w:trPr>
          <w:trHeight w:val="627"/>
        </w:trPr>
        <w:tc>
          <w:tcPr>
            <w:tcW w:w="2567" w:type="dxa"/>
            <w:vAlign w:val="center"/>
            <w:textDirection w:val="lrTb"/>
            <w:noWrap w:val="false"/>
          </w:tcPr>
          <w:p>
            <w:pPr>
              <w:pStyle w:val="1289"/>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总价（大写）：</w:t>
            </w:r>
            <w:r>
              <w:rPr>
                <w:rFonts w:hint="eastAsia" w:ascii="宋体" w:hAnsi="宋体" w:eastAsia="宋体" w:cs="仿宋"/>
                <w:color w:val="000000"/>
                <w:sz w:val="24"/>
                <w:szCs w:val="24"/>
                <w:highlight w:val="none"/>
              </w:rPr>
            </w:r>
            <w:r/>
          </w:p>
        </w:tc>
        <w:tc>
          <w:tcPr>
            <w:gridSpan w:val="2"/>
            <w:tcW w:w="6330" w:type="dxa"/>
            <w:vAlign w:val="center"/>
            <w:textDirection w:val="lrTb"/>
            <w:noWrap w:val="false"/>
          </w:tcPr>
          <w:p>
            <w:pPr>
              <w:pStyle w:val="1289"/>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金额大写</w:t>
            </w:r>
            <w:r>
              <w:rPr>
                <w:rFonts w:hint="eastAsia" w:ascii="宋体" w:hAnsi="宋体" w:eastAsia="宋体"/>
                <w:color w:val="000000"/>
                <w:sz w:val="24"/>
                <w:szCs w:val="24"/>
                <w:highlight w:val="none"/>
              </w:rPr>
              <w:t xml:space="preserve"> </w:t>
            </w:r>
            <w:r>
              <w:rPr>
                <w:rFonts w:hint="eastAsia" w:ascii="宋体" w:hAnsi="宋体" w:eastAsia="宋体" w:cs="仿宋"/>
                <w:color w:val="000000"/>
                <w:sz w:val="24"/>
                <w:szCs w:val="24"/>
                <w:highlight w:val="none"/>
              </w:rPr>
            </w:r>
            <w:r/>
          </w:p>
        </w:tc>
      </w:tr>
    </w:tbl>
    <w:p>
      <w:pPr>
        <w:pStyle w:val="1282"/>
        <w:numPr>
          <w:ilvl w:val="0"/>
          <w:numId w:val="0"/>
        </w:numPr>
        <w:jc w:val="both"/>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val="en-US" w:eastAsia="zh-CN"/>
        </w:rPr>
        <w:t xml:space="preserve">注：1.</w:t>
      </w:r>
      <w:r>
        <w:rPr>
          <w:rFonts w:hint="eastAsia" w:ascii="宋体" w:hAnsi="宋体" w:eastAsia="宋体" w:cs="仿宋"/>
          <w:color w:val="000000"/>
          <w:sz w:val="22"/>
          <w:szCs w:val="22"/>
          <w:highlight w:val="none"/>
        </w:rPr>
        <w:t xml:space="preserve">《开标一览表》中的全部总价包括在</w:t>
      </w:r>
      <w:r>
        <w:rPr>
          <w:rFonts w:hint="eastAsia" w:ascii="宋体" w:hAnsi="宋体" w:eastAsia="宋体" w:cs="仿宋"/>
          <w:color w:val="000000"/>
          <w:sz w:val="22"/>
          <w:szCs w:val="22"/>
          <w:highlight w:val="none"/>
          <w:lang w:val="en-US" w:eastAsia="zh-CN"/>
        </w:rPr>
        <w:t xml:space="preserve">合同履约</w:t>
      </w:r>
      <w:r>
        <w:rPr>
          <w:rFonts w:hint="eastAsia" w:ascii="宋体" w:hAnsi="宋体" w:eastAsia="宋体" w:cs="仿宋"/>
          <w:color w:val="000000"/>
          <w:sz w:val="22"/>
          <w:szCs w:val="22"/>
          <w:highlight w:val="none"/>
        </w:rPr>
        <w:t xml:space="preserve">期内所需的劳务支出及其配套的工具耗材、各种税费、保险、劳保、维护、支持与培训、本项目实施过程中所需的产品（乙方自有产品以及第三方产品（软件、硬件、服务等））的报价、</w:t>
      </w:r>
      <w:r>
        <w:rPr>
          <w:rFonts w:hint="eastAsia" w:ascii="宋体" w:hAnsi="宋体" w:eastAsia="宋体" w:cs="仿宋"/>
          <w:color w:val="000000"/>
          <w:sz w:val="22"/>
          <w:szCs w:val="22"/>
          <w:highlight w:val="none"/>
          <w:lang w:val="en-US" w:eastAsia="zh-CN"/>
        </w:rPr>
        <w:t xml:space="preserve">运维</w:t>
      </w:r>
      <w:r>
        <w:rPr>
          <w:rFonts w:hint="eastAsia" w:ascii="宋体" w:hAnsi="宋体" w:eastAsia="宋体" w:cs="仿宋"/>
          <w:color w:val="000000"/>
          <w:sz w:val="22"/>
          <w:szCs w:val="22"/>
          <w:highlight w:val="none"/>
        </w:rPr>
        <w:t xml:space="preserve">实施、数据采集与加工、实现本项目功能所需要的系统升级改造、各系统对接产生的所有接口费用、劳务、制作、维护、升级、培训、保险、利润、税金（含增值税）、报验、人员、交通、食宿、加班、人员签证、工作许可证、验收、检测等工作所发生的全部费用以及企业利润、税金和政策性文件规定及合同包含的所有风险、责任等各项应有费用。合同金额还包括一切费用。同时在项目建设及维护过程中</w:t>
      </w:r>
      <w:r>
        <w:rPr>
          <w:rFonts w:hint="eastAsia" w:ascii="宋体" w:hAnsi="宋体" w:eastAsia="宋体" w:cs="仿宋"/>
          <w:color w:val="000000"/>
          <w:sz w:val="22"/>
          <w:szCs w:val="22"/>
          <w:highlight w:val="none"/>
          <w:lang w:val="en-US" w:eastAsia="zh-CN"/>
        </w:rPr>
        <w:t xml:space="preserve">供应商</w:t>
      </w:r>
      <w:r>
        <w:rPr>
          <w:rFonts w:hint="eastAsia" w:ascii="宋体" w:hAnsi="宋体" w:eastAsia="宋体" w:cs="仿宋"/>
          <w:color w:val="000000"/>
          <w:sz w:val="22"/>
          <w:szCs w:val="22"/>
          <w:highlight w:val="none"/>
        </w:rPr>
        <w:t xml:space="preserve">不得再要求追加任何费用。</w:t>
      </w:r>
      <w:r>
        <w:rPr>
          <w:rFonts w:hint="eastAsia" w:ascii="宋体" w:hAnsi="宋体" w:eastAsia="宋体" w:cs="仿宋"/>
          <w:color w:val="000000"/>
          <w:sz w:val="24"/>
          <w:szCs w:val="24"/>
          <w:highlight w:val="none"/>
        </w:rPr>
      </w:r>
      <w:r/>
    </w:p>
    <w:p>
      <w:pPr>
        <w:pStyle w:val="1282"/>
        <w:numPr>
          <w:ilvl w:val="0"/>
          <w:numId w:val="9"/>
        </w:numPr>
        <w:ind w:left="0" w:firstLine="0"/>
        <w:jc w:val="both"/>
        <w:spacing w:line="360" w:lineRule="auto"/>
        <w:tabs>
          <w:tab w:val="left" w:pos="312"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一项投标内容只允许一个报价，招标采购单位不接受任何有选择性的投标报价。</w:t>
      </w:r>
      <w:r>
        <w:rPr>
          <w:rFonts w:hint="eastAsia" w:ascii="宋体" w:hAnsi="宋体" w:eastAsia="宋体" w:cs="仿宋"/>
          <w:color w:val="000000"/>
          <w:sz w:val="24"/>
          <w:szCs w:val="24"/>
          <w:highlight w:val="none"/>
        </w:rPr>
      </w:r>
      <w:r/>
    </w:p>
    <w:p>
      <w:pPr>
        <w:pStyle w:val="1282"/>
        <w:numPr>
          <w:ilvl w:val="0"/>
          <w:numId w:val="9"/>
        </w:numPr>
        <w:ind w:left="0" w:firstLine="0"/>
        <w:jc w:val="both"/>
        <w:spacing w:line="360" w:lineRule="auto"/>
        <w:tabs>
          <w:tab w:val="left" w:pos="312"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总价金额与按单价汇总金额不一致的，以单价金额计算结果为准</w:t>
      </w:r>
      <w:r>
        <w:rPr>
          <w:rFonts w:hint="eastAsia" w:ascii="宋体" w:hAnsi="宋体" w:eastAsia="宋体" w:cs="仿宋"/>
          <w:color w:val="000000"/>
          <w:sz w:val="24"/>
          <w:szCs w:val="24"/>
          <w:highlight w:val="none"/>
          <w:lang w:val="en-US" w:eastAsia="zh-CN"/>
        </w:rPr>
        <w:t xml:space="preserve">,</w:t>
      </w:r>
      <w:r>
        <w:rPr>
          <w:rFonts w:hint="eastAsia" w:ascii="宋体" w:hAnsi="宋体" w:eastAsia="宋体" w:cs="仿宋"/>
          <w:color w:val="000000"/>
          <w:sz w:val="24"/>
          <w:szCs w:val="24"/>
          <w:highlight w:val="none"/>
        </w:rPr>
        <w:t xml:space="preserve">大小写不一致以大写为准；</w:t>
      </w:r>
      <w:r>
        <w:rPr>
          <w:rFonts w:hint="eastAsia" w:ascii="宋体" w:hAnsi="宋体" w:eastAsia="宋体" w:cs="仿宋"/>
          <w:color w:val="000000"/>
          <w:sz w:val="24"/>
          <w:szCs w:val="24"/>
          <w:highlight w:val="none"/>
        </w:rPr>
      </w:r>
      <w:r/>
    </w:p>
    <w:p>
      <w:pPr>
        <w:pStyle w:val="1282"/>
        <w:numPr>
          <w:ilvl w:val="0"/>
          <w:numId w:val="9"/>
        </w:numPr>
        <w:ind w:left="0" w:firstLine="0"/>
        <w:jc w:val="both"/>
        <w:spacing w:line="360" w:lineRule="auto"/>
        <w:tabs>
          <w:tab w:val="left" w:pos="312"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该表报价为</w:t>
      </w:r>
      <w:r>
        <w:rPr>
          <w:rFonts w:hint="eastAsia" w:ascii="宋体" w:hAnsi="宋体" w:eastAsia="宋体" w:cs="仿宋"/>
          <w:color w:val="000000"/>
          <w:sz w:val="24"/>
          <w:szCs w:val="24"/>
          <w:highlight w:val="none"/>
          <w:lang w:val="en-US" w:eastAsia="zh-CN"/>
        </w:rPr>
        <w:t xml:space="preserve">最终</w:t>
      </w:r>
      <w:r>
        <w:rPr>
          <w:rFonts w:hint="eastAsia" w:ascii="宋体" w:hAnsi="宋体" w:eastAsia="宋体" w:cs="仿宋"/>
          <w:color w:val="000000"/>
          <w:sz w:val="24"/>
          <w:szCs w:val="24"/>
          <w:highlight w:val="none"/>
        </w:rPr>
        <w:t xml:space="preserve">报价。</w:t>
      </w:r>
      <w:r>
        <w:rPr>
          <w:rFonts w:hint="eastAsia" w:ascii="宋体" w:hAnsi="宋体" w:eastAsia="宋体" w:cs="仿宋"/>
          <w:color w:val="000000"/>
          <w:sz w:val="24"/>
          <w:szCs w:val="24"/>
          <w:highlight w:val="none"/>
        </w:rPr>
      </w:r>
      <w:r/>
    </w:p>
    <w:p>
      <w:pPr>
        <w:pStyle w:val="1011"/>
        <w:ind w:firstLine="540"/>
        <w:jc w:val="right"/>
        <w:spacing w:line="4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投标人公章：（电子签章）</w:t>
      </w:r>
      <w:r>
        <w:rPr>
          <w:rFonts w:hint="eastAsia" w:ascii="宋体" w:hAnsi="宋体" w:eastAsia="宋体" w:cs="仿宋"/>
          <w:color w:val="000000"/>
          <w:sz w:val="24"/>
          <w:szCs w:val="24"/>
          <w:highlight w:val="none"/>
        </w:rPr>
      </w:r>
      <w:r/>
    </w:p>
    <w:p>
      <w:pPr>
        <w:pStyle w:val="1011"/>
        <w:jc w:val="right"/>
        <w:rPr>
          <w:rFonts w:hint="eastAsia"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lang w:val="en-US" w:eastAsia="zh-CN"/>
        </w:rPr>
        <w:t xml:space="preserve">日期：</w:t>
      </w:r>
      <w:r>
        <w:rPr>
          <w:rFonts w:hint="eastAsia" w:ascii="宋体" w:hAnsi="宋体" w:eastAsia="宋体" w:cs="仿宋"/>
          <w:color w:val="000000"/>
          <w:sz w:val="24"/>
          <w:szCs w:val="24"/>
          <w:highlight w:val="none"/>
          <w:lang w:val="en-US" w:eastAsia="zh-CN"/>
        </w:rPr>
      </w:r>
      <w:r/>
    </w:p>
    <w:p>
      <w:pPr>
        <w:pStyle w:val="1011"/>
        <w:jc w:val="center"/>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r>
      <w:r/>
    </w:p>
    <w:p>
      <w:pPr>
        <w:pStyle w:val="1011"/>
        <w:jc w:val="center"/>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r>
      <w:r/>
    </w:p>
    <w:p>
      <w:pPr>
        <w:pStyle w:val="1011"/>
        <w:rPr>
          <w:rFonts w:hint="eastAsia" w:ascii="黑体" w:hAnsi="黑体" w:eastAsia="黑体" w:cs="宋体"/>
          <w:color w:val="000000"/>
          <w:sz w:val="32"/>
          <w:szCs w:val="32"/>
          <w:highlight w:val="none"/>
        </w:rPr>
      </w:pPr>
      <w:r>
        <w:rPr>
          <w:rFonts w:hint="eastAsia" w:ascii="黑体" w:hAnsi="黑体" w:eastAsia="黑体" w:cs="宋体"/>
          <w:color w:val="000000"/>
          <w:sz w:val="32"/>
          <w:szCs w:val="32"/>
          <w:highlight w:val="none"/>
        </w:rPr>
      </w:r>
      <w:r/>
    </w:p>
    <w:p>
      <w:pPr>
        <w:jc w:val="center"/>
        <w:widowControl/>
        <w:rPr>
          <w:rFonts w:hint="eastAsia" w:ascii="宋体" w:hAnsi="宋体" w:eastAsia="宋体" w:cs="宋体"/>
          <w:color w:val="000000"/>
          <w:sz w:val="24"/>
          <w:szCs w:val="24"/>
          <w:highlight w:val="none"/>
        </w:rPr>
      </w:pPr>
      <w:r>
        <w:rPr>
          <w:rFonts w:hint="eastAsia" w:ascii="黑体" w:hAnsi="黑体" w:eastAsia="黑体" w:cs="宋体"/>
          <w:color w:val="000000"/>
          <w:sz w:val="32"/>
          <w:szCs w:val="32"/>
          <w:highlight w:val="none"/>
        </w:rPr>
      </w:r>
      <w:r>
        <w:rPr>
          <w:rFonts w:hint="eastAsia" w:ascii="黑体" w:hAnsi="黑体" w:eastAsia="黑体" w:cs="宋体"/>
          <w:color w:val="000000"/>
          <w:sz w:val="32"/>
          <w:szCs w:val="32"/>
          <w:highlight w:val="none"/>
        </w:rPr>
      </w:r>
      <w:r/>
    </w:p>
    <w:p>
      <w:pPr>
        <w:jc w:val="center"/>
        <w:widowControl/>
        <w:rPr>
          <w:rFonts w:hint="eastAsia" w:ascii="黑体" w:hAnsi="黑体" w:eastAsia="黑体" w:cs="宋体"/>
          <w:color w:val="000000"/>
          <w:sz w:val="32"/>
          <w:szCs w:val="32"/>
          <w:highlight w:val="none"/>
        </w:rPr>
      </w:pPr>
      <w:r>
        <w:rPr>
          <w:rFonts w:hint="eastAsia" w:ascii="黑体" w:hAnsi="黑体" w:eastAsia="黑体" w:cs="宋体"/>
          <w:color w:val="000000"/>
          <w:sz w:val="32"/>
          <w:szCs w:val="32"/>
          <w:highlight w:val="none"/>
        </w:rPr>
      </w:r>
      <w:r>
        <w:rPr>
          <w:rFonts w:hint="eastAsia" w:ascii="黑体" w:hAnsi="黑体" w:eastAsia="黑体" w:cs="宋体"/>
          <w:color w:val="000000"/>
          <w:sz w:val="32"/>
          <w:szCs w:val="32"/>
          <w:highlight w:val="none"/>
        </w:rPr>
      </w:r>
      <w:r/>
    </w:p>
    <w:p>
      <w:pPr>
        <w:pStyle w:val="1011"/>
        <w:jc w:val="center"/>
        <w:widowControl/>
        <w:rPr>
          <w:rFonts w:hint="eastAsia" w:ascii="黑体" w:hAnsi="黑体" w:eastAsia="黑体" w:cs="宋体"/>
          <w:color w:val="000000"/>
          <w:sz w:val="32"/>
          <w:szCs w:val="32"/>
          <w:highlight w:val="none"/>
        </w:rPr>
      </w:pPr>
      <w:r>
        <w:rPr>
          <w:rFonts w:hint="eastAsia" w:ascii="黑体" w:hAnsi="黑体" w:eastAsia="黑体" w:cs="宋体"/>
          <w:color w:val="000000"/>
          <w:sz w:val="32"/>
          <w:szCs w:val="32"/>
          <w:highlight w:val="none"/>
        </w:rPr>
        <w:t xml:space="preserve">法人授权书</w:t>
      </w:r>
      <w:r>
        <w:rPr>
          <w:rFonts w:hint="eastAsia" w:ascii="宋体" w:hAnsi="宋体" w:eastAsia="宋体" w:cs="宋体"/>
          <w:color w:val="000000"/>
          <w:sz w:val="24"/>
          <w:szCs w:val="24"/>
          <w:highlight w:val="none"/>
        </w:rPr>
      </w:r>
      <w:r/>
    </w:p>
    <w:p>
      <w:pPr>
        <w:pStyle w:val="1011"/>
        <w:ind w:firstLine="480"/>
        <w:widowControl/>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w:t>
      </w:r>
      <w:r>
        <w:rPr>
          <w:rFonts w:eastAsia="宋体"/>
          <w:color w:val="000000"/>
          <w:sz w:val="24"/>
          <w:szCs w:val="24"/>
          <w:highlight w:val="none"/>
        </w:rPr>
        <w:t xml:space="preserve">____________</w:t>
      </w:r>
      <w:r>
        <w:rPr>
          <w:rFonts w:hint="eastAsia" w:ascii="宋体" w:hAnsi="宋体" w:eastAsia="宋体" w:cs="宋体"/>
          <w:color w:val="000000"/>
          <w:sz w:val="24"/>
          <w:szCs w:val="24"/>
          <w:highlight w:val="none"/>
        </w:rPr>
        <w:t xml:space="preserve">（投标人名称）授权</w:t>
      </w:r>
      <w:r>
        <w:rPr>
          <w:rFonts w:eastAsia="宋体"/>
          <w:color w:val="000000"/>
          <w:sz w:val="24"/>
          <w:szCs w:val="24"/>
          <w:highlight w:val="none"/>
        </w:rPr>
        <w:t xml:space="preserve">________________</w:t>
      </w:r>
      <w:r>
        <w:rPr>
          <w:rFonts w:hint="eastAsia" w:ascii="宋体" w:hAnsi="宋体" w:eastAsia="宋体" w:cs="宋体"/>
          <w:color w:val="000000"/>
          <w:sz w:val="24"/>
          <w:szCs w:val="24"/>
          <w:highlight w:val="none"/>
        </w:rPr>
        <w:t xml:space="preserve">（被授权人的姓名）为我方就</w:t>
      </w:r>
      <w:r>
        <w:rPr>
          <w:rFonts w:eastAsia="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号项目采购活动的合法代理人，以本单位名义全权处理一切与该项目采购有关的事务。</w:t>
      </w:r>
      <w:r>
        <w:rPr>
          <w:rFonts w:hint="eastAsia" w:ascii="宋体" w:hAnsi="宋体" w:eastAsia="宋体" w:cs="宋体"/>
          <w:color w:val="000000"/>
          <w:sz w:val="24"/>
          <w:szCs w:val="24"/>
          <w:highlight w:val="none"/>
        </w:rPr>
      </w:r>
      <w:r/>
    </w:p>
    <w:p>
      <w:pPr>
        <w:pStyle w:val="1011"/>
        <w:ind w:firstLine="480"/>
        <w:widowControl/>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eastAsia="宋体"/>
          <w:color w:val="000000"/>
          <w:sz w:val="24"/>
          <w:szCs w:val="24"/>
          <w:highlight w:val="none"/>
        </w:rPr>
        <w:t xml:space="preserve">______</w:t>
      </w:r>
      <w:r>
        <w:rPr>
          <w:rFonts w:hint="eastAsia" w:ascii="宋体" w:hAnsi="宋体" w:eastAsia="宋体" w:cs="宋体"/>
          <w:color w:val="000000"/>
          <w:sz w:val="24"/>
          <w:szCs w:val="24"/>
          <w:highlight w:val="none"/>
        </w:rPr>
        <w:t xml:space="preserve">年</w:t>
      </w:r>
      <w:r>
        <w:rPr>
          <w:rFonts w:eastAsia="宋体"/>
          <w:color w:val="000000"/>
          <w:sz w:val="24"/>
          <w:szCs w:val="24"/>
          <w:highlight w:val="none"/>
        </w:rPr>
        <w:t xml:space="preserve">____</w:t>
      </w:r>
      <w:r>
        <w:rPr>
          <w:rFonts w:hint="eastAsia" w:ascii="宋体" w:hAnsi="宋体" w:eastAsia="宋体" w:cs="宋体"/>
          <w:color w:val="000000"/>
          <w:sz w:val="24"/>
          <w:szCs w:val="24"/>
          <w:highlight w:val="none"/>
        </w:rPr>
        <w:t xml:space="preserve">月</w:t>
      </w:r>
      <w:r>
        <w:rPr>
          <w:rFonts w:eastAsia="宋体"/>
          <w:color w:val="000000"/>
          <w:sz w:val="24"/>
          <w:szCs w:val="24"/>
          <w:highlight w:val="none"/>
        </w:rPr>
        <w:t xml:space="preserve">____</w:t>
      </w:r>
      <w:r>
        <w:rPr>
          <w:rFonts w:hint="eastAsia" w:ascii="宋体" w:hAnsi="宋体" w:eastAsia="宋体" w:cs="宋体"/>
          <w:color w:val="000000"/>
          <w:sz w:val="24"/>
          <w:szCs w:val="24"/>
          <w:highlight w:val="none"/>
        </w:rPr>
        <w:t xml:space="preserve">日起生效，特此声明。</w:t>
      </w:r>
      <w:r>
        <w:rPr>
          <w:rFonts w:hint="eastAsia" w:ascii="宋体" w:hAnsi="宋体" w:eastAsia="宋体" w:cs="宋体"/>
          <w:color w:val="000000"/>
          <w:sz w:val="24"/>
          <w:szCs w:val="24"/>
          <w:highlight w:val="none"/>
        </w:rPr>
      </w:r>
      <w:r/>
    </w:p>
    <w:p>
      <w:pPr>
        <w:pStyle w:val="1011"/>
        <w:widowControl/>
        <w:tabs>
          <w:tab w:val="left" w:pos="360" w:leader="none"/>
        </w:tabs>
        <w:rPr>
          <w:rFonts w:hint="eastAsia" w:ascii="宋体" w:hAnsi="宋体" w:eastAsia="宋体" w:cs="宋体"/>
          <w:color w:val="000000"/>
          <w:sz w:val="24"/>
          <w:szCs w:val="24"/>
          <w:highlight w:val="none"/>
        </w:rPr>
      </w:pPr>
      <w:r>
        <w:rPr>
          <w:rFonts w:eastAsia="宋体"/>
          <w:color w:val="000000"/>
          <w:sz w:val="24"/>
          <w:szCs w:val="24"/>
          <w:highlight w:val="none"/>
        </w:rPr>
        <w:t xml:space="preserve">          </w:t>
      </w:r>
      <w:r>
        <w:rPr>
          <w:rFonts w:hint="eastAsia" w:ascii="宋体" w:hAnsi="宋体" w:eastAsia="宋体" w:cs="宋体"/>
          <w:color w:val="000000"/>
          <w:sz w:val="24"/>
          <w:szCs w:val="24"/>
          <w:highlight w:val="none"/>
        </w:rPr>
        <w:t xml:space="preserve">被授权人身份证号码：</w:t>
      </w:r>
      <w:r>
        <w:rPr>
          <w:rFonts w:eastAsia="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1"/>
        <w:widowControl/>
        <w:tabs>
          <w:tab w:val="left" w:pos="360" w:leader="none"/>
        </w:tabs>
        <w:rPr>
          <w:rFonts w:hint="eastAsia" w:ascii="宋体" w:hAnsi="宋体" w:eastAsia="宋体" w:cs="宋体"/>
          <w:color w:val="000000"/>
          <w:sz w:val="24"/>
          <w:szCs w:val="24"/>
          <w:highlight w:val="none"/>
        </w:rPr>
      </w:pPr>
      <w:r>
        <w:rPr>
          <w:rFonts w:eastAsia="宋体"/>
          <w:color w:val="000000"/>
          <w:sz w:val="24"/>
          <w:szCs w:val="24"/>
          <w:highlight w:val="none"/>
        </w:rPr>
        <w:t xml:space="preserve">          </w:t>
      </w:r>
      <w:r>
        <w:rPr>
          <w:rFonts w:hint="eastAsia" w:ascii="宋体" w:hAnsi="宋体" w:eastAsia="宋体" w:cs="宋体"/>
          <w:color w:val="000000"/>
          <w:sz w:val="24"/>
          <w:szCs w:val="24"/>
          <w:highlight w:val="none"/>
        </w:rPr>
        <w:t xml:space="preserve">被授权人联系电话：（手机）</w:t>
      </w:r>
      <w:r>
        <w:rPr>
          <w:rFonts w:eastAsia="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1"/>
        <w:ind w:firstLine="720"/>
        <w:widowControl/>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w:t>
      </w:r>
      <w:r>
        <w:rPr>
          <w:rFonts w:eastAsia="宋体"/>
          <w:color w:val="000000"/>
          <w:sz w:val="24"/>
          <w:szCs w:val="24"/>
          <w:highlight w:val="none"/>
          <w:u w:val="single"/>
        </w:rPr>
        <w:t xml:space="preserve">CA</w:t>
      </w:r>
      <w:r>
        <w:rPr>
          <w:rFonts w:hint="eastAsia" w:ascii="宋体" w:hAnsi="宋体" w:eastAsia="宋体" w:cs="宋体"/>
          <w:color w:val="000000"/>
          <w:sz w:val="24"/>
          <w:szCs w:val="24"/>
          <w:highlight w:val="none"/>
          <w:u w:val="single"/>
        </w:rPr>
        <w:t xml:space="preserve">电子公章）</w:t>
      </w:r>
      <w:r>
        <w:rPr>
          <w:rFonts w:hint="eastAsia" w:ascii="宋体" w:hAnsi="宋体" w:eastAsia="宋体" w:cs="宋体"/>
          <w:color w:val="000000"/>
          <w:sz w:val="24"/>
          <w:szCs w:val="24"/>
          <w:highlight w:val="none"/>
          <w:u w:val="single"/>
        </w:rPr>
      </w:r>
      <w:r/>
    </w:p>
    <w:p>
      <w:pPr>
        <w:pStyle w:val="1011"/>
        <w:ind w:firstLine="720"/>
        <w:widowControl/>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none"/>
          <w:lang w:val="en-US" w:eastAsia="zh-CN"/>
        </w:rPr>
        <w:t xml:space="preserve">法定代表人（签字）：</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1011"/>
        <w:ind w:firstLine="480"/>
        <w:widowControl/>
        <w:tabs>
          <w:tab w:val="left" w:pos="360" w:leader="none"/>
        </w:tabs>
        <w:rPr>
          <w:rFonts w:hint="eastAsia" w:ascii="宋体" w:hAnsi="宋体" w:eastAsia="宋体" w:cs="宋体"/>
          <w:color w:val="000000"/>
          <w:sz w:val="24"/>
          <w:szCs w:val="24"/>
          <w:highlight w:val="none"/>
        </w:rPr>
      </w:pPr>
      <w:r>
        <w:rPr>
          <w:rFonts w:eastAsia="宋体"/>
          <w:color w:val="000000"/>
          <w:sz w:val="24"/>
          <w:szCs w:val="24"/>
          <w:highlight w:val="none"/>
        </w:rPr>
        <w:t xml:space="preserve">    </w:t>
      </w:r>
      <w:r>
        <w:rPr>
          <w:rFonts w:hint="eastAsia" w:ascii="宋体" w:hAnsi="宋体" w:eastAsia="宋体" w:cs="宋体"/>
          <w:color w:val="000000"/>
          <w:sz w:val="24"/>
          <w:szCs w:val="24"/>
          <w:highlight w:val="none"/>
        </w:rPr>
        <w:t xml:space="preserve">单位地址：</w:t>
      </w:r>
      <w:r>
        <w:rPr>
          <w:rFonts w:eastAsia="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1"/>
        <w:ind w:firstLine="480"/>
        <w:widowControl/>
        <w:tabs>
          <w:tab w:val="left" w:pos="360" w:leader="none"/>
        </w:tabs>
        <w:rPr>
          <w:rFonts w:hint="eastAsia" w:ascii="宋体" w:hAnsi="宋体" w:eastAsia="宋体" w:cs="宋体"/>
          <w:color w:val="000000"/>
          <w:sz w:val="24"/>
          <w:szCs w:val="24"/>
          <w:highlight w:val="none"/>
        </w:rPr>
      </w:pPr>
      <w:r>
        <w:rPr>
          <w:rFonts w:eastAsia="宋体"/>
          <w:color w:val="000000"/>
          <w:sz w:val="24"/>
          <w:szCs w:val="24"/>
          <w:highlight w:val="none"/>
        </w:rPr>
        <w:t xml:space="preserve">    </w:t>
      </w:r>
      <w:r>
        <w:rPr>
          <w:rFonts w:hint="eastAsia" w:ascii="宋体" w:hAnsi="宋体" w:eastAsia="宋体" w:cs="宋体"/>
          <w:color w:val="000000"/>
          <w:sz w:val="24"/>
          <w:szCs w:val="24"/>
          <w:highlight w:val="none"/>
        </w:rPr>
        <w:t xml:space="preserve">日期：</w:t>
      </w:r>
      <w:r>
        <w:rPr>
          <w:rFonts w:eastAsia="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1"/>
        <w:ind w:firstLine="640"/>
        <w:spacing w:line="360" w:lineRule="auto"/>
        <w:rPr>
          <w:rFonts w:hint="eastAsia" w:ascii="宋体" w:hAnsi="宋体" w:eastAsia="宋体" w:cs="仿宋"/>
          <w:color w:val="000000"/>
          <w:sz w:val="32"/>
          <w:szCs w:val="32"/>
          <w:highlight w:val="none"/>
        </w:rPr>
      </w:pPr>
      <w:r>
        <w:rPr>
          <w:rFonts w:hint="eastAsia" w:ascii="宋体" w:hAnsi="宋体" w:eastAsia="宋体" w:cs="仿宋"/>
          <w:color w:val="000000"/>
          <w:sz w:val="32"/>
          <w:szCs w:val="32"/>
          <w:highlight w:val="none"/>
        </w:rPr>
      </w:r>
      <w:r/>
    </w:p>
    <w:p>
      <w:pPr>
        <w:pStyle w:val="1011"/>
        <w:rPr>
          <w:rFonts w:hint="eastAsia" w:ascii="宋体" w:hAnsi="宋体" w:eastAsia="宋体" w:cs="仿宋"/>
          <w:b/>
          <w:color w:val="000000"/>
          <w:sz w:val="32"/>
          <w:szCs w:val="32"/>
          <w:highlight w:val="none"/>
        </w:rPr>
      </w:pPr>
      <w:r>
        <w:rPr>
          <w:rFonts w:hint="eastAsia" w:ascii="宋体" w:hAnsi="宋体" w:eastAsia="宋体" w:cs="仿宋"/>
          <w:b/>
          <w:color w:val="000000"/>
          <w:sz w:val="32"/>
          <w:szCs w:val="32"/>
          <w:highlight w:val="none"/>
        </w:rPr>
        <w:br w:type="page" w:clear="all"/>
      </w:r>
      <w:r>
        <w:rPr>
          <w:rFonts w:hint="eastAsia" w:ascii="宋体" w:hAnsi="宋体" w:eastAsia="宋体" w:cs="仿宋"/>
          <w:b/>
          <w:color w:val="000000"/>
          <w:sz w:val="32"/>
          <w:szCs w:val="32"/>
          <w:highlight w:val="none"/>
        </w:rPr>
      </w:r>
      <w:r/>
    </w:p>
    <w:p>
      <w:pPr>
        <w:pStyle w:val="1011"/>
        <w:jc w:val="center"/>
        <w:rPr>
          <w:rFonts w:hint="eastAsia" w:ascii="宋体" w:hAnsi="宋体" w:eastAsia="宋体" w:cs="仿宋"/>
          <w:b/>
          <w:color w:val="000000"/>
          <w:sz w:val="32"/>
          <w:szCs w:val="32"/>
          <w:highlight w:val="none"/>
        </w:rPr>
      </w:pPr>
      <w:r>
        <w:rPr>
          <w:rFonts w:hint="eastAsia" w:ascii="宋体" w:hAnsi="宋体" w:eastAsia="宋体" w:cs="仿宋"/>
          <w:b/>
          <w:color w:val="000000"/>
          <w:sz w:val="32"/>
          <w:szCs w:val="32"/>
          <w:highlight w:val="none"/>
        </w:rPr>
        <w:t xml:space="preserve">投 标 函</w:t>
      </w:r>
      <w:r>
        <w:rPr>
          <w:rFonts w:hint="eastAsia" w:ascii="宋体" w:hAnsi="宋体" w:eastAsia="宋体" w:cs="仿宋"/>
          <w:b/>
          <w:color w:val="000000"/>
          <w:sz w:val="32"/>
          <w:szCs w:val="32"/>
          <w:highlight w:val="none"/>
        </w:rPr>
      </w:r>
      <w:r/>
    </w:p>
    <w:p>
      <w:pPr>
        <w:pStyle w:val="1011"/>
        <w:ind w:left="480"/>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290"/>
        <w:ind w:left="0" w:firstLine="0"/>
        <w:spacing w:after="0" w:line="360" w:lineRule="auto"/>
        <w:rPr>
          <w:rFonts w:ascii="宋体" w:hAnsi="宋体" w:eastAsia="宋体" w:cs="仿宋"/>
          <w:bCs/>
          <w:iCs/>
          <w:color w:val="000000"/>
          <w:sz w:val="24"/>
          <w:szCs w:val="24"/>
          <w:highlight w:val="none"/>
          <w:u w:val="single"/>
          <w:lang w:val="en-US" w:eastAsia="zh-CN"/>
        </w:rPr>
      </w:pPr>
      <w:r>
        <w:rPr>
          <w:rFonts w:hint="eastAsia" w:ascii="宋体" w:hAnsi="宋体" w:eastAsia="宋体" w:cs="仿宋"/>
          <w:bCs/>
          <w:iCs/>
          <w:color w:val="000000"/>
          <w:sz w:val="24"/>
          <w:szCs w:val="24"/>
          <w:highlight w:val="none"/>
          <w:u w:val="single"/>
          <w:lang w:val="en-US" w:eastAsia="zh-CN"/>
        </w:rPr>
        <w:t xml:space="preserve">                    ：</w:t>
      </w:r>
      <w:r>
        <w:rPr>
          <w:rFonts w:ascii="宋体" w:hAnsi="宋体" w:eastAsia="宋体" w:cs="仿宋"/>
          <w:bCs/>
          <w:iCs/>
          <w:color w:val="000000"/>
          <w:sz w:val="24"/>
          <w:szCs w:val="24"/>
          <w:highlight w:val="none"/>
          <w:u w:val="single"/>
          <w:lang w:val="en-US" w:eastAsia="zh-CN"/>
        </w:rPr>
      </w:r>
      <w:r/>
    </w:p>
    <w:p>
      <w:pPr>
        <w:pStyle w:val="1290"/>
        <w:ind w:left="0" w:firstLine="600"/>
        <w:spacing w:after="0" w:line="360" w:lineRule="auto"/>
        <w:rPr>
          <w:rFonts w:hint="eastAsia" w:ascii="宋体" w:hAnsi="宋体" w:eastAsia="宋体" w:cs="仿宋"/>
          <w:bCs/>
          <w:color w:val="000000"/>
          <w:sz w:val="24"/>
          <w:szCs w:val="24"/>
          <w:highlight w:val="none"/>
        </w:rPr>
      </w:pPr>
      <w:r>
        <w:rPr>
          <w:rFonts w:hint="eastAsia" w:ascii="宋体" w:hAnsi="宋体" w:eastAsia="宋体" w:cs="仿宋"/>
          <w:bCs/>
          <w:iCs/>
          <w:color w:val="000000"/>
          <w:sz w:val="24"/>
          <w:szCs w:val="24"/>
          <w:highlight w:val="none"/>
        </w:rPr>
        <w:t xml:space="preserve">我方全面研究了</w:t>
      </w:r>
      <w:r>
        <w:rPr>
          <w:rFonts w:hint="eastAsia" w:ascii="宋体" w:hAnsi="宋体" w:eastAsia="宋体" w:cs="仿宋"/>
          <w:bCs/>
          <w:color w:val="000000"/>
          <w:sz w:val="24"/>
          <w:szCs w:val="24"/>
          <w:highlight w:val="none"/>
        </w:rPr>
        <w:t xml:space="preserve">项目招标文件，决定参加贵单位组织的本项目投标。</w:t>
      </w:r>
      <w:r>
        <w:rPr>
          <w:rFonts w:hint="eastAsia" w:ascii="宋体" w:hAnsi="宋体" w:eastAsia="宋体" w:cs="仿宋"/>
          <w:bCs/>
          <w:color w:val="000000"/>
          <w:sz w:val="24"/>
          <w:szCs w:val="24"/>
          <w:highlight w:val="none"/>
        </w:rPr>
      </w:r>
      <w:r/>
    </w:p>
    <w:p>
      <w:pPr>
        <w:pStyle w:val="1290"/>
        <w:ind w:left="0" w:firstLine="600"/>
        <w:spacing w:after="0" w:line="360" w:lineRule="auto"/>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1、我方自愿按照招标文件规定的各项要求向采购人提供所需货物及服务。</w:t>
      </w:r>
      <w:r>
        <w:rPr>
          <w:rFonts w:hint="eastAsia" w:ascii="宋体" w:hAnsi="宋体" w:eastAsia="宋体" w:cs="仿宋"/>
          <w:bCs/>
          <w:color w:val="000000"/>
          <w:sz w:val="24"/>
          <w:szCs w:val="24"/>
          <w:highlight w:val="none"/>
        </w:rPr>
      </w:r>
      <w:r/>
    </w:p>
    <w:p>
      <w:pPr>
        <w:pStyle w:val="1290"/>
        <w:ind w:left="0" w:firstLine="600"/>
        <w:spacing w:after="0" w:line="360" w:lineRule="auto"/>
        <w:rPr>
          <w:rFonts w:hint="eastAsia" w:ascii="宋体" w:hAnsi="宋体" w:eastAsia="宋体" w:cs="仿宋"/>
          <w:color w:val="000000"/>
          <w:sz w:val="24"/>
          <w:szCs w:val="24"/>
          <w:highlight w:val="none"/>
        </w:rPr>
      </w:pPr>
      <w:r>
        <w:rPr>
          <w:rFonts w:hint="eastAsia" w:ascii="宋体" w:hAnsi="宋体" w:eastAsia="宋体" w:cs="仿宋"/>
          <w:bCs/>
          <w:color w:val="000000"/>
          <w:sz w:val="24"/>
          <w:szCs w:val="24"/>
          <w:highlight w:val="none"/>
        </w:rPr>
        <w:t xml:space="preserve">2、一旦我方中标，</w:t>
      </w:r>
      <w:r>
        <w:rPr>
          <w:rFonts w:hint="eastAsia" w:ascii="宋体" w:hAnsi="宋体" w:eastAsia="宋体" w:cs="仿宋"/>
          <w:color w:val="000000"/>
          <w:sz w:val="24"/>
          <w:szCs w:val="24"/>
          <w:highlight w:val="none"/>
        </w:rPr>
        <w:t xml:space="preserve">我们将严格履行招标文件中规定的每一项要求，按期、按质、按量履行合同的义务。</w:t>
      </w:r>
      <w:r>
        <w:rPr>
          <w:rFonts w:hint="eastAsia" w:ascii="宋体" w:hAnsi="宋体" w:eastAsia="宋体" w:cs="仿宋"/>
          <w:color w:val="000000"/>
          <w:sz w:val="24"/>
          <w:szCs w:val="24"/>
          <w:highlight w:val="none"/>
        </w:rPr>
      </w:r>
      <w:r/>
    </w:p>
    <w:p>
      <w:pPr>
        <w:pStyle w:val="1291"/>
        <w:ind w:firstLine="60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3、我们已详细审查全部招标文件，包括更正文件(如有)，对招标文件及更正公告(如有)无任何异议。我们完全理解并同意放弃对这方面有不明及误解的权力。</w:t>
      </w:r>
      <w:r>
        <w:rPr>
          <w:rFonts w:hint="eastAsia" w:ascii="宋体" w:hAnsi="宋体" w:eastAsia="宋体" w:cs="仿宋"/>
          <w:color w:val="000000"/>
          <w:sz w:val="24"/>
          <w:szCs w:val="24"/>
          <w:highlight w:val="none"/>
        </w:rPr>
      </w:r>
      <w:r/>
    </w:p>
    <w:p>
      <w:pPr>
        <w:pStyle w:val="1291"/>
        <w:ind w:firstLine="60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4、我们同意按招标文件中的规定，本投标书的有效期限为自投标截止之日起</w:t>
      </w:r>
      <w:r>
        <w:rPr>
          <w:rFonts w:hint="eastAsia" w:ascii="宋体" w:hAnsi="宋体" w:eastAsia="宋体" w:cs="仿宋"/>
          <w:color w:val="000000"/>
          <w:sz w:val="24"/>
          <w:szCs w:val="24"/>
          <w:highlight w:val="none"/>
          <w:lang w:val="en-US" w:eastAsia="zh-CN"/>
        </w:rPr>
        <w:t xml:space="preserve">90</w:t>
      </w:r>
      <w:r>
        <w:rPr>
          <w:rFonts w:hint="eastAsia" w:ascii="宋体" w:hAnsi="宋体" w:eastAsia="宋体" w:cs="仿宋"/>
          <w:color w:val="000000"/>
          <w:sz w:val="24"/>
          <w:szCs w:val="24"/>
          <w:highlight w:val="none"/>
        </w:rPr>
        <w:t xml:space="preserve">天。</w:t>
      </w:r>
      <w:r>
        <w:rPr>
          <w:rFonts w:hint="eastAsia" w:ascii="宋体" w:hAnsi="宋体" w:eastAsia="宋体" w:cs="仿宋"/>
          <w:color w:val="000000"/>
          <w:sz w:val="24"/>
          <w:szCs w:val="24"/>
          <w:highlight w:val="none"/>
        </w:rPr>
      </w:r>
      <w:r/>
    </w:p>
    <w:p>
      <w:pPr>
        <w:pStyle w:val="1291"/>
        <w:ind w:firstLine="60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5、我们愿意提供招标采购单位在招标文件中要求的所有资料。</w:t>
      </w:r>
      <w:r>
        <w:rPr>
          <w:rFonts w:hint="eastAsia" w:ascii="宋体" w:hAnsi="宋体" w:eastAsia="宋体" w:cs="仿宋"/>
          <w:color w:val="000000"/>
          <w:sz w:val="24"/>
          <w:szCs w:val="24"/>
          <w:highlight w:val="none"/>
        </w:rPr>
      </w:r>
      <w:r/>
    </w:p>
    <w:p>
      <w:pPr>
        <w:pStyle w:val="1291"/>
        <w:ind w:firstLine="60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6、我们愿意遵守招标文件中所列的收费标准。</w:t>
      </w:r>
      <w:r>
        <w:rPr>
          <w:rFonts w:hint="eastAsia" w:ascii="宋体" w:hAnsi="宋体" w:eastAsia="宋体" w:cs="仿宋"/>
          <w:color w:val="000000"/>
          <w:sz w:val="24"/>
          <w:szCs w:val="24"/>
          <w:highlight w:val="none"/>
        </w:rPr>
      </w:r>
      <w:r/>
    </w:p>
    <w:p>
      <w:pPr>
        <w:pStyle w:val="1291"/>
        <w:ind w:firstLine="600"/>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7、我们承诺该项投标在开标后的全过程中保持有效，不作任何更改和变动。</w:t>
      </w:r>
      <w:r>
        <w:rPr>
          <w:rFonts w:hint="eastAsia" w:ascii="宋体" w:hAnsi="宋体" w:eastAsia="宋体" w:cs="仿宋"/>
          <w:color w:val="000000"/>
          <w:sz w:val="24"/>
          <w:szCs w:val="24"/>
          <w:highlight w:val="none"/>
        </w:rPr>
      </w:r>
      <w:r/>
    </w:p>
    <w:p>
      <w:pPr>
        <w:pStyle w:val="1290"/>
        <w:ind w:left="0" w:firstLine="600"/>
        <w:spacing w:after="0" w:line="360" w:lineRule="auto"/>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8、我方愿意提供贵单位可能另外要求的，与投标有关的文件资料，并保证我方已提供和将要提供的文件资料是真实、准确的。</w:t>
      </w:r>
      <w:r>
        <w:rPr>
          <w:rFonts w:hint="eastAsia" w:ascii="宋体" w:hAnsi="宋体" w:eastAsia="宋体" w:cs="仿宋"/>
          <w:bCs/>
          <w:color w:val="000000"/>
          <w:sz w:val="24"/>
          <w:szCs w:val="24"/>
          <w:highlight w:val="none"/>
        </w:rPr>
      </w:r>
      <w:r/>
    </w:p>
    <w:p>
      <w:pPr>
        <w:pStyle w:val="1290"/>
        <w:ind w:left="0" w:firstLine="600"/>
        <w:spacing w:after="0" w:line="360" w:lineRule="auto"/>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r>
      <w:r/>
    </w:p>
    <w:p>
      <w:pPr>
        <w:pStyle w:val="1290"/>
        <w:ind w:left="0" w:firstLine="600"/>
        <w:spacing w:after="0" w:line="360" w:lineRule="auto"/>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投标人名称：        （</w:t>
      </w:r>
      <w:r>
        <w:rPr>
          <w:rFonts w:hint="eastAsia" w:ascii="宋体" w:hAnsi="宋体" w:eastAsia="宋体" w:cs="仿宋"/>
          <w:color w:val="000000"/>
          <w:sz w:val="24"/>
          <w:szCs w:val="24"/>
          <w:highlight w:val="none"/>
        </w:rPr>
        <w:t xml:space="preserve">加盖CA电子公章</w:t>
      </w:r>
      <w:r>
        <w:rPr>
          <w:rFonts w:hint="eastAsia" w:ascii="宋体" w:hAnsi="宋体" w:eastAsia="宋体" w:cs="仿宋"/>
          <w:bCs/>
          <w:color w:val="000000"/>
          <w:sz w:val="24"/>
          <w:szCs w:val="24"/>
          <w:highlight w:val="none"/>
        </w:rPr>
        <w:t xml:space="preserve">）</w:t>
      </w:r>
      <w:r>
        <w:rPr>
          <w:rFonts w:hint="eastAsia" w:ascii="宋体" w:hAnsi="宋体" w:eastAsia="宋体" w:cs="仿宋"/>
          <w:bCs/>
          <w:color w:val="000000"/>
          <w:sz w:val="24"/>
          <w:szCs w:val="24"/>
          <w:highlight w:val="none"/>
        </w:rPr>
      </w:r>
      <w:r/>
    </w:p>
    <w:p>
      <w:pPr>
        <w:pStyle w:val="1290"/>
        <w:ind w:left="0" w:firstLine="600"/>
        <w:spacing w:after="0" w:line="360" w:lineRule="auto"/>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法定代表人或</w:t>
      </w:r>
      <w:r>
        <w:rPr>
          <w:rFonts w:hint="eastAsia" w:ascii="宋体" w:hAnsi="宋体" w:eastAsia="宋体" w:cs="仿宋"/>
          <w:color w:val="000000"/>
          <w:szCs w:val="24"/>
          <w:highlight w:val="none"/>
        </w:rPr>
        <w:t xml:space="preserve">委托</w:t>
      </w:r>
      <w:r>
        <w:rPr>
          <w:rFonts w:hint="eastAsia" w:ascii="宋体" w:hAnsi="宋体" w:eastAsia="宋体" w:cs="仿宋"/>
          <w:bCs/>
          <w:color w:val="000000"/>
          <w:sz w:val="24"/>
          <w:szCs w:val="24"/>
          <w:highlight w:val="none"/>
        </w:rPr>
        <w:t xml:space="preserve">代理人（签字或盖章）：</w:t>
      </w:r>
      <w:r>
        <w:rPr>
          <w:rFonts w:hint="eastAsia" w:ascii="宋体" w:hAnsi="宋体" w:eastAsia="宋体" w:cs="仿宋"/>
          <w:bCs/>
          <w:color w:val="000000"/>
          <w:sz w:val="24"/>
          <w:szCs w:val="24"/>
          <w:highlight w:val="none"/>
        </w:rPr>
      </w:r>
      <w:r/>
    </w:p>
    <w:p>
      <w:pPr>
        <w:pStyle w:val="1290"/>
        <w:ind w:left="0" w:firstLine="600"/>
        <w:spacing w:after="0" w:line="360" w:lineRule="auto"/>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地址：</w:t>
      </w:r>
      <w:r>
        <w:rPr>
          <w:rFonts w:hint="eastAsia" w:ascii="宋体" w:hAnsi="宋体" w:eastAsia="宋体" w:cs="仿宋"/>
          <w:bCs/>
          <w:color w:val="000000"/>
          <w:sz w:val="24"/>
          <w:szCs w:val="24"/>
          <w:highlight w:val="none"/>
        </w:rPr>
      </w:r>
      <w:r/>
    </w:p>
    <w:p>
      <w:pPr>
        <w:pStyle w:val="1290"/>
        <w:ind w:left="0" w:firstLine="600"/>
        <w:spacing w:after="0" w:line="360" w:lineRule="auto"/>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邮政编码：</w:t>
      </w:r>
      <w:r>
        <w:rPr>
          <w:rFonts w:hint="eastAsia" w:ascii="宋体" w:hAnsi="宋体" w:eastAsia="宋体" w:cs="仿宋"/>
          <w:bCs/>
          <w:color w:val="000000"/>
          <w:sz w:val="24"/>
          <w:szCs w:val="24"/>
          <w:highlight w:val="none"/>
        </w:rPr>
      </w:r>
      <w:r/>
    </w:p>
    <w:p>
      <w:pPr>
        <w:pStyle w:val="1290"/>
        <w:ind w:left="0" w:firstLine="600"/>
        <w:spacing w:after="0" w:line="360" w:lineRule="auto"/>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联系电话：</w:t>
      </w:r>
      <w:r>
        <w:rPr>
          <w:rFonts w:hint="eastAsia" w:ascii="宋体" w:hAnsi="宋体" w:eastAsia="宋体" w:cs="仿宋"/>
          <w:bCs/>
          <w:color w:val="000000"/>
          <w:sz w:val="24"/>
          <w:szCs w:val="24"/>
          <w:highlight w:val="none"/>
        </w:rPr>
      </w:r>
      <w:r/>
    </w:p>
    <w:p>
      <w:pPr>
        <w:pStyle w:val="1290"/>
        <w:ind w:left="0" w:firstLine="600"/>
        <w:spacing w:after="0" w:line="360" w:lineRule="auto"/>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日    期：</w:t>
      </w:r>
      <w:r>
        <w:rPr>
          <w:rFonts w:hint="eastAsia" w:ascii="宋体" w:hAnsi="宋体" w:eastAsia="宋体" w:cs="仿宋"/>
          <w:bCs/>
          <w:color w:val="000000"/>
          <w:sz w:val="24"/>
          <w:szCs w:val="24"/>
          <w:highlight w:val="none"/>
        </w:rPr>
      </w:r>
      <w:r/>
    </w:p>
    <w:p>
      <w:pPr>
        <w:pStyle w:val="1011"/>
        <w:jc w:val="both"/>
        <w:rPr>
          <w:rFonts w:hint="eastAsia" w:ascii="宋体" w:hAnsi="宋体" w:eastAsia="宋体" w:cs="仿宋"/>
          <w:color w:val="000000"/>
          <w:sz w:val="24"/>
          <w:szCs w:val="24"/>
          <w:highlight w:val="none"/>
        </w:rPr>
        <w:outlineLvl w:val="0"/>
      </w:pPr>
      <w:r>
        <w:rPr>
          <w:rFonts w:hint="eastAsia" w:ascii="宋体" w:hAnsi="宋体" w:eastAsia="宋体" w:cs="仿宋"/>
          <w:bCs/>
          <w:color w:val="000000"/>
          <w:sz w:val="24"/>
          <w:szCs w:val="24"/>
          <w:highlight w:val="none"/>
        </w:rPr>
        <w:br w:type="page" w:clear="all"/>
      </w:r>
      <w:r>
        <w:rPr>
          <w:rFonts w:hint="eastAsia" w:ascii="宋体" w:hAnsi="宋体" w:eastAsia="宋体" w:cs="仿宋"/>
          <w:color w:val="000000"/>
          <w:sz w:val="24"/>
          <w:szCs w:val="24"/>
          <w:highlight w:val="none"/>
        </w:rPr>
      </w:r>
      <w:r/>
    </w:p>
    <w:p>
      <w:pPr>
        <w:pStyle w:val="1011"/>
        <w:jc w:val="center"/>
        <w:widowControl/>
        <w:rPr>
          <w:rFonts w:ascii="宋体" w:hAnsi="宋体" w:eastAsia="宋体" w:cs="仿宋"/>
          <w:color w:val="000000"/>
        </w:rPr>
      </w:pPr>
      <w:r>
        <w:rPr>
          <w:rFonts w:hint="eastAsia" w:ascii="宋体" w:hAnsi="宋体" w:eastAsia="宋体" w:cs="仿宋"/>
          <w:b/>
          <w:bCs/>
          <w:color w:val="000000"/>
          <w:sz w:val="32"/>
          <w:szCs w:val="32"/>
        </w:rPr>
        <w:t xml:space="preserve">投标分项报价表</w:t>
      </w:r>
      <w:r>
        <w:rPr>
          <w:rFonts w:ascii="宋体" w:hAnsi="宋体" w:eastAsia="宋体" w:cs="仿宋"/>
          <w:color w:val="000000"/>
        </w:rPr>
      </w:r>
      <w:r/>
    </w:p>
    <w:tbl>
      <w:tblPr>
        <w:tblW w:w="8433"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844"/>
        <w:gridCol w:w="1656"/>
        <w:gridCol w:w="2412"/>
        <w:gridCol w:w="1438"/>
        <w:gridCol w:w="1287"/>
      </w:tblGrid>
      <w:tr>
        <w:trPr>
          <w:trHeight w:val="622"/>
        </w:trPr>
        <w:tc>
          <w:tcPr>
            <w:tcMar>
              <w:left w:w="108" w:type="dxa"/>
              <w:top w:w="0" w:type="dxa"/>
              <w:right w:w="108" w:type="dxa"/>
              <w:bottom w:w="0" w:type="dxa"/>
            </w:tcMar>
            <w:tcW w:w="796" w:type="dxa"/>
            <w:vAlign w:val="center"/>
            <w:textDirection w:val="lrTb"/>
            <w:noWrap/>
          </w:tcPr>
          <w:p>
            <w:pPr>
              <w:pStyle w:val="1011"/>
              <w:jc w:val="center"/>
              <w:spacing w:after="0" w:line="240" w:lineRule="auto"/>
              <w:tabs>
                <w:tab w:val="left" w:pos="2670" w:leader="none"/>
              </w:tabs>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序号</w:t>
            </w:r>
            <w:r>
              <w:rPr>
                <w:color w:val="000000"/>
                <w:sz w:val="24"/>
                <w:szCs w:val="24"/>
                <w:highlight w:val="none"/>
              </w:rPr>
            </w:r>
            <w:r/>
          </w:p>
        </w:tc>
        <w:tc>
          <w:tcPr>
            <w:gridSpan w:val="2"/>
            <w:tcMar>
              <w:left w:w="108" w:type="dxa"/>
              <w:top w:w="0" w:type="dxa"/>
              <w:right w:w="108" w:type="dxa"/>
              <w:bottom w:w="0" w:type="dxa"/>
            </w:tcMar>
            <w:tcW w:w="2500" w:type="dxa"/>
            <w:vAlign w:val="center"/>
            <w:textDirection w:val="lrTb"/>
            <w:noWrap/>
          </w:tcPr>
          <w:p>
            <w:pPr>
              <w:pStyle w:val="1011"/>
              <w:jc w:val="center"/>
              <w:spacing w:after="0" w:line="240" w:lineRule="auto"/>
              <w:tabs>
                <w:tab w:val="left" w:pos="2670" w:leader="none"/>
              </w:tabs>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rPr>
              <w:t xml:space="preserve">服务</w:t>
            </w:r>
            <w:r>
              <w:rPr>
                <w:rFonts w:ascii="宋体" w:hAnsi="宋体" w:eastAsia="宋体" w:cs="宋体"/>
                <w:b/>
                <w:color w:val="000000"/>
                <w:sz w:val="24"/>
                <w:szCs w:val="24"/>
                <w:highlight w:val="none"/>
              </w:rPr>
              <w:t xml:space="preserve">名称</w:t>
            </w:r>
            <w:r>
              <w:rPr>
                <w:color w:val="000000"/>
                <w:sz w:val="24"/>
                <w:szCs w:val="24"/>
                <w:highlight w:val="none"/>
              </w:rPr>
            </w:r>
            <w:r/>
          </w:p>
        </w:tc>
        <w:tc>
          <w:tcPr>
            <w:tcMar>
              <w:left w:w="108" w:type="dxa"/>
              <w:top w:w="0" w:type="dxa"/>
              <w:right w:w="108" w:type="dxa"/>
              <w:bottom w:w="0" w:type="dxa"/>
            </w:tcMar>
            <w:tcW w:w="2412" w:type="dxa"/>
            <w:vAlign w:val="center"/>
            <w:textDirection w:val="lrTb"/>
            <w:noWrap/>
          </w:tcPr>
          <w:p>
            <w:pPr>
              <w:pStyle w:val="1011"/>
              <w:jc w:val="center"/>
              <w:spacing w:after="0" w:line="240" w:lineRule="auto"/>
              <w:tabs>
                <w:tab w:val="left" w:pos="2670" w:leader="none"/>
              </w:tabs>
              <w:rPr>
                <w:rFonts w:hint="eastAsia" w:eastAsia="楷体_GB2312"/>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rPr>
              <w:t xml:space="preserve">费用名称</w:t>
            </w:r>
            <w:r>
              <w:rPr>
                <w:rFonts w:hint="eastAsia" w:eastAsia="楷体_GB2312"/>
                <w:color w:val="000000"/>
                <w:sz w:val="24"/>
                <w:szCs w:val="24"/>
                <w:highlight w:val="none"/>
                <w:lang w:eastAsia="zh-CN"/>
              </w:rPr>
            </w:r>
            <w:r/>
          </w:p>
        </w:tc>
        <w:tc>
          <w:tcPr>
            <w:tcMar>
              <w:left w:w="108" w:type="dxa"/>
              <w:top w:w="0" w:type="dxa"/>
              <w:right w:w="108" w:type="dxa"/>
              <w:bottom w:w="0" w:type="dxa"/>
            </w:tcMar>
            <w:tcW w:w="1438" w:type="dxa"/>
            <w:vAlign w:val="center"/>
            <w:textDirection w:val="lrTb"/>
            <w:noWrap/>
          </w:tcPr>
          <w:p>
            <w:pPr>
              <w:pStyle w:val="1011"/>
              <w:jc w:val="center"/>
              <w:spacing w:after="0" w:line="240" w:lineRule="auto"/>
              <w:tabs>
                <w:tab w:val="left" w:pos="2670" w:leader="none"/>
              </w:tabs>
              <w:rPr>
                <w:rFonts w:hint="eastAsia" w:eastAsia="楷体_GB2312"/>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rPr>
              <w:t xml:space="preserve">报价</w:t>
            </w:r>
            <w:r>
              <w:rPr>
                <w:rFonts w:hint="eastAsia" w:eastAsia="楷体_GB2312"/>
                <w:color w:val="000000"/>
                <w:sz w:val="24"/>
                <w:szCs w:val="24"/>
                <w:highlight w:val="none"/>
                <w:lang w:eastAsia="zh-CN"/>
              </w:rPr>
            </w:r>
            <w:r/>
          </w:p>
        </w:tc>
        <w:tc>
          <w:tcPr>
            <w:tcMar>
              <w:left w:w="108" w:type="dxa"/>
              <w:top w:w="0" w:type="dxa"/>
              <w:right w:w="108" w:type="dxa"/>
              <w:bottom w:w="0" w:type="dxa"/>
            </w:tcMar>
            <w:tcW w:w="1287" w:type="dxa"/>
            <w:vAlign w:val="center"/>
            <w:textDirection w:val="lrTb"/>
            <w:noWrap/>
          </w:tcPr>
          <w:p>
            <w:pPr>
              <w:pStyle w:val="1011"/>
              <w:jc w:val="center"/>
              <w:spacing w:after="0" w:line="240" w:lineRule="auto"/>
              <w:tabs>
                <w:tab w:val="left" w:pos="2670" w:leader="none"/>
              </w:tabs>
              <w:rPr>
                <w:rFonts w:hint="eastAsia"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rPr>
              <w:t xml:space="preserve">小计</w:t>
            </w:r>
            <w:r>
              <w:rPr>
                <w:rFonts w:hint="eastAsia" w:ascii="宋体" w:hAnsi="宋体" w:eastAsia="宋体" w:cs="宋体"/>
                <w:b/>
                <w:color w:val="000000"/>
                <w:sz w:val="24"/>
                <w:szCs w:val="24"/>
                <w:highlight w:val="none"/>
                <w:lang w:val="en-US" w:eastAsia="zh-CN"/>
              </w:rPr>
            </w:r>
            <w:r/>
          </w:p>
        </w:tc>
      </w:tr>
      <w:tr>
        <w:trPr>
          <w:trHeight w:val="622"/>
        </w:trPr>
        <w:tc>
          <w:tcPr>
            <w:tcMar>
              <w:left w:w="108" w:type="dxa"/>
              <w:top w:w="0" w:type="dxa"/>
              <w:right w:w="108" w:type="dxa"/>
              <w:bottom w:w="0" w:type="dxa"/>
            </w:tcMar>
            <w:tcW w:w="796" w:type="dxa"/>
            <w:vAlign w:val="center"/>
            <w:vMerge w:val="restart"/>
            <w:textDirection w:val="lrTb"/>
            <w:noWrap/>
          </w:tcPr>
          <w:p>
            <w:pPr>
              <w:pStyle w:val="1011"/>
              <w:jc w:val="center"/>
              <w:spacing w:after="0" w:line="240" w:lineRule="auto"/>
              <w:tabs>
                <w:tab w:val="left" w:pos="2670" w:leader="none"/>
              </w:tabs>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w:t>
            </w:r>
            <w:r>
              <w:rPr>
                <w:color w:val="000000"/>
                <w:sz w:val="24"/>
                <w:szCs w:val="24"/>
                <w:highlight w:val="none"/>
              </w:rPr>
            </w:r>
            <w:r/>
          </w:p>
        </w:tc>
        <w:tc>
          <w:tcPr>
            <w:gridSpan w:val="2"/>
            <w:tcMar>
              <w:left w:w="108" w:type="dxa"/>
              <w:top w:w="0" w:type="dxa"/>
              <w:right w:w="108" w:type="dxa"/>
              <w:bottom w:w="0" w:type="dxa"/>
            </w:tcMar>
            <w:tcW w:w="2500" w:type="dxa"/>
            <w:vAlign w:val="center"/>
            <w:vMerge w:val="restart"/>
            <w:textDirection w:val="lrTb"/>
            <w:noWrap/>
          </w:tcPr>
          <w:p>
            <w:pPr>
              <w:pStyle w:val="1011"/>
              <w:jc w:val="center"/>
              <w:pageBreakBefore w:val="0"/>
              <w:spacing w:line="240" w:lineRule="auto"/>
              <w:widowControl/>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bidi="ar"/>
              </w:rPr>
              <w:t xml:space="preserve">互联网医院软件集成</w:t>
            </w:r>
            <w:r>
              <w:rPr>
                <w:rFonts w:ascii="仿宋" w:hAnsi="仿宋" w:eastAsia="仿宋" w:cs="仿宋"/>
                <w:color w:val="000000"/>
                <w:sz w:val="24"/>
                <w:szCs w:val="24"/>
                <w:highlight w:val="none"/>
                <w:lang w:val="en-US"/>
              </w:rPr>
            </w:r>
            <w:r/>
          </w:p>
        </w:tc>
        <w:tc>
          <w:tcPr>
            <w:tcMar>
              <w:left w:w="108" w:type="dxa"/>
              <w:top w:w="0" w:type="dxa"/>
              <w:right w:w="108" w:type="dxa"/>
              <w:bottom w:w="0" w:type="dxa"/>
            </w:tcMar>
            <w:tcW w:w="2412" w:type="dxa"/>
            <w:vAlign w:val="center"/>
            <w:textDirection w:val="lrTb"/>
            <w:noWrap/>
          </w:tcPr>
          <w:p>
            <w:pPr>
              <w:pStyle w:val="1011"/>
              <w:ind w:firstLine="472"/>
              <w:jc w:val="both"/>
              <w:spacing w:after="0" w:line="240" w:lineRule="auto"/>
              <w:tabs>
                <w:tab w:val="left" w:pos="2670" w:leader="none"/>
              </w:tabs>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 </w:t>
            </w:r>
            <w:r>
              <w:rPr>
                <w:color w:val="000000"/>
                <w:sz w:val="24"/>
                <w:szCs w:val="24"/>
                <w:highlight w:val="none"/>
              </w:rPr>
            </w:r>
            <w:r/>
          </w:p>
        </w:tc>
        <w:tc>
          <w:tcPr>
            <w:tcMar>
              <w:left w:w="108" w:type="dxa"/>
              <w:top w:w="0" w:type="dxa"/>
              <w:right w:w="108" w:type="dxa"/>
              <w:bottom w:w="0" w:type="dxa"/>
            </w:tcMar>
            <w:tcW w:w="1438" w:type="dxa"/>
            <w:vAlign w:val="center"/>
            <w:textDirection w:val="lrTb"/>
            <w:noWrap/>
          </w:tcPr>
          <w:p>
            <w:pPr>
              <w:pStyle w:val="1011"/>
              <w:ind w:firstLine="472"/>
              <w:jc w:val="both"/>
              <w:spacing w:after="0" w:line="240" w:lineRule="auto"/>
              <w:tabs>
                <w:tab w:val="left" w:pos="2670" w:leader="none"/>
              </w:tabs>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 </w:t>
            </w:r>
            <w:r>
              <w:rPr>
                <w:color w:val="000000"/>
                <w:sz w:val="24"/>
                <w:szCs w:val="24"/>
                <w:highlight w:val="none"/>
              </w:rPr>
            </w:r>
            <w:r/>
          </w:p>
        </w:tc>
        <w:tc>
          <w:tcPr>
            <w:tcMar>
              <w:left w:w="108" w:type="dxa"/>
              <w:top w:w="0" w:type="dxa"/>
              <w:right w:w="108" w:type="dxa"/>
              <w:bottom w:w="0" w:type="dxa"/>
            </w:tcMar>
            <w:tcW w:w="1287" w:type="dxa"/>
            <w:vAlign w:val="center"/>
            <w:vMerge w:val="restart"/>
            <w:textDirection w:val="lrTb"/>
            <w:noWrap/>
          </w:tcPr>
          <w:p>
            <w:pPr>
              <w:pStyle w:val="1011"/>
              <w:ind w:firstLine="472"/>
              <w:jc w:val="both"/>
              <w:spacing w:after="0" w:line="240" w:lineRule="auto"/>
              <w:tabs>
                <w:tab w:val="left" w:pos="2670" w:leader="none"/>
              </w:tabs>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r>
            <w:r/>
          </w:p>
        </w:tc>
      </w:tr>
      <w:tr>
        <w:trPr>
          <w:trHeight w:val="622"/>
        </w:trPr>
        <w:tc>
          <w:tcPr>
            <w:tcMar>
              <w:left w:w="108" w:type="dxa"/>
              <w:top w:w="0" w:type="dxa"/>
              <w:right w:w="108" w:type="dxa"/>
              <w:bottom w:w="0" w:type="dxa"/>
            </w:tcMar>
            <w:tcW w:w="796" w:type="dxa"/>
            <w:vAlign w:val="center"/>
            <w:vMerge w:val="continue"/>
            <w:textDirection w:val="lrTb"/>
            <w:noWrap/>
          </w:tcPr>
          <w:p>
            <w:pPr>
              <w:pStyle w:val="1011"/>
              <w:jc w:val="center"/>
              <w:spacing w:after="0" w:line="240" w:lineRule="auto"/>
              <w:tabs>
                <w:tab w:val="left" w:pos="2670" w:leader="none"/>
              </w:tabs>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r>
            <w:r/>
          </w:p>
        </w:tc>
        <w:tc>
          <w:tcPr>
            <w:gridSpan w:val="2"/>
            <w:tcMar>
              <w:left w:w="108" w:type="dxa"/>
              <w:top w:w="0" w:type="dxa"/>
              <w:right w:w="108" w:type="dxa"/>
              <w:bottom w:w="0" w:type="dxa"/>
            </w:tcMar>
            <w:tcW w:w="2500" w:type="dxa"/>
            <w:vAlign w:val="center"/>
            <w:vMerge w:val="continue"/>
            <w:textDirection w:val="lrTb"/>
            <w:noWrap/>
          </w:tcPr>
          <w:p>
            <w:pPr>
              <w:pStyle w:val="1011"/>
              <w:jc w:val="center"/>
              <w:pageBreakBefore w:val="0"/>
              <w:spacing w:line="240" w:lineRule="auto"/>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r>
            <w:r/>
          </w:p>
        </w:tc>
        <w:tc>
          <w:tcPr>
            <w:tcMar>
              <w:left w:w="108" w:type="dxa"/>
              <w:top w:w="0" w:type="dxa"/>
              <w:right w:w="108" w:type="dxa"/>
              <w:bottom w:w="0" w:type="dxa"/>
            </w:tcMar>
            <w:tcW w:w="2412" w:type="dxa"/>
            <w:vAlign w:val="center"/>
            <w:textDirection w:val="lrTb"/>
            <w:noWrap/>
          </w:tcPr>
          <w:p>
            <w:pPr>
              <w:pStyle w:val="1011"/>
              <w:ind w:firstLine="470"/>
              <w:jc w:val="both"/>
              <w:spacing w:after="0" w:line="240" w:lineRule="auto"/>
              <w:tabs>
                <w:tab w:val="left" w:pos="2670" w:leader="none"/>
              </w:tabs>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Mar>
              <w:left w:w="108" w:type="dxa"/>
              <w:top w:w="0" w:type="dxa"/>
              <w:right w:w="108" w:type="dxa"/>
              <w:bottom w:w="0" w:type="dxa"/>
            </w:tcMar>
            <w:tcW w:w="1438" w:type="dxa"/>
            <w:vAlign w:val="center"/>
            <w:textDirection w:val="lrTb"/>
            <w:noWrap/>
          </w:tcPr>
          <w:p>
            <w:pPr>
              <w:pStyle w:val="1011"/>
              <w:jc w:val="both"/>
              <w:spacing w:after="0" w:line="240" w:lineRule="auto"/>
              <w:tabs>
                <w:tab w:val="left" w:pos="2670" w:leader="none"/>
              </w:tabs>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Mar>
              <w:left w:w="108" w:type="dxa"/>
              <w:top w:w="0" w:type="dxa"/>
              <w:right w:w="108" w:type="dxa"/>
              <w:bottom w:w="0" w:type="dxa"/>
            </w:tcMar>
            <w:tcW w:w="1287" w:type="dxa"/>
            <w:vAlign w:val="center"/>
            <w:vMerge w:val="continue"/>
            <w:textDirection w:val="lrTb"/>
            <w:noWrap/>
          </w:tcPr>
          <w:p>
            <w:pPr>
              <w:pStyle w:val="1011"/>
              <w:jc w:val="both"/>
              <w:spacing w:after="0" w:line="240" w:lineRule="auto"/>
              <w:tabs>
                <w:tab w:val="left" w:pos="2670" w:leader="none"/>
              </w:tabs>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tc>
      </w:tr>
      <w:tr>
        <w:trPr>
          <w:trHeight w:val="622"/>
        </w:trPr>
        <w:tc>
          <w:tcPr>
            <w:tcMar>
              <w:left w:w="108" w:type="dxa"/>
              <w:top w:w="0" w:type="dxa"/>
              <w:right w:w="108" w:type="dxa"/>
              <w:bottom w:w="0" w:type="dxa"/>
            </w:tcMar>
            <w:tcW w:w="796" w:type="dxa"/>
            <w:vAlign w:val="center"/>
            <w:vMerge w:val="continue"/>
            <w:textDirection w:val="lrTb"/>
            <w:noWrap/>
          </w:tcPr>
          <w:p>
            <w:pPr>
              <w:pStyle w:val="1011"/>
              <w:jc w:val="center"/>
              <w:spacing w:after="0" w:line="240" w:lineRule="auto"/>
              <w:tabs>
                <w:tab w:val="left" w:pos="2670" w:leader="none"/>
              </w:tabs>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r>
            <w:r/>
          </w:p>
        </w:tc>
        <w:tc>
          <w:tcPr>
            <w:gridSpan w:val="2"/>
            <w:tcMar>
              <w:left w:w="108" w:type="dxa"/>
              <w:top w:w="0" w:type="dxa"/>
              <w:right w:w="108" w:type="dxa"/>
              <w:bottom w:w="0" w:type="dxa"/>
            </w:tcMar>
            <w:tcW w:w="2500" w:type="dxa"/>
            <w:vAlign w:val="center"/>
            <w:vMerge w:val="continue"/>
            <w:textDirection w:val="lrTb"/>
            <w:noWrap/>
          </w:tcPr>
          <w:p>
            <w:pPr>
              <w:pStyle w:val="1011"/>
              <w:jc w:val="center"/>
              <w:pageBreakBefore w:val="0"/>
              <w:spacing w:line="240" w:lineRule="auto"/>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tcMar>
              <w:left w:w="108" w:type="dxa"/>
              <w:top w:w="0" w:type="dxa"/>
              <w:right w:w="108" w:type="dxa"/>
              <w:bottom w:w="0" w:type="dxa"/>
            </w:tcMar>
            <w:tcW w:w="2412" w:type="dxa"/>
            <w:vAlign w:val="center"/>
            <w:textDirection w:val="lrTb"/>
            <w:noWrap/>
          </w:tcPr>
          <w:p>
            <w:pPr>
              <w:pStyle w:val="1011"/>
              <w:jc w:val="both"/>
              <w:spacing w:after="0" w:line="240" w:lineRule="auto"/>
              <w:tabs>
                <w:tab w:val="left" w:pos="2670" w:leader="none"/>
              </w:tabs>
              <w:rPr>
                <w:rFonts w:eastAsia="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olor w:val="000000"/>
                <w:sz w:val="24"/>
                <w:szCs w:val="24"/>
                <w:highlight w:val="none"/>
                <w:lang w:val="en-US" w:eastAsia="zh-CN"/>
              </w:rPr>
              <w:t xml:space="preserve">……</w:t>
            </w:r>
            <w:r>
              <w:rPr>
                <w:rFonts w:eastAsia="宋体"/>
                <w:color w:val="000000"/>
                <w:sz w:val="24"/>
                <w:szCs w:val="24"/>
                <w:highlight w:val="none"/>
                <w:lang w:val="en-US" w:eastAsia="zh-CN"/>
              </w:rPr>
            </w:r>
            <w:r/>
          </w:p>
        </w:tc>
        <w:tc>
          <w:tcPr>
            <w:tcMar>
              <w:left w:w="108" w:type="dxa"/>
              <w:top w:w="0" w:type="dxa"/>
              <w:right w:w="108" w:type="dxa"/>
              <w:bottom w:w="0" w:type="dxa"/>
            </w:tcMar>
            <w:tcW w:w="1438" w:type="dxa"/>
            <w:vAlign w:val="center"/>
            <w:textDirection w:val="lrTb"/>
            <w:noWrap/>
          </w:tcPr>
          <w:p>
            <w:pPr>
              <w:pStyle w:val="1011"/>
              <w:ind w:firstLine="472"/>
              <w:jc w:val="both"/>
              <w:spacing w:after="0" w:line="240" w:lineRule="auto"/>
              <w:tabs>
                <w:tab w:val="left" w:pos="2670" w:leader="none"/>
              </w:tabs>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 </w:t>
            </w:r>
            <w:r>
              <w:rPr>
                <w:color w:val="000000"/>
                <w:sz w:val="24"/>
                <w:szCs w:val="24"/>
                <w:highlight w:val="none"/>
              </w:rPr>
            </w:r>
            <w:r/>
          </w:p>
        </w:tc>
        <w:tc>
          <w:tcPr>
            <w:tcMar>
              <w:left w:w="108" w:type="dxa"/>
              <w:top w:w="0" w:type="dxa"/>
              <w:right w:w="108" w:type="dxa"/>
              <w:bottom w:w="0" w:type="dxa"/>
            </w:tcMar>
            <w:tcW w:w="1287" w:type="dxa"/>
            <w:vAlign w:val="center"/>
            <w:vMerge w:val="continue"/>
            <w:textDirection w:val="lrTb"/>
            <w:noWrap/>
          </w:tcPr>
          <w:p>
            <w:pPr>
              <w:pStyle w:val="1011"/>
              <w:ind w:firstLine="472"/>
              <w:jc w:val="both"/>
              <w:spacing w:after="0" w:line="240" w:lineRule="auto"/>
              <w:tabs>
                <w:tab w:val="left" w:pos="2670" w:leader="none"/>
              </w:tabs>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r>
            <w:r/>
          </w:p>
        </w:tc>
      </w:tr>
      <w:tr>
        <w:trPr>
          <w:trHeight w:val="622"/>
        </w:trPr>
        <w:tc>
          <w:tcPr>
            <w:tcMar>
              <w:left w:w="108" w:type="dxa"/>
              <w:top w:w="0" w:type="dxa"/>
              <w:right w:w="108" w:type="dxa"/>
              <w:bottom w:w="0" w:type="dxa"/>
            </w:tcMar>
            <w:tcW w:w="796" w:type="dxa"/>
            <w:vAlign w:val="center"/>
            <w:vMerge w:val="restart"/>
            <w:textDirection w:val="lrTb"/>
            <w:noWrap/>
          </w:tcPr>
          <w:p>
            <w:pPr>
              <w:pStyle w:val="1011"/>
              <w:jc w:val="center"/>
              <w:spacing w:after="0" w:line="240" w:lineRule="auto"/>
              <w:tabs>
                <w:tab w:val="left" w:pos="2670" w:leader="none"/>
              </w:tabs>
              <w:rPr>
                <w:rFonts w:hint="eastAsia" w:eastAsia="楷体_GB2312"/>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w:t>
            </w:r>
            <w:r>
              <w:rPr>
                <w:rFonts w:hint="eastAsia" w:eastAsia="楷体_GB2312"/>
                <w:color w:val="000000"/>
                <w:sz w:val="24"/>
                <w:szCs w:val="24"/>
                <w:highlight w:val="none"/>
                <w:lang w:eastAsia="zh-CN"/>
              </w:rPr>
            </w:r>
            <w:r/>
          </w:p>
        </w:tc>
        <w:tc>
          <w:tcPr>
            <w:gridSpan w:val="2"/>
            <w:tcMar>
              <w:left w:w="108" w:type="dxa"/>
              <w:top w:w="0" w:type="dxa"/>
              <w:right w:w="108" w:type="dxa"/>
              <w:bottom w:w="0" w:type="dxa"/>
            </w:tcMar>
            <w:tcW w:w="2500" w:type="dxa"/>
            <w:vAlign w:val="center"/>
            <w:vMerge w:val="restart"/>
            <w:textDirection w:val="lrTb"/>
            <w:noWrap/>
          </w:tcPr>
          <w:p>
            <w:pPr>
              <w:pStyle w:val="1011"/>
              <w:jc w:val="center"/>
              <w:pageBreakBefore w:val="0"/>
              <w:spacing w:line="240" w:lineRule="auto"/>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bidi="ar"/>
              </w:rPr>
              <w:t xml:space="preserve">医院药学信息管理系统</w:t>
            </w:r>
            <w:r>
              <w:rPr>
                <w:rFonts w:hint="eastAsia" w:ascii="仿宋" w:hAnsi="仿宋" w:eastAsia="仿宋" w:cs="仿宋"/>
                <w:color w:val="000000"/>
                <w:sz w:val="24"/>
                <w:szCs w:val="24"/>
                <w:highlight w:val="none"/>
                <w:lang w:val="en-US" w:eastAsia="zh-CN" w:bidi="ar"/>
              </w:rPr>
              <w:t xml:space="preserve">软件集成及升级</w:t>
            </w:r>
            <w:r>
              <w:rPr>
                <w:rFonts w:hint="eastAsia" w:ascii="仿宋" w:hAnsi="仿宋" w:eastAsia="仿宋" w:cs="仿宋"/>
                <w:color w:val="000000"/>
                <w:sz w:val="24"/>
                <w:szCs w:val="24"/>
                <w:highlight w:val="none"/>
                <w:lang w:val="en-US" w:eastAsia="zh-CN" w:bidi="ar"/>
              </w:rPr>
            </w:r>
            <w:r/>
          </w:p>
        </w:tc>
        <w:tc>
          <w:tcPr>
            <w:tcMar>
              <w:left w:w="108" w:type="dxa"/>
              <w:top w:w="0" w:type="dxa"/>
              <w:right w:w="108" w:type="dxa"/>
              <w:bottom w:w="0" w:type="dxa"/>
            </w:tcMar>
            <w:tcW w:w="2412" w:type="dxa"/>
            <w:vAlign w:val="center"/>
            <w:textDirection w:val="lrTb"/>
            <w:noWrap/>
          </w:tcPr>
          <w:p>
            <w:pPr>
              <w:pStyle w:val="1011"/>
              <w:ind w:firstLine="472"/>
              <w:jc w:val="both"/>
              <w:spacing w:after="0" w:line="240" w:lineRule="auto"/>
              <w:tabs>
                <w:tab w:val="left" w:pos="2670" w:leader="none"/>
              </w:tabs>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 </w:t>
            </w:r>
            <w:r>
              <w:rPr>
                <w:color w:val="000000"/>
                <w:sz w:val="24"/>
                <w:szCs w:val="24"/>
                <w:highlight w:val="none"/>
              </w:rPr>
            </w:r>
            <w:r/>
          </w:p>
        </w:tc>
        <w:tc>
          <w:tcPr>
            <w:tcMar>
              <w:left w:w="108" w:type="dxa"/>
              <w:top w:w="0" w:type="dxa"/>
              <w:right w:w="108" w:type="dxa"/>
              <w:bottom w:w="0" w:type="dxa"/>
            </w:tcMar>
            <w:tcW w:w="1438" w:type="dxa"/>
            <w:vAlign w:val="center"/>
            <w:textDirection w:val="lrTb"/>
            <w:noWrap/>
          </w:tcPr>
          <w:p>
            <w:pPr>
              <w:pStyle w:val="1011"/>
              <w:ind w:firstLine="472"/>
              <w:jc w:val="both"/>
              <w:spacing w:after="0" w:line="240" w:lineRule="auto"/>
              <w:tabs>
                <w:tab w:val="left" w:pos="2670" w:leader="none"/>
              </w:tabs>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 </w:t>
            </w:r>
            <w:r>
              <w:rPr>
                <w:color w:val="000000"/>
                <w:sz w:val="24"/>
                <w:szCs w:val="24"/>
                <w:highlight w:val="none"/>
              </w:rPr>
            </w:r>
            <w:r/>
          </w:p>
        </w:tc>
        <w:tc>
          <w:tcPr>
            <w:tcMar>
              <w:left w:w="108" w:type="dxa"/>
              <w:top w:w="0" w:type="dxa"/>
              <w:right w:w="108" w:type="dxa"/>
              <w:bottom w:w="0" w:type="dxa"/>
            </w:tcMar>
            <w:tcW w:w="1287" w:type="dxa"/>
            <w:vAlign w:val="center"/>
            <w:vMerge w:val="restart"/>
            <w:textDirection w:val="lrTb"/>
            <w:noWrap/>
          </w:tcPr>
          <w:p>
            <w:pPr>
              <w:pStyle w:val="1011"/>
              <w:ind w:firstLine="472"/>
              <w:jc w:val="both"/>
              <w:spacing w:after="0" w:line="240" w:lineRule="auto"/>
              <w:tabs>
                <w:tab w:val="left" w:pos="2670" w:leader="none"/>
              </w:tabs>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r>
            <w:r/>
          </w:p>
        </w:tc>
      </w:tr>
      <w:tr>
        <w:trPr>
          <w:trHeight w:val="622"/>
        </w:trPr>
        <w:tc>
          <w:tcPr>
            <w:tcMar>
              <w:left w:w="108" w:type="dxa"/>
              <w:top w:w="0" w:type="dxa"/>
              <w:right w:w="108" w:type="dxa"/>
              <w:bottom w:w="0" w:type="dxa"/>
            </w:tcMar>
            <w:tcW w:w="796" w:type="dxa"/>
            <w:vAlign w:val="center"/>
            <w:vMerge w:val="continue"/>
            <w:textDirection w:val="lrTb"/>
            <w:noWrap/>
          </w:tcPr>
          <w:p>
            <w:pPr>
              <w:pStyle w:val="1011"/>
              <w:jc w:val="center"/>
              <w:spacing w:after="0" w:line="240" w:lineRule="auto"/>
              <w:tabs>
                <w:tab w:val="left" w:pos="2670" w:leader="none"/>
              </w:tabs>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r>
            <w:r/>
          </w:p>
        </w:tc>
        <w:tc>
          <w:tcPr>
            <w:gridSpan w:val="2"/>
            <w:tcMar>
              <w:left w:w="108" w:type="dxa"/>
              <w:top w:w="0" w:type="dxa"/>
              <w:right w:w="108" w:type="dxa"/>
              <w:bottom w:w="0" w:type="dxa"/>
            </w:tcMar>
            <w:tcW w:w="2500" w:type="dxa"/>
            <w:vAlign w:val="center"/>
            <w:vMerge w:val="continue"/>
            <w:textDirection w:val="lrTb"/>
            <w:noWrap/>
          </w:tcPr>
          <w:p>
            <w:pPr>
              <w:pStyle w:val="1011"/>
              <w:jc w:val="center"/>
              <w:pageBreakBefore w:val="0"/>
              <w:spacing w:line="240" w:lineRule="auto"/>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tcMar>
              <w:left w:w="108" w:type="dxa"/>
              <w:top w:w="0" w:type="dxa"/>
              <w:right w:w="108" w:type="dxa"/>
              <w:bottom w:w="0" w:type="dxa"/>
            </w:tcMar>
            <w:tcW w:w="2412" w:type="dxa"/>
            <w:vAlign w:val="center"/>
            <w:textDirection w:val="lrTb"/>
            <w:noWrap/>
          </w:tcPr>
          <w:p>
            <w:pPr>
              <w:pStyle w:val="1011"/>
              <w:ind w:firstLine="472"/>
              <w:jc w:val="both"/>
              <w:spacing w:after="0" w:line="240" w:lineRule="auto"/>
              <w:tabs>
                <w:tab w:val="left" w:pos="2670" w:leader="none"/>
              </w:tabs>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 </w:t>
            </w:r>
            <w:r>
              <w:rPr>
                <w:color w:val="000000"/>
                <w:sz w:val="24"/>
                <w:szCs w:val="24"/>
                <w:highlight w:val="none"/>
              </w:rPr>
            </w:r>
            <w:r/>
          </w:p>
        </w:tc>
        <w:tc>
          <w:tcPr>
            <w:tcMar>
              <w:left w:w="108" w:type="dxa"/>
              <w:top w:w="0" w:type="dxa"/>
              <w:right w:w="108" w:type="dxa"/>
              <w:bottom w:w="0" w:type="dxa"/>
            </w:tcMar>
            <w:tcW w:w="1438" w:type="dxa"/>
            <w:vAlign w:val="center"/>
            <w:textDirection w:val="lrTb"/>
            <w:noWrap/>
          </w:tcPr>
          <w:p>
            <w:pPr>
              <w:pStyle w:val="1011"/>
              <w:ind w:firstLine="472"/>
              <w:jc w:val="both"/>
              <w:spacing w:after="0" w:line="240" w:lineRule="auto"/>
              <w:tabs>
                <w:tab w:val="left" w:pos="2670" w:leader="none"/>
              </w:tabs>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 </w:t>
            </w:r>
            <w:r>
              <w:rPr>
                <w:color w:val="000000"/>
                <w:sz w:val="24"/>
                <w:szCs w:val="24"/>
                <w:highlight w:val="none"/>
              </w:rPr>
            </w:r>
            <w:r/>
          </w:p>
        </w:tc>
        <w:tc>
          <w:tcPr>
            <w:tcMar>
              <w:left w:w="108" w:type="dxa"/>
              <w:top w:w="0" w:type="dxa"/>
              <w:right w:w="108" w:type="dxa"/>
              <w:bottom w:w="0" w:type="dxa"/>
            </w:tcMar>
            <w:tcW w:w="1287" w:type="dxa"/>
            <w:vAlign w:val="center"/>
            <w:vMerge w:val="continue"/>
            <w:textDirection w:val="lrTb"/>
            <w:noWrap/>
          </w:tcPr>
          <w:p>
            <w:pPr>
              <w:pStyle w:val="1011"/>
              <w:ind w:firstLine="472"/>
              <w:jc w:val="both"/>
              <w:spacing w:after="0" w:line="240" w:lineRule="auto"/>
              <w:tabs>
                <w:tab w:val="left" w:pos="2670" w:leader="none"/>
              </w:tabs>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r>
            <w:r/>
          </w:p>
        </w:tc>
      </w:tr>
      <w:tr>
        <w:trPr>
          <w:trHeight w:val="622"/>
        </w:trPr>
        <w:tc>
          <w:tcPr>
            <w:tcMar>
              <w:left w:w="108" w:type="dxa"/>
              <w:top w:w="0" w:type="dxa"/>
              <w:right w:w="108" w:type="dxa"/>
              <w:bottom w:w="0" w:type="dxa"/>
            </w:tcMar>
            <w:tcW w:w="796" w:type="dxa"/>
            <w:vAlign w:val="center"/>
            <w:vMerge w:val="continue"/>
            <w:textDirection w:val="lrTb"/>
            <w:noWrap/>
          </w:tcPr>
          <w:p>
            <w:pPr>
              <w:pStyle w:val="1011"/>
              <w:jc w:val="center"/>
              <w:spacing w:after="0" w:line="240" w:lineRule="auto"/>
              <w:tabs>
                <w:tab w:val="left" w:pos="2670" w:leader="none"/>
              </w:tabs>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r>
            <w:r/>
          </w:p>
        </w:tc>
        <w:tc>
          <w:tcPr>
            <w:gridSpan w:val="2"/>
            <w:tcMar>
              <w:left w:w="108" w:type="dxa"/>
              <w:top w:w="0" w:type="dxa"/>
              <w:right w:w="108" w:type="dxa"/>
              <w:bottom w:w="0" w:type="dxa"/>
            </w:tcMar>
            <w:tcW w:w="2500" w:type="dxa"/>
            <w:vAlign w:val="center"/>
            <w:vMerge w:val="continue"/>
            <w:textDirection w:val="lrTb"/>
            <w:noWrap/>
          </w:tcPr>
          <w:p>
            <w:pPr>
              <w:pStyle w:val="1011"/>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2412" w:type="dxa"/>
            <w:vAlign w:val="center"/>
            <w:textDirection w:val="lrTb"/>
            <w:noWrap/>
          </w:tcPr>
          <w:p>
            <w:pPr>
              <w:pStyle w:val="1011"/>
              <w:jc w:val="both"/>
              <w:spacing w:after="0" w:line="240" w:lineRule="auto"/>
              <w:tabs>
                <w:tab w:val="left" w:pos="2670" w:leader="none"/>
              </w:tabs>
              <w:rPr>
                <w:rFonts w:ascii="Times New Roman" w:hAnsi="Times New Roman" w:eastAsia="宋体" w:cs="Times New Roman"/>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tc>
        <w:tc>
          <w:tcPr>
            <w:tcMar>
              <w:left w:w="108" w:type="dxa"/>
              <w:top w:w="0" w:type="dxa"/>
              <w:right w:w="108" w:type="dxa"/>
              <w:bottom w:w="0" w:type="dxa"/>
            </w:tcMar>
            <w:tcW w:w="1438" w:type="dxa"/>
            <w:vAlign w:val="center"/>
            <w:textDirection w:val="lrTb"/>
            <w:noWrap/>
          </w:tcPr>
          <w:p>
            <w:pPr>
              <w:pStyle w:val="1011"/>
              <w:ind w:firstLine="472"/>
              <w:jc w:val="both"/>
              <w:spacing w:after="0" w:line="240" w:lineRule="auto"/>
              <w:tabs>
                <w:tab w:val="left" w:pos="2670" w:leader="none"/>
              </w:tabs>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 </w:t>
            </w:r>
            <w:r>
              <w:rPr>
                <w:color w:val="000000"/>
                <w:sz w:val="24"/>
                <w:szCs w:val="24"/>
                <w:highlight w:val="none"/>
              </w:rPr>
            </w:r>
            <w:r/>
          </w:p>
        </w:tc>
        <w:tc>
          <w:tcPr>
            <w:tcMar>
              <w:left w:w="108" w:type="dxa"/>
              <w:top w:w="0" w:type="dxa"/>
              <w:right w:w="108" w:type="dxa"/>
              <w:bottom w:w="0" w:type="dxa"/>
            </w:tcMar>
            <w:tcW w:w="1287" w:type="dxa"/>
            <w:vAlign w:val="center"/>
            <w:vMerge w:val="continue"/>
            <w:textDirection w:val="lrTb"/>
            <w:noWrap/>
          </w:tcPr>
          <w:p>
            <w:pPr>
              <w:pStyle w:val="1011"/>
              <w:ind w:firstLine="472"/>
              <w:jc w:val="both"/>
              <w:spacing w:after="0" w:line="240" w:lineRule="auto"/>
              <w:tabs>
                <w:tab w:val="left" w:pos="2670" w:leader="none"/>
              </w:tabs>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r>
            <w:r/>
          </w:p>
        </w:tc>
      </w:tr>
      <w:tr>
        <w:trPr>
          <w:trHeight w:val="622"/>
        </w:trPr>
        <w:tc>
          <w:tcPr>
            <w:tcMar>
              <w:left w:w="108" w:type="dxa"/>
              <w:top w:w="0" w:type="dxa"/>
              <w:right w:w="108" w:type="dxa"/>
              <w:bottom w:w="0" w:type="dxa"/>
            </w:tcMar>
            <w:tcW w:w="796" w:type="dxa"/>
            <w:vAlign w:val="center"/>
            <w:vMerge w:val="restart"/>
            <w:textDirection w:val="lrTb"/>
            <w:noWrap/>
          </w:tcPr>
          <w:p>
            <w:pPr>
              <w:pStyle w:val="1011"/>
              <w:jc w:val="center"/>
              <w:spacing w:after="0" w:line="240" w:lineRule="auto"/>
              <w:tabs>
                <w:tab w:val="left" w:pos="2670" w:leader="none"/>
              </w:tabs>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gridSpan w:val="2"/>
            <w:tcMar>
              <w:left w:w="108" w:type="dxa"/>
              <w:top w:w="0" w:type="dxa"/>
              <w:right w:w="108" w:type="dxa"/>
              <w:bottom w:w="0" w:type="dxa"/>
            </w:tcMar>
            <w:tcW w:w="2500" w:type="dxa"/>
            <w:vAlign w:val="center"/>
            <w:vMerge w:val="restart"/>
            <w:textDirection w:val="lrTb"/>
            <w:noWrap/>
          </w:tcPr>
          <w:p>
            <w:pPr>
              <w:pStyle w:val="1011"/>
              <w:jc w:val="center"/>
              <w:pageBreakBefore w:val="0"/>
              <w:spacing w:line="240" w:lineRule="auto"/>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随访</w:t>
            </w:r>
            <w:r>
              <w:rPr>
                <w:rFonts w:hint="eastAsia" w:ascii="仿宋" w:hAnsi="仿宋" w:eastAsia="仿宋" w:cs="仿宋"/>
                <w:color w:val="000000"/>
                <w:sz w:val="24"/>
                <w:szCs w:val="24"/>
                <w:highlight w:val="none"/>
                <w:lang w:val="en-US" w:eastAsia="zh-CN" w:bidi="ar"/>
              </w:rPr>
              <w:t xml:space="preserve">管理</w:t>
            </w:r>
            <w:r>
              <w:rPr>
                <w:rFonts w:hint="eastAsia" w:ascii="仿宋" w:hAnsi="仿宋" w:eastAsia="仿宋" w:cs="仿宋"/>
                <w:color w:val="000000"/>
                <w:sz w:val="24"/>
                <w:szCs w:val="24"/>
                <w:highlight w:val="none"/>
                <w:lang w:bidi="ar"/>
              </w:rPr>
              <w:t xml:space="preserve">系统</w:t>
            </w:r>
            <w:r>
              <w:rPr>
                <w:rFonts w:hint="eastAsia" w:ascii="仿宋" w:hAnsi="仿宋" w:eastAsia="仿宋" w:cs="仿宋"/>
                <w:color w:val="000000"/>
                <w:sz w:val="24"/>
                <w:szCs w:val="24"/>
                <w:highlight w:val="none"/>
                <w:lang w:val="en-US" w:eastAsia="zh-CN" w:bidi="ar"/>
              </w:rPr>
              <w:t xml:space="preserve">软件集成及升级</w:t>
            </w:r>
            <w:r>
              <w:rPr>
                <w:rFonts w:hint="eastAsia" w:ascii="仿宋" w:hAnsi="仿宋" w:eastAsia="仿宋" w:cs="仿宋"/>
                <w:color w:val="000000"/>
                <w:sz w:val="24"/>
                <w:szCs w:val="24"/>
                <w:highlight w:val="none"/>
                <w:lang w:bidi="ar"/>
              </w:rPr>
            </w:r>
            <w:r/>
          </w:p>
        </w:tc>
        <w:tc>
          <w:tcPr>
            <w:tcMar>
              <w:left w:w="108" w:type="dxa"/>
              <w:top w:w="0" w:type="dxa"/>
              <w:right w:w="108" w:type="dxa"/>
              <w:bottom w:w="0" w:type="dxa"/>
            </w:tcMar>
            <w:tcW w:w="2412" w:type="dxa"/>
            <w:vAlign w:val="center"/>
            <w:textDirection w:val="lrTb"/>
            <w:noWrap/>
          </w:tcPr>
          <w:p>
            <w:pPr>
              <w:pStyle w:val="1011"/>
              <w:ind w:firstLine="472"/>
              <w:jc w:val="both"/>
              <w:spacing w:after="0" w:line="240" w:lineRule="auto"/>
              <w:tabs>
                <w:tab w:val="left" w:pos="2670" w:leader="none"/>
              </w:tabs>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r>
            <w:r/>
          </w:p>
        </w:tc>
        <w:tc>
          <w:tcPr>
            <w:tcMar>
              <w:left w:w="108" w:type="dxa"/>
              <w:top w:w="0" w:type="dxa"/>
              <w:right w:w="108" w:type="dxa"/>
              <w:bottom w:w="0" w:type="dxa"/>
            </w:tcMar>
            <w:tcW w:w="1438" w:type="dxa"/>
            <w:vAlign w:val="center"/>
            <w:textDirection w:val="lrTb"/>
            <w:noWrap/>
          </w:tcPr>
          <w:p>
            <w:pPr>
              <w:pStyle w:val="1011"/>
              <w:ind w:firstLine="472"/>
              <w:jc w:val="both"/>
              <w:spacing w:after="0" w:line="240" w:lineRule="auto"/>
              <w:tabs>
                <w:tab w:val="left" w:pos="2670" w:leader="none"/>
              </w:tabs>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r>
            <w:r/>
          </w:p>
        </w:tc>
        <w:tc>
          <w:tcPr>
            <w:tcMar>
              <w:left w:w="108" w:type="dxa"/>
              <w:top w:w="0" w:type="dxa"/>
              <w:right w:w="108" w:type="dxa"/>
              <w:bottom w:w="0" w:type="dxa"/>
            </w:tcMar>
            <w:tcW w:w="1287" w:type="dxa"/>
            <w:vAlign w:val="center"/>
            <w:vMerge w:val="restart"/>
            <w:textDirection w:val="lrTb"/>
            <w:noWrap/>
          </w:tcPr>
          <w:p>
            <w:pPr>
              <w:pStyle w:val="1011"/>
              <w:ind w:firstLine="472"/>
              <w:jc w:val="both"/>
              <w:spacing w:after="0" w:line="240" w:lineRule="auto"/>
              <w:tabs>
                <w:tab w:val="left" w:pos="2670" w:leader="none"/>
              </w:tabs>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r>
            <w:r/>
          </w:p>
        </w:tc>
      </w:tr>
      <w:tr>
        <w:trPr>
          <w:trHeight w:val="622"/>
        </w:trPr>
        <w:tc>
          <w:tcPr>
            <w:tcMar>
              <w:left w:w="108" w:type="dxa"/>
              <w:top w:w="0" w:type="dxa"/>
              <w:right w:w="108" w:type="dxa"/>
              <w:bottom w:w="0" w:type="dxa"/>
            </w:tcMar>
            <w:tcW w:w="796" w:type="dxa"/>
            <w:vAlign w:val="center"/>
            <w:vMerge w:val="continue"/>
            <w:textDirection w:val="lrTb"/>
            <w:noWrap/>
          </w:tcPr>
          <w:p>
            <w:pPr>
              <w:pStyle w:val="1011"/>
              <w:jc w:val="center"/>
              <w:spacing w:after="0" w:line="240" w:lineRule="auto"/>
              <w:tabs>
                <w:tab w:val="left" w:pos="2670" w:leader="none"/>
              </w:tabs>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tc>
        <w:tc>
          <w:tcPr>
            <w:gridSpan w:val="2"/>
            <w:tcMar>
              <w:left w:w="108" w:type="dxa"/>
              <w:top w:w="0" w:type="dxa"/>
              <w:right w:w="108" w:type="dxa"/>
              <w:bottom w:w="0" w:type="dxa"/>
            </w:tcMar>
            <w:tcW w:w="2500" w:type="dxa"/>
            <w:vAlign w:val="center"/>
            <w:vMerge w:val="continue"/>
            <w:textDirection w:val="lrTb"/>
            <w:noWrap/>
          </w:tcPr>
          <w:p>
            <w:pPr>
              <w:pStyle w:val="1011"/>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2412" w:type="dxa"/>
            <w:vAlign w:val="center"/>
            <w:textDirection w:val="lrTb"/>
            <w:noWrap/>
          </w:tcPr>
          <w:p>
            <w:pPr>
              <w:pStyle w:val="1011"/>
              <w:ind w:firstLine="472"/>
              <w:jc w:val="both"/>
              <w:spacing w:after="0" w:line="240" w:lineRule="auto"/>
              <w:tabs>
                <w:tab w:val="left" w:pos="2670" w:leader="none"/>
              </w:tabs>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r>
            <w:r/>
          </w:p>
        </w:tc>
        <w:tc>
          <w:tcPr>
            <w:tcMar>
              <w:left w:w="108" w:type="dxa"/>
              <w:top w:w="0" w:type="dxa"/>
              <w:right w:w="108" w:type="dxa"/>
              <w:bottom w:w="0" w:type="dxa"/>
            </w:tcMar>
            <w:tcW w:w="1438" w:type="dxa"/>
            <w:vAlign w:val="center"/>
            <w:textDirection w:val="lrTb"/>
            <w:noWrap/>
          </w:tcPr>
          <w:p>
            <w:pPr>
              <w:pStyle w:val="1011"/>
              <w:ind w:firstLine="472"/>
              <w:jc w:val="both"/>
              <w:spacing w:after="0" w:line="240" w:lineRule="auto"/>
              <w:tabs>
                <w:tab w:val="left" w:pos="2670" w:leader="none"/>
              </w:tabs>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r>
            <w:r/>
          </w:p>
        </w:tc>
        <w:tc>
          <w:tcPr>
            <w:tcMar>
              <w:left w:w="108" w:type="dxa"/>
              <w:top w:w="0" w:type="dxa"/>
              <w:right w:w="108" w:type="dxa"/>
              <w:bottom w:w="0" w:type="dxa"/>
            </w:tcMar>
            <w:tcW w:w="1287" w:type="dxa"/>
            <w:vAlign w:val="center"/>
            <w:vMerge w:val="continue"/>
            <w:textDirection w:val="lrTb"/>
            <w:noWrap/>
          </w:tcPr>
          <w:p>
            <w:pPr>
              <w:pStyle w:val="1011"/>
              <w:ind w:firstLine="472"/>
              <w:jc w:val="both"/>
              <w:spacing w:after="0" w:line="240" w:lineRule="auto"/>
              <w:tabs>
                <w:tab w:val="left" w:pos="2670" w:leader="none"/>
              </w:tabs>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r>
            <w:r/>
          </w:p>
        </w:tc>
      </w:tr>
      <w:tr>
        <w:trPr>
          <w:trHeight w:val="622"/>
        </w:trPr>
        <w:tc>
          <w:tcPr>
            <w:tcMar>
              <w:left w:w="108" w:type="dxa"/>
              <w:top w:w="0" w:type="dxa"/>
              <w:right w:w="108" w:type="dxa"/>
              <w:bottom w:w="0" w:type="dxa"/>
            </w:tcMar>
            <w:tcW w:w="796" w:type="dxa"/>
            <w:vAlign w:val="center"/>
            <w:vMerge w:val="continue"/>
            <w:textDirection w:val="lrTb"/>
            <w:noWrap/>
          </w:tcPr>
          <w:p>
            <w:pPr>
              <w:pStyle w:val="1011"/>
              <w:jc w:val="center"/>
              <w:spacing w:after="0" w:line="240" w:lineRule="auto"/>
              <w:tabs>
                <w:tab w:val="left" w:pos="2670" w:leader="none"/>
              </w:tabs>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tc>
        <w:tc>
          <w:tcPr>
            <w:gridSpan w:val="2"/>
            <w:tcMar>
              <w:left w:w="108" w:type="dxa"/>
              <w:top w:w="0" w:type="dxa"/>
              <w:right w:w="108" w:type="dxa"/>
              <w:bottom w:w="0" w:type="dxa"/>
            </w:tcMar>
            <w:tcW w:w="2500" w:type="dxa"/>
            <w:vAlign w:val="center"/>
            <w:vMerge w:val="continue"/>
            <w:textDirection w:val="lrTb"/>
            <w:noWrap/>
          </w:tcPr>
          <w:p>
            <w:pPr>
              <w:pStyle w:val="1011"/>
              <w:jc w:val="center"/>
              <w:pageBreakBefore w:val="0"/>
              <w:spacing w:line="240" w:lineRule="auto"/>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tcMar>
              <w:left w:w="108" w:type="dxa"/>
              <w:top w:w="0" w:type="dxa"/>
              <w:right w:w="108" w:type="dxa"/>
              <w:bottom w:w="0" w:type="dxa"/>
            </w:tcMar>
            <w:tcW w:w="2412" w:type="dxa"/>
            <w:vAlign w:val="center"/>
            <w:textDirection w:val="lrTb"/>
            <w:noWrap/>
          </w:tcPr>
          <w:p>
            <w:pPr>
              <w:pStyle w:val="1011"/>
              <w:jc w:val="both"/>
              <w:spacing w:after="0" w:line="240" w:lineRule="auto"/>
              <w:tabs>
                <w:tab w:val="left" w:pos="2670" w:leader="none"/>
              </w:tabs>
              <w:rPr>
                <w:rFonts w:ascii="Times New Roman" w:hAnsi="Times New Roman" w:eastAsia="宋体" w:cs="Times New Roman"/>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tc>
        <w:tc>
          <w:tcPr>
            <w:tcMar>
              <w:left w:w="108" w:type="dxa"/>
              <w:top w:w="0" w:type="dxa"/>
              <w:right w:w="108" w:type="dxa"/>
              <w:bottom w:w="0" w:type="dxa"/>
            </w:tcMar>
            <w:tcW w:w="1438" w:type="dxa"/>
            <w:vAlign w:val="center"/>
            <w:textDirection w:val="lrTb"/>
            <w:noWrap/>
          </w:tcPr>
          <w:p>
            <w:pPr>
              <w:pStyle w:val="1011"/>
              <w:ind w:firstLine="472"/>
              <w:jc w:val="both"/>
              <w:spacing w:after="0" w:line="240" w:lineRule="auto"/>
              <w:tabs>
                <w:tab w:val="left" w:pos="2670" w:leader="none"/>
              </w:tabs>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r>
            <w:r/>
          </w:p>
        </w:tc>
        <w:tc>
          <w:tcPr>
            <w:tcMar>
              <w:left w:w="108" w:type="dxa"/>
              <w:top w:w="0" w:type="dxa"/>
              <w:right w:w="108" w:type="dxa"/>
              <w:bottom w:w="0" w:type="dxa"/>
            </w:tcMar>
            <w:tcW w:w="1287" w:type="dxa"/>
            <w:vAlign w:val="center"/>
            <w:vMerge w:val="continue"/>
            <w:textDirection w:val="lrTb"/>
            <w:noWrap/>
          </w:tcPr>
          <w:p>
            <w:pPr>
              <w:pStyle w:val="1011"/>
              <w:ind w:firstLine="472"/>
              <w:jc w:val="both"/>
              <w:spacing w:after="0" w:line="240" w:lineRule="auto"/>
              <w:tabs>
                <w:tab w:val="left" w:pos="2670" w:leader="none"/>
              </w:tabs>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r>
            <w:r/>
          </w:p>
        </w:tc>
      </w:tr>
      <w:tr>
        <w:trPr>
          <w:trHeight w:val="622"/>
        </w:trPr>
        <w:tc>
          <w:tcPr>
            <w:tcMar>
              <w:left w:w="108" w:type="dxa"/>
              <w:top w:w="0" w:type="dxa"/>
              <w:right w:w="108" w:type="dxa"/>
              <w:bottom w:w="0" w:type="dxa"/>
            </w:tcMar>
            <w:tcW w:w="796" w:type="dxa"/>
            <w:vAlign w:val="center"/>
            <w:vMerge w:val="restart"/>
            <w:textDirection w:val="lrTb"/>
            <w:noWrap/>
          </w:tcPr>
          <w:p>
            <w:pPr>
              <w:pStyle w:val="1011"/>
              <w:jc w:val="center"/>
              <w:spacing w:after="0" w:line="240" w:lineRule="auto"/>
              <w:tabs>
                <w:tab w:val="left" w:pos="2670" w:leader="none"/>
              </w:tabs>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gridSpan w:val="2"/>
            <w:tcMar>
              <w:left w:w="108" w:type="dxa"/>
              <w:top w:w="0" w:type="dxa"/>
              <w:right w:w="108" w:type="dxa"/>
              <w:bottom w:w="0" w:type="dxa"/>
            </w:tcMar>
            <w:tcW w:w="2500" w:type="dxa"/>
            <w:vAlign w:val="center"/>
            <w:vMerge w:val="restart"/>
            <w:textDirection w:val="lrTb"/>
            <w:noWrap/>
          </w:tcPr>
          <w:p>
            <w:pPr>
              <w:pStyle w:val="1011"/>
              <w:jc w:val="center"/>
              <w:pageBreakBefore w:val="0"/>
              <w:spacing w:line="240" w:lineRule="auto"/>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院内导航系统</w:t>
            </w:r>
            <w:r>
              <w:rPr>
                <w:rFonts w:hint="eastAsia" w:ascii="仿宋" w:hAnsi="仿宋" w:eastAsia="仿宋" w:cs="仿宋"/>
                <w:color w:val="000000"/>
                <w:sz w:val="24"/>
                <w:szCs w:val="24"/>
                <w:highlight w:val="none"/>
                <w:lang w:val="en-US" w:eastAsia="zh-CN" w:bidi="ar"/>
              </w:rPr>
              <w:t xml:space="preserve">软件集成</w:t>
            </w:r>
            <w:r>
              <w:rPr>
                <w:rFonts w:hint="eastAsia" w:ascii="仿宋" w:hAnsi="仿宋" w:eastAsia="仿宋" w:cs="仿宋"/>
                <w:color w:val="000000"/>
                <w:sz w:val="24"/>
                <w:szCs w:val="24"/>
                <w:highlight w:val="none"/>
                <w:lang w:bidi="ar"/>
              </w:rPr>
            </w:r>
            <w:r/>
          </w:p>
        </w:tc>
        <w:tc>
          <w:tcPr>
            <w:tcMar>
              <w:left w:w="108" w:type="dxa"/>
              <w:top w:w="0" w:type="dxa"/>
              <w:right w:w="108" w:type="dxa"/>
              <w:bottom w:w="0" w:type="dxa"/>
            </w:tcMar>
            <w:tcW w:w="2412" w:type="dxa"/>
            <w:vAlign w:val="center"/>
            <w:textDirection w:val="lrTb"/>
            <w:noWrap/>
          </w:tcPr>
          <w:p>
            <w:pPr>
              <w:pStyle w:val="1011"/>
              <w:ind w:firstLine="472"/>
              <w:jc w:val="both"/>
              <w:spacing w:after="0" w:line="240" w:lineRule="auto"/>
              <w:tabs>
                <w:tab w:val="left" w:pos="2670" w:leader="none"/>
              </w:tabs>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r>
            <w:r/>
          </w:p>
        </w:tc>
        <w:tc>
          <w:tcPr>
            <w:tcMar>
              <w:left w:w="108" w:type="dxa"/>
              <w:top w:w="0" w:type="dxa"/>
              <w:right w:w="108" w:type="dxa"/>
              <w:bottom w:w="0" w:type="dxa"/>
            </w:tcMar>
            <w:tcW w:w="1438" w:type="dxa"/>
            <w:vAlign w:val="center"/>
            <w:textDirection w:val="lrTb"/>
            <w:noWrap/>
          </w:tcPr>
          <w:p>
            <w:pPr>
              <w:pStyle w:val="1011"/>
              <w:ind w:firstLine="472"/>
              <w:jc w:val="both"/>
              <w:spacing w:after="0" w:line="240" w:lineRule="auto"/>
              <w:tabs>
                <w:tab w:val="left" w:pos="2670" w:leader="none"/>
              </w:tabs>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r>
            <w:r/>
          </w:p>
        </w:tc>
        <w:tc>
          <w:tcPr>
            <w:tcMar>
              <w:left w:w="108" w:type="dxa"/>
              <w:top w:w="0" w:type="dxa"/>
              <w:right w:w="108" w:type="dxa"/>
              <w:bottom w:w="0" w:type="dxa"/>
            </w:tcMar>
            <w:tcW w:w="1287" w:type="dxa"/>
            <w:vAlign w:val="center"/>
            <w:vMerge w:val="restart"/>
            <w:textDirection w:val="lrTb"/>
            <w:noWrap/>
          </w:tcPr>
          <w:p>
            <w:pPr>
              <w:pStyle w:val="1011"/>
              <w:ind w:firstLine="472"/>
              <w:jc w:val="both"/>
              <w:spacing w:after="0" w:line="240" w:lineRule="auto"/>
              <w:tabs>
                <w:tab w:val="left" w:pos="2670" w:leader="none"/>
              </w:tabs>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r>
            <w:r/>
          </w:p>
        </w:tc>
      </w:tr>
      <w:tr>
        <w:trPr>
          <w:trHeight w:val="622"/>
        </w:trPr>
        <w:tc>
          <w:tcPr>
            <w:tcMar>
              <w:left w:w="108" w:type="dxa"/>
              <w:top w:w="0" w:type="dxa"/>
              <w:right w:w="108" w:type="dxa"/>
              <w:bottom w:w="0" w:type="dxa"/>
            </w:tcMar>
            <w:tcW w:w="796" w:type="dxa"/>
            <w:vAlign w:val="center"/>
            <w:vMerge w:val="continue"/>
            <w:textDirection w:val="lrTb"/>
            <w:noWrap/>
          </w:tcPr>
          <w:p>
            <w:pPr>
              <w:pStyle w:val="1011"/>
              <w:jc w:val="center"/>
              <w:spacing w:after="0" w:line="240" w:lineRule="auto"/>
              <w:tabs>
                <w:tab w:val="left" w:pos="2670" w:leader="none"/>
              </w:tabs>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tc>
        <w:tc>
          <w:tcPr>
            <w:gridSpan w:val="2"/>
            <w:tcMar>
              <w:left w:w="108" w:type="dxa"/>
              <w:top w:w="0" w:type="dxa"/>
              <w:right w:w="108" w:type="dxa"/>
              <w:bottom w:w="0" w:type="dxa"/>
            </w:tcMar>
            <w:tcW w:w="2500" w:type="dxa"/>
            <w:vAlign w:val="center"/>
            <w:vMerge w:val="continue"/>
            <w:textDirection w:val="lrTb"/>
            <w:noWrap/>
          </w:tcPr>
          <w:p>
            <w:pPr>
              <w:pStyle w:val="1011"/>
              <w:jc w:val="center"/>
              <w:pageBreakBefore w:val="0"/>
              <w:spacing w:line="240" w:lineRule="auto"/>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tcMar>
              <w:left w:w="108" w:type="dxa"/>
              <w:top w:w="0" w:type="dxa"/>
              <w:right w:w="108" w:type="dxa"/>
              <w:bottom w:w="0" w:type="dxa"/>
            </w:tcMar>
            <w:tcW w:w="2412" w:type="dxa"/>
            <w:vAlign w:val="center"/>
            <w:textDirection w:val="lrTb"/>
            <w:noWrap/>
          </w:tcPr>
          <w:p>
            <w:pPr>
              <w:pStyle w:val="1011"/>
              <w:ind w:firstLine="472"/>
              <w:jc w:val="both"/>
              <w:spacing w:after="0" w:line="240" w:lineRule="auto"/>
              <w:tabs>
                <w:tab w:val="left" w:pos="2670" w:leader="none"/>
              </w:tabs>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r>
            <w:r/>
          </w:p>
        </w:tc>
        <w:tc>
          <w:tcPr>
            <w:tcMar>
              <w:left w:w="108" w:type="dxa"/>
              <w:top w:w="0" w:type="dxa"/>
              <w:right w:w="108" w:type="dxa"/>
              <w:bottom w:w="0" w:type="dxa"/>
            </w:tcMar>
            <w:tcW w:w="1438" w:type="dxa"/>
            <w:vAlign w:val="center"/>
            <w:textDirection w:val="lrTb"/>
            <w:noWrap/>
          </w:tcPr>
          <w:p>
            <w:pPr>
              <w:pStyle w:val="1011"/>
              <w:ind w:firstLine="472"/>
              <w:jc w:val="both"/>
              <w:spacing w:after="0" w:line="240" w:lineRule="auto"/>
              <w:tabs>
                <w:tab w:val="left" w:pos="2670" w:leader="none"/>
              </w:tabs>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r>
            <w:r/>
          </w:p>
        </w:tc>
        <w:tc>
          <w:tcPr>
            <w:tcMar>
              <w:left w:w="108" w:type="dxa"/>
              <w:top w:w="0" w:type="dxa"/>
              <w:right w:w="108" w:type="dxa"/>
              <w:bottom w:w="0" w:type="dxa"/>
            </w:tcMar>
            <w:tcW w:w="1287" w:type="dxa"/>
            <w:vAlign w:val="center"/>
            <w:vMerge w:val="continue"/>
            <w:textDirection w:val="lrTb"/>
            <w:noWrap/>
          </w:tcPr>
          <w:p>
            <w:pPr>
              <w:pStyle w:val="1011"/>
              <w:ind w:firstLine="472"/>
              <w:jc w:val="both"/>
              <w:spacing w:after="0" w:line="240" w:lineRule="auto"/>
              <w:tabs>
                <w:tab w:val="left" w:pos="2670" w:leader="none"/>
              </w:tabs>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r>
            <w:r/>
          </w:p>
        </w:tc>
      </w:tr>
      <w:tr>
        <w:trPr>
          <w:trHeight w:val="622"/>
        </w:trPr>
        <w:tc>
          <w:tcPr>
            <w:tcMar>
              <w:left w:w="108" w:type="dxa"/>
              <w:top w:w="0" w:type="dxa"/>
              <w:right w:w="108" w:type="dxa"/>
              <w:bottom w:w="0" w:type="dxa"/>
            </w:tcMar>
            <w:tcW w:w="796" w:type="dxa"/>
            <w:vAlign w:val="center"/>
            <w:vMerge w:val="continue"/>
            <w:textDirection w:val="lrTb"/>
            <w:noWrap/>
          </w:tcPr>
          <w:p>
            <w:pPr>
              <w:pStyle w:val="1011"/>
              <w:jc w:val="center"/>
              <w:spacing w:after="0" w:line="240" w:lineRule="auto"/>
              <w:tabs>
                <w:tab w:val="left" w:pos="2670" w:leader="none"/>
              </w:tabs>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tc>
        <w:tc>
          <w:tcPr>
            <w:gridSpan w:val="2"/>
            <w:tcMar>
              <w:left w:w="108" w:type="dxa"/>
              <w:top w:w="0" w:type="dxa"/>
              <w:right w:w="108" w:type="dxa"/>
              <w:bottom w:w="0" w:type="dxa"/>
            </w:tcMar>
            <w:tcW w:w="2500" w:type="dxa"/>
            <w:vAlign w:val="center"/>
            <w:vMerge w:val="continue"/>
            <w:textDirection w:val="lrTb"/>
            <w:noWrap/>
          </w:tcPr>
          <w:p>
            <w:pPr>
              <w:pStyle w:val="1011"/>
              <w:jc w:val="center"/>
              <w:pageBreakBefore w:val="0"/>
              <w:spacing w:line="240" w:lineRule="auto"/>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tcMar>
              <w:left w:w="108" w:type="dxa"/>
              <w:top w:w="0" w:type="dxa"/>
              <w:right w:w="108" w:type="dxa"/>
              <w:bottom w:w="0" w:type="dxa"/>
            </w:tcMar>
            <w:tcW w:w="2412" w:type="dxa"/>
            <w:vAlign w:val="center"/>
            <w:textDirection w:val="lrTb"/>
            <w:noWrap/>
          </w:tcPr>
          <w:p>
            <w:pPr>
              <w:pStyle w:val="1011"/>
              <w:jc w:val="both"/>
              <w:spacing w:after="0" w:line="240" w:lineRule="auto"/>
              <w:tabs>
                <w:tab w:val="left" w:pos="2670" w:leader="none"/>
              </w:tabs>
              <w:rPr>
                <w:rFonts w:ascii="Times New Roman" w:hAnsi="Times New Roman" w:eastAsia="宋体" w:cs="Times New Roman"/>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tc>
        <w:tc>
          <w:tcPr>
            <w:tcMar>
              <w:left w:w="108" w:type="dxa"/>
              <w:top w:w="0" w:type="dxa"/>
              <w:right w:w="108" w:type="dxa"/>
              <w:bottom w:w="0" w:type="dxa"/>
            </w:tcMar>
            <w:tcW w:w="1438" w:type="dxa"/>
            <w:vAlign w:val="center"/>
            <w:textDirection w:val="lrTb"/>
            <w:noWrap/>
          </w:tcPr>
          <w:p>
            <w:pPr>
              <w:pStyle w:val="1011"/>
              <w:ind w:firstLine="472"/>
              <w:jc w:val="both"/>
              <w:spacing w:after="0" w:line="240" w:lineRule="auto"/>
              <w:tabs>
                <w:tab w:val="left" w:pos="2670" w:leader="none"/>
              </w:tabs>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r>
            <w:r/>
          </w:p>
        </w:tc>
        <w:tc>
          <w:tcPr>
            <w:tcMar>
              <w:left w:w="108" w:type="dxa"/>
              <w:top w:w="0" w:type="dxa"/>
              <w:right w:w="108" w:type="dxa"/>
              <w:bottom w:w="0" w:type="dxa"/>
            </w:tcMar>
            <w:tcW w:w="1287" w:type="dxa"/>
            <w:vAlign w:val="center"/>
            <w:vMerge w:val="continue"/>
            <w:textDirection w:val="lrTb"/>
            <w:noWrap/>
          </w:tcPr>
          <w:p>
            <w:pPr>
              <w:pStyle w:val="1011"/>
              <w:ind w:firstLine="472"/>
              <w:jc w:val="both"/>
              <w:spacing w:after="0" w:line="240" w:lineRule="auto"/>
              <w:tabs>
                <w:tab w:val="left" w:pos="2670" w:leader="none"/>
              </w:tabs>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r>
            <w:r/>
          </w:p>
        </w:tc>
      </w:tr>
      <w:tr>
        <w:trPr>
          <w:trHeight w:val="622"/>
        </w:trPr>
        <w:tc>
          <w:tcPr>
            <w:gridSpan w:val="2"/>
            <w:tcMar>
              <w:left w:w="108" w:type="dxa"/>
              <w:top w:w="0" w:type="dxa"/>
              <w:right w:w="108" w:type="dxa"/>
              <w:bottom w:w="0" w:type="dxa"/>
            </w:tcMar>
            <w:tcW w:w="1640" w:type="dxa"/>
            <w:vAlign w:val="center"/>
            <w:textDirection w:val="lrTb"/>
            <w:noWrap/>
          </w:tcPr>
          <w:p>
            <w:pPr>
              <w:pStyle w:val="1011"/>
              <w:jc w:val="center"/>
              <w:spacing w:after="0" w:line="240" w:lineRule="auto"/>
              <w:tabs>
                <w:tab w:val="left" w:pos="2670" w:leader="none"/>
              </w:tabs>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投标报价总计</w:t>
            </w:r>
            <w:r>
              <w:rPr>
                <w:color w:val="000000"/>
                <w:sz w:val="24"/>
                <w:szCs w:val="24"/>
                <w:highlight w:val="none"/>
              </w:rPr>
            </w:r>
            <w:r/>
          </w:p>
        </w:tc>
        <w:tc>
          <w:tcPr>
            <w:gridSpan w:val="4"/>
            <w:tcMar>
              <w:left w:w="108" w:type="dxa"/>
              <w:top w:w="0" w:type="dxa"/>
              <w:right w:w="108" w:type="dxa"/>
              <w:bottom w:w="0" w:type="dxa"/>
            </w:tcMar>
            <w:tcW w:w="6793" w:type="dxa"/>
            <w:vAlign w:val="center"/>
            <w:textDirection w:val="lrTb"/>
            <w:noWrap/>
          </w:tcPr>
          <w:p>
            <w:pPr>
              <w:pStyle w:val="1011"/>
              <w:jc w:val="both"/>
              <w:spacing w:after="0" w:line="85" w:lineRule="atLeast"/>
              <w:rPr>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lang w:eastAsia="zh-CN"/>
              </w:rPr>
              <w:t xml:space="preserve">￥：</w:t>
            </w:r>
            <w:r>
              <w:rPr>
                <w:color w:val="000000"/>
                <w:sz w:val="24"/>
                <w:szCs w:val="24"/>
                <w:highlight w:val="none"/>
                <w:lang w:eastAsia="zh-CN"/>
              </w:rPr>
            </w:r>
            <w:r/>
          </w:p>
          <w:p>
            <w:pPr>
              <w:pStyle w:val="1011"/>
              <w:jc w:val="both"/>
              <w:spacing w:after="0" w:line="240" w:lineRule="auto"/>
              <w:tabs>
                <w:tab w:val="left" w:pos="2670" w:leader="none"/>
              </w:tabs>
              <w:rPr>
                <w:rFonts w:ascii="宋体" w:hAnsi="宋体" w:eastAsia="宋体" w:cs="宋体"/>
                <w:b/>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lang w:eastAsia="zh-CN"/>
              </w:rPr>
              <w:t xml:space="preserve">大写（人民币）： </w:t>
            </w:r>
            <w:r>
              <w:rPr>
                <w:rFonts w:ascii="宋体" w:hAnsi="宋体" w:eastAsia="宋体" w:cs="宋体"/>
                <w:b/>
                <w:color w:val="000000"/>
                <w:sz w:val="24"/>
                <w:szCs w:val="24"/>
                <w:highlight w:val="none"/>
                <w:lang w:eastAsia="zh-CN"/>
              </w:rPr>
            </w:r>
            <w:r/>
          </w:p>
        </w:tc>
      </w:tr>
      <w:tr>
        <w:trPr>
          <w:cantSplit/>
          <w:trHeight w:val="622"/>
        </w:trPr>
        <w:tc>
          <w:tcPr>
            <w:gridSpan w:val="6"/>
            <w:tcW w:w="8433" w:type="dxa"/>
            <w:vAlign w:val="top"/>
            <w:textDirection w:val="lrTb"/>
            <w:noWrap w:val="false"/>
          </w:tcPr>
          <w:p>
            <w:pPr>
              <w:pStyle w:val="1011"/>
              <w:jc w:val="left"/>
              <w:pageBreakBefore w:val="0"/>
              <w:spacing w:line="240" w:lineRule="auto"/>
              <w:widowControl/>
              <w:rPr>
                <w:rFonts w:hint="eastAsia"/>
                <w:color w:val="000000"/>
              </w:rPr>
            </w:pPr>
            <w:r>
              <w:rPr>
                <w:rFonts w:hint="eastAsia" w:ascii="仿宋" w:hAnsi="仿宋" w:eastAsia="仿宋" w:cs="仿宋"/>
                <w:color w:val="000000"/>
                <w:sz w:val="24"/>
                <w:szCs w:val="24"/>
                <w:highlight w:val="none"/>
                <w:lang w:bidi="ar"/>
              </w:rPr>
              <w:t xml:space="preserve">本采购包中提供的符合本国产品标准的产品成本之和占该采购包提供的全部产品成本之和的比例为</w:t>
            </w:r>
            <w:r>
              <w:rPr>
                <w:rFonts w:hint="eastAsia" w:ascii="仿宋" w:hAnsi="仿宋" w:eastAsia="仿宋" w:cs="仿宋"/>
                <w:color w:val="000000"/>
                <w:sz w:val="24"/>
                <w:szCs w:val="24"/>
                <w:highlight w:val="none"/>
                <w:u w:val="single"/>
                <w:lang w:bidi="ar"/>
              </w:rPr>
              <w:t xml:space="preserve">***</w:t>
            </w:r>
            <w:r>
              <w:rPr>
                <w:rFonts w:hint="eastAsia" w:ascii="仿宋" w:hAnsi="仿宋" w:eastAsia="仿宋" w:cs="仿宋"/>
                <w:color w:val="000000"/>
                <w:sz w:val="24"/>
                <w:szCs w:val="24"/>
                <w:highlight w:val="none"/>
                <w:lang w:bidi="ar"/>
              </w:rPr>
              <w:t xml:space="preserve">%。</w:t>
            </w:r>
            <w:r>
              <w:rPr>
                <w:rFonts w:hint="eastAsia"/>
                <w:color w:val="000000"/>
              </w:rPr>
            </w:r>
            <w:r/>
          </w:p>
        </w:tc>
      </w:tr>
    </w:tbl>
    <w:p>
      <w:pPr>
        <w:pStyle w:val="1062"/>
        <w:numPr>
          <w:ilvl w:val="0"/>
          <w:numId w:val="0"/>
        </w:numPr>
        <w:jc w:val="both"/>
        <w:spacing w:before="0" w:beforeAutospacing="0" w:after="0" w:afterAutospacing="0" w:line="240" w:lineRule="auto"/>
        <w:rPr>
          <w:rFonts w:hint="eastAsia" w:ascii="宋体" w:hAnsi="宋体" w:eastAsia="宋体" w:cs="仿宋"/>
          <w:color w:val="000000"/>
          <w:sz w:val="22"/>
          <w:szCs w:val="2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仿宋"/>
          <w:color w:val="000000"/>
          <w:sz w:val="22"/>
          <w:szCs w:val="22"/>
          <w:highlight w:val="none"/>
          <w:lang w:val="en-US" w:eastAsia="zh-CN"/>
        </w:rPr>
        <w:t xml:space="preserve">注：1.</w:t>
      </w:r>
      <w:r>
        <w:rPr>
          <w:rFonts w:hint="eastAsia" w:ascii="宋体" w:hAnsi="宋体" w:eastAsia="宋体" w:cs="仿宋"/>
          <w:color w:val="000000"/>
          <w:sz w:val="22"/>
          <w:szCs w:val="22"/>
          <w:highlight w:val="none"/>
        </w:rPr>
        <w:t xml:space="preserve">投标报价</w:t>
      </w:r>
      <w:r>
        <w:rPr>
          <w:rFonts w:ascii="榛戜綋" w:hAnsi="榛戜綋" w:eastAsia="榛戜綋" w:cs="榛戜綋"/>
          <w:color w:val="000000"/>
          <w:sz w:val="22"/>
          <w:szCs w:val="22"/>
          <w:lang w:val="en-US" w:eastAsia="zh-CN" w:bidi="ar"/>
        </w:rPr>
        <w:t xml:space="preserve">应包括为完成本项目各项服务可能发生的全部费用及投标人的利润和应交纳的税金等（包括</w:t>
      </w:r>
      <w:r>
        <w:rPr>
          <w:rFonts w:hint="eastAsia" w:ascii="宋体" w:hAnsi="宋体" w:eastAsia="宋体" w:cs="仿宋"/>
          <w:color w:val="000000"/>
          <w:sz w:val="22"/>
          <w:szCs w:val="22"/>
          <w:highlight w:val="none"/>
        </w:rPr>
        <w:t xml:space="preserve">在</w:t>
      </w:r>
      <w:r>
        <w:rPr>
          <w:rFonts w:hint="eastAsia" w:ascii="宋体" w:hAnsi="宋体" w:eastAsia="宋体" w:cs="仿宋"/>
          <w:color w:val="000000"/>
          <w:sz w:val="22"/>
          <w:szCs w:val="22"/>
          <w:highlight w:val="none"/>
          <w:lang w:val="en-US" w:eastAsia="zh-CN"/>
        </w:rPr>
        <w:t xml:space="preserve">服务</w:t>
      </w:r>
      <w:r>
        <w:rPr>
          <w:rFonts w:hint="eastAsia" w:ascii="宋体" w:hAnsi="宋体" w:eastAsia="宋体" w:cs="仿宋"/>
          <w:color w:val="000000"/>
          <w:sz w:val="22"/>
          <w:szCs w:val="22"/>
          <w:highlight w:val="none"/>
        </w:rPr>
        <w:t xml:space="preserve">期内所需的劳务支出及其配套的工具耗材、各种税费、保险、劳保、维护、支持与培训、本项目实施过程中所需的产品（乙方自有产品以及第三方产品（软件、硬件、服务等））的报价、</w:t>
      </w:r>
      <w:r>
        <w:rPr>
          <w:rFonts w:hint="eastAsia" w:ascii="宋体" w:hAnsi="宋体" w:eastAsia="宋体" w:cs="仿宋"/>
          <w:color w:val="000000"/>
          <w:sz w:val="22"/>
          <w:szCs w:val="22"/>
          <w:highlight w:val="none"/>
          <w:lang w:val="en-US" w:eastAsia="zh-CN"/>
        </w:rPr>
        <w:t xml:space="preserve">运维</w:t>
      </w:r>
      <w:r>
        <w:rPr>
          <w:rFonts w:hint="eastAsia" w:ascii="宋体" w:hAnsi="宋体" w:eastAsia="宋体" w:cs="仿宋"/>
          <w:color w:val="000000"/>
          <w:sz w:val="22"/>
          <w:szCs w:val="22"/>
          <w:highlight w:val="none"/>
        </w:rPr>
        <w:t xml:space="preserve">实施、数据采集与加工、实现本项目功能所需要的系统升级改造、各系统对接产生的所有接口费用、劳务、制作、维护、升级、培训、保险、利润、税金（含增值税）、报验、人员、交通、食宿、加班、人员签证、工作许可证、验收、检测等工作所发生的全部费用以及企业利润、税金和政策性文件规定等各项应有费用</w:t>
      </w:r>
      <w:r>
        <w:rPr>
          <w:rFonts w:hint="eastAsia" w:ascii="宋体" w:hAnsi="宋体" w:eastAsia="宋体" w:cs="仿宋"/>
          <w:color w:val="000000"/>
          <w:sz w:val="22"/>
          <w:szCs w:val="22"/>
          <w:highlight w:val="none"/>
          <w:lang w:eastAsia="zh-CN"/>
        </w:rPr>
        <w:t xml:space="preserve">）</w:t>
      </w:r>
      <w:r>
        <w:rPr>
          <w:rFonts w:hint="eastAsia" w:ascii="宋体" w:hAnsi="宋体" w:eastAsia="宋体" w:cs="仿宋"/>
          <w:color w:val="000000"/>
          <w:sz w:val="22"/>
          <w:szCs w:val="22"/>
          <w:highlight w:val="none"/>
        </w:rPr>
        <w:t xml:space="preserve">。合同金额包括一切费用。同时在项目建设及维护过程中</w:t>
      </w:r>
      <w:r>
        <w:rPr>
          <w:rFonts w:hint="eastAsia" w:ascii="宋体" w:hAnsi="宋体" w:eastAsia="宋体" w:cs="仿宋"/>
          <w:color w:val="000000"/>
          <w:sz w:val="22"/>
          <w:szCs w:val="22"/>
          <w:highlight w:val="none"/>
          <w:lang w:val="en-US" w:eastAsia="zh-CN"/>
        </w:rPr>
        <w:t xml:space="preserve">供应商</w:t>
      </w:r>
      <w:r>
        <w:rPr>
          <w:rFonts w:hint="eastAsia" w:ascii="宋体" w:hAnsi="宋体" w:eastAsia="宋体" w:cs="仿宋"/>
          <w:color w:val="000000"/>
          <w:sz w:val="22"/>
          <w:szCs w:val="22"/>
          <w:highlight w:val="none"/>
        </w:rPr>
        <w:t xml:space="preserve">不得再要求追加任何费用。</w:t>
      </w:r>
      <w:r>
        <w:rPr>
          <w:rFonts w:hint="eastAsia" w:ascii="宋体" w:hAnsi="宋体" w:eastAsia="宋体" w:cs="仿宋"/>
          <w:color w:val="000000"/>
          <w:sz w:val="22"/>
          <w:szCs w:val="22"/>
          <w:highlight w:val="none"/>
        </w:rPr>
      </w:r>
      <w:r/>
    </w:p>
    <w:p>
      <w:pPr>
        <w:pStyle w:val="1062"/>
        <w:numPr>
          <w:ilvl w:val="0"/>
          <w:numId w:val="0"/>
        </w:numPr>
        <w:jc w:val="both"/>
        <w:spacing w:before="0" w:beforeAutospacing="0" w:after="0" w:afterAutospacing="0" w:line="240" w:lineRule="auto"/>
        <w:rPr>
          <w:rFonts w:ascii="宋体" w:hAnsi="宋体" w:eastAsia="宋体" w:cs="仿宋"/>
          <w:color w:val="000000"/>
          <w:sz w:val="22"/>
          <w:szCs w:val="22"/>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仿宋"/>
          <w:color w:val="000000"/>
          <w:sz w:val="22"/>
          <w:szCs w:val="22"/>
          <w:highlight w:val="none"/>
          <w:lang w:val="en-US" w:eastAsia="zh-CN"/>
        </w:rPr>
        <w:t xml:space="preserve">2.投标报价如上述表格所示，按照采购需求的服务清单的四项服务内容分别列出，行数不足，自行添加。</w:t>
      </w:r>
      <w:r>
        <w:rPr>
          <w:rFonts w:ascii="宋体" w:hAnsi="宋体" w:eastAsia="宋体" w:cs="仿宋"/>
          <w:color w:val="000000"/>
          <w:sz w:val="22"/>
          <w:szCs w:val="22"/>
          <w:highlight w:val="none"/>
          <w:lang w:val="en-US" w:eastAsia="zh-CN"/>
        </w:rPr>
      </w:r>
      <w:r/>
    </w:p>
    <w:p>
      <w:pPr>
        <w:pStyle w:val="1062"/>
        <w:numPr>
          <w:ilvl w:val="0"/>
          <w:numId w:val="0"/>
        </w:numPr>
        <w:jc w:val="both"/>
        <w:spacing w:before="0" w:beforeAutospacing="0" w:after="0" w:afterAutospacing="0" w:line="240" w:lineRule="auto"/>
        <w:rPr>
          <w:rFonts w:ascii="宋体" w:hAnsi="宋体" w:eastAsia="宋体" w:cs="仿宋"/>
          <w:color w:val="000000"/>
          <w:sz w:val="22"/>
          <w:szCs w:val="22"/>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仿宋"/>
          <w:color w:val="000000"/>
          <w:sz w:val="22"/>
          <w:szCs w:val="22"/>
          <w:highlight w:val="none"/>
          <w:lang w:val="en-US" w:eastAsia="zh-CN"/>
        </w:rPr>
        <w:t xml:space="preserve">3.</w:t>
      </w:r>
      <w:r>
        <w:rPr>
          <w:rFonts w:hint="eastAsia" w:ascii="宋体" w:hAnsi="宋体" w:eastAsia="宋体" w:cs="仿宋"/>
          <w:color w:val="000000"/>
          <w:sz w:val="22"/>
          <w:szCs w:val="22"/>
          <w:highlight w:val="none"/>
        </w:rPr>
        <w:t xml:space="preserve">“投标分项报价表”中“投标总报价”数额应当与“开标一览表”中“投标总报价”数额一致</w:t>
      </w:r>
      <w:r>
        <w:rPr>
          <w:rFonts w:hint="eastAsia" w:ascii="宋体" w:hAnsi="宋体" w:eastAsia="宋体" w:cs="仿宋"/>
          <w:color w:val="000000"/>
          <w:sz w:val="22"/>
          <w:szCs w:val="22"/>
          <w:highlight w:val="none"/>
          <w:lang w:eastAsia="zh-CN"/>
        </w:rPr>
        <w:t xml:space="preserve">；</w:t>
      </w:r>
      <w:r>
        <w:rPr>
          <w:rFonts w:hint="eastAsia" w:ascii="宋体" w:hAnsi="宋体" w:eastAsia="宋体" w:cs="仿宋"/>
          <w:color w:val="000000"/>
          <w:sz w:val="22"/>
          <w:szCs w:val="22"/>
          <w:highlight w:val="none"/>
          <w:lang w:val="en-US" w:eastAsia="zh-CN"/>
        </w:rPr>
        <w:t xml:space="preserve">四项服务内容“小计”之和应等于“投标报价总计”。</w:t>
      </w:r>
      <w:r>
        <w:rPr>
          <w:rFonts w:ascii="宋体" w:hAnsi="宋体" w:eastAsia="宋体" w:cs="仿宋"/>
          <w:color w:val="000000"/>
          <w:sz w:val="22"/>
          <w:szCs w:val="22"/>
          <w:highlight w:val="none"/>
          <w:lang w:val="en-US" w:eastAsia="zh-CN"/>
        </w:rPr>
      </w:r>
      <w:r/>
    </w:p>
    <w:p>
      <w:pPr>
        <w:pStyle w:val="1062"/>
        <w:numPr>
          <w:ilvl w:val="0"/>
          <w:numId w:val="0"/>
        </w:numPr>
        <w:jc w:val="both"/>
        <w:spacing w:before="0" w:beforeAutospacing="0" w:after="0" w:afterAutospacing="0" w:line="240" w:lineRule="auto"/>
        <w:rPr>
          <w:rFonts w:hint="eastAsia" w:ascii="宋体" w:hAnsi="宋体" w:eastAsia="宋体" w:cs="仿宋"/>
          <w:color w:val="000000"/>
          <w:sz w:val="22"/>
          <w:szCs w:val="2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仿宋"/>
          <w:color w:val="000000"/>
          <w:sz w:val="22"/>
          <w:szCs w:val="22"/>
          <w:highlight w:val="none"/>
          <w:lang w:val="en-US" w:eastAsia="zh-CN"/>
        </w:rPr>
        <w:t xml:space="preserve">4.</w:t>
      </w:r>
      <w:r>
        <w:rPr>
          <w:rFonts w:hint="eastAsia" w:ascii="宋体" w:hAnsi="宋体" w:eastAsia="宋体" w:cs="仿宋"/>
          <w:color w:val="000000"/>
          <w:sz w:val="22"/>
          <w:szCs w:val="22"/>
          <w:highlight w:val="none"/>
        </w:rPr>
        <w:t xml:space="preserve">一项投标内容只允许一个报价，招标采购单位不接受任何有选择性的投标报价。</w:t>
      </w:r>
      <w:r>
        <w:rPr>
          <w:rFonts w:hint="eastAsia" w:ascii="宋体" w:hAnsi="宋体" w:eastAsia="宋体" w:cs="仿宋"/>
          <w:color w:val="000000"/>
          <w:sz w:val="22"/>
          <w:szCs w:val="22"/>
          <w:highlight w:val="none"/>
        </w:rPr>
      </w:r>
      <w:r/>
    </w:p>
    <w:p>
      <w:pPr>
        <w:pStyle w:val="1062"/>
        <w:numPr>
          <w:ilvl w:val="0"/>
          <w:numId w:val="0"/>
        </w:numPr>
        <w:jc w:val="both"/>
        <w:spacing w:before="0" w:beforeAutospacing="0" w:after="0" w:afterAutospacing="0" w:line="240" w:lineRule="auto"/>
        <w:rPr>
          <w:rFonts w:hint="eastAsia" w:ascii="宋体" w:hAnsi="宋体" w:eastAsia="宋体" w:cs="仿宋"/>
          <w:color w:val="000000"/>
          <w:sz w:val="22"/>
          <w:szCs w:val="22"/>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仿宋"/>
          <w:color w:val="000000"/>
          <w:sz w:val="22"/>
          <w:szCs w:val="22"/>
          <w:highlight w:val="none"/>
          <w:lang w:val="en-US" w:eastAsia="zh-CN"/>
        </w:rPr>
        <w:t xml:space="preserve">5.</w:t>
      </w:r>
      <w:r>
        <w:rPr>
          <w:rFonts w:hint="eastAsia" w:ascii="宋体" w:hAnsi="宋体" w:eastAsia="宋体" w:cs="仿宋"/>
          <w:color w:val="000000"/>
          <w:sz w:val="22"/>
          <w:szCs w:val="22"/>
          <w:highlight w:val="none"/>
        </w:rPr>
        <w:t xml:space="preserve">总价金额与按单价汇总金额不一致的，以单价金额计算结果为准</w:t>
      </w:r>
      <w:r>
        <w:rPr>
          <w:rFonts w:hint="eastAsia" w:ascii="宋体" w:hAnsi="宋体" w:eastAsia="宋体" w:cs="仿宋"/>
          <w:color w:val="000000"/>
          <w:sz w:val="22"/>
          <w:szCs w:val="22"/>
          <w:highlight w:val="none"/>
          <w:lang w:val="en-US" w:eastAsia="zh-CN"/>
        </w:rPr>
        <w:t xml:space="preserve">,</w:t>
      </w:r>
      <w:r>
        <w:rPr>
          <w:rFonts w:hint="eastAsia" w:ascii="宋体" w:hAnsi="宋体" w:eastAsia="宋体" w:cs="仿宋"/>
          <w:color w:val="000000"/>
          <w:sz w:val="22"/>
          <w:szCs w:val="22"/>
          <w:highlight w:val="none"/>
        </w:rPr>
        <w:t xml:space="preserve">大小写不一致以大写为准</w:t>
      </w:r>
      <w:r>
        <w:rPr>
          <w:rFonts w:hint="eastAsia" w:ascii="宋体" w:hAnsi="宋体" w:eastAsia="宋体" w:cs="仿宋"/>
          <w:color w:val="000000"/>
          <w:sz w:val="22"/>
          <w:szCs w:val="22"/>
          <w:highlight w:val="none"/>
          <w:lang w:eastAsia="zh-CN"/>
        </w:rPr>
        <w:t xml:space="preserve">。</w:t>
      </w:r>
      <w:r>
        <w:rPr>
          <w:rFonts w:hint="eastAsia" w:ascii="宋体" w:hAnsi="宋体" w:eastAsia="宋体" w:cs="仿宋"/>
          <w:color w:val="000000"/>
          <w:sz w:val="22"/>
          <w:szCs w:val="22"/>
          <w:highlight w:val="none"/>
          <w:lang w:eastAsia="zh-CN"/>
        </w:rPr>
      </w:r>
      <w:r/>
    </w:p>
    <w:p>
      <w:pPr>
        <w:pStyle w:val="1062"/>
        <w:numPr>
          <w:ilvl w:val="0"/>
          <w:numId w:val="0"/>
        </w:numPr>
        <w:jc w:val="both"/>
        <w:spacing w:before="0" w:beforeAutospacing="0" w:after="0" w:afterAutospacing="0" w:line="240" w:lineRule="auto"/>
        <w:rPr>
          <w:rFonts w:hint="eastAsia" w:ascii="宋体" w:hAnsi="宋体" w:eastAsia="宋体" w:cs="仿宋"/>
          <w:color w:val="000000"/>
          <w:sz w:val="22"/>
          <w:szCs w:val="22"/>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仿宋"/>
          <w:color w:val="000000"/>
          <w:sz w:val="22"/>
          <w:szCs w:val="22"/>
          <w:highlight w:val="none"/>
          <w:lang w:val="en-US" w:eastAsia="zh-CN"/>
        </w:rPr>
        <w:t xml:space="preserve">6.</w:t>
      </w:r>
      <w:r>
        <w:rPr>
          <w:rFonts w:hint="eastAsia" w:ascii="宋体" w:hAnsi="宋体" w:eastAsia="宋体" w:cs="仿宋"/>
          <w:color w:val="000000"/>
          <w:sz w:val="22"/>
          <w:szCs w:val="22"/>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仿宋"/>
          <w:color w:val="000000"/>
          <w:sz w:val="22"/>
          <w:szCs w:val="22"/>
          <w:highlight w:val="none"/>
          <w:lang w:eastAsia="zh-CN"/>
        </w:rPr>
      </w:r>
      <w:r/>
    </w:p>
    <w:p>
      <w:pPr>
        <w:pStyle w:val="1062"/>
        <w:numPr>
          <w:ilvl w:val="0"/>
          <w:numId w:val="0"/>
        </w:numPr>
        <w:jc w:val="both"/>
        <w:spacing w:before="0" w:beforeAutospacing="0" w:after="0" w:afterAutospacing="0" w:line="240" w:lineRule="auto"/>
        <w:rPr>
          <w:rFonts w:hint="eastAsia" w:ascii="宋体" w:hAnsi="宋体" w:eastAsia="宋体" w:cs="仿宋"/>
          <w:color w:val="000000"/>
          <w:sz w:val="22"/>
          <w:szCs w:val="2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仿宋"/>
          <w:color w:val="000000"/>
          <w:sz w:val="22"/>
          <w:szCs w:val="22"/>
          <w:highlight w:val="none"/>
          <w:lang w:val="en-US" w:eastAsia="zh-CN"/>
        </w:rPr>
        <w:t xml:space="preserve">7.</w:t>
      </w:r>
      <w:r>
        <w:rPr>
          <w:rFonts w:hint="eastAsia" w:ascii="宋体" w:hAnsi="宋体" w:eastAsia="宋体" w:cs="仿宋"/>
          <w:color w:val="000000"/>
          <w:sz w:val="22"/>
          <w:szCs w:val="22"/>
          <w:highlight w:val="none"/>
        </w:rPr>
        <w:t xml:space="preserve">该表报价为</w:t>
      </w:r>
      <w:r>
        <w:rPr>
          <w:rFonts w:hint="eastAsia" w:ascii="宋体" w:hAnsi="宋体" w:eastAsia="宋体" w:cs="仿宋"/>
          <w:color w:val="000000"/>
          <w:sz w:val="22"/>
          <w:szCs w:val="22"/>
          <w:highlight w:val="none"/>
          <w:lang w:val="en-US" w:eastAsia="zh-CN"/>
        </w:rPr>
        <w:t xml:space="preserve">最终</w:t>
      </w:r>
      <w:r>
        <w:rPr>
          <w:rFonts w:hint="eastAsia" w:ascii="宋体" w:hAnsi="宋体" w:eastAsia="宋体" w:cs="仿宋"/>
          <w:color w:val="000000"/>
          <w:sz w:val="22"/>
          <w:szCs w:val="22"/>
          <w:highlight w:val="none"/>
        </w:rPr>
        <w:t xml:space="preserve">报价。</w:t>
      </w:r>
      <w:r>
        <w:rPr>
          <w:rFonts w:hint="eastAsia" w:ascii="宋体" w:hAnsi="宋体" w:eastAsia="宋体" w:cs="仿宋"/>
          <w:color w:val="000000"/>
          <w:sz w:val="22"/>
          <w:szCs w:val="22"/>
          <w:highlight w:val="none"/>
        </w:rPr>
      </w:r>
      <w:r/>
    </w:p>
    <w:p>
      <w:pPr>
        <w:pStyle w:val="1011"/>
        <w:jc w:val="right"/>
        <w:spacing w:line="24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投标人名称：（加盖CA电子公章）</w:t>
      </w:r>
      <w:r>
        <w:rPr>
          <w:rFonts w:hint="eastAsia" w:ascii="宋体" w:hAnsi="宋体" w:eastAsia="宋体" w:cs="仿宋"/>
          <w:color w:val="000000"/>
          <w:sz w:val="24"/>
          <w:szCs w:val="24"/>
          <w:highlight w:val="none"/>
          <w:u w:val="single"/>
        </w:rPr>
      </w:r>
      <w:r/>
    </w:p>
    <w:p>
      <w:pPr>
        <w:pStyle w:val="1011"/>
        <w:jc w:val="right"/>
        <w:spacing w:line="240" w:lineRule="auto"/>
        <w:rPr>
          <w:rFonts w:hint="eastAsia"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rPr>
        <w:t xml:space="preserve">法定代表人或授权委托人：（签字或盖章</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eastAsia="zh-CN"/>
        </w:rPr>
      </w:r>
      <w:r/>
    </w:p>
    <w:p>
      <w:pPr>
        <w:pStyle w:val="1033"/>
        <w:jc w:val="right"/>
        <w:spacing w:line="240" w:lineRule="auto"/>
        <w:rPr>
          <w:color w:val="000000"/>
          <w:highlight w:val="none"/>
          <w:lang w:val="en-US" w:eastAsia="zh-CN"/>
        </w:rPr>
        <w:sectPr>
          <w:headerReference w:type="default" r:id="rId10"/>
          <w:footerReference w:type="default" r:id="rId15"/>
          <w:footnotePr/>
          <w:endnotePr/>
          <w:type w:val="nextPage"/>
          <w:pgSz w:w="11906" w:h="16838" w:orient="portrait"/>
          <w:pgMar w:top="1440" w:right="1803" w:bottom="1440" w:left="1803" w:header="680" w:footer="737" w:gutter="0"/>
          <w:cols w:num="1" w:sep="0" w:space="1701" w:equalWidth="1"/>
          <w:docGrid w:linePitch="360"/>
          <w:titlePg/>
        </w:sectPr>
      </w:pPr>
      <w:r>
        <w:rPr>
          <w:rFonts w:hint="eastAsia" w:ascii="宋体" w:hAnsi="宋体" w:eastAsia="宋体" w:cs="仿宋"/>
          <w:color w:val="000000"/>
          <w:sz w:val="24"/>
          <w:szCs w:val="24"/>
          <w:highlight w:val="none"/>
          <w:lang w:val="en-US" w:eastAsia="zh-CN"/>
        </w:rPr>
        <w:t xml:space="preserve">日期:</w:t>
      </w:r>
      <w:r>
        <w:rPr>
          <w:color w:val="000000"/>
          <w:highlight w:val="none"/>
          <w:lang w:val="en-US" w:eastAsia="zh-CN"/>
        </w:rPr>
      </w:r>
      <w:r/>
    </w:p>
    <w:p>
      <w:pPr>
        <w:pStyle w:val="1011"/>
        <w:jc w:val="center"/>
        <w:widowControl/>
        <w:rPr>
          <w:rFonts w:hint="eastAsia" w:ascii="宋体" w:hAnsi="宋体" w:eastAsia="宋体" w:cs="宋体"/>
          <w:color w:val="000000"/>
          <w:sz w:val="24"/>
          <w:szCs w:val="24"/>
          <w:highlight w:val="none"/>
        </w:rPr>
      </w:pPr>
      <w:r>
        <w:rPr>
          <w:rFonts w:hint="eastAsia" w:ascii="黑体" w:hAnsi="黑体" w:eastAsia="黑体" w:cs="宋体"/>
          <w:b/>
          <w:bCs/>
          <w:color w:val="000000"/>
          <w:sz w:val="32"/>
          <w:szCs w:val="32"/>
          <w:highlight w:val="none"/>
        </w:rPr>
        <w:t xml:space="preserve">技术要求响应及偏离表</w:t>
      </w:r>
      <w:r>
        <w:rPr>
          <w:rFonts w:hint="eastAsia" w:ascii="宋体" w:hAnsi="宋体" w:eastAsia="宋体" w:cs="宋体"/>
          <w:color w:val="000000"/>
          <w:sz w:val="24"/>
          <w:szCs w:val="24"/>
          <w:highlight w:val="none"/>
        </w:rPr>
      </w:r>
      <w:r/>
    </w:p>
    <w:p>
      <w:pPr>
        <w:pStyle w:val="1011"/>
        <w:jc w:val="both"/>
        <w:widowControl/>
        <w:rPr>
          <w:rFonts w:hint="eastAsia" w:ascii="宋体" w:hAnsi="宋体" w:eastAsia="宋体" w:cs="宋体"/>
          <w:color w:val="000000"/>
          <w:sz w:val="24"/>
          <w:szCs w:val="24"/>
          <w:highlight w:val="none"/>
        </w:rPr>
      </w:pPr>
      <w:r>
        <w:rPr>
          <w:rFonts w:ascii="Calibri" w:hAnsi="Calibri" w:eastAsia="黑体" w:cs="Calibri"/>
          <w:b/>
          <w:bCs/>
          <w:color w:val="000000"/>
          <w:sz w:val="36"/>
          <w:szCs w:val="36"/>
          <w:highlight w:val="none"/>
        </w:rPr>
        <w:t xml:space="preserve"> </w:t>
      </w:r>
      <w:r>
        <w:rPr>
          <w:rFonts w:hint="eastAsia" w:ascii="宋体" w:hAnsi="宋体" w:eastAsia="宋体" w:cs="宋体"/>
          <w:color w:val="000000"/>
          <w:sz w:val="24"/>
          <w:szCs w:val="24"/>
          <w:highlight w:val="none"/>
        </w:rPr>
      </w:r>
      <w:r/>
    </w:p>
    <w:tbl>
      <w:tblPr>
        <w:tblW w:w="0" w:type="auto"/>
        <w:tblCellSpacing w:w="0" w:type="dxa"/>
        <w:tblInd w:w="-128" w:type="dxa"/>
        <w:tblLayout w:type="autofit"/>
        <w:tblCellMar>
          <w:left w:w="108" w:type="dxa"/>
          <w:top w:w="0" w:type="dxa"/>
          <w:right w:w="108" w:type="dxa"/>
          <w:bottom w:w="0" w:type="dxa"/>
        </w:tblCellMar>
        <w:tblLook w:val="04A0" w:firstRow="1" w:lastRow="0" w:firstColumn="1" w:lastColumn="0" w:noHBand="0" w:noVBand="1"/>
      </w:tblPr>
      <w:tblGrid>
        <w:gridCol w:w="616"/>
        <w:gridCol w:w="1193"/>
        <w:gridCol w:w="4398"/>
        <w:gridCol w:w="1195"/>
        <w:gridCol w:w="956"/>
        <w:gridCol w:w="851"/>
      </w:tblGrid>
      <w:tr>
        <w:trPr>
          <w:tblCellSpacing w:w="0" w:type="dxa"/>
        </w:trPr>
        <w:tc>
          <w:tcPr>
            <w:tcBorders>
              <w:top w:val="single" w:color="000000" w:sz="8" w:space="0"/>
              <w:left w:val="single" w:color="000000" w:sz="8" w:space="0"/>
              <w:bottom w:val="single" w:color="000000" w:sz="8" w:space="0"/>
              <w:right w:val="single" w:color="000000" w:sz="8" w:space="0"/>
            </w:tcBorders>
            <w:tcW w:w="61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1193" w:type="dxa"/>
            <w:vAlign w:val="center"/>
            <w:textDirection w:val="lrTb"/>
            <w:noWrap w:val="false"/>
          </w:tcPr>
          <w:p>
            <w:pPr>
              <w:pStyle w:val="1011"/>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招标文件条款</w:t>
            </w:r>
            <w:r>
              <w:rPr>
                <w:rFonts w:ascii="宋体" w:hAnsi="宋体" w:eastAsia="宋体" w:cs="宋体"/>
                <w:color w:val="000000"/>
                <w:sz w:val="24"/>
                <w:szCs w:val="24"/>
                <w:highlight w:val="none"/>
                <w:lang w:val="en-US" w:eastAsia="zh-CN"/>
              </w:rPr>
            </w:r>
            <w:r/>
          </w:p>
        </w:tc>
        <w:tc>
          <w:tcPr>
            <w:tcBorders>
              <w:top w:val="single" w:color="000000" w:sz="8" w:space="0"/>
              <w:left w:val="none" w:color="000000" w:sz="4" w:space="0"/>
              <w:bottom w:val="single" w:color="000000" w:sz="8" w:space="0"/>
              <w:right w:val="single" w:color="000000" w:sz="8" w:space="0"/>
            </w:tcBorders>
            <w:tcW w:w="4398"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招标文件要求</w:t>
            </w:r>
            <w:r>
              <w:rPr>
                <w:rFonts w:hint="eastAsia" w:ascii="宋体" w:hAnsi="宋体" w:eastAsia="宋体" w:cs="宋体"/>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1195"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投标响应情况</w:t>
            </w:r>
            <w:r>
              <w:rPr>
                <w:rFonts w:hint="eastAsia" w:ascii="宋体" w:hAnsi="宋体" w:eastAsia="宋体" w:cs="宋体"/>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95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超出、符合或偏离</w:t>
            </w:r>
            <w:r>
              <w:rPr>
                <w:rFonts w:hint="eastAsia" w:ascii="宋体" w:hAnsi="宋体" w:eastAsia="宋体" w:cs="宋体"/>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证明</w:t>
            </w:r>
            <w:r>
              <w:rPr>
                <w:rFonts w:hint="eastAsia" w:ascii="宋体" w:hAnsi="宋体" w:eastAsia="宋体" w:cs="宋体"/>
                <w:color w:val="000000"/>
                <w:sz w:val="24"/>
                <w:szCs w:val="24"/>
                <w:highlight w:val="none"/>
              </w:rPr>
            </w:r>
            <w:r/>
          </w:p>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w:t>
            </w:r>
            <w:r>
              <w:rPr>
                <w:rFonts w:hint="eastAsia" w:ascii="宋体" w:hAnsi="宋体" w:eastAsia="宋体" w:cs="宋体"/>
                <w:color w:val="000000"/>
                <w:sz w:val="24"/>
                <w:szCs w:val="24"/>
                <w:highlight w:val="none"/>
              </w:rPr>
            </w:r>
            <w:r/>
          </w:p>
        </w:tc>
      </w:tr>
      <w:tr>
        <w:trPr>
          <w:tblCellSpacing w:w="0" w:type="dxa"/>
        </w:trPr>
        <w:tc>
          <w:tcPr>
            <w:gridSpan w:val="6"/>
            <w:tcBorders>
              <w:top w:val="single" w:color="000000" w:sz="8" w:space="0"/>
              <w:left w:val="single" w:color="000000" w:sz="8" w:space="0"/>
              <w:bottom w:val="single" w:color="000000" w:sz="8" w:space="0"/>
              <w:right w:val="single" w:color="000000" w:sz="8" w:space="0"/>
            </w:tcBorders>
            <w:tcW w:w="9209"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lang w:val="en-US" w:eastAsia="zh-CN"/>
              </w:rPr>
              <w:t xml:space="preserve">互联网医院软件集成</w:t>
            </w:r>
            <w:r>
              <w:rPr>
                <w:rFonts w:hint="eastAsia" w:ascii="宋体" w:hAnsi="宋体" w:eastAsia="宋体" w:cs="宋体"/>
                <w:color w:val="000000"/>
                <w:sz w:val="24"/>
                <w:szCs w:val="24"/>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6" w:type="dxa"/>
            <w:vAlign w:val="center"/>
            <w:textDirection w:val="lrTb"/>
            <w:noWrap w:val="false"/>
          </w:tcPr>
          <w:p>
            <w:pPr>
              <w:pStyle w:val="1011"/>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1193"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▲自助入院功功能升级</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4398"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支持在线接收院内入院办理的消息通知，根据通知指引引导患者开始自助办理入院登记。</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支持查看门诊开立的住院申请单详细信息。住院患者、病区、科室、预约时间、入院诊断等信息。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支持自助入院信息登记、信息补录等处理。支持对六岁以下儿童补录监护人等信息。</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支持医保、自费的患者身份自动读取、识别。</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支持按住院申请单限定的初次预交金额，在线完成住院预交充值。未限定预交金额的患者，无需支付直接登记成功。</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支持对自费、医保等类型的患者，入院登记完成后，系统支持提示个性化业务办理指引说明。</w:t>
            </w:r>
            <w:r>
              <w:rPr>
                <w:rFonts w:hint="eastAsia"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1195"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5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6" w:type="dxa"/>
            <w:vAlign w:val="center"/>
            <w:textDirection w:val="lrTb"/>
            <w:noWrap w:val="false"/>
          </w:tcPr>
          <w:p>
            <w:pPr>
              <w:pStyle w:val="1011"/>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1193"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▲自助出院功能升级</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4398"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支持病区医生/护士操作预出院（出科待结算）后，系统向收费处发送结算通知</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支持查询住院预结算详细信息，包括住院费用总额、医保结算金额、自费金额、账户余额、费用明细。</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支持医保费用的分解、上传、结算（脱卡结算），自费部分支持选择是否使用医保个人账户结算。</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支持在线补缴费用。账户欠款状态时，在线补缴费用后，自动完成结算</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支持余额原路退回。账户结余状态时，且账户余额小于线上支付总额，结算后剩余费用原路退还账户余额。</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支持对接HIS系统，自动生成出院费用清单，电子票据。</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支持收费处线下退费申请审核，审核通过后实时退费。</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自出结算完成后，支持对接电子发票系统，自动生成出院结算发票。</w:t>
            </w:r>
            <w:r>
              <w:rPr>
                <w:rFonts w:hint="eastAsia"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1195"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5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6" w:type="dxa"/>
            <w:vAlign w:val="center"/>
            <w:textDirection w:val="lrTb"/>
            <w:noWrap w:val="false"/>
          </w:tcPr>
          <w:p>
            <w:pPr>
              <w:pStyle w:val="1011"/>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1193"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▲就医助手</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4398"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支持对接移动消息平台，向患者实时推送就诊提醒、候诊提醒、取药提醒、检查提醒、报告通知、评价通知、医师停诊、入院提示、出院提示等提醒、通知。</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串联诊前、诊中、诊后的可视化门诊就诊全流程模型，将就诊过程中的各个事件节点，通过待办、已办等方式清晰展示，并快速指引线上、线下办理渠道。结合实时的消息提醒通知，实现就诊全流程的智能化引导。</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根据医院定位，一键打开手机导航软件，规划来院路线，快速来院就诊。</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基于医院的电子地图，绘制楼宇科室布局图，通过语音、文字、图片提示的方式进行模拟导航。院内具备实时定位导航系统时，支持与导航系统的内置集成对接，就诊过程相关的挂号、候诊、取药、检查等科室目标，可实时精准定位，指引患者快速到达。</w:t>
            </w:r>
            <w:r>
              <w:rPr>
                <w:rFonts w:hint="eastAsia"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1195"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5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193" w:type="dxa"/>
            <w:vAlign w:val="center"/>
            <w:textDirection w:val="lrTb"/>
            <w:noWrap w:val="false"/>
          </w:tcPr>
          <w:p>
            <w:pPr>
              <w:pStyle w:val="1011"/>
              <w:ind w:firstLine="480"/>
              <w:jc w:val="left"/>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满意度调查功能改造</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color w:val="000000"/>
                <w:sz w:val="24"/>
                <w:szCs w:val="24"/>
                <w:lang w:eastAsia="zh-CN"/>
              </w:rPr>
            </w:r>
            <w:r/>
          </w:p>
        </w:tc>
        <w:tc>
          <w:tcPr>
            <w:tcBorders>
              <w:top w:val="none" w:color="000000" w:sz="4" w:space="0"/>
              <w:left w:val="none" w:color="000000" w:sz="4" w:space="0"/>
              <w:bottom w:val="single" w:color="000000" w:sz="8" w:space="0"/>
              <w:right w:val="single" w:color="000000" w:sz="8" w:space="0"/>
            </w:tcBorders>
            <w:tcW w:w="4398"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支持接入满意度调查模块，</w:t>
            </w:r>
            <w:r>
              <w:rPr>
                <w:rFonts w:hint="eastAsia" w:ascii="仿宋" w:hAnsi="仿宋" w:eastAsia="仿宋" w:cs="仿宋"/>
                <w:color w:val="000000"/>
                <w:sz w:val="24"/>
                <w:szCs w:val="24"/>
                <w:highlight w:val="none"/>
              </w:rPr>
              <w:t xml:space="preserve">就诊完成后，自动向患者推送满意度调查提醒，引导患者快速填写满意度调查问卷。支持满意度调查结果与就诊记录的</w:t>
            </w:r>
            <w:r>
              <w:rPr>
                <w:rFonts w:hint="eastAsia" w:ascii="仿宋" w:hAnsi="仿宋" w:eastAsia="仿宋" w:cs="仿宋"/>
                <w:color w:val="000000"/>
                <w:sz w:val="24"/>
                <w:szCs w:val="24"/>
                <w:highlight w:val="none"/>
              </w:rPr>
              <w:t xml:space="preserve">自动关联。支持生成二维码，患者扫码打开问卷，快速填写。支持在线配置满意度问卷模板，支持基本题型单选题 、多选题、问答题、评分题）的动态配置，自动生成满意度调查问卷。支持问卷的在线编辑功，编辑前支持选择保留答卷、删除答卷、复制编辑等多种编辑模式。支持根据诊疗活动，对问卷问题进行分类关联。支持对问卷的暂停、删除等处理。支持按院区、科室的综合排名分析。支持按时间、按题、按分组对调查结果进行多维度的统计分析。支持按问卷类型，查看所有已提交的问卷内容。支持特殊问卷的在线删除。支持已提交问卷的下载、导出Excel功能。</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195"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5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193" w:type="dxa"/>
            <w:vAlign w:val="center"/>
            <w:textDirection w:val="lrTb"/>
            <w:noWrap w:val="false"/>
          </w:tcPr>
          <w:p>
            <w:pPr>
              <w:pStyle w:val="1011"/>
              <w:jc w:val="center"/>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AI</w:t>
            </w:r>
            <w:r>
              <w:rPr>
                <w:rFonts w:hint="eastAsia" w:ascii="仿宋" w:hAnsi="仿宋" w:eastAsia="仿宋" w:cs="仿宋"/>
                <w:color w:val="000000"/>
                <w:sz w:val="24"/>
                <w:szCs w:val="24"/>
              </w:rPr>
              <w:t xml:space="preserve">导诊</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4398"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支持基于人工智能技术的医疗辅助工具，通过自然语言处理（NLP）、知识图谱和机器学习算法，为患者提供精准的预诊分科服务。</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以症状主诉为入口，结合用户输入的年龄、病史等基本信息，模拟医生问诊逻辑进行多轮交互，通过语义分析匹配疾病特征库中的数千种病症模型，最终推荐合适科室，支持医院挂号系统对接，一键跳转挂号系统，快速预约挂号。</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系统核心模块包括智能问答引擎、疾病知识库、动态分诊模型和实时数据分析平台，支持文字、语音等多种交互方式。</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至少提供10万次调阅服务。</w:t>
            </w:r>
            <w:r>
              <w:rPr>
                <w:rFonts w:hint="eastAsia"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1195"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5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193"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AI</w:t>
            </w:r>
            <w:r>
              <w:rPr>
                <w:rFonts w:hint="eastAsia" w:ascii="仿宋" w:hAnsi="仿宋" w:eastAsia="仿宋" w:cs="仿宋"/>
                <w:color w:val="000000"/>
                <w:sz w:val="24"/>
                <w:szCs w:val="24"/>
              </w:rPr>
              <w:t xml:space="preserve">预问诊</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4398"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智能预问诊系统是基于 AI 的院前辅助工具，旨在通过智能理解患者的主诉，模拟医生真实的问诊思路，协助患者系统地梳理病情，自动采集患者病史信息，优化诊疗流程。</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系统通过多轮对话交互（文字/语音），引导患者结构化描述症状、病程、用药史及生活习惯，结合NLP 与医学知识图谱解析病情特征，自动生成标准化预诊报告，包含主诉摘要、过往史、家族史、过敏史等病历信息。</w:t>
            </w:r>
            <w:r>
              <w:rPr>
                <w:rFonts w:hint="eastAsia" w:ascii="仿宋" w:hAnsi="仿宋" w:eastAsia="仿宋" w:cs="仿宋"/>
                <w:color w:val="000000"/>
                <w:sz w:val="24"/>
                <w:szCs w:val="24"/>
                <w:lang w:eastAsia="zh-CN"/>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支持智能预问诊对话界面根据实际的问题类型，提供不同的便捷输入方式，包括自由输入文本、数字、单选、多选、滚轮、下拉框等多种方式。提升可视化体验且尽量节约患者时间。</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预诊报告支持同步至医生工作站，医生接诊前调阅，可提前了解患者的基本病情，提高诊疗效率。</w:t>
            </w:r>
            <w:r>
              <w:rPr>
                <w:rFonts w:hint="eastAsia" w:ascii="仿宋" w:hAnsi="仿宋" w:eastAsia="仿宋" w:cs="仿宋"/>
                <w:color w:val="000000"/>
                <w:sz w:val="24"/>
                <w:szCs w:val="24"/>
                <w:lang w:eastAsia="zh-CN"/>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书写病历时，支持一键引用至电子病历模板，提高门诊病历书写质量和效率。</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至少提供10万次调阅服务。</w:t>
            </w:r>
            <w:r>
              <w:rPr>
                <w:rFonts w:hint="eastAsia"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1195"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5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6" w:type="dxa"/>
            <w:vAlign w:val="center"/>
            <w:textDirection w:val="lrTb"/>
            <w:noWrap w:val="false"/>
          </w:tcPr>
          <w:p>
            <w:pPr>
              <w:pStyle w:val="1011"/>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1193" w:type="dxa"/>
            <w:vAlign w:val="center"/>
            <w:textDirection w:val="lrTb"/>
            <w:noWrap w:val="false"/>
          </w:tcPr>
          <w:p>
            <w:pPr>
              <w:pStyle w:val="1011"/>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▲AI 报告解读</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4398"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智能报告解读系统是基于 AI 的医疗数据分析平台，通过自然语言处理、医学知识图谱及深度学习技术，实现对检验、影像、病理等多模态报告的自动化解析与风险评估。</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系统支持对标准化检查、检验结果数据，匹配临床指南与疾病特征库，标注异常指标、生成通俗化解读结论，并输出可视化图表与健康建议。</w:t>
            </w:r>
            <w:r>
              <w:rPr>
                <w:rFonts w:hint="eastAsia" w:ascii="仿宋" w:hAnsi="仿宋" w:eastAsia="仿宋" w:cs="仿宋"/>
                <w:color w:val="000000"/>
                <w:sz w:val="24"/>
                <w:szCs w:val="24"/>
                <w:lang w:eastAsia="zh-CN"/>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核心功能包括：异常指标预警、多报告交叉分析、疾病概率预测及分级诊疗推荐，覆盖血检、CT、基因检测等 95%以上常见报告类型。患者可通过智能问答进一步获取指标含义、复查建议及就医指引。</w:t>
            </w:r>
            <w:r>
              <w:rPr>
                <w:rFonts w:hint="eastAsia" w:ascii="仿宋" w:hAnsi="仿宋" w:eastAsia="仿宋" w:cs="仿宋"/>
                <w:color w:val="000000"/>
                <w:sz w:val="24"/>
                <w:szCs w:val="24"/>
              </w:rPr>
            </w:r>
            <w:r/>
          </w:p>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至少提供30万次调阅服务费用。</w:t>
            </w:r>
            <w:r>
              <w:rPr>
                <w:rFonts w:hint="eastAsia"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1195"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5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6" w:type="dxa"/>
            <w:vAlign w:val="center"/>
            <w:textDirection w:val="lrTb"/>
            <w:noWrap w:val="false"/>
          </w:tcPr>
          <w:p>
            <w:pPr>
              <w:pStyle w:val="1011"/>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1193" w:type="dxa"/>
            <w:vAlign w:val="center"/>
            <w:textDirection w:val="lrTb"/>
            <w:noWrap w:val="false"/>
          </w:tcPr>
          <w:p>
            <w:pPr>
              <w:pStyle w:val="1011"/>
              <w:jc w:val="left"/>
              <w:pageBreakBefore w:val="0"/>
              <w:spacing w:line="240" w:lineRule="auto"/>
              <w:widowControl/>
              <w:rPr>
                <w:rFonts w:hint="eastAsia" w:ascii="仿宋" w:hAnsi="仿宋" w:eastAsia="仿宋" w:cs="仿宋"/>
                <w:color w:val="000000"/>
                <w:sz w:val="24"/>
                <w:szCs w:val="24"/>
                <w:lang w:eastAsia="zh-CN"/>
              </w:rPr>
            </w:pPr>
            <w:r>
              <w:rPr>
                <w:rFonts w:hint="eastAsia" w:ascii="宋体" w:hAnsi="宋体" w:eastAsia="宋体" w:cs="宋体"/>
                <w:color w:val="000000"/>
                <w:sz w:val="24"/>
                <w:szCs w:val="24"/>
              </w:rPr>
              <w:t xml:space="preserve">★</w:t>
            </w:r>
            <w:r>
              <w:rPr>
                <w:rFonts w:hint="eastAsia" w:ascii="仿宋" w:hAnsi="仿宋" w:eastAsia="仿宋" w:cs="仿宋"/>
                <w:color w:val="000000"/>
                <w:sz w:val="24"/>
                <w:szCs w:val="24"/>
              </w:rPr>
              <w:t xml:space="preserve">HIS改造</w:t>
            </w:r>
            <w:r>
              <w:rPr>
                <w:rFonts w:hint="eastAsia" w:ascii="仿宋" w:hAnsi="仿宋" w:eastAsia="仿宋" w:cs="仿宋"/>
                <w:b/>
                <w:bCs/>
                <w:color w:val="000000"/>
                <w:sz w:val="24"/>
                <w:szCs w:val="24"/>
                <w:lang w:eastAsia="zh-CN"/>
              </w:rPr>
              <w:t xml:space="preserve">（</w:t>
            </w:r>
            <w:r>
              <w:rPr>
                <w:rFonts w:hint="eastAsia" w:ascii="仿宋" w:hAnsi="仿宋" w:eastAsia="仿宋" w:cs="仿宋"/>
                <w:b/>
                <w:bCs/>
                <w:color w:val="000000"/>
                <w:sz w:val="24"/>
                <w:szCs w:val="24"/>
                <w:lang w:val="en-US" w:eastAsia="zh-CN"/>
              </w:rPr>
              <w:t xml:space="preserve">投标人需提供承诺函并加盖公章，格式自拟</w:t>
            </w:r>
            <w:r>
              <w:rPr>
                <w:rFonts w:hint="eastAsia" w:ascii="仿宋" w:hAnsi="仿宋" w:eastAsia="仿宋" w:cs="仿宋"/>
                <w:b/>
                <w:bCs/>
                <w:color w:val="000000"/>
                <w:sz w:val="24"/>
                <w:szCs w:val="24"/>
                <w:lang w:eastAsia="zh-CN"/>
              </w:rPr>
              <w:t xml:space="preserve">）</w:t>
            </w:r>
            <w:r>
              <w:rPr>
                <w:rFonts w:hint="eastAsia" w:ascii="仿宋" w:hAnsi="仿宋" w:eastAsia="仿宋" w:cs="仿宋"/>
                <w:color w:val="000000"/>
                <w:sz w:val="24"/>
                <w:szCs w:val="24"/>
                <w:lang w:eastAsia="zh-CN"/>
              </w:rPr>
            </w:r>
            <w:r/>
          </w:p>
        </w:tc>
        <w:tc>
          <w:tcPr>
            <w:tcBorders>
              <w:top w:val="none" w:color="000000" w:sz="4" w:space="0"/>
              <w:left w:val="none" w:color="000000" w:sz="4" w:space="0"/>
              <w:bottom w:val="single" w:color="000000" w:sz="8" w:space="0"/>
              <w:right w:val="single" w:color="000000" w:sz="8" w:space="0"/>
            </w:tcBorders>
            <w:tcW w:w="4398" w:type="dxa"/>
            <w:vAlign w:val="center"/>
            <w:textDirection w:val="lrTb"/>
            <w:noWrap w:val="false"/>
          </w:tcPr>
          <w:p>
            <w:pPr>
              <w:pStyle w:val="1011"/>
              <w:ind w:firstLine="480"/>
              <w:jc w:val="left"/>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按照智慧服务3级标准要求，</w:t>
            </w:r>
            <w:r>
              <w:rPr>
                <w:rFonts w:hint="eastAsia" w:ascii="仿宋" w:hAnsi="仿宋" w:eastAsia="仿宋" w:cs="仿宋"/>
                <w:color w:val="000000"/>
                <w:sz w:val="24"/>
                <w:szCs w:val="24"/>
                <w:lang w:eastAsia="zh-CN"/>
              </w:rPr>
              <w:t xml:space="preserve">负责</w:t>
            </w:r>
            <w:r>
              <w:rPr>
                <w:rFonts w:hint="eastAsia" w:ascii="仿宋" w:hAnsi="仿宋" w:eastAsia="仿宋" w:cs="仿宋"/>
                <w:color w:val="000000"/>
                <w:sz w:val="24"/>
                <w:szCs w:val="24"/>
              </w:rPr>
              <w:t xml:space="preserve">HIS系统相关的适应性改造。</w:t>
            </w:r>
            <w:r>
              <w:rPr>
                <w:rFonts w:hint="eastAsia" w:ascii="仿宋" w:hAnsi="仿宋" w:eastAsia="仿宋" w:cs="仿宋"/>
                <w:color w:val="000000"/>
                <w:sz w:val="24"/>
                <w:szCs w:val="24"/>
                <w:lang w:eastAsia="zh-CN"/>
              </w:rPr>
              <w:t xml:space="preserve">中标商需与医院</w:t>
            </w:r>
            <w:r>
              <w:rPr>
                <w:rFonts w:hint="eastAsia" w:ascii="仿宋" w:hAnsi="仿宋" w:eastAsia="仿宋" w:cs="仿宋"/>
                <w:color w:val="000000"/>
                <w:sz w:val="24"/>
                <w:szCs w:val="24"/>
                <w:lang w:val="en-US" w:eastAsia="zh-CN"/>
              </w:rPr>
              <w:t xml:space="preserve">HIS厂家自行协商合作事项，</w:t>
            </w:r>
            <w:r>
              <w:rPr>
                <w:rFonts w:hint="eastAsia" w:ascii="仿宋" w:hAnsi="仿宋" w:eastAsia="仿宋" w:cs="仿宋"/>
                <w:color w:val="000000"/>
                <w:sz w:val="24"/>
                <w:szCs w:val="24"/>
              </w:rPr>
              <w:t xml:space="preserve">包括业务数据分类查询、统计报表、免二次排队功能改造、黑名单管理、转诊会诊数据衔接等。</w:t>
            </w:r>
            <w:r>
              <w:rPr>
                <w:rFonts w:hint="eastAsia"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1195"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5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blCellSpacing w:w="0" w:type="dxa"/>
          <w:trHeight w:val="640"/>
        </w:trPr>
        <w:tc>
          <w:tcPr>
            <w:gridSpan w:val="6"/>
            <w:tcBorders>
              <w:top w:val="none" w:color="000000" w:sz="4" w:space="0"/>
              <w:left w:val="single" w:color="000000" w:sz="8" w:space="0"/>
              <w:bottom w:val="single" w:color="000000" w:sz="8" w:space="0"/>
              <w:right w:val="single" w:color="000000" w:sz="8" w:space="0"/>
            </w:tcBorders>
            <w:tcW w:w="9209" w:type="dxa"/>
            <w:vAlign w:val="center"/>
            <w:textDirection w:val="lrTb"/>
            <w:noWrap w:val="false"/>
          </w:tcPr>
          <w:p>
            <w:pPr>
              <w:pStyle w:val="1011"/>
              <w:jc w:val="center"/>
              <w:widowControl/>
              <w:tabs>
                <w:tab w:val="left" w:pos="5171" w:leader="none"/>
              </w:tabs>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医院药学信息管理系统</w:t>
            </w:r>
            <w:r>
              <w:rPr>
                <w:rFonts w:hint="eastAsia" w:ascii="宋体" w:hAnsi="宋体" w:eastAsia="宋体" w:cs="宋体"/>
                <w:b/>
                <w:bCs/>
                <w:color w:val="000000"/>
                <w:sz w:val="24"/>
                <w:szCs w:val="24"/>
                <w:highlight w:val="none"/>
                <w:lang w:val="en-US" w:eastAsia="zh-CN"/>
              </w:rPr>
              <w:t xml:space="preserve">软件集成及升级</w:t>
            </w:r>
            <w:r>
              <w:rPr>
                <w:rFonts w:hint="eastAsia" w:ascii="宋体" w:hAnsi="宋体" w:eastAsia="宋体" w:cs="宋体"/>
                <w:color w:val="000000"/>
                <w:sz w:val="24"/>
                <w:szCs w:val="24"/>
                <w:highlight w:val="none"/>
                <w:lang w:eastAsia="zh-CN"/>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6" w:type="dxa"/>
            <w:vAlign w:val="center"/>
            <w:textDirection w:val="lrTb"/>
            <w:noWrap w:val="false"/>
          </w:tcPr>
          <w:p>
            <w:pPr>
              <w:pStyle w:val="1011"/>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1193"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w:t>
            </w:r>
            <w:r>
              <w:rPr>
                <w:rFonts w:hint="eastAsia" w:ascii="仿宋" w:hAnsi="仿宋" w:eastAsia="仿宋" w:cs="仿宋"/>
                <w:color w:val="000000"/>
                <w:sz w:val="24"/>
                <w:szCs w:val="24"/>
              </w:rPr>
              <w:t xml:space="preserve">审查提示屏蔽功能</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4398" w:type="dxa"/>
            <w:vAlign w:val="center"/>
            <w:textDirection w:val="lrTb"/>
            <w:noWrap w:val="false"/>
          </w:tcPr>
          <w:p>
            <w:pPr>
              <w:pStyle w:val="1011"/>
              <w:ind w:firstLine="480"/>
              <w:jc w:val="left"/>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系统应能对剂量、给药途径、药物相互作用、体外注射剂配伍、配伍浓度、禁忌症、不良反应、儿童用药、老人用药、成人用药、性别用药、妊娠期用药、哺乳期用药、药物过敏、重复用药等审查项目进行审查提示屏蔽，支持分门诊、住院、急诊屏蔽，屏蔽后不再对相同问题进行提示。</w:t>
            </w:r>
            <w:r>
              <w:rPr>
                <w:rFonts w:hint="eastAsia" w:ascii="仿宋" w:hAnsi="仿宋" w:eastAsia="仿宋" w:cs="仿宋"/>
                <w:bCs/>
                <w:color w:val="000000"/>
                <w:sz w:val="24"/>
                <w:szCs w:val="24"/>
              </w:rPr>
            </w:r>
            <w:r/>
          </w:p>
        </w:tc>
        <w:tc>
          <w:tcPr>
            <w:tcBorders>
              <w:top w:val="none" w:color="000000" w:sz="4" w:space="0"/>
              <w:left w:val="none" w:color="000000" w:sz="4" w:space="0"/>
              <w:bottom w:val="single" w:color="000000" w:sz="8" w:space="0"/>
              <w:right w:val="single" w:color="000000" w:sz="8" w:space="0"/>
            </w:tcBorders>
            <w:tcW w:w="1195"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5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6" w:type="dxa"/>
            <w:vAlign w:val="center"/>
            <w:textDirection w:val="lrTb"/>
            <w:noWrap w:val="false"/>
          </w:tcPr>
          <w:p>
            <w:pPr>
              <w:pStyle w:val="1011"/>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1193"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审查规则自定义功能（医院专家知识库）</w:t>
            </w:r>
            <w:r>
              <w:rPr>
                <w:rFonts w:hint="eastAsia"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4398" w:type="dxa"/>
            <w:vAlign w:val="center"/>
            <w:textDirection w:val="lrTb"/>
            <w:noWrap w:val="false"/>
          </w:tcPr>
          <w:p>
            <w:pPr>
              <w:pStyle w:val="1159"/>
              <w:ind w:left="0" w:firstLine="48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▲系统可以提供多种自定义方式：</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lang w:eastAsia="zh-CN"/>
              </w:rPr>
            </w:r>
            <w:r/>
          </w:p>
          <w:p>
            <w:pPr>
              <w:pStyle w:val="1011"/>
              <w:ind w:firstLine="48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rPr>
              <w:t xml:space="preserve">（1）基于系统审查数据自定义方式，节省药师工作量</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lang w:eastAsia="zh-CN"/>
              </w:rPr>
            </w:r>
            <w:r/>
          </w:p>
          <w:p>
            <w:pPr>
              <w:pStyle w:val="1011"/>
              <w:ind w:firstLine="480"/>
              <w:jc w:val="left"/>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（2）可完全由用户新建审查规则包括审查要素和审查逻辑。</w:t>
            </w:r>
            <w:r>
              <w:rPr>
                <w:rFonts w:hint="eastAsia" w:ascii="仿宋" w:hAnsi="仿宋" w:eastAsia="仿宋" w:cs="仿宋"/>
                <w:bCs/>
                <w:color w:val="000000"/>
                <w:sz w:val="24"/>
                <w:szCs w:val="24"/>
              </w:rPr>
            </w:r>
            <w:r/>
          </w:p>
          <w:p>
            <w:pPr>
              <w:pStyle w:val="1159"/>
              <w:ind w:left="0" w:firstLine="48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用户可自定义药品警示、拦截规则，被拦截的问题处方必须返回修改，否则不可进行下一步操作。用户可设置已执行的长期医嘱是否拦截。</w:t>
            </w:r>
            <w:r>
              <w:rPr>
                <w:rFonts w:hint="eastAsia" w:ascii="仿宋" w:hAnsi="仿宋" w:eastAsia="仿宋" w:cs="仿宋"/>
                <w:bCs/>
                <w:color w:val="000000"/>
                <w:sz w:val="24"/>
                <w:szCs w:val="24"/>
                <w:lang w:eastAsia="zh-CN"/>
              </w:rPr>
            </w:r>
            <w:r/>
          </w:p>
          <w:p>
            <w:pPr>
              <w:pStyle w:val="1159"/>
              <w:ind w:left="0" w:firstLine="48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其中部分审查项目可支持以下功能：</w:t>
            </w:r>
            <w:r>
              <w:rPr>
                <w:rFonts w:hint="eastAsia" w:ascii="仿宋" w:hAnsi="仿宋" w:eastAsia="仿宋" w:cs="仿宋"/>
                <w:bCs/>
                <w:color w:val="000000"/>
                <w:sz w:val="24"/>
                <w:szCs w:val="24"/>
                <w:lang w:eastAsia="zh-CN"/>
              </w:rPr>
            </w:r>
            <w:r/>
          </w:p>
          <w:p>
            <w:pPr>
              <w:pStyle w:val="1159"/>
              <w:numPr>
                <w:ilvl w:val="0"/>
                <w:numId w:val="0"/>
              </w:numPr>
              <w:ind w:left="0" w:firstLine="48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lang w:val="en-US" w:eastAsia="zh-CN"/>
              </w:rPr>
              <w:t xml:space="preserve">5</w:t>
            </w:r>
            <w:r>
              <w:rPr>
                <w:rFonts w:hint="eastAsia" w:ascii="仿宋" w:hAnsi="仿宋" w:eastAsia="仿宋" w:cs="仿宋"/>
                <w:bCs/>
                <w:color w:val="000000"/>
                <w:sz w:val="24"/>
                <w:szCs w:val="24"/>
                <w:lang w:eastAsia="zh-CN"/>
              </w:rPr>
              <w:t xml:space="preserve">）▲可设置应激性溃疡风险的预警规则；设置可预防使用质子泵抑制剂的手术、质子泵抑制剂药品及术后质子泵抑制剂用药疗程。</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lang w:eastAsia="zh-CN"/>
              </w:rPr>
            </w:r>
            <w:r/>
          </w:p>
          <w:p>
            <w:pPr>
              <w:pStyle w:val="1159"/>
              <w:ind w:left="0" w:firstLine="48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规则复制功能：系统支持将其它药品已有的自定义规则分模块复制到被选择的药品上。</w:t>
            </w:r>
            <w:r>
              <w:rPr>
                <w:rFonts w:hint="eastAsia" w:ascii="仿宋" w:hAnsi="仿宋" w:eastAsia="仿宋" w:cs="仿宋"/>
                <w:bCs/>
                <w:color w:val="000000"/>
                <w:sz w:val="24"/>
                <w:szCs w:val="24"/>
                <w:lang w:eastAsia="zh-CN"/>
              </w:rPr>
            </w:r>
            <w:r/>
          </w:p>
          <w:p>
            <w:pPr>
              <w:pStyle w:val="1159"/>
              <w:ind w:left="0" w:firstLine="48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▲豁免对象：可根据药品、医生、科室等条件设置特定对象不参与某些模块审查，并可按照模块查看对各种豁免情况的统计。</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lang w:eastAsia="zh-CN"/>
              </w:rPr>
              <w:t xml:space="preserve"> </w:t>
            </w:r>
            <w:r>
              <w:rPr>
                <w:rFonts w:hint="eastAsia" w:ascii="仿宋" w:hAnsi="仿宋" w:eastAsia="仿宋" w:cs="仿宋"/>
                <w:bCs/>
                <w:color w:val="000000"/>
                <w:sz w:val="24"/>
                <w:szCs w:val="24"/>
                <w:lang w:eastAsia="zh-CN"/>
              </w:rPr>
            </w:r>
            <w:r/>
          </w:p>
        </w:tc>
        <w:tc>
          <w:tcPr>
            <w:tcBorders>
              <w:top w:val="none" w:color="000000" w:sz="4" w:space="0"/>
              <w:left w:val="none" w:color="000000" w:sz="4" w:space="0"/>
              <w:bottom w:val="single" w:color="000000" w:sz="8" w:space="0"/>
              <w:right w:val="single" w:color="000000" w:sz="8" w:space="0"/>
            </w:tcBorders>
            <w:tcW w:w="1195"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5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6" w:type="dxa"/>
            <w:vAlign w:val="center"/>
            <w:textDirection w:val="lrTb"/>
            <w:noWrap w:val="false"/>
          </w:tcPr>
          <w:p>
            <w:pPr>
              <w:pStyle w:val="1011"/>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1193"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审方干预功能</w:t>
            </w:r>
            <w:r>
              <w:rPr>
                <w:rFonts w:hint="eastAsia"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4398" w:type="dxa"/>
            <w:vAlign w:val="center"/>
            <w:textDirection w:val="lrTb"/>
            <w:noWrap w:val="false"/>
          </w:tcPr>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▲药师可以根据不同任务情况选择医生处方（医嘱）直接双签通过还是需要药师复核。</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lang w:eastAsia="zh-CN"/>
              </w:rPr>
            </w:r>
            <w:r/>
          </w:p>
        </w:tc>
        <w:tc>
          <w:tcPr>
            <w:tcBorders>
              <w:top w:val="none" w:color="000000" w:sz="4" w:space="0"/>
              <w:left w:val="none" w:color="000000" w:sz="4" w:space="0"/>
              <w:bottom w:val="single" w:color="000000" w:sz="8" w:space="0"/>
              <w:right w:val="single" w:color="000000" w:sz="8" w:space="0"/>
            </w:tcBorders>
            <w:tcW w:w="1195"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5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193"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审方干预自定义功能</w:t>
            </w:r>
            <w:r>
              <w:rPr>
                <w:rFonts w:hint="eastAsia"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4398" w:type="dxa"/>
            <w:vAlign w:val="center"/>
            <w:textDirection w:val="lrTb"/>
            <w:noWrap w:val="false"/>
          </w:tcPr>
          <w:p>
            <w:pPr>
              <w:pStyle w:val="1011"/>
              <w:jc w:val="left"/>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▲用户可设置自动干预模式，并设置医生填写用药理由的模式。药师不在岗时，系统自动干预，医生填写用药理由后方可执行，支持全院和分科室设置。</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rPr>
            </w:r>
            <w:r/>
          </w:p>
        </w:tc>
        <w:tc>
          <w:tcPr>
            <w:tcBorders>
              <w:top w:val="none" w:color="000000" w:sz="4" w:space="0"/>
              <w:left w:val="none" w:color="000000" w:sz="4" w:space="0"/>
              <w:bottom w:val="single" w:color="000000" w:sz="8" w:space="0"/>
              <w:right w:val="single" w:color="000000" w:sz="8" w:space="0"/>
            </w:tcBorders>
            <w:tcW w:w="1195"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5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193"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处方点评</w:t>
            </w:r>
            <w:r>
              <w:rPr>
                <w:rFonts w:hint="eastAsia"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4398" w:type="dxa"/>
            <w:vAlign w:val="center"/>
            <w:textDirection w:val="lrTb"/>
            <w:noWrap w:val="false"/>
          </w:tcPr>
          <w:p>
            <w:pPr>
              <w:pStyle w:val="1159"/>
              <w:jc w:val="left"/>
              <w:keepLines w:val="0"/>
              <w:keepNext w:val="0"/>
              <w:pageBreakBefore w:val="0"/>
              <w:spacing w:line="240" w:lineRule="auto"/>
              <w:widowControl w:val="off"/>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应能提供程序点评功能，包括对处方（医嘱）用药进行以下程序点评：剂量审查、给药途径审查、相互作用审查、体外注射剂配伍审查、配伍浓度审查、钾离子监测、TPN处方审查、门诊输液审查、禁忌症审查、不良反应审查、特殊人群用药审查、重复用药审查、适应症审查、药物过敏审查、药物检验值审查、规范性审查、医保审查、越权用药审查、围术期用药审查，并提供审查规则自定义功能，使得点评结果更加符合医院实际用药情况。</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▲系统应提供双盲点评设置、医生处理点评结果逾期设置、增补处方或病人、高亮显示被点评药品功能，方便药师点评。 </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▲系统应能自动生成住院患者用药联用图、时序图，并支持自定义。住院患者时序图包含患者体征、用药、手术和检验信息等内容。</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lang w:eastAsia="zh-CN"/>
              </w:rPr>
            </w:r>
            <w:r/>
          </w:p>
        </w:tc>
        <w:tc>
          <w:tcPr>
            <w:tcBorders>
              <w:top w:val="none" w:color="000000" w:sz="4" w:space="0"/>
              <w:left w:val="none" w:color="000000" w:sz="4" w:space="0"/>
              <w:bottom w:val="single" w:color="000000" w:sz="8" w:space="0"/>
              <w:right w:val="single" w:color="000000" w:sz="8" w:space="0"/>
            </w:tcBorders>
            <w:tcW w:w="1195"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5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6" w:type="dxa"/>
            <w:vAlign w:val="center"/>
            <w:textDirection w:val="lrTb"/>
            <w:noWrap w:val="false"/>
          </w:tcPr>
          <w:p>
            <w:pPr>
              <w:pStyle w:val="1011"/>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1193"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统计分析</w:t>
            </w:r>
            <w:r>
              <w:rPr>
                <w:rFonts w:hint="eastAsia"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4398" w:type="dxa"/>
            <w:vAlign w:val="center"/>
            <w:textDirection w:val="lrTb"/>
            <w:noWrap w:val="false"/>
          </w:tcPr>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自定义合理用药指标</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系统应提供自定义合理用药指标功能，可自行设置指标分子、分母进行统计。自定义要素包含药品、治疗金额、药品金额、处方数、病人数、药品品种数、使用量DDDs、人天数、用药医嘱条目数。</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▲全国合理用药监测系统数据统计</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lang w:eastAsia="zh-CN"/>
              </w:rPr>
            </w:r>
            <w:r/>
          </w:p>
        </w:tc>
        <w:tc>
          <w:tcPr>
            <w:tcBorders>
              <w:top w:val="none" w:color="000000" w:sz="4" w:space="0"/>
              <w:left w:val="none" w:color="000000" w:sz="4" w:space="0"/>
              <w:bottom w:val="single" w:color="000000" w:sz="8" w:space="0"/>
              <w:right w:val="single" w:color="000000" w:sz="8" w:space="0"/>
            </w:tcBorders>
            <w:tcW w:w="1195"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5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6" w:type="dxa"/>
            <w:vAlign w:val="center"/>
            <w:textDirection w:val="lrTb"/>
            <w:noWrap w:val="false"/>
          </w:tcPr>
          <w:p>
            <w:pPr>
              <w:pStyle w:val="1011"/>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1193" w:type="dxa"/>
            <w:vAlign w:val="center"/>
            <w:textDirection w:val="lrTb"/>
            <w:noWrap w:val="false"/>
          </w:tcPr>
          <w:p>
            <w:pPr>
              <w:pStyle w:val="1011"/>
              <w:jc w:val="center"/>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其它</w:t>
            </w:r>
            <w:r>
              <w:rPr>
                <w:rFonts w:hint="eastAsia"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4398" w:type="dxa"/>
            <w:vAlign w:val="center"/>
            <w:textDirection w:val="lrTb"/>
            <w:noWrap w:val="false"/>
          </w:tcPr>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自维护功能</w:t>
            </w:r>
            <w:r>
              <w:rPr>
                <w:rFonts w:hint="eastAsia" w:ascii="仿宋" w:hAnsi="仿宋" w:eastAsia="仿宋" w:cs="仿宋"/>
                <w:bCs/>
                <w:color w:val="000000"/>
                <w:sz w:val="24"/>
                <w:szCs w:val="24"/>
                <w:lang w:eastAsia="zh-CN"/>
              </w:rPr>
            </w:r>
            <w:r/>
          </w:p>
          <w:p>
            <w:pPr>
              <w:pStyle w:val="1159"/>
              <w:ind w:left="0"/>
              <w:jc w:val="left"/>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▲系统应对医院药品属性、给药途径、给药频次、感染疾病类型、检验申请/结果/收费项目类型、手术分类、科室类型、医生抗菌药物权限、围术期用药等基础数据进行程序自动维护。</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lang w:eastAsia="zh-CN"/>
              </w:rPr>
            </w:r>
            <w:r/>
          </w:p>
        </w:tc>
        <w:tc>
          <w:tcPr>
            <w:tcBorders>
              <w:top w:val="none" w:color="000000" w:sz="4" w:space="0"/>
              <w:left w:val="none" w:color="000000" w:sz="4" w:space="0"/>
              <w:bottom w:val="single" w:color="000000" w:sz="8" w:space="0"/>
              <w:right w:val="single" w:color="000000" w:sz="8" w:space="0"/>
            </w:tcBorders>
            <w:tcW w:w="1195"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5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6" w:type="dxa"/>
            <w:vAlign w:val="center"/>
            <w:textDirection w:val="lrTb"/>
            <w:noWrap w:val="false"/>
          </w:tcPr>
          <w:p>
            <w:pPr>
              <w:pStyle w:val="1011"/>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1193" w:type="dxa"/>
            <w:vAlign w:val="center"/>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▲妊娠哺乳用药</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rPr>
            </w:r>
            <w:r/>
          </w:p>
        </w:tc>
        <w:tc>
          <w:tcPr>
            <w:tcBorders>
              <w:top w:val="none" w:color="000000" w:sz="4" w:space="0"/>
              <w:left w:val="none" w:color="000000" w:sz="4" w:space="0"/>
              <w:bottom w:val="single" w:color="000000" w:sz="8" w:space="0"/>
              <w:right w:val="single" w:color="000000" w:sz="8" w:space="0"/>
            </w:tcBorders>
            <w:tcW w:w="4398" w:type="dxa"/>
            <w:vAlign w:val="center"/>
            <w:textDirection w:val="lrTb"/>
            <w:noWrap w:val="false"/>
          </w:tcPr>
          <w:p>
            <w:pPr>
              <w:pStyle w:val="1159"/>
              <w:ind w:left="0" w:firstLine="42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基于循证医学原则评价国内外药品说明书、专业数据库、专著、研究文献，对妊娠期和哺乳期药物暴露风险进行评估，提出用药建议。提供药代动力学、文献报道等供临床参考。所有信息均应提供参考文献。</w:t>
            </w:r>
            <w:r>
              <w:rPr>
                <w:rFonts w:hint="eastAsia" w:ascii="仿宋" w:hAnsi="仿宋" w:eastAsia="仿宋" w:cs="仿宋"/>
                <w:bCs/>
                <w:color w:val="000000"/>
                <w:sz w:val="24"/>
                <w:szCs w:val="24"/>
                <w:lang w:eastAsia="zh-CN"/>
              </w:rPr>
            </w:r>
            <w:r/>
          </w:p>
        </w:tc>
        <w:tc>
          <w:tcPr>
            <w:tcBorders>
              <w:top w:val="none" w:color="000000" w:sz="4" w:space="0"/>
              <w:left w:val="none" w:color="000000" w:sz="4" w:space="0"/>
              <w:bottom w:val="single" w:color="000000" w:sz="8" w:space="0"/>
              <w:right w:val="single" w:color="000000" w:sz="8" w:space="0"/>
            </w:tcBorders>
            <w:tcW w:w="1195"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5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6" w:type="dxa"/>
            <w:vAlign w:val="center"/>
            <w:textDirection w:val="lrTb"/>
            <w:noWrap w:val="false"/>
          </w:tcPr>
          <w:p>
            <w:pPr>
              <w:pStyle w:val="1011"/>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1193" w:type="dxa"/>
            <w:vAlign w:val="center"/>
            <w:textDirection w:val="lrTb"/>
            <w:noWrap w:val="false"/>
          </w:tcPr>
          <w:p>
            <w:pPr>
              <w:pStyle w:val="1011"/>
              <w:jc w:val="center"/>
              <w:pageBreakBefore w:val="0"/>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▲中医药</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rPr>
            </w:r>
            <w:r/>
          </w:p>
        </w:tc>
        <w:tc>
          <w:tcPr>
            <w:tcBorders>
              <w:top w:val="none" w:color="000000" w:sz="4" w:space="0"/>
              <w:left w:val="none" w:color="000000" w:sz="4" w:space="0"/>
              <w:bottom w:val="single" w:color="000000" w:sz="8" w:space="0"/>
              <w:right w:val="single" w:color="000000" w:sz="8" w:space="0"/>
            </w:tcBorders>
            <w:tcW w:w="4398" w:type="dxa"/>
            <w:vAlign w:val="center"/>
            <w:textDirection w:val="lrTb"/>
            <w:noWrap w:val="false"/>
          </w:tcPr>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系统应提供中药材、中医方剂、中医诊疗方案、中医临床路径、中医标准术语、中医病证分类与代码等中医药信息内容。</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中药材：应包含权威专著中的品种信息，内容应侧重于中药材的基本属性和临床应用指导，应可便捷的查看毒性药材和妊娠期禁慎用药材。</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中医方剂：应包括临床常用方、中医经典方等方剂，应可查看方剂相关的附方及中成药信息。</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中医诊疗方案：应收录国家中医药管理局发布的诊疗方案。</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中医临床路径：应收录国家中医药管理局发布的临床路径。</w:t>
            </w:r>
            <w:r>
              <w:rPr>
                <w:rFonts w:hint="eastAsia" w:ascii="仿宋" w:hAnsi="仿宋" w:eastAsia="仿宋" w:cs="仿宋"/>
                <w:bCs/>
                <w:color w:val="000000"/>
                <w:sz w:val="24"/>
                <w:szCs w:val="24"/>
                <w:lang w:eastAsia="zh-CN"/>
              </w:rPr>
            </w:r>
            <w:r/>
          </w:p>
          <w:p>
            <w:pPr>
              <w:pStyle w:val="1159"/>
              <w:ind w:left="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中医标准术语：应收录国家中医药管理局发布的各种临床标准术语。</w:t>
            </w:r>
            <w:r>
              <w:rPr>
                <w:rFonts w:hint="eastAsia" w:ascii="仿宋" w:hAnsi="仿宋" w:eastAsia="仿宋" w:cs="仿宋"/>
                <w:bCs/>
                <w:color w:val="000000"/>
                <w:sz w:val="24"/>
                <w:szCs w:val="24"/>
                <w:lang w:eastAsia="zh-CN"/>
              </w:rPr>
            </w:r>
            <w:r/>
          </w:p>
          <w:p>
            <w:pPr>
              <w:pStyle w:val="1159"/>
              <w:ind w:left="0" w:firstLine="42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中医病症分类与代码：应收录国家中医药管理局发布中医病证分类与代码。</w:t>
            </w:r>
            <w:r>
              <w:rPr>
                <w:rFonts w:hint="eastAsia" w:ascii="仿宋" w:hAnsi="仿宋" w:eastAsia="仿宋" w:cs="仿宋"/>
                <w:bCs/>
                <w:color w:val="000000"/>
                <w:sz w:val="24"/>
                <w:szCs w:val="24"/>
                <w:lang w:eastAsia="zh-CN"/>
              </w:rPr>
            </w:r>
            <w:r/>
          </w:p>
        </w:tc>
        <w:tc>
          <w:tcPr>
            <w:tcBorders>
              <w:top w:val="none" w:color="000000" w:sz="4" w:space="0"/>
              <w:left w:val="none" w:color="000000" w:sz="4" w:space="0"/>
              <w:bottom w:val="single" w:color="000000" w:sz="8" w:space="0"/>
              <w:right w:val="single" w:color="000000" w:sz="8" w:space="0"/>
            </w:tcBorders>
            <w:tcW w:w="1195"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5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6" w:type="dxa"/>
            <w:vAlign w:val="center"/>
            <w:textDirection w:val="lrTb"/>
            <w:noWrap w:val="false"/>
          </w:tcPr>
          <w:p>
            <w:pPr>
              <w:pStyle w:val="1011"/>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1193" w:type="dxa"/>
            <w:vAlign w:val="top"/>
            <w:textDirection w:val="lrTb"/>
            <w:noWrap w:val="false"/>
          </w:tcPr>
          <w:p>
            <w:pPr>
              <w:pStyle w:val="1011"/>
              <w:jc w:val="left"/>
              <w:keepLines/>
              <w:keepNext/>
              <w:pageBreakBefore w:val="0"/>
              <w:spacing w:line="240" w:lineRule="auto"/>
              <w:rPr>
                <w:rFonts w:hint="eastAsia" w:ascii="仿宋" w:hAnsi="仿宋" w:eastAsia="仿宋" w:cs="仿宋"/>
                <w:bCs/>
                <w:color w:val="000000"/>
                <w:sz w:val="24"/>
                <w:szCs w:val="24"/>
                <w:lang w:eastAsia="zh-CN"/>
              </w:rPr>
              <w:outlineLvl w:val="2"/>
            </w:pPr>
            <w:r>
              <w:rPr>
                <w:rFonts w:hint="eastAsia" w:ascii="仿宋" w:hAnsi="仿宋" w:eastAsia="仿宋" w:cs="仿宋"/>
                <w:bCs/>
                <w:color w:val="000000"/>
                <w:sz w:val="24"/>
                <w:szCs w:val="24"/>
              </w:rPr>
              <w:t xml:space="preserve">▲医院处方集查看及导出功能</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lang w:eastAsia="zh-CN"/>
              </w:rPr>
            </w:r>
            <w:r/>
          </w:p>
        </w:tc>
        <w:tc>
          <w:tcPr>
            <w:tcBorders>
              <w:top w:val="none" w:color="000000" w:sz="4" w:space="0"/>
              <w:left w:val="none" w:color="000000" w:sz="4" w:space="0"/>
              <w:bottom w:val="single" w:color="000000" w:sz="8" w:space="0"/>
              <w:right w:val="single" w:color="000000" w:sz="8" w:space="0"/>
            </w:tcBorders>
            <w:tcW w:w="4398" w:type="dxa"/>
            <w:vAlign w:val="top"/>
            <w:textDirection w:val="lrTb"/>
            <w:noWrap w:val="false"/>
          </w:tcPr>
          <w:p>
            <w:pPr>
              <w:pStyle w:val="1159"/>
              <w:ind w:left="0" w:firstLine="42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系统应支持院内各科室通过局域网在线查看医院处方集的全部内容。各部分可通过分类进行浏览，也可通过关键字检索快速查找到相关信息。通过导出功能，系统可将电子版处方集以文本格式输出并保存为Word格式，方便医院开展印刷版处方集的制作工作。</w:t>
            </w:r>
            <w:r>
              <w:rPr>
                <w:rFonts w:hint="eastAsia" w:ascii="仿宋" w:hAnsi="仿宋" w:eastAsia="仿宋" w:cs="仿宋"/>
                <w:bCs/>
                <w:color w:val="000000"/>
                <w:sz w:val="24"/>
                <w:szCs w:val="24"/>
                <w:lang w:eastAsia="zh-CN"/>
              </w:rPr>
            </w:r>
            <w:r/>
          </w:p>
        </w:tc>
        <w:tc>
          <w:tcPr>
            <w:tcBorders>
              <w:top w:val="none" w:color="000000" w:sz="4" w:space="0"/>
              <w:left w:val="none" w:color="000000" w:sz="4" w:space="0"/>
              <w:bottom w:val="single" w:color="000000" w:sz="8" w:space="0"/>
              <w:right w:val="single" w:color="000000" w:sz="8" w:space="0"/>
            </w:tcBorders>
            <w:tcW w:w="1195"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5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6" w:type="dxa"/>
            <w:vAlign w:val="center"/>
            <w:textDirection w:val="lrTb"/>
            <w:noWrap w:val="false"/>
          </w:tcPr>
          <w:p>
            <w:pPr>
              <w:pStyle w:val="1011"/>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1193" w:type="dxa"/>
            <w:vAlign w:val="center"/>
            <w:textDirection w:val="lrTb"/>
            <w:noWrap w:val="false"/>
          </w:tcPr>
          <w:p>
            <w:pPr>
              <w:pStyle w:val="1011"/>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w:t>
            </w:r>
            <w:r>
              <w:rPr>
                <w:rFonts w:hint="eastAsia" w:ascii="仿宋" w:hAnsi="仿宋" w:eastAsia="仿宋" w:cs="仿宋"/>
                <w:color w:val="000000"/>
                <w:sz w:val="24"/>
                <w:szCs w:val="24"/>
              </w:rPr>
              <w:t xml:space="preserve">审查提示屏蔽功能</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lang w:eastAsia="zh-CN"/>
              </w:rPr>
            </w:r>
            <w:r/>
          </w:p>
        </w:tc>
        <w:tc>
          <w:tcPr>
            <w:tcBorders>
              <w:top w:val="none" w:color="000000" w:sz="4" w:space="0"/>
              <w:left w:val="none" w:color="000000" w:sz="4" w:space="0"/>
              <w:bottom w:val="single" w:color="000000" w:sz="8" w:space="0"/>
              <w:right w:val="single" w:color="000000" w:sz="8" w:space="0"/>
            </w:tcBorders>
            <w:tcW w:w="4398" w:type="dxa"/>
            <w:vAlign w:val="center"/>
            <w:textDirection w:val="lrTb"/>
            <w:noWrap w:val="false"/>
          </w:tcPr>
          <w:p>
            <w:pPr>
              <w:pStyle w:val="1159"/>
              <w:ind w:left="0" w:firstLine="42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应能对剂量、给药途径、药物相互作用、禁忌症、不良反应、特殊人群用药、性别用药、药物过敏、重复用药、适应症审查项目进行审查提示屏蔽，屏蔽后不再对相同问题进行提示。</w:t>
            </w:r>
            <w:r>
              <w:rPr>
                <w:rFonts w:hint="eastAsia" w:ascii="仿宋" w:hAnsi="仿宋" w:eastAsia="仿宋" w:cs="仿宋"/>
                <w:bCs/>
                <w:color w:val="000000"/>
                <w:sz w:val="24"/>
                <w:szCs w:val="24"/>
                <w:lang w:eastAsia="zh-CN"/>
              </w:rPr>
            </w:r>
            <w:r/>
          </w:p>
        </w:tc>
        <w:tc>
          <w:tcPr>
            <w:tcBorders>
              <w:top w:val="none" w:color="000000" w:sz="4" w:space="0"/>
              <w:left w:val="none" w:color="000000" w:sz="4" w:space="0"/>
              <w:bottom w:val="single" w:color="000000" w:sz="8" w:space="0"/>
              <w:right w:val="single" w:color="000000" w:sz="8" w:space="0"/>
            </w:tcBorders>
            <w:tcW w:w="1195"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5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6" w:type="dxa"/>
            <w:vAlign w:val="center"/>
            <w:textDirection w:val="lrTb"/>
            <w:noWrap w:val="false"/>
          </w:tcPr>
          <w:p>
            <w:pPr>
              <w:pStyle w:val="1011"/>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1193" w:type="dxa"/>
            <w:vAlign w:val="center"/>
            <w:textDirection w:val="lrTb"/>
            <w:noWrap w:val="false"/>
          </w:tcPr>
          <w:p>
            <w:pPr>
              <w:pStyle w:val="1011"/>
              <w:pageBreakBefore w:val="0"/>
              <w:spacing w:line="240" w:lineRule="auto"/>
              <w:rPr>
                <w:rFonts w:hint="eastAsia" w:ascii="仿宋" w:hAnsi="仿宋" w:eastAsia="仿宋" w:cs="仿宋"/>
                <w:bCs/>
                <w:color w:val="000000"/>
                <w:sz w:val="24"/>
                <w:szCs w:val="24"/>
                <w:lang w:eastAsia="zh-CN"/>
              </w:rPr>
            </w:pPr>
            <w:r>
              <w:rPr>
                <w:rFonts w:hint="eastAsia" w:ascii="仿宋" w:hAnsi="仿宋" w:eastAsia="仿宋" w:cs="仿宋"/>
                <w:color w:val="000000"/>
                <w:sz w:val="24"/>
                <w:szCs w:val="24"/>
              </w:rPr>
              <w:t xml:space="preserve">审查规则自定义功能</w:t>
            </w:r>
            <w:r>
              <w:rPr>
                <w:rFonts w:hint="eastAsia" w:ascii="仿宋" w:hAnsi="仿宋" w:eastAsia="仿宋" w:cs="仿宋"/>
                <w:bCs/>
                <w:color w:val="000000"/>
                <w:sz w:val="24"/>
                <w:szCs w:val="24"/>
                <w:lang w:eastAsia="zh-CN"/>
              </w:rPr>
            </w:r>
            <w:r/>
          </w:p>
        </w:tc>
        <w:tc>
          <w:tcPr>
            <w:tcBorders>
              <w:top w:val="none" w:color="000000" w:sz="4" w:space="0"/>
              <w:left w:val="none" w:color="000000" w:sz="4" w:space="0"/>
              <w:bottom w:val="single" w:color="000000" w:sz="8" w:space="0"/>
              <w:right w:val="single" w:color="000000" w:sz="8" w:space="0"/>
            </w:tcBorders>
            <w:tcW w:w="4398" w:type="dxa"/>
            <w:vAlign w:val="center"/>
            <w:textDirection w:val="lrTb"/>
            <w:noWrap w:val="false"/>
          </w:tcPr>
          <w:p>
            <w:pPr>
              <w:pStyle w:val="1159"/>
              <w:ind w:left="0" w:firstLine="42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▲用户可自定义药品警示、拦截规则，被拦截的问题处方必须返回修改，否则不可进行下一步操作。</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lang w:eastAsia="zh-CN"/>
              </w:rPr>
            </w:r>
            <w:r/>
          </w:p>
        </w:tc>
        <w:tc>
          <w:tcPr>
            <w:tcBorders>
              <w:top w:val="none" w:color="000000" w:sz="4" w:space="0"/>
              <w:left w:val="none" w:color="000000" w:sz="4" w:space="0"/>
              <w:bottom w:val="single" w:color="000000" w:sz="8" w:space="0"/>
              <w:right w:val="single" w:color="000000" w:sz="8" w:space="0"/>
            </w:tcBorders>
            <w:tcW w:w="1195"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5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blCellSpacing w:w="0" w:type="dxa"/>
          <w:trHeight w:val="640"/>
        </w:trPr>
        <w:tc>
          <w:tcPr>
            <w:gridSpan w:val="6"/>
            <w:tcBorders>
              <w:top w:val="none" w:color="000000" w:sz="4" w:space="0"/>
              <w:left w:val="single" w:color="000000" w:sz="8" w:space="0"/>
              <w:bottom w:val="single" w:color="000000" w:sz="8" w:space="0"/>
              <w:right w:val="single" w:color="000000" w:sz="8" w:space="0"/>
            </w:tcBorders>
            <w:tcW w:w="9209"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rPr>
              <w:t xml:space="preserve">随访</w:t>
            </w:r>
            <w:r>
              <w:rPr>
                <w:rFonts w:hint="eastAsia" w:ascii="宋体" w:hAnsi="宋体" w:eastAsia="宋体" w:cs="宋体"/>
                <w:b/>
                <w:bCs/>
                <w:color w:val="000000"/>
                <w:sz w:val="24"/>
                <w:szCs w:val="24"/>
                <w:lang w:val="en-US" w:eastAsia="zh-CN"/>
              </w:rPr>
              <w:t xml:space="preserve">管理</w:t>
            </w:r>
            <w:r>
              <w:rPr>
                <w:rFonts w:hint="eastAsia" w:ascii="宋体" w:hAnsi="宋体" w:eastAsia="宋体" w:cs="宋体"/>
                <w:b/>
                <w:bCs/>
                <w:color w:val="000000"/>
                <w:sz w:val="24"/>
                <w:szCs w:val="24"/>
              </w:rPr>
              <w:t xml:space="preserve">系统</w:t>
            </w:r>
            <w:r>
              <w:rPr>
                <w:rFonts w:hint="eastAsia" w:ascii="宋体" w:hAnsi="宋体" w:eastAsia="宋体" w:cs="宋体"/>
                <w:b/>
                <w:bCs/>
                <w:color w:val="000000"/>
                <w:sz w:val="24"/>
                <w:szCs w:val="24"/>
                <w:lang w:val="en-US" w:eastAsia="zh-CN"/>
              </w:rPr>
              <w:t xml:space="preserve">软件集成及升级</w:t>
            </w:r>
            <w:r>
              <w:rPr>
                <w:rFonts w:hint="eastAsia" w:ascii="宋体" w:hAnsi="宋体" w:eastAsia="宋体" w:cs="宋体"/>
                <w:color w:val="000000"/>
                <w:sz w:val="24"/>
                <w:szCs w:val="24"/>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6" w:type="dxa"/>
            <w:vAlign w:val="center"/>
            <w:textDirection w:val="lrTb"/>
            <w:noWrap w:val="false"/>
          </w:tcPr>
          <w:p>
            <w:pPr>
              <w:pStyle w:val="1011"/>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1193" w:type="dxa"/>
            <w:vAlign w:val="center"/>
            <w:textDirection w:val="lrTb"/>
            <w:noWrap w:val="false"/>
          </w:tcPr>
          <w:p>
            <w:pPr>
              <w:pStyle w:val="1011"/>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权限管理</w:t>
            </w:r>
            <w:r>
              <w:rPr>
                <w:rFonts w:hint="eastAsia" w:ascii="仿宋" w:hAnsi="仿宋" w:eastAsia="仿宋" w:cs="仿宋"/>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4398" w:type="dxa"/>
            <w:vAlign w:val="center"/>
            <w:textDirection w:val="lrTb"/>
            <w:noWrap w:val="false"/>
          </w:tcPr>
          <w:p>
            <w:pPr>
              <w:pStyle w:val="1159"/>
              <w:ind w:left="0" w:firstLine="42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color w:val="000000"/>
                <w:sz w:val="24"/>
                <w:szCs w:val="24"/>
              </w:rPr>
              <w:t xml:space="preserve">▲用户管理包括基本信息设置和权限信息的设置，基本信息如账号、密码、用户类别、身份证号、手机号、性别、出生日期、科室、职称、病区的设置；权限信息如角色、全息档案试视图类型的设置、数据查看权限的设置、计划查看权限的设置、呼叫中心权限的设置等。</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lang w:eastAsia="zh-CN"/>
              </w:rPr>
            </w:r>
            <w:r/>
          </w:p>
        </w:tc>
        <w:tc>
          <w:tcPr>
            <w:tcBorders>
              <w:top w:val="none" w:color="000000" w:sz="4" w:space="0"/>
              <w:left w:val="none" w:color="000000" w:sz="4" w:space="0"/>
              <w:bottom w:val="single" w:color="000000" w:sz="8" w:space="0"/>
              <w:right w:val="single" w:color="000000" w:sz="8" w:space="0"/>
            </w:tcBorders>
            <w:tcW w:w="1195"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5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6" w:type="dxa"/>
            <w:vAlign w:val="center"/>
            <w:textDirection w:val="lrTb"/>
            <w:noWrap w:val="false"/>
          </w:tcPr>
          <w:p>
            <w:pPr>
              <w:pStyle w:val="1011"/>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1193" w:type="dxa"/>
            <w:vAlign w:val="center"/>
            <w:textDirection w:val="lrTb"/>
            <w:noWrap w:val="false"/>
          </w:tcPr>
          <w:p>
            <w:pPr>
              <w:pStyle w:val="1011"/>
              <w:pageBreakBefore w:val="0"/>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呼叫管理</w:t>
            </w:r>
            <w:r>
              <w:rPr>
                <w:rFonts w:hint="eastAsia" w:ascii="仿宋" w:hAnsi="仿宋" w:eastAsia="仿宋" w:cs="仿宋"/>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4398" w:type="dxa"/>
            <w:vAlign w:val="center"/>
            <w:textDirection w:val="lrTb"/>
            <w:noWrap w:val="false"/>
          </w:tcPr>
          <w:p>
            <w:pPr>
              <w:pStyle w:val="1159"/>
              <w:ind w:left="0" w:firstLine="420"/>
              <w:pageBreakBefore w:val="0"/>
              <w:spacing w:line="240" w:lineRule="auto"/>
              <w:tabs>
                <w:tab w:val="left" w:pos="0" w:leader="none"/>
              </w:tabs>
              <w:rPr>
                <w:rFonts w:hint="eastAsia" w:ascii="仿宋" w:hAnsi="仿宋" w:eastAsia="仿宋" w:cs="仿宋"/>
                <w:bCs/>
                <w:color w:val="000000"/>
                <w:sz w:val="24"/>
                <w:szCs w:val="24"/>
                <w:lang w:eastAsia="zh-CN"/>
              </w:rPr>
            </w:pPr>
            <w:r>
              <w:rPr>
                <w:rFonts w:hint="eastAsia" w:ascii="仿宋" w:hAnsi="仿宋" w:eastAsia="仿宋" w:cs="仿宋"/>
                <w:color w:val="000000"/>
                <w:sz w:val="24"/>
                <w:szCs w:val="24"/>
              </w:rPr>
              <w:t xml:space="preserve">▲支持查看呼出时间、通话记录、通话录音、及处理状态</w:t>
            </w:r>
            <w:r>
              <w:rPr>
                <w:rFonts w:hint="eastAsia" w:ascii="仿宋" w:hAnsi="仿宋" w:eastAsia="仿宋" w:cs="仿宋"/>
                <w:color w:val="000000"/>
                <w:sz w:val="24"/>
                <w:szCs w:val="24"/>
                <w:lang w:eastAsia="zh-CN"/>
              </w:rPr>
              <w:t xml:space="preserve">。</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Cs/>
                <w:color w:val="000000"/>
                <w:sz w:val="24"/>
                <w:szCs w:val="24"/>
                <w:lang w:eastAsia="zh-CN"/>
              </w:rPr>
            </w:r>
            <w:r/>
          </w:p>
        </w:tc>
        <w:tc>
          <w:tcPr>
            <w:tcBorders>
              <w:top w:val="none" w:color="000000" w:sz="4" w:space="0"/>
              <w:left w:val="none" w:color="000000" w:sz="4" w:space="0"/>
              <w:bottom w:val="single" w:color="000000" w:sz="8" w:space="0"/>
              <w:right w:val="single" w:color="000000" w:sz="8" w:space="0"/>
            </w:tcBorders>
            <w:tcW w:w="1195"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5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6" w:type="dxa"/>
            <w:vAlign w:val="center"/>
            <w:textDirection w:val="lrTb"/>
            <w:noWrap w:val="false"/>
          </w:tcPr>
          <w:p>
            <w:pPr>
              <w:pStyle w:val="1011"/>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1193" w:type="dxa"/>
            <w:vAlign w:val="center"/>
            <w:textDirection w:val="lrTb"/>
            <w:noWrap w:val="false"/>
          </w:tcPr>
          <w:p>
            <w:pPr>
              <w:pStyle w:val="1011"/>
              <w:pageBreakBefore w:val="0"/>
              <w:spacing w:line="240" w:lineRule="auto"/>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病区随访结果跟踪处理</w:t>
            </w:r>
            <w:r>
              <w:rPr>
                <w:rFonts w:ascii="仿宋" w:hAnsi="仿宋" w:eastAsia="仿宋" w:cs="仿宋"/>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4398"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▲可直观的展现患者的随访情况，例如是否回复，是否异常等</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159"/>
              <w:ind w:left="0" w:firstLine="420"/>
              <w:pageBreakBefore w:val="0"/>
              <w:spacing w:line="240" w:lineRule="auto"/>
              <w:tabs>
                <w:tab w:val="left" w:pos="0" w:leader="none"/>
              </w:tabs>
              <w:rPr>
                <w:rFonts w:hint="eastAsia" w:ascii="仿宋" w:hAnsi="仿宋" w:eastAsia="仿宋" w:cs="仿宋"/>
                <w:color w:val="000000"/>
                <w:sz w:val="24"/>
                <w:szCs w:val="24"/>
              </w:rPr>
            </w:pP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1195"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5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193" w:type="dxa"/>
            <w:vAlign w:val="center"/>
            <w:textDirection w:val="lrTb"/>
            <w:noWrap w:val="false"/>
          </w:tcPr>
          <w:p>
            <w:pPr>
              <w:pStyle w:val="1011"/>
              <w:pageBreakBefore w:val="0"/>
              <w:spacing w:line="240" w:lineRule="auto"/>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门诊随访-黑名单管理</w:t>
            </w:r>
            <w:r>
              <w:rPr>
                <w:rFonts w:ascii="仿宋" w:hAnsi="仿宋" w:eastAsia="仿宋" w:cs="仿宋"/>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4398"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▲管理过滤名单，将特殊纠纷或不愿打扰患者手动加入过滤名单，并可选择仅在病区随访中生效</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159"/>
              <w:ind w:left="0" w:firstLine="420"/>
              <w:pageBreakBefore w:val="0"/>
              <w:spacing w:line="240" w:lineRule="auto"/>
              <w:tabs>
                <w:tab w:val="left" w:pos="0" w:leader="none"/>
              </w:tabs>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
                <w:bCs/>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1195"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5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193" w:type="dxa"/>
            <w:vAlign w:val="center"/>
            <w:textDirection w:val="lrTb"/>
            <w:noWrap w:val="false"/>
          </w:tcPr>
          <w:p>
            <w:pPr>
              <w:pStyle w:val="1011"/>
              <w:pageBreakBefore w:val="0"/>
              <w:spacing w:line="240" w:lineRule="auto"/>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调查结果跟踪处理</w:t>
            </w:r>
            <w:r>
              <w:rPr>
                <w:rFonts w:ascii="仿宋" w:hAnsi="仿宋" w:eastAsia="仿宋" w:cs="仿宋"/>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4398"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▲可直观的展现患者的满意度调查情况，例如是否回复，是否异常等</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159"/>
              <w:ind w:left="0" w:firstLine="420"/>
              <w:pageBreakBefore w:val="0"/>
              <w:spacing w:line="240" w:lineRule="auto"/>
              <w:tabs>
                <w:tab w:val="left" w:pos="0" w:leader="none"/>
              </w:tabs>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
                <w:bCs/>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1195"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5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6" w:type="dxa"/>
            <w:vAlign w:val="center"/>
            <w:textDirection w:val="lrTb"/>
            <w:noWrap w:val="false"/>
          </w:tcPr>
          <w:p>
            <w:pPr>
              <w:pStyle w:val="1011"/>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1193" w:type="dxa"/>
            <w:vAlign w:val="center"/>
            <w:textDirection w:val="lrTb"/>
            <w:noWrap w:val="false"/>
          </w:tcPr>
          <w:p>
            <w:pPr>
              <w:pStyle w:val="1011"/>
              <w:pageBreakBefore w:val="0"/>
              <w:spacing w:line="240" w:lineRule="auto"/>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满意度管理-黑名单管理</w:t>
            </w:r>
            <w:r>
              <w:rPr>
                <w:rFonts w:ascii="仿宋" w:hAnsi="仿宋" w:eastAsia="仿宋" w:cs="仿宋"/>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4398" w:type="dxa"/>
            <w:vAlign w:val="center"/>
            <w:textDirection w:val="lrTb"/>
            <w:noWrap w:val="false"/>
          </w:tcPr>
          <w:p>
            <w:pPr>
              <w:pStyle w:val="1011"/>
              <w:ind w:firstLine="480"/>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▲管理过滤名单，将特殊纠纷或不愿打扰患者手动加入过滤名单，并可选择仅在满意度调查中生效</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159"/>
              <w:ind w:left="0" w:firstLine="420"/>
              <w:pageBreakBefore w:val="0"/>
              <w:spacing w:line="240" w:lineRule="auto"/>
              <w:tabs>
                <w:tab w:val="left" w:pos="0" w:leader="none"/>
              </w:tabs>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
                <w:bCs/>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1195"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5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6" w:type="dxa"/>
            <w:vAlign w:val="center"/>
            <w:textDirection w:val="lrTb"/>
            <w:noWrap w:val="false"/>
          </w:tcPr>
          <w:p>
            <w:pPr>
              <w:pStyle w:val="1011"/>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1193" w:type="dxa"/>
            <w:vAlign w:val="center"/>
            <w:textDirection w:val="lrTb"/>
            <w:noWrap w:val="false"/>
          </w:tcPr>
          <w:p>
            <w:pPr>
              <w:pStyle w:val="1011"/>
              <w:pageBreakBefore w:val="0"/>
              <w:spacing w:line="240" w:lineRule="auto"/>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知识库-基础知识库-表单编辑器工具</w:t>
            </w:r>
            <w:r>
              <w:rPr>
                <w:rFonts w:ascii="仿宋" w:hAnsi="仿宋" w:eastAsia="仿宋" w:cs="仿宋"/>
                <w:color w:val="00000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4398" w:type="dxa"/>
            <w:vAlign w:val="center"/>
            <w:textDirection w:val="lrTb"/>
            <w:noWrap w:val="false"/>
          </w:tcPr>
          <w:p>
            <w:pPr>
              <w:pStyle w:val="1159"/>
              <w:ind w:left="0" w:firstLine="420"/>
              <w:pageBreakBefore w:val="0"/>
              <w:spacing w:line="240" w:lineRule="auto"/>
              <w:tabs>
                <w:tab w:val="left" w:pos="0" w:leader="none"/>
              </w:tabs>
              <w:rPr>
                <w:rFonts w:hint="eastAsia" w:ascii="仿宋" w:hAnsi="仿宋" w:eastAsia="仿宋" w:cs="仿宋"/>
                <w:b/>
                <w:bCs/>
                <w:color w:val="000000"/>
                <w:sz w:val="24"/>
                <w:szCs w:val="24"/>
                <w:highlight w:val="none"/>
                <w:lang w:val="en-US" w:eastAsia="zh-CN"/>
              </w:rPr>
            </w:pPr>
            <w:r>
              <w:rPr>
                <w:rFonts w:hint="eastAsia" w:ascii="仿宋" w:hAnsi="仿宋" w:eastAsia="仿宋" w:cs="仿宋"/>
                <w:color w:val="000000"/>
                <w:sz w:val="24"/>
                <w:szCs w:val="24"/>
              </w:rPr>
              <w:t xml:space="preserve">▲表单编辑器系统提供操作手册查看功能，以直接操作引导的形式展现，非word文件等形式</w:t>
            </w:r>
            <w:r>
              <w:rPr>
                <w:rFonts w:hint="eastAsia" w:ascii="仿宋" w:hAnsi="仿宋" w:eastAsia="仿宋" w:cs="仿宋"/>
                <w:color w:val="000000"/>
                <w:sz w:val="24"/>
                <w:szCs w:val="24"/>
                <w:lang w:eastAsia="zh-CN"/>
              </w:rPr>
              <w:t xml:space="preserve">。</w:t>
            </w:r>
            <w:r>
              <w:rPr>
                <w:rFonts w:hint="eastAsia" w:ascii="仿宋" w:hAnsi="仿宋" w:eastAsia="仿宋" w:cs="仿宋"/>
                <w:b/>
                <w:bCs/>
                <w:color w:val="000000"/>
                <w:sz w:val="24"/>
                <w:szCs w:val="24"/>
                <w:highlight w:val="none"/>
                <w:lang w:val="en-US" w:eastAsia="zh-CN"/>
              </w:rPr>
              <w:t xml:space="preserve">（投标人需提供软件功能截图）</w:t>
            </w:r>
            <w:r>
              <w:rPr>
                <w:rFonts w:hint="eastAsia" w:ascii="仿宋" w:hAnsi="仿宋" w:eastAsia="仿宋" w:cs="仿宋"/>
                <w:b/>
                <w:bCs/>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1195"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5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1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193"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398"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195"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56"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bl>
    <w:p>
      <w:pPr>
        <w:pStyle w:val="1011"/>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 行数不够，可自行添加。</w:t>
      </w:r>
      <w:r>
        <w:rPr>
          <w:rFonts w:hint="eastAsia" w:ascii="宋体" w:hAnsi="宋体" w:eastAsia="宋体" w:cs="宋体"/>
          <w:color w:val="000000"/>
          <w:sz w:val="24"/>
          <w:szCs w:val="24"/>
          <w:highlight w:val="none"/>
        </w:rPr>
      </w:r>
      <w:r/>
    </w:p>
    <w:p>
      <w:pPr>
        <w:pStyle w:val="1011"/>
        <w:ind w:firstLine="480"/>
        <w:jc w:val="both"/>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偏离表中列出的实质性指标与重要指标（与采购需求一致）需提供证明材料。普通指标在</w:t>
      </w:r>
      <w:r>
        <w:rPr>
          <w:rFonts w:hint="eastAsia" w:ascii="宋体" w:hAnsi="宋体" w:eastAsia="宋体" w:cs="宋体"/>
          <w:color w:val="000000"/>
          <w:sz w:val="24"/>
          <w:szCs w:val="24"/>
          <w:highlight w:val="none"/>
        </w:rPr>
        <w:t xml:space="preserve">偏离表中仅需列出正偏离与负偏离的技术参数，未列明的技术参数视为承诺完全响应招标文件，投标人未提供采购需求中要求必须提供的相关证明材料的或提供与要求不符的视为偏离。 </w:t>
      </w:r>
      <w:r>
        <w:rPr>
          <w:rFonts w:hint="eastAsia" w:ascii="宋体" w:hAnsi="宋体" w:eastAsia="宋体" w:cs="宋体"/>
          <w:color w:val="000000"/>
          <w:sz w:val="24"/>
          <w:szCs w:val="24"/>
          <w:highlight w:val="none"/>
        </w:rPr>
      </w:r>
      <w:r/>
    </w:p>
    <w:p>
      <w:pPr>
        <w:pStyle w:val="1011"/>
        <w:ind w:firstLine="4749"/>
        <w:jc w:val="right"/>
        <w:spacing w:line="480" w:lineRule="auto"/>
        <w:rPr>
          <w:rFonts w:hint="eastAsia" w:ascii="宋体" w:hAnsi="宋体" w:eastAsia="宋体" w:cs="仿宋"/>
          <w:color w:val="000000"/>
          <w:sz w:val="24"/>
          <w:szCs w:val="24"/>
          <w:highlight w:val="none"/>
        </w:rPr>
      </w:pPr>
      <w:r>
        <w:rPr>
          <w:rFonts w:ascii="Calibri" w:hAnsi="Calibri" w:eastAsia="黑体" w:cs="Calibri"/>
          <w:b/>
          <w:bCs/>
          <w:color w:val="000000"/>
          <w:sz w:val="36"/>
          <w:szCs w:val="36"/>
          <w:highlight w:val="none"/>
        </w:rPr>
        <w:t xml:space="preserve"> </w:t>
      </w:r>
      <w:r>
        <w:rPr>
          <w:rFonts w:hint="eastAsia" w:ascii="宋体" w:hAnsi="宋体" w:eastAsia="宋体" w:cs="仿宋"/>
          <w:color w:val="000000"/>
          <w:sz w:val="24"/>
          <w:szCs w:val="24"/>
          <w:highlight w:val="none"/>
        </w:rPr>
        <w:t xml:space="preserve">投标人（加盖CA电子公章）：</w:t>
      </w:r>
      <w:r>
        <w:rPr>
          <w:rFonts w:hint="eastAsia" w:ascii="宋体" w:hAnsi="宋体" w:eastAsia="宋体" w:cs="仿宋"/>
          <w:color w:val="000000"/>
          <w:sz w:val="24"/>
          <w:szCs w:val="24"/>
          <w:highlight w:val="none"/>
        </w:rPr>
      </w:r>
      <w:r/>
    </w:p>
    <w:p>
      <w:pPr>
        <w:pStyle w:val="1011"/>
        <w:ind w:firstLine="480"/>
        <w:jc w:val="right"/>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lang w:val="en-US" w:eastAsia="zh-CN"/>
        </w:rPr>
        <w:t xml:space="preserve">   </w:t>
      </w:r>
      <w:r>
        <w:rPr>
          <w:rFonts w:hint="eastAsia" w:ascii="宋体" w:hAnsi="宋体" w:eastAsia="宋体" w:cs="仿宋"/>
          <w:color w:val="000000"/>
          <w:sz w:val="24"/>
          <w:szCs w:val="24"/>
          <w:highlight w:val="none"/>
        </w:rPr>
        <w:t xml:space="preserve">法定代表人或法定代表人授权代表（签字或盖章）：</w:t>
      </w:r>
      <w:r>
        <w:rPr>
          <w:rFonts w:hint="eastAsia" w:ascii="宋体" w:hAnsi="宋体" w:eastAsia="宋体" w:cs="仿宋"/>
          <w:color w:val="000000"/>
          <w:sz w:val="24"/>
          <w:szCs w:val="24"/>
          <w:highlight w:val="none"/>
        </w:rPr>
      </w:r>
      <w:r/>
    </w:p>
    <w:p>
      <w:pPr>
        <w:pStyle w:val="1011"/>
        <w:ind w:firstLine="480"/>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lang w:val="en-US" w:eastAsia="zh-CN"/>
        </w:rPr>
        <w:t xml:space="preserve">  </w:t>
      </w:r>
      <w:r>
        <w:rPr>
          <w:rFonts w:hint="eastAsia" w:ascii="宋体" w:hAnsi="宋体" w:eastAsia="宋体" w:cs="仿宋"/>
          <w:color w:val="000000"/>
          <w:sz w:val="24"/>
          <w:szCs w:val="24"/>
          <w:highlight w:val="none"/>
        </w:rPr>
        <w:t xml:space="preserve">  日期：</w:t>
      </w:r>
      <w:r>
        <w:rPr>
          <w:rFonts w:hint="eastAsia" w:ascii="宋体" w:hAnsi="宋体" w:eastAsia="宋体" w:cs="仿宋"/>
          <w:color w:val="000000"/>
          <w:sz w:val="24"/>
          <w:szCs w:val="24"/>
          <w:highlight w:val="none"/>
        </w:rPr>
      </w:r>
      <w:r/>
    </w:p>
    <w:p>
      <w:pPr>
        <w:pStyle w:val="1011"/>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1"/>
        <w:jc w:val="center"/>
        <w:widowControl/>
        <w:rPr>
          <w:rFonts w:hint="eastAsia" w:ascii="宋体" w:hAnsi="宋体" w:eastAsia="宋体" w:cs="宋体"/>
          <w:color w:val="000000"/>
          <w:sz w:val="24"/>
          <w:szCs w:val="24"/>
          <w:highlight w:val="none"/>
        </w:rPr>
      </w:pPr>
      <w:r>
        <w:rPr>
          <w:rFonts w:ascii="Calibri" w:hAnsi="Calibri" w:eastAsia="黑体" w:cs="Calibri"/>
          <w:b/>
          <w:bCs/>
          <w:color w:val="000000"/>
          <w:sz w:val="36"/>
          <w:szCs w:val="36"/>
          <w:highlight w:val="none"/>
        </w:rPr>
        <w:t xml:space="preserve"> </w:t>
      </w:r>
      <w:r>
        <w:rPr>
          <w:rFonts w:hint="eastAsia" w:ascii="宋体" w:hAnsi="宋体" w:eastAsia="宋体" w:cs="宋体"/>
          <w:color w:val="000000"/>
          <w:sz w:val="24"/>
          <w:szCs w:val="24"/>
          <w:highlight w:val="none"/>
        </w:rPr>
      </w:r>
      <w:r/>
    </w:p>
    <w:p>
      <w:pPr>
        <w:pStyle w:val="1011"/>
        <w:rPr>
          <w:rFonts w:hint="eastAsia" w:ascii="黑体" w:hAnsi="黑体" w:eastAsia="黑体" w:cs="宋体"/>
          <w:b/>
          <w:bCs/>
          <w:color w:val="000000"/>
          <w:sz w:val="32"/>
          <w:szCs w:val="32"/>
          <w:highlight w:val="none"/>
        </w:rPr>
      </w:pPr>
      <w:r>
        <w:rPr>
          <w:rFonts w:hint="eastAsia" w:ascii="黑体" w:hAnsi="黑体" w:eastAsia="黑体" w:cs="宋体"/>
          <w:b/>
          <w:bCs/>
          <w:color w:val="000000"/>
          <w:sz w:val="32"/>
          <w:szCs w:val="32"/>
          <w:highlight w:val="none"/>
        </w:rPr>
        <w:br w:type="page" w:clear="all"/>
      </w:r>
      <w:r>
        <w:rPr>
          <w:rFonts w:hint="eastAsia" w:ascii="黑体" w:hAnsi="黑体" w:eastAsia="黑体" w:cs="宋体"/>
          <w:b/>
          <w:bCs/>
          <w:color w:val="000000"/>
          <w:sz w:val="32"/>
          <w:szCs w:val="32"/>
          <w:highlight w:val="none"/>
        </w:rPr>
      </w:r>
      <w:r/>
    </w:p>
    <w:p>
      <w:pPr>
        <w:pStyle w:val="1014"/>
        <w:jc w:val="center"/>
        <w:rPr>
          <w:rFonts w:ascii="宋体" w:hAnsi="宋体" w:eastAsia="宋体" w:cs="宋体"/>
          <w:color w:val="000000"/>
          <w:highlight w:val="none"/>
          <w:lang w:eastAsia="zh-CN"/>
        </w:rPr>
      </w:pPr>
      <w:r>
        <w:rPr>
          <w:rFonts w:hint="eastAsia" w:ascii="黑体" w:hAnsi="黑体" w:eastAsia="黑体" w:cs="宋体"/>
          <w:b/>
          <w:bCs/>
          <w:color w:val="000000"/>
          <w:sz w:val="32"/>
          <w:szCs w:val="32"/>
          <w:highlight w:val="none"/>
        </w:rPr>
        <w:t xml:space="preserve">商务要求响应及偏离表</w:t>
      </w:r>
      <w:r>
        <w:rPr>
          <w:rFonts w:ascii="宋体" w:hAnsi="宋体" w:eastAsia="宋体" w:cs="宋体"/>
          <w:color w:val="000000"/>
          <w:highlight w:val="none"/>
          <w:lang w:eastAsia="zh-CN"/>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5"/>
        <w:gridCol w:w="3531"/>
        <w:gridCol w:w="1317"/>
        <w:gridCol w:w="3326"/>
      </w:tblGrid>
      <w:tr>
        <w:trPr>
          <w:trHeight w:val="567"/>
        </w:trPr>
        <w:tc>
          <w:tcPr>
            <w:tcMar>
              <w:left w:w="108" w:type="dxa"/>
              <w:top w:w="0" w:type="dxa"/>
              <w:right w:w="108" w:type="dxa"/>
              <w:bottom w:w="0" w:type="dxa"/>
            </w:tcMar>
            <w:tcW w:w="998" w:type="dxa"/>
            <w:vAlign w:val="center"/>
            <w:textDirection w:val="lrTb"/>
            <w:noWrap/>
          </w:tcPr>
          <w:p>
            <w:pPr>
              <w:pStyle w:val="1011"/>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rPr>
                <w:color w:val="000000"/>
                <w:highlight w:val="none"/>
              </w:rPr>
            </w:r>
            <w:r/>
          </w:p>
        </w:tc>
        <w:tc>
          <w:tcPr>
            <w:tcMar>
              <w:left w:w="108" w:type="dxa"/>
              <w:top w:w="0" w:type="dxa"/>
              <w:right w:w="108" w:type="dxa"/>
              <w:bottom w:w="0" w:type="dxa"/>
            </w:tcMar>
            <w:tcW w:w="3545" w:type="dxa"/>
            <w:vAlign w:val="center"/>
            <w:textDirection w:val="lrTb"/>
            <w:noWrap/>
          </w:tcPr>
          <w:p>
            <w:pPr>
              <w:pStyle w:val="1011"/>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招标文件的商务条款</w:t>
            </w:r>
            <w:r>
              <w:rPr>
                <w:color w:val="000000"/>
                <w:highlight w:val="none"/>
              </w:rPr>
            </w:r>
            <w:r/>
          </w:p>
        </w:tc>
        <w:tc>
          <w:tcPr>
            <w:tcMar>
              <w:left w:w="108" w:type="dxa"/>
              <w:top w:w="0" w:type="dxa"/>
              <w:right w:w="108" w:type="dxa"/>
              <w:bottom w:w="0" w:type="dxa"/>
            </w:tcMar>
            <w:tcW w:w="1322" w:type="dxa"/>
            <w:vAlign w:val="center"/>
            <w:textDirection w:val="lrTb"/>
            <w:noWrap/>
          </w:tcPr>
          <w:p>
            <w:pPr>
              <w:pStyle w:val="1011"/>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有无偏离</w:t>
            </w:r>
            <w:r>
              <w:rPr>
                <w:color w:val="000000"/>
                <w:highlight w:val="none"/>
              </w:rPr>
            </w:r>
            <w:r/>
          </w:p>
        </w:tc>
        <w:tc>
          <w:tcPr>
            <w:tcMar>
              <w:left w:w="108" w:type="dxa"/>
              <w:top w:w="0" w:type="dxa"/>
              <w:right w:w="108" w:type="dxa"/>
              <w:bottom w:w="0" w:type="dxa"/>
            </w:tcMar>
            <w:tcW w:w="3339" w:type="dxa"/>
            <w:vAlign w:val="center"/>
            <w:textDirection w:val="lrTb"/>
            <w:noWrap/>
          </w:tcPr>
          <w:p>
            <w:pPr>
              <w:pStyle w:val="1011"/>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偏离内容及原因</w:t>
            </w:r>
            <w:r>
              <w:rPr>
                <w:color w:val="000000"/>
                <w:highlight w:val="none"/>
              </w:rPr>
            </w:r>
            <w:r/>
          </w:p>
        </w:tc>
      </w:tr>
      <w:tr>
        <w:trPr>
          <w:trHeight w:val="567"/>
        </w:trPr>
        <w:tc>
          <w:tcPr>
            <w:tcMar>
              <w:left w:w="108" w:type="dxa"/>
              <w:top w:w="0" w:type="dxa"/>
              <w:right w:w="108" w:type="dxa"/>
              <w:bottom w:w="0" w:type="dxa"/>
            </w:tcMar>
            <w:tcW w:w="998" w:type="dxa"/>
            <w:vAlign w:val="center"/>
            <w:textDirection w:val="lrTb"/>
            <w:noWrap/>
          </w:tcPr>
          <w:p>
            <w:pPr>
              <w:pStyle w:val="1011"/>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color w:val="000000"/>
                <w:highlight w:val="none"/>
              </w:rPr>
            </w:r>
            <w:r/>
          </w:p>
        </w:tc>
        <w:tc>
          <w:tcPr>
            <w:tcMar>
              <w:left w:w="108" w:type="dxa"/>
              <w:top w:w="0" w:type="dxa"/>
              <w:right w:w="108" w:type="dxa"/>
              <w:bottom w:w="0" w:type="dxa"/>
            </w:tcMar>
            <w:tcW w:w="3545" w:type="dxa"/>
            <w:vAlign w:val="center"/>
            <w:textDirection w:val="lrTb"/>
            <w:noWrap/>
          </w:tcPr>
          <w:p>
            <w:pPr>
              <w:pStyle w:val="1011"/>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322" w:type="dxa"/>
            <w:vAlign w:val="center"/>
            <w:textDirection w:val="lrTb"/>
            <w:noWrap/>
          </w:tcPr>
          <w:p>
            <w:pPr>
              <w:pStyle w:val="1011"/>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3339" w:type="dxa"/>
            <w:vAlign w:val="center"/>
            <w:textDirection w:val="lrTb"/>
            <w:noWrap/>
          </w:tcPr>
          <w:p>
            <w:pPr>
              <w:pStyle w:val="1011"/>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r>
        <w:trPr>
          <w:trHeight w:val="567"/>
        </w:trPr>
        <w:tc>
          <w:tcPr>
            <w:tcMar>
              <w:left w:w="108" w:type="dxa"/>
              <w:top w:w="0" w:type="dxa"/>
              <w:right w:w="108" w:type="dxa"/>
              <w:bottom w:w="0" w:type="dxa"/>
            </w:tcMar>
            <w:tcW w:w="998" w:type="dxa"/>
            <w:vAlign w:val="center"/>
            <w:textDirection w:val="lrTb"/>
            <w:noWrap/>
          </w:tcPr>
          <w:p>
            <w:pPr>
              <w:pStyle w:val="1011"/>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color w:val="000000"/>
                <w:highlight w:val="none"/>
              </w:rPr>
            </w:r>
            <w:r/>
          </w:p>
        </w:tc>
        <w:tc>
          <w:tcPr>
            <w:tcMar>
              <w:left w:w="108" w:type="dxa"/>
              <w:top w:w="0" w:type="dxa"/>
              <w:right w:w="108" w:type="dxa"/>
              <w:bottom w:w="0" w:type="dxa"/>
            </w:tcMar>
            <w:tcW w:w="3545" w:type="dxa"/>
            <w:vAlign w:val="center"/>
            <w:textDirection w:val="lrTb"/>
            <w:noWrap/>
          </w:tcPr>
          <w:p>
            <w:pPr>
              <w:pStyle w:val="1011"/>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322" w:type="dxa"/>
            <w:vAlign w:val="center"/>
            <w:textDirection w:val="lrTb"/>
            <w:noWrap/>
          </w:tcPr>
          <w:p>
            <w:pPr>
              <w:pStyle w:val="1011"/>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3339" w:type="dxa"/>
            <w:vAlign w:val="center"/>
            <w:textDirection w:val="lrTb"/>
            <w:noWrap/>
          </w:tcPr>
          <w:p>
            <w:pPr>
              <w:pStyle w:val="1011"/>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r>
        <w:trPr>
          <w:trHeight w:val="567"/>
        </w:trPr>
        <w:tc>
          <w:tcPr>
            <w:tcMar>
              <w:left w:w="108" w:type="dxa"/>
              <w:top w:w="0" w:type="dxa"/>
              <w:right w:w="108" w:type="dxa"/>
              <w:bottom w:w="0" w:type="dxa"/>
            </w:tcMar>
            <w:tcW w:w="998" w:type="dxa"/>
            <w:vAlign w:val="center"/>
            <w:textDirection w:val="lrTb"/>
            <w:noWrap/>
          </w:tcPr>
          <w:p>
            <w:pPr>
              <w:pStyle w:val="1011"/>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rPr>
                <w:color w:val="000000"/>
                <w:highlight w:val="none"/>
              </w:rPr>
            </w:r>
            <w:r/>
          </w:p>
        </w:tc>
        <w:tc>
          <w:tcPr>
            <w:tcMar>
              <w:left w:w="108" w:type="dxa"/>
              <w:top w:w="0" w:type="dxa"/>
              <w:right w:w="108" w:type="dxa"/>
              <w:bottom w:w="0" w:type="dxa"/>
            </w:tcMar>
            <w:tcW w:w="3545" w:type="dxa"/>
            <w:vAlign w:val="center"/>
            <w:textDirection w:val="lrTb"/>
            <w:noWrap/>
          </w:tcPr>
          <w:p>
            <w:pPr>
              <w:pStyle w:val="1011"/>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322" w:type="dxa"/>
            <w:vAlign w:val="center"/>
            <w:textDirection w:val="lrTb"/>
            <w:noWrap/>
          </w:tcPr>
          <w:p>
            <w:pPr>
              <w:pStyle w:val="1011"/>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3339" w:type="dxa"/>
            <w:vAlign w:val="center"/>
            <w:textDirection w:val="lrTb"/>
            <w:noWrap/>
          </w:tcPr>
          <w:p>
            <w:pPr>
              <w:pStyle w:val="1011"/>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r>
        <w:trPr>
          <w:trHeight w:val="567"/>
        </w:trPr>
        <w:tc>
          <w:tcPr>
            <w:tcMar>
              <w:left w:w="108" w:type="dxa"/>
              <w:top w:w="0" w:type="dxa"/>
              <w:right w:w="108" w:type="dxa"/>
              <w:bottom w:w="0" w:type="dxa"/>
            </w:tcMar>
            <w:tcW w:w="998" w:type="dxa"/>
            <w:vAlign w:val="center"/>
            <w:textDirection w:val="lrTb"/>
            <w:noWrap/>
          </w:tcPr>
          <w:p>
            <w:pPr>
              <w:pStyle w:val="1011"/>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rPr>
                <w:color w:val="000000"/>
                <w:highlight w:val="none"/>
              </w:rPr>
            </w:r>
            <w:r/>
          </w:p>
        </w:tc>
        <w:tc>
          <w:tcPr>
            <w:tcMar>
              <w:left w:w="108" w:type="dxa"/>
              <w:top w:w="0" w:type="dxa"/>
              <w:right w:w="108" w:type="dxa"/>
              <w:bottom w:w="0" w:type="dxa"/>
            </w:tcMar>
            <w:tcW w:w="3545" w:type="dxa"/>
            <w:vAlign w:val="center"/>
            <w:textDirection w:val="lrTb"/>
            <w:noWrap/>
          </w:tcPr>
          <w:p>
            <w:pPr>
              <w:pStyle w:val="1011"/>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322" w:type="dxa"/>
            <w:vAlign w:val="center"/>
            <w:textDirection w:val="lrTb"/>
            <w:noWrap/>
          </w:tcPr>
          <w:p>
            <w:pPr>
              <w:pStyle w:val="1011"/>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3339" w:type="dxa"/>
            <w:vAlign w:val="center"/>
            <w:textDirection w:val="lrTb"/>
            <w:noWrap/>
          </w:tcPr>
          <w:p>
            <w:pPr>
              <w:pStyle w:val="1011"/>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r>
        <w:trPr>
          <w:trHeight w:val="567"/>
        </w:trPr>
        <w:tc>
          <w:tcPr>
            <w:tcMar>
              <w:left w:w="108" w:type="dxa"/>
              <w:top w:w="0" w:type="dxa"/>
              <w:right w:w="108" w:type="dxa"/>
              <w:bottom w:w="0" w:type="dxa"/>
            </w:tcMar>
            <w:tcW w:w="998" w:type="dxa"/>
            <w:vAlign w:val="center"/>
            <w:textDirection w:val="lrTb"/>
            <w:noWrap/>
          </w:tcPr>
          <w:p>
            <w:pPr>
              <w:pStyle w:val="1011"/>
              <w:jc w:val="center"/>
              <w:spacing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tc>
        <w:tc>
          <w:tcPr>
            <w:tcMar>
              <w:left w:w="108" w:type="dxa"/>
              <w:top w:w="0" w:type="dxa"/>
              <w:right w:w="108" w:type="dxa"/>
              <w:bottom w:w="0" w:type="dxa"/>
            </w:tcMar>
            <w:tcW w:w="3545" w:type="dxa"/>
            <w:vAlign w:val="center"/>
            <w:textDirection w:val="lrTb"/>
            <w:noWrap/>
          </w:tcPr>
          <w:p>
            <w:pPr>
              <w:pStyle w:val="1011"/>
              <w:jc w:val="center"/>
              <w:spacing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ascii="宋体" w:hAnsi="宋体" w:eastAsia="宋体" w:cs="宋体"/>
                <w:color w:val="000000"/>
                <w:sz w:val="24"/>
                <w:highlight w:val="none"/>
              </w:rPr>
            </w:r>
            <w:r/>
          </w:p>
        </w:tc>
        <w:tc>
          <w:tcPr>
            <w:tcMar>
              <w:left w:w="108" w:type="dxa"/>
              <w:top w:w="0" w:type="dxa"/>
              <w:right w:w="108" w:type="dxa"/>
              <w:bottom w:w="0" w:type="dxa"/>
            </w:tcMar>
            <w:tcW w:w="1322" w:type="dxa"/>
            <w:vAlign w:val="center"/>
            <w:textDirection w:val="lrTb"/>
            <w:noWrap/>
          </w:tcPr>
          <w:p>
            <w:pPr>
              <w:pStyle w:val="1011"/>
              <w:jc w:val="center"/>
              <w:spacing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tc>
        <w:tc>
          <w:tcPr>
            <w:tcMar>
              <w:left w:w="108" w:type="dxa"/>
              <w:top w:w="0" w:type="dxa"/>
              <w:right w:w="108" w:type="dxa"/>
              <w:bottom w:w="0" w:type="dxa"/>
            </w:tcMar>
            <w:tcW w:w="3339" w:type="dxa"/>
            <w:vAlign w:val="center"/>
            <w:textDirection w:val="lrTb"/>
            <w:noWrap/>
          </w:tcPr>
          <w:p>
            <w:pPr>
              <w:pStyle w:val="1011"/>
              <w:jc w:val="center"/>
              <w:spacing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tc>
      </w:tr>
    </w:tbl>
    <w:p>
      <w:pPr>
        <w:pStyle w:val="1011"/>
        <w:ind w:firstLine="480"/>
        <w:jc w:val="both"/>
        <w:spacing w:after="0" w:line="49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 行数不够，可自行添加。</w:t>
      </w:r>
      <w:r>
        <w:rPr>
          <w:color w:val="000000"/>
          <w:highlight w:val="none"/>
        </w:rPr>
      </w:r>
      <w:r/>
    </w:p>
    <w:p>
      <w:pPr>
        <w:pStyle w:val="1011"/>
        <w:ind w:firstLine="482"/>
        <w:jc w:val="both"/>
        <w:spacing w:after="0" w:line="49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w:t>
      </w:r>
      <w:r>
        <w:rPr>
          <w:color w:val="000000"/>
          <w:highlight w:val="none"/>
        </w:rPr>
      </w:r>
      <w:r/>
    </w:p>
    <w:p>
      <w:pPr>
        <w:pStyle w:val="1011"/>
        <w:ind w:firstLine="482"/>
        <w:spacing w:after="0" w:line="85" w:lineRule="atLeast"/>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若无偏离，在“有无偏离”栏中填写“无”；若有偏离在“有无偏离”栏中填写“有” 并在“偏离内容及原因”栏中作出说明。</w:t>
      </w:r>
      <w:r>
        <w:rPr>
          <w:color w:val="000000"/>
          <w:highlight w:val="none"/>
          <w:lang w:eastAsia="zh-CN"/>
        </w:rPr>
      </w:r>
      <w:r/>
    </w:p>
    <w:p>
      <w:pPr>
        <w:pStyle w:val="1011"/>
        <w:ind w:firstLine="3153"/>
        <w:jc w:val="right"/>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投标人（加盖CA电子公章）：</w:t>
      </w:r>
      <w:r>
        <w:rPr>
          <w:rFonts w:hint="eastAsia" w:ascii="宋体" w:hAnsi="宋体" w:eastAsia="宋体" w:cs="仿宋"/>
          <w:color w:val="000000"/>
          <w:sz w:val="24"/>
          <w:szCs w:val="24"/>
          <w:highlight w:val="none"/>
        </w:rPr>
      </w:r>
      <w:r/>
    </w:p>
    <w:p>
      <w:pPr>
        <w:pStyle w:val="1011"/>
        <w:ind w:firstLine="480"/>
        <w:jc w:val="right"/>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lang w:val="en-US" w:eastAsia="zh-CN"/>
        </w:rPr>
        <w:t xml:space="preserve">   </w:t>
      </w:r>
      <w:r>
        <w:rPr>
          <w:rFonts w:hint="eastAsia" w:ascii="宋体" w:hAnsi="宋体" w:eastAsia="宋体" w:cs="仿宋"/>
          <w:color w:val="000000"/>
          <w:sz w:val="24"/>
          <w:szCs w:val="24"/>
          <w:highlight w:val="none"/>
        </w:rPr>
        <w:t xml:space="preserve">法定代表人或法定代表人授权代表（签字或盖章）：</w:t>
      </w:r>
      <w:r>
        <w:rPr>
          <w:rFonts w:hint="eastAsia" w:ascii="宋体" w:hAnsi="宋体" w:eastAsia="宋体" w:cs="仿宋"/>
          <w:color w:val="000000"/>
          <w:sz w:val="24"/>
          <w:szCs w:val="24"/>
          <w:highlight w:val="none"/>
        </w:rPr>
      </w:r>
      <w:r/>
    </w:p>
    <w:p>
      <w:pPr>
        <w:pStyle w:val="1011"/>
        <w:ind w:firstLine="480"/>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lang w:val="en-US" w:eastAsia="zh-CN"/>
        </w:rPr>
        <w:t xml:space="preserve">  </w:t>
      </w:r>
      <w:r>
        <w:rPr>
          <w:rFonts w:hint="eastAsia" w:ascii="宋体" w:hAnsi="宋体" w:eastAsia="宋体" w:cs="仿宋"/>
          <w:color w:val="000000"/>
          <w:sz w:val="24"/>
          <w:szCs w:val="24"/>
          <w:highlight w:val="none"/>
        </w:rPr>
        <w:t xml:space="preserve">  日期：</w:t>
      </w:r>
      <w:r>
        <w:rPr>
          <w:rFonts w:hint="eastAsia" w:ascii="宋体" w:hAnsi="宋体" w:eastAsia="宋体" w:cs="仿宋"/>
          <w:color w:val="000000"/>
          <w:sz w:val="24"/>
          <w:szCs w:val="24"/>
          <w:highlight w:val="none"/>
        </w:rPr>
      </w:r>
      <w:r/>
    </w:p>
    <w:p>
      <w:pPr>
        <w:pStyle w:val="1011"/>
        <w:jc w:val="center"/>
        <w:widowControl/>
        <w:rPr>
          <w:rFonts w:hint="eastAsia" w:ascii="宋体" w:hAnsi="宋体" w:eastAsia="宋体" w:cs="宋体"/>
          <w:color w:val="000000"/>
          <w:sz w:val="24"/>
          <w:szCs w:val="24"/>
          <w:highlight w:val="none"/>
        </w:rPr>
      </w:pPr>
      <w:r>
        <w:rPr>
          <w:rFonts w:ascii="Calibri" w:hAnsi="Calibri" w:eastAsia="黑体" w:cs="Calibri"/>
          <w:b/>
          <w:bCs/>
          <w:color w:val="000000"/>
          <w:sz w:val="32"/>
          <w:szCs w:val="32"/>
          <w:highlight w:val="none"/>
        </w:rPr>
        <w:t xml:space="preserve"> </w:t>
      </w:r>
      <w:r>
        <w:rPr>
          <w:rFonts w:hint="eastAsia" w:ascii="宋体" w:hAnsi="宋体" w:eastAsia="宋体" w:cs="宋体"/>
          <w:color w:val="000000"/>
          <w:sz w:val="24"/>
          <w:szCs w:val="24"/>
          <w:highlight w:val="none"/>
        </w:rPr>
      </w:r>
      <w:r/>
    </w:p>
    <w:p>
      <w:pPr>
        <w:pStyle w:val="1011"/>
        <w:widowControl/>
        <w:rPr>
          <w:rFonts w:hint="eastAsia" w:ascii="宋体" w:hAnsi="宋体" w:eastAsia="宋体" w:cs="宋体"/>
          <w:color w:val="000000"/>
          <w:sz w:val="24"/>
          <w:szCs w:val="24"/>
          <w:highlight w:val="none"/>
        </w:rPr>
      </w:pPr>
      <w:r>
        <w:rPr>
          <w:rFonts w:eastAsia="宋体"/>
          <w:color w:val="000000"/>
          <w:sz w:val="22"/>
          <w:szCs w:val="22"/>
          <w:highlight w:val="none"/>
        </w:rPr>
        <w:t xml:space="preserve"> </w:t>
      </w:r>
      <w:r>
        <w:rPr>
          <w:rFonts w:hint="eastAsia" w:ascii="宋体" w:hAnsi="宋体" w:eastAsia="宋体" w:cs="宋体"/>
          <w:color w:val="000000"/>
          <w:sz w:val="24"/>
          <w:szCs w:val="24"/>
          <w:highlight w:val="none"/>
        </w:rPr>
      </w:r>
      <w:r/>
    </w:p>
    <w:p>
      <w:pPr>
        <w:pStyle w:val="1011"/>
        <w:jc w:val="left"/>
        <w:widowControl/>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11"/>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011"/>
        <w:ind w:firstLine="490"/>
        <w:jc w:val="center"/>
        <w:rPr>
          <w:rFonts w:hint="eastAsia" w:ascii="宋体" w:hAnsi="宋体" w:eastAsia="宋体" w:cs="仿宋"/>
          <w:b/>
          <w:color w:val="000000"/>
          <w:spacing w:val="20"/>
          <w:sz w:val="32"/>
          <w:szCs w:val="32"/>
          <w:highlight w:val="none"/>
        </w:rPr>
        <w:outlineLvl w:val="0"/>
      </w:pPr>
      <w:r>
        <w:rPr>
          <w:rFonts w:hint="eastAsia" w:ascii="宋体" w:hAnsi="宋体" w:eastAsia="宋体" w:cs="仿宋"/>
          <w:b/>
          <w:color w:val="000000"/>
          <w:spacing w:val="20"/>
          <w:sz w:val="32"/>
          <w:szCs w:val="32"/>
          <w:highlight w:val="none"/>
        </w:rPr>
      </w:r>
      <w:r/>
    </w:p>
    <w:p>
      <w:pPr>
        <w:pStyle w:val="1011"/>
        <w:ind w:firstLine="490"/>
        <w:jc w:val="center"/>
        <w:rPr>
          <w:rFonts w:hint="eastAsia" w:ascii="宋体" w:hAnsi="宋体" w:eastAsia="宋体" w:cs="仿宋"/>
          <w:b/>
          <w:color w:val="000000"/>
          <w:spacing w:val="20"/>
          <w:sz w:val="32"/>
          <w:szCs w:val="32"/>
          <w:highlight w:val="none"/>
        </w:rPr>
        <w:outlineLvl w:val="0"/>
      </w:pPr>
      <w:r>
        <w:rPr>
          <w:rFonts w:hint="eastAsia" w:ascii="宋体" w:hAnsi="宋体" w:eastAsia="宋体" w:cs="仿宋"/>
          <w:b/>
          <w:color w:val="000000"/>
          <w:spacing w:val="20"/>
          <w:sz w:val="32"/>
          <w:szCs w:val="32"/>
          <w:highlight w:val="none"/>
        </w:rPr>
      </w:r>
      <w:r/>
    </w:p>
    <w:p>
      <w:pPr>
        <w:pStyle w:val="1011"/>
        <w:ind w:firstLine="490"/>
        <w:jc w:val="center"/>
        <w:rPr>
          <w:rFonts w:hint="eastAsia" w:ascii="宋体" w:hAnsi="宋体" w:eastAsia="宋体" w:cs="仿宋"/>
          <w:b/>
          <w:color w:val="000000"/>
          <w:spacing w:val="20"/>
          <w:sz w:val="32"/>
          <w:szCs w:val="32"/>
          <w:highlight w:val="none"/>
        </w:rPr>
        <w:outlineLvl w:val="0"/>
      </w:pPr>
      <w:r>
        <w:rPr>
          <w:rFonts w:hint="eastAsia" w:ascii="宋体" w:hAnsi="宋体" w:eastAsia="宋体" w:cs="仿宋"/>
          <w:b/>
          <w:color w:val="000000"/>
          <w:spacing w:val="20"/>
          <w:sz w:val="32"/>
          <w:szCs w:val="32"/>
          <w:highlight w:val="none"/>
        </w:rPr>
      </w:r>
      <w:r/>
    </w:p>
    <w:p>
      <w:pPr>
        <w:pStyle w:val="1011"/>
        <w:ind w:firstLine="490"/>
        <w:jc w:val="center"/>
        <w:rPr>
          <w:rFonts w:hint="eastAsia" w:ascii="宋体" w:hAnsi="宋体" w:eastAsia="宋体" w:cs="仿宋"/>
          <w:b/>
          <w:color w:val="000000"/>
          <w:spacing w:val="20"/>
          <w:sz w:val="32"/>
          <w:szCs w:val="32"/>
          <w:highlight w:val="none"/>
        </w:rPr>
        <w:outlineLvl w:val="0"/>
      </w:pPr>
      <w:r>
        <w:rPr>
          <w:rFonts w:hint="eastAsia" w:ascii="宋体" w:hAnsi="宋体" w:eastAsia="宋体" w:cs="仿宋"/>
          <w:b/>
          <w:color w:val="000000"/>
          <w:spacing w:val="20"/>
          <w:sz w:val="32"/>
          <w:szCs w:val="32"/>
          <w:highlight w:val="none"/>
        </w:rPr>
      </w:r>
      <w:r/>
    </w:p>
    <w:p>
      <w:pPr>
        <w:pStyle w:val="1011"/>
        <w:ind w:firstLine="490"/>
        <w:jc w:val="center"/>
        <w:rPr>
          <w:rFonts w:hint="eastAsia" w:ascii="宋体" w:hAnsi="宋体" w:eastAsia="宋体" w:cs="仿宋"/>
          <w:b/>
          <w:color w:val="000000"/>
          <w:spacing w:val="20"/>
          <w:sz w:val="32"/>
          <w:szCs w:val="32"/>
          <w:highlight w:val="none"/>
        </w:rPr>
        <w:outlineLvl w:val="0"/>
      </w:pPr>
      <w:r>
        <w:rPr>
          <w:rFonts w:hint="eastAsia" w:ascii="宋体" w:hAnsi="宋体" w:eastAsia="宋体" w:cs="仿宋"/>
          <w:b/>
          <w:color w:val="000000"/>
          <w:spacing w:val="20"/>
          <w:sz w:val="32"/>
          <w:szCs w:val="32"/>
          <w:highlight w:val="none"/>
        </w:rPr>
      </w:r>
      <w:r/>
    </w:p>
    <w:p>
      <w:pPr>
        <w:pStyle w:val="1011"/>
        <w:ind w:firstLine="490"/>
        <w:jc w:val="center"/>
        <w:rPr>
          <w:rFonts w:hint="eastAsia" w:ascii="宋体" w:hAnsi="宋体" w:eastAsia="宋体" w:cs="仿宋"/>
          <w:b/>
          <w:color w:val="000000"/>
          <w:spacing w:val="20"/>
          <w:sz w:val="32"/>
          <w:szCs w:val="32"/>
          <w:highlight w:val="none"/>
        </w:rPr>
        <w:outlineLvl w:val="0"/>
      </w:pPr>
      <w:r>
        <w:rPr>
          <w:rFonts w:hint="eastAsia" w:ascii="宋体" w:hAnsi="宋体" w:eastAsia="宋体" w:cs="仿宋"/>
          <w:b/>
          <w:color w:val="000000"/>
          <w:spacing w:val="20"/>
          <w:sz w:val="32"/>
          <w:szCs w:val="32"/>
          <w:highlight w:val="none"/>
        </w:rPr>
      </w:r>
      <w:r/>
    </w:p>
    <w:p>
      <w:pPr>
        <w:pStyle w:val="1011"/>
        <w:ind w:firstLine="490"/>
        <w:jc w:val="center"/>
        <w:rPr>
          <w:rFonts w:hint="eastAsia" w:ascii="宋体" w:hAnsi="宋体" w:eastAsia="宋体" w:cs="仿宋"/>
          <w:b/>
          <w:color w:val="000000"/>
          <w:spacing w:val="20"/>
          <w:sz w:val="32"/>
          <w:szCs w:val="32"/>
          <w:highlight w:val="none"/>
        </w:rPr>
        <w:outlineLvl w:val="0"/>
      </w:pPr>
      <w:r>
        <w:rPr>
          <w:rFonts w:hint="eastAsia" w:ascii="宋体" w:hAnsi="宋体" w:eastAsia="宋体" w:cs="仿宋"/>
          <w:b/>
          <w:color w:val="000000"/>
          <w:spacing w:val="20"/>
          <w:sz w:val="32"/>
          <w:szCs w:val="32"/>
          <w:highlight w:val="none"/>
        </w:rPr>
      </w:r>
      <w:r/>
    </w:p>
    <w:p>
      <w:pPr>
        <w:pStyle w:val="1011"/>
        <w:ind w:firstLine="490"/>
        <w:jc w:val="center"/>
        <w:rPr>
          <w:rFonts w:hint="eastAsia" w:ascii="宋体" w:hAnsi="宋体" w:eastAsia="宋体" w:cs="仿宋"/>
          <w:b/>
          <w:color w:val="000000"/>
          <w:spacing w:val="20"/>
          <w:sz w:val="32"/>
          <w:szCs w:val="32"/>
          <w:highlight w:val="none"/>
        </w:rPr>
        <w:outlineLvl w:val="0"/>
      </w:pPr>
      <w:r>
        <w:rPr>
          <w:rFonts w:hint="eastAsia" w:ascii="宋体" w:hAnsi="宋体" w:eastAsia="宋体" w:cs="仿宋"/>
          <w:b/>
          <w:color w:val="000000"/>
          <w:spacing w:val="20"/>
          <w:sz w:val="32"/>
          <w:szCs w:val="32"/>
          <w:highlight w:val="none"/>
        </w:rPr>
      </w:r>
      <w:r/>
    </w:p>
    <w:p>
      <w:pPr>
        <w:pStyle w:val="1011"/>
        <w:ind w:firstLine="490"/>
        <w:jc w:val="center"/>
        <w:rPr>
          <w:rFonts w:hint="eastAsia" w:ascii="宋体" w:hAnsi="宋体" w:eastAsia="宋体" w:cs="仿宋"/>
          <w:b/>
          <w:color w:val="000000"/>
          <w:spacing w:val="20"/>
          <w:sz w:val="32"/>
          <w:szCs w:val="32"/>
          <w:highlight w:val="none"/>
        </w:rPr>
        <w:outlineLvl w:val="0"/>
      </w:pPr>
      <w:r>
        <w:rPr>
          <w:rFonts w:hint="eastAsia" w:ascii="宋体" w:hAnsi="宋体" w:eastAsia="宋体" w:cs="仿宋"/>
          <w:b/>
          <w:color w:val="000000"/>
          <w:spacing w:val="20"/>
          <w:sz w:val="32"/>
          <w:szCs w:val="32"/>
          <w:highlight w:val="none"/>
        </w:rPr>
      </w:r>
      <w:r/>
    </w:p>
    <w:p>
      <w:pPr>
        <w:pStyle w:val="1011"/>
        <w:ind w:firstLine="490"/>
        <w:jc w:val="center"/>
        <w:rPr>
          <w:rFonts w:hint="eastAsia" w:ascii="宋体" w:hAnsi="宋体" w:eastAsia="宋体" w:cs="仿宋"/>
          <w:b/>
          <w:color w:val="000000"/>
          <w:spacing w:val="20"/>
          <w:sz w:val="32"/>
          <w:szCs w:val="32"/>
          <w:highlight w:val="none"/>
        </w:rPr>
        <w:outlineLvl w:val="0"/>
      </w:pPr>
      <w:r>
        <w:rPr>
          <w:rFonts w:hint="eastAsia" w:ascii="宋体" w:hAnsi="宋体" w:eastAsia="宋体" w:cs="仿宋"/>
          <w:b/>
          <w:color w:val="000000"/>
          <w:spacing w:val="20"/>
          <w:sz w:val="32"/>
          <w:szCs w:val="32"/>
          <w:highlight w:val="none"/>
        </w:rPr>
      </w:r>
      <w:r/>
    </w:p>
    <w:p>
      <w:pPr>
        <w:pStyle w:val="1011"/>
        <w:jc w:val="left"/>
        <w:widowControl/>
        <w:rPr>
          <w:rFonts w:hint="eastAsia" w:ascii="黑体" w:hAnsi="黑体" w:eastAsia="黑体" w:cs="宋体"/>
          <w:b/>
          <w:bCs/>
          <w:color w:val="000000"/>
          <w:sz w:val="32"/>
          <w:szCs w:val="32"/>
          <w:highlight w:val="none"/>
        </w:rPr>
      </w:pPr>
      <w:r>
        <w:rPr>
          <w:rFonts w:hint="eastAsia" w:ascii="黑体" w:hAnsi="黑体" w:eastAsia="黑体" w:cs="宋体"/>
          <w:b/>
          <w:bCs/>
          <w:color w:val="000000"/>
          <w:sz w:val="32"/>
          <w:szCs w:val="32"/>
          <w:highlight w:val="none"/>
        </w:rPr>
        <w:br w:type="page" w:clear="all"/>
      </w:r>
      <w:r>
        <w:rPr>
          <w:rFonts w:hint="eastAsia" w:ascii="黑体" w:hAnsi="黑体" w:eastAsia="黑体" w:cs="宋体"/>
          <w:b/>
          <w:bCs/>
          <w:color w:val="000000"/>
          <w:sz w:val="32"/>
          <w:szCs w:val="32"/>
          <w:highlight w:val="none"/>
        </w:rPr>
      </w:r>
      <w:r/>
    </w:p>
    <w:p>
      <w:pPr>
        <w:pStyle w:val="1014"/>
        <w:jc w:val="center"/>
        <w:rPr>
          <w:rFonts w:hint="eastAsia" w:ascii="宋体" w:hAnsi="宋体" w:eastAsia="宋体" w:cs="宋体"/>
          <w:b/>
          <w:bCs/>
          <w:color w:val="000000"/>
          <w:sz w:val="32"/>
          <w:szCs w:val="32"/>
          <w:highlight w:val="none"/>
          <w:lang w:val="en-US" w:eastAsia="zh-CN"/>
        </w:rPr>
      </w:pPr>
      <w:r/>
      <w:bookmarkStart w:id="59" w:name="_Toc169184849"/>
      <w:r>
        <w:rPr>
          <w:rFonts w:hint="eastAsia" w:ascii="宋体" w:hAnsi="宋体" w:eastAsia="宋体" w:cs="宋体"/>
          <w:b/>
          <w:bCs/>
          <w:color w:val="000000"/>
          <w:sz w:val="32"/>
          <w:szCs w:val="32"/>
          <w:highlight w:val="none"/>
          <w:lang w:val="en-US" w:eastAsia="zh-CN"/>
        </w:rPr>
        <w:t xml:space="preserve">投入本项目人员配备一览表</w:t>
      </w:r>
      <w:r>
        <w:rPr>
          <w:rFonts w:hint="eastAsia" w:ascii="宋体" w:hAnsi="宋体" w:eastAsia="宋体" w:cs="宋体"/>
          <w:b/>
          <w:bCs/>
          <w:color w:val="000000"/>
          <w:sz w:val="32"/>
          <w:szCs w:val="32"/>
          <w:highlight w:val="none"/>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6"/>
        <w:gridCol w:w="1436"/>
        <w:gridCol w:w="2428"/>
        <w:gridCol w:w="1436"/>
        <w:gridCol w:w="2429"/>
      </w:tblGrid>
      <w:tr>
        <w:trPr>
          <w:trHeight w:val="567"/>
        </w:trPr>
        <w:tc>
          <w:tcPr>
            <w:tcW w:w="783"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rPr>
                <w:rFonts w:hint="eastAsia" w:ascii="宋体" w:hAnsi="宋体" w:eastAsia="宋体" w:cs="宋体"/>
                <w:bCs/>
                <w:color w:val="000000"/>
                <w:sz w:val="24"/>
                <w:szCs w:val="24"/>
              </w:rPr>
            </w:r>
            <w:r/>
          </w:p>
        </w:tc>
        <w:tc>
          <w:tcPr>
            <w:tcW w:w="783"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姓名</w:t>
            </w:r>
            <w:r>
              <w:rPr>
                <w:rFonts w:hint="eastAsia" w:ascii="宋体" w:hAnsi="宋体" w:eastAsia="宋体" w:cs="宋体"/>
                <w:bCs/>
                <w:color w:val="000000"/>
                <w:sz w:val="24"/>
                <w:szCs w:val="24"/>
              </w:rPr>
            </w:r>
            <w:r/>
          </w:p>
        </w:tc>
        <w:tc>
          <w:tcPr>
            <w:tcW w:w="1324" w:type="dxa"/>
            <w:vAlign w:val="center"/>
            <w:textDirection w:val="lrTb"/>
            <w:noWrap w:val="false"/>
          </w:tcPr>
          <w:p>
            <w:pPr>
              <w:pStyle w:val="1011"/>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单位名称</w:t>
            </w:r>
            <w:r>
              <w:rPr>
                <w:rFonts w:hint="eastAsia" w:ascii="宋体" w:hAnsi="宋体" w:eastAsia="宋体" w:cs="宋体"/>
                <w:bCs/>
                <w:color w:val="000000"/>
                <w:sz w:val="24"/>
                <w:szCs w:val="24"/>
                <w:lang w:val="en-US" w:eastAsia="zh-CN"/>
              </w:rPr>
            </w:r>
            <w:r/>
          </w:p>
        </w:tc>
        <w:tc>
          <w:tcPr>
            <w:tcW w:w="783"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职称</w:t>
            </w:r>
            <w:r>
              <w:rPr>
                <w:rFonts w:hint="eastAsia" w:ascii="宋体" w:hAnsi="宋体" w:eastAsia="宋体" w:cs="宋体"/>
                <w:bCs/>
                <w:color w:val="000000"/>
                <w:sz w:val="24"/>
                <w:szCs w:val="24"/>
              </w:rPr>
            </w:r>
            <w:r/>
          </w:p>
        </w:tc>
        <w:tc>
          <w:tcPr>
            <w:tcW w:w="1324"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职责分工</w:t>
            </w:r>
            <w:r>
              <w:rPr>
                <w:rFonts w:hint="eastAsia" w:ascii="宋体" w:hAnsi="宋体" w:eastAsia="宋体" w:cs="宋体"/>
                <w:bCs/>
                <w:color w:val="000000"/>
                <w:sz w:val="24"/>
                <w:szCs w:val="24"/>
              </w:rPr>
            </w:r>
            <w:r/>
          </w:p>
        </w:tc>
      </w:tr>
      <w:tr>
        <w:trPr>
          <w:trHeight w:val="567"/>
        </w:trPr>
        <w:tc>
          <w:tcPr>
            <w:tcW w:w="783" w:type="dxa"/>
            <w:vAlign w:val="center"/>
            <w:textDirection w:val="lrTb"/>
            <w:noWrap w:val="false"/>
          </w:tcPr>
          <w:p>
            <w:pPr>
              <w:pStyle w:val="101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83" w:type="dxa"/>
            <w:vAlign w:val="center"/>
            <w:textDirection w:val="lrTb"/>
            <w:noWrap w:val="false"/>
          </w:tcPr>
          <w:p>
            <w:pPr>
              <w:pStyle w:val="101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4" w:type="dxa"/>
            <w:vAlign w:val="center"/>
            <w:textDirection w:val="lrTb"/>
            <w:noWrap w:val="false"/>
          </w:tcPr>
          <w:p>
            <w:pPr>
              <w:pStyle w:val="101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83" w:type="dxa"/>
            <w:vAlign w:val="center"/>
            <w:textDirection w:val="lrTb"/>
            <w:noWrap w:val="false"/>
          </w:tcPr>
          <w:p>
            <w:pPr>
              <w:pStyle w:val="101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4" w:type="dxa"/>
            <w:vAlign w:val="center"/>
            <w:textDirection w:val="lrTb"/>
            <w:noWrap w:val="false"/>
          </w:tcPr>
          <w:p>
            <w:pPr>
              <w:pStyle w:val="101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783"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783"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324"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783"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324"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trHeight w:val="567"/>
        </w:trPr>
        <w:tc>
          <w:tcPr>
            <w:tcW w:w="783"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783"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324"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783"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324"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trHeight w:val="567"/>
        </w:trPr>
        <w:tc>
          <w:tcPr>
            <w:tcW w:w="783"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783"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324"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783"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324"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trHeight w:val="567"/>
        </w:trPr>
        <w:tc>
          <w:tcPr>
            <w:tcW w:w="783"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783"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324"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783"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324"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trHeight w:val="567"/>
        </w:trPr>
        <w:tc>
          <w:tcPr>
            <w:tcW w:w="783"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783"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324"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783"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324"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trHeight w:val="567"/>
        </w:trPr>
        <w:tc>
          <w:tcPr>
            <w:tcW w:w="783"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783"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324"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783"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324"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trHeight w:val="567"/>
        </w:trPr>
        <w:tc>
          <w:tcPr>
            <w:tcW w:w="783"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783"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324"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783"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324"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trHeight w:val="567"/>
        </w:trPr>
        <w:tc>
          <w:tcPr>
            <w:tcW w:w="783"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783"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324"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783"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324" w:type="dxa"/>
            <w:vAlign w:val="center"/>
            <w:textDirection w:val="lrTb"/>
            <w:noWrap w:val="false"/>
          </w:tcPr>
          <w:p>
            <w:pPr>
              <w:pStyle w:val="1011"/>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bl>
    <w:p>
      <w:pPr>
        <w:pStyle w:val="1011"/>
        <w:rPr>
          <w:rFonts w:hint="eastAsia"/>
          <w:color w:val="000000"/>
          <w:lang w:val="en-US" w:eastAsia="zh-CN"/>
        </w:rPr>
      </w:pPr>
      <w:r>
        <w:rPr>
          <w:rFonts w:hint="eastAsia"/>
          <w:color w:val="000000"/>
          <w:lang w:val="en-US" w:eastAsia="zh-CN"/>
        </w:rPr>
      </w:r>
      <w:r/>
    </w:p>
    <w:p>
      <w:pPr>
        <w:pStyle w:val="1011"/>
        <w:jc w:val="right"/>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投标人（加盖CA电子公章）：</w:t>
      </w:r>
      <w:r>
        <w:rPr>
          <w:rFonts w:hint="eastAsia" w:ascii="宋体" w:hAnsi="宋体" w:eastAsia="宋体" w:cs="仿宋"/>
          <w:color w:val="000000"/>
          <w:sz w:val="24"/>
          <w:szCs w:val="24"/>
          <w:highlight w:val="none"/>
        </w:rPr>
      </w:r>
      <w:r/>
    </w:p>
    <w:p>
      <w:pPr>
        <w:pStyle w:val="1011"/>
        <w:ind w:firstLine="480"/>
        <w:jc w:val="right"/>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lang w:val="en-US" w:eastAsia="zh-CN"/>
        </w:rPr>
        <w:t xml:space="preserve">   </w:t>
      </w:r>
      <w:r>
        <w:rPr>
          <w:rFonts w:hint="eastAsia" w:ascii="宋体" w:hAnsi="宋体" w:eastAsia="宋体" w:cs="仿宋"/>
          <w:color w:val="000000"/>
          <w:sz w:val="24"/>
          <w:szCs w:val="24"/>
          <w:highlight w:val="none"/>
        </w:rPr>
        <w:t xml:space="preserve">法定代表人或法定代表人授权代表（签字或盖章）：</w:t>
      </w:r>
      <w:r>
        <w:rPr>
          <w:rFonts w:hint="eastAsia" w:ascii="宋体" w:hAnsi="宋体" w:eastAsia="宋体" w:cs="仿宋"/>
          <w:color w:val="000000"/>
          <w:sz w:val="24"/>
          <w:szCs w:val="24"/>
          <w:highlight w:val="none"/>
        </w:rPr>
      </w:r>
      <w:r/>
    </w:p>
    <w:p>
      <w:pPr>
        <w:pStyle w:val="1011"/>
        <w:ind w:firstLine="480"/>
        <w:jc w:val="right"/>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lang w:val="en-US" w:eastAsia="zh-CN"/>
        </w:rPr>
        <w:t xml:space="preserve">  </w:t>
      </w:r>
      <w:r>
        <w:rPr>
          <w:rFonts w:hint="eastAsia" w:ascii="宋体" w:hAnsi="宋体" w:eastAsia="宋体" w:cs="仿宋"/>
          <w:color w:val="000000"/>
          <w:sz w:val="24"/>
          <w:szCs w:val="24"/>
          <w:highlight w:val="none"/>
        </w:rPr>
        <w:t xml:space="preserve">  日期：</w:t>
      </w:r>
      <w:r>
        <w:rPr>
          <w:rFonts w:hint="eastAsia" w:ascii="宋体" w:hAnsi="宋体" w:eastAsia="宋体" w:cs="仿宋"/>
          <w:color w:val="000000"/>
          <w:sz w:val="24"/>
          <w:szCs w:val="24"/>
          <w:highlight w:val="none"/>
        </w:rPr>
      </w:r>
      <w:r/>
    </w:p>
    <w:p>
      <w:pPr>
        <w:pStyle w:val="1011"/>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11"/>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r>
      <w:r/>
    </w:p>
    <w:p>
      <w:pPr>
        <w:pStyle w:val="1014"/>
        <w:jc w:val="center"/>
        <w:rPr>
          <w:rFonts w:ascii="宋体" w:hAnsi="宋体" w:eastAsia="宋体" w:cs="宋体"/>
          <w:b/>
          <w:bCs/>
          <w:color w:val="000000"/>
          <w:highlight w:val="none"/>
        </w:rPr>
      </w:pPr>
      <w:r>
        <w:rPr>
          <w:rFonts w:hint="eastAsia" w:ascii="宋体" w:hAnsi="宋体" w:eastAsia="宋体" w:cs="宋体"/>
          <w:b/>
          <w:bCs/>
          <w:color w:val="000000"/>
          <w:sz w:val="32"/>
          <w:szCs w:val="32"/>
          <w:highlight w:val="none"/>
        </w:rPr>
        <w:t xml:space="preserve">业绩一览表</w:t>
      </w:r>
      <w:bookmarkEnd w:id="59"/>
      <w:r>
        <w:rPr>
          <w:rFonts w:ascii="宋体" w:hAnsi="宋体" w:eastAsia="宋体" w:cs="宋体"/>
          <w:b/>
          <w:bCs/>
          <w:color w:val="000000"/>
          <w:highlight w:val="none"/>
        </w:rPr>
      </w:r>
      <w:r/>
    </w:p>
    <w:p>
      <w:pPr>
        <w:pStyle w:val="1011"/>
        <w:spacing w:line="360" w:lineRule="auto"/>
        <w:rPr>
          <w:rFonts w:ascii="宋体" w:hAnsi="宋体" w:eastAsia="宋体" w:cs="宋体"/>
          <w:color w:val="000000"/>
          <w:sz w:val="11"/>
          <w:highlight w:val="none"/>
        </w:rPr>
      </w:pPr>
      <w:r>
        <w:rPr>
          <w:rFonts w:ascii="宋体" w:hAnsi="宋体" w:eastAsia="宋体" w:cs="宋体"/>
          <w:color w:val="000000"/>
          <w:sz w:val="11"/>
          <w:highlight w:val="none"/>
        </w:rPr>
      </w:r>
      <w:r/>
    </w:p>
    <w:tbl>
      <w:tblPr>
        <w:tblW w:w="87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890"/>
        <w:gridCol w:w="1335"/>
        <w:gridCol w:w="1595"/>
        <w:gridCol w:w="2090"/>
        <w:gridCol w:w="1044"/>
      </w:tblGrid>
      <w:tr>
        <w:trPr>
          <w:trHeight w:val="405"/>
        </w:trPr>
        <w:tc>
          <w:tcPr>
            <w:tcW w:w="797"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ascii="宋体" w:hAnsi="宋体" w:eastAsia="宋体" w:cs="宋体"/>
                <w:color w:val="000000"/>
                <w:sz w:val="24"/>
                <w:highlight w:val="none"/>
              </w:rPr>
            </w:r>
            <w:r/>
          </w:p>
        </w:tc>
        <w:tc>
          <w:tcPr>
            <w:tcW w:w="1890"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ascii="宋体" w:hAnsi="宋体" w:eastAsia="宋体" w:cs="宋体"/>
                <w:color w:val="000000"/>
                <w:sz w:val="24"/>
                <w:highlight w:val="none"/>
              </w:rPr>
            </w:r>
            <w:r/>
          </w:p>
        </w:tc>
        <w:tc>
          <w:tcPr>
            <w:tcW w:w="1335"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合同金额</w:t>
            </w:r>
            <w:r>
              <w:rPr>
                <w:rFonts w:ascii="宋体" w:hAnsi="宋体" w:eastAsia="宋体" w:cs="宋体"/>
                <w:color w:val="000000"/>
                <w:sz w:val="24"/>
                <w:highlight w:val="none"/>
              </w:rPr>
            </w:r>
            <w:r/>
          </w:p>
        </w:tc>
        <w:tc>
          <w:tcPr>
            <w:tcW w:w="1595"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实施时间</w:t>
            </w:r>
            <w:r>
              <w:rPr>
                <w:rFonts w:ascii="宋体" w:hAnsi="宋体" w:eastAsia="宋体" w:cs="宋体"/>
                <w:color w:val="000000"/>
                <w:sz w:val="24"/>
                <w:highlight w:val="none"/>
              </w:rPr>
            </w:r>
            <w:r/>
          </w:p>
        </w:tc>
        <w:tc>
          <w:tcPr>
            <w:tcW w:w="2090"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业主联系人</w:t>
            </w:r>
            <w:r>
              <w:rPr>
                <w:rFonts w:ascii="宋体" w:hAnsi="宋体" w:eastAsia="宋体" w:cs="宋体"/>
                <w:color w:val="000000"/>
                <w:sz w:val="24"/>
                <w:highlight w:val="none"/>
              </w:rPr>
            </w:r>
            <w:r/>
          </w:p>
        </w:tc>
        <w:tc>
          <w:tcPr>
            <w:tcW w:w="1044"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备  注</w:t>
            </w:r>
            <w:r>
              <w:rPr>
                <w:rFonts w:ascii="宋体" w:hAnsi="宋体" w:eastAsia="宋体" w:cs="宋体"/>
                <w:color w:val="000000"/>
                <w:sz w:val="24"/>
                <w:highlight w:val="none"/>
              </w:rPr>
            </w:r>
            <w:r/>
          </w:p>
        </w:tc>
      </w:tr>
      <w:tr>
        <w:trPr>
          <w:trHeight w:val="567"/>
        </w:trPr>
        <w:tc>
          <w:tcPr>
            <w:tcW w:w="797"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r>
            <w:r/>
          </w:p>
        </w:tc>
        <w:tc>
          <w:tcPr>
            <w:tcW w:w="1890"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335"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595"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2090"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044"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567"/>
        </w:trPr>
        <w:tc>
          <w:tcPr>
            <w:tcW w:w="797"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r>
            <w:r/>
          </w:p>
        </w:tc>
        <w:tc>
          <w:tcPr>
            <w:tcW w:w="1890"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335"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595"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2090"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044"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567"/>
        </w:trPr>
        <w:tc>
          <w:tcPr>
            <w:tcW w:w="797"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ascii="宋体" w:hAnsi="宋体" w:eastAsia="宋体" w:cs="宋体"/>
                <w:color w:val="000000"/>
                <w:sz w:val="24"/>
                <w:highlight w:val="none"/>
              </w:rPr>
            </w:r>
            <w:r/>
          </w:p>
        </w:tc>
        <w:tc>
          <w:tcPr>
            <w:tcW w:w="1890"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335"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595"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2090"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044"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567"/>
        </w:trPr>
        <w:tc>
          <w:tcPr>
            <w:tcW w:w="797"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ascii="宋体" w:hAnsi="宋体" w:eastAsia="宋体" w:cs="宋体"/>
                <w:color w:val="000000"/>
                <w:sz w:val="24"/>
                <w:highlight w:val="none"/>
              </w:rPr>
            </w:r>
            <w:r/>
          </w:p>
        </w:tc>
        <w:tc>
          <w:tcPr>
            <w:tcW w:w="1890"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335"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595"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2090"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044"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567"/>
        </w:trPr>
        <w:tc>
          <w:tcPr>
            <w:tcW w:w="797"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ascii="宋体" w:hAnsi="宋体" w:eastAsia="宋体" w:cs="宋体"/>
                <w:color w:val="000000"/>
                <w:sz w:val="24"/>
                <w:highlight w:val="none"/>
              </w:rPr>
            </w:r>
            <w:r/>
          </w:p>
        </w:tc>
        <w:tc>
          <w:tcPr>
            <w:tcW w:w="1890"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335"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595"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2090"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044"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567"/>
        </w:trPr>
        <w:tc>
          <w:tcPr>
            <w:tcW w:w="797"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ascii="宋体" w:hAnsi="宋体" w:eastAsia="宋体" w:cs="宋体"/>
                <w:color w:val="000000"/>
                <w:sz w:val="24"/>
                <w:highlight w:val="none"/>
              </w:rPr>
            </w:r>
            <w:r/>
          </w:p>
        </w:tc>
        <w:tc>
          <w:tcPr>
            <w:tcW w:w="1890"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335"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595"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2090"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044"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567"/>
        </w:trPr>
        <w:tc>
          <w:tcPr>
            <w:tcW w:w="797"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ascii="宋体" w:hAnsi="宋体" w:eastAsia="宋体" w:cs="宋体"/>
                <w:color w:val="000000"/>
                <w:sz w:val="24"/>
                <w:highlight w:val="none"/>
              </w:rPr>
            </w:r>
            <w:r/>
          </w:p>
        </w:tc>
        <w:tc>
          <w:tcPr>
            <w:tcW w:w="1890"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335"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595"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2090"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044"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567"/>
        </w:trPr>
        <w:tc>
          <w:tcPr>
            <w:tcW w:w="797"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ascii="宋体" w:hAnsi="宋体" w:eastAsia="宋体" w:cs="宋体"/>
                <w:color w:val="000000"/>
                <w:sz w:val="24"/>
                <w:highlight w:val="none"/>
              </w:rPr>
            </w:r>
            <w:r/>
          </w:p>
        </w:tc>
        <w:tc>
          <w:tcPr>
            <w:tcW w:w="1890"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335"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595"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2090"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044"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567"/>
        </w:trPr>
        <w:tc>
          <w:tcPr>
            <w:tcW w:w="797"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ascii="宋体" w:hAnsi="宋体" w:eastAsia="宋体" w:cs="宋体"/>
                <w:color w:val="000000"/>
                <w:sz w:val="24"/>
                <w:highlight w:val="none"/>
              </w:rPr>
            </w:r>
            <w:r/>
          </w:p>
        </w:tc>
        <w:tc>
          <w:tcPr>
            <w:tcW w:w="1890"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335"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595"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2090"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044"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567"/>
        </w:trPr>
        <w:tc>
          <w:tcPr>
            <w:tcW w:w="797"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ascii="宋体" w:hAnsi="宋体" w:eastAsia="宋体" w:cs="宋体"/>
                <w:color w:val="000000"/>
                <w:sz w:val="24"/>
                <w:highlight w:val="none"/>
              </w:rPr>
            </w:r>
            <w:r/>
          </w:p>
        </w:tc>
        <w:tc>
          <w:tcPr>
            <w:tcW w:w="1890"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335"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595"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2090"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044"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567"/>
        </w:trPr>
        <w:tc>
          <w:tcPr>
            <w:tcW w:w="797"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tc>
        <w:tc>
          <w:tcPr>
            <w:tcW w:w="1890"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335"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595"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2090"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c>
          <w:tcPr>
            <w:tcW w:w="1044" w:type="dxa"/>
            <w:vAlign w:val="center"/>
            <w:textDirection w:val="lrTb"/>
            <w:noWrap/>
          </w:tcPr>
          <w:p>
            <w:pPr>
              <w:pStyle w:val="1011"/>
              <w:jc w:val="cente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tc>
      </w:tr>
    </w:tbl>
    <w:p>
      <w:pPr>
        <w:pStyle w:val="1011"/>
        <w:ind w:firstLine="480"/>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注：1、请供应商提供上述表格中业绩的合同（合同首页、签字盖章页不可缺）复印件。</w:t>
      </w:r>
      <w:r>
        <w:rPr>
          <w:rFonts w:ascii="宋体" w:hAnsi="宋体" w:eastAsia="宋体" w:cs="宋体"/>
          <w:color w:val="000000"/>
          <w:sz w:val="24"/>
          <w:highlight w:val="none"/>
          <w:lang w:eastAsia="zh-CN"/>
        </w:rPr>
      </w:r>
      <w:r/>
    </w:p>
    <w:p>
      <w:pPr>
        <w:pStyle w:val="1011"/>
        <w:ind w:firstLine="960"/>
        <w:spacing w:line="360" w:lineRule="auto"/>
        <w:tabs>
          <w:tab w:val="left" w:pos="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2、如有需要说明的事项，请在备注中列明。</w:t>
      </w:r>
      <w:r>
        <w:rPr>
          <w:rFonts w:ascii="宋体" w:hAnsi="宋体" w:eastAsia="宋体" w:cs="宋体"/>
          <w:color w:val="000000"/>
          <w:sz w:val="24"/>
          <w:highlight w:val="none"/>
          <w:lang w:eastAsia="zh-CN"/>
        </w:rPr>
      </w:r>
      <w:r/>
    </w:p>
    <w:p>
      <w:pPr>
        <w:pStyle w:val="1011"/>
        <w:ind w:firstLine="480"/>
        <w:spacing w:line="360" w:lineRule="auto"/>
        <w:tabs>
          <w:tab w:val="left" w:pos="0" w:leader="none"/>
        </w:tabs>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1011"/>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011"/>
        <w:ind w:firstLine="240"/>
        <w:spacing w:line="48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投标人（加盖CA电子公章）：</w:t>
      </w:r>
      <w:r>
        <w:rPr>
          <w:rFonts w:hint="eastAsia" w:ascii="宋体" w:hAnsi="宋体" w:eastAsia="宋体" w:cs="仿宋"/>
          <w:color w:val="000000"/>
          <w:sz w:val="24"/>
          <w:szCs w:val="24"/>
          <w:highlight w:val="none"/>
        </w:rPr>
      </w:r>
      <w:r/>
    </w:p>
    <w:p>
      <w:pPr>
        <w:pStyle w:val="1011"/>
        <w:ind w:firstLine="240"/>
        <w:spacing w:line="48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法定代表人或</w:t>
      </w:r>
      <w:r>
        <w:rPr>
          <w:rFonts w:hint="eastAsia" w:ascii="宋体" w:hAnsi="宋体" w:eastAsia="宋体" w:cs="宋体"/>
          <w:color w:val="000000"/>
          <w:sz w:val="24"/>
          <w:highlight w:val="none"/>
          <w:lang w:val="en-US" w:eastAsia="zh-CN"/>
        </w:rPr>
        <w:t xml:space="preserve">委托代理人</w:t>
      </w:r>
      <w:r>
        <w:rPr>
          <w:rFonts w:hint="eastAsia" w:ascii="宋体" w:hAnsi="宋体" w:eastAsia="宋体" w:cs="宋体"/>
          <w:color w:val="000000"/>
          <w:sz w:val="24"/>
          <w:highlight w:val="none"/>
          <w:lang w:eastAsia="zh-CN"/>
        </w:rPr>
        <w:t xml:space="preserve">（签字或盖章）：</w:t>
      </w:r>
      <w:r>
        <w:rPr>
          <w:rFonts w:ascii="宋体" w:hAnsi="宋体" w:eastAsia="宋体" w:cs="宋体"/>
          <w:color w:val="000000"/>
          <w:sz w:val="24"/>
          <w:highlight w:val="none"/>
          <w:lang w:eastAsia="zh-CN"/>
        </w:rPr>
      </w:r>
      <w:r/>
    </w:p>
    <w:p>
      <w:pPr>
        <w:pStyle w:val="1011"/>
        <w:ind w:firstLine="240"/>
        <w:spacing w:line="360" w:lineRule="auto"/>
        <w:tabs>
          <w:tab w:val="left" w:pos="0" w:leader="none"/>
        </w:tabs>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日期：</w:t>
      </w:r>
      <w:r>
        <w:rPr>
          <w:rFonts w:ascii="宋体" w:hAnsi="宋体" w:eastAsia="宋体" w:cs="宋体"/>
          <w:color w:val="000000"/>
          <w:sz w:val="24"/>
          <w:highlight w:val="none"/>
          <w:lang w:eastAsia="zh-CN"/>
        </w:rPr>
      </w:r>
      <w:r/>
    </w:p>
    <w:p>
      <w:pPr>
        <w:pStyle w:val="1066"/>
        <w:ind w:left="0" w:firstLine="0"/>
        <w:rPr>
          <w:rFonts w:hint="eastAsia" w:ascii="宋体" w:hAnsi="宋体" w:eastAsia="宋体"/>
          <w:color w:val="000000"/>
          <w:highlight w:val="none"/>
        </w:rPr>
      </w:pPr>
      <w:r>
        <w:rPr>
          <w:rFonts w:hint="eastAsia" w:ascii="宋体" w:hAnsi="宋体" w:eastAsia="宋体"/>
          <w:color w:val="000000"/>
          <w:highlight w:val="none"/>
        </w:rPr>
      </w:r>
      <w:r/>
    </w:p>
    <w:p>
      <w:pPr>
        <w:pStyle w:val="1066"/>
        <w:ind w:left="0" w:firstLine="0"/>
        <w:rPr>
          <w:rFonts w:hint="eastAsia" w:ascii="宋体" w:hAnsi="宋体" w:eastAsia="宋体"/>
          <w:color w:val="000000"/>
          <w:highlight w:val="none"/>
        </w:rPr>
      </w:pPr>
      <w:r>
        <w:rPr>
          <w:rFonts w:hint="eastAsia" w:ascii="宋体" w:hAnsi="宋体" w:eastAsia="宋体"/>
          <w:color w:val="000000"/>
          <w:highlight w:val="none"/>
        </w:rPr>
      </w:r>
      <w:r/>
    </w:p>
    <w:p>
      <w:pPr>
        <w:pStyle w:val="1280"/>
        <w:jc w:val="center"/>
        <w:rPr>
          <w:rFonts w:hint="eastAsia" w:ascii="黑体" w:hAnsi="黑体" w:eastAsia="黑体"/>
          <w:iCs/>
          <w:color w:val="000000"/>
          <w:sz w:val="32"/>
          <w:szCs w:val="32"/>
          <w:highlight w:val="none"/>
          <w:u w:val="none"/>
        </w:rPr>
      </w:pPr>
      <w:r>
        <w:rPr>
          <w:rFonts w:hint="eastAsia" w:ascii="黑体" w:hAnsi="黑体" w:eastAsia="黑体"/>
          <w:iCs/>
          <w:color w:val="000000"/>
          <w:sz w:val="32"/>
          <w:szCs w:val="32"/>
          <w:highlight w:val="none"/>
          <w:u w:val="none"/>
        </w:rPr>
      </w:r>
      <w:r/>
    </w:p>
    <w:p>
      <w:pPr>
        <w:pStyle w:val="1280"/>
        <w:jc w:val="center"/>
        <w:rPr>
          <w:rFonts w:hint="eastAsia" w:ascii="黑体" w:hAnsi="黑体" w:eastAsia="黑体"/>
          <w:iCs/>
          <w:color w:val="000000"/>
          <w:sz w:val="32"/>
          <w:szCs w:val="32"/>
          <w:highlight w:val="none"/>
          <w:u w:val="none"/>
        </w:rPr>
      </w:pPr>
      <w:r>
        <w:rPr>
          <w:rFonts w:hint="eastAsia" w:ascii="黑体" w:hAnsi="黑体" w:eastAsia="黑体"/>
          <w:iCs/>
          <w:color w:val="000000"/>
          <w:sz w:val="32"/>
          <w:szCs w:val="32"/>
          <w:highlight w:val="none"/>
          <w:u w:val="none"/>
        </w:rPr>
      </w:r>
      <w:r/>
    </w:p>
    <w:p>
      <w:pPr>
        <w:pStyle w:val="1280"/>
        <w:jc w:val="center"/>
        <w:rPr>
          <w:rFonts w:hint="eastAsia" w:ascii="黑体" w:hAnsi="黑体" w:eastAsia="黑体"/>
          <w:iCs/>
          <w:color w:val="000000"/>
          <w:sz w:val="32"/>
          <w:szCs w:val="32"/>
          <w:highlight w:val="none"/>
          <w:u w:val="none"/>
        </w:rPr>
      </w:pPr>
      <w:r>
        <w:rPr>
          <w:rFonts w:hint="eastAsia" w:ascii="黑体" w:hAnsi="黑体" w:eastAsia="黑体"/>
          <w:iCs/>
          <w:color w:val="000000"/>
          <w:sz w:val="32"/>
          <w:szCs w:val="32"/>
          <w:highlight w:val="none"/>
          <w:u w:val="none"/>
        </w:rPr>
      </w:r>
      <w:r/>
    </w:p>
    <w:p>
      <w:pPr>
        <w:pStyle w:val="1280"/>
        <w:jc w:val="center"/>
        <w:rPr>
          <w:rFonts w:hint="eastAsia" w:ascii="宋体" w:hAnsi="宋体" w:eastAsia="宋体" w:cs="宋体"/>
          <w:iCs/>
          <w:color w:val="000000"/>
          <w:sz w:val="32"/>
          <w:szCs w:val="32"/>
          <w:highlight w:val="none"/>
          <w:u w:val="none"/>
        </w:rPr>
      </w:pPr>
      <w:r>
        <w:rPr>
          <w:rFonts w:hint="eastAsia" w:ascii="宋体" w:hAnsi="宋体" w:eastAsia="宋体" w:cs="宋体"/>
          <w:iCs/>
          <w:color w:val="000000"/>
          <w:sz w:val="32"/>
          <w:szCs w:val="32"/>
          <w:highlight w:val="none"/>
          <w:u w:val="none"/>
        </w:rPr>
        <w:t xml:space="preserve">其他材料</w:t>
      </w:r>
      <w:r>
        <w:rPr>
          <w:rFonts w:hint="eastAsia" w:ascii="宋体" w:hAnsi="宋体" w:eastAsia="宋体" w:cs="宋体"/>
          <w:iCs/>
          <w:color w:val="000000"/>
          <w:sz w:val="32"/>
          <w:szCs w:val="32"/>
          <w:highlight w:val="none"/>
          <w:u w:val="none"/>
        </w:rPr>
      </w:r>
      <w:r/>
    </w:p>
    <w:p>
      <w:pPr>
        <w:pStyle w:val="128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1011"/>
        <w:jc w:val="left"/>
        <w:spacing w:line="336" w:lineRule="auto"/>
        <w:rPr>
          <w:rFonts w:hint="eastAsia" w:ascii="宋体" w:hAnsi="宋体" w:eastAsia="宋体" w:cs="宋体"/>
          <w:b/>
          <w:bCs/>
          <w:color w:val="000000"/>
          <w:sz w:val="32"/>
          <w:szCs w:val="32"/>
          <w:highlight w:val="none"/>
        </w:rPr>
      </w:pPr>
      <w:r>
        <w:rPr>
          <w:rFonts w:hint="eastAsia" w:ascii="宋体" w:hAnsi="宋体" w:eastAsia="宋体" w:cs="宋体"/>
          <w:color w:val="000000"/>
          <w:sz w:val="24"/>
          <w:szCs w:val="24"/>
          <w:highlight w:val="none"/>
        </w:rPr>
        <w:t xml:space="preserve">（请按招标文件要求提供的</w:t>
      </w:r>
      <w:r>
        <w:rPr>
          <w:rFonts w:hint="eastAsia" w:ascii="宋体" w:hAnsi="宋体" w:eastAsia="宋体" w:cs="宋体"/>
          <w:color w:val="000000"/>
          <w:sz w:val="24"/>
          <w:highlight w:val="none"/>
          <w:lang w:val="en-US" w:eastAsia="zh-CN"/>
        </w:rPr>
        <w:t xml:space="preserve">评审标准材料</w:t>
      </w:r>
      <w:r>
        <w:rPr>
          <w:rFonts w:hint="eastAsia" w:ascii="宋体" w:hAnsi="宋体" w:eastAsia="宋体" w:cs="宋体"/>
          <w:color w:val="000000"/>
          <w:sz w:val="24"/>
          <w:szCs w:val="24"/>
          <w:highlight w:val="none"/>
        </w:rPr>
        <w:t xml:space="preserve">及其他要求编制，格式自定）</w:t>
      </w:r>
      <w:r>
        <w:rPr>
          <w:rFonts w:hint="eastAsia" w:ascii="宋体" w:hAnsi="宋体" w:eastAsia="宋体" w:cs="宋体"/>
          <w:b/>
          <w:bCs/>
          <w:color w:val="000000"/>
          <w:sz w:val="32"/>
          <w:szCs w:val="32"/>
          <w:highlight w:val="none"/>
        </w:rPr>
      </w:r>
      <w:r/>
    </w:p>
    <w:p>
      <w:pPr>
        <w:pStyle w:val="128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11"/>
        <w:spacing w:line="520" w:lineRule="exact"/>
        <w:rPr>
          <w:rFonts w:hint="eastAsia" w:ascii="宋体" w:hAnsi="宋体" w:eastAsia="宋体" w:cs="宋体"/>
          <w:b/>
          <w:bCs/>
          <w:color w:val="000000"/>
          <w:spacing w:val="8"/>
          <w:sz w:val="24"/>
          <w:szCs w:val="24"/>
          <w:highlight w:val="none"/>
        </w:rPr>
        <w:outlineLvl w:val="0"/>
      </w:pPr>
      <w:r>
        <w:rPr>
          <w:rFonts w:hint="eastAsia" w:ascii="宋体" w:hAnsi="宋体" w:eastAsia="宋体" w:cs="宋体"/>
          <w:b/>
          <w:bCs/>
          <w:color w:val="000000"/>
          <w:spacing w:val="8"/>
          <w:sz w:val="24"/>
          <w:szCs w:val="24"/>
          <w:highlight w:val="none"/>
        </w:rPr>
        <w:t xml:space="preserve">注：</w:t>
      </w:r>
      <w:r>
        <w:rPr>
          <w:rFonts w:hint="eastAsia" w:ascii="宋体" w:hAnsi="宋体" w:eastAsia="宋体" w:cs="宋体"/>
          <w:b/>
          <w:bCs/>
          <w:color w:val="000000"/>
          <w:spacing w:val="8"/>
          <w:sz w:val="24"/>
          <w:szCs w:val="24"/>
          <w:highlight w:val="none"/>
        </w:rPr>
      </w:r>
      <w:r/>
    </w:p>
    <w:p>
      <w:pPr>
        <w:pStyle w:val="1011"/>
        <w:ind w:firstLine="514"/>
        <w:jc w:val="left"/>
        <w:spacing w:line="360" w:lineRule="auto"/>
        <w:rPr>
          <w:rFonts w:hint="eastAsia" w:ascii="宋体" w:hAnsi="宋体" w:eastAsia="宋体" w:cs="宋体"/>
          <w:b/>
          <w:bCs/>
          <w:color w:val="000000"/>
          <w:spacing w:val="9"/>
          <w:sz w:val="24"/>
          <w:szCs w:val="24"/>
          <w:highlight w:val="none"/>
        </w:rPr>
      </w:pPr>
      <w:r>
        <w:rPr>
          <w:rFonts w:hint="eastAsia" w:ascii="宋体" w:hAnsi="宋体" w:eastAsia="宋体" w:cs="宋体"/>
          <w:b/>
          <w:bCs/>
          <w:color w:val="000000"/>
          <w:spacing w:val="8"/>
          <w:sz w:val="24"/>
          <w:szCs w:val="24"/>
          <w:highlight w:val="none"/>
        </w:rPr>
        <w:t xml:space="preserve">1、本项目的资格评审及评标相关的证明文</w:t>
      </w:r>
      <w:r>
        <w:rPr>
          <w:rFonts w:hint="eastAsia" w:ascii="宋体" w:hAnsi="宋体" w:eastAsia="宋体" w:cs="宋体"/>
          <w:b/>
          <w:bCs/>
          <w:color w:val="000000"/>
          <w:spacing w:val="7"/>
          <w:sz w:val="24"/>
          <w:szCs w:val="24"/>
          <w:highlight w:val="none"/>
        </w:rPr>
        <w:t xml:space="preserve">件均需提供原件扫描件上传至电子投标</w:t>
      </w:r>
      <w:r>
        <w:rPr>
          <w:rFonts w:hint="eastAsia" w:ascii="宋体" w:hAnsi="宋体" w:eastAsia="宋体" w:cs="宋体"/>
          <w:b/>
          <w:bCs/>
          <w:color w:val="000000"/>
          <w:spacing w:val="8"/>
          <w:sz w:val="24"/>
          <w:szCs w:val="24"/>
          <w:highlight w:val="none"/>
        </w:rPr>
        <w:t xml:space="preserve">文件中，扫描件需齐全并能清晰辨认且在有效期内，</w:t>
      </w:r>
      <w:r>
        <w:rPr>
          <w:rFonts w:hint="eastAsia" w:ascii="宋体" w:hAnsi="宋体" w:eastAsia="宋体" w:cs="宋体"/>
          <w:b/>
          <w:bCs/>
          <w:color w:val="000000"/>
          <w:spacing w:val="7"/>
          <w:sz w:val="24"/>
          <w:szCs w:val="24"/>
          <w:highlight w:val="none"/>
        </w:rPr>
        <w:t xml:space="preserve">提供的与评分相关的证明材料必须能清</w:t>
      </w:r>
      <w:r>
        <w:rPr>
          <w:rFonts w:hint="eastAsia" w:ascii="宋体" w:hAnsi="宋体" w:eastAsia="宋体" w:cs="宋体"/>
          <w:b/>
          <w:bCs/>
          <w:color w:val="000000"/>
          <w:spacing w:val="9"/>
          <w:sz w:val="24"/>
          <w:szCs w:val="24"/>
          <w:highlight w:val="none"/>
        </w:rPr>
        <w:t xml:space="preserve">晰的表明需要明示的内容，否则由此引起后果自行承担。</w:t>
      </w:r>
      <w:r>
        <w:rPr>
          <w:rFonts w:hint="eastAsia" w:ascii="宋体" w:hAnsi="宋体" w:eastAsia="宋体" w:cs="宋体"/>
          <w:b/>
          <w:bCs/>
          <w:color w:val="000000"/>
          <w:spacing w:val="9"/>
          <w:sz w:val="24"/>
          <w:szCs w:val="24"/>
          <w:highlight w:val="none"/>
        </w:rPr>
      </w:r>
      <w:r/>
    </w:p>
    <w:p>
      <w:pPr>
        <w:pStyle w:val="1283"/>
        <w:rPr>
          <w:rFonts w:hint="eastAsia" w:ascii="宋体" w:hAnsi="宋体" w:eastAsia="宋体" w:cs="宋体"/>
          <w:b/>
          <w:bCs/>
          <w:color w:val="000000"/>
          <w:sz w:val="32"/>
          <w:szCs w:val="32"/>
          <w:highlight w:val="none"/>
        </w:rPr>
        <w:sectPr>
          <w:headerReference w:type="default" r:id="rId11"/>
          <w:footerReference w:type="default" r:id="rId16"/>
          <w:footerReference w:type="first" r:id="rId17"/>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bCs/>
          <w:color w:val="000000"/>
          <w:spacing w:val="8"/>
          <w:szCs w:val="24"/>
          <w:highlight w:val="none"/>
        </w:rPr>
        <w:t xml:space="preserve">2、若标书制作工具中格式和内容与“江苏政府采购网”发布的采购文件不一致，请以“江苏政府采购网”发布的招标采购文件为准。</w:t>
      </w:r>
      <w:r>
        <w:rPr>
          <w:rFonts w:hint="eastAsia" w:ascii="宋体" w:hAnsi="宋体" w:eastAsia="宋体" w:cs="宋体"/>
          <w:b/>
          <w:bCs/>
          <w:color w:val="000000"/>
          <w:sz w:val="32"/>
          <w:szCs w:val="32"/>
          <w:highlight w:val="none"/>
        </w:rPr>
      </w:r>
      <w:r/>
    </w:p>
    <w:p>
      <w:pPr>
        <w:pStyle w:val="1066"/>
        <w:rPr>
          <w:rFonts w:hint="eastAsia" w:ascii="宋体" w:hAnsi="宋体" w:eastAsia="宋体"/>
          <w:color w:val="000000"/>
          <w:highlight w:val="none"/>
        </w:rPr>
      </w:pPr>
      <w:r>
        <w:rPr>
          <w:rFonts w:hint="eastAsia" w:ascii="宋体" w:hAnsi="宋体" w:eastAsia="宋体"/>
          <w:color w:val="000000"/>
          <w:highlight w:val="none"/>
        </w:rPr>
      </w:r>
      <w:r/>
    </w:p>
    <w:p>
      <w:pPr>
        <w:pStyle w:val="1011"/>
        <w:jc w:val="center"/>
        <w:rPr>
          <w:rFonts w:hint="eastAsia" w:ascii="宋体" w:hAnsi="宋体" w:eastAsia="宋体" w:cs="仿宋"/>
          <w:b/>
          <w:bCs/>
          <w:color w:val="000000"/>
          <w:sz w:val="32"/>
          <w:szCs w:val="32"/>
          <w:highlight w:val="none"/>
        </w:rPr>
      </w:pPr>
      <w:r>
        <w:rPr>
          <w:rFonts w:hint="eastAsia" w:ascii="宋体" w:hAnsi="宋体" w:eastAsia="宋体" w:cs="仿宋"/>
          <w:b/>
          <w:bCs/>
          <w:color w:val="000000"/>
          <w:sz w:val="32"/>
          <w:szCs w:val="32"/>
          <w:highlight w:val="none"/>
        </w:rPr>
        <w:t xml:space="preserve">质疑函范本</w:t>
      </w:r>
      <w:r>
        <w:rPr>
          <w:rFonts w:hint="eastAsia" w:ascii="宋体" w:hAnsi="宋体" w:eastAsia="宋体" w:cs="仿宋"/>
          <w:b/>
          <w:bCs/>
          <w:color w:val="000000"/>
          <w:sz w:val="32"/>
          <w:szCs w:val="32"/>
          <w:highlight w:val="none"/>
        </w:rPr>
      </w:r>
      <w:r/>
    </w:p>
    <w:p>
      <w:pPr>
        <w:pStyle w:val="1011"/>
        <w:spacing w:before="240" w:line="360" w:lineRule="auto"/>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一、质疑供应商基本信息</w:t>
      </w:r>
      <w:r>
        <w:rPr>
          <w:rFonts w:hint="eastAsia" w:ascii="宋体" w:hAnsi="宋体" w:eastAsia="宋体" w:cs="仿宋"/>
          <w:bCs/>
          <w:color w:val="000000"/>
          <w:sz w:val="24"/>
          <w:szCs w:val="24"/>
          <w:highlight w:val="none"/>
        </w:rPr>
      </w:r>
      <w:r/>
    </w:p>
    <w:p>
      <w:pPr>
        <w:pStyle w:val="1011"/>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质疑供应商：</w:t>
      </w:r>
      <w:r>
        <w:rPr>
          <w:rFonts w:hint="eastAsia" w:ascii="宋体" w:hAnsi="宋体" w:eastAsia="宋体" w:cs="仿宋"/>
          <w:color w:val="000000"/>
          <w:sz w:val="24"/>
          <w:szCs w:val="24"/>
          <w:highlight w:val="none"/>
          <w:u w:val="single"/>
        </w:rPr>
      </w:r>
      <w:r/>
    </w:p>
    <w:p>
      <w:pPr>
        <w:pStyle w:val="1011"/>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地址：邮编：</w:t>
      </w:r>
      <w:r>
        <w:rPr>
          <w:rFonts w:hint="eastAsia" w:ascii="宋体" w:hAnsi="宋体" w:eastAsia="宋体" w:cs="仿宋"/>
          <w:color w:val="000000"/>
          <w:sz w:val="24"/>
          <w:szCs w:val="24"/>
          <w:highlight w:val="none"/>
        </w:rPr>
      </w:r>
      <w:r/>
    </w:p>
    <w:p>
      <w:pPr>
        <w:pStyle w:val="1011"/>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联系人：联系电话：</w:t>
      </w:r>
      <w:r>
        <w:rPr>
          <w:rFonts w:hint="eastAsia" w:ascii="宋体" w:hAnsi="宋体" w:eastAsia="宋体" w:cs="仿宋"/>
          <w:color w:val="000000"/>
          <w:sz w:val="24"/>
          <w:szCs w:val="24"/>
          <w:highlight w:val="none"/>
        </w:rPr>
      </w:r>
      <w:r/>
    </w:p>
    <w:p>
      <w:pPr>
        <w:pStyle w:val="1011"/>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授权代表：</w:t>
      </w:r>
      <w:r>
        <w:rPr>
          <w:rFonts w:hint="eastAsia" w:ascii="宋体" w:hAnsi="宋体" w:eastAsia="宋体" w:cs="仿宋"/>
          <w:color w:val="000000"/>
          <w:sz w:val="24"/>
          <w:szCs w:val="24"/>
          <w:highlight w:val="none"/>
          <w:u w:val="single"/>
        </w:rPr>
      </w:r>
      <w:r/>
    </w:p>
    <w:p>
      <w:pPr>
        <w:pStyle w:val="1011"/>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rPr>
      </w:r>
      <w:r/>
    </w:p>
    <w:p>
      <w:pPr>
        <w:pStyle w:val="1011"/>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 邮编：</w:t>
      </w:r>
      <w:r>
        <w:rPr>
          <w:rFonts w:hint="eastAsia" w:ascii="宋体" w:hAnsi="宋体" w:eastAsia="宋体" w:cs="仿宋"/>
          <w:color w:val="000000"/>
          <w:sz w:val="24"/>
          <w:szCs w:val="24"/>
          <w:highlight w:val="none"/>
        </w:rPr>
      </w:r>
      <w:r/>
    </w:p>
    <w:p>
      <w:pPr>
        <w:pStyle w:val="1011"/>
        <w:spacing w:line="360" w:lineRule="auto"/>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二、质疑项目基本情况</w:t>
      </w:r>
      <w:r>
        <w:rPr>
          <w:rFonts w:hint="eastAsia" w:ascii="宋体" w:hAnsi="宋体" w:eastAsia="宋体" w:cs="仿宋"/>
          <w:bCs/>
          <w:color w:val="000000"/>
          <w:sz w:val="24"/>
          <w:szCs w:val="24"/>
          <w:highlight w:val="none"/>
        </w:rPr>
      </w:r>
      <w:r/>
    </w:p>
    <w:p>
      <w:pPr>
        <w:pStyle w:val="1011"/>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质疑项目的名称：</w:t>
      </w:r>
      <w:r>
        <w:rPr>
          <w:rFonts w:hint="eastAsia" w:ascii="宋体" w:hAnsi="宋体" w:eastAsia="宋体" w:cs="仿宋"/>
          <w:color w:val="000000"/>
          <w:sz w:val="24"/>
          <w:szCs w:val="24"/>
          <w:highlight w:val="none"/>
        </w:rPr>
      </w:r>
      <w:r/>
    </w:p>
    <w:p>
      <w:pPr>
        <w:pStyle w:val="1011"/>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质疑项目的编号：包号：</w:t>
      </w:r>
      <w:r>
        <w:rPr>
          <w:rFonts w:hint="eastAsia" w:ascii="宋体" w:hAnsi="宋体" w:eastAsia="宋体" w:cs="仿宋"/>
          <w:color w:val="000000"/>
          <w:sz w:val="24"/>
          <w:szCs w:val="24"/>
          <w:highlight w:val="none"/>
        </w:rPr>
      </w:r>
      <w:r/>
    </w:p>
    <w:p>
      <w:pPr>
        <w:pStyle w:val="1011"/>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采购人名称：</w:t>
      </w:r>
      <w:r>
        <w:rPr>
          <w:rFonts w:hint="eastAsia" w:ascii="宋体" w:hAnsi="宋体" w:eastAsia="宋体" w:cs="仿宋"/>
          <w:color w:val="000000"/>
          <w:sz w:val="24"/>
          <w:szCs w:val="24"/>
          <w:highlight w:val="none"/>
          <w:u w:val="single"/>
        </w:rPr>
      </w:r>
      <w:r/>
    </w:p>
    <w:p>
      <w:pPr>
        <w:pStyle w:val="1011"/>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采购文件获取日期：</w:t>
      </w:r>
      <w:r>
        <w:rPr>
          <w:rFonts w:hint="eastAsia" w:ascii="宋体" w:hAnsi="宋体" w:eastAsia="宋体" w:cs="仿宋"/>
          <w:color w:val="000000"/>
          <w:sz w:val="24"/>
          <w:szCs w:val="24"/>
          <w:highlight w:val="none"/>
        </w:rPr>
      </w:r>
      <w:r/>
    </w:p>
    <w:p>
      <w:pPr>
        <w:pStyle w:val="1011"/>
        <w:spacing w:line="360" w:lineRule="auto"/>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三、质疑事项具体内容</w:t>
      </w:r>
      <w:r>
        <w:rPr>
          <w:rFonts w:hint="eastAsia" w:ascii="宋体" w:hAnsi="宋体" w:eastAsia="宋体" w:cs="仿宋"/>
          <w:bCs/>
          <w:color w:val="000000"/>
          <w:sz w:val="24"/>
          <w:szCs w:val="24"/>
          <w:highlight w:val="none"/>
        </w:rPr>
      </w:r>
      <w:r/>
    </w:p>
    <w:p>
      <w:pPr>
        <w:pStyle w:val="1011"/>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质疑事项1：</w:t>
      </w:r>
      <w:r>
        <w:rPr>
          <w:rFonts w:hint="eastAsia" w:ascii="宋体" w:hAnsi="宋体" w:eastAsia="宋体" w:cs="仿宋"/>
          <w:color w:val="000000"/>
          <w:sz w:val="24"/>
          <w:szCs w:val="24"/>
          <w:highlight w:val="none"/>
          <w:u w:val="single"/>
        </w:rPr>
      </w:r>
      <w:r/>
    </w:p>
    <w:p>
      <w:pPr>
        <w:pStyle w:val="1011"/>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事实依据：</w:t>
      </w:r>
      <w:r>
        <w:rPr>
          <w:rFonts w:hint="eastAsia" w:ascii="宋体" w:hAnsi="宋体" w:eastAsia="宋体" w:cs="仿宋"/>
          <w:color w:val="000000"/>
          <w:sz w:val="24"/>
          <w:szCs w:val="24"/>
          <w:highlight w:val="none"/>
          <w:u w:val="single"/>
        </w:rPr>
      </w:r>
      <w:r/>
    </w:p>
    <w:p>
      <w:pPr>
        <w:pStyle w:val="1011"/>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011"/>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法律依据：</w:t>
      </w:r>
      <w:r>
        <w:rPr>
          <w:rFonts w:hint="eastAsia" w:ascii="宋体" w:hAnsi="宋体" w:eastAsia="宋体" w:cs="仿宋"/>
          <w:color w:val="000000"/>
          <w:sz w:val="24"/>
          <w:szCs w:val="24"/>
          <w:highlight w:val="none"/>
          <w:u w:val="single"/>
        </w:rPr>
      </w:r>
      <w:r/>
    </w:p>
    <w:p>
      <w:pPr>
        <w:pStyle w:val="1011"/>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u w:val="single"/>
        </w:rPr>
      </w:r>
      <w:r/>
    </w:p>
    <w:p>
      <w:pPr>
        <w:pStyle w:val="1011"/>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质疑事项2</w:t>
      </w:r>
      <w:r>
        <w:rPr>
          <w:rFonts w:hint="eastAsia" w:ascii="宋体" w:hAnsi="宋体" w:eastAsia="宋体" w:cs="仿宋"/>
          <w:color w:val="000000"/>
          <w:sz w:val="24"/>
          <w:szCs w:val="24"/>
          <w:highlight w:val="none"/>
          <w:u w:val="single"/>
        </w:rPr>
      </w:r>
      <w:r/>
    </w:p>
    <w:p>
      <w:pPr>
        <w:pStyle w:val="1011"/>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w:t>
      </w:r>
      <w:r>
        <w:rPr>
          <w:rFonts w:hint="eastAsia" w:ascii="宋体" w:hAnsi="宋体" w:eastAsia="宋体" w:cs="仿宋"/>
          <w:color w:val="000000"/>
          <w:sz w:val="24"/>
          <w:szCs w:val="24"/>
          <w:highlight w:val="none"/>
        </w:rPr>
      </w:r>
      <w:r/>
    </w:p>
    <w:p>
      <w:pPr>
        <w:pStyle w:val="1011"/>
        <w:spacing w:line="360" w:lineRule="auto"/>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四、与质疑事项相关的质疑请求</w:t>
      </w:r>
      <w:r>
        <w:rPr>
          <w:rFonts w:hint="eastAsia" w:ascii="宋体" w:hAnsi="宋体" w:eastAsia="宋体" w:cs="仿宋"/>
          <w:bCs/>
          <w:color w:val="000000"/>
          <w:sz w:val="24"/>
          <w:szCs w:val="24"/>
          <w:highlight w:val="none"/>
        </w:rPr>
      </w:r>
      <w:r/>
    </w:p>
    <w:p>
      <w:pPr>
        <w:pStyle w:val="1011"/>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请求：</w:t>
      </w:r>
      <w:r>
        <w:rPr>
          <w:rFonts w:hint="eastAsia" w:ascii="宋体" w:hAnsi="宋体" w:eastAsia="宋体" w:cs="仿宋"/>
          <w:color w:val="000000"/>
          <w:sz w:val="24"/>
          <w:szCs w:val="24"/>
          <w:highlight w:val="none"/>
          <w:u w:val="single"/>
        </w:rPr>
      </w:r>
      <w:r/>
    </w:p>
    <w:p>
      <w:pPr>
        <w:pStyle w:val="1011"/>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011"/>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011"/>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签字(签章)：                   公章：                      </w:t>
      </w:r>
      <w:r>
        <w:rPr>
          <w:rFonts w:hint="eastAsia" w:ascii="宋体" w:hAnsi="宋体" w:eastAsia="宋体" w:cs="仿宋"/>
          <w:color w:val="000000"/>
          <w:sz w:val="24"/>
          <w:szCs w:val="24"/>
          <w:highlight w:val="none"/>
        </w:rPr>
      </w:r>
      <w:r/>
    </w:p>
    <w:p>
      <w:pPr>
        <w:pStyle w:val="1011"/>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日期：    </w:t>
      </w:r>
      <w:r>
        <w:rPr>
          <w:rFonts w:hint="eastAsia" w:ascii="宋体" w:hAnsi="宋体" w:eastAsia="宋体" w:cs="仿宋"/>
          <w:color w:val="000000"/>
          <w:sz w:val="24"/>
          <w:szCs w:val="24"/>
          <w:highlight w:val="none"/>
        </w:rPr>
      </w:r>
      <w:r/>
    </w:p>
    <w:p>
      <w:pPr>
        <w:pStyle w:val="1011"/>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011"/>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011"/>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1011"/>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r>
      <w:r/>
    </w:p>
    <w:p>
      <w:pPr>
        <w:pStyle w:val="1011"/>
        <w:spacing w:line="360" w:lineRule="auto"/>
        <w:rPr>
          <w:rFonts w:hint="eastAsia"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质疑函制作说明：</w:t>
      </w:r>
      <w:r>
        <w:rPr>
          <w:rFonts w:hint="eastAsia" w:ascii="宋体" w:hAnsi="宋体" w:eastAsia="宋体" w:cs="仿宋"/>
          <w:b/>
          <w:color w:val="000000"/>
          <w:sz w:val="24"/>
          <w:szCs w:val="24"/>
          <w:highlight w:val="none"/>
        </w:rPr>
      </w:r>
      <w:r/>
    </w:p>
    <w:p>
      <w:pPr>
        <w:pStyle w:val="1011"/>
        <w:ind w:firstLine="480"/>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1.供应商提出质疑时，应提交质疑函和必要的证明材料。</w:t>
      </w:r>
      <w:r>
        <w:rPr>
          <w:rFonts w:hint="eastAsia" w:ascii="宋体" w:hAnsi="宋体" w:eastAsia="宋体" w:cs="仿宋"/>
          <w:color w:val="000000"/>
          <w:sz w:val="24"/>
          <w:szCs w:val="24"/>
          <w:highlight w:val="none"/>
        </w:rPr>
      </w:r>
      <w:r/>
    </w:p>
    <w:p>
      <w:pPr>
        <w:pStyle w:val="1011"/>
        <w:ind w:firstLine="480"/>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仿宋"/>
          <w:color w:val="000000"/>
          <w:sz w:val="24"/>
          <w:szCs w:val="24"/>
          <w:highlight w:val="none"/>
        </w:rPr>
      </w:r>
      <w:r/>
    </w:p>
    <w:p>
      <w:pPr>
        <w:pStyle w:val="1011"/>
        <w:ind w:firstLine="480"/>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3.质疑供应商若对项目的某一分包进行质疑，质疑函中应列明具体分包号。</w:t>
      </w:r>
      <w:r>
        <w:rPr>
          <w:rFonts w:hint="eastAsia" w:ascii="宋体" w:hAnsi="宋体" w:eastAsia="宋体" w:cs="仿宋"/>
          <w:color w:val="000000"/>
          <w:sz w:val="24"/>
          <w:szCs w:val="24"/>
          <w:highlight w:val="none"/>
        </w:rPr>
      </w:r>
      <w:r/>
    </w:p>
    <w:p>
      <w:pPr>
        <w:pStyle w:val="1011"/>
        <w:ind w:firstLine="480"/>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4.质疑函的质疑事项应具体、明确，并有必要的事实依据和法律依据。</w:t>
      </w:r>
      <w:r>
        <w:rPr>
          <w:rFonts w:hint="eastAsia" w:ascii="宋体" w:hAnsi="宋体" w:eastAsia="宋体" w:cs="仿宋"/>
          <w:color w:val="000000"/>
          <w:sz w:val="24"/>
          <w:szCs w:val="24"/>
          <w:highlight w:val="none"/>
        </w:rPr>
      </w:r>
      <w:r/>
    </w:p>
    <w:p>
      <w:pPr>
        <w:pStyle w:val="1011"/>
        <w:ind w:firstLine="480"/>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5.质疑函的质疑请求应与质疑事项相关。</w:t>
      </w:r>
      <w:r>
        <w:rPr>
          <w:rFonts w:hint="eastAsia" w:ascii="宋体" w:hAnsi="宋体" w:eastAsia="宋体" w:cs="仿宋"/>
          <w:color w:val="000000"/>
          <w:sz w:val="24"/>
          <w:szCs w:val="24"/>
          <w:highlight w:val="none"/>
        </w:rPr>
      </w:r>
      <w:r/>
    </w:p>
    <w:p>
      <w:pPr>
        <w:pStyle w:val="1011"/>
        <w:ind w:firstLine="480"/>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仿宋"/>
          <w:color w:val="000000"/>
          <w:sz w:val="24"/>
          <w:szCs w:val="24"/>
          <w:highlight w:val="none"/>
        </w:rPr>
      </w:r>
      <w:r/>
    </w:p>
    <w:p>
      <w:pPr>
        <w:pStyle w:val="1011"/>
        <w:rPr>
          <w:rFonts w:hint="eastAsia" w:ascii="宋体" w:hAnsi="宋体" w:eastAsia="宋体" w:cs="仿宋"/>
          <w:color w:val="000000"/>
          <w:highlight w:val="none"/>
        </w:rPr>
      </w:pPr>
      <w:r>
        <w:rPr>
          <w:rFonts w:hint="eastAsia" w:ascii="宋体" w:hAnsi="宋体" w:eastAsia="宋体" w:cs="仿宋"/>
          <w:color w:val="000000"/>
          <w:highlight w:val="none"/>
        </w:rPr>
      </w:r>
      <w:r/>
    </w:p>
    <w:p>
      <w:pPr>
        <w:pStyle w:val="1011"/>
        <w:jc w:val="center"/>
        <w:rPr>
          <w:rFonts w:hint="eastAsia" w:ascii="宋体" w:hAnsi="宋体" w:eastAsia="宋体" w:cs="仿宋"/>
          <w:b/>
          <w:color w:val="000000"/>
          <w:spacing w:val="20"/>
          <w:sz w:val="24"/>
          <w:szCs w:val="22"/>
          <w:highlight w:val="none"/>
        </w:rPr>
      </w:pPr>
      <w:r>
        <w:rPr>
          <w:rFonts w:hint="eastAsia" w:ascii="宋体" w:hAnsi="宋体" w:eastAsia="宋体" w:cs="仿宋"/>
          <w:b/>
          <w:color w:val="000000"/>
          <w:spacing w:val="20"/>
          <w:sz w:val="24"/>
          <w:szCs w:val="22"/>
          <w:highlight w:val="none"/>
        </w:rPr>
      </w:r>
      <w:r/>
    </w:p>
    <w:sectPr>
      <w:headerReference w:type="default" r:id="rId12"/>
      <w:footerReference w:type="default" r:id="rId18"/>
      <w:footerReference w:type="first" r:id="rId19"/>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Verdana">
    <w:panose1 w:val="020B0604030504040204"/>
  </w:font>
  <w:font w:name="仿宋_GB2312">
    <w:panose1 w:val="02010609060101010101"/>
  </w:font>
  <w:font w:name="榛戜綋">
    <w:panose1 w:val="020B0503020202020204"/>
  </w:font>
  <w:font w:name="Courier New">
    <w:panose1 w:val="02070309020205020404"/>
  </w:font>
  <w:font w:name="等线">
    <w:panose1 w:val="02010600030101010101"/>
  </w:font>
  <w:font w:name="仿宋">
    <w:panose1 w:val="02010609060101010101"/>
  </w:font>
  <w:font w:name="Cambria">
    <w:panose1 w:val="02040503050406030204"/>
  </w:font>
  <w:font w:name="微软雅黑">
    <w:panose1 w:val="020B05030202040202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14300" cy="51054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300" cy="510540"/>
                      </a:xfrm>
                      <a:prstGeom prst="rect">
                        <a:avLst/>
                      </a:prstGeom>
                      <a:noFill/>
                      <a:ln>
                        <a:noFill/>
                      </a:ln>
                    </wps:spPr>
                    <wps:txbx>
                      <w:txbxContent>
                        <w:p>
                          <w:pPr>
                            <w:pStyle w:val="1295"/>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011"/>
                          </w:pPr>
                          <w:r/>
                          <w:r/>
                        </w:p>
                        <w:p>
                          <w:pPr>
                            <w:pStyle w:val="1011"/>
                          </w:pPr>
                          <w:r/>
                          <w:r/>
                        </w:p>
                        <w:p>
                          <w:pPr>
                            <w:pStyle w:val="1011"/>
                          </w:pPr>
                          <w:r/>
                          <w:r/>
                        </w:p>
                      </w:txbxContent>
                    </wps:txbx>
                    <wps:bodyPr wrap="square" lIns="0" tIns="0" rIns="0" bIns="0" upright="1"/>
                  </wps:wsp>
                </a:graphicData>
              </a:graphic>
            </wp:anchor>
          </w:drawing>
        </mc:Choice>
        <mc:Fallback>
          <w:pict>
            <v:shape id="shape 0" o:spid="_x0000_s0" o:spt="202" type="#_x0000_t202" style="position:absolute;z-index:251658246;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295"/>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011"/>
                    </w:pPr>
                    <w:r/>
                    <w:r/>
                  </w:p>
                  <w:p>
                    <w:pPr>
                      <w:pStyle w:val="1011"/>
                    </w:pPr>
                    <w:r/>
                    <w:r/>
                  </w:p>
                  <w:p>
                    <w:pPr>
                      <w:pStyle w:val="101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300" cy="51054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300" cy="510540"/>
                      </a:xfrm>
                      <a:prstGeom prst="rect">
                        <a:avLst/>
                      </a:prstGeom>
                      <a:noFill/>
                      <a:ln>
                        <a:noFill/>
                      </a:ln>
                    </wps:spPr>
                    <wps:txbx>
                      <w:txbxContent>
                        <w:p>
                          <w:pPr>
                            <w:pStyle w:val="12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1"/>
                          </w:pPr>
                          <w:r/>
                          <w:r/>
                        </w:p>
                        <w:p>
                          <w:pPr>
                            <w:pStyle w:val="1011"/>
                          </w:pPr>
                          <w:r/>
                          <w:r/>
                        </w:p>
                        <w:p>
                          <w:pPr>
                            <w:pStyle w:val="1011"/>
                          </w:pPr>
                          <w:r/>
                          <w:r/>
                        </w:p>
                      </w:txbxContent>
                    </wps:txbx>
                    <wps:bodyPr wrap="square" lIns="0" tIns="0" rIns="0" bIns="0" upright="1"/>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2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1"/>
                    </w:pPr>
                    <w:r/>
                    <w:r/>
                  </w:p>
                  <w:p>
                    <w:pPr>
                      <w:pStyle w:val="1011"/>
                    </w:pPr>
                    <w:r/>
                    <w:r/>
                  </w:p>
                  <w:p>
                    <w:pPr>
                      <w:pStyle w:val="101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14300" cy="51054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300" cy="510540"/>
                      </a:xfrm>
                      <a:prstGeom prst="rect">
                        <a:avLst/>
                      </a:prstGeom>
                      <a:noFill/>
                      <a:ln>
                        <a:noFill/>
                      </a:ln>
                    </wps:spPr>
                    <wps:txbx>
                      <w:txbxContent>
                        <w:p>
                          <w:pPr>
                            <w:pStyle w:val="1295"/>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011"/>
                          </w:pPr>
                          <w:r/>
                          <w:r/>
                        </w:p>
                        <w:p>
                          <w:pPr>
                            <w:pStyle w:val="1011"/>
                          </w:pPr>
                          <w:r/>
                          <w:r/>
                        </w:p>
                        <w:p>
                          <w:pPr>
                            <w:pStyle w:val="1011"/>
                          </w:pPr>
                          <w:r/>
                          <w:r/>
                        </w:p>
                      </w:txbxContent>
                    </wps:txbx>
                    <wps:bodyPr wrap="square" lIns="0" tIns="0" rIns="0" bIns="0" upright="1"/>
                  </wps:wsp>
                </a:graphicData>
              </a:graphic>
            </wp:anchor>
          </w:drawing>
        </mc:Choice>
        <mc:Fallback>
          <w:pict>
            <v:shape id="shape 2" o:spid="_x0000_s2" o:spt="202" type="#_x0000_t202" style="position:absolute;z-index:251658245;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295"/>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011"/>
                    </w:pPr>
                    <w:r/>
                    <w:r/>
                  </w:p>
                  <w:p>
                    <w:pPr>
                      <w:pStyle w:val="1011"/>
                    </w:pPr>
                    <w:r/>
                    <w:r/>
                  </w:p>
                  <w:p>
                    <w:pPr>
                      <w:pStyle w:val="101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7"/>
                            <w:tabs>
                              <w:tab w:val="clear" w:pos="4153" w:leader="none"/>
                              <w:tab w:val="clear" w:pos="8306" w:leader="none"/>
                            </w:tabs>
                          </w:pPr>
                          <w:r>
                            <w:fldChar w:fldCharType="begin"/>
                          </w:r>
                          <w:r>
                            <w:instrText xml:space="preserve"> PAGE  \* MERGEFORMAT </w:instrText>
                          </w:r>
                          <w:r>
                            <w:fldChar w:fldCharType="separate"/>
                          </w:r>
                          <w:r>
                            <w:t xml:space="preserve">55</w:t>
                          </w:r>
                          <w:r>
                            <w:fldChar w:fldCharType="end"/>
                          </w:r>
                          <w:r/>
                        </w:p>
                        <w:p>
                          <w:pPr>
                            <w:pStyle w:val="1011"/>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7"/>
                      <w:tabs>
                        <w:tab w:val="clear" w:pos="4153" w:leader="none"/>
                        <w:tab w:val="clear" w:pos="8306" w:leader="none"/>
                      </w:tabs>
                    </w:pPr>
                    <w:r>
                      <w:fldChar w:fldCharType="begin"/>
                    </w:r>
                    <w:r>
                      <w:instrText xml:space="preserve"> PAGE  \* MERGEFORMAT </w:instrText>
                    </w:r>
                    <w:r>
                      <w:fldChar w:fldCharType="separate"/>
                    </w:r>
                    <w:r>
                      <w:t xml:space="preserve">55</w:t>
                    </w:r>
                    <w:r>
                      <w:fldChar w:fldCharType="end"/>
                    </w:r>
                    <w:r/>
                  </w:p>
                  <w:p>
                    <w:pPr>
                      <w:pStyle w:val="101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7"/>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011"/>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7"/>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011"/>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7"/>
                            <w:tabs>
                              <w:tab w:val="clear" w:pos="4153" w:leader="none"/>
                              <w:tab w:val="clear" w:pos="8306" w:leader="none"/>
                            </w:tabs>
                          </w:pPr>
                          <w:r>
                            <w:fldChar w:fldCharType="begin"/>
                          </w:r>
                          <w:r>
                            <w:instrText xml:space="preserve"> PAGE  \* MERGEFORMAT </w:instrText>
                          </w:r>
                          <w:r>
                            <w:fldChar w:fldCharType="separate"/>
                          </w:r>
                          <w:r>
                            <w:t xml:space="preserve">55</w:t>
                          </w:r>
                          <w:r>
                            <w:fldChar w:fldCharType="end"/>
                          </w:r>
                          <w:r/>
                        </w:p>
                        <w:p>
                          <w:pPr>
                            <w:pStyle w:val="1011"/>
                          </w:pPr>
                          <w:r/>
                          <w:r/>
                        </w:p>
                      </w:txbxContent>
                    </wps:txbx>
                    <wps:bodyPr wrap="none" lIns="0" tIns="0" rIns="0" bIns="0" upright="1">
                      <a:spAutoFit/>
                    </wps:bodyPr>
                  </wps:wsp>
                </a:graphicData>
              </a:graphic>
            </wp:anchor>
          </w:drawing>
        </mc:Choice>
        <mc:Fallback>
          <w:pict>
            <v:shape id="shape 5" o:spid="_x0000_s5"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7"/>
                      <w:tabs>
                        <w:tab w:val="clear" w:pos="4153" w:leader="none"/>
                        <w:tab w:val="clear" w:pos="8306" w:leader="none"/>
                      </w:tabs>
                    </w:pPr>
                    <w:r>
                      <w:fldChar w:fldCharType="begin"/>
                    </w:r>
                    <w:r>
                      <w:instrText xml:space="preserve"> PAGE  \* MERGEFORMAT </w:instrText>
                    </w:r>
                    <w:r>
                      <w:fldChar w:fldCharType="separate"/>
                    </w:r>
                    <w:r>
                      <w:t xml:space="preserve">55</w:t>
                    </w:r>
                    <w:r>
                      <w:fldChar w:fldCharType="end"/>
                    </w:r>
                    <w:r/>
                  </w:p>
                  <w:p>
                    <w:pPr>
                      <w:pStyle w:val="1011"/>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7"/>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011"/>
                          </w:pPr>
                          <w:r/>
                          <w:r/>
                        </w:p>
                      </w:txbxContent>
                    </wps:txbx>
                    <wps:bodyPr wrap="none" lIns="0" tIns="0" rIns="0" bIns="0" upright="1">
                      <a:spAutoFit/>
                    </wps:bodyPr>
                  </wps:wsp>
                </a:graphicData>
              </a:graphic>
            </wp:anchor>
          </w:drawing>
        </mc:Choice>
        <mc:Fallback>
          <w:pict>
            <v:shape id="shape 6" o:spid="_x0000_s6"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7"/>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01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4"/>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4"/>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4"/>
      <w:tabs>
        <w:tab w:val="center" w:pos="4153" w:leader="none"/>
        <w:tab w:val="right" w:pos="8306"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4"/>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1011"/>
      </w:pPr>
      <w:rPr>
        <w:rFonts w:hint="eastAsia"/>
      </w:rPr>
    </w:lvl>
    <w:lvl w:ilvl="1">
      <w:start w:val="1"/>
      <w:numFmt w:val="bullet"/>
      <w:isLgl w:val="false"/>
      <w:suff w:val="tab"/>
      <w:lvlText w:val="o"/>
      <w:lvlJc w:val="left"/>
      <w:pPr>
        <w:pStyle w:val="1011"/>
        <w:ind w:left="1440" w:hanging="360"/>
      </w:pPr>
      <w:rPr>
        <w:rFonts w:ascii="Courier New" w:hAnsi="Courier New" w:eastAsia="Courier New" w:cs="Courier New"/>
      </w:rPr>
    </w:lvl>
    <w:lvl w:ilvl="2">
      <w:start w:val="1"/>
      <w:numFmt w:val="bullet"/>
      <w:isLgl w:val="false"/>
      <w:suff w:val="tab"/>
      <w:lvlText w:val="§"/>
      <w:lvlJc w:val="left"/>
      <w:pPr>
        <w:pStyle w:val="1011"/>
        <w:ind w:left="2160" w:hanging="360"/>
      </w:pPr>
      <w:rPr>
        <w:rFonts w:ascii="Wingdings" w:hAnsi="Wingdings" w:eastAsia="Wingdings" w:cs="Wingdings"/>
      </w:rPr>
    </w:lvl>
    <w:lvl w:ilvl="3">
      <w:start w:val="1"/>
      <w:numFmt w:val="bullet"/>
      <w:isLgl w:val="false"/>
      <w:suff w:val="tab"/>
      <w:lvlText w:val="·"/>
      <w:lvlJc w:val="left"/>
      <w:pPr>
        <w:pStyle w:val="1011"/>
        <w:ind w:left="2880" w:hanging="360"/>
      </w:pPr>
      <w:rPr>
        <w:rFonts w:ascii="Symbol" w:hAnsi="Symbol" w:eastAsia="Symbol" w:cs="Symbol"/>
      </w:rPr>
    </w:lvl>
    <w:lvl w:ilvl="4">
      <w:start w:val="1"/>
      <w:numFmt w:val="bullet"/>
      <w:isLgl w:val="false"/>
      <w:suff w:val="tab"/>
      <w:lvlText w:val="o"/>
      <w:lvlJc w:val="left"/>
      <w:pPr>
        <w:pStyle w:val="1011"/>
        <w:ind w:left="3600" w:hanging="360"/>
      </w:pPr>
      <w:rPr>
        <w:rFonts w:ascii="Courier New" w:hAnsi="Courier New" w:eastAsia="Courier New" w:cs="Courier New"/>
      </w:rPr>
    </w:lvl>
    <w:lvl w:ilvl="5">
      <w:start w:val="1"/>
      <w:numFmt w:val="bullet"/>
      <w:isLgl w:val="false"/>
      <w:suff w:val="tab"/>
      <w:lvlText w:val="§"/>
      <w:lvlJc w:val="left"/>
      <w:pPr>
        <w:pStyle w:val="1011"/>
        <w:ind w:left="4320" w:hanging="360"/>
      </w:pPr>
      <w:rPr>
        <w:rFonts w:ascii="Wingdings" w:hAnsi="Wingdings" w:eastAsia="Wingdings" w:cs="Wingdings"/>
      </w:rPr>
    </w:lvl>
    <w:lvl w:ilvl="6">
      <w:start w:val="1"/>
      <w:numFmt w:val="bullet"/>
      <w:isLgl w:val="false"/>
      <w:suff w:val="tab"/>
      <w:lvlText w:val="·"/>
      <w:lvlJc w:val="left"/>
      <w:pPr>
        <w:pStyle w:val="1011"/>
        <w:ind w:left="5040" w:hanging="360"/>
      </w:pPr>
      <w:rPr>
        <w:rFonts w:ascii="Symbol" w:hAnsi="Symbol" w:eastAsia="Symbol" w:cs="Symbol"/>
      </w:rPr>
    </w:lvl>
    <w:lvl w:ilvl="7">
      <w:start w:val="1"/>
      <w:numFmt w:val="bullet"/>
      <w:isLgl w:val="false"/>
      <w:suff w:val="tab"/>
      <w:lvlText w:val="o"/>
      <w:lvlJc w:val="left"/>
      <w:pPr>
        <w:pStyle w:val="1011"/>
        <w:ind w:left="5760" w:hanging="360"/>
      </w:pPr>
      <w:rPr>
        <w:rFonts w:ascii="Courier New" w:hAnsi="Courier New" w:eastAsia="Courier New" w:cs="Courier New"/>
      </w:rPr>
    </w:lvl>
    <w:lvl w:ilvl="8">
      <w:start w:val="1"/>
      <w:numFmt w:val="bullet"/>
      <w:isLgl w:val="false"/>
      <w:suff w:val="tab"/>
      <w:lvlText w:val="§"/>
      <w:lvlJc w:val="left"/>
      <w:pPr>
        <w:pStyle w:val="1011"/>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pStyle w:val="1011"/>
      </w:pPr>
      <w:rPr>
        <w:rFonts w:hint="eastAsia"/>
      </w:rPr>
    </w:lvl>
    <w:lvl w:ilvl="1">
      <w:start w:val="1"/>
      <w:numFmt w:val="bullet"/>
      <w:isLgl w:val="false"/>
      <w:suff w:val="tab"/>
      <w:lvlText w:val="o"/>
      <w:lvlJc w:val="left"/>
      <w:pPr>
        <w:pStyle w:val="1011"/>
        <w:ind w:left="1440" w:hanging="360"/>
      </w:pPr>
      <w:rPr>
        <w:rFonts w:ascii="Courier New" w:hAnsi="Courier New" w:eastAsia="Courier New" w:cs="Courier New"/>
      </w:rPr>
    </w:lvl>
    <w:lvl w:ilvl="2">
      <w:start w:val="1"/>
      <w:numFmt w:val="bullet"/>
      <w:isLgl w:val="false"/>
      <w:suff w:val="tab"/>
      <w:lvlText w:val="§"/>
      <w:lvlJc w:val="left"/>
      <w:pPr>
        <w:pStyle w:val="1011"/>
        <w:ind w:left="2160" w:hanging="360"/>
      </w:pPr>
      <w:rPr>
        <w:rFonts w:ascii="Wingdings" w:hAnsi="Wingdings" w:eastAsia="Wingdings" w:cs="Wingdings"/>
      </w:rPr>
    </w:lvl>
    <w:lvl w:ilvl="3">
      <w:start w:val="1"/>
      <w:numFmt w:val="bullet"/>
      <w:isLgl w:val="false"/>
      <w:suff w:val="tab"/>
      <w:lvlText w:val="·"/>
      <w:lvlJc w:val="left"/>
      <w:pPr>
        <w:pStyle w:val="1011"/>
        <w:ind w:left="2880" w:hanging="360"/>
      </w:pPr>
      <w:rPr>
        <w:rFonts w:ascii="Symbol" w:hAnsi="Symbol" w:eastAsia="Symbol" w:cs="Symbol"/>
      </w:rPr>
    </w:lvl>
    <w:lvl w:ilvl="4">
      <w:start w:val="1"/>
      <w:numFmt w:val="bullet"/>
      <w:isLgl w:val="false"/>
      <w:suff w:val="tab"/>
      <w:lvlText w:val="o"/>
      <w:lvlJc w:val="left"/>
      <w:pPr>
        <w:pStyle w:val="1011"/>
        <w:ind w:left="3600" w:hanging="360"/>
      </w:pPr>
      <w:rPr>
        <w:rFonts w:ascii="Courier New" w:hAnsi="Courier New" w:eastAsia="Courier New" w:cs="Courier New"/>
      </w:rPr>
    </w:lvl>
    <w:lvl w:ilvl="5">
      <w:start w:val="1"/>
      <w:numFmt w:val="bullet"/>
      <w:isLgl w:val="false"/>
      <w:suff w:val="tab"/>
      <w:lvlText w:val="§"/>
      <w:lvlJc w:val="left"/>
      <w:pPr>
        <w:pStyle w:val="1011"/>
        <w:ind w:left="4320" w:hanging="360"/>
      </w:pPr>
      <w:rPr>
        <w:rFonts w:ascii="Wingdings" w:hAnsi="Wingdings" w:eastAsia="Wingdings" w:cs="Wingdings"/>
      </w:rPr>
    </w:lvl>
    <w:lvl w:ilvl="6">
      <w:start w:val="1"/>
      <w:numFmt w:val="bullet"/>
      <w:isLgl w:val="false"/>
      <w:suff w:val="tab"/>
      <w:lvlText w:val="·"/>
      <w:lvlJc w:val="left"/>
      <w:pPr>
        <w:pStyle w:val="1011"/>
        <w:ind w:left="5040" w:hanging="360"/>
      </w:pPr>
      <w:rPr>
        <w:rFonts w:ascii="Symbol" w:hAnsi="Symbol" w:eastAsia="Symbol" w:cs="Symbol"/>
      </w:rPr>
    </w:lvl>
    <w:lvl w:ilvl="7">
      <w:start w:val="1"/>
      <w:numFmt w:val="bullet"/>
      <w:isLgl w:val="false"/>
      <w:suff w:val="tab"/>
      <w:lvlText w:val="o"/>
      <w:lvlJc w:val="left"/>
      <w:pPr>
        <w:pStyle w:val="1011"/>
        <w:ind w:left="5760" w:hanging="360"/>
      </w:pPr>
      <w:rPr>
        <w:rFonts w:ascii="Courier New" w:hAnsi="Courier New" w:eastAsia="Courier New" w:cs="Courier New"/>
      </w:rPr>
    </w:lvl>
    <w:lvl w:ilvl="8">
      <w:start w:val="1"/>
      <w:numFmt w:val="bullet"/>
      <w:isLgl w:val="false"/>
      <w:suff w:val="tab"/>
      <w:lvlText w:val="§"/>
      <w:lvlJc w:val="left"/>
      <w:pPr>
        <w:pStyle w:val="1011"/>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1011"/>
        <w:ind w:left="630" w:hanging="420"/>
        <w:tabs>
          <w:tab w:val="num" w:pos="630" w:leader="none"/>
        </w:tabs>
      </w:pPr>
      <w:rPr>
        <w:rFonts w:cs="Times New Roman"/>
      </w:rPr>
    </w:lvl>
    <w:lvl w:ilvl="1">
      <w:start w:val="1"/>
      <w:numFmt w:val="decimal"/>
      <w:isLgl w:val="false"/>
      <w:suff w:val="tab"/>
      <w:lvlText w:val="（%2）"/>
      <w:lvlJc w:val="left"/>
      <w:pPr>
        <w:pStyle w:val="1011"/>
        <w:ind w:left="360" w:hanging="360"/>
        <w:tabs>
          <w:tab w:val="num" w:pos="360" w:leader="none"/>
        </w:tabs>
      </w:pPr>
      <w:rPr>
        <w:rFonts w:ascii="宋体" w:hAnsi="宋体" w:eastAsia="宋体" w:cs="Times New Roman"/>
        <w:color w:val="000000"/>
      </w:rPr>
    </w:lvl>
    <w:lvl w:ilvl="2">
      <w:start w:val="1"/>
      <w:numFmt w:val="lowerRoman"/>
      <w:isLgl w:val="false"/>
      <w:suff w:val="tab"/>
      <w:lvlText w:val="%3."/>
      <w:lvlJc w:val="right"/>
      <w:pPr>
        <w:pStyle w:val="1011"/>
        <w:ind w:left="1470" w:hanging="420"/>
        <w:tabs>
          <w:tab w:val="num" w:pos="1470" w:leader="none"/>
        </w:tabs>
      </w:pPr>
      <w:rPr>
        <w:rFonts w:cs="Times New Roman"/>
      </w:rPr>
    </w:lvl>
    <w:lvl w:ilvl="3">
      <w:start w:val="1"/>
      <w:numFmt w:val="decimal"/>
      <w:isLgl w:val="false"/>
      <w:suff w:val="tab"/>
      <w:lvlText w:val="%4."/>
      <w:lvlJc w:val="left"/>
      <w:pPr>
        <w:pStyle w:val="1011"/>
        <w:ind w:left="1890" w:hanging="420"/>
        <w:tabs>
          <w:tab w:val="num" w:pos="1890" w:leader="none"/>
        </w:tabs>
      </w:pPr>
      <w:rPr>
        <w:rFonts w:cs="Times New Roman"/>
      </w:rPr>
    </w:lvl>
    <w:lvl w:ilvl="4">
      <w:start w:val="1"/>
      <w:numFmt w:val="lowerLetter"/>
      <w:isLgl w:val="false"/>
      <w:suff w:val="tab"/>
      <w:lvlText w:val="%5)"/>
      <w:lvlJc w:val="left"/>
      <w:pPr>
        <w:pStyle w:val="1011"/>
        <w:ind w:left="2310" w:hanging="420"/>
        <w:tabs>
          <w:tab w:val="num" w:pos="2310" w:leader="none"/>
        </w:tabs>
      </w:pPr>
      <w:rPr>
        <w:rFonts w:cs="Times New Roman"/>
      </w:rPr>
    </w:lvl>
    <w:lvl w:ilvl="5">
      <w:start w:val="1"/>
      <w:numFmt w:val="lowerRoman"/>
      <w:isLgl w:val="false"/>
      <w:suff w:val="tab"/>
      <w:lvlText w:val="%6."/>
      <w:lvlJc w:val="right"/>
      <w:pPr>
        <w:pStyle w:val="1011"/>
        <w:ind w:left="2730" w:hanging="420"/>
        <w:tabs>
          <w:tab w:val="num" w:pos="2730" w:leader="none"/>
        </w:tabs>
      </w:pPr>
      <w:rPr>
        <w:rFonts w:cs="Times New Roman"/>
      </w:rPr>
    </w:lvl>
    <w:lvl w:ilvl="6">
      <w:start w:val="1"/>
      <w:numFmt w:val="decimal"/>
      <w:isLgl w:val="false"/>
      <w:suff w:val="tab"/>
      <w:lvlText w:val="%7."/>
      <w:lvlJc w:val="left"/>
      <w:pPr>
        <w:pStyle w:val="1011"/>
        <w:ind w:left="3150" w:hanging="420"/>
        <w:tabs>
          <w:tab w:val="num" w:pos="3150" w:leader="none"/>
        </w:tabs>
      </w:pPr>
      <w:rPr>
        <w:rFonts w:cs="Times New Roman"/>
      </w:rPr>
    </w:lvl>
    <w:lvl w:ilvl="7">
      <w:start w:val="1"/>
      <w:numFmt w:val="lowerLetter"/>
      <w:isLgl w:val="false"/>
      <w:suff w:val="tab"/>
      <w:lvlText w:val="%8)"/>
      <w:lvlJc w:val="left"/>
      <w:pPr>
        <w:pStyle w:val="1011"/>
        <w:ind w:left="3570" w:hanging="420"/>
        <w:tabs>
          <w:tab w:val="num" w:pos="3570" w:leader="none"/>
        </w:tabs>
      </w:pPr>
      <w:rPr>
        <w:rFonts w:cs="Times New Roman"/>
      </w:rPr>
    </w:lvl>
    <w:lvl w:ilvl="8">
      <w:start w:val="1"/>
      <w:numFmt w:val="lowerRoman"/>
      <w:isLgl w:val="false"/>
      <w:suff w:val="tab"/>
      <w:lvlText w:val="%9."/>
      <w:lvlJc w:val="right"/>
      <w:pPr>
        <w:pStyle w:val="1011"/>
        <w:ind w:left="3990" w:hanging="420"/>
        <w:tabs>
          <w:tab w:val="num" w:pos="3990" w:leader="none"/>
        </w:tabs>
      </w:pPr>
      <w:rPr>
        <w:rFonts w:cs="Times New Roman"/>
      </w:rPr>
    </w:lvl>
  </w:abstractNum>
  <w:abstractNum w:abstractNumId="4">
    <w:multiLevelType w:val="hybridMultilevel"/>
    <w:lvl w:ilvl="0">
      <w:start w:val="2"/>
      <w:numFmt w:val="decimal"/>
      <w:isLgl w:val="false"/>
      <w:suff w:val="nothing"/>
      <w:lvlText w:val="（%1）"/>
      <w:lvlJc w:val="left"/>
      <w:pPr>
        <w:pStyle w:val="10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pStyle w:val="1011"/>
        <w:ind w:left="360" w:hanging="360"/>
      </w:pPr>
      <w:rPr>
        <w:rFonts w:hint="eastAsia" w:ascii="宋体" w:hAnsi="宋体" w:eastAsia="宋体" w:cs="Times New Roman"/>
        <w:color w:val="000000"/>
      </w:rPr>
    </w:lvl>
    <w:lvl w:ilvl="1">
      <w:start w:val="1"/>
      <w:numFmt w:val="bullet"/>
      <w:isLgl w:val="false"/>
      <w:suff w:val="tab"/>
      <w:lvlText w:val=""/>
      <w:lvlJc w:val="left"/>
      <w:pPr>
        <w:pStyle w:val="1011"/>
        <w:ind w:left="840" w:hanging="420"/>
      </w:pPr>
      <w:rPr>
        <w:rFonts w:ascii="Wingdings" w:hAnsi="Wingdings"/>
      </w:rPr>
    </w:lvl>
    <w:lvl w:ilvl="2">
      <w:start w:val="1"/>
      <w:numFmt w:val="bullet"/>
      <w:isLgl w:val="false"/>
      <w:suff w:val="tab"/>
      <w:lvlText w:val=""/>
      <w:lvlJc w:val="left"/>
      <w:pPr>
        <w:pStyle w:val="1011"/>
        <w:ind w:left="1260" w:hanging="420"/>
      </w:pPr>
      <w:rPr>
        <w:rFonts w:ascii="Wingdings" w:hAnsi="Wingdings"/>
      </w:rPr>
    </w:lvl>
    <w:lvl w:ilvl="3">
      <w:start w:val="1"/>
      <w:numFmt w:val="bullet"/>
      <w:isLgl w:val="false"/>
      <w:suff w:val="tab"/>
      <w:lvlText w:val=""/>
      <w:lvlJc w:val="left"/>
      <w:pPr>
        <w:pStyle w:val="1011"/>
        <w:ind w:left="1680" w:hanging="420"/>
      </w:pPr>
      <w:rPr>
        <w:rFonts w:ascii="Wingdings" w:hAnsi="Wingdings"/>
      </w:rPr>
    </w:lvl>
    <w:lvl w:ilvl="4">
      <w:start w:val="1"/>
      <w:numFmt w:val="bullet"/>
      <w:isLgl w:val="false"/>
      <w:suff w:val="tab"/>
      <w:lvlText w:val=""/>
      <w:lvlJc w:val="left"/>
      <w:pPr>
        <w:pStyle w:val="1011"/>
        <w:ind w:left="2100" w:hanging="420"/>
      </w:pPr>
      <w:rPr>
        <w:rFonts w:ascii="Wingdings" w:hAnsi="Wingdings"/>
      </w:rPr>
    </w:lvl>
    <w:lvl w:ilvl="5">
      <w:start w:val="1"/>
      <w:numFmt w:val="bullet"/>
      <w:isLgl w:val="false"/>
      <w:suff w:val="tab"/>
      <w:lvlText w:val=""/>
      <w:lvlJc w:val="left"/>
      <w:pPr>
        <w:pStyle w:val="1011"/>
        <w:ind w:left="2520" w:hanging="420"/>
      </w:pPr>
      <w:rPr>
        <w:rFonts w:ascii="Wingdings" w:hAnsi="Wingdings"/>
      </w:rPr>
    </w:lvl>
    <w:lvl w:ilvl="6">
      <w:start w:val="1"/>
      <w:numFmt w:val="bullet"/>
      <w:isLgl w:val="false"/>
      <w:suff w:val="tab"/>
      <w:lvlText w:val=""/>
      <w:lvlJc w:val="left"/>
      <w:pPr>
        <w:pStyle w:val="1011"/>
        <w:ind w:left="2940" w:hanging="420"/>
      </w:pPr>
      <w:rPr>
        <w:rFonts w:ascii="Wingdings" w:hAnsi="Wingdings"/>
      </w:rPr>
    </w:lvl>
    <w:lvl w:ilvl="7">
      <w:start w:val="1"/>
      <w:numFmt w:val="bullet"/>
      <w:isLgl w:val="false"/>
      <w:suff w:val="tab"/>
      <w:lvlText w:val=""/>
      <w:lvlJc w:val="left"/>
      <w:pPr>
        <w:pStyle w:val="1011"/>
        <w:ind w:left="3360" w:hanging="420"/>
      </w:pPr>
      <w:rPr>
        <w:rFonts w:ascii="Wingdings" w:hAnsi="Wingdings"/>
      </w:rPr>
    </w:lvl>
    <w:lvl w:ilvl="8">
      <w:start w:val="1"/>
      <w:numFmt w:val="bullet"/>
      <w:isLgl w:val="false"/>
      <w:suff w:val="tab"/>
      <w:lvlText w:val=""/>
      <w:lvlJc w:val="left"/>
      <w:pPr>
        <w:pStyle w:val="1011"/>
        <w:ind w:left="3780" w:hanging="420"/>
      </w:pPr>
      <w:rPr>
        <w:rFonts w:ascii="Wingdings" w:hAnsi="Wingdings"/>
      </w:rPr>
    </w:lvl>
  </w:abstractNum>
  <w:abstractNum w:abstractNumId="6">
    <w:multiLevelType w:val="hybridMultilevel"/>
    <w:lvl w:ilvl="0">
      <w:start w:val="1"/>
      <w:numFmt w:val="decimal"/>
      <w:isLgl w:val="false"/>
      <w:suff w:val="space"/>
      <w:lvlText w:val="（%1）"/>
      <w:lvlJc w:val="left"/>
      <w:pPr>
        <w:pStyle w:val="1011"/>
        <w:ind w:left="250" w:hanging="250"/>
      </w:pPr>
      <w:rPr>
        <w:rFonts w:hint="eastAsia"/>
      </w:rPr>
    </w:lvl>
    <w:lvl w:ilvl="1">
      <w:start w:val="1"/>
      <w:numFmt w:val="lowerLetter"/>
      <w:isLgl w:val="false"/>
      <w:suff w:val="tab"/>
      <w:lvlText w:val="%2)"/>
      <w:lvlJc w:val="left"/>
      <w:pPr>
        <w:pStyle w:val="1011"/>
        <w:ind w:left="840" w:hanging="420"/>
      </w:pPr>
    </w:lvl>
    <w:lvl w:ilvl="2">
      <w:start w:val="1"/>
      <w:numFmt w:val="lowerRoman"/>
      <w:isLgl w:val="false"/>
      <w:suff w:val="tab"/>
      <w:lvlText w:val="%3."/>
      <w:lvlJc w:val="right"/>
      <w:pPr>
        <w:pStyle w:val="1011"/>
        <w:ind w:left="1260" w:hanging="420"/>
      </w:pPr>
    </w:lvl>
    <w:lvl w:ilvl="3">
      <w:start w:val="1"/>
      <w:numFmt w:val="decimal"/>
      <w:isLgl w:val="false"/>
      <w:suff w:val="tab"/>
      <w:lvlText w:val="%4."/>
      <w:lvlJc w:val="left"/>
      <w:pPr>
        <w:pStyle w:val="1011"/>
        <w:ind w:left="1680" w:hanging="420"/>
      </w:pPr>
    </w:lvl>
    <w:lvl w:ilvl="4">
      <w:start w:val="1"/>
      <w:numFmt w:val="lowerLetter"/>
      <w:isLgl w:val="false"/>
      <w:suff w:val="tab"/>
      <w:lvlText w:val="%5)"/>
      <w:lvlJc w:val="left"/>
      <w:pPr>
        <w:pStyle w:val="1011"/>
        <w:ind w:left="2100" w:hanging="420"/>
      </w:pPr>
    </w:lvl>
    <w:lvl w:ilvl="5">
      <w:start w:val="1"/>
      <w:numFmt w:val="lowerRoman"/>
      <w:isLgl w:val="false"/>
      <w:suff w:val="tab"/>
      <w:lvlText w:val="%6."/>
      <w:lvlJc w:val="right"/>
      <w:pPr>
        <w:pStyle w:val="1011"/>
        <w:ind w:left="2520" w:hanging="420"/>
      </w:pPr>
    </w:lvl>
    <w:lvl w:ilvl="6">
      <w:start w:val="1"/>
      <w:numFmt w:val="decimal"/>
      <w:isLgl w:val="false"/>
      <w:suff w:val="tab"/>
      <w:lvlText w:val="%7."/>
      <w:lvlJc w:val="left"/>
      <w:pPr>
        <w:pStyle w:val="1011"/>
        <w:ind w:left="2940" w:hanging="420"/>
      </w:pPr>
    </w:lvl>
    <w:lvl w:ilvl="7">
      <w:start w:val="1"/>
      <w:numFmt w:val="lowerLetter"/>
      <w:isLgl w:val="false"/>
      <w:suff w:val="tab"/>
      <w:lvlText w:val="%8)"/>
      <w:lvlJc w:val="left"/>
      <w:pPr>
        <w:pStyle w:val="1011"/>
        <w:ind w:left="3360" w:hanging="420"/>
      </w:pPr>
    </w:lvl>
    <w:lvl w:ilvl="8">
      <w:start w:val="1"/>
      <w:numFmt w:val="lowerRoman"/>
      <w:isLgl w:val="false"/>
      <w:suff w:val="tab"/>
      <w:lvlText w:val="%9."/>
      <w:lvlJc w:val="right"/>
      <w:pPr>
        <w:pStyle w:val="1011"/>
        <w:ind w:left="3780" w:hanging="420"/>
      </w:pPr>
    </w:lvl>
  </w:abstractNum>
  <w:abstractNum w:abstractNumId="7">
    <w:multiLevelType w:val="hybridMultilevel"/>
    <w:lvl w:ilvl="0">
      <w:start w:val="2"/>
      <w:numFmt w:val="decimal"/>
      <w:isLgl w:val="false"/>
      <w:suff w:val="tab"/>
      <w:lvlText w:val="%1."/>
      <w:lvlJc w:val="left"/>
      <w:pPr>
        <w:pStyle w:val="1011"/>
        <w:tabs>
          <w:tab w:val="num" w:pos="312" w:leader="none"/>
        </w:tabs>
      </w:pPr>
    </w:lvl>
    <w:lvl w:ilvl="1">
      <w:start w:val="1"/>
      <w:numFmt w:val="bullet"/>
      <w:isLgl w:val="false"/>
      <w:suff w:val="tab"/>
      <w:lvlText w:val="o"/>
      <w:lvlJc w:val="left"/>
      <w:pPr>
        <w:pStyle w:val="1011"/>
        <w:ind w:left="1440" w:hanging="360"/>
      </w:pPr>
      <w:rPr>
        <w:rFonts w:ascii="Courier New" w:hAnsi="Courier New" w:eastAsia="Courier New" w:cs="Courier New"/>
      </w:rPr>
    </w:lvl>
    <w:lvl w:ilvl="2">
      <w:start w:val="1"/>
      <w:numFmt w:val="bullet"/>
      <w:isLgl w:val="false"/>
      <w:suff w:val="tab"/>
      <w:lvlText w:val="§"/>
      <w:lvlJc w:val="left"/>
      <w:pPr>
        <w:pStyle w:val="1011"/>
        <w:ind w:left="2160" w:hanging="360"/>
      </w:pPr>
      <w:rPr>
        <w:rFonts w:ascii="Wingdings" w:hAnsi="Wingdings" w:eastAsia="Wingdings" w:cs="Wingdings"/>
      </w:rPr>
    </w:lvl>
    <w:lvl w:ilvl="3">
      <w:start w:val="1"/>
      <w:numFmt w:val="bullet"/>
      <w:isLgl w:val="false"/>
      <w:suff w:val="tab"/>
      <w:lvlText w:val="·"/>
      <w:lvlJc w:val="left"/>
      <w:pPr>
        <w:pStyle w:val="1011"/>
        <w:ind w:left="2880" w:hanging="360"/>
      </w:pPr>
      <w:rPr>
        <w:rFonts w:ascii="Symbol" w:hAnsi="Symbol" w:eastAsia="Symbol" w:cs="Symbol"/>
      </w:rPr>
    </w:lvl>
    <w:lvl w:ilvl="4">
      <w:start w:val="1"/>
      <w:numFmt w:val="bullet"/>
      <w:isLgl w:val="false"/>
      <w:suff w:val="tab"/>
      <w:lvlText w:val="o"/>
      <w:lvlJc w:val="left"/>
      <w:pPr>
        <w:pStyle w:val="1011"/>
        <w:ind w:left="3600" w:hanging="360"/>
      </w:pPr>
      <w:rPr>
        <w:rFonts w:ascii="Courier New" w:hAnsi="Courier New" w:eastAsia="Courier New" w:cs="Courier New"/>
      </w:rPr>
    </w:lvl>
    <w:lvl w:ilvl="5">
      <w:start w:val="1"/>
      <w:numFmt w:val="bullet"/>
      <w:isLgl w:val="false"/>
      <w:suff w:val="tab"/>
      <w:lvlText w:val="§"/>
      <w:lvlJc w:val="left"/>
      <w:pPr>
        <w:pStyle w:val="1011"/>
        <w:ind w:left="4320" w:hanging="360"/>
      </w:pPr>
      <w:rPr>
        <w:rFonts w:ascii="Wingdings" w:hAnsi="Wingdings" w:eastAsia="Wingdings" w:cs="Wingdings"/>
      </w:rPr>
    </w:lvl>
    <w:lvl w:ilvl="6">
      <w:start w:val="1"/>
      <w:numFmt w:val="bullet"/>
      <w:isLgl w:val="false"/>
      <w:suff w:val="tab"/>
      <w:lvlText w:val="·"/>
      <w:lvlJc w:val="left"/>
      <w:pPr>
        <w:pStyle w:val="1011"/>
        <w:ind w:left="5040" w:hanging="360"/>
      </w:pPr>
      <w:rPr>
        <w:rFonts w:ascii="Symbol" w:hAnsi="Symbol" w:eastAsia="Symbol" w:cs="Symbol"/>
      </w:rPr>
    </w:lvl>
    <w:lvl w:ilvl="7">
      <w:start w:val="1"/>
      <w:numFmt w:val="bullet"/>
      <w:isLgl w:val="false"/>
      <w:suff w:val="tab"/>
      <w:lvlText w:val="o"/>
      <w:lvlJc w:val="left"/>
      <w:pPr>
        <w:pStyle w:val="1011"/>
        <w:ind w:left="5760" w:hanging="360"/>
      </w:pPr>
      <w:rPr>
        <w:rFonts w:ascii="Courier New" w:hAnsi="Courier New" w:eastAsia="Courier New" w:cs="Courier New"/>
      </w:rPr>
    </w:lvl>
    <w:lvl w:ilvl="8">
      <w:start w:val="1"/>
      <w:numFmt w:val="bullet"/>
      <w:isLgl w:val="false"/>
      <w:suff w:val="tab"/>
      <w:lvlText w:val="§"/>
      <w:lvlJc w:val="left"/>
      <w:pPr>
        <w:pStyle w:val="1011"/>
        <w:ind w:left="6480" w:hanging="360"/>
      </w:pPr>
      <w:rPr>
        <w:rFonts w:ascii="Wingdings" w:hAnsi="Wingdings" w:eastAsia="Wingdings" w:cs="Wingdings"/>
      </w:rPr>
    </w:lvl>
  </w:abstractNum>
  <w:num w:numId="1">
    <w:abstractNumId w:val="5"/>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6"/>
  </w:num>
  <w:num w:numId="6">
    <w:abstractNumId w:val="0"/>
  </w:num>
  <w:num w:numId="7">
    <w:abstractNumId w:val="1"/>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1">
    <w:name w:val="Heading 1"/>
    <w:basedOn w:val="1011"/>
    <w:next w:val="1011"/>
    <w:link w:val="1079"/>
    <w:uiPriority w:val="9"/>
    <w:qFormat/>
    <w:pPr>
      <w:keepLines/>
      <w:keepNext/>
      <w:spacing w:before="480" w:after="200"/>
      <w:outlineLvl w:val="0"/>
    </w:pPr>
    <w:rPr>
      <w:rFonts w:ascii="Arial" w:hAnsi="Arial" w:eastAsia="Arial" w:cs="Arial"/>
      <w:sz w:val="40"/>
      <w:szCs w:val="40"/>
    </w:rPr>
  </w:style>
  <w:style w:type="paragraph" w:styleId="982">
    <w:name w:val="Heading 2"/>
    <w:basedOn w:val="1011"/>
    <w:next w:val="1011"/>
    <w:link w:val="1080"/>
    <w:uiPriority w:val="9"/>
    <w:unhideWhenUsed/>
    <w:qFormat/>
    <w:pPr>
      <w:keepLines/>
      <w:keepNext/>
      <w:spacing w:before="360" w:after="200"/>
      <w:outlineLvl w:val="1"/>
    </w:pPr>
    <w:rPr>
      <w:rFonts w:ascii="Arial" w:hAnsi="Arial" w:eastAsia="Arial" w:cs="Arial"/>
      <w:sz w:val="34"/>
    </w:rPr>
  </w:style>
  <w:style w:type="paragraph" w:styleId="983">
    <w:name w:val="Heading 3"/>
    <w:basedOn w:val="1011"/>
    <w:next w:val="1011"/>
    <w:link w:val="1081"/>
    <w:uiPriority w:val="9"/>
    <w:unhideWhenUsed/>
    <w:qFormat/>
    <w:pPr>
      <w:keepLines/>
      <w:keepNext/>
      <w:spacing w:before="320" w:after="200"/>
      <w:outlineLvl w:val="2"/>
    </w:pPr>
    <w:rPr>
      <w:rFonts w:ascii="Arial" w:hAnsi="Arial" w:eastAsia="Arial" w:cs="Arial"/>
      <w:sz w:val="30"/>
      <w:szCs w:val="30"/>
    </w:rPr>
  </w:style>
  <w:style w:type="paragraph" w:styleId="984">
    <w:name w:val="Heading 4"/>
    <w:basedOn w:val="1011"/>
    <w:next w:val="1011"/>
    <w:link w:val="1082"/>
    <w:uiPriority w:val="9"/>
    <w:unhideWhenUsed/>
    <w:qFormat/>
    <w:pPr>
      <w:keepLines/>
      <w:keepNext/>
      <w:spacing w:before="320" w:after="200"/>
      <w:outlineLvl w:val="3"/>
    </w:pPr>
    <w:rPr>
      <w:rFonts w:ascii="Arial" w:hAnsi="Arial" w:eastAsia="Arial" w:cs="Arial"/>
      <w:b/>
      <w:bCs/>
      <w:sz w:val="26"/>
      <w:szCs w:val="26"/>
    </w:rPr>
  </w:style>
  <w:style w:type="paragraph" w:styleId="985">
    <w:name w:val="Heading 5"/>
    <w:basedOn w:val="1011"/>
    <w:next w:val="1011"/>
    <w:link w:val="1083"/>
    <w:uiPriority w:val="9"/>
    <w:unhideWhenUsed/>
    <w:qFormat/>
    <w:pPr>
      <w:keepLines/>
      <w:keepNext/>
      <w:spacing w:before="320" w:after="200"/>
      <w:outlineLvl w:val="4"/>
    </w:pPr>
    <w:rPr>
      <w:rFonts w:ascii="Arial" w:hAnsi="Arial" w:eastAsia="Arial" w:cs="Arial"/>
      <w:b/>
      <w:bCs/>
      <w:sz w:val="24"/>
      <w:szCs w:val="24"/>
    </w:rPr>
  </w:style>
  <w:style w:type="paragraph" w:styleId="986">
    <w:name w:val="Heading 6"/>
    <w:basedOn w:val="1011"/>
    <w:next w:val="1011"/>
    <w:link w:val="1084"/>
    <w:uiPriority w:val="9"/>
    <w:unhideWhenUsed/>
    <w:qFormat/>
    <w:pPr>
      <w:keepLines/>
      <w:keepNext/>
      <w:spacing w:before="320" w:after="200"/>
      <w:outlineLvl w:val="5"/>
    </w:pPr>
    <w:rPr>
      <w:rFonts w:ascii="Arial" w:hAnsi="Arial" w:eastAsia="Arial" w:cs="Arial"/>
      <w:b/>
      <w:bCs/>
      <w:sz w:val="22"/>
      <w:szCs w:val="22"/>
    </w:rPr>
  </w:style>
  <w:style w:type="paragraph" w:styleId="987">
    <w:name w:val="Heading 7"/>
    <w:basedOn w:val="1011"/>
    <w:next w:val="1011"/>
    <w:link w:val="1085"/>
    <w:uiPriority w:val="9"/>
    <w:unhideWhenUsed/>
    <w:qFormat/>
    <w:pPr>
      <w:keepLines/>
      <w:keepNext/>
      <w:spacing w:before="320" w:after="200"/>
      <w:outlineLvl w:val="6"/>
    </w:pPr>
    <w:rPr>
      <w:rFonts w:ascii="Arial" w:hAnsi="Arial" w:eastAsia="Arial" w:cs="Arial"/>
      <w:b/>
      <w:bCs/>
      <w:i/>
      <w:iCs/>
      <w:sz w:val="22"/>
      <w:szCs w:val="22"/>
    </w:rPr>
  </w:style>
  <w:style w:type="paragraph" w:styleId="988">
    <w:name w:val="Heading 8"/>
    <w:basedOn w:val="1011"/>
    <w:next w:val="1011"/>
    <w:link w:val="1086"/>
    <w:uiPriority w:val="9"/>
    <w:unhideWhenUsed/>
    <w:qFormat/>
    <w:pPr>
      <w:keepLines/>
      <w:keepNext/>
      <w:spacing w:before="320" w:after="200"/>
      <w:outlineLvl w:val="7"/>
    </w:pPr>
    <w:rPr>
      <w:rFonts w:ascii="Arial" w:hAnsi="Arial" w:eastAsia="Arial" w:cs="Arial"/>
      <w:i/>
      <w:iCs/>
      <w:sz w:val="22"/>
      <w:szCs w:val="22"/>
    </w:rPr>
  </w:style>
  <w:style w:type="paragraph" w:styleId="989">
    <w:name w:val="Heading 9"/>
    <w:basedOn w:val="1011"/>
    <w:next w:val="1011"/>
    <w:link w:val="1087"/>
    <w:uiPriority w:val="9"/>
    <w:unhideWhenUsed/>
    <w:qFormat/>
    <w:pPr>
      <w:keepLines/>
      <w:keepNext/>
      <w:spacing w:before="320" w:after="200"/>
      <w:outlineLvl w:val="8"/>
    </w:pPr>
    <w:rPr>
      <w:rFonts w:ascii="Arial" w:hAnsi="Arial" w:eastAsia="Arial" w:cs="Arial"/>
      <w:i/>
      <w:iCs/>
      <w:sz w:val="21"/>
      <w:szCs w:val="21"/>
    </w:rPr>
  </w:style>
  <w:style w:type="paragraph" w:styleId="990">
    <w:name w:val="Title"/>
    <w:basedOn w:val="1011"/>
    <w:next w:val="1011"/>
    <w:link w:val="1108"/>
    <w:uiPriority w:val="10"/>
    <w:qFormat/>
    <w:pPr>
      <w:contextualSpacing/>
      <w:spacing w:before="300" w:after="200"/>
    </w:pPr>
    <w:rPr>
      <w:sz w:val="48"/>
      <w:szCs w:val="48"/>
    </w:rPr>
  </w:style>
  <w:style w:type="paragraph" w:styleId="991">
    <w:name w:val="Subtitle"/>
    <w:basedOn w:val="1011"/>
    <w:next w:val="1011"/>
    <w:link w:val="1109"/>
    <w:uiPriority w:val="11"/>
    <w:qFormat/>
    <w:pPr>
      <w:spacing w:before="200" w:after="200"/>
    </w:pPr>
    <w:rPr>
      <w:sz w:val="24"/>
      <w:szCs w:val="24"/>
    </w:rPr>
  </w:style>
  <w:style w:type="paragraph" w:styleId="992">
    <w:name w:val="Header"/>
    <w:basedOn w:val="1011"/>
    <w:link w:val="1166"/>
    <w:uiPriority w:val="99"/>
    <w:unhideWhenUsed/>
    <w:pPr>
      <w:spacing w:after="0" w:line="240" w:lineRule="auto"/>
      <w:tabs>
        <w:tab w:val="center" w:pos="7143" w:leader="none"/>
        <w:tab w:val="right" w:pos="14287" w:leader="none"/>
      </w:tabs>
    </w:pPr>
  </w:style>
  <w:style w:type="paragraph" w:styleId="993">
    <w:name w:val="Footer"/>
    <w:basedOn w:val="1011"/>
    <w:link w:val="1112"/>
    <w:uiPriority w:val="99"/>
    <w:unhideWhenUsed/>
    <w:pPr>
      <w:spacing w:after="0" w:line="240" w:lineRule="auto"/>
      <w:tabs>
        <w:tab w:val="center" w:pos="7143" w:leader="none"/>
        <w:tab w:val="right" w:pos="14287" w:leader="none"/>
      </w:tabs>
    </w:pPr>
  </w:style>
  <w:style w:type="paragraph" w:styleId="994">
    <w:name w:val="Caption"/>
    <w:basedOn w:val="1011"/>
    <w:next w:val="1011"/>
    <w:uiPriority w:val="35"/>
    <w:semiHidden/>
    <w:unhideWhenUsed/>
    <w:qFormat/>
    <w:pPr>
      <w:spacing w:line="276" w:lineRule="auto"/>
    </w:pPr>
    <w:rPr>
      <w:b/>
      <w:bCs/>
      <w:color w:val="4f81bd" w:themeColor="accent1"/>
      <w:sz w:val="18"/>
      <w:szCs w:val="18"/>
    </w:rPr>
  </w:style>
  <w:style w:type="table" w:styleId="99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6">
    <w:name w:val="Hyperlink"/>
    <w:uiPriority w:val="99"/>
    <w:unhideWhenUsed/>
    <w:rPr>
      <w:color w:val="0000ff" w:themeColor="hyperlink"/>
      <w:u w:val="single"/>
    </w:rPr>
  </w:style>
  <w:style w:type="paragraph" w:styleId="997">
    <w:name w:val="footnote text"/>
    <w:basedOn w:val="1011"/>
    <w:link w:val="1132"/>
    <w:uiPriority w:val="99"/>
    <w:semiHidden/>
    <w:unhideWhenUsed/>
    <w:pPr>
      <w:spacing w:after="40" w:line="240" w:lineRule="auto"/>
    </w:pPr>
    <w:rPr>
      <w:sz w:val="18"/>
    </w:rPr>
  </w:style>
  <w:style w:type="character" w:styleId="998">
    <w:name w:val="footnote reference"/>
    <w:uiPriority w:val="99"/>
    <w:unhideWhenUsed/>
    <w:rPr>
      <w:vertAlign w:val="superscript"/>
    </w:rPr>
  </w:style>
  <w:style w:type="paragraph" w:styleId="999">
    <w:name w:val="endnote text"/>
    <w:basedOn w:val="1011"/>
    <w:link w:val="1133"/>
    <w:uiPriority w:val="99"/>
    <w:semiHidden/>
    <w:unhideWhenUsed/>
    <w:pPr>
      <w:spacing w:after="0" w:line="240" w:lineRule="auto"/>
    </w:pPr>
    <w:rPr>
      <w:sz w:val="20"/>
    </w:rPr>
  </w:style>
  <w:style w:type="character" w:styleId="1000">
    <w:name w:val="endnote reference"/>
    <w:uiPriority w:val="99"/>
    <w:semiHidden/>
    <w:unhideWhenUsed/>
    <w:rPr>
      <w:vertAlign w:val="superscript"/>
    </w:rPr>
  </w:style>
  <w:style w:type="paragraph" w:styleId="1001">
    <w:name w:val="toc 1"/>
    <w:basedOn w:val="1011"/>
    <w:next w:val="1011"/>
    <w:uiPriority w:val="39"/>
    <w:unhideWhenUsed/>
    <w:pPr>
      <w:ind w:left="0" w:right="0" w:firstLine="0"/>
      <w:spacing w:after="57"/>
    </w:pPr>
  </w:style>
  <w:style w:type="paragraph" w:styleId="1002">
    <w:name w:val="toc 2"/>
    <w:basedOn w:val="1011"/>
    <w:next w:val="1011"/>
    <w:uiPriority w:val="39"/>
    <w:unhideWhenUsed/>
    <w:pPr>
      <w:ind w:left="283" w:right="0" w:firstLine="0"/>
      <w:spacing w:after="57"/>
    </w:pPr>
  </w:style>
  <w:style w:type="paragraph" w:styleId="1003">
    <w:name w:val="toc 3"/>
    <w:basedOn w:val="1011"/>
    <w:next w:val="1011"/>
    <w:uiPriority w:val="39"/>
    <w:unhideWhenUsed/>
    <w:pPr>
      <w:ind w:left="567" w:right="0" w:firstLine="0"/>
      <w:spacing w:after="57"/>
    </w:pPr>
  </w:style>
  <w:style w:type="paragraph" w:styleId="1004">
    <w:name w:val="toc 4"/>
    <w:basedOn w:val="1011"/>
    <w:next w:val="1011"/>
    <w:uiPriority w:val="39"/>
    <w:unhideWhenUsed/>
    <w:pPr>
      <w:ind w:left="850" w:right="0" w:firstLine="0"/>
      <w:spacing w:after="57"/>
    </w:pPr>
  </w:style>
  <w:style w:type="paragraph" w:styleId="1005">
    <w:name w:val="toc 5"/>
    <w:basedOn w:val="1011"/>
    <w:next w:val="1011"/>
    <w:uiPriority w:val="39"/>
    <w:unhideWhenUsed/>
    <w:pPr>
      <w:ind w:left="1134" w:right="0" w:firstLine="0"/>
      <w:spacing w:after="57"/>
    </w:pPr>
  </w:style>
  <w:style w:type="paragraph" w:styleId="1006">
    <w:name w:val="toc 6"/>
    <w:basedOn w:val="1011"/>
    <w:next w:val="1011"/>
    <w:uiPriority w:val="39"/>
    <w:unhideWhenUsed/>
    <w:pPr>
      <w:ind w:left="1417" w:right="0" w:firstLine="0"/>
      <w:spacing w:after="57"/>
    </w:pPr>
  </w:style>
  <w:style w:type="paragraph" w:styleId="1007">
    <w:name w:val="toc 7"/>
    <w:basedOn w:val="1011"/>
    <w:next w:val="1011"/>
    <w:uiPriority w:val="39"/>
    <w:unhideWhenUsed/>
    <w:pPr>
      <w:ind w:left="1701" w:right="0" w:firstLine="0"/>
      <w:spacing w:after="57"/>
    </w:pPr>
  </w:style>
  <w:style w:type="paragraph" w:styleId="1008">
    <w:name w:val="toc 8"/>
    <w:basedOn w:val="1011"/>
    <w:next w:val="1011"/>
    <w:uiPriority w:val="39"/>
    <w:unhideWhenUsed/>
    <w:pPr>
      <w:ind w:left="1984" w:right="0" w:firstLine="0"/>
      <w:spacing w:after="57"/>
    </w:pPr>
  </w:style>
  <w:style w:type="paragraph" w:styleId="1009">
    <w:name w:val="toc 9"/>
    <w:basedOn w:val="1011"/>
    <w:next w:val="1011"/>
    <w:uiPriority w:val="39"/>
    <w:unhideWhenUsed/>
    <w:pPr>
      <w:ind w:left="2268" w:right="0" w:firstLine="0"/>
      <w:spacing w:after="57"/>
    </w:pPr>
  </w:style>
  <w:style w:type="paragraph" w:styleId="1010">
    <w:name w:val="table of figures"/>
    <w:basedOn w:val="1011"/>
    <w:next w:val="1011"/>
    <w:uiPriority w:val="99"/>
    <w:unhideWhenUsed/>
    <w:pPr>
      <w:spacing w:after="0" w:afterAutospacing="0"/>
    </w:pPr>
  </w:style>
  <w:style w:type="paragraph" w:styleId="1011" w:default="1">
    <w:name w:val="Normal"/>
    <w:next w:val="1011"/>
    <w:link w:val="1011"/>
    <w:qFormat/>
    <w:pPr>
      <w:jc w:val="both"/>
      <w:widowControl w:val="off"/>
    </w:pPr>
    <w:rPr>
      <w:rFonts w:ascii="Times New Roman" w:hAnsi="Times New Roman" w:eastAsia="楷体_GB2312" w:cs="Times New Roman"/>
      <w:sz w:val="26"/>
    </w:rPr>
  </w:style>
  <w:style w:type="paragraph" w:styleId="1012">
    <w:name w:val="标题 1"/>
    <w:basedOn w:val="1011"/>
    <w:next w:val="1011"/>
    <w:link w:val="1023"/>
    <w:uiPriority w:val="9"/>
    <w:qFormat/>
    <w:pPr>
      <w:keepLines/>
      <w:keepNext/>
      <w:spacing w:before="480" w:after="200"/>
      <w:outlineLvl w:val="0"/>
    </w:pPr>
    <w:rPr>
      <w:rFonts w:ascii="Arial" w:hAnsi="Arial" w:eastAsia="Arial" w:cs="Arial"/>
      <w:sz w:val="40"/>
      <w:szCs w:val="40"/>
    </w:rPr>
  </w:style>
  <w:style w:type="paragraph" w:styleId="1013">
    <w:name w:val="标题 2"/>
    <w:basedOn w:val="1011"/>
    <w:next w:val="1011"/>
    <w:link w:val="1024"/>
    <w:uiPriority w:val="9"/>
    <w:unhideWhenUsed/>
    <w:qFormat/>
    <w:pPr>
      <w:keepLines/>
      <w:keepNext/>
      <w:spacing w:before="360" w:after="200"/>
      <w:outlineLvl w:val="1"/>
    </w:pPr>
    <w:rPr>
      <w:rFonts w:ascii="Arial" w:hAnsi="Arial" w:eastAsia="Arial" w:cs="Arial"/>
      <w:sz w:val="34"/>
    </w:rPr>
  </w:style>
  <w:style w:type="paragraph" w:styleId="1014">
    <w:name w:val="标题 3"/>
    <w:basedOn w:val="1011"/>
    <w:next w:val="1011"/>
    <w:link w:val="1025"/>
    <w:uiPriority w:val="9"/>
    <w:unhideWhenUsed/>
    <w:qFormat/>
    <w:pPr>
      <w:keepLines/>
      <w:keepNext/>
      <w:spacing w:before="320" w:after="200"/>
      <w:outlineLvl w:val="2"/>
    </w:pPr>
    <w:rPr>
      <w:rFonts w:ascii="Arial" w:hAnsi="Arial" w:eastAsia="Arial" w:cs="Arial"/>
      <w:sz w:val="30"/>
      <w:szCs w:val="30"/>
    </w:rPr>
  </w:style>
  <w:style w:type="paragraph" w:styleId="1015">
    <w:name w:val="标题 4"/>
    <w:basedOn w:val="1011"/>
    <w:next w:val="1011"/>
    <w:link w:val="1026"/>
    <w:uiPriority w:val="9"/>
    <w:unhideWhenUsed/>
    <w:qFormat/>
    <w:pPr>
      <w:keepLines/>
      <w:keepNext/>
      <w:spacing w:before="320" w:after="200"/>
      <w:outlineLvl w:val="3"/>
    </w:pPr>
    <w:rPr>
      <w:rFonts w:ascii="Arial" w:hAnsi="Arial" w:eastAsia="Arial" w:cs="Arial"/>
      <w:b/>
      <w:bCs/>
      <w:szCs w:val="26"/>
    </w:rPr>
  </w:style>
  <w:style w:type="paragraph" w:styleId="1016">
    <w:name w:val="标题 5"/>
    <w:basedOn w:val="1011"/>
    <w:next w:val="1011"/>
    <w:link w:val="1027"/>
    <w:uiPriority w:val="9"/>
    <w:unhideWhenUsed/>
    <w:qFormat/>
    <w:pPr>
      <w:keepLines/>
      <w:keepNext/>
      <w:spacing w:before="320" w:after="200"/>
      <w:outlineLvl w:val="4"/>
    </w:pPr>
    <w:rPr>
      <w:rFonts w:ascii="Arial" w:hAnsi="Arial" w:eastAsia="Arial" w:cs="Arial"/>
      <w:b/>
      <w:bCs/>
      <w:sz w:val="24"/>
      <w:szCs w:val="24"/>
    </w:rPr>
  </w:style>
  <w:style w:type="paragraph" w:styleId="1017">
    <w:name w:val="标题 6"/>
    <w:basedOn w:val="1011"/>
    <w:next w:val="1011"/>
    <w:link w:val="1028"/>
    <w:uiPriority w:val="9"/>
    <w:unhideWhenUsed/>
    <w:qFormat/>
    <w:pPr>
      <w:keepLines/>
      <w:keepNext/>
      <w:spacing w:before="320" w:after="200"/>
      <w:outlineLvl w:val="5"/>
    </w:pPr>
    <w:rPr>
      <w:rFonts w:ascii="Arial" w:hAnsi="Arial" w:eastAsia="Arial" w:cs="Arial"/>
      <w:b/>
      <w:bCs/>
      <w:sz w:val="22"/>
      <w:szCs w:val="22"/>
    </w:rPr>
  </w:style>
  <w:style w:type="paragraph" w:styleId="1018">
    <w:name w:val="标题 7"/>
    <w:basedOn w:val="1011"/>
    <w:next w:val="1011"/>
    <w:link w:val="1029"/>
    <w:uiPriority w:val="9"/>
    <w:unhideWhenUsed/>
    <w:qFormat/>
    <w:pPr>
      <w:keepLines/>
      <w:keepNext/>
      <w:spacing w:before="320" w:after="200"/>
      <w:outlineLvl w:val="6"/>
    </w:pPr>
    <w:rPr>
      <w:rFonts w:ascii="Arial" w:hAnsi="Arial" w:eastAsia="Arial" w:cs="Arial"/>
      <w:b/>
      <w:bCs/>
      <w:i/>
      <w:iCs/>
      <w:sz w:val="22"/>
      <w:szCs w:val="22"/>
    </w:rPr>
  </w:style>
  <w:style w:type="paragraph" w:styleId="1019">
    <w:name w:val="标题 8"/>
    <w:basedOn w:val="1011"/>
    <w:next w:val="1011"/>
    <w:link w:val="1030"/>
    <w:uiPriority w:val="9"/>
    <w:unhideWhenUsed/>
    <w:qFormat/>
    <w:pPr>
      <w:keepLines/>
      <w:keepNext/>
      <w:spacing w:before="320" w:after="200"/>
      <w:outlineLvl w:val="7"/>
    </w:pPr>
    <w:rPr>
      <w:rFonts w:ascii="Arial" w:hAnsi="Arial" w:eastAsia="Arial" w:cs="Arial"/>
      <w:i/>
      <w:iCs/>
      <w:sz w:val="22"/>
      <w:szCs w:val="22"/>
    </w:rPr>
  </w:style>
  <w:style w:type="paragraph" w:styleId="1020">
    <w:name w:val="标题 9"/>
    <w:basedOn w:val="1011"/>
    <w:next w:val="1011"/>
    <w:link w:val="1031"/>
    <w:uiPriority w:val="9"/>
    <w:unhideWhenUsed/>
    <w:qFormat/>
    <w:pPr>
      <w:keepLines/>
      <w:keepNext/>
      <w:spacing w:before="320" w:after="200"/>
      <w:outlineLvl w:val="8"/>
    </w:pPr>
    <w:rPr>
      <w:rFonts w:ascii="Arial" w:hAnsi="Arial" w:eastAsia="Arial" w:cs="Arial"/>
      <w:i/>
      <w:iCs/>
      <w:sz w:val="21"/>
      <w:szCs w:val="21"/>
    </w:rPr>
  </w:style>
  <w:style w:type="character" w:styleId="1021">
    <w:name w:val="默认段落字体"/>
    <w:next w:val="1021"/>
    <w:link w:val="1011"/>
    <w:uiPriority w:val="1"/>
    <w:unhideWhenUsed/>
    <w:qFormat/>
  </w:style>
  <w:style w:type="table" w:styleId="1022">
    <w:name w:val="普通表格"/>
    <w:next w:val="1022"/>
    <w:link w:val="1011"/>
    <w:uiPriority w:val="99"/>
    <w:unhideWhenUsed/>
    <w:qFormat/>
    <w:tblPr/>
  </w:style>
  <w:style w:type="character" w:styleId="1023">
    <w:name w:val="标题 1 字符1"/>
    <w:basedOn w:val="1021"/>
    <w:next w:val="1023"/>
    <w:link w:val="1012"/>
    <w:uiPriority w:val="9"/>
    <w:qFormat/>
    <w:rPr>
      <w:rFonts w:ascii="Arial" w:hAnsi="Arial" w:eastAsia="Arial" w:cs="Arial"/>
      <w:sz w:val="40"/>
      <w:szCs w:val="40"/>
    </w:rPr>
  </w:style>
  <w:style w:type="character" w:styleId="1024">
    <w:name w:val="标题 2 字符1"/>
    <w:basedOn w:val="1021"/>
    <w:next w:val="1024"/>
    <w:link w:val="1013"/>
    <w:uiPriority w:val="9"/>
    <w:qFormat/>
    <w:rPr>
      <w:rFonts w:ascii="Arial" w:hAnsi="Arial" w:eastAsia="Arial" w:cs="Arial"/>
      <w:sz w:val="34"/>
    </w:rPr>
  </w:style>
  <w:style w:type="character" w:styleId="1025">
    <w:name w:val="标题 3 字符1"/>
    <w:basedOn w:val="1021"/>
    <w:next w:val="1025"/>
    <w:link w:val="1014"/>
    <w:uiPriority w:val="9"/>
    <w:qFormat/>
    <w:rPr>
      <w:rFonts w:ascii="Arial" w:hAnsi="Arial" w:eastAsia="Arial" w:cs="Arial"/>
      <w:sz w:val="30"/>
      <w:szCs w:val="30"/>
    </w:rPr>
  </w:style>
  <w:style w:type="character" w:styleId="1026">
    <w:name w:val="标题 4 字符1"/>
    <w:basedOn w:val="1021"/>
    <w:next w:val="1026"/>
    <w:link w:val="1015"/>
    <w:uiPriority w:val="9"/>
    <w:qFormat/>
    <w:rPr>
      <w:rFonts w:ascii="Arial" w:hAnsi="Arial" w:eastAsia="Arial" w:cs="Arial"/>
      <w:b/>
      <w:bCs/>
      <w:sz w:val="26"/>
      <w:szCs w:val="26"/>
    </w:rPr>
  </w:style>
  <w:style w:type="character" w:styleId="1027">
    <w:name w:val="标题 5 字符1"/>
    <w:basedOn w:val="1021"/>
    <w:next w:val="1027"/>
    <w:link w:val="1016"/>
    <w:uiPriority w:val="9"/>
    <w:qFormat/>
    <w:rPr>
      <w:rFonts w:ascii="Arial" w:hAnsi="Arial" w:eastAsia="Arial" w:cs="Arial"/>
      <w:b/>
      <w:bCs/>
      <w:sz w:val="24"/>
      <w:szCs w:val="24"/>
    </w:rPr>
  </w:style>
  <w:style w:type="character" w:styleId="1028">
    <w:name w:val="标题 6 字符1"/>
    <w:basedOn w:val="1021"/>
    <w:next w:val="1028"/>
    <w:link w:val="1017"/>
    <w:uiPriority w:val="9"/>
    <w:qFormat/>
    <w:rPr>
      <w:rFonts w:ascii="Arial" w:hAnsi="Arial" w:eastAsia="Arial" w:cs="Arial"/>
      <w:b/>
      <w:bCs/>
      <w:sz w:val="22"/>
      <w:szCs w:val="22"/>
    </w:rPr>
  </w:style>
  <w:style w:type="character" w:styleId="1029">
    <w:name w:val="标题 7 字符1"/>
    <w:basedOn w:val="1021"/>
    <w:next w:val="1029"/>
    <w:link w:val="1018"/>
    <w:uiPriority w:val="9"/>
    <w:qFormat/>
    <w:rPr>
      <w:rFonts w:ascii="Arial" w:hAnsi="Arial" w:eastAsia="Arial" w:cs="Arial"/>
      <w:b/>
      <w:bCs/>
      <w:i/>
      <w:iCs/>
      <w:sz w:val="22"/>
      <w:szCs w:val="22"/>
    </w:rPr>
  </w:style>
  <w:style w:type="character" w:styleId="1030">
    <w:name w:val="标题 8 字符1"/>
    <w:basedOn w:val="1021"/>
    <w:next w:val="1030"/>
    <w:link w:val="1019"/>
    <w:uiPriority w:val="9"/>
    <w:qFormat/>
    <w:rPr>
      <w:rFonts w:ascii="Arial" w:hAnsi="Arial" w:eastAsia="Arial" w:cs="Arial"/>
      <w:i/>
      <w:iCs/>
      <w:sz w:val="22"/>
      <w:szCs w:val="22"/>
    </w:rPr>
  </w:style>
  <w:style w:type="character" w:styleId="1031">
    <w:name w:val="标题 9 字符1"/>
    <w:basedOn w:val="1021"/>
    <w:next w:val="1031"/>
    <w:link w:val="1020"/>
    <w:uiPriority w:val="9"/>
    <w:qFormat/>
    <w:rPr>
      <w:rFonts w:ascii="Arial" w:hAnsi="Arial" w:eastAsia="Arial" w:cs="Arial"/>
      <w:i/>
      <w:iCs/>
      <w:sz w:val="21"/>
      <w:szCs w:val="21"/>
    </w:rPr>
  </w:style>
  <w:style w:type="paragraph" w:styleId="1032">
    <w:name w:val="目录 7"/>
    <w:basedOn w:val="1011"/>
    <w:next w:val="1011"/>
    <w:link w:val="1011"/>
    <w:uiPriority w:val="39"/>
    <w:unhideWhenUsed/>
    <w:qFormat/>
    <w:pPr>
      <w:ind w:left="1701"/>
      <w:spacing w:after="57"/>
    </w:pPr>
  </w:style>
  <w:style w:type="paragraph" w:styleId="1033">
    <w:name w:val="正文缩进"/>
    <w:basedOn w:val="1011"/>
    <w:next w:val="1011"/>
    <w:link w:val="1011"/>
    <w:qFormat/>
    <w:pPr>
      <w:ind w:firstLine="200"/>
    </w:pPr>
  </w:style>
  <w:style w:type="paragraph" w:styleId="1034">
    <w:name w:val="题注"/>
    <w:basedOn w:val="1011"/>
    <w:next w:val="1011"/>
    <w:link w:val="1011"/>
    <w:uiPriority w:val="35"/>
    <w:unhideWhenUsed/>
    <w:qFormat/>
    <w:pPr>
      <w:spacing w:line="276" w:lineRule="auto"/>
    </w:pPr>
    <w:rPr>
      <w:b/>
      <w:bCs/>
      <w:color w:val="4f81bd"/>
      <w:sz w:val="18"/>
      <w:szCs w:val="18"/>
    </w:rPr>
  </w:style>
  <w:style w:type="paragraph" w:styleId="1035">
    <w:name w:val="批注文字"/>
    <w:basedOn w:val="1011"/>
    <w:next w:val="1035"/>
    <w:link w:val="1011"/>
    <w:uiPriority w:val="99"/>
    <w:unhideWhenUsed/>
    <w:qFormat/>
    <w:pPr>
      <w:jc w:val="left"/>
    </w:pPr>
  </w:style>
  <w:style w:type="paragraph" w:styleId="1036">
    <w:name w:val="正文文本"/>
    <w:basedOn w:val="1011"/>
    <w:next w:val="1036"/>
    <w:link w:val="1011"/>
    <w:qFormat/>
    <w:rPr>
      <w:rFonts w:ascii="楷体_GB2312" w:hAnsi="Arial"/>
      <w:sz w:val="28"/>
    </w:rPr>
  </w:style>
  <w:style w:type="paragraph" w:styleId="1037">
    <w:name w:val="正文文本缩进"/>
    <w:basedOn w:val="1011"/>
    <w:next w:val="1037"/>
    <w:link w:val="1011"/>
    <w:qFormat/>
    <w:pPr>
      <w:ind w:firstLine="645"/>
    </w:pPr>
    <w:rPr>
      <w:rFonts w:ascii="楷体_GB2312" w:hAnsi="Calibri"/>
      <w:sz w:val="32"/>
      <w:szCs w:val="22"/>
    </w:rPr>
  </w:style>
  <w:style w:type="paragraph" w:styleId="1038">
    <w:name w:val="文本块"/>
    <w:basedOn w:val="1011"/>
    <w:next w:val="1038"/>
    <w:link w:val="1011"/>
    <w:qFormat/>
    <w:pPr>
      <w:ind w:left="525" w:right="-1" w:firstLine="525"/>
      <w:spacing w:line="312" w:lineRule="atLeast"/>
    </w:pPr>
    <w:rPr>
      <w:sz w:val="28"/>
      <w:szCs w:val="28"/>
    </w:rPr>
  </w:style>
  <w:style w:type="paragraph" w:styleId="1039">
    <w:name w:val="目录 5"/>
    <w:basedOn w:val="1011"/>
    <w:next w:val="1011"/>
    <w:link w:val="1011"/>
    <w:uiPriority w:val="39"/>
    <w:unhideWhenUsed/>
    <w:qFormat/>
    <w:pPr>
      <w:ind w:left="1134"/>
      <w:spacing w:after="57"/>
    </w:pPr>
  </w:style>
  <w:style w:type="paragraph" w:styleId="1040">
    <w:name w:val="目录 3"/>
    <w:basedOn w:val="1011"/>
    <w:next w:val="1011"/>
    <w:link w:val="1011"/>
    <w:uiPriority w:val="39"/>
    <w:unhideWhenUsed/>
    <w:qFormat/>
    <w:pPr>
      <w:ind w:left="567"/>
      <w:spacing w:after="57"/>
    </w:pPr>
  </w:style>
  <w:style w:type="paragraph" w:styleId="1041">
    <w:name w:val="纯文本"/>
    <w:basedOn w:val="1011"/>
    <w:next w:val="1033"/>
    <w:link w:val="1011"/>
    <w:qFormat/>
    <w:rPr>
      <w:rFonts w:ascii="宋体"/>
    </w:rPr>
  </w:style>
  <w:style w:type="paragraph" w:styleId="1042">
    <w:name w:val="目录 8"/>
    <w:basedOn w:val="1011"/>
    <w:next w:val="1011"/>
    <w:link w:val="1011"/>
    <w:uiPriority w:val="39"/>
    <w:unhideWhenUsed/>
    <w:qFormat/>
    <w:pPr>
      <w:ind w:left="1984"/>
      <w:spacing w:after="57"/>
    </w:pPr>
  </w:style>
  <w:style w:type="paragraph" w:styleId="1043">
    <w:name w:val="尾注文本"/>
    <w:basedOn w:val="1011"/>
    <w:next w:val="1043"/>
    <w:link w:val="1044"/>
    <w:uiPriority w:val="99"/>
    <w:unhideWhenUsed/>
    <w:qFormat/>
    <w:rPr>
      <w:sz w:val="20"/>
    </w:rPr>
  </w:style>
  <w:style w:type="character" w:styleId="1044">
    <w:name w:val="尾注文本 字符"/>
    <w:next w:val="1044"/>
    <w:link w:val="1043"/>
    <w:uiPriority w:val="99"/>
    <w:qFormat/>
    <w:rPr>
      <w:sz w:val="20"/>
    </w:rPr>
  </w:style>
  <w:style w:type="paragraph" w:styleId="1045">
    <w:name w:val="批注框文本"/>
    <w:basedOn w:val="1011"/>
    <w:next w:val="1045"/>
    <w:link w:val="1046"/>
    <w:uiPriority w:val="99"/>
    <w:unhideWhenUsed/>
    <w:qFormat/>
    <w:rPr>
      <w:sz w:val="18"/>
      <w:szCs w:val="18"/>
    </w:rPr>
  </w:style>
  <w:style w:type="character" w:styleId="1046">
    <w:name w:val="批注框文本 字符"/>
    <w:basedOn w:val="1021"/>
    <w:next w:val="1046"/>
    <w:link w:val="1045"/>
    <w:uiPriority w:val="99"/>
    <w:semiHidden/>
    <w:qFormat/>
    <w:rPr>
      <w:rFonts w:eastAsia="楷体_GB2312"/>
      <w:sz w:val="18"/>
      <w:szCs w:val="18"/>
    </w:rPr>
  </w:style>
  <w:style w:type="paragraph" w:styleId="1047">
    <w:name w:val="页脚"/>
    <w:basedOn w:val="1011"/>
    <w:next w:val="1047"/>
    <w:link w:val="1048"/>
    <w:uiPriority w:val="99"/>
    <w:unhideWhenUsed/>
    <w:qFormat/>
    <w:pPr>
      <w:jc w:val="left"/>
      <w:tabs>
        <w:tab w:val="center" w:pos="4153" w:leader="none"/>
        <w:tab w:val="right" w:pos="8306" w:leader="none"/>
      </w:tabs>
    </w:pPr>
    <w:rPr>
      <w:sz w:val="18"/>
      <w:szCs w:val="18"/>
    </w:rPr>
  </w:style>
  <w:style w:type="character" w:styleId="1048">
    <w:name w:val="页脚 字符1"/>
    <w:basedOn w:val="1021"/>
    <w:next w:val="1048"/>
    <w:link w:val="1047"/>
    <w:uiPriority w:val="99"/>
    <w:qFormat/>
    <w:rPr>
      <w:rFonts w:eastAsia="楷体_GB2312"/>
      <w:sz w:val="18"/>
      <w:szCs w:val="18"/>
    </w:rPr>
  </w:style>
  <w:style w:type="paragraph" w:styleId="1049">
    <w:name w:val="寄信人地址"/>
    <w:basedOn w:val="1011"/>
    <w:next w:val="1049"/>
    <w:link w:val="1011"/>
    <w:uiPriority w:val="99"/>
    <w:unhideWhenUsed/>
    <w:qFormat/>
    <w:rPr>
      <w:rFonts w:ascii="Arial" w:hAnsi="Arial"/>
    </w:rPr>
  </w:style>
  <w:style w:type="paragraph" w:styleId="1050">
    <w:name w:val="页眉"/>
    <w:basedOn w:val="1011"/>
    <w:next w:val="1050"/>
    <w:link w:val="105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51">
    <w:name w:val="页眉 字符1"/>
    <w:basedOn w:val="1021"/>
    <w:next w:val="1051"/>
    <w:link w:val="1050"/>
    <w:uiPriority w:val="99"/>
    <w:qFormat/>
    <w:rPr>
      <w:rFonts w:eastAsia="楷体_GB2312"/>
      <w:sz w:val="18"/>
      <w:szCs w:val="18"/>
    </w:rPr>
  </w:style>
  <w:style w:type="paragraph" w:styleId="1052">
    <w:name w:val="目录 1"/>
    <w:basedOn w:val="1011"/>
    <w:next w:val="1011"/>
    <w:link w:val="1011"/>
    <w:uiPriority w:val="39"/>
    <w:unhideWhenUsed/>
    <w:qFormat/>
    <w:pPr>
      <w:spacing w:after="57"/>
    </w:pPr>
  </w:style>
  <w:style w:type="paragraph" w:styleId="1053">
    <w:name w:val="目录 4"/>
    <w:basedOn w:val="1011"/>
    <w:next w:val="1011"/>
    <w:link w:val="1011"/>
    <w:uiPriority w:val="39"/>
    <w:unhideWhenUsed/>
    <w:qFormat/>
    <w:pPr>
      <w:ind w:left="850"/>
      <w:spacing w:after="57"/>
    </w:pPr>
  </w:style>
  <w:style w:type="paragraph" w:styleId="1054">
    <w:name w:val="副标题"/>
    <w:basedOn w:val="1011"/>
    <w:next w:val="1011"/>
    <w:link w:val="1055"/>
    <w:uiPriority w:val="11"/>
    <w:qFormat/>
    <w:pPr>
      <w:spacing w:before="200" w:after="200"/>
    </w:pPr>
    <w:rPr>
      <w:sz w:val="24"/>
      <w:szCs w:val="24"/>
    </w:rPr>
  </w:style>
  <w:style w:type="character" w:styleId="1055">
    <w:name w:val="副标题 字符"/>
    <w:next w:val="1055"/>
    <w:link w:val="1054"/>
    <w:uiPriority w:val="11"/>
    <w:qFormat/>
    <w:rPr>
      <w:sz w:val="24"/>
      <w:szCs w:val="24"/>
    </w:rPr>
  </w:style>
  <w:style w:type="paragraph" w:styleId="1056">
    <w:name w:val="脚注文本"/>
    <w:basedOn w:val="1011"/>
    <w:next w:val="1056"/>
    <w:link w:val="1057"/>
    <w:uiPriority w:val="99"/>
    <w:unhideWhenUsed/>
    <w:qFormat/>
    <w:pPr>
      <w:spacing w:after="40"/>
    </w:pPr>
    <w:rPr>
      <w:sz w:val="18"/>
    </w:rPr>
  </w:style>
  <w:style w:type="character" w:styleId="1057">
    <w:name w:val="脚注文本 字符"/>
    <w:next w:val="1057"/>
    <w:link w:val="1056"/>
    <w:uiPriority w:val="99"/>
    <w:qFormat/>
    <w:rPr>
      <w:sz w:val="18"/>
    </w:rPr>
  </w:style>
  <w:style w:type="paragraph" w:styleId="1058">
    <w:name w:val="目录 6"/>
    <w:basedOn w:val="1011"/>
    <w:next w:val="1011"/>
    <w:link w:val="1011"/>
    <w:uiPriority w:val="39"/>
    <w:unhideWhenUsed/>
    <w:qFormat/>
    <w:pPr>
      <w:ind w:left="1417"/>
      <w:spacing w:after="57"/>
    </w:pPr>
  </w:style>
  <w:style w:type="paragraph" w:styleId="1059">
    <w:name w:val="图表目录"/>
    <w:basedOn w:val="1011"/>
    <w:next w:val="1011"/>
    <w:link w:val="1011"/>
    <w:uiPriority w:val="99"/>
    <w:unhideWhenUsed/>
    <w:qFormat/>
  </w:style>
  <w:style w:type="paragraph" w:styleId="1060">
    <w:name w:val="目录 2"/>
    <w:basedOn w:val="1011"/>
    <w:next w:val="1011"/>
    <w:link w:val="1011"/>
    <w:uiPriority w:val="39"/>
    <w:unhideWhenUsed/>
    <w:qFormat/>
    <w:pPr>
      <w:ind w:left="283"/>
      <w:spacing w:after="57"/>
    </w:pPr>
  </w:style>
  <w:style w:type="paragraph" w:styleId="1061">
    <w:name w:val="目录 9"/>
    <w:basedOn w:val="1011"/>
    <w:next w:val="1011"/>
    <w:link w:val="1011"/>
    <w:uiPriority w:val="39"/>
    <w:unhideWhenUsed/>
    <w:qFormat/>
    <w:pPr>
      <w:ind w:left="2268"/>
      <w:spacing w:after="57"/>
    </w:pPr>
  </w:style>
  <w:style w:type="paragraph" w:styleId="1062">
    <w:name w:val="普通(网站)"/>
    <w:basedOn w:val="1011"/>
    <w:next w:val="1062"/>
    <w:link w:val="1011"/>
    <w:uiPriority w:val="99"/>
    <w:qFormat/>
    <w:pPr>
      <w:jc w:val="left"/>
      <w:spacing w:before="100" w:beforeAutospacing="1" w:after="100" w:afterAutospacing="1"/>
      <w:widowControl/>
    </w:pPr>
    <w:rPr>
      <w:rFonts w:ascii="宋体" w:hAnsi="宋体"/>
      <w:color w:val="000000"/>
      <w:sz w:val="24"/>
      <w:szCs w:val="24"/>
    </w:rPr>
  </w:style>
  <w:style w:type="paragraph" w:styleId="1063">
    <w:name w:val="标题"/>
    <w:basedOn w:val="1011"/>
    <w:next w:val="1011"/>
    <w:link w:val="1064"/>
    <w:uiPriority w:val="10"/>
    <w:qFormat/>
    <w:pPr>
      <w:contextualSpacing/>
      <w:spacing w:before="300" w:after="200"/>
    </w:pPr>
    <w:rPr>
      <w:sz w:val="48"/>
      <w:szCs w:val="48"/>
    </w:rPr>
  </w:style>
  <w:style w:type="character" w:styleId="1064">
    <w:name w:val="标题 字符"/>
    <w:next w:val="1064"/>
    <w:link w:val="1063"/>
    <w:uiPriority w:val="10"/>
    <w:qFormat/>
    <w:rPr>
      <w:sz w:val="48"/>
      <w:szCs w:val="48"/>
    </w:rPr>
  </w:style>
  <w:style w:type="paragraph" w:styleId="1065">
    <w:name w:val="正文首行缩进"/>
    <w:basedOn w:val="1036"/>
    <w:next w:val="1066"/>
    <w:link w:val="1011"/>
    <w:qFormat/>
    <w:pPr>
      <w:ind w:firstLine="420"/>
    </w:pPr>
  </w:style>
  <w:style w:type="paragraph" w:styleId="1066">
    <w:name w:val="正文首行缩进 2"/>
    <w:basedOn w:val="1037"/>
    <w:next w:val="1066"/>
    <w:link w:val="1011"/>
    <w:uiPriority w:val="99"/>
    <w:unhideWhenUsed/>
    <w:qFormat/>
    <w:pPr>
      <w:ind w:firstLine="200"/>
    </w:pPr>
  </w:style>
  <w:style w:type="table" w:styleId="1067">
    <w:name w:val="网格型"/>
    <w:basedOn w:val="1022"/>
    <w:next w:val="1067"/>
    <w:link w:val="1011"/>
    <w:uiPriority w:val="39"/>
    <w:qFormat/>
    <w:pPr>
      <w:jc w:val="both"/>
      <w:widowControl w:val="off"/>
    </w:pPr>
    <w:tblPr/>
  </w:style>
  <w:style w:type="character" w:styleId="1068">
    <w:name w:val="尾注引用"/>
    <w:next w:val="1068"/>
    <w:link w:val="1011"/>
    <w:uiPriority w:val="99"/>
    <w:unhideWhenUsed/>
    <w:qFormat/>
    <w:rPr>
      <w:vertAlign w:val="superscript"/>
    </w:rPr>
  </w:style>
  <w:style w:type="character" w:styleId="1069">
    <w:name w:val="强调"/>
    <w:next w:val="1069"/>
    <w:link w:val="1011"/>
    <w:qFormat/>
    <w:rPr>
      <w:rFonts w:ascii="Times New Roman" w:hAnsi="Times New Roman" w:eastAsia="宋体" w:cs="Times New Roman"/>
      <w:i/>
    </w:rPr>
  </w:style>
  <w:style w:type="character" w:styleId="1070">
    <w:name w:val="超链接"/>
    <w:next w:val="1070"/>
    <w:link w:val="1011"/>
    <w:uiPriority w:val="99"/>
    <w:unhideWhenUsed/>
    <w:qFormat/>
    <w:rPr>
      <w:color w:val="0563c1"/>
      <w:u w:val="single"/>
    </w:rPr>
  </w:style>
  <w:style w:type="character" w:styleId="1071">
    <w:name w:val="脚注引用"/>
    <w:next w:val="1071"/>
    <w:link w:val="1011"/>
    <w:uiPriority w:val="99"/>
    <w:unhideWhenUsed/>
    <w:qFormat/>
    <w:rPr>
      <w:vertAlign w:val="superscript"/>
    </w:rPr>
  </w:style>
  <w:style w:type="paragraph" w:styleId="1072">
    <w:name w:val="段"/>
    <w:next w:val="1011"/>
    <w:link w:val="1011"/>
    <w:qFormat/>
    <w:pPr>
      <w:ind w:firstLine="200"/>
      <w:jc w:val="both"/>
      <w:spacing w:after="160" w:line="278" w:lineRule="auto"/>
    </w:pPr>
    <w:rPr>
      <w:rFonts w:ascii="宋体" w:hAnsi="Calibri" w:eastAsia="宋体" w:cs="Times New Roman"/>
      <w:sz w:val="21"/>
      <w:szCs w:val="22"/>
      <w:lang w:val="en-US" w:eastAsia="zh-CN" w:bidi="ar-SA"/>
    </w:rPr>
  </w:style>
  <w:style w:type="character" w:styleId="1073">
    <w:name w:val="font31"/>
    <w:basedOn w:val="1074"/>
    <w:next w:val="1073"/>
    <w:link w:val="1011"/>
    <w:qFormat/>
    <w:rPr>
      <w:rFonts w:ascii="Times New Roman" w:hAnsi="Times New Roman" w:eastAsia="楷体_GB2312" w:cs="Times New Roman"/>
      <w:sz w:val="26"/>
    </w:rPr>
  </w:style>
  <w:style w:type="character" w:styleId="1074">
    <w:name w:val="默认段落字体1"/>
    <w:next w:val="1074"/>
    <w:link w:val="1011"/>
    <w:uiPriority w:val="1"/>
    <w:unhideWhenUsed/>
    <w:qFormat/>
  </w:style>
  <w:style w:type="paragraph" w:styleId="1075">
    <w:name w:val="Normal_19"/>
    <w:next w:val="1076"/>
    <w:link w:val="1011"/>
    <w:qFormat/>
    <w:pPr>
      <w:jc w:val="both"/>
      <w:widowControl w:val="off"/>
    </w:pPr>
    <w:rPr>
      <w:rFonts w:ascii="Times New Roman" w:hAnsi="Times New Roman" w:eastAsia="宋体" w:cs="Times New Roman"/>
      <w:sz w:val="21"/>
      <w:szCs w:val="24"/>
    </w:rPr>
  </w:style>
  <w:style w:type="paragraph" w:styleId="1076">
    <w:name w:val="正文文本缩进1"/>
    <w:basedOn w:val="1011"/>
    <w:next w:val="1011"/>
    <w:link w:val="1011"/>
    <w:unhideWhenUsed/>
    <w:qFormat/>
    <w:pPr>
      <w:ind w:firstLine="570"/>
    </w:pPr>
    <w:rPr>
      <w:rFonts w:ascii="宋体" w:eastAsia="宋体"/>
      <w:sz w:val="28"/>
    </w:rPr>
  </w:style>
  <w:style w:type="paragraph" w:styleId="1077">
    <w:name w:val="寄信人地址1"/>
    <w:basedOn w:val="1011"/>
    <w:next w:val="1077"/>
    <w:link w:val="1011"/>
    <w:uiPriority w:val="99"/>
    <w:unhideWhenUsed/>
    <w:qFormat/>
    <w:rPr>
      <w:rFonts w:ascii="Arial" w:hAnsi="Arial"/>
    </w:rPr>
  </w:style>
  <w:style w:type="paragraph" w:styleId="1078">
    <w:name w:val="Normal Indent1"/>
    <w:next w:val="1078"/>
    <w:link w:val="1011"/>
    <w:qFormat/>
    <w:pPr>
      <w:ind w:firstLine="420"/>
      <w:spacing w:line="360" w:lineRule="auto"/>
    </w:pPr>
    <w:rPr>
      <w:rFonts w:ascii="Times New Roman" w:hAnsi="Times New Roman" w:eastAsia="宋体" w:cs="Times New Roman"/>
      <w:lang w:val="en-US" w:eastAsia="zh-CN" w:bidi="ar-SA"/>
    </w:rPr>
  </w:style>
  <w:style w:type="character" w:styleId="1079">
    <w:name w:val="Heading 1 Char"/>
    <w:basedOn w:val="1021"/>
    <w:next w:val="1079"/>
    <w:link w:val="1011"/>
    <w:uiPriority w:val="9"/>
    <w:qFormat/>
    <w:rPr>
      <w:rFonts w:ascii="Arial" w:hAnsi="Arial" w:eastAsia="Arial" w:cs="Arial"/>
      <w:sz w:val="40"/>
      <w:szCs w:val="40"/>
    </w:rPr>
  </w:style>
  <w:style w:type="character" w:styleId="1080">
    <w:name w:val="Heading 2 Char"/>
    <w:basedOn w:val="1021"/>
    <w:next w:val="1080"/>
    <w:link w:val="1011"/>
    <w:uiPriority w:val="9"/>
    <w:qFormat/>
    <w:rPr>
      <w:rFonts w:ascii="Arial" w:hAnsi="Arial" w:eastAsia="Arial" w:cs="Arial"/>
      <w:sz w:val="34"/>
    </w:rPr>
  </w:style>
  <w:style w:type="character" w:styleId="1081">
    <w:name w:val="Heading 3 Char"/>
    <w:basedOn w:val="1021"/>
    <w:next w:val="1081"/>
    <w:link w:val="1011"/>
    <w:uiPriority w:val="9"/>
    <w:qFormat/>
    <w:rPr>
      <w:rFonts w:ascii="Arial" w:hAnsi="Arial" w:eastAsia="Arial" w:cs="Arial"/>
      <w:sz w:val="30"/>
      <w:szCs w:val="30"/>
    </w:rPr>
  </w:style>
  <w:style w:type="character" w:styleId="1082">
    <w:name w:val="Heading 4 Char"/>
    <w:basedOn w:val="1021"/>
    <w:next w:val="1082"/>
    <w:link w:val="1011"/>
    <w:uiPriority w:val="9"/>
    <w:qFormat/>
    <w:rPr>
      <w:rFonts w:ascii="Arial" w:hAnsi="Arial" w:eastAsia="Arial" w:cs="Arial"/>
      <w:b/>
      <w:bCs/>
      <w:sz w:val="26"/>
      <w:szCs w:val="26"/>
    </w:rPr>
  </w:style>
  <w:style w:type="character" w:styleId="1083">
    <w:name w:val="Heading 5 Char"/>
    <w:basedOn w:val="1021"/>
    <w:next w:val="1083"/>
    <w:link w:val="1011"/>
    <w:uiPriority w:val="9"/>
    <w:qFormat/>
    <w:rPr>
      <w:rFonts w:ascii="Arial" w:hAnsi="Arial" w:eastAsia="Arial" w:cs="Arial"/>
      <w:b/>
      <w:bCs/>
      <w:sz w:val="24"/>
      <w:szCs w:val="24"/>
    </w:rPr>
  </w:style>
  <w:style w:type="character" w:styleId="1084">
    <w:name w:val="Heading 6 Char"/>
    <w:basedOn w:val="1021"/>
    <w:next w:val="1084"/>
    <w:link w:val="1011"/>
    <w:uiPriority w:val="9"/>
    <w:qFormat/>
    <w:rPr>
      <w:rFonts w:ascii="Arial" w:hAnsi="Arial" w:eastAsia="Arial" w:cs="Arial"/>
      <w:b/>
      <w:bCs/>
      <w:sz w:val="22"/>
      <w:szCs w:val="22"/>
    </w:rPr>
  </w:style>
  <w:style w:type="character" w:styleId="1085">
    <w:name w:val="Heading 7 Char"/>
    <w:basedOn w:val="1021"/>
    <w:next w:val="1085"/>
    <w:link w:val="1011"/>
    <w:uiPriority w:val="9"/>
    <w:qFormat/>
    <w:rPr>
      <w:rFonts w:ascii="Arial" w:hAnsi="Arial" w:eastAsia="Arial" w:cs="Arial"/>
      <w:b/>
      <w:bCs/>
      <w:i/>
      <w:iCs/>
      <w:sz w:val="22"/>
      <w:szCs w:val="22"/>
    </w:rPr>
  </w:style>
  <w:style w:type="character" w:styleId="1086">
    <w:name w:val="Heading 8 Char"/>
    <w:basedOn w:val="1021"/>
    <w:next w:val="1086"/>
    <w:link w:val="1011"/>
    <w:uiPriority w:val="9"/>
    <w:qFormat/>
    <w:rPr>
      <w:rFonts w:ascii="Arial" w:hAnsi="Arial" w:eastAsia="Arial" w:cs="Arial"/>
      <w:i/>
      <w:iCs/>
      <w:sz w:val="22"/>
      <w:szCs w:val="22"/>
    </w:rPr>
  </w:style>
  <w:style w:type="character" w:styleId="1087">
    <w:name w:val="Heading 9 Char"/>
    <w:basedOn w:val="1021"/>
    <w:next w:val="1087"/>
    <w:link w:val="1011"/>
    <w:uiPriority w:val="9"/>
    <w:qFormat/>
    <w:rPr>
      <w:rFonts w:ascii="Arial" w:hAnsi="Arial" w:eastAsia="Arial" w:cs="Arial"/>
      <w:i/>
      <w:iCs/>
      <w:sz w:val="21"/>
      <w:szCs w:val="21"/>
    </w:rPr>
  </w:style>
  <w:style w:type="table" w:styleId="1088">
    <w:name w:val="Plain Table 1"/>
    <w:basedOn w:val="1022"/>
    <w:next w:val="1088"/>
    <w:link w:val="1011"/>
    <w:uiPriority w:val="59"/>
    <w:qFormat/>
    <w:tblPr/>
  </w:style>
  <w:style w:type="table" w:styleId="1089">
    <w:name w:val="Plain Table 2"/>
    <w:basedOn w:val="1022"/>
    <w:next w:val="1089"/>
    <w:link w:val="1011"/>
    <w:uiPriority w:val="59"/>
    <w:qFormat/>
    <w:tblPr/>
  </w:style>
  <w:style w:type="table" w:styleId="1090">
    <w:name w:val="Plain Table 3"/>
    <w:basedOn w:val="1022"/>
    <w:next w:val="1090"/>
    <w:link w:val="1011"/>
    <w:uiPriority w:val="99"/>
    <w:qFormat/>
    <w:tblPr/>
  </w:style>
  <w:style w:type="table" w:styleId="1091">
    <w:name w:val="Plain Table 4"/>
    <w:basedOn w:val="1022"/>
    <w:next w:val="1091"/>
    <w:link w:val="1011"/>
    <w:uiPriority w:val="99"/>
    <w:qFormat/>
    <w:tblPr/>
  </w:style>
  <w:style w:type="table" w:styleId="1092">
    <w:name w:val="Plain Table 5"/>
    <w:basedOn w:val="1022"/>
    <w:next w:val="1092"/>
    <w:link w:val="1011"/>
    <w:uiPriority w:val="99"/>
    <w:qFormat/>
    <w:tblPr/>
  </w:style>
  <w:style w:type="table" w:styleId="1093">
    <w:name w:val="Grid Table 1 Light"/>
    <w:basedOn w:val="1022"/>
    <w:next w:val="1093"/>
    <w:link w:val="1011"/>
    <w:uiPriority w:val="99"/>
    <w:qFormat/>
    <w:tblPr/>
  </w:style>
  <w:style w:type="table" w:styleId="1094">
    <w:name w:val="Grid Table 2"/>
    <w:basedOn w:val="1022"/>
    <w:next w:val="1094"/>
    <w:link w:val="1011"/>
    <w:uiPriority w:val="99"/>
    <w:qFormat/>
    <w:tblPr/>
  </w:style>
  <w:style w:type="table" w:styleId="1095">
    <w:name w:val="Grid Table 3"/>
    <w:basedOn w:val="1022"/>
    <w:next w:val="1095"/>
    <w:link w:val="1011"/>
    <w:uiPriority w:val="99"/>
    <w:qFormat/>
    <w:tblPr/>
  </w:style>
  <w:style w:type="table" w:styleId="1096">
    <w:name w:val="Grid Table 4"/>
    <w:basedOn w:val="1022"/>
    <w:next w:val="1096"/>
    <w:link w:val="1011"/>
    <w:uiPriority w:val="59"/>
    <w:qFormat/>
    <w:tblPr/>
  </w:style>
  <w:style w:type="table" w:styleId="1097">
    <w:name w:val="Grid Table 5 Dark"/>
    <w:basedOn w:val="1022"/>
    <w:next w:val="1097"/>
    <w:link w:val="1011"/>
    <w:uiPriority w:val="99"/>
    <w:qFormat/>
    <w:tblPr/>
  </w:style>
  <w:style w:type="table" w:styleId="1098">
    <w:name w:val="Grid Table 6 Colorful"/>
    <w:basedOn w:val="1022"/>
    <w:next w:val="1098"/>
    <w:link w:val="1011"/>
    <w:uiPriority w:val="99"/>
    <w:qFormat/>
    <w:tblPr/>
  </w:style>
  <w:style w:type="table" w:styleId="1099">
    <w:name w:val="Grid Table 7 Colorful"/>
    <w:basedOn w:val="1022"/>
    <w:next w:val="1099"/>
    <w:link w:val="1011"/>
    <w:uiPriority w:val="99"/>
    <w:qFormat/>
    <w:tblPr/>
  </w:style>
  <w:style w:type="table" w:styleId="1100">
    <w:name w:val="List Table 1 Light"/>
    <w:basedOn w:val="1022"/>
    <w:next w:val="1100"/>
    <w:link w:val="1011"/>
    <w:uiPriority w:val="99"/>
    <w:qFormat/>
    <w:tblPr/>
  </w:style>
  <w:style w:type="table" w:styleId="1101">
    <w:name w:val="List Table 2"/>
    <w:basedOn w:val="1022"/>
    <w:next w:val="1101"/>
    <w:link w:val="1011"/>
    <w:uiPriority w:val="99"/>
    <w:qFormat/>
    <w:tblPr/>
  </w:style>
  <w:style w:type="table" w:styleId="1102">
    <w:name w:val="List Table 3"/>
    <w:basedOn w:val="1022"/>
    <w:next w:val="1102"/>
    <w:link w:val="1011"/>
    <w:uiPriority w:val="99"/>
    <w:qFormat/>
    <w:tblPr/>
  </w:style>
  <w:style w:type="table" w:styleId="1103">
    <w:name w:val="List Table 4"/>
    <w:basedOn w:val="1022"/>
    <w:next w:val="1103"/>
    <w:link w:val="1011"/>
    <w:uiPriority w:val="99"/>
    <w:qFormat/>
    <w:tblPr/>
  </w:style>
  <w:style w:type="table" w:styleId="1104">
    <w:name w:val="List Table 5 Dark"/>
    <w:basedOn w:val="1022"/>
    <w:next w:val="1104"/>
    <w:link w:val="1011"/>
    <w:uiPriority w:val="99"/>
    <w:qFormat/>
    <w:tblPr/>
  </w:style>
  <w:style w:type="table" w:styleId="1105">
    <w:name w:val="List Table 6 Colorful"/>
    <w:basedOn w:val="1022"/>
    <w:next w:val="1105"/>
    <w:link w:val="1011"/>
    <w:uiPriority w:val="99"/>
    <w:qFormat/>
    <w:tblPr/>
  </w:style>
  <w:style w:type="table" w:styleId="1106">
    <w:name w:val="List Table 7 Colorful"/>
    <w:basedOn w:val="1022"/>
    <w:next w:val="1106"/>
    <w:link w:val="1011"/>
    <w:uiPriority w:val="99"/>
    <w:qFormat/>
    <w:tblPr/>
  </w:style>
  <w:style w:type="paragraph" w:styleId="1107">
    <w:name w:val="TOC Heading"/>
    <w:next w:val="1107"/>
    <w:link w:val="1011"/>
    <w:uiPriority w:val="39"/>
    <w:unhideWhenUsed/>
    <w:qFormat/>
    <w:rPr>
      <w:rFonts w:ascii="Times New Roman" w:hAnsi="Times New Roman" w:eastAsia="宋体" w:cs="Times New Roman"/>
    </w:rPr>
  </w:style>
  <w:style w:type="character" w:styleId="1108">
    <w:name w:val="Title Char"/>
    <w:basedOn w:val="1021"/>
    <w:next w:val="1108"/>
    <w:link w:val="1011"/>
    <w:uiPriority w:val="10"/>
    <w:qFormat/>
    <w:rPr>
      <w:sz w:val="48"/>
      <w:szCs w:val="48"/>
    </w:rPr>
  </w:style>
  <w:style w:type="character" w:styleId="1109">
    <w:name w:val="Subtitle Char"/>
    <w:basedOn w:val="1021"/>
    <w:next w:val="1109"/>
    <w:link w:val="1011"/>
    <w:uiPriority w:val="11"/>
    <w:qFormat/>
    <w:rPr>
      <w:sz w:val="24"/>
      <w:szCs w:val="24"/>
    </w:rPr>
  </w:style>
  <w:style w:type="character" w:styleId="1110">
    <w:name w:val="Quote Char"/>
    <w:next w:val="1110"/>
    <w:link w:val="1011"/>
    <w:uiPriority w:val="29"/>
    <w:qFormat/>
    <w:rPr>
      <w:i/>
    </w:rPr>
  </w:style>
  <w:style w:type="character" w:styleId="1111">
    <w:name w:val="Intense Quote Char"/>
    <w:next w:val="1111"/>
    <w:link w:val="1011"/>
    <w:uiPriority w:val="30"/>
    <w:qFormat/>
    <w:rPr>
      <w:i/>
    </w:rPr>
  </w:style>
  <w:style w:type="character" w:styleId="1112">
    <w:name w:val="Caption Char"/>
    <w:next w:val="1112"/>
    <w:link w:val="1011"/>
    <w:uiPriority w:val="99"/>
    <w:qFormat/>
  </w:style>
  <w:style w:type="table" w:styleId="1113">
    <w:name w:val="无格式表格 11"/>
    <w:basedOn w:val="1022"/>
    <w:next w:val="1113"/>
    <w:link w:val="1011"/>
    <w:uiPriority w:val="59"/>
    <w:qFormat/>
    <w:tblPr/>
  </w:style>
  <w:style w:type="table" w:styleId="1114">
    <w:name w:val="无格式表格 21"/>
    <w:basedOn w:val="1022"/>
    <w:next w:val="1114"/>
    <w:link w:val="1011"/>
    <w:uiPriority w:val="59"/>
    <w:qFormat/>
    <w:tblPr/>
  </w:style>
  <w:style w:type="table" w:styleId="1115">
    <w:name w:val="无格式表格 31"/>
    <w:basedOn w:val="1022"/>
    <w:next w:val="1115"/>
    <w:link w:val="1011"/>
    <w:uiPriority w:val="99"/>
    <w:qFormat/>
    <w:tblPr/>
  </w:style>
  <w:style w:type="table" w:styleId="1116">
    <w:name w:val="无格式表格 41"/>
    <w:basedOn w:val="1022"/>
    <w:next w:val="1116"/>
    <w:link w:val="1011"/>
    <w:uiPriority w:val="99"/>
    <w:qFormat/>
    <w:tblPr/>
  </w:style>
  <w:style w:type="table" w:styleId="1117">
    <w:name w:val="无格式表格 51"/>
    <w:basedOn w:val="1022"/>
    <w:next w:val="1117"/>
    <w:link w:val="1011"/>
    <w:uiPriority w:val="99"/>
    <w:qFormat/>
    <w:tblPr/>
  </w:style>
  <w:style w:type="table" w:styleId="1118">
    <w:name w:val="网格表 1 浅色1"/>
    <w:basedOn w:val="1022"/>
    <w:next w:val="1118"/>
    <w:link w:val="1011"/>
    <w:uiPriority w:val="99"/>
    <w:qFormat/>
    <w:tblPr/>
  </w:style>
  <w:style w:type="table" w:styleId="1119">
    <w:name w:val="网格表 21"/>
    <w:basedOn w:val="1022"/>
    <w:next w:val="1119"/>
    <w:link w:val="1011"/>
    <w:uiPriority w:val="99"/>
    <w:qFormat/>
    <w:tblPr/>
  </w:style>
  <w:style w:type="table" w:styleId="1120">
    <w:name w:val="网格表 31"/>
    <w:basedOn w:val="1022"/>
    <w:next w:val="1120"/>
    <w:link w:val="1011"/>
    <w:uiPriority w:val="99"/>
    <w:qFormat/>
    <w:tblPr/>
  </w:style>
  <w:style w:type="table" w:styleId="1121">
    <w:name w:val="网格表 41"/>
    <w:basedOn w:val="1022"/>
    <w:next w:val="1121"/>
    <w:link w:val="1011"/>
    <w:uiPriority w:val="59"/>
    <w:qFormat/>
    <w:tblPr/>
  </w:style>
  <w:style w:type="table" w:styleId="1122">
    <w:name w:val="网格表 5 深色1"/>
    <w:basedOn w:val="1022"/>
    <w:next w:val="1122"/>
    <w:link w:val="1011"/>
    <w:uiPriority w:val="99"/>
    <w:qFormat/>
    <w:tblPr/>
  </w:style>
  <w:style w:type="table" w:styleId="1123">
    <w:name w:val="网格表 6 彩色1"/>
    <w:basedOn w:val="1022"/>
    <w:next w:val="1123"/>
    <w:link w:val="1011"/>
    <w:uiPriority w:val="99"/>
    <w:qFormat/>
    <w:tblPr/>
  </w:style>
  <w:style w:type="table" w:styleId="1124">
    <w:name w:val="网格表 7 彩色1"/>
    <w:basedOn w:val="1022"/>
    <w:next w:val="1124"/>
    <w:link w:val="1011"/>
    <w:uiPriority w:val="99"/>
    <w:qFormat/>
    <w:tblPr/>
  </w:style>
  <w:style w:type="table" w:styleId="1125">
    <w:name w:val="清单表 1 浅色1"/>
    <w:basedOn w:val="1022"/>
    <w:next w:val="1125"/>
    <w:link w:val="1011"/>
    <w:uiPriority w:val="99"/>
    <w:qFormat/>
    <w:tblPr/>
  </w:style>
  <w:style w:type="table" w:styleId="1126">
    <w:name w:val="清单表 21"/>
    <w:basedOn w:val="1022"/>
    <w:next w:val="1126"/>
    <w:link w:val="1011"/>
    <w:uiPriority w:val="99"/>
    <w:qFormat/>
    <w:tblPr/>
  </w:style>
  <w:style w:type="table" w:styleId="1127">
    <w:name w:val="清单表 31"/>
    <w:basedOn w:val="1022"/>
    <w:next w:val="1127"/>
    <w:link w:val="1011"/>
    <w:uiPriority w:val="99"/>
    <w:qFormat/>
    <w:tblPr/>
  </w:style>
  <w:style w:type="table" w:styleId="1128">
    <w:name w:val="清单表 41"/>
    <w:basedOn w:val="1022"/>
    <w:next w:val="1128"/>
    <w:link w:val="1011"/>
    <w:uiPriority w:val="99"/>
    <w:qFormat/>
    <w:tblPr/>
  </w:style>
  <w:style w:type="table" w:styleId="1129">
    <w:name w:val="清单表 5 深色1"/>
    <w:basedOn w:val="1022"/>
    <w:next w:val="1129"/>
    <w:link w:val="1011"/>
    <w:uiPriority w:val="99"/>
    <w:qFormat/>
    <w:tblPr/>
  </w:style>
  <w:style w:type="table" w:styleId="1130">
    <w:name w:val="清单表 6 彩色1"/>
    <w:basedOn w:val="1022"/>
    <w:next w:val="1130"/>
    <w:link w:val="1011"/>
    <w:uiPriority w:val="99"/>
    <w:qFormat/>
    <w:tblPr/>
  </w:style>
  <w:style w:type="table" w:styleId="1131">
    <w:name w:val="清单表 7 彩色1"/>
    <w:basedOn w:val="1022"/>
    <w:next w:val="1131"/>
    <w:link w:val="1011"/>
    <w:uiPriority w:val="99"/>
    <w:qFormat/>
    <w:tblPr/>
  </w:style>
  <w:style w:type="character" w:styleId="1132">
    <w:name w:val="Footnote Text Char"/>
    <w:next w:val="1132"/>
    <w:link w:val="1011"/>
    <w:uiPriority w:val="99"/>
    <w:qFormat/>
    <w:rPr>
      <w:sz w:val="18"/>
    </w:rPr>
  </w:style>
  <w:style w:type="character" w:styleId="1133">
    <w:name w:val="Endnote Text Char"/>
    <w:next w:val="1133"/>
    <w:link w:val="1011"/>
    <w:uiPriority w:val="99"/>
    <w:qFormat/>
    <w:rPr>
      <w:sz w:val="20"/>
    </w:rPr>
  </w:style>
  <w:style w:type="paragraph" w:styleId="1134">
    <w:name w:val="TOC 标题1"/>
    <w:next w:val="1134"/>
    <w:link w:val="1011"/>
    <w:uiPriority w:val="39"/>
    <w:unhideWhenUsed/>
    <w:qFormat/>
    <w:rPr>
      <w:rFonts w:ascii="Times New Roman" w:hAnsi="Times New Roman" w:eastAsia="宋体" w:cs="Times New Roman"/>
    </w:rPr>
  </w:style>
  <w:style w:type="paragraph" w:styleId="1135">
    <w:name w:val="标题 11"/>
    <w:basedOn w:val="1011"/>
    <w:next w:val="1011"/>
    <w:link w:val="1136"/>
    <w:qFormat/>
    <w:pPr>
      <w:jc w:val="center"/>
      <w:keepLines/>
      <w:keepNext/>
      <w:spacing w:line="360" w:lineRule="auto"/>
      <w:outlineLvl w:val="0"/>
    </w:pPr>
    <w:rPr>
      <w:rFonts w:eastAsia="宋体"/>
      <w:b/>
      <w:sz w:val="32"/>
    </w:rPr>
  </w:style>
  <w:style w:type="character" w:styleId="1136">
    <w:name w:val="标题 1 字符"/>
    <w:next w:val="1136"/>
    <w:link w:val="1135"/>
    <w:qFormat/>
    <w:rPr>
      <w:rFonts w:ascii="Arial" w:hAnsi="Arial" w:eastAsia="Arial" w:cs="Arial"/>
      <w:sz w:val="40"/>
      <w:szCs w:val="40"/>
    </w:rPr>
  </w:style>
  <w:style w:type="paragraph" w:styleId="1137">
    <w:name w:val="标题 21"/>
    <w:basedOn w:val="1011"/>
    <w:next w:val="1011"/>
    <w:link w:val="1138"/>
    <w:uiPriority w:val="9"/>
    <w:unhideWhenUsed/>
    <w:qFormat/>
    <w:pPr>
      <w:keepLines/>
      <w:keepNext/>
      <w:spacing w:before="360" w:after="200"/>
      <w:outlineLvl w:val="1"/>
    </w:pPr>
    <w:rPr>
      <w:rFonts w:ascii="Arial" w:hAnsi="Arial" w:eastAsia="Arial" w:cs="Arial"/>
      <w:sz w:val="34"/>
    </w:rPr>
  </w:style>
  <w:style w:type="character" w:styleId="1138">
    <w:name w:val="标题 2 字符"/>
    <w:next w:val="1138"/>
    <w:link w:val="1137"/>
    <w:uiPriority w:val="9"/>
    <w:qFormat/>
    <w:rPr>
      <w:rFonts w:ascii="Arial" w:hAnsi="Arial" w:eastAsia="Arial" w:cs="Arial"/>
      <w:sz w:val="34"/>
    </w:rPr>
  </w:style>
  <w:style w:type="paragraph" w:styleId="1139">
    <w:name w:val="标题 31"/>
    <w:basedOn w:val="1011"/>
    <w:next w:val="1011"/>
    <w:link w:val="1140"/>
    <w:uiPriority w:val="9"/>
    <w:unhideWhenUsed/>
    <w:qFormat/>
    <w:pPr>
      <w:keepLines/>
      <w:keepNext/>
      <w:spacing w:before="320" w:after="200"/>
      <w:outlineLvl w:val="2"/>
    </w:pPr>
    <w:rPr>
      <w:rFonts w:ascii="Arial" w:hAnsi="Arial" w:eastAsia="Arial" w:cs="Arial"/>
      <w:sz w:val="30"/>
      <w:szCs w:val="30"/>
    </w:rPr>
  </w:style>
  <w:style w:type="character" w:styleId="1140">
    <w:name w:val="标题 3 字符"/>
    <w:next w:val="1140"/>
    <w:link w:val="1139"/>
    <w:uiPriority w:val="9"/>
    <w:qFormat/>
    <w:rPr>
      <w:rFonts w:ascii="Arial" w:hAnsi="Arial" w:eastAsia="Arial" w:cs="Arial"/>
      <w:sz w:val="30"/>
      <w:szCs w:val="30"/>
    </w:rPr>
  </w:style>
  <w:style w:type="paragraph" w:styleId="1141">
    <w:name w:val="标题 41"/>
    <w:basedOn w:val="1011"/>
    <w:next w:val="1011"/>
    <w:link w:val="1142"/>
    <w:uiPriority w:val="9"/>
    <w:unhideWhenUsed/>
    <w:qFormat/>
    <w:pPr>
      <w:keepLines/>
      <w:keepNext/>
      <w:spacing w:before="320" w:after="200"/>
      <w:outlineLvl w:val="3"/>
    </w:pPr>
    <w:rPr>
      <w:rFonts w:ascii="Arial" w:hAnsi="Arial" w:eastAsia="Arial" w:cs="Arial"/>
      <w:b/>
      <w:bCs/>
      <w:szCs w:val="26"/>
    </w:rPr>
  </w:style>
  <w:style w:type="character" w:styleId="1142">
    <w:name w:val="标题 4 字符"/>
    <w:next w:val="1142"/>
    <w:link w:val="1141"/>
    <w:uiPriority w:val="9"/>
    <w:qFormat/>
    <w:rPr>
      <w:rFonts w:ascii="Arial" w:hAnsi="Arial" w:eastAsia="Arial" w:cs="Arial"/>
      <w:b/>
      <w:bCs/>
      <w:sz w:val="26"/>
      <w:szCs w:val="26"/>
    </w:rPr>
  </w:style>
  <w:style w:type="paragraph" w:styleId="1143">
    <w:name w:val="标题 51"/>
    <w:basedOn w:val="1011"/>
    <w:next w:val="1011"/>
    <w:link w:val="1144"/>
    <w:uiPriority w:val="9"/>
    <w:unhideWhenUsed/>
    <w:qFormat/>
    <w:pPr>
      <w:keepLines/>
      <w:keepNext/>
      <w:spacing w:before="320" w:after="200"/>
      <w:outlineLvl w:val="4"/>
    </w:pPr>
    <w:rPr>
      <w:rFonts w:ascii="Arial" w:hAnsi="Arial" w:eastAsia="Arial" w:cs="Arial"/>
      <w:b/>
      <w:bCs/>
      <w:sz w:val="24"/>
      <w:szCs w:val="24"/>
    </w:rPr>
  </w:style>
  <w:style w:type="character" w:styleId="1144">
    <w:name w:val="标题 5 字符"/>
    <w:next w:val="1144"/>
    <w:link w:val="1143"/>
    <w:uiPriority w:val="9"/>
    <w:qFormat/>
    <w:rPr>
      <w:rFonts w:ascii="Arial" w:hAnsi="Arial" w:eastAsia="Arial" w:cs="Arial"/>
      <w:b/>
      <w:bCs/>
      <w:sz w:val="24"/>
      <w:szCs w:val="24"/>
    </w:rPr>
  </w:style>
  <w:style w:type="paragraph" w:styleId="1145">
    <w:name w:val="标题 61"/>
    <w:basedOn w:val="1011"/>
    <w:next w:val="1011"/>
    <w:link w:val="1146"/>
    <w:uiPriority w:val="9"/>
    <w:unhideWhenUsed/>
    <w:qFormat/>
    <w:pPr>
      <w:keepLines/>
      <w:keepNext/>
      <w:spacing w:before="320" w:after="200"/>
      <w:outlineLvl w:val="5"/>
    </w:pPr>
    <w:rPr>
      <w:rFonts w:ascii="Arial" w:hAnsi="Arial" w:eastAsia="Arial" w:cs="Arial"/>
      <w:b/>
      <w:bCs/>
      <w:sz w:val="22"/>
      <w:szCs w:val="22"/>
    </w:rPr>
  </w:style>
  <w:style w:type="character" w:styleId="1146">
    <w:name w:val="标题 6 字符"/>
    <w:next w:val="1146"/>
    <w:link w:val="1145"/>
    <w:uiPriority w:val="9"/>
    <w:qFormat/>
    <w:rPr>
      <w:rFonts w:ascii="Arial" w:hAnsi="Arial" w:eastAsia="Arial" w:cs="Arial"/>
      <w:b/>
      <w:bCs/>
      <w:sz w:val="22"/>
      <w:szCs w:val="22"/>
    </w:rPr>
  </w:style>
  <w:style w:type="paragraph" w:styleId="1147">
    <w:name w:val="标题 71"/>
    <w:basedOn w:val="1011"/>
    <w:next w:val="1011"/>
    <w:link w:val="1148"/>
    <w:uiPriority w:val="9"/>
    <w:unhideWhenUsed/>
    <w:qFormat/>
    <w:pPr>
      <w:keepLines/>
      <w:keepNext/>
      <w:spacing w:before="320" w:after="200"/>
      <w:outlineLvl w:val="6"/>
    </w:pPr>
    <w:rPr>
      <w:rFonts w:ascii="Arial" w:hAnsi="Arial" w:eastAsia="Arial" w:cs="Arial"/>
      <w:b/>
      <w:bCs/>
      <w:i/>
      <w:iCs/>
      <w:sz w:val="22"/>
      <w:szCs w:val="22"/>
    </w:rPr>
  </w:style>
  <w:style w:type="character" w:styleId="1148">
    <w:name w:val="标题 7 字符"/>
    <w:next w:val="1148"/>
    <w:link w:val="1147"/>
    <w:uiPriority w:val="9"/>
    <w:qFormat/>
    <w:rPr>
      <w:rFonts w:ascii="Arial" w:hAnsi="Arial" w:eastAsia="Arial" w:cs="Arial"/>
      <w:b/>
      <w:bCs/>
      <w:i/>
      <w:iCs/>
      <w:sz w:val="22"/>
      <w:szCs w:val="22"/>
    </w:rPr>
  </w:style>
  <w:style w:type="paragraph" w:styleId="1149">
    <w:name w:val="标题 81"/>
    <w:basedOn w:val="1011"/>
    <w:next w:val="1011"/>
    <w:link w:val="1150"/>
    <w:uiPriority w:val="9"/>
    <w:unhideWhenUsed/>
    <w:qFormat/>
    <w:pPr>
      <w:keepLines/>
      <w:keepNext/>
      <w:spacing w:before="320" w:after="200"/>
      <w:outlineLvl w:val="7"/>
    </w:pPr>
    <w:rPr>
      <w:rFonts w:ascii="Arial" w:hAnsi="Arial" w:eastAsia="Arial" w:cs="Arial"/>
      <w:i/>
      <w:iCs/>
      <w:sz w:val="22"/>
      <w:szCs w:val="22"/>
    </w:rPr>
  </w:style>
  <w:style w:type="character" w:styleId="1150">
    <w:name w:val="标题 8 字符"/>
    <w:next w:val="1150"/>
    <w:link w:val="1149"/>
    <w:uiPriority w:val="9"/>
    <w:qFormat/>
    <w:rPr>
      <w:rFonts w:ascii="Arial" w:hAnsi="Arial" w:eastAsia="Arial" w:cs="Arial"/>
      <w:i/>
      <w:iCs/>
      <w:sz w:val="22"/>
      <w:szCs w:val="22"/>
    </w:rPr>
  </w:style>
  <w:style w:type="paragraph" w:styleId="1151">
    <w:name w:val="标题 91"/>
    <w:basedOn w:val="1011"/>
    <w:next w:val="1011"/>
    <w:link w:val="1152"/>
    <w:uiPriority w:val="9"/>
    <w:unhideWhenUsed/>
    <w:qFormat/>
    <w:pPr>
      <w:keepLines/>
      <w:keepNext/>
      <w:spacing w:before="320" w:after="200"/>
      <w:outlineLvl w:val="8"/>
    </w:pPr>
    <w:rPr>
      <w:rFonts w:ascii="Arial" w:hAnsi="Arial" w:eastAsia="Arial" w:cs="Arial"/>
      <w:i/>
      <w:iCs/>
      <w:sz w:val="21"/>
      <w:szCs w:val="21"/>
    </w:rPr>
  </w:style>
  <w:style w:type="character" w:styleId="1152">
    <w:name w:val="标题 9 字符"/>
    <w:next w:val="1152"/>
    <w:link w:val="1151"/>
    <w:uiPriority w:val="9"/>
    <w:qFormat/>
    <w:rPr>
      <w:rFonts w:ascii="Arial" w:hAnsi="Arial" w:eastAsia="Arial" w:cs="Arial"/>
      <w:i/>
      <w:iCs/>
      <w:sz w:val="21"/>
      <w:szCs w:val="21"/>
    </w:rPr>
  </w:style>
  <w:style w:type="paragraph" w:styleId="1153">
    <w:name w:val="题注1"/>
    <w:basedOn w:val="1011"/>
    <w:next w:val="1011"/>
    <w:link w:val="1011"/>
    <w:uiPriority w:val="35"/>
    <w:unhideWhenUsed/>
    <w:qFormat/>
    <w:pPr>
      <w:spacing w:line="276" w:lineRule="auto"/>
    </w:pPr>
    <w:rPr>
      <w:b/>
      <w:bCs/>
      <w:color w:val="4f81bd"/>
      <w:sz w:val="18"/>
      <w:szCs w:val="18"/>
    </w:rPr>
  </w:style>
  <w:style w:type="paragraph" w:styleId="1154">
    <w:name w:val="页脚1"/>
    <w:basedOn w:val="1011"/>
    <w:next w:val="1154"/>
    <w:link w:val="1155"/>
    <w:uiPriority w:val="99"/>
    <w:unhideWhenUsed/>
    <w:qFormat/>
    <w:pPr>
      <w:tabs>
        <w:tab w:val="center" w:pos="7143" w:leader="none"/>
        <w:tab w:val="right" w:pos="14287" w:leader="none"/>
      </w:tabs>
    </w:pPr>
  </w:style>
  <w:style w:type="character" w:styleId="1155">
    <w:name w:val="页脚 字符"/>
    <w:next w:val="1155"/>
    <w:link w:val="1154"/>
    <w:uiPriority w:val="99"/>
    <w:qFormat/>
  </w:style>
  <w:style w:type="paragraph" w:styleId="1156">
    <w:name w:val="页眉1"/>
    <w:basedOn w:val="1011"/>
    <w:next w:val="1156"/>
    <w:link w:val="1157"/>
    <w:qFormat/>
    <w:pPr>
      <w:jc w:val="center"/>
      <w:tabs>
        <w:tab w:val="center" w:pos="4153" w:leader="none"/>
        <w:tab w:val="right" w:pos="8306" w:leader="none"/>
      </w:tabs>
    </w:pPr>
    <w:rPr>
      <w:sz w:val="18"/>
      <w:szCs w:val="18"/>
    </w:rPr>
  </w:style>
  <w:style w:type="character" w:styleId="1157">
    <w:name w:val="页眉 字符"/>
    <w:next w:val="1157"/>
    <w:link w:val="1156"/>
    <w:qFormat/>
    <w:rPr>
      <w:rFonts w:ascii="Times New Roman" w:hAnsi="Times New Roman" w:eastAsia="楷体_GB2312"/>
      <w:sz w:val="18"/>
      <w:szCs w:val="18"/>
    </w:rPr>
  </w:style>
  <w:style w:type="paragraph" w:styleId="1158">
    <w:name w:val="标题 311"/>
    <w:basedOn w:val="1011"/>
    <w:next w:val="1011"/>
    <w:link w:val="1011"/>
    <w:qFormat/>
    <w:pPr>
      <w:keepLines/>
      <w:keepNext/>
      <w:spacing w:before="260" w:after="260" w:line="416" w:lineRule="auto"/>
      <w:outlineLvl w:val="2"/>
    </w:pPr>
    <w:rPr>
      <w:b/>
      <w:bCs/>
      <w:sz w:val="32"/>
      <w:szCs w:val="32"/>
    </w:rPr>
  </w:style>
  <w:style w:type="paragraph" w:styleId="1159">
    <w:name w:val="List Paragraph"/>
    <w:basedOn w:val="1011"/>
    <w:next w:val="1159"/>
    <w:link w:val="1160"/>
    <w:uiPriority w:val="34"/>
    <w:qFormat/>
    <w:pPr>
      <w:ind w:firstLine="420"/>
    </w:pPr>
  </w:style>
  <w:style w:type="character" w:styleId="1160">
    <w:name w:val="列表段落 字符"/>
    <w:next w:val="1160"/>
    <w:link w:val="1159"/>
    <w:uiPriority w:val="34"/>
    <w:qFormat/>
    <w:rPr>
      <w:rFonts w:eastAsia="楷体_GB2312"/>
      <w:sz w:val="26"/>
    </w:rPr>
  </w:style>
  <w:style w:type="paragraph" w:styleId="1161">
    <w:name w:val="No Spacing"/>
    <w:next w:val="1161"/>
    <w:link w:val="1011"/>
    <w:uiPriority w:val="1"/>
    <w:qFormat/>
    <w:rPr>
      <w:rFonts w:ascii="Times New Roman" w:hAnsi="Times New Roman" w:eastAsia="宋体" w:cs="Times New Roman"/>
    </w:rPr>
  </w:style>
  <w:style w:type="paragraph" w:styleId="1162">
    <w:name w:val="Quote"/>
    <w:basedOn w:val="1011"/>
    <w:next w:val="1011"/>
    <w:link w:val="1163"/>
    <w:uiPriority w:val="29"/>
    <w:qFormat/>
    <w:pPr>
      <w:ind w:left="720" w:right="720"/>
    </w:pPr>
    <w:rPr>
      <w:i/>
    </w:rPr>
  </w:style>
  <w:style w:type="character" w:styleId="1163">
    <w:name w:val="引用 字符"/>
    <w:next w:val="1163"/>
    <w:link w:val="1162"/>
    <w:uiPriority w:val="29"/>
    <w:qFormat/>
    <w:rPr>
      <w:i/>
    </w:rPr>
  </w:style>
  <w:style w:type="paragraph" w:styleId="1164">
    <w:name w:val="Intense Quote"/>
    <w:basedOn w:val="1011"/>
    <w:next w:val="1011"/>
    <w:link w:val="11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65">
    <w:name w:val="明显引用 字符"/>
    <w:next w:val="1165"/>
    <w:link w:val="1164"/>
    <w:uiPriority w:val="30"/>
    <w:qFormat/>
    <w:rPr>
      <w:i/>
    </w:rPr>
  </w:style>
  <w:style w:type="character" w:styleId="1166">
    <w:name w:val="Header Char"/>
    <w:next w:val="1166"/>
    <w:link w:val="1011"/>
    <w:uiPriority w:val="99"/>
    <w:qFormat/>
  </w:style>
  <w:style w:type="character" w:styleId="1167">
    <w:name w:val="Footer Char"/>
    <w:next w:val="1167"/>
    <w:link w:val="1011"/>
    <w:uiPriority w:val="99"/>
    <w:qFormat/>
  </w:style>
  <w:style w:type="table" w:styleId="1168">
    <w:name w:val="Table Grid Light"/>
    <w:next w:val="1168"/>
    <w:link w:val="1011"/>
    <w:uiPriority w:val="59"/>
    <w:qFormat/>
    <w:tblPr/>
  </w:style>
  <w:style w:type="table" w:styleId="1169">
    <w:name w:val="Grid Table 1 Light - Accent 1"/>
    <w:next w:val="1169"/>
    <w:link w:val="1011"/>
    <w:uiPriority w:val="99"/>
    <w:qFormat/>
    <w:tblPr/>
  </w:style>
  <w:style w:type="table" w:styleId="1170">
    <w:name w:val="Grid Table 1 Light - Accent 2"/>
    <w:next w:val="1170"/>
    <w:link w:val="1011"/>
    <w:uiPriority w:val="99"/>
    <w:qFormat/>
    <w:tblPr/>
  </w:style>
  <w:style w:type="table" w:styleId="1171">
    <w:name w:val="Grid Table 1 Light - Accent 3"/>
    <w:next w:val="1171"/>
    <w:link w:val="1011"/>
    <w:uiPriority w:val="99"/>
    <w:qFormat/>
    <w:tblPr/>
  </w:style>
  <w:style w:type="table" w:styleId="1172">
    <w:name w:val="Grid Table 1 Light - Accent 4"/>
    <w:next w:val="1172"/>
    <w:link w:val="1011"/>
    <w:uiPriority w:val="99"/>
    <w:qFormat/>
    <w:tblPr/>
  </w:style>
  <w:style w:type="table" w:styleId="1173">
    <w:name w:val="Grid Table 1 Light - Accent 5"/>
    <w:next w:val="1173"/>
    <w:link w:val="1011"/>
    <w:uiPriority w:val="99"/>
    <w:qFormat/>
    <w:tblPr/>
  </w:style>
  <w:style w:type="table" w:styleId="1174">
    <w:name w:val="Grid Table 1 Light - Accent 6"/>
    <w:next w:val="1174"/>
    <w:link w:val="1011"/>
    <w:uiPriority w:val="99"/>
    <w:qFormat/>
    <w:tblPr/>
  </w:style>
  <w:style w:type="table" w:styleId="1175">
    <w:name w:val="Grid Table 2 - Accent 1"/>
    <w:next w:val="1175"/>
    <w:link w:val="1011"/>
    <w:uiPriority w:val="99"/>
    <w:qFormat/>
    <w:tblPr/>
  </w:style>
  <w:style w:type="table" w:styleId="1176">
    <w:name w:val="Grid Table 2 - Accent 2"/>
    <w:next w:val="1176"/>
    <w:link w:val="1011"/>
    <w:uiPriority w:val="99"/>
    <w:qFormat/>
    <w:tblPr/>
  </w:style>
  <w:style w:type="table" w:styleId="1177">
    <w:name w:val="Grid Table 2 - Accent 3"/>
    <w:next w:val="1177"/>
    <w:link w:val="1011"/>
    <w:uiPriority w:val="99"/>
    <w:qFormat/>
    <w:tblPr/>
  </w:style>
  <w:style w:type="table" w:styleId="1178">
    <w:name w:val="Grid Table 2 - Accent 4"/>
    <w:next w:val="1178"/>
    <w:link w:val="1011"/>
    <w:uiPriority w:val="99"/>
    <w:qFormat/>
    <w:tblPr/>
  </w:style>
  <w:style w:type="table" w:styleId="1179">
    <w:name w:val="Grid Table 2 - Accent 5"/>
    <w:next w:val="1179"/>
    <w:link w:val="1011"/>
    <w:uiPriority w:val="99"/>
    <w:qFormat/>
    <w:tblPr/>
  </w:style>
  <w:style w:type="table" w:styleId="1180">
    <w:name w:val="Grid Table 2 - Accent 6"/>
    <w:next w:val="1180"/>
    <w:link w:val="1011"/>
    <w:uiPriority w:val="99"/>
    <w:qFormat/>
    <w:tblPr/>
  </w:style>
  <w:style w:type="table" w:styleId="1181">
    <w:name w:val="Grid Table 3 - Accent 1"/>
    <w:next w:val="1181"/>
    <w:link w:val="1011"/>
    <w:uiPriority w:val="99"/>
    <w:qFormat/>
    <w:tblPr/>
  </w:style>
  <w:style w:type="table" w:styleId="1182">
    <w:name w:val="Grid Table 3 - Accent 2"/>
    <w:next w:val="1182"/>
    <w:link w:val="1011"/>
    <w:uiPriority w:val="99"/>
    <w:qFormat/>
    <w:tblPr/>
  </w:style>
  <w:style w:type="table" w:styleId="1183">
    <w:name w:val="Grid Table 3 - Accent 3"/>
    <w:next w:val="1183"/>
    <w:link w:val="1011"/>
    <w:uiPriority w:val="99"/>
    <w:qFormat/>
    <w:tblPr/>
  </w:style>
  <w:style w:type="table" w:styleId="1184">
    <w:name w:val="Grid Table 3 - Accent 4"/>
    <w:next w:val="1184"/>
    <w:link w:val="1011"/>
    <w:uiPriority w:val="99"/>
    <w:qFormat/>
    <w:tblPr/>
  </w:style>
  <w:style w:type="table" w:styleId="1185">
    <w:name w:val="Grid Table 3 - Accent 5"/>
    <w:next w:val="1185"/>
    <w:link w:val="1011"/>
    <w:uiPriority w:val="99"/>
    <w:qFormat/>
    <w:tblPr/>
  </w:style>
  <w:style w:type="table" w:styleId="1186">
    <w:name w:val="Grid Table 3 - Accent 6"/>
    <w:next w:val="1186"/>
    <w:link w:val="1011"/>
    <w:uiPriority w:val="99"/>
    <w:qFormat/>
    <w:tblPr/>
  </w:style>
  <w:style w:type="table" w:styleId="1187">
    <w:name w:val="Grid Table 4 - Accent 1"/>
    <w:next w:val="1187"/>
    <w:link w:val="1011"/>
    <w:uiPriority w:val="59"/>
    <w:qFormat/>
    <w:tblPr/>
  </w:style>
  <w:style w:type="table" w:styleId="1188">
    <w:name w:val="Grid Table 4 - Accent 2"/>
    <w:next w:val="1188"/>
    <w:link w:val="1011"/>
    <w:uiPriority w:val="59"/>
    <w:qFormat/>
    <w:tblPr/>
  </w:style>
  <w:style w:type="table" w:styleId="1189">
    <w:name w:val="Grid Table 4 - Accent 3"/>
    <w:next w:val="1189"/>
    <w:link w:val="1011"/>
    <w:uiPriority w:val="59"/>
    <w:qFormat/>
    <w:tblPr/>
  </w:style>
  <w:style w:type="table" w:styleId="1190">
    <w:name w:val="Grid Table 4 - Accent 4"/>
    <w:next w:val="1190"/>
    <w:link w:val="1011"/>
    <w:uiPriority w:val="59"/>
    <w:qFormat/>
    <w:tblPr/>
  </w:style>
  <w:style w:type="table" w:styleId="1191">
    <w:name w:val="Grid Table 4 - Accent 5"/>
    <w:next w:val="1191"/>
    <w:link w:val="1011"/>
    <w:uiPriority w:val="59"/>
    <w:qFormat/>
    <w:tblPr/>
  </w:style>
  <w:style w:type="table" w:styleId="1192">
    <w:name w:val="Grid Table 4 - Accent 6"/>
    <w:next w:val="1192"/>
    <w:link w:val="1011"/>
    <w:uiPriority w:val="59"/>
    <w:qFormat/>
    <w:tblPr/>
  </w:style>
  <w:style w:type="table" w:styleId="1193">
    <w:name w:val="Grid Table 5 Dark- Accent 1"/>
    <w:next w:val="1193"/>
    <w:link w:val="1011"/>
    <w:uiPriority w:val="99"/>
    <w:qFormat/>
    <w:tblPr/>
  </w:style>
  <w:style w:type="table" w:styleId="1194">
    <w:name w:val="Grid Table 5 Dark - Accent 2"/>
    <w:next w:val="1194"/>
    <w:link w:val="1011"/>
    <w:uiPriority w:val="99"/>
    <w:qFormat/>
    <w:tblPr/>
  </w:style>
  <w:style w:type="table" w:styleId="1195">
    <w:name w:val="Grid Table 5 Dark - Accent 3"/>
    <w:next w:val="1195"/>
    <w:link w:val="1011"/>
    <w:uiPriority w:val="99"/>
    <w:qFormat/>
    <w:tblPr/>
  </w:style>
  <w:style w:type="table" w:styleId="1196">
    <w:name w:val="Grid Table 5 Dark- Accent 4"/>
    <w:next w:val="1196"/>
    <w:link w:val="1011"/>
    <w:uiPriority w:val="99"/>
    <w:qFormat/>
    <w:tblPr/>
  </w:style>
  <w:style w:type="table" w:styleId="1197">
    <w:name w:val="Grid Table 5 Dark - Accent 5"/>
    <w:next w:val="1197"/>
    <w:link w:val="1011"/>
    <w:uiPriority w:val="99"/>
    <w:qFormat/>
    <w:tblPr/>
  </w:style>
  <w:style w:type="table" w:styleId="1198">
    <w:name w:val="Grid Table 5 Dark - Accent 6"/>
    <w:next w:val="1198"/>
    <w:link w:val="1011"/>
    <w:uiPriority w:val="99"/>
    <w:qFormat/>
    <w:tblPr/>
  </w:style>
  <w:style w:type="table" w:styleId="1199">
    <w:name w:val="Grid Table 6 Colorful - Accent 1"/>
    <w:next w:val="1199"/>
    <w:link w:val="1011"/>
    <w:uiPriority w:val="99"/>
    <w:qFormat/>
    <w:tblPr/>
  </w:style>
  <w:style w:type="table" w:styleId="1200">
    <w:name w:val="Grid Table 6 Colorful - Accent 2"/>
    <w:next w:val="1200"/>
    <w:link w:val="1011"/>
    <w:uiPriority w:val="99"/>
    <w:qFormat/>
    <w:tblPr/>
  </w:style>
  <w:style w:type="table" w:styleId="1201">
    <w:name w:val="Grid Table 6 Colorful - Accent 3"/>
    <w:next w:val="1201"/>
    <w:link w:val="1011"/>
    <w:uiPriority w:val="99"/>
    <w:qFormat/>
    <w:tblPr/>
  </w:style>
  <w:style w:type="table" w:styleId="1202">
    <w:name w:val="Grid Table 6 Colorful - Accent 4"/>
    <w:next w:val="1202"/>
    <w:link w:val="1011"/>
    <w:uiPriority w:val="99"/>
    <w:qFormat/>
    <w:tblPr/>
  </w:style>
  <w:style w:type="table" w:styleId="1203">
    <w:name w:val="Grid Table 6 Colorful - Accent 5"/>
    <w:next w:val="1203"/>
    <w:link w:val="1011"/>
    <w:uiPriority w:val="99"/>
    <w:qFormat/>
    <w:tblPr/>
  </w:style>
  <w:style w:type="table" w:styleId="1204">
    <w:name w:val="Grid Table 6 Colorful - Accent 6"/>
    <w:next w:val="1204"/>
    <w:link w:val="1011"/>
    <w:uiPriority w:val="99"/>
    <w:qFormat/>
    <w:tblPr/>
  </w:style>
  <w:style w:type="table" w:styleId="1205">
    <w:name w:val="Grid Table 7 Colorful - Accent 1"/>
    <w:next w:val="1205"/>
    <w:link w:val="1011"/>
    <w:uiPriority w:val="99"/>
    <w:qFormat/>
    <w:tblPr/>
  </w:style>
  <w:style w:type="table" w:styleId="1206">
    <w:name w:val="Grid Table 7 Colorful - Accent 2"/>
    <w:next w:val="1206"/>
    <w:link w:val="1011"/>
    <w:uiPriority w:val="99"/>
    <w:qFormat/>
    <w:tblPr/>
  </w:style>
  <w:style w:type="table" w:styleId="1207">
    <w:name w:val="Grid Table 7 Colorful - Accent 3"/>
    <w:next w:val="1207"/>
    <w:link w:val="1011"/>
    <w:uiPriority w:val="99"/>
    <w:qFormat/>
    <w:tblPr/>
  </w:style>
  <w:style w:type="table" w:styleId="1208">
    <w:name w:val="Grid Table 7 Colorful - Accent 4"/>
    <w:next w:val="1208"/>
    <w:link w:val="1011"/>
    <w:uiPriority w:val="99"/>
    <w:qFormat/>
    <w:tblPr/>
  </w:style>
  <w:style w:type="table" w:styleId="1209">
    <w:name w:val="Grid Table 7 Colorful - Accent 5"/>
    <w:next w:val="1209"/>
    <w:link w:val="1011"/>
    <w:uiPriority w:val="99"/>
    <w:qFormat/>
    <w:tblPr/>
  </w:style>
  <w:style w:type="table" w:styleId="1210">
    <w:name w:val="Grid Table 7 Colorful - Accent 6"/>
    <w:next w:val="1210"/>
    <w:link w:val="1011"/>
    <w:uiPriority w:val="99"/>
    <w:qFormat/>
    <w:tblPr/>
  </w:style>
  <w:style w:type="table" w:styleId="1211">
    <w:name w:val="List Table 1 Light - Accent 1"/>
    <w:next w:val="1211"/>
    <w:link w:val="1011"/>
    <w:uiPriority w:val="99"/>
    <w:qFormat/>
    <w:tblPr/>
  </w:style>
  <w:style w:type="table" w:styleId="1212">
    <w:name w:val="List Table 1 Light - Accent 2"/>
    <w:next w:val="1212"/>
    <w:link w:val="1011"/>
    <w:uiPriority w:val="99"/>
    <w:qFormat/>
    <w:tblPr/>
  </w:style>
  <w:style w:type="table" w:styleId="1213">
    <w:name w:val="List Table 1 Light - Accent 3"/>
    <w:next w:val="1213"/>
    <w:link w:val="1011"/>
    <w:uiPriority w:val="99"/>
    <w:qFormat/>
    <w:tblPr/>
  </w:style>
  <w:style w:type="table" w:styleId="1214">
    <w:name w:val="List Table 1 Light - Accent 4"/>
    <w:next w:val="1214"/>
    <w:link w:val="1011"/>
    <w:uiPriority w:val="99"/>
    <w:qFormat/>
    <w:tblPr/>
  </w:style>
  <w:style w:type="table" w:styleId="1215">
    <w:name w:val="List Table 1 Light - Accent 5"/>
    <w:next w:val="1215"/>
    <w:link w:val="1011"/>
    <w:uiPriority w:val="99"/>
    <w:qFormat/>
    <w:tblPr/>
  </w:style>
  <w:style w:type="table" w:styleId="1216">
    <w:name w:val="List Table 1 Light - Accent 6"/>
    <w:next w:val="1216"/>
    <w:link w:val="1011"/>
    <w:uiPriority w:val="99"/>
    <w:qFormat/>
    <w:tblPr/>
  </w:style>
  <w:style w:type="table" w:styleId="1217">
    <w:name w:val="List Table 2 - Accent 1"/>
    <w:next w:val="1217"/>
    <w:link w:val="1011"/>
    <w:uiPriority w:val="99"/>
    <w:qFormat/>
    <w:tblPr/>
  </w:style>
  <w:style w:type="table" w:styleId="1218">
    <w:name w:val="List Table 2 - Accent 2"/>
    <w:next w:val="1218"/>
    <w:link w:val="1011"/>
    <w:uiPriority w:val="99"/>
    <w:qFormat/>
    <w:tblPr/>
  </w:style>
  <w:style w:type="table" w:styleId="1219">
    <w:name w:val="List Table 2 - Accent 3"/>
    <w:next w:val="1219"/>
    <w:link w:val="1011"/>
    <w:uiPriority w:val="99"/>
    <w:qFormat/>
    <w:tblPr/>
  </w:style>
  <w:style w:type="table" w:styleId="1220">
    <w:name w:val="List Table 2 - Accent 4"/>
    <w:next w:val="1220"/>
    <w:link w:val="1011"/>
    <w:uiPriority w:val="99"/>
    <w:qFormat/>
    <w:tblPr/>
  </w:style>
  <w:style w:type="table" w:styleId="1221">
    <w:name w:val="List Table 2 - Accent 5"/>
    <w:next w:val="1221"/>
    <w:link w:val="1011"/>
    <w:uiPriority w:val="99"/>
    <w:qFormat/>
    <w:tblPr/>
  </w:style>
  <w:style w:type="table" w:styleId="1222">
    <w:name w:val="List Table 2 - Accent 6"/>
    <w:next w:val="1222"/>
    <w:link w:val="1011"/>
    <w:uiPriority w:val="99"/>
    <w:qFormat/>
    <w:tblPr/>
  </w:style>
  <w:style w:type="table" w:styleId="1223">
    <w:name w:val="List Table 3 - Accent 1"/>
    <w:next w:val="1223"/>
    <w:link w:val="1011"/>
    <w:uiPriority w:val="99"/>
    <w:qFormat/>
    <w:tblPr/>
  </w:style>
  <w:style w:type="table" w:styleId="1224">
    <w:name w:val="List Table 3 - Accent 2"/>
    <w:next w:val="1224"/>
    <w:link w:val="1011"/>
    <w:uiPriority w:val="99"/>
    <w:qFormat/>
    <w:tblPr/>
  </w:style>
  <w:style w:type="table" w:styleId="1225">
    <w:name w:val="List Table 3 - Accent 3"/>
    <w:next w:val="1225"/>
    <w:link w:val="1011"/>
    <w:uiPriority w:val="99"/>
    <w:qFormat/>
    <w:tblPr/>
  </w:style>
  <w:style w:type="table" w:styleId="1226">
    <w:name w:val="List Table 3 - Accent 4"/>
    <w:next w:val="1226"/>
    <w:link w:val="1011"/>
    <w:uiPriority w:val="99"/>
    <w:qFormat/>
    <w:tblPr/>
  </w:style>
  <w:style w:type="table" w:styleId="1227">
    <w:name w:val="List Table 3 - Accent 5"/>
    <w:next w:val="1227"/>
    <w:link w:val="1011"/>
    <w:uiPriority w:val="99"/>
    <w:qFormat/>
    <w:tblPr/>
  </w:style>
  <w:style w:type="table" w:styleId="1228">
    <w:name w:val="List Table 3 - Accent 6"/>
    <w:next w:val="1228"/>
    <w:link w:val="1011"/>
    <w:uiPriority w:val="99"/>
    <w:qFormat/>
    <w:tblPr/>
  </w:style>
  <w:style w:type="table" w:styleId="1229">
    <w:name w:val="List Table 4 - Accent 1"/>
    <w:next w:val="1229"/>
    <w:link w:val="1011"/>
    <w:uiPriority w:val="99"/>
    <w:qFormat/>
    <w:tblPr/>
  </w:style>
  <w:style w:type="table" w:styleId="1230">
    <w:name w:val="List Table 4 - Accent 2"/>
    <w:next w:val="1230"/>
    <w:link w:val="1011"/>
    <w:uiPriority w:val="99"/>
    <w:qFormat/>
    <w:tblPr/>
  </w:style>
  <w:style w:type="table" w:styleId="1231">
    <w:name w:val="List Table 4 - Accent 3"/>
    <w:next w:val="1231"/>
    <w:link w:val="1011"/>
    <w:uiPriority w:val="99"/>
    <w:qFormat/>
    <w:tblPr/>
  </w:style>
  <w:style w:type="table" w:styleId="1232">
    <w:name w:val="List Table 4 - Accent 4"/>
    <w:next w:val="1232"/>
    <w:link w:val="1011"/>
    <w:uiPriority w:val="99"/>
    <w:qFormat/>
    <w:tblPr/>
  </w:style>
  <w:style w:type="table" w:styleId="1233">
    <w:name w:val="List Table 4 - Accent 5"/>
    <w:next w:val="1233"/>
    <w:link w:val="1011"/>
    <w:uiPriority w:val="99"/>
    <w:qFormat/>
    <w:tblPr/>
  </w:style>
  <w:style w:type="table" w:styleId="1234">
    <w:name w:val="List Table 4 - Accent 6"/>
    <w:next w:val="1234"/>
    <w:link w:val="1011"/>
    <w:uiPriority w:val="99"/>
    <w:qFormat/>
    <w:tblPr/>
  </w:style>
  <w:style w:type="table" w:styleId="1235">
    <w:name w:val="List Table 5 Dark - Accent 1"/>
    <w:next w:val="1235"/>
    <w:link w:val="1011"/>
    <w:uiPriority w:val="99"/>
    <w:qFormat/>
    <w:tblPr/>
  </w:style>
  <w:style w:type="table" w:styleId="1236">
    <w:name w:val="List Table 5 Dark - Accent 2"/>
    <w:next w:val="1236"/>
    <w:link w:val="1011"/>
    <w:uiPriority w:val="99"/>
    <w:qFormat/>
    <w:tblPr/>
  </w:style>
  <w:style w:type="table" w:styleId="1237">
    <w:name w:val="List Table 5 Dark - Accent 3"/>
    <w:next w:val="1237"/>
    <w:link w:val="1011"/>
    <w:uiPriority w:val="99"/>
    <w:qFormat/>
    <w:tblPr/>
  </w:style>
  <w:style w:type="table" w:styleId="1238">
    <w:name w:val="List Table 5 Dark - Accent 4"/>
    <w:next w:val="1238"/>
    <w:link w:val="1011"/>
    <w:uiPriority w:val="99"/>
    <w:qFormat/>
    <w:tblPr/>
  </w:style>
  <w:style w:type="table" w:styleId="1239">
    <w:name w:val="List Table 5 Dark - Accent 5"/>
    <w:next w:val="1239"/>
    <w:link w:val="1011"/>
    <w:uiPriority w:val="99"/>
    <w:qFormat/>
    <w:tblPr/>
  </w:style>
  <w:style w:type="table" w:styleId="1240">
    <w:name w:val="List Table 5 Dark - Accent 6"/>
    <w:next w:val="1240"/>
    <w:link w:val="1011"/>
    <w:uiPriority w:val="99"/>
    <w:qFormat/>
    <w:tblPr/>
  </w:style>
  <w:style w:type="table" w:styleId="1241">
    <w:name w:val="List Table 6 Colorful - Accent 1"/>
    <w:next w:val="1241"/>
    <w:link w:val="1011"/>
    <w:uiPriority w:val="99"/>
    <w:qFormat/>
    <w:tblPr/>
  </w:style>
  <w:style w:type="table" w:styleId="1242">
    <w:name w:val="List Table 6 Colorful - Accent 2"/>
    <w:next w:val="1242"/>
    <w:link w:val="1011"/>
    <w:uiPriority w:val="99"/>
    <w:qFormat/>
    <w:tblPr/>
  </w:style>
  <w:style w:type="table" w:styleId="1243">
    <w:name w:val="List Table 6 Colorful - Accent 3"/>
    <w:next w:val="1243"/>
    <w:link w:val="1011"/>
    <w:uiPriority w:val="99"/>
    <w:qFormat/>
    <w:tblPr/>
  </w:style>
  <w:style w:type="table" w:styleId="1244">
    <w:name w:val="List Table 6 Colorful - Accent 4"/>
    <w:next w:val="1244"/>
    <w:link w:val="1011"/>
    <w:uiPriority w:val="99"/>
    <w:qFormat/>
    <w:tblPr/>
  </w:style>
  <w:style w:type="table" w:styleId="1245">
    <w:name w:val="List Table 6 Colorful - Accent 5"/>
    <w:next w:val="1245"/>
    <w:link w:val="1011"/>
    <w:uiPriority w:val="99"/>
    <w:qFormat/>
    <w:tblPr/>
  </w:style>
  <w:style w:type="table" w:styleId="1246">
    <w:name w:val="List Table 6 Colorful - Accent 6"/>
    <w:next w:val="1246"/>
    <w:link w:val="1011"/>
    <w:uiPriority w:val="99"/>
    <w:qFormat/>
    <w:tblPr/>
  </w:style>
  <w:style w:type="table" w:styleId="1247">
    <w:name w:val="List Table 7 Colorful - Accent 1"/>
    <w:next w:val="1247"/>
    <w:link w:val="1011"/>
    <w:uiPriority w:val="99"/>
    <w:qFormat/>
    <w:tblPr/>
  </w:style>
  <w:style w:type="table" w:styleId="1248">
    <w:name w:val="List Table 7 Colorful - Accent 2"/>
    <w:next w:val="1248"/>
    <w:link w:val="1011"/>
    <w:uiPriority w:val="99"/>
    <w:qFormat/>
    <w:tblPr/>
  </w:style>
  <w:style w:type="table" w:styleId="1249">
    <w:name w:val="List Table 7 Colorful - Accent 3"/>
    <w:next w:val="1249"/>
    <w:link w:val="1011"/>
    <w:uiPriority w:val="99"/>
    <w:qFormat/>
    <w:tblPr/>
  </w:style>
  <w:style w:type="table" w:styleId="1250">
    <w:name w:val="List Table 7 Colorful - Accent 4"/>
    <w:next w:val="1250"/>
    <w:link w:val="1011"/>
    <w:uiPriority w:val="99"/>
    <w:qFormat/>
    <w:tblPr/>
  </w:style>
  <w:style w:type="table" w:styleId="1251">
    <w:name w:val="List Table 7 Colorful - Accent 5"/>
    <w:next w:val="1251"/>
    <w:link w:val="1011"/>
    <w:uiPriority w:val="99"/>
    <w:qFormat/>
    <w:tblPr/>
  </w:style>
  <w:style w:type="table" w:styleId="1252">
    <w:name w:val="List Table 7 Colorful - Accent 6"/>
    <w:next w:val="1252"/>
    <w:link w:val="1011"/>
    <w:uiPriority w:val="99"/>
    <w:qFormat/>
    <w:tblPr/>
  </w:style>
  <w:style w:type="table" w:styleId="1253">
    <w:name w:val="Lined - Accent"/>
    <w:next w:val="1253"/>
    <w:link w:val="1011"/>
    <w:uiPriority w:val="99"/>
    <w:qFormat/>
    <w:rPr>
      <w:color w:val="404040"/>
    </w:rPr>
    <w:tblPr/>
  </w:style>
  <w:style w:type="table" w:styleId="1254">
    <w:name w:val="Lined - Accent 1"/>
    <w:next w:val="1254"/>
    <w:link w:val="1011"/>
    <w:uiPriority w:val="99"/>
    <w:qFormat/>
    <w:rPr>
      <w:color w:val="404040"/>
    </w:rPr>
    <w:tblPr/>
  </w:style>
  <w:style w:type="table" w:styleId="1255">
    <w:name w:val="Lined - Accent 2"/>
    <w:next w:val="1255"/>
    <w:link w:val="1011"/>
    <w:uiPriority w:val="99"/>
    <w:qFormat/>
    <w:rPr>
      <w:color w:val="404040"/>
    </w:rPr>
    <w:tblPr/>
  </w:style>
  <w:style w:type="table" w:styleId="1256">
    <w:name w:val="Lined - Accent 3"/>
    <w:next w:val="1256"/>
    <w:link w:val="1011"/>
    <w:uiPriority w:val="99"/>
    <w:qFormat/>
    <w:rPr>
      <w:color w:val="404040"/>
    </w:rPr>
    <w:tblPr/>
  </w:style>
  <w:style w:type="table" w:styleId="1257">
    <w:name w:val="Lined - Accent 4"/>
    <w:next w:val="1257"/>
    <w:link w:val="1011"/>
    <w:uiPriority w:val="99"/>
    <w:qFormat/>
    <w:rPr>
      <w:color w:val="404040"/>
    </w:rPr>
    <w:tblPr/>
  </w:style>
  <w:style w:type="table" w:styleId="1258">
    <w:name w:val="Lined - Accent 5"/>
    <w:next w:val="1258"/>
    <w:link w:val="1011"/>
    <w:uiPriority w:val="99"/>
    <w:qFormat/>
    <w:rPr>
      <w:color w:val="404040"/>
    </w:rPr>
    <w:tblPr/>
  </w:style>
  <w:style w:type="table" w:styleId="1259">
    <w:name w:val="Lined - Accent 6"/>
    <w:next w:val="1259"/>
    <w:link w:val="1011"/>
    <w:uiPriority w:val="99"/>
    <w:qFormat/>
    <w:rPr>
      <w:color w:val="404040"/>
    </w:rPr>
    <w:tblPr/>
  </w:style>
  <w:style w:type="table" w:styleId="1260">
    <w:name w:val="Bordered &amp; Lined - Accent"/>
    <w:next w:val="1260"/>
    <w:link w:val="1011"/>
    <w:uiPriority w:val="99"/>
    <w:qFormat/>
    <w:rPr>
      <w:color w:val="404040"/>
    </w:rPr>
    <w:tblPr/>
  </w:style>
  <w:style w:type="table" w:styleId="1261">
    <w:name w:val="Bordered &amp; Lined - Accent 1"/>
    <w:next w:val="1261"/>
    <w:link w:val="1011"/>
    <w:uiPriority w:val="99"/>
    <w:qFormat/>
    <w:rPr>
      <w:color w:val="404040"/>
    </w:rPr>
    <w:tblPr/>
  </w:style>
  <w:style w:type="table" w:styleId="1262">
    <w:name w:val="Bordered &amp; Lined - Accent 2"/>
    <w:next w:val="1262"/>
    <w:link w:val="1011"/>
    <w:uiPriority w:val="99"/>
    <w:qFormat/>
    <w:rPr>
      <w:color w:val="404040"/>
    </w:rPr>
    <w:tblPr/>
  </w:style>
  <w:style w:type="table" w:styleId="1263">
    <w:name w:val="Bordered &amp; Lined - Accent 3"/>
    <w:next w:val="1263"/>
    <w:link w:val="1011"/>
    <w:uiPriority w:val="99"/>
    <w:qFormat/>
    <w:rPr>
      <w:color w:val="404040"/>
    </w:rPr>
    <w:tblPr/>
  </w:style>
  <w:style w:type="table" w:styleId="1264">
    <w:name w:val="Bordered &amp; Lined - Accent 4"/>
    <w:next w:val="1264"/>
    <w:link w:val="1011"/>
    <w:uiPriority w:val="99"/>
    <w:qFormat/>
    <w:rPr>
      <w:color w:val="404040"/>
    </w:rPr>
    <w:tblPr/>
  </w:style>
  <w:style w:type="table" w:styleId="1265">
    <w:name w:val="Bordered &amp; Lined - Accent 5"/>
    <w:next w:val="1265"/>
    <w:link w:val="1011"/>
    <w:uiPriority w:val="99"/>
    <w:qFormat/>
    <w:rPr>
      <w:color w:val="404040"/>
    </w:rPr>
    <w:tblPr/>
  </w:style>
  <w:style w:type="table" w:styleId="1266">
    <w:name w:val="Bordered &amp; Lined - Accent 6"/>
    <w:next w:val="1266"/>
    <w:link w:val="1011"/>
    <w:uiPriority w:val="99"/>
    <w:qFormat/>
    <w:rPr>
      <w:color w:val="404040"/>
    </w:rPr>
    <w:tblPr/>
  </w:style>
  <w:style w:type="table" w:styleId="1267">
    <w:name w:val="Bordered"/>
    <w:next w:val="1267"/>
    <w:link w:val="1011"/>
    <w:uiPriority w:val="99"/>
    <w:qFormat/>
    <w:tblPr/>
  </w:style>
  <w:style w:type="table" w:styleId="1268">
    <w:name w:val="Bordered - Accent 1"/>
    <w:next w:val="1268"/>
    <w:link w:val="1011"/>
    <w:uiPriority w:val="99"/>
    <w:qFormat/>
    <w:tblPr/>
  </w:style>
  <w:style w:type="table" w:styleId="1269">
    <w:name w:val="Bordered - Accent 2"/>
    <w:next w:val="1269"/>
    <w:link w:val="1011"/>
    <w:uiPriority w:val="99"/>
    <w:qFormat/>
    <w:tblPr/>
  </w:style>
  <w:style w:type="table" w:styleId="1270">
    <w:name w:val="Bordered - Accent 3"/>
    <w:next w:val="1270"/>
    <w:link w:val="1011"/>
    <w:uiPriority w:val="99"/>
    <w:qFormat/>
    <w:tblPr/>
  </w:style>
  <w:style w:type="table" w:styleId="1271">
    <w:name w:val="Bordered - Accent 4"/>
    <w:next w:val="1271"/>
    <w:link w:val="1011"/>
    <w:uiPriority w:val="99"/>
    <w:qFormat/>
    <w:tblPr/>
  </w:style>
  <w:style w:type="table" w:styleId="1272">
    <w:name w:val="Bordered - Accent 5"/>
    <w:next w:val="1272"/>
    <w:link w:val="1011"/>
    <w:uiPriority w:val="99"/>
    <w:qFormat/>
    <w:tblPr/>
  </w:style>
  <w:style w:type="table" w:styleId="1273">
    <w:name w:val="Bordered - Accent 6"/>
    <w:next w:val="1273"/>
    <w:link w:val="1011"/>
    <w:uiPriority w:val="99"/>
    <w:qFormat/>
    <w:tblPr/>
  </w:style>
  <w:style w:type="paragraph" w:styleId="1274">
    <w:name w:val="TOC 标题11"/>
    <w:next w:val="1274"/>
    <w:link w:val="1011"/>
    <w:uiPriority w:val="39"/>
    <w:unhideWhenUsed/>
    <w:qFormat/>
    <w:rPr>
      <w:rFonts w:ascii="Times New Roman" w:hAnsi="Times New Roman" w:eastAsia="宋体" w:cs="Times New Roman"/>
    </w:rPr>
  </w:style>
  <w:style w:type="paragraph" w:styleId="1275">
    <w:name w:val="索引 41"/>
    <w:basedOn w:val="1011"/>
    <w:next w:val="1011"/>
    <w:link w:val="1011"/>
    <w:qFormat/>
    <w:pPr>
      <w:ind w:left="600"/>
    </w:pPr>
    <w:rPr>
      <w:szCs w:val="21"/>
    </w:rPr>
  </w:style>
  <w:style w:type="paragraph" w:styleId="1276">
    <w:name w:val="正文首行缩进 21"/>
    <w:basedOn w:val="1076"/>
    <w:next w:val="1011"/>
    <w:link w:val="1011"/>
    <w:uiPriority w:val="99"/>
    <w:unhideWhenUsed/>
    <w:qFormat/>
    <w:pPr>
      <w:ind w:firstLine="420"/>
    </w:pPr>
  </w:style>
  <w:style w:type="paragraph" w:styleId="1277">
    <w:name w:val="目录 11"/>
    <w:basedOn w:val="1011"/>
    <w:next w:val="1278"/>
    <w:link w:val="1011"/>
    <w:unhideWhenUsed/>
    <w:qFormat/>
    <w:pPr>
      <w:jc w:val="left"/>
    </w:pPr>
    <w:rPr>
      <w:sz w:val="24"/>
    </w:rPr>
  </w:style>
  <w:style w:type="paragraph" w:styleId="1278">
    <w:name w:val="正文11"/>
    <w:next w:val="1277"/>
    <w:link w:val="1011"/>
    <w:qFormat/>
    <w:pPr>
      <w:jc w:val="both"/>
      <w:widowControl w:val="off"/>
    </w:pPr>
    <w:rPr>
      <w:rFonts w:ascii="Arial" w:hAnsi="Arial" w:eastAsia="宋体" w:cs="Times New Roman"/>
      <w:sz w:val="21"/>
      <w:szCs w:val="22"/>
    </w:rPr>
  </w:style>
  <w:style w:type="paragraph" w:styleId="1279">
    <w:name w:val="标题 211"/>
    <w:basedOn w:val="1011"/>
    <w:next w:val="1011"/>
    <w:link w:val="1011"/>
    <w:qFormat/>
    <w:pPr>
      <w:keepLines/>
      <w:keepNext/>
      <w:spacing w:before="260" w:after="260" w:line="416" w:lineRule="auto"/>
      <w:outlineLvl w:val="1"/>
    </w:pPr>
    <w:rPr>
      <w:rFonts w:ascii="Cambria" w:hAnsi="Cambria" w:eastAsia="宋体"/>
      <w:b/>
      <w:bCs/>
      <w:sz w:val="32"/>
      <w:szCs w:val="32"/>
    </w:rPr>
  </w:style>
  <w:style w:type="paragraph" w:styleId="1280">
    <w:name w:val="Default"/>
    <w:next w:val="1280"/>
    <w:link w:val="1011"/>
    <w:qFormat/>
    <w:pPr>
      <w:widowControl w:val="off"/>
    </w:pPr>
    <w:rPr>
      <w:rFonts w:ascii="仿宋" w:hAnsi="Times New Roman" w:eastAsia="仿宋" w:cs="仿宋"/>
      <w:color w:val="000000"/>
      <w:sz w:val="24"/>
      <w:szCs w:val="24"/>
    </w:rPr>
  </w:style>
  <w:style w:type="paragraph" w:styleId="1281">
    <w:name w:val="纯文本1111"/>
    <w:basedOn w:val="1011"/>
    <w:next w:val="1282"/>
    <w:link w:val="1011"/>
    <w:unhideWhenUsed/>
    <w:qFormat/>
    <w:rPr>
      <w:rFonts w:ascii="宋体" w:hAnsi="Courier New"/>
    </w:rPr>
  </w:style>
  <w:style w:type="paragraph" w:styleId="1282">
    <w:name w:val="正文缩进1"/>
    <w:basedOn w:val="1011"/>
    <w:next w:val="1282"/>
    <w:link w:val="1011"/>
    <w:unhideWhenUsed/>
    <w:qFormat/>
    <w:pPr>
      <w:ind w:firstLine="420"/>
      <w:jc w:val="left"/>
    </w:pPr>
    <w:rPr>
      <w:sz w:val="24"/>
    </w:rPr>
  </w:style>
  <w:style w:type="paragraph" w:styleId="1283">
    <w:name w:val="首行缩进"/>
    <w:basedOn w:val="1011"/>
    <w:next w:val="1283"/>
    <w:link w:val="1011"/>
    <w:qFormat/>
    <w:pPr>
      <w:ind w:firstLine="480"/>
      <w:spacing w:line="360" w:lineRule="auto"/>
    </w:pPr>
    <w:rPr>
      <w:rFonts w:hAnsi="宋体" w:eastAsia="宋体" w:cs="宋体"/>
      <w:sz w:val="24"/>
      <w:szCs w:val="24"/>
    </w:rPr>
  </w:style>
  <w:style w:type="paragraph" w:styleId="1284">
    <w:name w:val="Char"/>
    <w:basedOn w:val="1011"/>
    <w:next w:val="1284"/>
    <w:link w:val="1011"/>
    <w:qFormat/>
  </w:style>
  <w:style w:type="paragraph" w:styleId="1285">
    <w:name w:val="标题 111"/>
    <w:basedOn w:val="1011"/>
    <w:next w:val="1011"/>
    <w:link w:val="1011"/>
    <w:qFormat/>
    <w:pPr>
      <w:keepLines/>
      <w:keepNext/>
      <w:spacing w:before="340" w:after="330" w:line="578" w:lineRule="auto"/>
      <w:outlineLvl w:val="0"/>
    </w:pPr>
    <w:rPr>
      <w:b/>
      <w:sz w:val="44"/>
    </w:rPr>
  </w:style>
  <w:style w:type="paragraph" w:styleId="1286">
    <w:name w:val="纯文本1"/>
    <w:basedOn w:val="1011"/>
    <w:next w:val="1286"/>
    <w:link w:val="1011"/>
    <w:qFormat/>
    <w:rPr>
      <w:rFonts w:ascii="宋体" w:hAnsi="Courier New"/>
    </w:rPr>
  </w:style>
  <w:style w:type="paragraph" w:styleId="1287">
    <w:name w:val="正文2"/>
    <w:basedOn w:val="1011"/>
    <w:next w:val="1287"/>
    <w:link w:val="1011"/>
    <w:qFormat/>
    <w:pPr>
      <w:ind w:firstLine="510"/>
      <w:spacing w:before="156" w:line="360" w:lineRule="auto"/>
    </w:pPr>
    <w:rPr>
      <w:sz w:val="24"/>
    </w:rPr>
  </w:style>
  <w:style w:type="character" w:styleId="1288">
    <w:name w:val="要点1"/>
    <w:next w:val="1288"/>
    <w:link w:val="1011"/>
    <w:qFormat/>
    <w:rPr>
      <w:b/>
      <w:bCs/>
    </w:rPr>
  </w:style>
  <w:style w:type="paragraph" w:styleId="1289">
    <w:name w:val="普通(网站)1"/>
    <w:basedOn w:val="1011"/>
    <w:next w:val="1289"/>
    <w:link w:val="1011"/>
    <w:unhideWhenUsed/>
    <w:qFormat/>
    <w:pPr>
      <w:jc w:val="left"/>
      <w:spacing w:before="100" w:beforeAutospacing="1" w:after="100" w:afterAutospacing="1"/>
      <w:widowControl/>
    </w:pPr>
    <w:rPr>
      <w:rFonts w:ascii="宋体" w:hAnsi="宋体" w:cs="宋体"/>
      <w:sz w:val="24"/>
    </w:rPr>
  </w:style>
  <w:style w:type="paragraph" w:styleId="1290">
    <w:name w:val="正文文本缩进 21"/>
    <w:basedOn w:val="1011"/>
    <w:next w:val="1290"/>
    <w:link w:val="1011"/>
    <w:unhideWhenUsed/>
    <w:qFormat/>
    <w:pPr>
      <w:ind w:left="420"/>
      <w:spacing w:after="120" w:line="480" w:lineRule="auto"/>
    </w:pPr>
  </w:style>
  <w:style w:type="paragraph" w:styleId="1291">
    <w:name w:val="纯文本11"/>
    <w:basedOn w:val="1011"/>
    <w:next w:val="1291"/>
    <w:link w:val="1011"/>
    <w:uiPriority w:val="99"/>
    <w:qFormat/>
    <w:rPr>
      <w:rFonts w:ascii="宋体" w:hAnsi="Courier New"/>
    </w:rPr>
  </w:style>
  <w:style w:type="paragraph" w:styleId="1292">
    <w:name w:val="索引 11"/>
    <w:basedOn w:val="1011"/>
    <w:next w:val="1011"/>
    <w:link w:val="1011"/>
    <w:unhideWhenUsed/>
    <w:qFormat/>
    <w:pPr>
      <w:jc w:val="center"/>
      <w:spacing w:line="220" w:lineRule="exact"/>
    </w:pPr>
    <w:rPr>
      <w:rFonts w:ascii="仿宋_GB2312" w:eastAsia="仿宋_GB2312"/>
      <w:szCs w:val="21"/>
    </w:rPr>
  </w:style>
  <w:style w:type="paragraph" w:styleId="1293">
    <w:name w:val="正文文本1"/>
    <w:basedOn w:val="1011"/>
    <w:next w:val="1293"/>
    <w:link w:val="1011"/>
    <w:unhideWhenUsed/>
    <w:qFormat/>
    <w:rPr>
      <w:rFonts w:ascii="楷体_GB2312"/>
      <w:b/>
      <w:bCs/>
      <w:sz w:val="28"/>
    </w:rPr>
  </w:style>
  <w:style w:type="paragraph" w:styleId="1294">
    <w:name w:val="页眉11"/>
    <w:basedOn w:val="1011"/>
    <w:next w:val="1294"/>
    <w:link w:val="1011"/>
    <w:unhideWhenUsed/>
    <w:qFormat/>
    <w:pPr>
      <w:jc w:val="center"/>
      <w:tabs>
        <w:tab w:val="center" w:pos="4153" w:leader="none"/>
        <w:tab w:val="right" w:pos="8306" w:leader="none"/>
      </w:tabs>
      <w:pBdr>
        <w:bottom w:val="single" w:color="000000" w:sz="6" w:space="1"/>
      </w:pBdr>
    </w:pPr>
    <w:rPr>
      <w:sz w:val="18"/>
    </w:rPr>
  </w:style>
  <w:style w:type="paragraph" w:styleId="1295">
    <w:name w:val="页脚11"/>
    <w:basedOn w:val="1011"/>
    <w:next w:val="1295"/>
    <w:link w:val="1011"/>
    <w:unhideWhenUsed/>
    <w:qFormat/>
    <w:pPr>
      <w:jc w:val="left"/>
      <w:tabs>
        <w:tab w:val="center" w:pos="4153" w:leader="none"/>
        <w:tab w:val="right" w:pos="8306" w:leader="none"/>
      </w:tabs>
    </w:pPr>
    <w:rPr>
      <w:sz w:val="18"/>
    </w:rPr>
  </w:style>
  <w:style w:type="character" w:styleId="1296">
    <w:name w:val="font81"/>
    <w:next w:val="1296"/>
    <w:link w:val="1011"/>
    <w:qFormat/>
    <w:rPr>
      <w:rFonts w:ascii="Times New Roman" w:hAnsi="Times New Roman" w:cs="Times New Roman"/>
      <w:color w:val="000000"/>
      <w:sz w:val="22"/>
      <w:szCs w:val="22"/>
      <w:u w:val="none"/>
    </w:rPr>
  </w:style>
  <w:style w:type="character" w:styleId="1297">
    <w:name w:val="font11"/>
    <w:basedOn w:val="1074"/>
    <w:next w:val="1297"/>
    <w:link w:val="1011"/>
    <w:qFormat/>
    <w:rPr>
      <w:rFonts w:hint="eastAsia" w:ascii="仿宋" w:hAnsi="仿宋" w:eastAsia="仿宋" w:cs="仿宋"/>
      <w:color w:val="000000"/>
      <w:sz w:val="22"/>
      <w:szCs w:val="22"/>
      <w:u w:val="none"/>
    </w:rPr>
  </w:style>
  <w:style w:type="character" w:styleId="1298">
    <w:name w:val="font101"/>
    <w:next w:val="1298"/>
    <w:link w:val="1011"/>
    <w:qFormat/>
    <w:rPr>
      <w:rFonts w:ascii="Arial" w:hAnsi="Arial" w:cs="Arial"/>
      <w:color w:val="000000"/>
      <w:sz w:val="22"/>
      <w:szCs w:val="22"/>
      <w:u w:val="none"/>
    </w:rPr>
  </w:style>
  <w:style w:type="paragraph" w:styleId="1299">
    <w:name w:val="List Paragraph_f0420307-4c65-4cf4-ac34-e8950b7bacb1"/>
    <w:basedOn w:val="1011"/>
    <w:next w:val="1299"/>
    <w:link w:val="1011"/>
    <w:qFormat/>
    <w:pPr>
      <w:ind w:firstLine="420"/>
    </w:pPr>
    <w:rPr>
      <w:rFonts w:eastAsia="宋体"/>
      <w:sz w:val="21"/>
      <w:szCs w:val="21"/>
    </w:rPr>
  </w:style>
  <w:style w:type="character" w:styleId="1300">
    <w:name w:val="font51"/>
    <w:basedOn w:val="1021"/>
    <w:next w:val="1300"/>
    <w:link w:val="1011"/>
    <w:qFormat/>
    <w:rPr>
      <w:rFonts w:ascii="Times New Roman" w:hAnsi="Times New Roman" w:cs="Times New Roman"/>
      <w:color w:val="000000"/>
      <w:sz w:val="21"/>
      <w:szCs w:val="21"/>
      <w:u w:val="none"/>
    </w:rPr>
  </w:style>
  <w:style w:type="character" w:styleId="1301">
    <w:name w:val="font21"/>
    <w:basedOn w:val="1021"/>
    <w:next w:val="1301"/>
    <w:link w:val="1011"/>
    <w:qFormat/>
    <w:rPr>
      <w:rFonts w:ascii="Times New Roman" w:hAnsi="Times New Roman" w:cs="Times New Roman"/>
      <w:color w:val="000000"/>
      <w:sz w:val="21"/>
      <w:szCs w:val="21"/>
      <w:u w:val="none"/>
    </w:rPr>
  </w:style>
  <w:style w:type="character" w:styleId="1302">
    <w:name w:val="font61"/>
    <w:basedOn w:val="1021"/>
    <w:next w:val="1302"/>
    <w:link w:val="1011"/>
    <w:qFormat/>
    <w:rPr>
      <w:rFonts w:hint="eastAsia" w:ascii="宋体" w:hAnsi="宋体" w:eastAsia="宋体" w:cs="宋体"/>
      <w:color w:val="000000"/>
      <w:sz w:val="21"/>
      <w:szCs w:val="21"/>
      <w:u w:val="none"/>
    </w:rPr>
  </w:style>
  <w:style w:type="character" w:styleId="1303">
    <w:name w:val="font41"/>
    <w:basedOn w:val="1021"/>
    <w:next w:val="1303"/>
    <w:link w:val="1011"/>
    <w:qFormat/>
    <w:rPr>
      <w:rFonts w:ascii="Times New Roman" w:hAnsi="Times New Roman" w:cs="Times New Roman"/>
      <w:color w:val="000000"/>
      <w:sz w:val="20"/>
      <w:szCs w:val="20"/>
      <w:u w:val="none"/>
    </w:rPr>
  </w:style>
  <w:style w:type="table" w:styleId="1304">
    <w:name w:val="Table Normal"/>
    <w:next w:val="1304"/>
    <w:link w:val="1011"/>
    <w:unhideWhenUsed/>
    <w:qFormat/>
    <w:tblPr/>
  </w:style>
  <w:style w:type="paragraph" w:styleId="1305">
    <w:name w:val="样式 首行缩进:  2 字符"/>
    <w:basedOn w:val="1011"/>
    <w:next w:val="1305"/>
    <w:link w:val="1306"/>
    <w:qFormat/>
    <w:pPr>
      <w:ind w:firstLine="480"/>
      <w:spacing w:line="360" w:lineRule="auto"/>
    </w:pPr>
    <w:rPr>
      <w:rFonts w:eastAsia="宋体"/>
      <w:sz w:val="24"/>
    </w:rPr>
  </w:style>
  <w:style w:type="character" w:styleId="1306">
    <w:name w:val="样式 首行缩进:  2 字符 Char Char"/>
    <w:next w:val="1306"/>
    <w:link w:val="1305"/>
    <w:qFormat/>
    <w:rPr>
      <w:sz w:val="24"/>
    </w:rPr>
  </w:style>
  <w:style w:type="paragraph" w:styleId="1307">
    <w:name w:val="Table Text"/>
    <w:basedOn w:val="1011"/>
    <w:next w:val="1307"/>
    <w:link w:val="1011"/>
    <w:semiHidden/>
    <w:qFormat/>
    <w:pPr>
      <w:jc w:val="left"/>
      <w:widowControl/>
    </w:pPr>
    <w:rPr>
      <w:rFonts w:ascii="宋体" w:hAnsi="宋体" w:eastAsia="宋体" w:cs="宋体"/>
      <w:color w:val="000000"/>
      <w:sz w:val="24"/>
      <w:szCs w:val="24"/>
      <w:lang w:eastAsia="en-US"/>
    </w:rPr>
  </w:style>
  <w:style w:type="paragraph" w:styleId="1308">
    <w:name w:val="DAS正文"/>
    <w:basedOn w:val="1011"/>
    <w:next w:val="1308"/>
    <w:link w:val="1011"/>
    <w:qFormat/>
    <w:pPr>
      <w:ind w:right="181" w:firstLine="480"/>
      <w:spacing w:line="360" w:lineRule="auto"/>
    </w:pPr>
    <w:rPr>
      <w:rFonts w:ascii="Verdana" w:hAnsi="Verdana"/>
    </w:rPr>
  </w:style>
  <w:style w:type="character" w:styleId="1309">
    <w:name w:val="NormalCharacter1"/>
    <w:next w:val="1309"/>
    <w:link w:val="1011"/>
    <w:qFormat/>
  </w:style>
  <w:style w:type="paragraph" w:styleId="1310">
    <w:name w:val="*正文"/>
    <w:basedOn w:val="1011"/>
    <w:next w:val="1310"/>
    <w:link w:val="1011"/>
    <w:qFormat/>
    <w:pPr>
      <w:ind w:firstLine="480"/>
      <w:jc w:val="both"/>
      <w:spacing w:after="0" w:line="300" w:lineRule="auto"/>
      <w:widowControl w:val="off"/>
    </w:pPr>
    <w:rPr>
      <w:rFonts w:ascii="宋体" w:hAnsi="宋体" w:eastAsia="微软雅黑" w:cs="仿宋_GB2312"/>
      <w:sz w:val="24"/>
      <w:szCs w:val="24"/>
      <w:lang w:eastAsia="zh-CN"/>
    </w:rPr>
  </w:style>
  <w:style w:type="paragraph" w:styleId="1311">
    <w:name w:val="标题 2111"/>
    <w:basedOn w:val="1011"/>
    <w:next w:val="1011"/>
    <w:link w:val="1011"/>
    <w:qFormat/>
    <w:pPr>
      <w:keepLines/>
      <w:keepNext/>
      <w:spacing w:before="260" w:after="260" w:line="416" w:lineRule="auto"/>
      <w:outlineLvl w:val="1"/>
    </w:pPr>
    <w:rPr>
      <w:rFonts w:ascii="Cambria" w:hAnsi="Cambria" w:eastAsia="宋体"/>
      <w:b/>
      <w:bCs/>
      <w:sz w:val="32"/>
      <w:szCs w:val="32"/>
    </w:rPr>
  </w:style>
  <w:style w:type="paragraph" w:styleId="1312">
    <w:name w:val="页脚111"/>
    <w:basedOn w:val="1011"/>
    <w:next w:val="1312"/>
    <w:link w:val="1011"/>
    <w:qFormat/>
    <w:pPr>
      <w:jc w:val="left"/>
      <w:tabs>
        <w:tab w:val="center" w:pos="4153" w:leader="none"/>
        <w:tab w:val="right" w:pos="8306" w:leader="none"/>
      </w:tabs>
    </w:pPr>
    <w:rPr>
      <w:sz w:val="18"/>
      <w:szCs w:val="18"/>
    </w:rPr>
  </w:style>
  <w:style w:type="paragraph" w:styleId="1313">
    <w:name w:val="缩进正文"/>
    <w:basedOn w:val="1011"/>
    <w:next w:val="1313"/>
    <w:link w:val="1011"/>
    <w:qFormat/>
    <w:pPr>
      <w:widowControl/>
    </w:pPr>
    <w:rPr>
      <w:rFonts w:ascii="Times New Roman" w:hAnsi="Times New Roman" w:cs="Times New Roman"/>
    </w:rPr>
  </w:style>
  <w:style w:type="character" w:styleId="1314" w:default="1">
    <w:name w:val="Default Paragraph Font"/>
    <w:uiPriority w:val="1"/>
    <w:semiHidden/>
    <w:unhideWhenUsed/>
  </w:style>
  <w:style w:type="numbering" w:styleId="1315" w:default="1">
    <w:name w:val="No List"/>
    <w:uiPriority w:val="99"/>
    <w:semiHidden/>
    <w:unhideWhenUsed/>
  </w:style>
  <w:style w:type="table" w:styleId="13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image" Target="media/image1.jpg"/><Relationship Id="rId21"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creator>
  <cp:lastModifiedBy>乔佩</cp:lastModifiedBy>
  <cp:revision>7</cp:revision>
  <dcterms:created xsi:type="dcterms:W3CDTF">2024-11-12T10:22:00Z</dcterms:created>
  <dcterms:modified xsi:type="dcterms:W3CDTF">2026-02-05T08:11:37Z</dcterms:modified>
</cp:coreProperties>
</file>