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bookmarkStart w:id="0" w:name="_Toc120614210"/>
      <w:r/>
      <w:bookmarkStart w:id="1" w:name="_Toc523127445"/>
      <w:r/>
      <w:bookmarkStart w:id="2" w:name="_Toc479757206"/>
      <w:r/>
      <w:bookmarkStart w:id="3" w:name="_Toc20823272"/>
      <w:r/>
      <w:bookmarkStart w:id="4" w:name="_Toc16938516"/>
      <w:r/>
      <w:bookmarkStart w:id="5" w:name="_Toc513029200"/>
      <w:r/>
      <w:r/>
    </w:p>
    <w:p>
      <w:pPr>
        <w:pStyle w:val="1048"/>
        <w:rPr>
          <w:color w:val="auto"/>
          <w:highlight w:val="none"/>
        </w:rPr>
      </w:pPr>
      <w:r>
        <w:rPr>
          <w:color w:val="auto"/>
          <w:highlight w:val="none"/>
        </w:rPr>
      </w:r>
      <w:r/>
    </w:p>
    <w:p>
      <w:pPr>
        <w:pStyle w:val="1062"/>
        <w:jc w:val="center"/>
        <w:rPr>
          <w:rFonts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2"/>
          <w:szCs w:val="32"/>
          <w:highlight w:val="none"/>
        </w:rPr>
        <w:t xml:space="preserve">南京鼓楼医院跨院区影像协同系统及医联体影像教学互动会议系统</w:t>
      </w:r>
      <w:r/>
    </w:p>
    <w:p>
      <w:pPr>
        <w:ind w:firstLine="1506"/>
        <w:rPr>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JSZC-320100-JZCG-G2026-0003 </w:t>
      </w:r>
      <w:r>
        <w:rPr>
          <w:rFonts w:hint="eastAsia"/>
          <w:b/>
          <w:color w:val="auto"/>
          <w:sz w:val="30"/>
          <w:szCs w:val="30"/>
          <w:highlight w:val="none"/>
        </w:rPr>
        <w:t xml:space="preserve"> </w:t>
      </w:r>
      <w:r>
        <w:rPr>
          <w:rFonts w:hint="eastAsia"/>
          <w:b/>
          <w:color w:val="auto"/>
          <w:sz w:val="30"/>
          <w:szCs w:val="30"/>
          <w:highlight w:val="none"/>
        </w:rPr>
        <w:t xml:space="preserve"> </w:t>
      </w:r>
      <w:r>
        <w:rPr>
          <w:rFonts w:hint="eastAsia"/>
          <w:b/>
          <w:color w:val="auto"/>
          <w:sz w:val="30"/>
          <w:szCs w:val="30"/>
          <w:highlight w:val="none"/>
        </w:rPr>
        <w:t xml:space="preserve">            </w:t>
      </w:r>
      <w:r/>
    </w:p>
    <w:p>
      <w:pPr>
        <w:jc w:val="center"/>
        <w:rPr>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62"/>
        <w:ind w:firstLine="0"/>
        <w:jc w:val="center"/>
        <w:rPr>
          <w:b/>
          <w:bCs/>
          <w:color w:val="auto"/>
          <w:sz w:val="32"/>
          <w:highlight w:val="none"/>
        </w:rPr>
      </w:pPr>
      <w:r>
        <w:rPr>
          <w:rFonts w:hint="eastAsia"/>
          <w:b/>
          <w:bCs/>
          <w:color w:val="auto"/>
          <w:sz w:val="32"/>
          <w:highlight w:val="none"/>
        </w:rPr>
        <w:t xml:space="preserve">南京市公共资源交易中心</w:t>
      </w:r>
      <w:r/>
    </w:p>
    <w:p>
      <w:pPr>
        <w:jc w:val="center"/>
        <w:rPr>
          <w:b/>
          <w:color w:val="auto"/>
          <w:sz w:val="32"/>
          <w:szCs w:val="32"/>
          <w:highlight w:val="none"/>
        </w:rPr>
      </w:pPr>
      <w:r>
        <w:rPr>
          <w:rFonts w:hint="eastAsia"/>
          <w:b/>
          <w:color w:val="auto"/>
          <w:sz w:val="32"/>
          <w:szCs w:val="32"/>
          <w:highlight w:val="none"/>
        </w:rPr>
        <w:t xml:space="preserve">2026年1月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pStyle w:val="1048"/>
        <w:rPr>
          <w:color w:val="auto"/>
          <w:highlight w:val="none"/>
        </w:rPr>
      </w:pPr>
      <w:r>
        <w:rPr>
          <w:color w:val="auto"/>
          <w:highlight w:val="none"/>
        </w:rPr>
      </w:r>
      <w:r/>
    </w:p>
    <w:p>
      <w:pPr>
        <w:jc w:val="center"/>
        <w:spacing w:line="480" w:lineRule="auto"/>
        <w:rPr>
          <w:rFonts w:ascii="黑体" w:hAnsi="Arial" w:eastAsia="黑体"/>
          <w:b/>
          <w:color w:val="auto"/>
          <w:sz w:val="44"/>
          <w:highlight w:val="none"/>
        </w:rPr>
        <w:outlineLvl w:val="0"/>
      </w:pPr>
      <w:r>
        <w:rPr>
          <w:rFonts w:ascii="黑体" w:hAnsi="Arial" w:eastAsia="黑体"/>
          <w:b/>
          <w:color w:val="auto"/>
          <w:sz w:val="44"/>
          <w:highlight w:val="none"/>
        </w:rPr>
        <w:br w:type="page" w:clear="all"/>
      </w:r>
      <w:r>
        <w:rPr>
          <w:rFonts w:hint="eastAsia" w:ascii="黑体" w:hAnsi="Arial"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4"/>
        </w:numPr>
        <w:jc w:val="center"/>
        <w:spacing w:line="960"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投标邀请…………………………………… </w:t>
      </w:r>
      <w:r>
        <w:rPr>
          <w:rFonts w:hint="eastAsia" w:ascii="黑体" w:hAnsi="宋体" w:eastAsia="黑体"/>
          <w:color w:val="auto"/>
          <w:sz w:val="36"/>
          <w:highlight w:val="none"/>
          <w:lang w:val="en-US" w:eastAsia="zh-CN"/>
        </w:rPr>
        <w:t xml:space="preserve">3</w:t>
      </w:r>
      <w:r/>
    </w:p>
    <w:p>
      <w:pPr>
        <w:numPr>
          <w:ilvl w:val="0"/>
          <w:numId w:val="4"/>
        </w:numPr>
        <w:jc w:val="center"/>
        <w:spacing w:line="960"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投标人须知………………………………… </w:t>
      </w:r>
      <w:r>
        <w:rPr>
          <w:rFonts w:hint="eastAsia" w:ascii="黑体" w:hAnsi="宋体" w:eastAsia="黑体"/>
          <w:color w:val="auto"/>
          <w:sz w:val="36"/>
          <w:highlight w:val="none"/>
          <w:lang w:val="en-US" w:eastAsia="zh-CN"/>
        </w:rPr>
        <w:t xml:space="preserve">5</w:t>
      </w:r>
      <w:r/>
    </w:p>
    <w:p>
      <w:pPr>
        <w:numPr>
          <w:ilvl w:val="0"/>
          <w:numId w:val="4"/>
        </w:numPr>
        <w:jc w:val="center"/>
        <w:spacing w:line="960"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宋体" w:eastAsia="黑体"/>
          <w:color w:val="auto"/>
          <w:sz w:val="36"/>
          <w:highlight w:val="none"/>
          <w:lang w:val="en-US" w:eastAsia="zh-CN"/>
        </w:rPr>
        <w:t xml:space="preserve">15</w:t>
      </w:r>
      <w:r/>
    </w:p>
    <w:p>
      <w:pPr>
        <w:numPr>
          <w:ilvl w:val="0"/>
          <w:numId w:val="4"/>
        </w:numPr>
        <w:jc w:val="center"/>
        <w:spacing w:line="960"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宋体" w:eastAsia="黑体"/>
          <w:color w:val="auto"/>
          <w:sz w:val="36"/>
          <w:highlight w:val="none"/>
          <w:lang w:val="en-US" w:eastAsia="zh-CN"/>
        </w:rPr>
        <w:t xml:space="preserve">18</w:t>
      </w:r>
      <w:r/>
    </w:p>
    <w:p>
      <w:pPr>
        <w:numPr>
          <w:ilvl w:val="0"/>
          <w:numId w:val="4"/>
        </w:numPr>
        <w:jc w:val="center"/>
        <w:spacing w:line="960"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评标方法与评标标准………………………</w:t>
      </w:r>
      <w:r>
        <w:rPr>
          <w:rFonts w:hint="eastAsia" w:ascii="黑体" w:hAnsi="宋体" w:eastAsia="黑体"/>
          <w:color w:val="auto"/>
          <w:sz w:val="36"/>
          <w:highlight w:val="none"/>
          <w:lang w:val="en-US" w:eastAsia="zh-CN"/>
        </w:rPr>
        <w:t xml:space="preserve">22</w:t>
      </w:r>
      <w:r/>
    </w:p>
    <w:p>
      <w:pPr>
        <w:numPr>
          <w:ilvl w:val="0"/>
          <w:numId w:val="4"/>
        </w:numPr>
        <w:jc w:val="center"/>
        <w:spacing w:line="960"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25</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ind w:firstLine="480"/>
        <w:spacing w:line="264" w:lineRule="auto"/>
        <w:rPr>
          <w:rFonts w:ascii="宋体" w:hAnsi="宋体"/>
          <w:color w:val="auto"/>
          <w:sz w:val="24"/>
          <w:szCs w:val="24"/>
          <w:highlight w:val="none"/>
        </w:rPr>
      </w:pPr>
      <w:r/>
      <w:bookmarkStart w:id="6" w:name="_Toc28359002"/>
      <w:r/>
      <w:bookmarkStart w:id="7" w:name="_Toc28359079"/>
      <w:r/>
      <w:bookmarkStart w:id="8" w:name="_Toc35393790"/>
      <w:r/>
      <w:bookmarkStart w:id="9" w:name="_Toc35393621"/>
      <w:r/>
      <w:bookmarkStart w:id="10" w:name="_Toc38985263"/>
      <w:r/>
      <w:bookmarkStart w:id="11" w:name="_Hlk24379207"/>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南京鼓楼医院</w:t>
      </w:r>
      <w:r>
        <w:rPr>
          <w:rFonts w:hint="eastAsia" w:ascii="宋体" w:hAnsi="宋体"/>
          <w:color w:val="auto"/>
          <w:sz w:val="24"/>
          <w:szCs w:val="24"/>
          <w:highlight w:val="none"/>
        </w:rPr>
        <w:t xml:space="preserve">（采购单位）委托，南京市公共资源交易中心就</w:t>
      </w:r>
      <w:r>
        <w:rPr>
          <w:rFonts w:hint="eastAsia" w:ascii="宋体" w:hAnsi="宋体"/>
          <w:color w:val="auto"/>
          <w:sz w:val="24"/>
          <w:szCs w:val="24"/>
          <w:highlight w:val="none"/>
        </w:rPr>
        <w:t xml:space="preserve">南京鼓楼医院跨院区影像协同系统及医联体影像教学互动会议系统</w:t>
      </w:r>
      <w:r>
        <w:rPr>
          <w:rFonts w:hint="eastAsia" w:ascii="宋体" w:hAnsi="宋体"/>
          <w:color w:val="auto"/>
          <w:sz w:val="24"/>
          <w:szCs w:val="24"/>
          <w:highlight w:val="none"/>
        </w:rPr>
        <w:t xml:space="preserve">进行公开招标采购，欢迎符合条件的供应商投标。</w:t>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JSZC-320100-JZCG-G2026-0003</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南京鼓楼医院跨院区影像协同系统及医联体影像教学互动会议系统</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ascii="宋体" w:hAnsi="宋体"/>
          <w:color w:val="auto"/>
          <w:sz w:val="24"/>
          <w:szCs w:val="24"/>
          <w:highlight w:val="none"/>
        </w:rPr>
        <w:t xml:space="preserve">28.5</w:t>
      </w:r>
      <w:r>
        <w:rPr>
          <w:rFonts w:hint="eastAsia" w:ascii="宋体" w:hAnsi="宋体"/>
          <w:color w:val="auto"/>
          <w:sz w:val="24"/>
          <w:szCs w:val="24"/>
          <w:highlight w:val="none"/>
        </w:rPr>
        <w:t xml:space="preserve">万元 </w:t>
      </w:r>
      <w:r/>
    </w:p>
    <w:p>
      <w:pPr>
        <w:ind w:firstLine="480"/>
        <w:spacing w:line="264" w:lineRule="auto"/>
        <w:rPr>
          <w:rFonts w:ascii="宋体" w:hAnsi="宋体" w:cs="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rPr>
        <w:t xml:space="preserve">本项目不</w:t>
      </w:r>
      <w:r>
        <w:rPr>
          <w:rFonts w:hint="eastAsia" w:ascii="宋体" w:hAnsi="宋体" w:cs="宋体"/>
          <w:color w:val="auto"/>
          <w:sz w:val="24"/>
          <w:szCs w:val="24"/>
          <w:highlight w:val="none"/>
        </w:rPr>
        <w:t xml:space="preserve">设最高限价</w:t>
      </w:r>
      <w:r>
        <w:rPr>
          <w:rFonts w:hint="eastAsia" w:ascii="宋体" w:hAnsi="宋体" w:cs="宋体"/>
          <w:color w:val="auto"/>
          <w:sz w:val="24"/>
          <w:szCs w:val="24"/>
          <w:highlight w:val="none"/>
        </w:rPr>
        <w:t xml:space="preserve">。</w:t>
      </w:r>
      <w:r/>
    </w:p>
    <w:p>
      <w:pPr>
        <w:ind w:firstLine="480"/>
        <w:spacing w:line="264" w:lineRule="auto"/>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rPr>
        <w:t xml:space="preserve">跨院区影像协同系统及医联体影像教学互动会议系统。</w:t>
      </w:r>
      <w:r>
        <w:rPr>
          <w:rFonts w:hint="eastAsia" w:ascii="宋体" w:hAnsi="宋体" w:cs="宋体"/>
          <w:color w:val="auto"/>
          <w:sz w:val="24"/>
          <w:szCs w:val="24"/>
          <w:highlight w:val="none"/>
        </w:rPr>
        <w:t xml:space="preserve">（详细内容见本招标文件第四章） </w:t>
      </w:r>
      <w:r/>
    </w:p>
    <w:p>
      <w:pPr>
        <w:ind w:firstLine="480"/>
        <w:spacing w:line="264" w:lineRule="auto"/>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ascii="宋体" w:hAnsi="宋体"/>
          <w:color w:val="auto"/>
          <w:sz w:val="24"/>
          <w:szCs w:val="24"/>
          <w:highlight w:val="none"/>
        </w:rPr>
        <w:t xml:space="preserve">90</w:t>
      </w:r>
      <w:r>
        <w:rPr>
          <w:rFonts w:hint="eastAsia" w:ascii="宋体" w:hAnsi="宋体"/>
          <w:color w:val="auto"/>
          <w:sz w:val="24"/>
          <w:szCs w:val="24"/>
          <w:highlight w:val="none"/>
        </w:rPr>
        <w:t xml:space="preserve">天</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bookmarkStart w:id="12" w:name="_Toc38985264"/>
      <w:r/>
      <w:bookmarkStart w:id="13" w:name="_Toc35393791"/>
      <w:r/>
      <w:bookmarkStart w:id="14" w:name="_Toc35393622"/>
      <w:r/>
      <w:bookmarkStart w:id="15" w:name="_Toc28359003"/>
      <w:r/>
      <w:bookmarkStart w:id="16" w:name="_Toc28359080"/>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ascii="宋体" w:hAnsi="宋体"/>
          <w:color w:val="auto"/>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264"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1.满足《中华人民共和国政府采购法》第二十二条规定，并提供下列材料：</w:t>
      </w:r>
      <w:r/>
    </w:p>
    <w:p>
      <w:pPr>
        <w:ind w:firstLine="480"/>
        <w:spacing w:line="264"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lang w:val="zh-CN"/>
        </w:rPr>
        <w:t xml:space="preserve">2.落实政府采购政策需满足的资格要求：</w:t>
      </w:r>
      <w:r>
        <w:rPr>
          <w:rFonts w:hint="eastAsia" w:ascii="宋体" w:hAnsi="宋体"/>
          <w:color w:val="auto"/>
          <w:sz w:val="24"/>
          <w:szCs w:val="24"/>
          <w:highlight w:val="none"/>
        </w:rPr>
        <w:t xml:space="preserve">无</w:t>
      </w:r>
      <w:r/>
    </w:p>
    <w:p>
      <w:pPr>
        <w:ind w:firstLine="480"/>
        <w:rPr>
          <w:rFonts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rPr>
          <w:rFonts w:hint="eastAsia" w:ascii="宋体" w:hAnsi="宋体"/>
          <w:color w:val="auto"/>
          <w:sz w:val="24"/>
          <w:szCs w:val="24"/>
          <w:highlight w:val="none"/>
        </w:rPr>
        <w:t xml:space="preserve">无</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（三）拒绝下述供应商参加本次采购活动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spacing w:line="264" w:lineRule="auto"/>
        <w:rPr>
          <w:rFonts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1.时间：自招标文件公告发布之日起。</w:t>
      </w:r>
      <w:r/>
    </w:p>
    <w:p>
      <w:pPr>
        <w:ind w:firstLine="480"/>
        <w:spacing w:line="264"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spacing w:line="264" w:lineRule="auto"/>
        <w:rPr>
          <w:rFonts w:ascii="宋体" w:hAnsi="宋体"/>
          <w:bCs/>
          <w:color w:val="auto"/>
          <w:sz w:val="24"/>
          <w:szCs w:val="24"/>
          <w:highlight w:val="none"/>
          <w:u w:val="single"/>
        </w:rPr>
      </w:pPr>
      <w:r/>
      <w:bookmarkStart w:id="27" w:name="_Toc35393625"/>
      <w:r/>
      <w:bookmarkStart w:id="28" w:name="_Toc28359084"/>
      <w:r/>
      <w:bookmarkStart w:id="29" w:name="_Toc38985267"/>
      <w:r/>
      <w:bookmarkStart w:id="30" w:name="_Toc35393794"/>
      <w:r/>
      <w:bookmarkStart w:id="31" w:name="_Toc28359007"/>
      <w:r>
        <w:rPr>
          <w:rFonts w:hint="eastAsia" w:ascii="宋体" w:hAnsi="宋体" w:cs="宋体"/>
          <w:color w:val="auto"/>
          <w:sz w:val="24"/>
          <w:szCs w:val="24"/>
          <w:highlight w:val="none"/>
        </w:rPr>
        <w:t xml:space="preserve">1.提交投标文件截止时间、开标时间：</w:t>
      </w:r>
      <w:r>
        <w:rPr>
          <w:rFonts w:hint="eastAsia" w:ascii="Times New Roman" w:hAnsi="Times New Roman" w:cs="Times New Roman"/>
          <w:b/>
          <w:bCs/>
          <w:color w:val="auto"/>
          <w:sz w:val="24"/>
          <w:szCs w:val="24"/>
          <w:highlight w:val="none"/>
        </w:rPr>
        <w:t xml:space="preserve">20</w:t>
      </w:r>
      <w:r>
        <w:rPr>
          <w:rFonts w:hint="eastAsia" w:ascii="Times New Roman" w:hAnsi="Times New Roman" w:cs="Times New Roman"/>
          <w:b/>
          <w:bCs/>
          <w:color w:val="auto"/>
          <w:sz w:val="24"/>
          <w:szCs w:val="24"/>
          <w:highlight w:val="none"/>
        </w:rPr>
        <w:t xml:space="preserve">26</w:t>
      </w:r>
      <w:r>
        <w:rPr>
          <w:rFonts w:hint="eastAsia" w:ascii="Times New Roman" w:hAnsi="Times New Roman" w:eastAsia="Times New Roman" w:cs="Times New Roman"/>
          <w:b/>
          <w:bCs/>
          <w:color w:val="auto"/>
          <w:sz w:val="24"/>
          <w:szCs w:val="24"/>
          <w:highlight w:val="none"/>
        </w:rPr>
        <w:t xml:space="preserve">年2</w:t>
      </w:r>
      <w:r>
        <w:rPr>
          <w:rFonts w:hint="eastAsia" w:ascii="Times New Roman" w:hAnsi="Times New Roman" w:eastAsia="Times New Roman" w:cs="Times New Roman"/>
          <w:b/>
          <w:bCs/>
          <w:color w:val="auto"/>
          <w:sz w:val="24"/>
          <w:szCs w:val="24"/>
          <w:highlight w:val="none"/>
        </w:rPr>
        <w:t xml:space="preserve">月</w:t>
      </w:r>
      <w:r>
        <w:rPr>
          <w:rFonts w:hint="eastAsia" w:ascii="Times New Roman" w:hAnsi="Times New Roman" w:cs="Times New Roman"/>
          <w:b/>
          <w:bCs/>
          <w:color w:val="auto"/>
          <w:sz w:val="24"/>
          <w:szCs w:val="24"/>
          <w:highlight w:val="none"/>
        </w:rPr>
        <w:t xml:space="preserve">2</w:t>
      </w:r>
      <w:r>
        <w:rPr>
          <w:rFonts w:hint="eastAsia" w:ascii="Times New Roman" w:hAnsi="Times New Roman" w:eastAsia="Times New Roman" w:cs="Times New Roman"/>
          <w:b/>
          <w:bCs/>
          <w:color w:val="auto"/>
          <w:sz w:val="24"/>
          <w:szCs w:val="24"/>
          <w:highlight w:val="none"/>
        </w:rPr>
        <w:t xml:space="preserve">日</w:t>
      </w:r>
      <w:r>
        <w:rPr>
          <w:rFonts w:hint="eastAsia" w:ascii="Times New Roman" w:hAnsi="Times New Roman" w:cs="Times New Roman"/>
          <w:b/>
          <w:bCs/>
          <w:color w:val="auto"/>
          <w:sz w:val="24"/>
          <w:szCs w:val="24"/>
          <w:highlight w:val="none"/>
        </w:rPr>
        <w:t xml:space="preserve">14</w:t>
      </w:r>
      <w:r>
        <w:rPr>
          <w:rFonts w:hint="eastAsia" w:ascii="Times New Roman" w:hAnsi="Times New Roman" w:eastAsia="Times New Roman" w:cs="Times New Roman"/>
          <w:b/>
          <w:bCs/>
          <w:color w:val="auto"/>
          <w:sz w:val="24"/>
          <w:szCs w:val="24"/>
          <w:highlight w:val="none"/>
        </w:rPr>
        <w:t xml:space="preserve">时</w:t>
      </w:r>
      <w:r>
        <w:rPr>
          <w:rFonts w:hint="eastAsia" w:ascii="Times New Roman" w:hAnsi="Times New Roman" w:cs="Times New Roman"/>
          <w:b/>
          <w:bCs/>
          <w:color w:val="auto"/>
          <w:sz w:val="24"/>
          <w:szCs w:val="24"/>
          <w:highlight w:val="none"/>
        </w:rPr>
        <w:t xml:space="preserve">00</w:t>
      </w:r>
      <w:r>
        <w:rPr>
          <w:rFonts w:hint="eastAsia" w:ascii="Times New Roman" w:hAnsi="Times New Roman" w:eastAsia="Times New Roman" w:cs="Times New Roman"/>
          <w:b/>
          <w:bCs/>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spacing w:line="264"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spacing w:line="264" w:lineRule="auto"/>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公告期限为自本公告发布之日起5个工作日。</w:t>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spacing w:line="264" w:lineRule="auto"/>
        <w:tabs>
          <w:tab w:val="left" w:pos="900" w:leader="none"/>
        </w:tabs>
        <w:rPr>
          <w:rFonts w:ascii="宋体" w:hAnsi="宋体"/>
          <w:bCs/>
          <w:color w:val="auto"/>
          <w:sz w:val="24"/>
          <w:szCs w:val="24"/>
          <w:highlight w:val="none"/>
        </w:rPr>
      </w:pPr>
      <w:r/>
      <w:bookmarkStart w:id="35" w:name="_Toc35393796"/>
      <w:r/>
      <w:bookmarkStart w:id="36" w:name="_Toc28359008"/>
      <w:r/>
      <w:bookmarkStart w:id="37" w:name="_Toc35393627"/>
      <w:r/>
      <w:bookmarkStart w:id="38" w:name="_Toc38985269"/>
      <w:r/>
      <w:bookmarkStart w:id="39" w:name="_Toc28359085"/>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tabs>
          <w:tab w:val="left" w:pos="900" w:leader="none"/>
        </w:tabs>
        <w:rPr>
          <w:rFonts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left="0" w:right="0" w:firstLine="482"/>
        <w:jc w:val="both"/>
        <w:spacing w:before="0" w:after="0" w:line="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供应商（含潜在供应商）对采购方式、采购需求、供应商资格条件、评标方法和评标标准、合同文本、资格审查结果的询问或质疑向采购人提出，由采购人负责答复。供应商对上述事项以外的询问或质疑向交易中心提出，由交易中心负责答复。</w:t>
      </w:r>
      <w:r>
        <w:rPr>
          <w:color w:val="000000" w:themeColor="text1"/>
        </w:rPr>
      </w:r>
      <w:r/>
    </w:p>
    <w:p>
      <w:pPr>
        <w:ind w:left="0" w:right="0" w:firstLine="480"/>
        <w:jc w:val="both"/>
        <w:spacing w:before="0" w:after="0" w:line="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采购人《质疑函》收件人：</w:t>
      </w:r>
      <w:r>
        <w:rPr>
          <w:rFonts w:hint="eastAsia" w:ascii="宋体" w:hAnsi="宋体"/>
          <w:color w:val="000000" w:themeColor="text1"/>
          <w:sz w:val="24"/>
          <w:szCs w:val="24"/>
          <w:highlight w:val="none"/>
        </w:rPr>
        <w:t xml:space="preserve">黄老师</w:t>
      </w:r>
      <w:r>
        <w:rPr>
          <w:rFonts w:ascii="SimSun" w:hAnsi="SimSun" w:eastAsia="SimSun" w:cs="SimSun"/>
          <w:color w:val="000000" w:themeColor="text1"/>
          <w:sz w:val="24"/>
        </w:rPr>
        <w:t xml:space="preserve">，收件地址：</w:t>
      </w:r>
      <w:r>
        <w:rPr>
          <w:rFonts w:hint="eastAsia" w:ascii="宋体" w:hAnsi="宋体" w:cs="宋体"/>
          <w:color w:val="000000" w:themeColor="text1"/>
          <w:sz w:val="24"/>
          <w:szCs w:val="24"/>
          <w:highlight w:val="none"/>
        </w:rPr>
        <w:t xml:space="preserve">南京市玄武区双龙巷5号4楼410（南京鼓楼医院医用物资采购中心）</w:t>
      </w:r>
      <w:r>
        <w:rPr>
          <w:rFonts w:ascii="SimSun" w:hAnsi="SimSun" w:eastAsia="SimSun" w:cs="SimSun"/>
          <w:color w:val="000000" w:themeColor="text1"/>
          <w:sz w:val="24"/>
        </w:rPr>
        <w:t xml:space="preserve">，联系电话：</w:t>
      </w:r>
      <w:r>
        <w:rPr>
          <w:rFonts w:hint="eastAsia" w:ascii="宋体" w:hAnsi="宋体"/>
          <w:color w:val="000000" w:themeColor="text1"/>
          <w:sz w:val="24"/>
          <w:szCs w:val="24"/>
          <w:highlight w:val="none"/>
        </w:rPr>
        <w:t xml:space="preserve">025-</w:t>
      </w:r>
      <w:r>
        <w:rPr>
          <w:rFonts w:ascii="宋体" w:hAnsi="宋体"/>
          <w:color w:val="000000" w:themeColor="text1"/>
          <w:sz w:val="24"/>
          <w:szCs w:val="24"/>
          <w:highlight w:val="none"/>
        </w:rPr>
        <w:t xml:space="preserve">83105006</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交易中心《质疑函》收件人：南京市公共资源交易中心政府集中采购处，收件地址：南京市江东中路265号南京市公共资源交易中心北门，联系电话：025-68505926。</w:t>
      </w:r>
      <w:r>
        <w:rPr>
          <w:sz w:val="22"/>
        </w:rPr>
      </w:r>
      <w:r/>
    </w:p>
    <w:p>
      <w:pPr>
        <w:pStyle w:val="978"/>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rPr>
        <w:t xml:space="preserve">南京鼓楼医院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南京市中山路3</w:t>
      </w:r>
      <w:r>
        <w:rPr>
          <w:rFonts w:ascii="宋体" w:hAnsi="宋体" w:cs="宋体"/>
          <w:color w:val="auto"/>
          <w:sz w:val="24"/>
          <w:szCs w:val="24"/>
          <w:highlight w:val="none"/>
        </w:rPr>
        <w:t xml:space="preserve">21号</w:t>
      </w:r>
      <w:r>
        <w:rPr>
          <w:rFonts w:hint="eastAsia" w:ascii="宋体" w:hAnsi="宋体"/>
          <w:color w:val="auto"/>
          <w:sz w:val="24"/>
          <w:szCs w:val="24"/>
          <w:highlight w:val="none"/>
        </w:rPr>
        <w:t xml:space="preserve"> </w:t>
      </w:r>
      <w:r>
        <w:rPr>
          <w:rFonts w:hint="eastAsia" w:ascii="宋体" w:hAnsi="宋体"/>
          <w:color w:val="auto"/>
          <w:sz w:val="24"/>
          <w:szCs w:val="24"/>
          <w:highlight w:val="none"/>
        </w:rPr>
        <w:t xml:space="preserve">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rPr>
        <w:t xml:space="preserve">黄老师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rPr>
        <w:t xml:space="preserve">025-</w:t>
      </w:r>
      <w:r>
        <w:rPr>
          <w:rFonts w:ascii="宋体" w:hAnsi="宋体"/>
          <w:color w:val="auto"/>
          <w:sz w:val="24"/>
          <w:szCs w:val="24"/>
          <w:highlight w:val="none"/>
        </w:rPr>
        <w:t xml:space="preserve">83105006</w:t>
      </w:r>
      <w:bookmarkStart w:id="40" w:name="_Toc28359009"/>
      <w:r/>
      <w:bookmarkStart w:id="41" w:name="_Toc28359086"/>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2.交易中心</w:t>
      </w:r>
      <w:bookmarkEnd w:id="40"/>
      <w:r/>
      <w:bookmarkEnd w:id="41"/>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rPr>
        <w:t xml:space="preserve">南京市建邺区江东中路265号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rPr>
        <w:t xml:space="preserve">孙先生</w:t>
      </w:r>
      <w:r/>
    </w:p>
    <w:p>
      <w:pPr>
        <w:ind w:firstLine="480"/>
        <w:spacing w:line="264" w:lineRule="auto"/>
        <w:rPr>
          <w:color w:val="auto"/>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rPr>
        <w:t xml:space="preserve">025-68505990 </w:t>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bookmarkEnd w:id="1"/>
      <w:r/>
      <w:bookmarkEnd w:id="2"/>
      <w:r/>
      <w:bookmarkEnd w:id="3"/>
      <w:r/>
      <w:bookmarkEnd w:id="4"/>
      <w:r/>
      <w:bookmarkEnd w:id="5"/>
      <w:r/>
      <w:r/>
    </w:p>
    <w:p>
      <w:pPr>
        <w:pStyle w:val="1048"/>
        <w:ind w:left="0"/>
        <w:jc w:val="center"/>
        <w:tabs>
          <w:tab w:val="left" w:pos="463" w:leader="none"/>
        </w:tabs>
        <w:rPr>
          <w:rFonts w:ascii="方正小标宋简体" w:hAnsi="方正小标宋简体" w:eastAsia="方正小标宋简体" w:cs="方正小标宋简体"/>
          <w:color w:val="auto"/>
          <w:sz w:val="36"/>
          <w:szCs w:val="36"/>
          <w:highlight w:val="none"/>
          <w:lang w:val="en-US"/>
        </w:rPr>
      </w:pPr>
      <w:r/>
      <w:bookmarkStart w:id="42" w:name="_Hlt16619350"/>
      <w:r/>
      <w:bookmarkStart w:id="43" w:name="_Toc16938590"/>
      <w:r/>
      <w:bookmarkStart w:id="44" w:name="_Toc20823346"/>
      <w:r/>
      <w:bookmarkStart w:id="45" w:name="_Toc120614244"/>
      <w:r/>
      <w:bookmarkStart w:id="46" w:name="_Toc462564139"/>
      <w:r/>
      <w:bookmarkStart w:id="47" w:name="_Toc479757211"/>
      <w:r>
        <w:rPr>
          <w:rFonts w:ascii="黑体" w:eastAsia="黑体"/>
          <w:bCs/>
          <w:color w:val="auto"/>
          <w:sz w:val="44"/>
          <w:highlight w:val="none"/>
        </w:rPr>
        <w:br w:type="page" w:clear="all"/>
      </w:r>
      <w:bookmarkStart w:id="48" w:name="_Toc120614211"/>
      <w:r>
        <w:rPr>
          <w:rFonts w:hint="eastAsia" w:ascii="方正小标宋简体" w:hAnsi="方正小标宋简体" w:eastAsia="方正小标宋简体" w:cs="方正小标宋简体"/>
          <w:color w:val="auto"/>
          <w:sz w:val="36"/>
          <w:szCs w:val="36"/>
          <w:highlight w:val="none"/>
          <w:lang w:val="en-US"/>
        </w:rPr>
        <w:t xml:space="preserve">第二章  </w:t>
      </w:r>
      <w:bookmarkEnd w:id="48"/>
      <w:r/>
      <w:bookmarkStart w:id="49" w:name="_Toc120614213"/>
      <w:r/>
      <w:bookmarkStart w:id="50" w:name="_Toc16938518"/>
      <w:r/>
      <w:bookmarkStart w:id="51" w:name="_Toc513029202"/>
      <w:r/>
      <w:bookmarkStart w:id="52" w:name="_Toc20823274"/>
      <w:r>
        <w:rPr>
          <w:rFonts w:hint="eastAsia" w:ascii="方正小标宋简体" w:hAnsi="方正小标宋简体" w:eastAsia="方正小标宋简体" w:cs="方正小标宋简体"/>
          <w:color w:val="auto"/>
          <w:sz w:val="36"/>
          <w:szCs w:val="36"/>
          <w:highlight w:val="none"/>
          <w:lang w:val="en-US"/>
        </w:rPr>
        <w:t xml:space="preserve">投标人须知</w:t>
      </w:r>
      <w:bookmarkEnd w:id="49"/>
      <w:r/>
      <w:bookmarkEnd w:id="50"/>
      <w:r/>
      <w:bookmarkEnd w:id="51"/>
      <w:r/>
      <w:bookmarkEnd w:id="52"/>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bookmarkStart w:id="53" w:name="_Toc20823275"/>
      <w:r/>
      <w:bookmarkStart w:id="54" w:name="_Toc16938519"/>
      <w:r/>
      <w:bookmarkStart w:id="55" w:name="_Toc513029203"/>
      <w:r/>
      <w:bookmarkStart w:id="56" w:name="_Toc120614214"/>
      <w:r/>
      <w:bookmarkStart w:id="57" w:name="_Toc16938558"/>
      <w:r/>
      <w:bookmarkStart w:id="58" w:name="_Toc479757207"/>
      <w:r/>
      <w:bookmarkStart w:id="59" w:name="_Toc20823314"/>
      <w:r/>
      <w:bookmarkStart w:id="60" w:name="_Toc120614221"/>
      <w:r/>
      <w:bookmarkStart w:id="61" w:name="_Toc513029242"/>
      <w:r>
        <w:rPr>
          <w:rFonts w:hint="eastAsia" w:ascii="方正黑体_GBK" w:hAnsi="方正黑体_GBK" w:eastAsia="方正黑体_GBK" w:cs="方正黑体_GBK"/>
          <w:b w:val="0"/>
          <w:bCs w:val="0"/>
          <w:color w:val="auto"/>
          <w:sz w:val="30"/>
          <w:szCs w:val="30"/>
          <w:highlight w:val="none"/>
        </w:rPr>
        <w:t xml:space="preserve">一、总则</w:t>
      </w:r>
      <w:bookmarkEnd w:id="53"/>
      <w:r/>
      <w:bookmarkEnd w:id="54"/>
      <w:r/>
      <w:bookmarkEnd w:id="55"/>
      <w:r/>
      <w:bookmarkEnd w:id="56"/>
      <w:r/>
      <w:r/>
    </w:p>
    <w:p>
      <w:pPr>
        <w:pStyle w:val="979"/>
        <w:ind w:firstLine="420"/>
        <w:spacing w:before="0" w:after="0" w:line="252" w:lineRule="auto"/>
        <w:rPr>
          <w:rFonts w:ascii="方正楷体_GBK" w:hAnsi="方正楷体_GBK" w:eastAsia="方正楷体_GBK" w:cs="方正楷体_GBK"/>
          <w:color w:val="auto"/>
          <w:highlight w:val="none"/>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方正楷体_GBK" w:hAnsi="方正楷体_GBK" w:eastAsia="方正楷体_GBK" w:cs="方正楷体_GBK"/>
          <w:color w:val="auto"/>
          <w:highlight w:val="none"/>
        </w:rPr>
        <w:t xml:space="preserve">1</w:t>
      </w:r>
      <w:bookmarkEnd w:id="63"/>
      <w:r>
        <w:rPr>
          <w:rFonts w:hint="eastAsia" w:ascii="方正楷体_GBK" w:hAnsi="方正楷体_GBK" w:eastAsia="方正楷体_GBK" w:cs="方正楷体_GBK"/>
          <w:color w:val="auto"/>
          <w:highlight w:val="none"/>
        </w:rPr>
        <w:t xml:space="preserve">.招标方式</w:t>
      </w:r>
      <w:bookmarkEnd w:id="64"/>
      <w:r/>
      <w:bookmarkEnd w:id="65"/>
      <w:r/>
      <w:bookmarkEnd w:id="66"/>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979"/>
        <w:ind w:firstLine="420"/>
        <w:spacing w:before="0" w:after="0" w:line="252" w:lineRule="auto"/>
        <w:rPr>
          <w:rFonts w:ascii="方正楷体_GBK" w:hAnsi="方正楷体_GBK" w:eastAsia="方正楷体_GBK" w:cs="方正楷体_GBK"/>
          <w:color w:val="auto"/>
          <w:highlight w:val="none"/>
        </w:rPr>
      </w:pPr>
      <w:r/>
      <w:bookmarkStart w:id="67" w:name="_Toc20823277"/>
      <w:r/>
      <w:bookmarkStart w:id="68" w:name="_Toc513029205"/>
      <w:r/>
      <w:bookmarkStart w:id="69" w:name="_Toc16938521"/>
      <w:r>
        <w:rPr>
          <w:rFonts w:hint="eastAsia" w:ascii="方正楷体_GBK" w:hAnsi="方正楷体_GBK" w:eastAsia="方正楷体_GBK" w:cs="方正楷体_GBK"/>
          <w:color w:val="auto"/>
          <w:highlight w:val="none"/>
        </w:rPr>
        <w:t xml:space="preserve">2.合格的投标人</w:t>
      </w:r>
      <w:bookmarkEnd w:id="67"/>
      <w:r/>
      <w:bookmarkEnd w:id="68"/>
      <w:r/>
      <w:bookmarkEnd w:id="69"/>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979"/>
        <w:ind w:firstLine="420"/>
        <w:spacing w:before="0" w:after="0" w:line="252" w:lineRule="auto"/>
        <w:rPr>
          <w:rFonts w:ascii="方正楷体_GBK" w:hAnsi="方正楷体_GBK" w:eastAsia="方正楷体_GBK" w:cs="方正楷体_GBK"/>
          <w:color w:val="auto"/>
          <w:highlight w:val="none"/>
        </w:rPr>
      </w:pPr>
      <w:r/>
      <w:bookmarkStart w:id="70" w:name="_Toc513029206"/>
      <w:r/>
      <w:bookmarkStart w:id="71" w:name="_Toc16938522"/>
      <w:r/>
      <w:bookmarkStart w:id="72" w:name="_Toc20823278"/>
      <w:r>
        <w:rPr>
          <w:rFonts w:hint="eastAsia" w:ascii="方正楷体_GBK" w:hAnsi="方正楷体_GBK" w:eastAsia="方正楷体_GBK" w:cs="方正楷体_GBK"/>
          <w:color w:val="auto"/>
          <w:highlight w:val="none"/>
        </w:rPr>
        <w:t xml:space="preserve">3.适用法律</w:t>
      </w:r>
      <w:bookmarkEnd w:id="70"/>
      <w:r/>
      <w:bookmarkEnd w:id="71"/>
      <w:r/>
      <w:bookmarkEnd w:id="72"/>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79"/>
        <w:ind w:firstLine="420"/>
        <w:spacing w:before="0" w:after="0" w:line="252" w:lineRule="auto"/>
        <w:rPr>
          <w:rFonts w:ascii="方正楷体_GBK" w:hAnsi="方正楷体_GBK" w:eastAsia="方正楷体_GBK" w:cs="方正楷体_GBK"/>
          <w:color w:val="auto"/>
          <w:highlight w:val="none"/>
        </w:rPr>
      </w:pPr>
      <w:r/>
      <w:bookmarkStart w:id="73" w:name="_Toc513029207"/>
      <w:r/>
      <w:bookmarkStart w:id="74" w:name="_Toc462564067"/>
      <w:r/>
      <w:bookmarkStart w:id="75" w:name="_Toc16938523"/>
      <w:r/>
      <w:bookmarkStart w:id="76" w:name="_Toc20823279"/>
      <w:r>
        <w:rPr>
          <w:rFonts w:hint="eastAsia" w:ascii="方正楷体_GBK" w:hAnsi="方正楷体_GBK" w:eastAsia="方正楷体_GBK" w:cs="方正楷体_GBK"/>
          <w:color w:val="auto"/>
          <w:highlight w:val="none"/>
        </w:rPr>
        <w:t xml:space="preserve">4.投标费用</w:t>
      </w:r>
      <w:bookmarkEnd w:id="73"/>
      <w:r/>
      <w:bookmarkEnd w:id="74"/>
      <w:r/>
      <w:bookmarkEnd w:id="75"/>
      <w:r/>
      <w:bookmarkEnd w:id="76"/>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bookmarkStart w:id="77" w:name="_Toc16938525"/>
      <w:r/>
      <w:bookmarkStart w:id="78" w:name="_Toc120614215"/>
      <w:r/>
      <w:bookmarkStart w:id="79" w:name="_Toc20823281"/>
      <w:r/>
      <w:bookmarkStart w:id="80"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7"/>
      <w:r/>
      <w:bookmarkEnd w:id="78"/>
      <w:r/>
      <w:bookmarkEnd w:id="79"/>
      <w:r/>
      <w:bookmarkEnd w:id="80"/>
      <w:r/>
      <w:r/>
    </w:p>
    <w:p>
      <w:pPr>
        <w:pStyle w:val="979"/>
        <w:ind w:firstLine="420"/>
        <w:spacing w:before="0" w:after="0" w:line="252" w:lineRule="auto"/>
        <w:rPr>
          <w:rFonts w:ascii="方正楷体_GBK" w:hAnsi="方正楷体_GBK" w:eastAsia="方正楷体_GBK" w:cs="方正楷体_GBK"/>
          <w:color w:val="auto"/>
          <w:highlight w:val="none"/>
        </w:rPr>
      </w:pPr>
      <w:r/>
      <w:bookmarkStart w:id="81" w:name="_Toc20823282"/>
      <w:r/>
      <w:bookmarkStart w:id="82" w:name="_Toc16938526"/>
      <w:r/>
      <w:bookmarkStart w:id="83" w:name="_Toc513029210"/>
      <w:r>
        <w:rPr>
          <w:rFonts w:hint="eastAsia" w:ascii="方正楷体_GBK" w:hAnsi="方正楷体_GBK" w:eastAsia="方正楷体_GBK" w:cs="方正楷体_GBK"/>
          <w:color w:val="auto"/>
          <w:highlight w:val="none"/>
        </w:rPr>
        <w:t xml:space="preserve">6.招标文件构成</w:t>
      </w:r>
      <w:bookmarkEnd w:id="81"/>
      <w:r/>
      <w:bookmarkEnd w:id="82"/>
      <w:r/>
      <w:bookmarkEnd w:id="83"/>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（3）合同文本</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9"/>
        <w:ind w:firstLine="420"/>
        <w:spacing w:before="0" w:after="0" w:line="252" w:lineRule="auto"/>
        <w:rPr>
          <w:rFonts w:ascii="方正楷体_GBK" w:hAnsi="方正楷体_GBK" w:eastAsia="方正楷体_GBK" w:cs="方正楷体_GBK"/>
          <w:color w:val="auto"/>
          <w:highlight w:val="none"/>
        </w:rPr>
      </w:pPr>
      <w:r/>
      <w:bookmarkStart w:id="84" w:name="_Toc20823283"/>
      <w:r/>
      <w:bookmarkStart w:id="85" w:name="_Toc16938527"/>
      <w:r/>
      <w:bookmarkStart w:id="86" w:name="_Toc513029211"/>
      <w:r/>
      <w:bookmarkStart w:id="87" w:name="_Toc462564070"/>
      <w:r>
        <w:rPr>
          <w:rFonts w:hint="eastAsia" w:ascii="方正楷体_GBK" w:hAnsi="方正楷体_GBK" w:eastAsia="方正楷体_GBK" w:cs="方正楷体_GBK"/>
          <w:color w:val="auto"/>
          <w:highlight w:val="none"/>
        </w:rPr>
        <w:t xml:space="preserve">7.招标文件的澄清</w:t>
      </w:r>
      <w:bookmarkEnd w:id="84"/>
      <w:r/>
      <w:bookmarkEnd w:id="85"/>
      <w:r/>
      <w:bookmarkEnd w:id="86"/>
      <w:r/>
      <w:bookmarkEnd w:id="87"/>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979"/>
        <w:ind w:firstLine="420"/>
        <w:spacing w:before="0" w:after="0" w:line="252" w:lineRule="auto"/>
        <w:rPr>
          <w:rFonts w:ascii="方正楷体_GBK" w:hAnsi="方正楷体_GBK" w:eastAsia="方正楷体_GBK" w:cs="方正楷体_GBK"/>
          <w:color w:val="auto"/>
          <w:highlight w:val="none"/>
        </w:rPr>
      </w:pPr>
      <w:r/>
      <w:bookmarkStart w:id="88" w:name="_Toc513029212"/>
      <w:r/>
      <w:bookmarkStart w:id="89" w:name="_Toc20823284"/>
      <w:r/>
      <w:bookmarkStart w:id="90" w:name="_Toc16938528"/>
      <w:r/>
      <w:bookmarkStart w:id="91" w:name="_Toc462564071"/>
      <w:r>
        <w:rPr>
          <w:rFonts w:hint="eastAsia" w:ascii="方正楷体_GBK" w:hAnsi="方正楷体_GBK" w:eastAsia="方正楷体_GBK" w:cs="方正楷体_GBK"/>
          <w:color w:val="auto"/>
          <w:highlight w:val="none"/>
        </w:rPr>
        <w:t xml:space="preserve">8.招标文件的修改</w:t>
      </w:r>
      <w:bookmarkEnd w:id="88"/>
      <w:r/>
      <w:bookmarkEnd w:id="89"/>
      <w:r/>
      <w:bookmarkEnd w:id="90"/>
      <w:r/>
      <w:bookmarkEnd w:id="91"/>
      <w:r/>
      <w:r/>
    </w:p>
    <w:p>
      <w:pPr>
        <w:ind w:firstLine="420"/>
        <w:spacing w:line="252" w:lineRule="auto"/>
        <w:rPr>
          <w:rFonts w:ascii="宋体" w:hAnsi="宋体"/>
          <w:color w:val="auto"/>
          <w:sz w:val="24"/>
          <w:highlight w:val="none"/>
        </w:rPr>
      </w:pPr>
      <w:r/>
      <w:bookmarkStart w:id="92" w:name="_Toc20823285"/>
      <w:r/>
      <w:bookmarkStart w:id="93" w:name="_Toc120614216"/>
      <w:r/>
      <w:bookmarkStart w:id="94" w:name="_Toc513029213"/>
      <w:r/>
      <w:bookmarkStart w:id="95" w:name="_Toc462564072"/>
      <w:r/>
      <w:bookmarkStart w:id="96" w:name="_Toc16938529"/>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92"/>
      <w:r/>
      <w:bookmarkEnd w:id="93"/>
      <w:r/>
      <w:bookmarkEnd w:id="94"/>
      <w:r/>
      <w:bookmarkEnd w:id="95"/>
      <w:r/>
      <w:bookmarkEnd w:id="96"/>
      <w:r/>
      <w:r/>
    </w:p>
    <w:p>
      <w:pPr>
        <w:pStyle w:val="979"/>
        <w:ind w:firstLine="420"/>
        <w:spacing w:before="0" w:after="0" w:line="252" w:lineRule="auto"/>
        <w:rPr>
          <w:rFonts w:ascii="方正楷体_GBK" w:hAnsi="方正楷体_GBK" w:eastAsia="方正楷体_GBK" w:cs="方正楷体_GBK"/>
          <w:color w:val="auto"/>
          <w:highlight w:val="none"/>
        </w:rPr>
      </w:pPr>
      <w:r/>
      <w:bookmarkStart w:id="97" w:name="_Toc513029214"/>
      <w:r/>
      <w:bookmarkStart w:id="98" w:name="_Toc462564073"/>
      <w:r/>
      <w:bookmarkStart w:id="99" w:name="_Toc20823286"/>
      <w:r/>
      <w:bookmarkStart w:id="100" w:name="_Toc16938530"/>
      <w:r>
        <w:rPr>
          <w:rFonts w:hint="eastAsia" w:ascii="方正楷体_GBK" w:hAnsi="方正楷体_GBK" w:eastAsia="方正楷体_GBK" w:cs="方正楷体_GBK"/>
          <w:color w:val="auto"/>
          <w:highlight w:val="none"/>
        </w:rPr>
        <w:t xml:space="preserve">9.投标文件的语言及度量衡单位</w:t>
      </w:r>
      <w:bookmarkEnd w:id="97"/>
      <w:r/>
      <w:bookmarkEnd w:id="98"/>
      <w:r/>
      <w:bookmarkEnd w:id="99"/>
      <w:r/>
      <w:bookmarkEnd w:id="100"/>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spacing w:line="252" w:lineRule="auto"/>
        <w:rPr>
          <w:rFonts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979"/>
        <w:ind w:firstLine="420"/>
        <w:spacing w:before="0" w:after="0" w:line="252" w:lineRule="auto"/>
        <w:rPr>
          <w:rFonts w:ascii="方正楷体_GBK" w:hAnsi="方正楷体_GBK" w:eastAsia="方正楷体_GBK" w:cs="方正楷体_GBK"/>
          <w:color w:val="auto"/>
          <w:highlight w:val="none"/>
        </w:rPr>
      </w:pPr>
      <w:r/>
      <w:bookmarkStart w:id="101" w:name="_Toc20823287"/>
      <w:r/>
      <w:bookmarkStart w:id="102" w:name="_Toc16938531"/>
      <w:r/>
      <w:bookmarkStart w:id="103" w:name="_Toc462564074"/>
      <w:r/>
      <w:bookmarkStart w:id="104" w:name="_Toc513029215"/>
      <w:r>
        <w:rPr>
          <w:rFonts w:hint="eastAsia" w:ascii="方正楷体_GBK" w:hAnsi="方正楷体_GBK" w:eastAsia="方正楷体_GBK" w:cs="方正楷体_GBK"/>
          <w:color w:val="auto"/>
          <w:highlight w:val="none"/>
        </w:rPr>
        <w:t xml:space="preserve">10.投标文件构成</w:t>
      </w:r>
      <w:bookmarkEnd w:id="101"/>
      <w:r/>
      <w:bookmarkEnd w:id="102"/>
      <w:r/>
      <w:bookmarkEnd w:id="103"/>
      <w:r/>
      <w:bookmarkEnd w:id="104"/>
      <w:r/>
      <w:r/>
    </w:p>
    <w:p>
      <w:pPr>
        <w:ind w:firstLine="420"/>
        <w:spacing w:line="252" w:lineRule="auto"/>
        <w:rPr>
          <w:rFonts w:ascii="宋体" w:hAnsi="宋体"/>
          <w:color w:val="auto"/>
          <w:sz w:val="24"/>
          <w:szCs w:val="22"/>
          <w:highlight w:val="none"/>
        </w:rPr>
      </w:pPr>
      <w:r>
        <w:rPr>
          <w:rFonts w:hint="eastAsia" w:ascii="宋体" w:hAnsi="宋体"/>
          <w:color w:val="auto"/>
          <w:sz w:val="24"/>
          <w:szCs w:val="22"/>
          <w:highlight w:val="none"/>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ascii="宋体" w:hAnsi="宋体"/>
          <w:color w:val="auto"/>
          <w:sz w:val="24"/>
          <w:szCs w:val="22"/>
          <w:highlight w:val="none"/>
        </w:rPr>
      </w:pPr>
      <w:r>
        <w:rPr>
          <w:rFonts w:hint="eastAsia" w:ascii="宋体" w:hAnsi="宋体"/>
          <w:color w:val="auto"/>
          <w:sz w:val="24"/>
          <w:szCs w:val="22"/>
          <w:highlight w:val="none"/>
        </w:rPr>
        <w:t xml:space="preserve">10.2 如标书制作工具中格式和内容与“江苏政府采购网”发布的招标文件不一致，以“江苏政府采购网”发布的招标文件为准。</w:t>
      </w:r>
      <w:r/>
    </w:p>
    <w:p>
      <w:pPr>
        <w:pStyle w:val="979"/>
        <w:ind w:firstLine="420"/>
        <w:spacing w:before="0" w:after="0" w:line="252" w:lineRule="auto"/>
        <w:rPr>
          <w:rFonts w:ascii="方正楷体_GBK" w:hAnsi="方正楷体_GBK" w:eastAsia="方正楷体_GBK" w:cs="方正楷体_GBK"/>
          <w:color w:val="auto"/>
          <w:highlight w:val="none"/>
        </w:rPr>
      </w:pPr>
      <w:r/>
      <w:bookmarkStart w:id="105" w:name="_Hlt26670360"/>
      <w:r/>
      <w:bookmarkEnd w:id="105"/>
      <w:r/>
      <w:bookmarkStart w:id="106" w:name="_Hlt26668975"/>
      <w:r/>
      <w:bookmarkEnd w:id="106"/>
      <w:r/>
      <w:bookmarkStart w:id="107" w:name="_Hlt26954838"/>
      <w:r/>
      <w:bookmarkEnd w:id="107"/>
      <w:r/>
      <w:bookmarkStart w:id="108" w:name="_Toc513029219"/>
      <w:r/>
      <w:bookmarkStart w:id="109" w:name="_Toc49090509"/>
      <w:r/>
      <w:bookmarkStart w:id="110" w:name="_Toc14577357"/>
      <w:r/>
      <w:bookmarkStart w:id="111" w:name="_Toc513029216"/>
      <w:r/>
      <w:bookmarkStart w:id="112" w:name="_Toc14577354"/>
      <w:r/>
      <w:bookmarkStart w:id="113" w:name="_Toc49090507"/>
      <w:r>
        <w:rPr>
          <w:rFonts w:hint="eastAsia" w:ascii="方正楷体_GBK" w:hAnsi="方正楷体_GBK" w:eastAsia="方正楷体_GBK" w:cs="方正楷体_GBK"/>
          <w:color w:val="auto"/>
          <w:highlight w:val="none"/>
        </w:rPr>
        <w:t xml:space="preserve">11.证明投标人及投标标的符合招标文件规定的文件</w:t>
      </w:r>
      <w:bookmarkEnd w:id="108"/>
      <w:r/>
      <w:bookmarkEnd w:id="109"/>
      <w:r/>
      <w:bookmarkEnd w:id="110"/>
      <w:r/>
      <w:bookmarkEnd w:id="111"/>
      <w:r/>
      <w:bookmarkEnd w:id="112"/>
      <w:r/>
      <w:bookmarkEnd w:id="113"/>
      <w:r/>
      <w:r/>
    </w:p>
    <w:p>
      <w:pPr>
        <w:ind w:firstLine="420"/>
        <w:spacing w:line="252" w:lineRule="auto"/>
        <w:rPr>
          <w:rFonts w:ascii="宋体" w:hAnsi="宋体"/>
          <w:color w:val="auto"/>
          <w:sz w:val="24"/>
          <w:highlight w:val="none"/>
        </w:rPr>
      </w:pPr>
      <w:r/>
      <w:bookmarkStart w:id="114" w:name="_Toc49090508"/>
      <w:r/>
      <w:bookmarkStart w:id="115" w:name="_Toc14577355"/>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w:t>
      </w:r>
      <w:bookmarkEnd w:id="114"/>
      <w:r/>
      <w:bookmarkEnd w:id="115"/>
      <w:r>
        <w:rPr>
          <w:rFonts w:hint="eastAsia" w:ascii="方正楷体_GBK" w:hAnsi="方正楷体_GBK" w:eastAsia="方正楷体_GBK" w:cs="方正楷体_GBK"/>
          <w:color w:val="auto"/>
          <w:highlight w:val="none"/>
        </w:rPr>
        <w:t xml:space="preserve">.投标分项报价表（如有）</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12.1 投</w:t>
      </w:r>
      <w:bookmarkStart w:id="116" w:name="_Hlt26954840"/>
      <w:r/>
      <w:bookmarkEnd w:id="116"/>
      <w:r>
        <w:rPr>
          <w:rFonts w:hint="eastAsia" w:ascii="宋体" w:hAnsi="宋体"/>
          <w:color w:val="auto"/>
          <w:sz w:val="24"/>
          <w:highlight w:val="none"/>
        </w:rPr>
        <w:t xml:space="preserve">标人应按照招标文件规定格式填报</w:t>
      </w:r>
      <w:bookmarkStart w:id="117" w:name="_Hlt26670399"/>
      <w:r/>
      <w:bookmarkEnd w:id="117"/>
      <w:r>
        <w:rPr>
          <w:rFonts w:hint="eastAsia" w:ascii="宋体" w:hAnsi="宋体"/>
          <w:color w:val="auto"/>
          <w:sz w:val="24"/>
          <w:highlight w:val="none"/>
        </w:rPr>
        <w:t xml:space="preserve">投标分项报价表。</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979"/>
        <w:ind w:firstLine="420"/>
        <w:spacing w:before="0" w:after="0" w:line="252" w:lineRule="auto"/>
        <w:rPr>
          <w:rFonts w:ascii="方正楷体_GBK" w:hAnsi="方正楷体_GBK" w:eastAsia="方正楷体_GBK" w:cs="方正楷体_GBK"/>
          <w:color w:val="auto"/>
          <w:highlight w:val="none"/>
        </w:rPr>
      </w:pPr>
      <w:r/>
      <w:bookmarkStart w:id="118" w:name="_Hlt26954731"/>
      <w:r/>
      <w:bookmarkEnd w:id="118"/>
      <w:r/>
      <w:bookmarkStart w:id="119" w:name="_Hlt26668983"/>
      <w:r/>
      <w:bookmarkEnd w:id="119"/>
      <w:r/>
      <w:bookmarkStart w:id="120" w:name="_Hlt26670425"/>
      <w:r/>
      <w:bookmarkEnd w:id="120"/>
      <w:r/>
      <w:bookmarkStart w:id="121" w:name="_Hlt26954846"/>
      <w:r/>
      <w:bookmarkEnd w:id="121"/>
      <w:r/>
      <w:bookmarkStart w:id="122" w:name="_Hlt26954842"/>
      <w:r/>
      <w:bookmarkEnd w:id="122"/>
      <w:r/>
      <w:bookmarkStart w:id="123" w:name="_Hlt26670482"/>
      <w:r/>
      <w:bookmarkEnd w:id="123"/>
      <w:r/>
      <w:bookmarkStart w:id="124" w:name="_Hlt26670403"/>
      <w:r/>
      <w:bookmarkEnd w:id="124"/>
      <w:r/>
      <w:bookmarkStart w:id="125" w:name="_Hlt26954844"/>
      <w:r/>
      <w:bookmarkEnd w:id="125"/>
      <w:r/>
      <w:bookmarkStart w:id="126" w:name="_Hlt26954848"/>
      <w:r/>
      <w:bookmarkEnd w:id="126"/>
      <w:r/>
      <w:bookmarkStart w:id="127" w:name="_Hlt26670486"/>
      <w:r/>
      <w:bookmarkEnd w:id="127"/>
      <w:r>
        <w:rPr>
          <w:rFonts w:hint="eastAsia" w:ascii="方正楷体_GBK" w:hAnsi="方正楷体_GBK" w:eastAsia="方正楷体_GBK" w:cs="方正楷体_GBK"/>
          <w:color w:val="auto"/>
          <w:highlight w:val="none"/>
        </w:rPr>
        <w:t xml:space="preserve">13.响应及偏离表</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979"/>
        <w:ind w:firstLine="420"/>
        <w:spacing w:before="0" w:after="0" w:line="252" w:lineRule="auto"/>
        <w:rPr>
          <w:rFonts w:ascii="方正楷体_GBK" w:hAnsi="方正楷体_GBK" w:eastAsia="方正楷体_GBK" w:cs="方正楷体_GBK"/>
          <w:color w:val="auto"/>
          <w:highlight w:val="none"/>
        </w:rPr>
      </w:pPr>
      <w:r/>
      <w:bookmarkStart w:id="128" w:name="_Toc49090510"/>
      <w:r/>
      <w:bookmarkStart w:id="129" w:name="_Toc14577359"/>
      <w:r>
        <w:rPr>
          <w:rFonts w:hint="eastAsia" w:ascii="方正楷体_GBK" w:hAnsi="方正楷体_GBK" w:eastAsia="方正楷体_GBK" w:cs="方正楷体_GBK"/>
          <w:color w:val="auto"/>
          <w:highlight w:val="none"/>
        </w:rPr>
        <w:t xml:space="preserve">14.投标函和开标一览表</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28"/>
      <w:r/>
      <w:bookmarkEnd w:id="129"/>
      <w:r/>
      <w:r/>
    </w:p>
    <w:p>
      <w:pPr>
        <w:pStyle w:val="979"/>
        <w:ind w:firstLine="420"/>
        <w:spacing w:before="0" w:after="0" w:line="252" w:lineRule="auto"/>
        <w:rPr>
          <w:rFonts w:ascii="方正楷体_GBK" w:hAnsi="方正楷体_GBK" w:eastAsia="方正楷体_GBK" w:cs="方正楷体_GBK"/>
          <w:color w:val="auto"/>
          <w:highlight w:val="none"/>
        </w:rPr>
      </w:pPr>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ascii="方正楷体_GBK" w:hAnsi="方正楷体_GBK" w:eastAsia="方正楷体_GBK" w:cs="方正楷体_GBK"/>
          <w:color w:val="auto"/>
          <w:highlight w:val="none"/>
        </w:rPr>
        <w:t xml:space="preserve">15.投标有效期</w:t>
      </w:r>
      <w:bookmarkEnd w:id="133"/>
      <w:r/>
      <w:bookmarkEnd w:id="134"/>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highlight w:val="none"/>
        </w:rPr>
        <w:t xml:space="preserve">满</w:t>
      </w:r>
      <w:r>
        <w:rPr>
          <w:rFonts w:hint="eastAsia" w:ascii="宋体" w:hAnsi="宋体"/>
          <w:color w:val="auto"/>
          <w:sz w:val="24"/>
          <w:highlight w:val="none"/>
          <w:lang w:val="zh-CN"/>
        </w:rPr>
        <w:t xml:space="preserve">。</w:t>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bookmarkStart w:id="135" w:name="_Hlt26954739"/>
      <w:r/>
      <w:bookmarkEnd w:id="135"/>
      <w:r/>
      <w:bookmarkStart w:id="136" w:name="_Hlt26954852"/>
      <w:r/>
      <w:bookmarkEnd w:id="136"/>
      <w:r/>
      <w:bookmarkStart w:id="137" w:name="_Toc513029224"/>
      <w:r/>
      <w:bookmarkStart w:id="138" w:name="_Toc20823296"/>
      <w:r/>
      <w:bookmarkStart w:id="139" w:name="_Toc120614217"/>
      <w:r/>
      <w:bookmarkStart w:id="140" w:name="_Toc16938540"/>
      <w:r/>
      <w:bookmarkStart w:id="141" w:name="_Toc20823309"/>
      <w:r/>
      <w:bookmarkStart w:id="142" w:name="_Toc16938553"/>
      <w:r/>
      <w:bookmarkStart w:id="143" w:name="_Toc513029237"/>
      <w:r>
        <w:rPr>
          <w:rFonts w:hint="eastAsia" w:ascii="方正黑体_GBK" w:hAnsi="方正黑体_GBK" w:eastAsia="方正黑体_GBK" w:cs="方正黑体_GBK"/>
          <w:b w:val="0"/>
          <w:bCs w:val="0"/>
          <w:color w:val="auto"/>
          <w:sz w:val="30"/>
          <w:szCs w:val="30"/>
          <w:highlight w:val="none"/>
        </w:rPr>
        <w:t xml:space="preserve">四、投标文件的递交</w:t>
      </w:r>
      <w:bookmarkEnd w:id="137"/>
      <w:r/>
      <w:bookmarkEnd w:id="138"/>
      <w:r/>
      <w:bookmarkEnd w:id="139"/>
      <w:r/>
      <w:bookmarkEnd w:id="140"/>
      <w:r/>
      <w:r/>
    </w:p>
    <w:p>
      <w:pPr>
        <w:pStyle w:val="979"/>
        <w:ind w:firstLine="420"/>
        <w:spacing w:before="0" w:after="0" w:line="252" w:lineRule="auto"/>
        <w:rPr>
          <w:rFonts w:ascii="方正楷体_GBK" w:hAnsi="方正楷体_GBK" w:eastAsia="方正楷体_GBK" w:cs="方正楷体_GBK"/>
          <w:color w:val="auto"/>
          <w:highlight w:val="none"/>
        </w:rPr>
      </w:pPr>
      <w:r/>
      <w:bookmarkStart w:id="144" w:name="_Toc20823297"/>
      <w:r/>
      <w:bookmarkStart w:id="145" w:name="_Toc16938541"/>
      <w:r/>
      <w:bookmarkStart w:id="146" w:name="_Toc462564084"/>
      <w:r/>
      <w:bookmarkStart w:id="147" w:name="_Toc513029225"/>
      <w:r>
        <w:rPr>
          <w:rFonts w:hint="eastAsia" w:ascii="方正楷体_GBK" w:hAnsi="方正楷体_GBK" w:eastAsia="方正楷体_GBK" w:cs="方正楷体_GBK"/>
          <w:color w:val="auto"/>
          <w:highlight w:val="none"/>
        </w:rPr>
        <w:t xml:space="preserve">17.投标文件</w:t>
      </w:r>
      <w:bookmarkEnd w:id="144"/>
      <w:r/>
      <w:bookmarkEnd w:id="145"/>
      <w:r/>
      <w:bookmarkEnd w:id="146"/>
      <w:r/>
      <w:bookmarkEnd w:id="147"/>
      <w:r>
        <w:rPr>
          <w:rFonts w:hint="eastAsia" w:ascii="方正楷体_GBK" w:hAnsi="方正楷体_GBK" w:eastAsia="方正楷体_GBK" w:cs="方正楷体_GBK"/>
          <w:color w:val="auto"/>
          <w:highlight w:val="none"/>
        </w:rPr>
        <w:t xml:space="preserve">的递交</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8" w:name="_Toc16938542"/>
      <w:r/>
      <w:bookmarkStart w:id="149" w:name="_Toc20823298"/>
      <w:r/>
      <w:bookmarkStart w:id="150" w:name="_Toc513029226"/>
      <w:r/>
      <w:bookmarkEnd w:id="148"/>
      <w:r/>
      <w:bookmarkEnd w:id="149"/>
      <w:r/>
      <w:bookmarkEnd w:id="150"/>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979"/>
        <w:ind w:firstLine="420"/>
        <w:spacing w:before="0" w:after="0" w:line="252" w:lineRule="auto"/>
        <w:rPr>
          <w:rFonts w:ascii="方正楷体_GBK" w:hAnsi="方正楷体_GBK" w:eastAsia="方正楷体_GBK" w:cs="方正楷体_GBK"/>
          <w:color w:val="auto"/>
          <w:highlight w:val="none"/>
        </w:rPr>
      </w:pPr>
      <w:r/>
      <w:bookmarkStart w:id="151" w:name="_Toc513029227"/>
      <w:r/>
      <w:bookmarkStart w:id="152" w:name="_Toc16938543"/>
      <w:r/>
      <w:bookmarkStart w:id="153" w:name="_Toc20823299"/>
      <w:r>
        <w:rPr>
          <w:rFonts w:hint="eastAsia" w:ascii="方正楷体_GBK" w:hAnsi="方正楷体_GBK" w:eastAsia="方正楷体_GBK" w:cs="方正楷体_GBK"/>
          <w:color w:val="auto"/>
          <w:highlight w:val="none"/>
        </w:rPr>
        <w:t xml:space="preserve">18.投标文件</w:t>
      </w:r>
      <w:bookmarkEnd w:id="151"/>
      <w:r/>
      <w:bookmarkEnd w:id="152"/>
      <w:r/>
      <w:bookmarkEnd w:id="153"/>
      <w:r>
        <w:rPr>
          <w:rFonts w:hint="eastAsia" w:ascii="方正楷体_GBK" w:hAnsi="方正楷体_GBK" w:eastAsia="方正楷体_GBK" w:cs="方正楷体_GBK"/>
          <w:color w:val="auto"/>
          <w:highlight w:val="none"/>
        </w:rPr>
        <w:t xml:space="preserve">的拒收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979"/>
        <w:ind w:firstLine="420"/>
        <w:spacing w:before="0" w:after="0" w:line="252" w:lineRule="auto"/>
        <w:rPr>
          <w:rFonts w:ascii="方正楷体_GBK" w:hAnsi="方正楷体_GBK" w:eastAsia="方正楷体_GBK" w:cs="方正楷体_GBK"/>
          <w:color w:val="auto"/>
          <w:highlight w:val="none"/>
        </w:rPr>
      </w:pPr>
      <w:r/>
      <w:bookmarkStart w:id="154" w:name="_Toc513029228"/>
      <w:r/>
      <w:bookmarkStart w:id="155" w:name="_Toc16938544"/>
      <w:r/>
      <w:bookmarkStart w:id="156" w:name="_Toc20823300"/>
      <w:r>
        <w:rPr>
          <w:rFonts w:hint="eastAsia" w:ascii="方正楷体_GBK" w:hAnsi="方正楷体_GBK" w:eastAsia="方正楷体_GBK" w:cs="方正楷体_GBK"/>
          <w:color w:val="auto"/>
          <w:highlight w:val="none"/>
        </w:rPr>
        <w:t xml:space="preserve">19.投标文件的撤回和修改</w:t>
      </w:r>
      <w:bookmarkEnd w:id="154"/>
      <w:r/>
      <w:bookmarkEnd w:id="155"/>
      <w:r/>
      <w:bookmarkEnd w:id="156"/>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7" w:name="_Toc120614218"/>
      <w:r/>
      <w:bookmarkStart w:id="158" w:name="_Toc20823301"/>
      <w:r/>
      <w:bookmarkStart w:id="159" w:name="_Toc16938545"/>
      <w:r/>
      <w:bookmarkStart w:id="160" w:name="_Toc513029229"/>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7"/>
      <w:r/>
      <w:bookmarkEnd w:id="158"/>
      <w:r/>
      <w:bookmarkEnd w:id="159"/>
      <w:r/>
      <w:bookmarkEnd w:id="160"/>
      <w:r/>
      <w:r/>
    </w:p>
    <w:p>
      <w:pPr>
        <w:pStyle w:val="979"/>
        <w:ind w:firstLine="420"/>
        <w:spacing w:before="0" w:after="0" w:line="252" w:lineRule="auto"/>
        <w:rPr>
          <w:rFonts w:ascii="方正楷体_GBK" w:hAnsi="方正楷体_GBK" w:eastAsia="方正楷体_GBK" w:cs="方正楷体_GBK"/>
          <w:color w:val="auto"/>
          <w:highlight w:val="none"/>
        </w:rPr>
      </w:pPr>
      <w:r/>
      <w:bookmarkStart w:id="161" w:name="_Toc20823302"/>
      <w:r/>
      <w:bookmarkStart w:id="162" w:name="_Toc513029230"/>
      <w:r/>
      <w:bookmarkStart w:id="163" w:name="_Toc16938546"/>
      <w:r>
        <w:rPr>
          <w:rFonts w:hint="eastAsia" w:ascii="方正楷体_GBK" w:hAnsi="方正楷体_GBK" w:eastAsia="方正楷体_GBK" w:cs="方正楷体_GBK"/>
          <w:color w:val="auto"/>
          <w:highlight w:val="none"/>
        </w:rPr>
        <w:t xml:space="preserve">20.开标</w:t>
      </w:r>
      <w:bookmarkEnd w:id="161"/>
      <w:r/>
      <w:bookmarkEnd w:id="162"/>
      <w:r/>
      <w:bookmarkEnd w:id="163"/>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979"/>
        <w:ind w:firstLine="420"/>
        <w:spacing w:before="0" w:after="0" w:line="252" w:lineRule="auto"/>
        <w:rPr>
          <w:rFonts w:ascii="方正楷体_GBK" w:hAnsi="方正楷体_GBK" w:eastAsia="方正楷体_GBK" w:cs="方正楷体_GBK"/>
          <w:color w:val="auto"/>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color w:val="auto"/>
          <w:highlight w:val="none"/>
        </w:rPr>
        <w:t xml:space="preserve">21.评标</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64"/>
      <w:r/>
      <w:bookmarkEnd w:id="165"/>
      <w:r/>
      <w:bookmarkEnd w:id="166"/>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979"/>
        <w:ind w:firstLine="420"/>
        <w:spacing w:before="0" w:after="0" w:line="252" w:lineRule="auto"/>
        <w:rPr>
          <w:rFonts w:ascii="方正楷体_GBK" w:hAnsi="方正楷体_GBK" w:eastAsia="方正楷体_GBK" w:cs="方正楷体_GBK"/>
          <w:color w:val="auto"/>
          <w:highlight w:val="none"/>
        </w:rPr>
      </w:pPr>
      <w:r/>
      <w:bookmarkStart w:id="167" w:name="_Toc16938548"/>
      <w:r/>
      <w:bookmarkStart w:id="168" w:name="_Toc513029232"/>
      <w:r/>
      <w:bookmarkStart w:id="169" w:name="_Toc20823304"/>
      <w:r>
        <w:rPr>
          <w:rFonts w:hint="eastAsia" w:ascii="方正楷体_GBK" w:hAnsi="方正楷体_GBK" w:eastAsia="方正楷体_GBK" w:cs="方正楷体_GBK"/>
          <w:color w:val="auto"/>
          <w:highlight w:val="none"/>
        </w:rPr>
        <w:t xml:space="preserve">23.投标文件的澄清</w:t>
      </w:r>
      <w:bookmarkEnd w:id="167"/>
      <w:r/>
      <w:bookmarkEnd w:id="168"/>
      <w:r/>
      <w:bookmarkEnd w:id="169"/>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979"/>
        <w:ind w:firstLine="420"/>
        <w:spacing w:before="0" w:after="0" w:line="252" w:lineRule="auto"/>
        <w:rPr>
          <w:rFonts w:ascii="方正楷体_GBK" w:hAnsi="方正楷体_GBK" w:eastAsia="方正楷体_GBK" w:cs="方正楷体_GBK"/>
          <w:color w:val="auto"/>
          <w:highlight w:val="none"/>
        </w:rPr>
      </w:pPr>
      <w:r/>
      <w:bookmarkStart w:id="170" w:name="_Toc16938549"/>
      <w:r/>
      <w:bookmarkStart w:id="171" w:name="_Toc20823305"/>
      <w:r/>
      <w:bookmarkStart w:id="172" w:name="_Toc513029233"/>
      <w:r>
        <w:rPr>
          <w:rFonts w:hint="eastAsia" w:ascii="方正楷体_GBK" w:hAnsi="方正楷体_GBK" w:eastAsia="方正楷体_GBK" w:cs="方正楷体_GBK"/>
          <w:color w:val="auto"/>
          <w:highlight w:val="none"/>
        </w:rPr>
        <w:t xml:space="preserve">24.投标文件的</w:t>
      </w:r>
      <w:bookmarkEnd w:id="170"/>
      <w:r/>
      <w:bookmarkEnd w:id="171"/>
      <w:r/>
      <w:bookmarkEnd w:id="172"/>
      <w:r>
        <w:rPr>
          <w:rFonts w:hint="eastAsia" w:ascii="方正楷体_GBK" w:hAnsi="方正楷体_GBK" w:eastAsia="方正楷体_GBK" w:cs="方正楷体_GBK"/>
          <w:color w:val="auto"/>
          <w:highlight w:val="none"/>
        </w:rPr>
        <w:t xml:space="preserve">审查</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24.1 投标文件审查分为资格审查和符合性审查。</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24.1.3 未通过资格审查或符合性审查的投标人，交易中心将通过苏采云系统告知其具体原因，评标结束后不再接受有关询问。</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52" w:lineRule="auto"/>
        <w:rPr>
          <w:rFonts w:ascii="宋体" w:hAnsi="宋体"/>
          <w:color w:val="auto"/>
          <w:sz w:val="24"/>
          <w:highlight w:val="none"/>
          <w:lang w:val="zh-CN"/>
        </w:rPr>
      </w:pPr>
      <w:r/>
      <w:bookmarkStart w:id="173" w:name="_Toc16938550"/>
      <w:r/>
      <w:bookmarkStart w:id="174" w:name="_Toc513029234"/>
      <w:r/>
      <w:bookmarkStart w:id="175"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73"/>
      <w:r/>
      <w:bookmarkEnd w:id="174"/>
      <w:r/>
      <w:bookmarkEnd w:id="175"/>
      <w:r>
        <w:rPr>
          <w:rFonts w:hint="eastAsia" w:ascii="方正楷体_GBK" w:hAnsi="方正楷体_GBK" w:eastAsia="方正楷体_GBK" w:cs="方正楷体_GBK"/>
          <w:color w:val="auto"/>
          <w:highlight w:val="none"/>
        </w:rPr>
        <w:t xml:space="preserve">5.无效投标和废标</w:t>
      </w:r>
      <w:r/>
    </w:p>
    <w:p>
      <w:pPr>
        <w:ind w:firstLine="420"/>
        <w:spacing w:line="252" w:lineRule="auto"/>
        <w:rPr>
          <w:rFonts w:ascii="宋体" w:hAnsi="宋体"/>
          <w:color w:val="auto"/>
          <w:sz w:val="24"/>
          <w:highlight w:val="none"/>
          <w:lang w:val="zh-CN"/>
        </w:rPr>
      </w:pPr>
      <w:r/>
      <w:bookmarkStart w:id="176" w:name="_Toc20823307"/>
      <w:r/>
      <w:bookmarkStart w:id="177" w:name="_Toc513029235"/>
      <w:r/>
      <w:bookmarkStart w:id="178" w:name="_Toc16938551"/>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无效投标情形</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不符合招标文件中实质性要求和条件的</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spacing w:line="252" w:lineRule="auto"/>
        <w:rPr>
          <w:rFonts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废标情形</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ind w:firstLine="422"/>
        <w:rPr>
          <w:color w:val="auto"/>
          <w:highlight w:val="none"/>
          <w:lang w:val="zh-CN"/>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应对</w:t>
      </w:r>
      <w:r>
        <w:rPr>
          <w:rFonts w:hint="eastAsia" w:ascii="宋体" w:hAnsi="宋体"/>
          <w:b/>
          <w:bCs/>
          <w:color w:val="auto"/>
          <w:sz w:val="24"/>
          <w:highlight w:val="none"/>
          <w:lang w:val="zh-CN"/>
        </w:rPr>
        <w:t xml:space="preserve">招标文件是否存在不合理条款</w:t>
      </w:r>
      <w:r>
        <w:rPr>
          <w:rFonts w:hint="eastAsia" w:ascii="宋体" w:hAnsi="宋体"/>
          <w:b/>
          <w:bCs/>
          <w:color w:val="auto"/>
          <w:sz w:val="24"/>
          <w:highlight w:val="none"/>
        </w:rPr>
        <w:t xml:space="preserve">进行论证，并在评审报告中写明</w:t>
      </w:r>
      <w:r>
        <w:rPr>
          <w:rFonts w:hint="eastAsia" w:ascii="宋体" w:hAnsi="宋体"/>
          <w:b/>
          <w:bCs/>
          <w:color w:val="auto"/>
          <w:sz w:val="24"/>
          <w:highlight w:val="none"/>
          <w:lang w:val="zh-CN"/>
        </w:rPr>
        <w:t xml:space="preserve">论证意见。</w:t>
      </w:r>
      <w:bookmarkEnd w:id="141"/>
      <w:r/>
      <w:bookmarkEnd w:id="142"/>
      <w:r/>
      <w:bookmarkEnd w:id="143"/>
      <w:r/>
      <w:bookmarkEnd w:id="176"/>
      <w:r/>
      <w:bookmarkEnd w:id="177"/>
      <w:r/>
      <w:bookmarkEnd w:id="178"/>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bookmarkStart w:id="179" w:name="_Toc120614219"/>
      <w:r>
        <w:rPr>
          <w:rFonts w:hint="eastAsia" w:ascii="方正黑体_GBK" w:hAnsi="方正黑体_GBK" w:eastAsia="方正黑体_GBK" w:cs="方正黑体_GBK"/>
          <w:b w:val="0"/>
          <w:bCs w:val="0"/>
          <w:color w:val="auto"/>
          <w:sz w:val="30"/>
          <w:szCs w:val="30"/>
          <w:highlight w:val="none"/>
        </w:rPr>
        <w:t xml:space="preserve">六、定标</w:t>
      </w:r>
      <w:bookmarkEnd w:id="179"/>
      <w:r/>
      <w:r/>
    </w:p>
    <w:p>
      <w:pPr>
        <w:pStyle w:val="979"/>
        <w:ind w:firstLine="420"/>
        <w:spacing w:before="0" w:after="0" w:line="252" w:lineRule="auto"/>
        <w:rPr>
          <w:rFonts w:ascii="方正楷体_GBK" w:hAnsi="方正楷体_GBK" w:eastAsia="方正楷体_GBK" w:cs="方正楷体_GBK"/>
          <w:color w:val="auto"/>
          <w:highlight w:val="none"/>
        </w:rPr>
      </w:pPr>
      <w:r/>
      <w:bookmarkStart w:id="180" w:name="_Toc513029238"/>
      <w:r/>
      <w:bookmarkStart w:id="181" w:name="_Toc20823310"/>
      <w:r/>
      <w:bookmarkStart w:id="182" w:name="_Toc16938554"/>
      <w:r>
        <w:rPr>
          <w:rFonts w:hint="eastAsia" w:ascii="方正楷体_GBK" w:hAnsi="方正楷体_GBK" w:eastAsia="方正楷体_GBK" w:cs="方正楷体_GBK"/>
          <w:color w:val="auto"/>
          <w:highlight w:val="none"/>
        </w:rPr>
        <w:t xml:space="preserve">2</w:t>
      </w:r>
      <w:bookmarkEnd w:id="180"/>
      <w:r>
        <w:rPr>
          <w:rFonts w:hint="eastAsia" w:ascii="方正楷体_GBK" w:hAnsi="方正楷体_GBK" w:eastAsia="方正楷体_GBK" w:cs="方正楷体_GBK"/>
          <w:color w:val="auto"/>
          <w:highlight w:val="none"/>
        </w:rPr>
        <w:t xml:space="preserve">6.确定</w:t>
      </w:r>
      <w:bookmarkEnd w:id="181"/>
      <w:r/>
      <w:bookmarkEnd w:id="182"/>
      <w:r>
        <w:rPr>
          <w:rFonts w:hint="eastAsia" w:ascii="方正楷体_GBK" w:hAnsi="方正楷体_GBK" w:eastAsia="方正楷体_GBK" w:cs="方正楷体_GBK"/>
          <w:color w:val="auto"/>
          <w:highlight w:val="none"/>
        </w:rPr>
        <w:t xml:space="preserve">中标单位</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spacing w:line="252" w:lineRule="auto"/>
        <w:rPr>
          <w:rFonts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26.4.1 提供虚假材料谋取中标。</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26.4.2 向评审专家、采购人或交易中心工作人员行贿或者提供其他不正当利益。</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26.4.3 与其他供应商、评审专家、采购人或交易中心工作人员恶意串通。</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26.4.4 属于本文件规定的无效投标情形，但在评标过程中未被评委会发现。</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26.4.5 采取不正当手段诋毁、排挤其他供应商。</w:t>
      </w:r>
      <w:r/>
    </w:p>
    <w:p>
      <w:pPr>
        <w:ind w:firstLine="420"/>
        <w:spacing w:line="252" w:lineRule="auto"/>
        <w:rPr>
          <w:rFonts w:ascii="宋体" w:hAnsi="宋体"/>
          <w:b/>
          <w:bCs/>
          <w:color w:val="auto"/>
          <w:sz w:val="24"/>
          <w:highlight w:val="none"/>
          <w:lang w:val="zh-CN"/>
        </w:rPr>
      </w:pPr>
      <w:r/>
      <w:bookmarkStart w:id="183"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83"/>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bookmarkStart w:id="184" w:name="_Toc120614220"/>
      <w:r/>
      <w:bookmarkStart w:id="185" w:name="_Toc20823308"/>
      <w:r/>
      <w:bookmarkStart w:id="186" w:name="_Toc16938552"/>
      <w:r/>
      <w:bookmarkStart w:id="187"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84"/>
      <w:r/>
      <w:bookmarkEnd w:id="185"/>
      <w:r/>
      <w:bookmarkEnd w:id="186"/>
      <w:r/>
      <w:bookmarkEnd w:id="187"/>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28.签订合同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28.2 招标文件、中标人的投标文件及招标过程中有关澄清、承诺文件均作为合同附件。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南京市公共资源交易平台网站“小企业融资平台”，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spacing w:line="252" w:lineRule="auto"/>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供应商根据质疑事项向相应的质疑答复主体提出质疑，具体详见招标文件第一章。由采购人负责答复的质疑，采购人将《质疑答复函》抄送交易中心。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36.1 超出政府采购法定期限的质疑；</w:t>
      </w:r>
      <w:r>
        <w:rPr>
          <w:rFonts w:ascii="SimSun" w:hAnsi="SimSun" w:eastAsia="SimSun" w:cs="SimSun"/>
          <w:color w:val="000000"/>
          <w:sz w:val="24"/>
          <w:szCs w:val="24"/>
        </w:rPr>
      </w:r>
    </w:p>
    <w:p>
      <w:pPr>
        <w:ind w:left="0" w:right="0" w:firstLine="420"/>
        <w:jc w:val="both"/>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36.2 </w:t>
      </w:r>
      <w:r>
        <w:rPr>
          <w:rFonts w:ascii="SimSun" w:hAnsi="SimSun" w:eastAsia="SimSun" w:cs="SimSun"/>
          <w:color w:val="000000"/>
          <w:sz w:val="24"/>
          <w:szCs w:val="24"/>
        </w:rPr>
        <w:t xml:space="preserve">属于第33条规定的对同一采购程序环节提出的多次质疑；</w:t>
      </w:r>
      <w:r>
        <w:rPr>
          <w:rFonts w:ascii="SimSun" w:hAnsi="SimSun" w:eastAsia="SimSun" w:cs="SimSun"/>
          <w:color w:val="000000"/>
          <w:sz w:val="24"/>
          <w:szCs w:val="24"/>
        </w:rPr>
      </w:r>
      <w:r>
        <w:rPr>
          <w:rFonts w:ascii="SimSun" w:hAnsi="SimSun" w:eastAsia="SimSun" w:cs="SimSun"/>
          <w:color w:val="000000"/>
          <w:sz w:val="24"/>
          <w:szCs w:val="24"/>
        </w:rPr>
      </w:r>
      <w:r>
        <w:rPr>
          <w:rFonts w:ascii="SimSun" w:hAnsi="SimSun" w:eastAsia="SimSun" w:cs="SimSun"/>
          <w:color w:val="000000"/>
          <w:sz w:val="24"/>
          <w:szCs w:val="24"/>
        </w:rPr>
      </w:r>
      <w:r>
        <w:rPr>
          <w:rFonts w:ascii="SimSun" w:hAnsi="SimSun" w:eastAsia="SimSun" w:cs="SimSun"/>
          <w:color w:val="000000"/>
          <w:sz w:val="24"/>
          <w:szCs w:val="24"/>
        </w:rPr>
      </w:r>
      <w:r>
        <w:rPr>
          <w:rFonts w:ascii="SimSun" w:hAnsi="SimSun" w:eastAsia="SimSun" w:cs="SimSun"/>
          <w:color w:val="000000"/>
          <w:sz w:val="24"/>
          <w:szCs w:val="24"/>
          <w14:ligatures w14:val="none"/>
        </w:rPr>
      </w:r>
    </w:p>
    <w:p>
      <w:pPr>
        <w:ind w:left="0" w:right="0" w:firstLine="420"/>
        <w:jc w:val="both"/>
        <w:spacing w:before="0" w:after="0"/>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36.3 法律法规规定的其他不予受理情形。</w:t>
      </w:r>
      <w:r>
        <w:rPr>
          <w:rFonts w:ascii="SimSun" w:hAnsi="SimSun" w:eastAsia="SimSun" w:cs="SimSun"/>
          <w:color w:val="000000"/>
          <w:sz w:val="24"/>
          <w:szCs w:val="24"/>
        </w:rPr>
      </w:r>
      <w:r>
        <w:rPr>
          <w:rFonts w:ascii="SimSun" w:hAnsi="SimSun" w:eastAsia="SimSun" w:cs="SimSun"/>
          <w:color w:val="000000"/>
          <w:sz w:val="24"/>
          <w:szCs w:val="24"/>
        </w:rP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78"/>
        <w:ind w:firstLine="465"/>
        <w:spacing w:before="145" w:after="145" w:line="252"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979"/>
        <w:ind w:firstLine="420"/>
        <w:spacing w:before="0" w:after="0" w:line="252"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本项目服务由中小企业承接的，投标供应商享受中小企业扶持政策。</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spacing w:line="252" w:lineRule="auto"/>
        <w:widowControl/>
        <w:rPr>
          <w:rFonts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979"/>
        <w:ind w:firstLine="420"/>
        <w:spacing w:before="0" w:after="0" w:line="252"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86"/>
        <w:ind w:firstLine="422"/>
        <w:spacing w:before="0" w:after="0"/>
        <w:rPr>
          <w:rFonts w:ascii="方正楷体_GBK" w:hAnsi="方正楷体_GBK" w:eastAsia="方正楷体_GBK" w:cs="方正楷体_GBK"/>
          <w:color w:val="auto"/>
          <w:sz w:val="28"/>
          <w:szCs w:val="28"/>
          <w:highlight w:val="none"/>
          <w:lang w:val="zh-CN"/>
        </w:rPr>
      </w:pPr>
      <w:r>
        <w:rPr>
          <w:rFonts w:hint="eastAsia" w:ascii="方正楷体_GBK" w:hAnsi="方正楷体_GBK" w:eastAsia="方正楷体_GBK" w:cs="方正楷体_GBK"/>
          <w:color w:val="auto"/>
          <w:sz w:val="28"/>
          <w:highlight w:val="none"/>
          <w:lang w:val="zh-CN"/>
        </w:rPr>
        <w:t xml:space="preserve">43.</w:t>
      </w:r>
      <w:r>
        <w:rPr>
          <w:rFonts w:hint="eastAsia" w:ascii="方正楷体_GBK" w:hAnsi="方正楷体_GBK" w:eastAsia="方正楷体_GBK" w:cs="方正楷体_GBK"/>
          <w:color w:val="auto"/>
          <w:sz w:val="28"/>
          <w:szCs w:val="28"/>
          <w:highlight w:val="none"/>
          <w:lang w:val="zh-CN"/>
        </w:rPr>
        <w:t xml:space="preserve">实施本国产品标准及相关政策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ascii="宋体" w:hAnsi="宋体"/>
          <w:color w:val="auto"/>
          <w:sz w:val="24"/>
          <w:szCs w:val="22"/>
          <w:highlight w:val="none"/>
          <w:lang w:val="zh-CN"/>
        </w:rPr>
      </w:pPr>
      <w:r>
        <w:rPr>
          <w:rFonts w:hint="eastAsia" w:ascii="宋体" w:hAnsi="宋体"/>
          <w:color w:val="auto"/>
          <w:sz w:val="24"/>
          <w:highlight w:val="none"/>
          <w:lang w:val="zh-CN"/>
        </w:rPr>
        <w:t xml:space="preserve">43.2</w:t>
      </w:r>
      <w:r>
        <w:rPr>
          <w:rFonts w:hint="eastAsia" w:ascii="宋体" w:hAnsi="宋体"/>
          <w:color w:val="auto"/>
          <w:sz w:val="24"/>
          <w:szCs w:val="22"/>
          <w:highlight w:val="none"/>
          <w:lang w:val="zh-CN"/>
        </w:rPr>
        <w:t xml:space="preserve">本国产品应当符合以下条件：</w:t>
      </w:r>
      <w:r/>
    </w:p>
    <w:p>
      <w:pPr>
        <w:ind w:firstLine="420"/>
        <w:rPr>
          <w:rFonts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auto"/>
          <w:highlight w:val="none"/>
        </w:rPr>
      </w:pPr>
      <w:r>
        <w:rPr>
          <w:rFonts w:hint="eastAsia" w:ascii="宋体" w:hAnsi="宋体"/>
          <w:color w:val="auto"/>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olor w:val="auto"/>
          <w:sz w:val="24"/>
          <w:highlight w:val="none"/>
          <w:lang w:val="zh-CN"/>
        </w:rPr>
      </w:pPr>
      <w:r>
        <w:rPr>
          <w:rFonts w:ascii="宋体" w:hAnsi="宋体"/>
          <w:color w:val="auto"/>
          <w:sz w:val="24"/>
          <w:highlight w:val="none"/>
          <w:lang w:val="zh-CN"/>
        </w:rPr>
      </w:r>
      <w:r/>
    </w:p>
    <w:p>
      <w:pPr>
        <w:pStyle w:val="1048"/>
        <w:ind w:left="0"/>
        <w:jc w:val="center"/>
        <w:tabs>
          <w:tab w:val="left" w:pos="463" w:leader="none"/>
        </w:tabs>
        <w:rPr>
          <w:rFonts w:ascii="方正小标宋简体" w:hAnsi="方正小标宋简体" w:eastAsia="方正小标宋简体" w:cs="方正小标宋简体"/>
          <w:color w:val="auto"/>
          <w:sz w:val="36"/>
          <w:szCs w:val="36"/>
          <w:highlight w:val="none"/>
          <w:lang w:val="en-US"/>
        </w:rPr>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auto"/>
          <w:sz w:val="36"/>
          <w:szCs w:val="36"/>
          <w:highlight w:val="none"/>
          <w:lang w:val="en-US"/>
        </w:rPr>
        <w:t xml:space="preserve">文本</w:t>
      </w:r>
      <w:r/>
    </w:p>
    <w:p>
      <w:pPr>
        <w:jc w:val="center"/>
        <w:spacing w:before="145" w:after="145"/>
        <w:rPr>
          <w:rFonts w:ascii="宋体" w:hAnsi="宋体"/>
          <w:bCs/>
          <w:color w:val="auto"/>
          <w:sz w:val="24"/>
          <w:highlight w:val="none"/>
        </w:rPr>
        <w:outlineLvl w:val="0"/>
      </w:pPr>
      <w:r/>
      <w:bookmarkStart w:id="188" w:name="_Toc513029243"/>
      <w:r/>
      <w:bookmarkStart w:id="189" w:name="_Toc20823315"/>
      <w:r/>
      <w:bookmarkStart w:id="190" w:name="_Toc16938559"/>
      <w:r>
        <w:rPr>
          <w:rFonts w:hint="eastAsia" w:ascii="宋体" w:hAnsi="宋体"/>
          <w:bCs/>
          <w:color w:val="auto"/>
          <w:sz w:val="24"/>
          <w:highlight w:val="none"/>
        </w:rPr>
        <w:t xml:space="preserve">以下为本项目的合同条款，合同双方不得对招标、投标文件内容作实质性修改。</w:t>
      </w:r>
      <w:r/>
    </w:p>
    <w:p>
      <w:pPr>
        <w:pStyle w:val="1048"/>
        <w:ind w:left="0"/>
        <w:rPr>
          <w:color w:val="auto"/>
          <w:highlight w:val="none"/>
        </w:rPr>
      </w:pPr>
      <w:r>
        <w:rPr>
          <w:color w:val="auto"/>
          <w:highlight w:val="none"/>
        </w:rPr>
      </w:r>
      <w:r/>
    </w:p>
    <w:p>
      <w:pPr>
        <w:jc w:val="center"/>
        <w:spacing w:before="145" w:after="145"/>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合同编号：</w:t>
      </w:r>
      <w:r/>
    </w:p>
    <w:p>
      <w:pPr>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                                       项目编号：</w:t>
      </w:r>
      <w:r/>
    </w:p>
    <w:p>
      <w:pPr>
        <w:jc w:val="left"/>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甲方（买方）：</w:t>
      </w:r>
      <w:r/>
    </w:p>
    <w:p>
      <w:pPr>
        <w:jc w:val="left"/>
        <w:spacing w:before="145" w:after="145"/>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乙方（卖方）：</w:t>
      </w:r>
      <w:r/>
    </w:p>
    <w:p>
      <w:pPr>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rFonts w:hint="eastAsia" w:ascii="宋体" w:hAnsi="宋体" w:cs="Courier New"/>
          <w:color w:val="auto"/>
          <w:sz w:val="24"/>
          <w:szCs w:val="24"/>
          <w:highlight w:val="none"/>
        </w:rPr>
        <w:t xml:space="preserve">按招标文件及投标文件执行。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rPr>
          <w:rFonts w:hint="eastAsia" w:ascii="宋体" w:hAnsi="宋体" w:cs="Courier New"/>
          <w:color w:val="auto"/>
          <w:sz w:val="24"/>
          <w:szCs w:val="24"/>
          <w:highlight w:val="none"/>
        </w:rPr>
        <w:t xml:space="preserve">按招标文件及投标文件执行。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w:t>
      </w:r>
      <w:r>
        <w:rPr>
          <w:rFonts w:hint="eastAsia" w:ascii="宋体" w:hAnsi="宋体" w:cs="Courier New"/>
          <w:color w:val="auto"/>
          <w:sz w:val="24"/>
          <w:szCs w:val="24"/>
          <w:highlight w:val="none"/>
        </w:rPr>
        <w:t xml:space="preserve">甲方指定地点。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rPr>
          <w:rFonts w:hint="eastAsia" w:ascii="宋体" w:hAnsi="宋体" w:cs="Courier New"/>
          <w:color w:val="auto"/>
          <w:sz w:val="24"/>
          <w:szCs w:val="24"/>
          <w:highlight w:val="none"/>
        </w:rPr>
        <w:t xml:space="preserve">按招标文件及投标文件执行。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w:t>
      </w:r>
      <w:r>
        <w:rPr>
          <w:rFonts w:hint="eastAsia" w:ascii="宋体" w:hAnsi="宋体" w:cs="Courier New"/>
          <w:color w:val="auto"/>
          <w:sz w:val="24"/>
          <w:szCs w:val="24"/>
          <w:highlight w:val="none"/>
        </w:rPr>
        <w:t xml:space="preserve">按招标文件及投标文件执行。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012"/>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w:t>
      </w:r>
      <w:r>
        <w:rPr>
          <w:rFonts w:hint="eastAsia" w:ascii="宋体" w:hAnsi="宋体" w:cs="Courier New"/>
          <w:color w:val="auto"/>
          <w:sz w:val="24"/>
          <w:szCs w:val="24"/>
          <w:highlight w:val="none"/>
        </w:rPr>
        <w:t xml:space="preserve"> 签订合同时，乙方按照合同金额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u w:val="single"/>
        </w:rPr>
        <w:t xml:space="preserve">10</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%缴纳履约保证金。合同履行结束后，甲方按以下约定退还：</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w:t>
      </w:r>
      <w:r>
        <w:rPr>
          <w:rFonts w:hint="eastAsia" w:ascii="宋体" w:hAnsi="宋体" w:cs="Courier New"/>
          <w:color w:val="auto"/>
          <w:sz w:val="24"/>
          <w:szCs w:val="24"/>
          <w:highlight w:val="none"/>
        </w:rPr>
        <w:t xml:space="preserve"> 退还时间及条件：验收合格且合同履行期结束后5个工作日内。</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6.1.2</w:t>
      </w:r>
      <w:r>
        <w:rPr>
          <w:rFonts w:hint="eastAsia" w:ascii="宋体" w:hAnsi="宋体" w:cs="Courier New"/>
          <w:color w:val="auto"/>
          <w:sz w:val="24"/>
          <w:szCs w:val="24"/>
          <w:highlight w:val="none"/>
        </w:rPr>
        <w:t xml:space="preserve"> 退还方式：扣除违约费用后一次性无息退还。</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w:t>
      </w:r>
      <w:r>
        <w:rPr>
          <w:rFonts w:hint="eastAsia" w:ascii="宋体" w:hAnsi="宋体" w:cs="Courier New"/>
          <w:color w:val="auto"/>
          <w:sz w:val="24"/>
          <w:szCs w:val="24"/>
          <w:highlight w:val="none"/>
        </w:rPr>
        <w:t xml:space="preserve"> 不予退还的情形：合同约定的交付期内未履约完成、验收不合格、整改不到位等情形。</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6.1.4</w:t>
      </w:r>
      <w:r>
        <w:rPr>
          <w:rFonts w:hint="eastAsia" w:ascii="宋体" w:hAnsi="宋体" w:cs="Courier New"/>
          <w:color w:val="auto"/>
          <w:sz w:val="24"/>
          <w:szCs w:val="24"/>
          <w:highlight w:val="none"/>
        </w:rPr>
        <w:t xml:space="preserve">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1012"/>
        <w:rPr>
          <w:rFonts w:hAnsi="宋体"/>
          <w:color w:val="auto"/>
          <w:sz w:val="24"/>
          <w:szCs w:val="24"/>
          <w:highlight w:val="none"/>
        </w:rPr>
      </w:pPr>
      <w:r>
        <w:rPr>
          <w:rFonts w:hint="eastAsia" w:hAnsi="宋体"/>
          <w:color w:val="auto"/>
          <w:sz w:val="24"/>
          <w:szCs w:val="24"/>
          <w:highlight w:val="none"/>
        </w:rPr>
        <w:t xml:space="preserve">8.1 合同款项的支付方式及时间</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8.1.1</w:t>
      </w:r>
      <w:r>
        <w:rPr>
          <w:rFonts w:hint="eastAsia" w:ascii="宋体" w:hAnsi="宋体" w:cs="Courier New"/>
          <w:color w:val="auto"/>
          <w:sz w:val="24"/>
          <w:szCs w:val="24"/>
          <w:highlight w:val="none"/>
        </w:rPr>
        <w:t xml:space="preserve"> 合同签订且服务团队人员到位后，甲方支付合同总价款的</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0%作为预付款。</w:t>
      </w:r>
      <w:r/>
    </w:p>
    <w:p>
      <w:pPr>
        <w:pStyle w:val="1012"/>
        <w:spacing w:line="264" w:lineRule="auto"/>
        <w:rPr>
          <w:rFonts w:hAnsi="宋体"/>
          <w:color w:val="auto"/>
          <w:sz w:val="24"/>
          <w:szCs w:val="24"/>
          <w:highlight w:val="none"/>
        </w:rPr>
      </w:pPr>
      <w:r>
        <w:rPr>
          <w:rFonts w:hint="eastAsia" w:hAnsi="宋体"/>
          <w:color w:val="auto"/>
          <w:sz w:val="24"/>
          <w:szCs w:val="24"/>
          <w:highlight w:val="none"/>
        </w:rPr>
        <w:t xml:space="preserve">8.1.2</w:t>
      </w:r>
      <w:r>
        <w:rPr>
          <w:rFonts w:hint="eastAsia" w:hAnsi="宋体"/>
          <w:color w:val="auto"/>
          <w:sz w:val="24"/>
          <w:szCs w:val="24"/>
          <w:highlight w:val="none"/>
        </w:rPr>
        <w:t xml:space="preserve"> 系统开发完成并验收合格后，甲方支付合同总价款的</w:t>
      </w:r>
      <w:r>
        <w:rPr>
          <w:rFonts w:hAnsi="宋体"/>
          <w:color w:val="auto"/>
          <w:sz w:val="24"/>
          <w:szCs w:val="24"/>
          <w:highlight w:val="none"/>
        </w:rPr>
        <w:t xml:space="preserve">7</w:t>
      </w:r>
      <w:r>
        <w:rPr>
          <w:rFonts w:hint="eastAsia" w:hAnsi="宋体"/>
          <w:color w:val="auto"/>
          <w:sz w:val="24"/>
          <w:szCs w:val="24"/>
          <w:highlight w:val="none"/>
        </w:rPr>
        <w:t xml:space="preserve">0%。</w:t>
      </w:r>
      <w:r/>
    </w:p>
    <w:p>
      <w:pPr>
        <w:pStyle w:val="1012"/>
        <w:spacing w:line="264" w:lineRule="auto"/>
        <w:rPr>
          <w:color w:val="auto"/>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1012"/>
        <w:rPr>
          <w:rFonts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rPr>
          <w:color w:val="auto"/>
          <w:highlight w:val="none"/>
        </w:rPr>
      </w:pPr>
      <w:r>
        <w:rPr>
          <w:rFonts w:hint="eastAsia" w:ascii="宋体" w:hAnsi="宋体" w:cs="Courier New"/>
          <w:color w:val="auto"/>
          <w:sz w:val="24"/>
          <w:szCs w:val="24"/>
          <w:highlight w:val="none"/>
        </w:rPr>
        <w:t xml:space="preserve">10.4 如有必要，甲方可邀请参加本项目投标的其他供应商或第三方专业机构及专家参与验收，相关意见将作为验收结论的参考。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十一、违约责任</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w:t>
      </w:r>
      <w:r>
        <w:rPr>
          <w:rFonts w:hint="eastAsia" w:ascii="宋体" w:hAnsi="宋体" w:cs="Courier New"/>
          <w:color w:val="auto"/>
          <w:sz w:val="24"/>
          <w:szCs w:val="24"/>
          <w:highlight w:val="none"/>
        </w:rPr>
        <w:t xml:space="preserve">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w:t>
      </w:r>
      <w:r>
        <w:rPr>
          <w:rFonts w:hint="eastAsia" w:ascii="宋体" w:hAnsi="宋体" w:cs="Courier New"/>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auto"/>
          <w:sz w:val="24"/>
          <w:szCs w:val="24"/>
          <w:highlight w:val="none"/>
        </w:rPr>
        <w:t xml:space="preserve">，应向甲方支付合同总额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乙方所提供服务的标准不符合合同规定及招标文件规定标准的，甲方有权拒绝接受服务，并可单方面解除合同。</w:t>
      </w:r>
      <w:r/>
    </w:p>
    <w:p>
      <w:pPr>
        <w:rPr>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1012"/>
        <w:spacing w:before="120" w:after="120"/>
        <w:rPr>
          <w:rFonts w:hAnsi="宋体"/>
          <w:color w:val="auto"/>
          <w:sz w:val="24"/>
          <w:szCs w:val="24"/>
          <w:highlight w:val="none"/>
        </w:rPr>
      </w:pPr>
      <w:r>
        <w:rPr>
          <w:rFonts w:hint="eastAsia" w:hAnsi="宋体"/>
          <w:color w:val="auto"/>
          <w:sz w:val="24"/>
          <w:szCs w:val="24"/>
          <w:highlight w:val="none"/>
        </w:rPr>
        <w:t xml:space="preserve">  </w:t>
      </w:r>
      <w:bookmarkEnd w:id="188"/>
      <w:r/>
      <w:bookmarkEnd w:id="189"/>
      <w:r/>
      <w:bookmarkEnd w:id="190"/>
      <w:r/>
      <w:r/>
    </w:p>
    <w:p>
      <w:pPr>
        <w:pStyle w:val="1012"/>
        <w:ind w:firstLine="240"/>
        <w:spacing w:before="120" w:after="120"/>
        <w:rPr>
          <w:rFonts w:hAnsi="宋体"/>
          <w:color w:val="auto"/>
          <w:sz w:val="24"/>
          <w:szCs w:val="24"/>
          <w:highlight w:val="none"/>
        </w:rPr>
      </w:pPr>
      <w:r>
        <w:rPr>
          <w:rFonts w:hint="eastAsia" w:hAnsi="宋体"/>
          <w:color w:val="auto"/>
          <w:sz w:val="24"/>
          <w:szCs w:val="24"/>
          <w:highlight w:val="none"/>
        </w:rPr>
        <w:t xml:space="preserve">甲方：（公章）                       乙方：（公章） </w:t>
      </w:r>
      <w:r/>
    </w:p>
    <w:p>
      <w:pPr>
        <w:pStyle w:val="1012"/>
        <w:spacing w:before="120" w:after="120"/>
        <w:rPr>
          <w:rFonts w:hAnsi="宋体"/>
          <w:color w:val="auto"/>
          <w:sz w:val="24"/>
          <w:szCs w:val="24"/>
          <w:highlight w:val="none"/>
        </w:rPr>
      </w:pPr>
      <w:r>
        <w:rPr>
          <w:rFonts w:hint="eastAsia" w:hAnsi="宋体"/>
          <w:color w:val="auto"/>
          <w:sz w:val="24"/>
          <w:szCs w:val="24"/>
          <w:highlight w:val="none"/>
        </w:rPr>
        <w:t xml:space="preserve">  地址：                               地址： </w:t>
      </w:r>
      <w:r/>
    </w:p>
    <w:p>
      <w:pPr>
        <w:pStyle w:val="1012"/>
        <w:spacing w:before="120" w:after="120"/>
        <w:rPr>
          <w:rFonts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1012"/>
        <w:ind w:firstLine="240"/>
        <w:spacing w:before="120" w:after="120"/>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1012"/>
        <w:spacing w:before="120" w:after="120"/>
        <w:rPr>
          <w:rFonts w:hAnsi="宋体"/>
          <w:color w:val="auto"/>
          <w:sz w:val="24"/>
          <w:szCs w:val="24"/>
          <w:highlight w:val="none"/>
        </w:rPr>
      </w:pPr>
      <w:r>
        <w:rPr>
          <w:rFonts w:hint="eastAsia" w:hAnsi="宋体"/>
          <w:color w:val="auto"/>
          <w:sz w:val="24"/>
          <w:szCs w:val="24"/>
          <w:highlight w:val="none"/>
        </w:rPr>
        <w:t xml:space="preserve">                                          </w:t>
      </w:r>
      <w:r/>
    </w:p>
    <w:p>
      <w:pPr>
        <w:pStyle w:val="1012"/>
        <w:ind w:firstLine="5280"/>
        <w:spacing w:before="120" w:after="120"/>
        <w:rPr>
          <w:rFonts w:hAnsi="宋体"/>
          <w:color w:val="auto"/>
          <w:sz w:val="24"/>
          <w:szCs w:val="24"/>
          <w:highlight w:val="none"/>
        </w:rPr>
      </w:pPr>
      <w:r>
        <w:rPr>
          <w:rFonts w:hint="eastAsia" w:hAnsi="宋体"/>
          <w:color w:val="auto"/>
          <w:sz w:val="24"/>
          <w:szCs w:val="24"/>
          <w:highlight w:val="none"/>
        </w:rPr>
        <w:t xml:space="preserve">签订日期：</w:t>
      </w:r>
      <w:r/>
    </w:p>
    <w:p>
      <w:pPr>
        <w:pStyle w:val="1012"/>
        <w:ind w:firstLine="4800"/>
        <w:spacing w:before="120" w:after="120"/>
        <w:rPr>
          <w:rFonts w:hAnsi="宋体"/>
          <w:color w:val="auto"/>
          <w:sz w:val="24"/>
          <w:szCs w:val="24"/>
          <w:highlight w:val="none"/>
        </w:rPr>
      </w:pPr>
      <w:r>
        <w:rPr>
          <w:rFonts w:hAnsi="宋体"/>
          <w:color w:val="auto"/>
          <w:sz w:val="24"/>
          <w:szCs w:val="24"/>
          <w:highlight w:val="none"/>
        </w:rPr>
      </w:r>
      <w:r/>
    </w:p>
    <w:p>
      <w:pPr>
        <w:jc w:val="center"/>
        <w:spacing w:before="145" w:after="145"/>
        <w:rPr>
          <w:rFonts w:ascii="宋体" w:hAnsi="宋体"/>
          <w:b/>
          <w:color w:val="auto"/>
          <w:sz w:val="30"/>
          <w:highlight w:val="none"/>
        </w:rPr>
        <w:outlineLvl w:val="0"/>
      </w:pPr>
      <w:r>
        <w:rPr>
          <w:rFonts w:ascii="宋体" w:hAnsi="宋体"/>
          <w:b/>
          <w:color w:val="auto"/>
          <w:sz w:val="30"/>
          <w:highlight w:val="none"/>
        </w:rPr>
      </w:r>
      <w:r/>
    </w:p>
    <w:p>
      <w:pPr>
        <w:jc w:val="center"/>
        <w:spacing w:before="145" w:after="145"/>
        <w:rPr>
          <w:rFonts w:ascii="宋体" w:hAnsi="宋体"/>
          <w:b/>
          <w:color w:val="auto"/>
          <w:sz w:val="30"/>
          <w:highlight w:val="none"/>
        </w:rPr>
        <w:outlineLvl w:val="0"/>
      </w:pPr>
      <w:r>
        <w:rPr>
          <w:rFonts w:hint="eastAsia" w:ascii="宋体" w:hAnsi="宋体"/>
          <w:b/>
          <w:color w:val="auto"/>
          <w:sz w:val="30"/>
          <w:highlight w:val="none"/>
        </w:rPr>
        <w:t xml:space="preserve">《*******合同》补充协议（合同附件）</w:t>
      </w:r>
      <w:r/>
    </w:p>
    <w:p>
      <w:pPr>
        <w:pStyle w:val="1012"/>
        <w:ind w:firstLine="840"/>
        <w:jc w:val="left"/>
        <w:spacing w:before="120" w:after="120"/>
        <w:rPr>
          <w:rFonts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1012"/>
        <w:ind w:firstLine="840"/>
        <w:jc w:val="left"/>
        <w:spacing w:before="120" w:after="120"/>
        <w:rPr>
          <w:rFonts w:hAnsi="宋体"/>
          <w:color w:val="auto"/>
          <w:sz w:val="24"/>
          <w:szCs w:val="24"/>
          <w:highlight w:val="none"/>
        </w:rPr>
      </w:pPr>
      <w:r>
        <w:rPr>
          <w:rFonts w:hAnsi="宋体"/>
          <w:color w:val="auto"/>
          <w:sz w:val="24"/>
          <w:szCs w:val="24"/>
          <w:highlight w:val="none"/>
        </w:rPr>
      </w:r>
      <w:r/>
    </w:p>
    <w:p>
      <w:pPr>
        <w:pStyle w:val="1091"/>
        <w:jc w:val="center"/>
        <w:spacing w:before="120" w:after="120" w:line="0" w:lineRule="atLeast"/>
        <w:rPr>
          <w:rFonts w:ascii="方正小标宋简体" w:hAnsi="方正小标宋简体" w:eastAsia="方正小标宋简体" w:cs="方正小标宋简体"/>
          <w:color w:val="auto"/>
          <w:sz w:val="36"/>
          <w:szCs w:val="36"/>
          <w:highlight w:val="none"/>
        </w:rPr>
      </w:pPr>
      <w:r>
        <w:rPr>
          <w:rFonts w:hint="eastAsia" w:hAnsi="宋体"/>
          <w:color w:val="auto"/>
          <w:sz w:val="24"/>
          <w:szCs w:val="24"/>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42"/>
      <w:r>
        <w:rPr>
          <w:rFonts w:hint="eastAsia" w:ascii="方正小标宋简体" w:hAnsi="方正小标宋简体" w:eastAsia="方正小标宋简体" w:cs="方正小标宋简体"/>
          <w:color w:val="auto"/>
          <w:sz w:val="36"/>
          <w:szCs w:val="36"/>
          <w:highlight w:val="none"/>
        </w:rPr>
        <w:t xml:space="preserve">四章  采购需求</w:t>
      </w:r>
      <w:bookmarkEnd w:id="43"/>
      <w:r/>
      <w:bookmarkEnd w:id="44"/>
      <w:r/>
      <w:bookmarkEnd w:id="45"/>
      <w:r/>
      <w:r/>
    </w:p>
    <w:p>
      <w:pPr>
        <w:ind w:firstLine="480"/>
        <w:spacing w:line="264" w:lineRule="auto"/>
        <w:rPr>
          <w:rFonts w:ascii="黑体" w:hAnsi="黑体" w:eastAsia="黑体" w:cs="黑体"/>
          <w:color w:val="auto"/>
          <w:sz w:val="24"/>
          <w:szCs w:val="24"/>
          <w:highlight w:val="none"/>
        </w:rPr>
      </w:pPr>
      <w:r/>
      <w:bookmarkStart w:id="191" w:name="_Toc26554093"/>
      <w:r/>
      <w:bookmarkStart w:id="192" w:name="_Toc49090575"/>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服务类项目。</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南京鼓楼医院已形成紧密型的医教结合的医联体，本次采购系统旨在促进南京鼓楼医院多院区及医联体单位之间教学活动的开展，加强医联体单位之间的互动性，带领医联体单位一起学习，提升诊断能力。</w:t>
      </w:r>
      <w:r/>
    </w:p>
    <w:p>
      <w:pPr>
        <w:ind w:firstLine="480"/>
        <w:spacing w:line="264" w:lineRule="auto"/>
        <w:rPr>
          <w:rFonts w:ascii="宋体" w:hAnsi="宋体" w:cs="宋体"/>
          <w:bCs/>
          <w:color w:val="auto"/>
          <w:sz w:val="24"/>
          <w:szCs w:val="24"/>
          <w:highlight w:val="none"/>
        </w:rPr>
      </w:pPr>
      <w:r>
        <w:rPr>
          <w:rFonts w:hint="eastAsia" w:ascii="黑体" w:hAnsi="黑体" w:eastAsia="黑体" w:cs="黑体"/>
          <w:color w:val="auto"/>
          <w:sz w:val="24"/>
          <w:szCs w:val="24"/>
          <w:highlight w:val="none"/>
        </w:rPr>
        <w:t xml:space="preserve">（二）项目建设遵循标准</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tbl>
      <w:tblPr>
        <w:tblStyle w:val="793"/>
        <w:tblW w:w="5118"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7"/>
        <w:gridCol w:w="1678"/>
        <w:gridCol w:w="612"/>
        <w:gridCol w:w="650"/>
        <w:gridCol w:w="1488"/>
        <w:gridCol w:w="1034"/>
        <w:gridCol w:w="2609"/>
        <w:gridCol w:w="1404"/>
      </w:tblGrid>
      <w:tr>
        <w:trPr>
          <w:trHeight w:val="702"/>
        </w:trPr>
        <w:tc>
          <w:tcPr>
            <w:tcBorders>
              <w:top w:val="single" w:color="000000" w:sz="2" w:space="0"/>
              <w:bottom w:val="single" w:color="000000" w:sz="2" w:space="0"/>
            </w:tcBorders>
            <w:tcW w:w="259"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2" w:space="0"/>
              <w:bottom w:val="single" w:color="000000" w:sz="2" w:space="0"/>
            </w:tcBorders>
            <w:tcW w:w="839"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分项名称</w:t>
            </w:r>
            <w:r/>
          </w:p>
        </w:tc>
        <w:tc>
          <w:tcPr>
            <w:tcBorders>
              <w:top w:val="single" w:color="000000" w:sz="2" w:space="0"/>
              <w:bottom w:val="single" w:color="000000" w:sz="2" w:space="0"/>
            </w:tcBorders>
            <w:tcW w:w="306"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数量</w:t>
            </w:r>
            <w:r/>
          </w:p>
        </w:tc>
        <w:tc>
          <w:tcPr>
            <w:tcBorders>
              <w:top w:val="single" w:color="000000" w:sz="2" w:space="0"/>
              <w:bottom w:val="single" w:color="000000" w:sz="2" w:space="0"/>
            </w:tcBorders>
            <w:tcW w:w="325"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w:t>
            </w:r>
            <w:r/>
          </w:p>
        </w:tc>
        <w:tc>
          <w:tcPr>
            <w:tcBorders>
              <w:top w:val="single" w:color="000000" w:sz="2" w:space="0"/>
              <w:bottom w:val="single" w:color="000000" w:sz="2" w:space="0"/>
            </w:tcBorders>
            <w:tcW w:w="744"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产品类型</w:t>
            </w:r>
            <w:r/>
          </w:p>
        </w:tc>
        <w:tc>
          <w:tcPr>
            <w:tcBorders>
              <w:top w:val="single" w:color="000000" w:sz="2" w:space="0"/>
              <w:bottom w:val="single" w:color="000000" w:sz="2" w:space="0"/>
            </w:tcBorders>
            <w:tcW w:w="517" w:type="pct"/>
            <w:vAlign w:val="center"/>
            <w:textDirection w:val="lrTb"/>
            <w:noWrap w:val="false"/>
          </w:tcPr>
          <w:p>
            <w:pPr>
              <w:jc w:val="center"/>
              <w:spacing w:line="264" w:lineRule="auto"/>
              <w:rPr>
                <w:color w:val="auto"/>
                <w:highlight w:val="none"/>
              </w:rPr>
            </w:pPr>
            <w:r>
              <w:rPr>
                <w:rFonts w:hint="eastAsia"/>
                <w:color w:val="auto"/>
                <w:highlight w:val="none"/>
              </w:rPr>
              <w:t xml:space="preserve">单价上限</w:t>
            </w:r>
            <w:r/>
          </w:p>
          <w:p>
            <w:pPr>
              <w:pStyle w:val="824"/>
              <w:ind w:firstLine="0"/>
              <w:jc w:val="center"/>
              <w:spacing w:line="400" w:lineRule="exact"/>
              <w:rPr>
                <w:color w:val="auto"/>
                <w:highlight w:val="none"/>
              </w:rPr>
            </w:pPr>
            <w:r>
              <w:rPr>
                <w:rFonts w:hint="eastAsia"/>
                <w:bCs/>
                <w:color w:val="auto"/>
                <w:sz w:val="24"/>
                <w:szCs w:val="24"/>
                <w:highlight w:val="none"/>
              </w:rPr>
              <w:t xml:space="preserve">（元）</w:t>
            </w:r>
            <w:r/>
          </w:p>
        </w:tc>
        <w:tc>
          <w:tcPr>
            <w:tcBorders>
              <w:top w:val="single" w:color="000000" w:sz="2" w:space="0"/>
              <w:bottom w:val="single" w:color="000000" w:sz="2" w:space="0"/>
            </w:tcBorders>
            <w:tcW w:w="1305"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所属行业</w:t>
            </w:r>
            <w:r/>
          </w:p>
        </w:tc>
        <w:tc>
          <w:tcPr>
            <w:tcBorders>
              <w:top w:val="single" w:color="000000" w:sz="2" w:space="0"/>
              <w:bottom w:val="single" w:color="000000" w:sz="2" w:space="0"/>
            </w:tcBorders>
            <w:tcW w:w="702"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属性</w:t>
            </w:r>
            <w:r/>
          </w:p>
        </w:tc>
      </w:tr>
      <w:tr>
        <w:trPr>
          <w:trHeight w:val="687"/>
        </w:trPr>
        <w:tc>
          <w:tcPr>
            <w:tcBorders>
              <w:top w:val="single" w:color="000000" w:sz="2" w:space="0"/>
              <w:bottom w:val="single" w:color="000000" w:sz="2" w:space="0"/>
            </w:tcBorders>
            <w:tcW w:w="259"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2" w:space="0"/>
              <w:bottom w:val="single" w:color="000000" w:sz="2" w:space="0"/>
            </w:tcBorders>
            <w:tcW w:w="839" w:type="pct"/>
            <w:vAlign w:val="center"/>
            <w:textDirection w:val="lrTb"/>
            <w:noWrap w:val="false"/>
          </w:tcPr>
          <w:p>
            <w:pPr>
              <w:spacing w:line="264"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跨院区影像协同系统</w:t>
            </w:r>
            <w:r/>
          </w:p>
        </w:tc>
        <w:tc>
          <w:tcPr>
            <w:tcBorders>
              <w:top w:val="single" w:color="000000" w:sz="2" w:space="0"/>
              <w:bottom w:val="single" w:color="000000" w:sz="2" w:space="0"/>
            </w:tcBorders>
            <w:tcW w:w="306" w:type="pct"/>
            <w:vAlign w:val="center"/>
            <w:textDirection w:val="lrTb"/>
            <w:noWrap w:val="false"/>
          </w:tcPr>
          <w:p>
            <w:pPr>
              <w:jc w:val="center"/>
              <w:spacing w:line="264" w:lineRule="auto"/>
              <w:rPr>
                <w:rFonts w:ascii="宋体" w:hAnsi="宋体"/>
                <w:bCs/>
                <w:color w:val="auto"/>
                <w:sz w:val="24"/>
                <w:szCs w:val="24"/>
                <w:highlight w:val="none"/>
              </w:rPr>
            </w:pPr>
            <w:r>
              <w:rPr>
                <w:rFonts w:ascii="宋体" w:hAnsi="宋体" w:cs="宋体"/>
                <w:bCs/>
                <w:color w:val="auto"/>
                <w:sz w:val="24"/>
                <w:szCs w:val="24"/>
                <w:highlight w:val="none"/>
              </w:rPr>
              <w:t xml:space="preserve">1</w:t>
            </w:r>
            <w:r/>
          </w:p>
        </w:tc>
        <w:tc>
          <w:tcPr>
            <w:tcBorders>
              <w:top w:val="single" w:color="000000" w:sz="2" w:space="0"/>
              <w:bottom w:val="single" w:color="000000" w:sz="2" w:space="0"/>
            </w:tcBorders>
            <w:tcW w:w="325" w:type="pct"/>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w:t>
            </w:r>
            <w:r/>
          </w:p>
        </w:tc>
        <w:tc>
          <w:tcPr>
            <w:tcBorders>
              <w:top w:val="single" w:color="000000" w:sz="2" w:space="0"/>
              <w:bottom w:val="single" w:color="000000" w:sz="2" w:space="0"/>
            </w:tcBorders>
            <w:tcW w:w="744"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主要产品</w:t>
            </w:r>
            <w:r/>
          </w:p>
        </w:tc>
        <w:tc>
          <w:tcPr>
            <w:tcBorders>
              <w:top w:val="single" w:color="000000" w:sz="2" w:space="0"/>
              <w:bottom w:val="single" w:color="000000" w:sz="2" w:space="0"/>
            </w:tcBorders>
            <w:tcW w:w="517"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w:t>
            </w:r>
            <w:r/>
          </w:p>
        </w:tc>
        <w:tc>
          <w:tcPr>
            <w:tcBorders>
              <w:top w:val="single" w:color="000000" w:sz="2" w:space="0"/>
              <w:bottom w:val="single" w:color="000000" w:sz="2" w:space="0"/>
            </w:tcBorders>
            <w:tcW w:w="1305" w:type="pct"/>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702" w:type="pct"/>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服务</w:t>
            </w:r>
            <w:r/>
          </w:p>
        </w:tc>
      </w:tr>
      <w:tr>
        <w:trPr>
          <w:trHeight w:val="1033"/>
        </w:trPr>
        <w:tc>
          <w:tcPr>
            <w:tcBorders>
              <w:top w:val="single" w:color="000000" w:sz="2" w:space="0"/>
              <w:bottom w:val="single" w:color="000000" w:sz="2" w:space="0"/>
            </w:tcBorders>
            <w:tcW w:w="259"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2" w:space="0"/>
              <w:bottom w:val="single" w:color="000000" w:sz="2" w:space="0"/>
            </w:tcBorders>
            <w:tcW w:w="839" w:type="pct"/>
            <w:vAlign w:val="center"/>
            <w:textDirection w:val="lrTb"/>
            <w:noWrap w:val="false"/>
          </w:tcPr>
          <w:p>
            <w:pPr>
              <w:spacing w:line="264" w:lineRule="auto"/>
              <w:rPr>
                <w:rFonts w:ascii="宋体" w:hAnsi="宋体"/>
                <w:color w:val="auto"/>
                <w:sz w:val="24"/>
                <w:szCs w:val="24"/>
                <w:highlight w:val="none"/>
              </w:rPr>
            </w:pPr>
            <w:r>
              <w:rPr>
                <w:rFonts w:hint="eastAsia" w:ascii="宋体" w:hAnsi="宋体" w:cs="宋体"/>
                <w:bCs/>
                <w:color w:val="auto"/>
                <w:sz w:val="24"/>
                <w:szCs w:val="24"/>
                <w:highlight w:val="none"/>
              </w:rPr>
              <w:t xml:space="preserve">医联体影像教学互动会议系统</w:t>
            </w:r>
            <w:r/>
          </w:p>
        </w:tc>
        <w:tc>
          <w:tcPr>
            <w:tcBorders>
              <w:top w:val="single" w:color="000000" w:sz="2" w:space="0"/>
              <w:bottom w:val="single" w:color="000000" w:sz="2" w:space="0"/>
            </w:tcBorders>
            <w:tcW w:w="306" w:type="pct"/>
            <w:vAlign w:val="center"/>
            <w:textDirection w:val="lrTb"/>
            <w:noWrap w:val="false"/>
          </w:tcPr>
          <w:p>
            <w:pPr>
              <w:jc w:val="center"/>
              <w:spacing w:line="264" w:lineRule="auto"/>
              <w:rPr>
                <w:rFonts w:ascii="宋体" w:hAnsi="宋体"/>
                <w:bCs/>
                <w:color w:val="auto"/>
                <w:sz w:val="24"/>
                <w:szCs w:val="24"/>
                <w:highlight w:val="none"/>
              </w:rPr>
            </w:pPr>
            <w:r>
              <w:rPr>
                <w:rFonts w:ascii="宋体" w:hAnsi="宋体" w:cs="宋体"/>
                <w:bCs/>
                <w:color w:val="auto"/>
                <w:sz w:val="24"/>
                <w:szCs w:val="24"/>
                <w:highlight w:val="none"/>
              </w:rPr>
              <w:t xml:space="preserve">1</w:t>
            </w:r>
            <w:r/>
          </w:p>
        </w:tc>
        <w:tc>
          <w:tcPr>
            <w:tcBorders>
              <w:top w:val="single" w:color="000000" w:sz="2" w:space="0"/>
              <w:bottom w:val="single" w:color="000000" w:sz="2" w:space="0"/>
            </w:tcBorders>
            <w:tcW w:w="325" w:type="pct"/>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w:t>
            </w:r>
            <w:r/>
          </w:p>
        </w:tc>
        <w:tc>
          <w:tcPr>
            <w:tcBorders>
              <w:top w:val="single" w:color="000000" w:sz="2" w:space="0"/>
              <w:bottom w:val="single" w:color="000000" w:sz="2" w:space="0"/>
            </w:tcBorders>
            <w:tcW w:w="744"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bCs/>
                <w:color w:val="auto"/>
                <w:sz w:val="24"/>
                <w:szCs w:val="24"/>
                <w:highlight w:val="none"/>
              </w:rPr>
              <w:t xml:space="preserve">主要产品</w:t>
            </w:r>
            <w:r/>
          </w:p>
        </w:tc>
        <w:tc>
          <w:tcPr>
            <w:tcBorders>
              <w:top w:val="single" w:color="000000" w:sz="2" w:space="0"/>
              <w:bottom w:val="single" w:color="000000" w:sz="2" w:space="0"/>
            </w:tcBorders>
            <w:tcW w:w="517" w:type="pct"/>
            <w:vAlign w:val="center"/>
            <w:textDirection w:val="lrTb"/>
            <w:noWrap w:val="false"/>
          </w:tcPr>
          <w:p>
            <w:pPr>
              <w:jc w:val="center"/>
              <w:spacing w:line="264"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w:t>
            </w:r>
            <w:r/>
          </w:p>
        </w:tc>
        <w:tc>
          <w:tcPr>
            <w:tcBorders>
              <w:top w:val="single" w:color="000000" w:sz="2" w:space="0"/>
              <w:bottom w:val="single" w:color="000000" w:sz="2" w:space="0"/>
            </w:tcBorders>
            <w:tcW w:w="1305" w:type="pct"/>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702" w:type="pct"/>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服务</w:t>
            </w:r>
            <w:r/>
          </w:p>
        </w:tc>
      </w:tr>
    </w:tbl>
    <w:p>
      <w:pPr>
        <w:spacing w:line="264" w:lineRule="auto"/>
        <w:widowControl/>
        <w:rPr>
          <w:rFonts w:ascii="宋体" w:hAnsi="宋体" w:cs="宋体"/>
          <w:bCs/>
          <w:color w:val="auto"/>
          <w:sz w:val="24"/>
          <w:szCs w:val="24"/>
          <w:highlight w:val="none"/>
          <w:lang w:val="zh-CN"/>
        </w:rPr>
      </w:pPr>
      <w:r>
        <w:rPr>
          <w:rFonts w:ascii="宋体" w:hAnsi="宋体" w:cs="宋体"/>
          <w:bCs/>
          <w:color w:val="auto"/>
          <w:sz w:val="24"/>
          <w:szCs w:val="24"/>
          <w:highlight w:val="none"/>
          <w:lang w:val="zh-CN"/>
        </w:rPr>
      </w:r>
      <w:r/>
    </w:p>
    <w:p>
      <w:pPr>
        <w:ind w:firstLine="480"/>
        <w:spacing w:line="264" w:lineRule="auto"/>
        <w:rPr>
          <w:rFonts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pStyle w:val="824"/>
        <w:ind w:firstLine="0"/>
        <w:spacing w:line="240" w:lineRule="exact"/>
        <w:rPr>
          <w:rFonts w:cs="宋体"/>
          <w:color w:val="auto"/>
          <w:sz w:val="24"/>
          <w:szCs w:val="24"/>
          <w:highlight w:val="none"/>
        </w:rPr>
      </w:pPr>
      <w:r>
        <w:rPr>
          <w:rFonts w:hint="eastAsia" w:cs="宋体"/>
          <w:color w:val="auto"/>
          <w:sz w:val="24"/>
          <w:szCs w:val="24"/>
          <w:highlight w:val="none"/>
        </w:rPr>
        <w:t xml:space="preserve">（1）跨院区影像协同系统</w:t>
      </w:r>
      <w:r/>
    </w:p>
    <w:p>
      <w:pPr>
        <w:pStyle w:val="824"/>
        <w:numPr>
          <w:ilvl w:val="0"/>
          <w:numId w:val="5"/>
        </w:numPr>
        <w:spacing w:line="240" w:lineRule="exact"/>
        <w:rPr>
          <w:rFonts w:cs="宋体"/>
          <w:color w:val="auto"/>
          <w:sz w:val="24"/>
          <w:szCs w:val="24"/>
          <w:highlight w:val="none"/>
        </w:rPr>
      </w:pPr>
      <w:r>
        <w:rPr>
          <w:rFonts w:hint="eastAsia" w:cs="宋体"/>
          <w:color w:val="auto"/>
          <w:sz w:val="24"/>
          <w:szCs w:val="24"/>
          <w:highlight w:val="none"/>
        </w:rPr>
        <w:t xml:space="preserve">系统包含医学影像协作模块、音视频会议模块、语音交互模块、用户列表、消息列表、及时通讯模块。</w:t>
      </w:r>
      <w:r/>
    </w:p>
    <w:p>
      <w:pPr>
        <w:pStyle w:val="824"/>
        <w:numPr>
          <w:ilvl w:val="0"/>
          <w:numId w:val="5"/>
        </w:numPr>
        <w:spacing w:line="240" w:lineRule="exact"/>
        <w:rPr>
          <w:rFonts w:cs="宋体"/>
          <w:color w:val="auto"/>
          <w:sz w:val="24"/>
          <w:szCs w:val="24"/>
          <w:highlight w:val="none"/>
        </w:rPr>
      </w:pPr>
      <w:r>
        <w:rPr>
          <w:rFonts w:hint="eastAsia" w:cs="宋体"/>
          <w:color w:val="auto"/>
          <w:sz w:val="24"/>
          <w:szCs w:val="24"/>
          <w:highlight w:val="none"/>
        </w:rPr>
        <w:t xml:space="preserve">▲使影像科医生之间能够跨工位、房间、院区对阅片过程中的疑点和问题进行双方讨论，实现科室内部或是与临床医生的跨学科会诊、与学生进行跨院区读片讲解等应用场景。</w:t>
      </w:r>
      <w:r/>
    </w:p>
    <w:p>
      <w:pPr>
        <w:pStyle w:val="824"/>
        <w:numPr>
          <w:ilvl w:val="0"/>
          <w:numId w:val="5"/>
        </w:numPr>
        <w:spacing w:line="240" w:lineRule="exact"/>
        <w:rPr>
          <w:rFonts w:cs="宋体"/>
          <w:color w:val="auto"/>
          <w:sz w:val="24"/>
          <w:szCs w:val="24"/>
          <w:highlight w:val="none"/>
        </w:rPr>
      </w:pPr>
      <w:r>
        <w:rPr>
          <w:rFonts w:hint="eastAsia" w:cs="宋体"/>
          <w:color w:val="auto"/>
          <w:sz w:val="24"/>
          <w:szCs w:val="24"/>
          <w:highlight w:val="none"/>
        </w:rPr>
        <w:t xml:space="preserve">可通过客户端用于获取用户列表，创建协作、加入协作及进行音频交互等操作，通过软件进行影像操作协同。</w:t>
      </w:r>
      <w:r/>
    </w:p>
    <w:p>
      <w:pPr>
        <w:pStyle w:val="824"/>
        <w:numPr>
          <w:ilvl w:val="0"/>
          <w:numId w:val="5"/>
        </w:numPr>
        <w:spacing w:line="240" w:lineRule="exact"/>
        <w:rPr>
          <w:rFonts w:cs="宋体"/>
          <w:color w:val="auto"/>
          <w:sz w:val="24"/>
          <w:szCs w:val="24"/>
          <w:highlight w:val="none"/>
        </w:rPr>
      </w:pPr>
      <w:r>
        <w:rPr>
          <w:rFonts w:hint="eastAsia" w:cs="宋体"/>
          <w:color w:val="auto"/>
          <w:sz w:val="24"/>
          <w:szCs w:val="24"/>
          <w:highlight w:val="none"/>
        </w:rPr>
        <w:t xml:space="preserve">▲软件客户端主要包括语音交互、文字交互、文件传输、会议协作、影像协作交互操作，用户在线、离线状态进行标识化提醒。</w:t>
      </w:r>
      <w:r/>
    </w:p>
    <w:p>
      <w:pPr>
        <w:pStyle w:val="824"/>
        <w:numPr>
          <w:ilvl w:val="0"/>
          <w:numId w:val="5"/>
        </w:numPr>
        <w:spacing w:line="240" w:lineRule="exact"/>
        <w:rPr>
          <w:rFonts w:cs="宋体"/>
          <w:color w:val="auto"/>
          <w:sz w:val="24"/>
          <w:szCs w:val="24"/>
          <w:highlight w:val="none"/>
        </w:rPr>
      </w:pPr>
      <w:r>
        <w:rPr>
          <w:rFonts w:hint="eastAsia" w:cs="宋体"/>
          <w:color w:val="auto"/>
          <w:sz w:val="24"/>
          <w:szCs w:val="24"/>
          <w:highlight w:val="none"/>
        </w:rPr>
        <w:t xml:space="preserve">▲用户都可以在协同主界面进行操作，实现基于原始PACS影像的双方同步操作，操作包括窗口布局调整（不低于10x10窗口布局）、序列切换、序列播放、图层切换、移动、灰度反转、影像联动、窗宽窗位调节、长度测量、矩形测列、角度测量、放大、移动、旋转、文本标注、图形标注、箭头标记、清除、复原、MPR影像重建等操作，操作结果都会被同步到协同组内的每一个协同主界面上，并确保操作信息同步正确无误；支持协同时通过实时语音沟通。</w:t>
      </w:r>
      <w:r/>
    </w:p>
    <w:p>
      <w:pPr>
        <w:pStyle w:val="824"/>
        <w:numPr>
          <w:ilvl w:val="0"/>
          <w:numId w:val="5"/>
        </w:numPr>
        <w:spacing w:line="240" w:lineRule="exact"/>
        <w:rPr>
          <w:rFonts w:cs="宋体"/>
          <w:color w:val="auto"/>
          <w:sz w:val="24"/>
          <w:szCs w:val="24"/>
          <w:highlight w:val="none"/>
        </w:rPr>
      </w:pPr>
      <w:r>
        <w:rPr>
          <w:rFonts w:hint="eastAsia" w:cs="宋体"/>
          <w:color w:val="auto"/>
          <w:sz w:val="24"/>
          <w:szCs w:val="24"/>
          <w:highlight w:val="none"/>
        </w:rPr>
        <w:t xml:space="preserve">具备即时通讯功能，支持医生点对点聊天互动，支持传输文件，以及自定义群组群聊。</w:t>
      </w:r>
      <w:r/>
    </w:p>
    <w:p>
      <w:pPr>
        <w:pStyle w:val="824"/>
        <w:ind w:firstLine="0"/>
        <w:spacing w:line="240" w:lineRule="exact"/>
        <w:rPr>
          <w:rFonts w:cs="宋体"/>
          <w:color w:val="auto"/>
          <w:sz w:val="24"/>
          <w:szCs w:val="24"/>
          <w:highlight w:val="none"/>
        </w:rPr>
      </w:pPr>
      <w:r>
        <w:rPr>
          <w:rFonts w:hint="eastAsia" w:cs="宋体"/>
          <w:color w:val="auto"/>
          <w:sz w:val="24"/>
          <w:szCs w:val="24"/>
          <w:highlight w:val="none"/>
        </w:rPr>
        <w:t xml:space="preserve">（2）医联体远程联合读片教学互动系统</w:t>
      </w:r>
      <w:r/>
    </w:p>
    <w:p>
      <w:pPr>
        <w:pStyle w:val="824"/>
        <w:numPr>
          <w:ilvl w:val="0"/>
          <w:numId w:val="6"/>
        </w:numPr>
        <w:ind w:left="420" w:firstLine="0"/>
        <w:spacing w:line="240" w:lineRule="exact"/>
        <w:rPr>
          <w:rFonts w:cs="宋体"/>
          <w:color w:val="auto"/>
          <w:sz w:val="24"/>
          <w:szCs w:val="24"/>
          <w:highlight w:val="none"/>
        </w:rPr>
      </w:pPr>
      <w:r>
        <w:rPr>
          <w:rFonts w:cs="宋体"/>
          <w:color w:val="auto"/>
          <w:sz w:val="24"/>
          <w:highlight w:val="none"/>
        </w:rPr>
        <w:t xml:space="preserve">▲</w:t>
      </w:r>
      <w:r>
        <w:rPr>
          <w:rFonts w:hint="eastAsia" w:cs="宋体"/>
          <w:color w:val="auto"/>
          <w:sz w:val="24"/>
          <w:szCs w:val="24"/>
          <w:highlight w:val="none"/>
        </w:rPr>
        <w:t xml:space="preserve">支持桌面共享功能。</w:t>
      </w:r>
      <w:r/>
    </w:p>
    <w:p>
      <w:pPr>
        <w:pStyle w:val="824"/>
        <w:numPr>
          <w:ilvl w:val="0"/>
          <w:numId w:val="6"/>
        </w:numPr>
        <w:ind w:left="420" w:firstLine="0"/>
        <w:spacing w:line="240" w:lineRule="exact"/>
        <w:rPr>
          <w:rFonts w:cs="宋体"/>
          <w:color w:val="auto"/>
          <w:sz w:val="24"/>
          <w:szCs w:val="24"/>
          <w:highlight w:val="none"/>
        </w:rPr>
      </w:pPr>
      <w:r>
        <w:rPr>
          <w:rFonts w:hint="eastAsia" w:cs="宋体"/>
          <w:color w:val="auto"/>
          <w:sz w:val="24"/>
          <w:szCs w:val="24"/>
          <w:highlight w:val="none"/>
        </w:rPr>
        <w:t xml:space="preserve">支持显示布局自动排列，根据画面数自动调整显示布局，无需用户进行手动干预。</w:t>
      </w:r>
      <w:r/>
    </w:p>
    <w:p>
      <w:pPr>
        <w:pStyle w:val="824"/>
        <w:numPr>
          <w:ilvl w:val="0"/>
          <w:numId w:val="6"/>
        </w:numPr>
        <w:ind w:left="420" w:firstLine="0"/>
        <w:spacing w:line="240" w:lineRule="exact"/>
        <w:rPr>
          <w:rFonts w:cs="宋体"/>
          <w:color w:val="auto"/>
          <w:sz w:val="24"/>
          <w:szCs w:val="24"/>
          <w:highlight w:val="none"/>
        </w:rPr>
      </w:pPr>
      <w:r>
        <w:rPr>
          <w:rFonts w:hint="eastAsia" w:cs="宋体"/>
          <w:color w:val="auto"/>
          <w:sz w:val="24"/>
          <w:szCs w:val="24"/>
          <w:highlight w:val="none"/>
        </w:rPr>
        <w:t xml:space="preserve">支持会议录制功能，支持4K超高清录制效果。</w:t>
      </w:r>
      <w:r/>
    </w:p>
    <w:p>
      <w:pPr>
        <w:pStyle w:val="824"/>
        <w:numPr>
          <w:ilvl w:val="0"/>
          <w:numId w:val="6"/>
        </w:numPr>
        <w:ind w:left="420" w:firstLine="0"/>
        <w:spacing w:line="240" w:lineRule="exact"/>
        <w:rPr>
          <w:rFonts w:cs="宋体"/>
          <w:color w:val="auto"/>
          <w:sz w:val="24"/>
          <w:szCs w:val="24"/>
          <w:highlight w:val="none"/>
        </w:rPr>
      </w:pPr>
      <w:r>
        <w:rPr>
          <w:rFonts w:hint="eastAsia" w:cs="宋体"/>
          <w:color w:val="auto"/>
          <w:sz w:val="24"/>
          <w:szCs w:val="24"/>
          <w:highlight w:val="none"/>
        </w:rPr>
        <w:t xml:space="preserve">在桌面共享时支持远程桌面控制功能，远端可以申请控制对方桌面，接管操作，提供该功能软件界面截图。</w:t>
      </w:r>
      <w:r/>
    </w:p>
    <w:p>
      <w:pPr>
        <w:pStyle w:val="824"/>
        <w:numPr>
          <w:ilvl w:val="0"/>
          <w:numId w:val="6"/>
        </w:numPr>
        <w:ind w:left="420" w:firstLine="0"/>
        <w:spacing w:line="240" w:lineRule="exact"/>
        <w:rPr>
          <w:rFonts w:cs="宋体"/>
          <w:color w:val="auto"/>
          <w:sz w:val="24"/>
          <w:szCs w:val="24"/>
          <w:highlight w:val="none"/>
        </w:rPr>
      </w:pPr>
      <w:r>
        <w:rPr>
          <w:rFonts w:hint="eastAsia" w:cs="宋体"/>
          <w:color w:val="auto"/>
          <w:sz w:val="24"/>
          <w:szCs w:val="24"/>
          <w:highlight w:val="none"/>
        </w:rPr>
        <w:t xml:space="preserve">支持同时推流2路4K信号源，提供该功能软件界面截图。</w:t>
      </w:r>
      <w:r/>
    </w:p>
    <w:p>
      <w:pPr>
        <w:pStyle w:val="824"/>
        <w:numPr>
          <w:ilvl w:val="0"/>
          <w:numId w:val="6"/>
        </w:numPr>
        <w:ind w:left="420" w:firstLine="0"/>
        <w:spacing w:line="240" w:lineRule="exact"/>
        <w:rPr>
          <w:rFonts w:cs="宋体"/>
          <w:color w:val="auto"/>
          <w:sz w:val="24"/>
          <w:szCs w:val="24"/>
          <w:highlight w:val="none"/>
        </w:rPr>
      </w:pPr>
      <w:r>
        <w:rPr>
          <w:rFonts w:hint="eastAsia" w:cs="宋体"/>
          <w:color w:val="auto"/>
          <w:sz w:val="24"/>
          <w:szCs w:val="24"/>
          <w:highlight w:val="none"/>
        </w:rPr>
        <w:t xml:space="preserve">支持免密码登录，支持默认会议室登录。</w:t>
      </w:r>
      <w:r/>
    </w:p>
    <w:p>
      <w:pPr>
        <w:pStyle w:val="824"/>
        <w:numPr>
          <w:ilvl w:val="0"/>
          <w:numId w:val="6"/>
        </w:numPr>
        <w:ind w:left="420" w:firstLine="0"/>
        <w:spacing w:line="240" w:lineRule="exact"/>
        <w:rPr>
          <w:rFonts w:cs="宋体"/>
          <w:color w:val="auto"/>
          <w:sz w:val="24"/>
          <w:szCs w:val="24"/>
          <w:highlight w:val="none"/>
        </w:rPr>
      </w:pPr>
      <w:r>
        <w:rPr>
          <w:rFonts w:hint="eastAsia" w:cs="宋体"/>
          <w:color w:val="auto"/>
          <w:sz w:val="24"/>
          <w:szCs w:val="24"/>
          <w:highlight w:val="none"/>
        </w:rPr>
        <w:t xml:space="preserve">对远程系统的音频进行集成，能够接入会诊室内的音响系统。</w:t>
      </w:r>
      <w:r/>
    </w:p>
    <w:p>
      <w:pPr>
        <w:pStyle w:val="824"/>
        <w:numPr>
          <w:ilvl w:val="0"/>
          <w:numId w:val="6"/>
        </w:numPr>
        <w:ind w:left="420" w:firstLine="0"/>
        <w:spacing w:line="240" w:lineRule="exact"/>
        <w:rPr>
          <w:rFonts w:cs="宋体"/>
          <w:color w:val="auto"/>
          <w:sz w:val="24"/>
          <w:szCs w:val="24"/>
          <w:highlight w:val="none"/>
        </w:rPr>
      </w:pPr>
      <w:r>
        <w:rPr>
          <w:rFonts w:cs="宋体"/>
          <w:color w:val="auto"/>
          <w:sz w:val="24"/>
          <w:highlight w:val="none"/>
        </w:rPr>
        <w:t xml:space="preserve">▲</w:t>
      </w:r>
      <w:r>
        <w:rPr>
          <w:rFonts w:hint="eastAsia" w:cs="宋体"/>
          <w:color w:val="auto"/>
          <w:sz w:val="24"/>
          <w:szCs w:val="24"/>
          <w:highlight w:val="none"/>
        </w:rPr>
        <w:t xml:space="preserve">参会方支持在不同显示器分别显示会议发起方共享的PPT信号和PACS影像。</w:t>
      </w:r>
      <w:r/>
    </w:p>
    <w:p>
      <w:pPr>
        <w:pStyle w:val="1067"/>
        <w:numPr>
          <w:ilvl w:val="0"/>
          <w:numId w:val="6"/>
        </w:numPr>
        <w:ind w:left="420" w:firstLine="0"/>
        <w:spacing w:line="240" w:lineRule="exact"/>
        <w:rPr>
          <w:rFonts w:cs="宋体"/>
          <w:color w:val="auto"/>
          <w:highlight w:val="none"/>
          <w:lang w:eastAsia="zh-CN"/>
        </w:rPr>
      </w:pPr>
      <w:r>
        <w:rPr>
          <w:rFonts w:hint="eastAsia" w:ascii="宋体" w:hAnsi="宋体" w:cs="宋体"/>
          <w:color w:val="auto"/>
          <w:highlight w:val="none"/>
          <w:lang w:eastAsia="zh-CN"/>
        </w:rPr>
        <w:t xml:space="preserve">软件需支持部署在医院内网中。</w:t>
      </w:r>
      <w:r/>
    </w:p>
    <w:p>
      <w:pPr>
        <w:ind w:firstLine="480"/>
        <w:spacing w:line="264"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264" w:lineRule="auto"/>
        <w:rPr>
          <w:rFonts w:ascii="宋体" w:hAnsi="宋体" w:cs="宋体"/>
          <w:bCs/>
          <w:color w:val="auto"/>
          <w:sz w:val="24"/>
          <w:szCs w:val="24"/>
          <w:highlight w:val="none"/>
        </w:rPr>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报价要求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①供应商提供的系统能够根据采购人实际需求与医院各院区所有信息系统、集成平台做对接及集成（对接人：</w:t>
      </w:r>
      <w:r>
        <w:rPr>
          <w:rFonts w:hint="eastAsia" w:ascii="宋体" w:hAnsi="宋体" w:cs="宋体"/>
          <w:color w:val="auto"/>
          <w:sz w:val="24"/>
          <w:szCs w:val="24"/>
          <w:highlight w:val="none"/>
        </w:rPr>
        <w:t xml:space="preserve">何工</w:t>
      </w:r>
      <w:r>
        <w:rPr>
          <w:rFonts w:hint="eastAsia" w:ascii="宋体" w:hAnsi="宋体" w:cs="宋体"/>
          <w:color w:val="auto"/>
          <w:sz w:val="24"/>
          <w:szCs w:val="24"/>
          <w:highlight w:val="none"/>
        </w:rPr>
        <w:t xml:space="preserve"> 联系电话：</w:t>
      </w:r>
      <w:r>
        <w:rPr>
          <w:rFonts w:ascii="宋体" w:hAnsi="宋体" w:cs="宋体"/>
          <w:color w:val="auto"/>
          <w:sz w:val="24"/>
          <w:szCs w:val="24"/>
          <w:highlight w:val="none"/>
        </w:rPr>
        <w:t xml:space="preserve">025-83106666转</w:t>
      </w:r>
      <w:r>
        <w:rPr>
          <w:rFonts w:hint="eastAsia" w:ascii="宋体" w:hAnsi="宋体" w:cs="宋体"/>
          <w:color w:val="auto"/>
          <w:sz w:val="24"/>
          <w:szCs w:val="24"/>
          <w:highlight w:val="none"/>
        </w:rPr>
        <w:t xml:space="preserve">60634</w:t>
      </w:r>
      <w:r>
        <w:rPr>
          <w:rFonts w:hint="eastAsia" w:ascii="宋体" w:hAnsi="宋体" w:cs="宋体"/>
          <w:color w:val="auto"/>
          <w:sz w:val="24"/>
          <w:szCs w:val="24"/>
          <w:highlight w:val="none"/>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②本章中所列技术要求为医院项目初步需求，具体需求以国家最新政策标准为准。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（3）验收要求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实施完成后，将项目软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（4）运维要求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①维保期：供应商应确保本次采购所有项目的安全稳定的运行，</w:t>
      </w:r>
      <w:r>
        <w:rPr>
          <w:rFonts w:hint="eastAsia" w:ascii="宋体" w:hAnsi="宋体" w:cs="宋体"/>
          <w:b/>
          <w:bCs/>
          <w:color w:val="auto"/>
          <w:sz w:val="24"/>
          <w:szCs w:val="24"/>
          <w:highlight w:val="none"/>
        </w:rPr>
        <w:t xml:space="preserve">并提供</w:t>
      </w:r>
      <w:r>
        <w:rPr>
          <w:rFonts w:hint="eastAsia" w:ascii="宋体" w:hAnsi="宋体" w:cs="宋体"/>
          <w:bCs/>
          <w:color w:val="auto"/>
          <w:sz w:val="24"/>
          <w:szCs w:val="24"/>
          <w:highlight w:val="none"/>
        </w:rPr>
        <w:t xml:space="preserve">3</w:t>
      </w:r>
      <w:r>
        <w:rPr>
          <w:rFonts w:hint="eastAsia" w:ascii="宋体" w:hAnsi="宋体" w:cs="宋体"/>
          <w:b/>
          <w:bCs/>
          <w:color w:val="auto"/>
          <w:sz w:val="24"/>
          <w:szCs w:val="24"/>
          <w:highlight w:val="none"/>
        </w:rPr>
        <w:t xml:space="preserve">年维保服务</w:t>
      </w:r>
      <w:r>
        <w:rPr>
          <w:rFonts w:hint="eastAsia" w:ascii="宋体" w:hAnsi="宋体" w:cs="宋体"/>
          <w:color w:val="auto"/>
          <w:sz w:val="24"/>
          <w:szCs w:val="24"/>
          <w:highlight w:val="none"/>
        </w:rPr>
        <w:t xml:space="preserve">（自验收报告签字确认日起，开始进入维保期，相关费用包含在本次报价中）。维保期内，本合同项目所有技术和服务发生任何非人为故障，由供应商负责系统恢复。</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维保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③供应商须提供定期回访服务，对采购人提出的合理优化建议应提供升级服务。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⑤本采购项目出保后每年的维护费不超过合同总金额的5%。</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⑥维保期内供应商提供的系统软件升级，保证采购人使用最新版本软件。维保期满后软件版本内终身升级。</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（5）人员要求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本项目实施期间至本项目验收合格之日止要求服务人数不低于</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人（含项目经理1人），且项目实施期内提供不低于</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人的驻场服务。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（6）权利保证</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③基于本项目合同履行形成的知识产权和其他权益，其权属归采购人所有，法律另有规定的除外。</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（7）建设成果要求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供应商在项目建设的各个阶段及时提交建设成果，主要包括但不限于以下内容：</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①项目启动阶段：项目实施方案。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②业务需求分析阶段：需求调研方案、需求分析说明书。</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③系统设计、开发阶段：需求规格说明书、概要设计说明书、详细设计说明书、数据库设计说明书、系统接口说明书。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④系统实施阶段：系统上线部署方案、软件安装说明书、软件使用说明书、系统安装光盘、系统培训方案、系统培训手册。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⑤项目验收阶段：测试报告、项目验收方案、系统运行报告、项目验收报告。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⑥运行维护阶段：系统维护方案、系统维护手册、系统运行维护记录。</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合同签订后</w:t>
      </w:r>
      <w:r>
        <w:rPr>
          <w:rFonts w:hint="eastAsia" w:ascii="宋体" w:hAnsi="宋体"/>
          <w:color w:val="auto"/>
          <w:sz w:val="24"/>
          <w:szCs w:val="24"/>
          <w:highlight w:val="none"/>
        </w:rPr>
        <w:t xml:space="preserve">90</w:t>
      </w:r>
      <w:r>
        <w:rPr>
          <w:rFonts w:ascii="宋体" w:hAnsi="宋体" w:cs="宋体"/>
          <w:color w:val="auto"/>
          <w:sz w:val="24"/>
          <w:szCs w:val="24"/>
          <w:highlight w:val="none"/>
        </w:rPr>
        <w:t xml:space="preserve">天内</w:t>
      </w:r>
      <w:r>
        <w:rPr>
          <w:rFonts w:hint="eastAsia" w:ascii="宋体" w:hAnsi="宋体" w:cs="宋体"/>
          <w:color w:val="auto"/>
          <w:sz w:val="24"/>
          <w:szCs w:val="24"/>
          <w:highlight w:val="none"/>
        </w:rPr>
        <w:t xml:space="preserve">完成系统开发</w:t>
      </w:r>
      <w:r>
        <w:rPr>
          <w:rFonts w:ascii="宋体" w:hAnsi="宋体" w:cs="宋体"/>
          <w:color w:val="auto"/>
          <w:sz w:val="24"/>
          <w:szCs w:val="24"/>
          <w:highlight w:val="none"/>
        </w:rPr>
        <w:t xml:space="preserve">。</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264" w:lineRule="auto"/>
        <w:widowControl/>
        <w:rPr>
          <w:rFonts w:ascii="宋体" w:hAnsi="宋体" w:cs="宋体"/>
          <w:color w:val="auto"/>
          <w:sz w:val="24"/>
          <w:szCs w:val="24"/>
          <w:highlight w:val="none"/>
        </w:rPr>
      </w:pPr>
      <w:r/>
      <w:bookmarkStart w:id="193" w:name="OLE_LINK1"/>
      <w:r>
        <w:rPr>
          <w:rFonts w:hint="eastAsia" w:ascii="宋体" w:hAnsi="宋体" w:cs="宋体"/>
          <w:color w:val="auto"/>
          <w:sz w:val="24"/>
          <w:szCs w:val="24"/>
          <w:highlight w:val="none"/>
        </w:rPr>
        <w:t xml:space="preserve">6.其他要求</w:t>
      </w:r>
      <w:bookmarkEnd w:id="193"/>
      <w:r/>
      <w:r/>
    </w:p>
    <w:p>
      <w:pPr>
        <w:ind w:firstLine="480"/>
        <w:spacing w:line="264"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1048"/>
        <w:ind w:left="0"/>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264"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szCs w:val="24"/>
          <w:highlight w:val="none"/>
        </w:rPr>
        <w:t xml:space="preserve">演示要求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所有文件合计不得大于300M）。文件上传方式见苏采云系统操作指南，上传的演示视频将作为投标文件的组成部分。视频时长总计不超过</w:t>
      </w: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rPr>
        <w:t xml:space="preserve">分钟。</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演示内容详见“第五章  评标方法与评标标准”。</w:t>
      </w:r>
      <w:r/>
    </w:p>
    <w:p>
      <w:pPr>
        <w:pStyle w:val="824"/>
        <w:ind w:firstLine="0"/>
        <w:rPr>
          <w:rFonts w:cs="宋体"/>
          <w:color w:val="auto"/>
          <w:sz w:val="24"/>
          <w:szCs w:val="24"/>
          <w:highlight w:val="none"/>
        </w:rPr>
      </w:pPr>
      <w:r>
        <w:rPr>
          <w:rFonts w:cs="宋体"/>
          <w:color w:val="auto"/>
          <w:sz w:val="24"/>
          <w:szCs w:val="24"/>
          <w:highlight w:val="none"/>
        </w:rPr>
      </w:r>
      <w:r/>
    </w:p>
    <w:p>
      <w:pPr>
        <w:rPr>
          <w:color w:val="auto"/>
          <w:highlight w:val="none"/>
        </w:rPr>
      </w:pPr>
      <w:r>
        <w:rPr>
          <w:color w:val="auto"/>
          <w:highlight w:val="none"/>
        </w:rPr>
      </w:r>
      <w:r/>
    </w:p>
    <w:p>
      <w:pPr>
        <w:ind w:right="840"/>
        <w:jc w:val="center"/>
        <w:rPr>
          <w:rFonts w:ascii="方正小标宋简体" w:hAnsi="方正小标宋简体" w:eastAsia="方正小标宋简体" w:cs="方正小标宋简体"/>
          <w:color w:val="auto"/>
          <w:sz w:val="36"/>
          <w:szCs w:val="36"/>
          <w:highlight w:val="none"/>
        </w:rPr>
      </w:pPr>
      <w:r/>
      <w:bookmarkStart w:id="194" w:name="_Toc120614281"/>
      <w:r>
        <w:rPr>
          <w:rFonts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ascii="黑体" w:hAnsi="黑体" w:eastAsia="黑体" w:cs="黑体"/>
          <w:color w:val="auto"/>
          <w:sz w:val="24"/>
          <w:szCs w:val="24"/>
          <w:highlight w:val="none"/>
        </w:rPr>
      </w:pPr>
      <w:r>
        <w:rPr>
          <w:rFonts w:ascii="黑体" w:hAnsi="黑体" w:eastAsia="黑体" w:cs="黑体"/>
          <w:color w:val="auto"/>
          <w:sz w:val="24"/>
          <w:szCs w:val="24"/>
          <w:highlight w:val="none"/>
        </w:rPr>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供应商中，按照评审得分由高到低选取</w:t>
      </w: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中标候选人。</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二、小微企业价格扣除</w:t>
      </w:r>
      <w:r/>
    </w:p>
    <w:p>
      <w:pPr>
        <w:ind w:firstLine="480"/>
        <w:spacing w:line="264" w:lineRule="auto"/>
        <w:rPr>
          <w:rFonts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2</w:t>
      </w:r>
      <w:r>
        <w:rPr>
          <w:rFonts w:hint="eastAsia" w:ascii="宋体" w:hAnsi="宋体"/>
          <w:color w:val="auto"/>
          <w:sz w:val="24"/>
          <w:szCs w:val="24"/>
          <w:highlight w:val="none"/>
          <w:lang w:val="zh-CN"/>
        </w:rPr>
        <w:t xml:space="preserve">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2"/>
        <w:spacing w:line="264"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3.上述价格扣除政策仅适用于“非专门面向中小企业采购项目”</w:t>
      </w:r>
      <w:r>
        <w:rPr>
          <w:rFonts w:hint="eastAsia" w:ascii="宋体" w:hAnsi="宋体" w:cs="宋体"/>
          <w:color w:val="auto"/>
          <w:sz w:val="24"/>
          <w:szCs w:val="24"/>
          <w:highlight w:val="none"/>
        </w:rPr>
        <w:t xml:space="preserve">。</w:t>
      </w:r>
      <w:r/>
    </w:p>
    <w:p>
      <w:pPr>
        <w:ind w:firstLine="480"/>
        <w:spacing w:line="264"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三、评标标准</w:t>
      </w:r>
      <w:r/>
    </w:p>
    <w:tbl>
      <w:tblPr>
        <w:tblStyle w:val="7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before="264" w:line="264" w:lineRule="auto"/>
              <w:rPr>
                <w:rFonts w:ascii="宋体" w:hAnsi="宋体" w:cs="宋体"/>
                <w:b/>
                <w:bCs/>
                <w:color w:val="auto"/>
                <w:spacing w:val="-2"/>
                <w:highlight w:val="none"/>
              </w:rPr>
            </w:pPr>
            <w:r>
              <w:rPr>
                <w:rFonts w:ascii="宋体" w:hAnsi="宋体" w:cs="宋体"/>
                <w:b/>
                <w:bCs/>
                <w:color w:val="auto"/>
                <w:spacing w:val="-2"/>
                <w:highlight w:val="none"/>
              </w:rPr>
              <w:t xml:space="preserve">序号</w:t>
            </w:r>
            <w:r/>
          </w:p>
        </w:tc>
        <w:tc>
          <w:tcPr>
            <w:tcBorders>
              <w:top w:val="single" w:color="000000" w:sz="2" w:space="0"/>
              <w:bottom w:val="single" w:color="000000" w:sz="2" w:space="0"/>
            </w:tcBorders>
            <w:tcW w:w="1179" w:type="dxa"/>
            <w:textDirection w:val="lrTb"/>
            <w:noWrap w:val="false"/>
          </w:tcPr>
          <w:p>
            <w:pPr>
              <w:jc w:val="center"/>
              <w:spacing w:before="264" w:line="264" w:lineRule="auto"/>
              <w:rPr>
                <w:rFonts w:ascii="宋体" w:hAnsi="宋体" w:cs="宋体"/>
                <w:b/>
                <w:bCs/>
                <w:color w:val="auto"/>
                <w:spacing w:val="-2"/>
                <w:highlight w:val="none"/>
              </w:rPr>
            </w:pPr>
            <w:r>
              <w:rPr>
                <w:rFonts w:ascii="宋体" w:hAnsi="宋体" w:cs="宋体"/>
                <w:b/>
                <w:bCs/>
                <w:color w:val="auto"/>
                <w:spacing w:val="-2"/>
                <w:highlight w:val="none"/>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264" w:line="264" w:lineRule="auto"/>
              <w:rPr>
                <w:rFonts w:ascii="宋体" w:hAnsi="宋体" w:cs="宋体"/>
                <w:b/>
                <w:bCs/>
                <w:color w:val="auto"/>
                <w:spacing w:val="-2"/>
                <w:highlight w:val="none"/>
              </w:rPr>
            </w:pPr>
            <w:r>
              <w:rPr>
                <w:rFonts w:ascii="宋体" w:hAnsi="宋体" w:cs="宋体"/>
                <w:b/>
                <w:bCs/>
                <w:color w:val="auto"/>
                <w:spacing w:val="-2"/>
                <w:highlight w:val="none"/>
              </w:rPr>
              <w:t xml:space="preserve">评审细则</w:t>
            </w:r>
            <w:r/>
          </w:p>
        </w:tc>
        <w:tc>
          <w:tcPr>
            <w:tcBorders>
              <w:top w:val="single" w:color="000000" w:sz="2" w:space="0"/>
              <w:bottom w:val="single" w:color="000000" w:sz="2" w:space="0"/>
            </w:tcBorders>
            <w:tcW w:w="647" w:type="dxa"/>
            <w:textDirection w:val="lrTb"/>
            <w:noWrap w:val="false"/>
          </w:tcPr>
          <w:p>
            <w:pPr>
              <w:jc w:val="center"/>
              <w:spacing w:before="264" w:line="264" w:lineRule="auto"/>
              <w:rPr>
                <w:rFonts w:ascii="宋体" w:hAnsi="宋体" w:cs="宋体"/>
                <w:b/>
                <w:bCs/>
                <w:color w:val="auto"/>
                <w:spacing w:val="-2"/>
                <w:highlight w:val="none"/>
              </w:rPr>
            </w:pPr>
            <w:r>
              <w:rPr>
                <w:rFonts w:ascii="宋体" w:hAnsi="宋体" w:cs="宋体"/>
                <w:b/>
                <w:bCs/>
                <w:color w:val="auto"/>
                <w:spacing w:val="-2"/>
                <w:highlight w:val="none"/>
              </w:rPr>
              <w:t xml:space="preserve">分值</w:t>
            </w:r>
            <w:r/>
          </w:p>
        </w:tc>
        <w:tc>
          <w:tcPr>
            <w:tcBorders>
              <w:top w:val="single" w:color="000000" w:sz="2" w:space="0"/>
              <w:bottom w:val="single" w:color="000000" w:sz="2" w:space="0"/>
            </w:tcBorders>
            <w:tcW w:w="900" w:type="dxa"/>
            <w:textDirection w:val="lrTb"/>
            <w:noWrap w:val="false"/>
          </w:tcPr>
          <w:p>
            <w:pPr>
              <w:jc w:val="center"/>
              <w:spacing w:before="264" w:line="264" w:lineRule="auto"/>
              <w:rPr>
                <w:rFonts w:ascii="宋体" w:hAnsi="宋体" w:cs="宋体"/>
                <w:b/>
                <w:bCs/>
                <w:color w:val="auto"/>
                <w:spacing w:val="-2"/>
                <w:highlight w:val="none"/>
              </w:rPr>
            </w:pPr>
            <w:r>
              <w:rPr>
                <w:rFonts w:ascii="宋体" w:hAnsi="宋体" w:cs="宋体"/>
                <w:b/>
                <w:bCs/>
                <w:color w:val="auto"/>
                <w:spacing w:val="-2"/>
                <w:highlight w:val="none"/>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highlight w:val="none"/>
              </w:rPr>
            </w:pPr>
            <w:r>
              <w:rPr>
                <w:color w:val="auto"/>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highlight w:val="none"/>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highlight w:val="none"/>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highlight w:val="none"/>
              </w:rPr>
            </w:pPr>
            <w:r>
              <w:rPr>
                <w:rFonts w:hint="eastAsia"/>
                <w:color w:val="auto"/>
                <w:highlight w:val="none"/>
              </w:rPr>
              <w:t xml:space="preserve">产品</w:t>
            </w:r>
            <w:r>
              <w:rPr>
                <w:color w:val="auto"/>
                <w:highlight w:val="none"/>
              </w:rPr>
              <w:t xml:space="preserve">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highlight w:val="none"/>
              </w:rPr>
            </w:pPr>
            <w:r>
              <w:rPr>
                <w:rFonts w:hint="eastAsia" w:ascii="宋体" w:hAnsi="宋体" w:cs="宋体"/>
                <w:color w:val="auto"/>
                <w:highlight w:val="none"/>
              </w:rPr>
              <w:t xml:space="preserve">产品</w:t>
            </w:r>
            <w:r>
              <w:rPr>
                <w:rFonts w:ascii="宋体" w:hAnsi="宋体" w:cs="宋体"/>
                <w:color w:val="auto"/>
                <w:highlight w:val="none"/>
              </w:rPr>
              <w:t xml:space="preserve">技术参数全部满足招标要求的得满分</w:t>
            </w:r>
            <w:r>
              <w:rPr>
                <w:rFonts w:hint="eastAsia" w:ascii="宋体" w:hAnsi="宋体" w:cs="宋体"/>
                <w:color w:val="auto"/>
                <w:highlight w:val="none"/>
              </w:rPr>
              <w:t xml:space="preserve">，</w:t>
            </w:r>
            <w:r>
              <w:rPr>
                <w:rFonts w:ascii="宋体" w:hAnsi="宋体" w:cs="宋体"/>
                <w:color w:val="auto"/>
                <w:highlight w:val="none"/>
              </w:rPr>
              <w:t xml:space="preserve">打★指标为必须满足项，如有负偏离将作为无效投标</w:t>
            </w:r>
            <w:r>
              <w:rPr>
                <w:rFonts w:hint="eastAsia" w:ascii="宋体" w:hAnsi="宋体" w:cs="宋体"/>
                <w:color w:val="auto"/>
                <w:highlight w:val="none"/>
              </w:rPr>
              <w:t xml:space="preserve">，</w:t>
            </w:r>
            <w:r>
              <w:rPr>
                <w:rFonts w:ascii="宋体" w:hAnsi="宋体" w:cs="宋体"/>
                <w:color w:val="auto"/>
                <w:highlight w:val="none"/>
              </w:rPr>
              <w:t xml:space="preserve">打▲指标为重要指标，有</w:t>
            </w:r>
            <w:r>
              <w:rPr>
                <w:rFonts w:hint="eastAsia" w:ascii="宋体" w:hAnsi="宋体" w:cs="宋体"/>
                <w:color w:val="auto"/>
                <w:highlight w:val="none"/>
              </w:rPr>
              <w:t xml:space="preserve">1</w:t>
            </w:r>
            <w:r>
              <w:rPr>
                <w:rFonts w:ascii="宋体" w:hAnsi="宋体" w:cs="宋体"/>
                <w:color w:val="auto"/>
                <w:highlight w:val="none"/>
              </w:rPr>
              <w:t xml:space="preserve">项负偏离扣</w:t>
            </w:r>
            <w:r>
              <w:rPr>
                <w:rFonts w:hint="eastAsia" w:ascii="宋体" w:hAnsi="宋体" w:cs="宋体"/>
                <w:color w:val="auto"/>
                <w:highlight w:val="none"/>
                <w:lang w:val="en-US" w:eastAsia="zh-CN"/>
              </w:rPr>
              <w:t xml:space="preserve">2</w:t>
            </w:r>
            <w:r>
              <w:rPr>
                <w:rFonts w:ascii="宋体" w:hAnsi="宋体" w:cs="宋体"/>
                <w:color w:val="auto"/>
                <w:highlight w:val="none"/>
              </w:rPr>
              <w:t xml:space="preserve">分</w:t>
            </w:r>
            <w:r>
              <w:rPr>
                <w:rFonts w:hint="eastAsia" w:ascii="宋体" w:hAnsi="宋体" w:cs="宋体"/>
                <w:color w:val="auto"/>
                <w:highlight w:val="none"/>
              </w:rPr>
              <w:t xml:space="preserve">，</w:t>
            </w:r>
            <w:r>
              <w:rPr>
                <w:rFonts w:ascii="宋体" w:hAnsi="宋体" w:cs="宋体"/>
                <w:color w:val="auto"/>
                <w:highlight w:val="none"/>
              </w:rPr>
              <w:t xml:space="preserve">其余指标有</w:t>
            </w:r>
            <w:r>
              <w:rPr>
                <w:rFonts w:hint="eastAsia" w:ascii="宋体" w:hAnsi="宋体" w:cs="宋体"/>
                <w:color w:val="auto"/>
                <w:highlight w:val="none"/>
              </w:rPr>
              <w:t xml:space="preserve">1</w:t>
            </w:r>
            <w:r>
              <w:rPr>
                <w:rFonts w:ascii="宋体" w:hAnsi="宋体" w:cs="宋体"/>
                <w:color w:val="auto"/>
                <w:highlight w:val="none"/>
              </w:rPr>
              <w:t xml:space="preserve">项负偏离扣</w:t>
            </w:r>
            <w:r>
              <w:rPr>
                <w:rFonts w:hint="eastAsia" w:ascii="宋体" w:hAnsi="宋体" w:cs="宋体"/>
                <w:color w:val="auto"/>
                <w:highlight w:val="none"/>
                <w:lang w:val="en-US" w:eastAsia="zh-CN"/>
              </w:rPr>
              <w:t xml:space="preserve">1</w:t>
            </w:r>
            <w:r>
              <w:rPr>
                <w:rFonts w:ascii="宋体" w:hAnsi="宋体" w:cs="宋体"/>
                <w:color w:val="auto"/>
                <w:highlight w:val="none"/>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需求理解</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评委根据投标人提供的需求理解综合评分（每项内容逐条阐述）：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包括：1.重点难点分析；2.服务目标；3.建设需求。</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（1）上述每项需求理解完整深刻、针对性强、紧贴采购需求的，得2分； </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（2）上述每项需求理解较为完整深刻、针对性较强、能够满足采购需求的，得 1分； </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（3）上述每项需求理解基本完整、具有一定针对性、基本符合采购需求的，得 0.5分； </w:t>
            </w:r>
            <w:r/>
          </w:p>
          <w:p>
            <w:pPr>
              <w:pStyle w:val="1003"/>
              <w:spacing w:line="264" w:lineRule="auto"/>
              <w:rPr>
                <w:color w:val="auto"/>
                <w:highlight w:val="none"/>
              </w:rPr>
            </w:pPr>
            <w:r>
              <w:rPr>
                <w:rFonts w:hint="eastAsia" w:ascii="宋体" w:hAnsi="宋体" w:cs="宋体"/>
                <w:color w:val="auto"/>
                <w:highlight w:val="none"/>
                <w:lang w:val="zh-CN"/>
              </w:rPr>
              <w:t xml:space="preserve">（4）上述每项需求理解不符合采购需求或未提供需求理解材料的，不得分。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4"/>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评委根据投标人提供的组织实施方案综合评分（每项内容逐条阐述）：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包括：1.工作时间进度表；2.工作程序和步骤；3、管理和协调方法。</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（1）上述每项内容全面合理、针对性及操作性强的，得2分；</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（2）上述每项内容较合理、针对性及操作性较强的，得1分；</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（3）上述每项内容基本合理、具备一定的针对性及操作性，得0.5分；</w:t>
            </w:r>
            <w:r/>
          </w:p>
          <w:p>
            <w:pPr>
              <w:pStyle w:val="1048"/>
              <w:ind w:left="0"/>
              <w:spacing w:line="264" w:lineRule="auto"/>
              <w:rPr>
                <w:color w:val="auto"/>
                <w:highlight w:val="none"/>
                <w:lang w:val="en-US"/>
              </w:rPr>
            </w:pPr>
            <w:r>
              <w:rPr>
                <w:rFonts w:hint="eastAsia" w:ascii="宋体" w:hAnsi="宋体" w:eastAsia="宋体"/>
                <w:color w:val="auto"/>
                <w:highlight w:val="none"/>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4"/>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szCs w:val="22"/>
                <w:highlight w:val="none"/>
              </w:rPr>
            </w:pPr>
            <w:r>
              <w:rPr>
                <w:rFonts w:hint="eastAsia" w:ascii="宋体" w:hAnsi="宋体" w:cs="宋体"/>
                <w:color w:val="auto"/>
                <w:spacing w:val="-2"/>
                <w:highlight w:val="none"/>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系统对接方案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highlight w:val="none"/>
              </w:rPr>
            </w:pPr>
            <w:r>
              <w:rPr>
                <w:rFonts w:hint="eastAsia" w:ascii="宋体" w:hAnsi="宋体" w:cs="宋体"/>
                <w:color w:val="auto"/>
                <w:highlight w:val="none"/>
              </w:rPr>
              <w:t xml:space="preserve">评委根据投标人提供的系统对接方案</w:t>
            </w:r>
            <w:r>
              <w:rPr>
                <w:rFonts w:ascii="宋体" w:hAnsi="宋体" w:cs="宋体"/>
                <w:color w:val="auto"/>
                <w:highlight w:val="none"/>
              </w:rPr>
              <w:t xml:space="preserve">综合评分</w:t>
            </w:r>
            <w:r>
              <w:rPr>
                <w:rFonts w:hint="eastAsia" w:ascii="宋体" w:hAnsi="宋体" w:cs="宋体"/>
                <w:color w:val="auto"/>
                <w:highlight w:val="none"/>
              </w:rPr>
              <w:t xml:space="preserve">（每项内容逐条阐述）</w:t>
            </w:r>
            <w:r>
              <w:rPr>
                <w:rFonts w:ascii="宋体" w:hAnsi="宋体" w:cs="宋体"/>
                <w:color w:val="auto"/>
                <w:highlight w:val="none"/>
              </w:rPr>
              <w:t xml:space="preserve">： </w:t>
            </w:r>
            <w:r/>
          </w:p>
          <w:p>
            <w:pPr>
              <w:jc w:val="left"/>
              <w:spacing w:line="264" w:lineRule="auto"/>
              <w:widowControl/>
              <w:rPr>
                <w:rFonts w:ascii="宋体" w:hAnsi="宋体" w:cs="宋体"/>
                <w:color w:val="auto"/>
                <w:highlight w:val="none"/>
              </w:rPr>
            </w:pPr>
            <w:r>
              <w:rPr>
                <w:rFonts w:ascii="宋体" w:hAnsi="宋体" w:cs="宋体"/>
                <w:color w:val="auto"/>
                <w:highlight w:val="none"/>
              </w:rPr>
              <w:t xml:space="preserve">包括：</w:t>
            </w:r>
            <w:r>
              <w:rPr>
                <w:rFonts w:hint="eastAsia" w:ascii="宋体" w:hAnsi="宋体" w:cs="宋体"/>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对接进度</w:t>
            </w:r>
            <w:r>
              <w:rPr>
                <w:rFonts w:ascii="宋体" w:hAnsi="宋体" w:cs="宋体"/>
                <w:color w:val="auto"/>
                <w:highlight w:val="none"/>
              </w:rPr>
              <w:t xml:space="preserve">；</w:t>
            </w:r>
            <w:r>
              <w:rPr>
                <w:rFonts w:hint="eastAsia" w:ascii="宋体" w:hAnsi="宋体" w:cs="宋体"/>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对接方案</w:t>
            </w:r>
            <w:r>
              <w:rPr>
                <w:rFonts w:ascii="宋体" w:hAnsi="宋体" w:cs="宋体"/>
                <w:color w:val="auto"/>
                <w:highlight w:val="none"/>
              </w:rPr>
              <w:t xml:space="preserve">；</w:t>
            </w:r>
            <w:r>
              <w:rPr>
                <w:rFonts w:hint="eastAsia" w:ascii="宋体" w:hAnsi="宋体" w:cs="宋体"/>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重点难点解决方案</w:t>
            </w:r>
            <w:r>
              <w:rPr>
                <w:rFonts w:ascii="宋体" w:hAnsi="宋体" w:cs="宋体"/>
                <w:color w:val="auto"/>
                <w:highlight w:val="none"/>
              </w:rPr>
              <w:t xml:space="preserve">。</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（1）上述每项需求理解完整深刻、针对性强、紧贴采购需求的，得2分； </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（2）上述每项需求理解较为完整深刻、针对性较强、能够满足采购需求的，得 1分； </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（3）上述每项需求理解基本完整、具有一定针对性、基本符合采购需求的，得 0.5分； </w:t>
            </w:r>
            <w:r/>
          </w:p>
          <w:p>
            <w:pPr>
              <w:jc w:val="left"/>
              <w:spacing w:line="264" w:lineRule="auto"/>
              <w:rPr>
                <w:rFonts w:ascii="宋体" w:hAnsi="宋体" w:cs="宋体"/>
                <w:color w:val="auto"/>
                <w:highlight w:val="none"/>
              </w:rPr>
            </w:pPr>
            <w:r>
              <w:rPr>
                <w:rFonts w:hint="eastAsia" w:ascii="宋体" w:hAnsi="宋体" w:cs="宋体"/>
                <w:color w:val="auto"/>
                <w:highlight w:val="none"/>
                <w:lang w:val="zh-CN"/>
              </w:rPr>
              <w:t xml:space="preserve">（4）上述每项需求理解不符合采购需求或未提供需求理解材料的，不得分。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szCs w:val="22"/>
                <w:highlight w:val="none"/>
              </w:rPr>
            </w:pPr>
            <w:r>
              <w:rPr>
                <w:rFonts w:hint="eastAsia" w:ascii="宋体" w:hAnsi="宋体" w:cs="宋体"/>
                <w:color w:val="auto"/>
                <w:spacing w:val="-2"/>
                <w:szCs w:val="22"/>
                <w:highlight w:val="none"/>
              </w:rPr>
              <w:t xml:space="preserve">2.6</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highlight w:val="none"/>
              </w:rPr>
            </w:pPr>
            <w:r>
              <w:rPr>
                <w:rFonts w:hint="eastAsia"/>
                <w:color w:val="auto"/>
                <w:highlight w:val="none"/>
              </w:rPr>
              <w:t xml:space="preserve">评委根据供应商提供的系统演示视频（总演示时间不超</w:t>
            </w:r>
            <w:r>
              <w:rPr>
                <w:rFonts w:hint="eastAsia" w:ascii="宋体" w:hAnsi="宋体" w:cs="宋体"/>
                <w:color w:val="auto"/>
                <w:highlight w:val="none"/>
              </w:rPr>
              <w:t xml:space="preserve">过</w:t>
            </w:r>
            <w:r>
              <w:rPr>
                <w:rFonts w:ascii="宋体" w:hAnsi="宋体" w:cs="宋体"/>
                <w:color w:val="auto"/>
                <w:highlight w:val="none"/>
              </w:rPr>
              <w:t xml:space="preserve">10</w:t>
            </w:r>
            <w:r>
              <w:rPr>
                <w:rFonts w:hint="eastAsia" w:ascii="宋体" w:hAnsi="宋体" w:cs="宋体"/>
                <w:color w:val="auto"/>
                <w:highlight w:val="none"/>
              </w:rPr>
              <w:t xml:space="preserve">分</w:t>
            </w:r>
            <w:r>
              <w:rPr>
                <w:rFonts w:hint="eastAsia"/>
                <w:color w:val="auto"/>
                <w:highlight w:val="none"/>
              </w:rPr>
              <w:t xml:space="preserve">钟）综合评分。演示视频包括以下内容： </w:t>
            </w:r>
            <w:r/>
          </w:p>
          <w:p>
            <w:pPr>
              <w:jc w:val="left"/>
              <w:spacing w:line="264" w:lineRule="auto"/>
              <w:widowControl/>
              <w:rPr>
                <w:rFonts w:ascii="宋体" w:hAnsi="宋体" w:cs="宋体"/>
                <w:color w:val="auto"/>
                <w:highlight w:val="none"/>
              </w:rPr>
            </w:pPr>
            <w:r>
              <w:rPr>
                <w:rFonts w:hint="eastAsia" w:ascii="宋体" w:hAnsi="宋体" w:cs="宋体"/>
                <w:color w:val="auto"/>
                <w:highlight w:val="none"/>
              </w:rPr>
              <w:t xml:space="preserve">1、通过客户端创建协作、加入协作及进行音频交互等操作，通过软件进行影像操作协同。</w:t>
            </w:r>
            <w:r/>
          </w:p>
          <w:p>
            <w:pPr>
              <w:jc w:val="left"/>
              <w:spacing w:line="264"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、可以协同主界面进行操作，实现基于原始PACS影像的双方同步操作，操作包括窗口布局调整、影像联动等。</w:t>
            </w:r>
            <w:r/>
          </w:p>
          <w:p>
            <w:pPr>
              <w:jc w:val="left"/>
              <w:spacing w:line="264" w:lineRule="auto"/>
              <w:rPr>
                <w:color w:val="auto"/>
                <w:highlight w:val="none"/>
              </w:rPr>
            </w:pPr>
            <w:r>
              <w:rPr>
                <w:rFonts w:hint="eastAsia"/>
                <w:color w:val="auto"/>
                <w:highlight w:val="none"/>
              </w:rPr>
              <w:t xml:space="preserve">以上每项内容采用真实系统演示：（1）演示内容全面、功能设计合理、用户界面友好的，得</w:t>
            </w:r>
            <w:r>
              <w:rPr>
                <w:rFonts w:hint="eastAsia" w:ascii="宋体" w:hAnsi="宋体" w:cs="宋体"/>
                <w:color w:val="auto"/>
                <w:highlight w:val="none"/>
              </w:rPr>
              <w:t xml:space="preserve">4</w:t>
            </w:r>
            <w:r>
              <w:rPr>
                <w:rFonts w:hint="eastAsia"/>
                <w:color w:val="auto"/>
                <w:highlight w:val="none"/>
              </w:rPr>
              <w:t xml:space="preserve">分；（2）演示内容较全面、功能设计较合理、用户界面较友好的，得</w:t>
            </w:r>
            <w:r>
              <w:rPr>
                <w:rFonts w:hint="eastAsia" w:ascii="宋体" w:hAnsi="宋体" w:cs="宋体"/>
                <w:color w:val="auto"/>
                <w:highlight w:val="none"/>
              </w:rPr>
              <w:t xml:space="preserve">3</w:t>
            </w:r>
            <w:r>
              <w:rPr>
                <w:rFonts w:hint="eastAsia"/>
                <w:color w:val="auto"/>
                <w:highlight w:val="none"/>
              </w:rPr>
              <w:t xml:space="preserve">分；（3）演示内容基本全面、功能设基本合理、用户界面基本友好的，2分；（4）演示内容不全面、功能设计不合理、用户界面不友好或者未提供演示的，不得分。</w:t>
            </w:r>
            <w:r/>
          </w:p>
          <w:p>
            <w:pPr>
              <w:jc w:val="left"/>
              <w:spacing w:line="264" w:lineRule="auto"/>
              <w:rPr>
                <w:color w:val="auto"/>
                <w:highlight w:val="none"/>
                <w:lang w:val="zh-CN"/>
              </w:rPr>
            </w:pPr>
            <w:r>
              <w:rPr>
                <w:rFonts w:hint="eastAsia"/>
                <w:color w:val="auto"/>
                <w:highlight w:val="none"/>
              </w:rPr>
              <w:t xml:space="preserve">采用系统原型（DEMO）、PPT等非真实系统演示的，上述对应得分减半。</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2"/>
                <w:highlight w:val="none"/>
              </w:rPr>
            </w:pPr>
            <w:r>
              <w:rPr>
                <w:rFonts w:ascii="宋体" w:hAnsi="宋体" w:cs="宋体"/>
                <w:color w:val="auto"/>
                <w:highlight w:val="none"/>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szCs w:val="22"/>
                <w:highlight w:val="none"/>
              </w:rPr>
            </w:pPr>
            <w:r>
              <w:rPr>
                <w:rFonts w:hint="eastAsia" w:ascii="宋体" w:hAnsi="宋体" w:cs="宋体"/>
                <w:color w:val="auto"/>
                <w:spacing w:val="-6"/>
                <w:highlight w:val="none"/>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维保服务方案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w:t>
            </w:r>
            <w:r>
              <w:rPr>
                <w:rFonts w:hint="eastAsia" w:ascii="宋体" w:hAnsi="宋体" w:cs="宋体"/>
                <w:color w:val="auto"/>
                <w:highlight w:val="none"/>
              </w:rPr>
              <w:t xml:space="preserve">维保</w:t>
            </w:r>
            <w:r>
              <w:rPr>
                <w:rFonts w:hint="eastAsia" w:ascii="宋体" w:hAnsi="宋体" w:cs="宋体"/>
                <w:color w:val="auto"/>
                <w:highlight w:val="none"/>
                <w:lang w:val="zh-CN"/>
              </w:rPr>
              <w:t xml:space="preserve">服务方案综合评分（每项内容逐条阐述）：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包括：1.技术支持；2.保障措施；3.服务流程。</w:t>
            </w:r>
            <w:r/>
          </w:p>
          <w:p>
            <w:pPr>
              <w:rPr>
                <w:rFonts w:ascii="宋体" w:hAnsi="宋体" w:cs="宋体"/>
                <w:color w:val="auto"/>
                <w:highlight w:val="none"/>
                <w:lang w:val="zh-CN"/>
              </w:rPr>
            </w:pPr>
            <w:r>
              <w:rPr>
                <w:rFonts w:hint="eastAsia" w:ascii="宋体" w:hAnsi="宋体" w:cs="宋体"/>
                <w:color w:val="auto"/>
                <w:highlight w:val="none"/>
                <w:lang w:val="zh-CN"/>
              </w:rPr>
              <w:t xml:space="preserve">（1）上述每项内容全面合理、针对性及操作性强的，得2分；</w:t>
            </w:r>
            <w:r/>
          </w:p>
          <w:p>
            <w:pPr>
              <w:rPr>
                <w:rFonts w:ascii="宋体" w:hAnsi="宋体" w:cs="宋体"/>
                <w:color w:val="auto"/>
                <w:highlight w:val="none"/>
                <w:lang w:val="zh-CN"/>
              </w:rPr>
            </w:pPr>
            <w:r>
              <w:rPr>
                <w:rFonts w:hint="eastAsia" w:ascii="宋体" w:hAnsi="宋体" w:cs="宋体"/>
                <w:color w:val="auto"/>
                <w:highlight w:val="none"/>
                <w:lang w:val="zh-CN"/>
              </w:rPr>
              <w:t xml:space="preserve">（2）上述每项内容较合理、针对性及操作性较强的，得1分；</w:t>
            </w:r>
            <w:r/>
          </w:p>
          <w:p>
            <w:pPr>
              <w:rPr>
                <w:rFonts w:ascii="宋体" w:hAnsi="宋体" w:cs="宋体"/>
                <w:color w:val="auto"/>
                <w:highlight w:val="none"/>
                <w:lang w:val="zh-CN"/>
              </w:rPr>
            </w:pPr>
            <w:r>
              <w:rPr>
                <w:rFonts w:hint="eastAsia" w:ascii="宋体" w:hAnsi="宋体" w:cs="宋体"/>
                <w:color w:val="auto"/>
                <w:highlight w:val="none"/>
                <w:lang w:val="zh-CN"/>
              </w:rPr>
              <w:t xml:space="preserve">（3）上述每项内容基本合理、具备一定的针对性及操作性，得0.5分；</w:t>
            </w:r>
            <w:r/>
          </w:p>
          <w:p>
            <w:pPr>
              <w:pStyle w:val="1048"/>
              <w:ind w:left="0"/>
              <w:spacing w:line="264" w:lineRule="auto"/>
              <w:rPr>
                <w:color w:val="auto"/>
                <w:highlight w:val="none"/>
              </w:rPr>
            </w:pPr>
            <w:r>
              <w:rPr>
                <w:rFonts w:hint="eastAsia" w:ascii="宋体" w:hAnsi="宋体" w:eastAsia="宋体"/>
                <w:color w:val="auto"/>
                <w:highlight w:val="none"/>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2"/>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评委根据投标人提供的培训方案综合评分（每项内容逐条阐述）：</w:t>
            </w:r>
            <w:r/>
          </w:p>
          <w:p>
            <w:pPr>
              <w:jc w:val="left"/>
              <w:spacing w:line="264" w:lineRule="auto"/>
              <w:rPr>
                <w:rFonts w:ascii="宋体" w:hAnsi="宋体" w:cs="宋体"/>
                <w:color w:val="auto"/>
                <w:highlight w:val="none"/>
                <w:lang w:val="zh-CN"/>
              </w:rPr>
            </w:pPr>
            <w:r>
              <w:rPr>
                <w:rFonts w:hint="eastAsia" w:ascii="宋体" w:hAnsi="宋体" w:cs="宋体"/>
                <w:color w:val="auto"/>
                <w:highlight w:val="none"/>
                <w:lang w:val="zh-CN"/>
              </w:rPr>
              <w:t xml:space="preserve">包括：1.培训内容；2.培训方式；3.培训师资。</w:t>
            </w:r>
            <w:r/>
          </w:p>
          <w:p>
            <w:pPr>
              <w:rPr>
                <w:rFonts w:ascii="宋体" w:hAnsi="宋体" w:cs="宋体"/>
                <w:color w:val="auto"/>
                <w:highlight w:val="none"/>
                <w:lang w:val="zh-CN"/>
              </w:rPr>
            </w:pPr>
            <w:r>
              <w:rPr>
                <w:rFonts w:hint="eastAsia" w:ascii="宋体" w:hAnsi="宋体" w:cs="宋体"/>
                <w:color w:val="auto"/>
                <w:highlight w:val="none"/>
                <w:lang w:val="zh-CN"/>
              </w:rPr>
              <w:t xml:space="preserve">（1）上述每项内容全面合理、针对性及操作性强的，得2分；</w:t>
            </w:r>
            <w:r/>
          </w:p>
          <w:p>
            <w:pPr>
              <w:rPr>
                <w:rFonts w:ascii="宋体" w:hAnsi="宋体" w:cs="宋体"/>
                <w:color w:val="auto"/>
                <w:highlight w:val="none"/>
                <w:lang w:val="zh-CN"/>
              </w:rPr>
            </w:pPr>
            <w:r>
              <w:rPr>
                <w:rFonts w:hint="eastAsia" w:ascii="宋体" w:hAnsi="宋体" w:cs="宋体"/>
                <w:color w:val="auto"/>
                <w:highlight w:val="none"/>
                <w:lang w:val="zh-CN"/>
              </w:rPr>
              <w:t xml:space="preserve">（2）上述每项内容较合理、针对性及操作性较强的，得1分；</w:t>
            </w:r>
            <w:r/>
          </w:p>
          <w:p>
            <w:pPr>
              <w:rPr>
                <w:rFonts w:ascii="宋体" w:hAnsi="宋体" w:cs="宋体"/>
                <w:color w:val="auto"/>
                <w:highlight w:val="none"/>
                <w:lang w:val="zh-CN"/>
              </w:rPr>
            </w:pPr>
            <w:r>
              <w:rPr>
                <w:rFonts w:hint="eastAsia" w:ascii="宋体" w:hAnsi="宋体" w:cs="宋体"/>
                <w:color w:val="auto"/>
                <w:highlight w:val="none"/>
                <w:lang w:val="zh-CN"/>
              </w:rPr>
              <w:t xml:space="preserve">（3）上述每项内容基本合理、具备一定的针对性及操作性，得0.5分；</w:t>
            </w:r>
            <w:r/>
          </w:p>
          <w:p>
            <w:pPr>
              <w:pStyle w:val="1048"/>
              <w:ind w:left="0"/>
              <w:spacing w:line="264" w:lineRule="auto"/>
              <w:rPr>
                <w:color w:val="auto"/>
                <w:highlight w:val="none"/>
                <w:lang w:val="en-US"/>
              </w:rPr>
            </w:pPr>
            <w:r>
              <w:rPr>
                <w:rFonts w:hint="eastAsia" w:ascii="宋体" w:hAnsi="宋体" w:eastAsia="宋体"/>
                <w:color w:val="auto"/>
                <w:highlight w:val="none"/>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2"/>
                <w:highlight w:val="none"/>
              </w:rPr>
            </w:pPr>
            <w:r>
              <w:rPr>
                <w:rFonts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highlight w:val="none"/>
              </w:rPr>
            </w:pPr>
            <w:r>
              <w:rPr>
                <w:rFonts w:hint="eastAsia"/>
                <w:color w:val="auto"/>
                <w:highlight w:val="none"/>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pacing w:val="-2"/>
                <w:highlight w:val="none"/>
              </w:rPr>
            </w:pPr>
            <w:r>
              <w:rPr>
                <w:rFonts w:hint="eastAsia" w:ascii="宋体" w:hAnsi="宋体" w:cs="宋体"/>
                <w:color w:val="auto"/>
                <w:highlight w:val="none"/>
              </w:rPr>
              <w:t xml:space="preserve">投标人具有本地化服务能力的得</w:t>
            </w:r>
            <w:r>
              <w:rPr>
                <w:rFonts w:hint="eastAsia" w:ascii="宋体" w:hAnsi="宋体" w:cs="宋体"/>
                <w:color w:val="auto"/>
                <w:highlight w:val="none"/>
                <w:lang w:val="en-US" w:eastAsia="zh-CN"/>
              </w:rPr>
              <w:t xml:space="preserve">1</w:t>
            </w:r>
            <w:bookmarkStart w:id="213" w:name="_GoBack"/>
            <w:r/>
            <w:bookmarkEnd w:id="213"/>
            <w:r>
              <w:rPr>
                <w:rFonts w:hint="eastAsia" w:ascii="宋体" w:hAnsi="宋体" w:cs="宋体"/>
                <w:color w:val="auto"/>
                <w:highlight w:val="none"/>
              </w:rPr>
              <w:t xml:space="preserve">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highlight w:val="none"/>
              </w:rPr>
            </w:pPr>
            <w:r>
              <w:rPr>
                <w:rFonts w:hint="eastAsia" w:ascii="宋体" w:hAnsi="宋体" w:cs="宋体"/>
                <w:color w:val="auto"/>
                <w:spacing w:val="-1"/>
                <w:highlight w:val="none"/>
              </w:rPr>
              <w:t xml:space="preserve">投标人</w:t>
            </w:r>
            <w:r>
              <w:rPr>
                <w:rFonts w:ascii="宋体" w:hAnsi="宋体" w:cs="宋体"/>
                <w:color w:val="auto"/>
                <w:spacing w:val="-1"/>
                <w:highlight w:val="none"/>
              </w:rPr>
              <w:t xml:space="preserve">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color w:val="auto"/>
                <w:highlight w:val="none"/>
                <w:lang w:bidi="zh-CN"/>
              </w:rPr>
            </w:pPr>
            <w:r>
              <w:rPr>
                <w:rFonts w:ascii="宋体" w:hAnsi="宋体" w:cs="宋体"/>
                <w:color w:val="auto"/>
                <w:highlight w:val="none"/>
              </w:rPr>
              <w:t xml:space="preserve">投标人</w:t>
            </w:r>
            <w:r>
              <w:rPr>
                <w:rFonts w:hint="eastAsia" w:ascii="宋体" w:hAnsi="宋体" w:cs="宋体"/>
                <w:color w:val="auto"/>
                <w:highlight w:val="none"/>
              </w:rPr>
              <w:t xml:space="preserve">提供</w:t>
            </w:r>
            <w:r>
              <w:rPr>
                <w:rFonts w:ascii="宋体" w:hAnsi="宋体" w:cs="宋体"/>
                <w:color w:val="auto"/>
                <w:highlight w:val="none"/>
              </w:rPr>
              <w:t xml:space="preserve">2022年1月1日</w:t>
            </w:r>
            <w:r>
              <w:rPr>
                <w:rFonts w:ascii="宋体" w:hAnsi="宋体" w:cs="宋体"/>
                <w:color w:val="auto"/>
                <w:highlight w:val="none"/>
              </w:rPr>
              <w:t xml:space="preserve">（含）以来类似项目业绩</w:t>
            </w:r>
            <w:r>
              <w:rPr>
                <w:rFonts w:hint="eastAsia" w:ascii="宋体" w:hAnsi="宋体" w:cs="宋体"/>
                <w:color w:val="auto"/>
                <w:highlight w:val="none"/>
              </w:rPr>
              <w:t xml:space="preserve">（至少包含影像中心、影像协同、专家协同等相关内容）</w:t>
            </w:r>
            <w:r>
              <w:rPr>
                <w:rFonts w:ascii="宋体" w:hAnsi="宋体" w:cs="宋体"/>
                <w:color w:val="auto"/>
                <w:highlight w:val="none"/>
              </w:rPr>
              <w:t xml:space="preserve">，每提供</w:t>
            </w:r>
            <w:r>
              <w:rPr>
                <w:rFonts w:hint="eastAsia" w:ascii="宋体" w:hAnsi="宋体" w:cs="宋体"/>
                <w:color w:val="auto"/>
                <w:highlight w:val="none"/>
              </w:rPr>
              <w:t xml:space="preserve">1</w:t>
            </w:r>
            <w:r>
              <w:rPr>
                <w:rFonts w:ascii="宋体" w:hAnsi="宋体" w:cs="宋体"/>
                <w:color w:val="auto"/>
                <w:highlight w:val="none"/>
              </w:rPr>
              <w:t xml:space="preserve">个得</w:t>
            </w:r>
            <w:r>
              <w:rPr>
                <w:rFonts w:hint="eastAsia" w:ascii="宋体" w:hAnsi="宋体" w:cs="宋体"/>
                <w:color w:val="auto"/>
                <w:highlight w:val="none"/>
              </w:rPr>
              <w:t xml:space="preserve">2</w:t>
            </w:r>
            <w:r>
              <w:rPr>
                <w:rFonts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最多6分</w:t>
            </w:r>
            <w:r>
              <w:rPr>
                <w:rFonts w:ascii="宋体" w:hAnsi="宋体" w:cs="宋体"/>
                <w:color w:val="auto"/>
                <w:highlight w:val="none"/>
              </w:rPr>
              <w:t xml:space="preserve">。（</w:t>
            </w:r>
            <w:r>
              <w:rPr>
                <w:rFonts w:hint="eastAsia" w:ascii="宋体" w:hAnsi="宋体" w:cs="宋体"/>
                <w:color w:val="auto"/>
                <w:highlight w:val="none"/>
              </w:rPr>
              <w:t xml:space="preserve">时间以合同签订时间为准，</w:t>
            </w:r>
            <w:r>
              <w:rPr>
                <w:rFonts w:ascii="宋体" w:hAnsi="宋体" w:cs="宋体"/>
                <w:color w:val="auto"/>
                <w:highlight w:val="none"/>
              </w:rPr>
              <w:t xml:space="preserve">提供有效合同，合同</w:t>
            </w:r>
            <w:r>
              <w:rPr>
                <w:rFonts w:hint="eastAsia" w:ascii="宋体" w:hAnsi="宋体" w:cs="宋体"/>
                <w:color w:val="auto"/>
                <w:highlight w:val="none"/>
              </w:rPr>
              <w:t xml:space="preserve">页</w:t>
            </w:r>
            <w:r>
              <w:rPr>
                <w:rFonts w:ascii="宋体" w:hAnsi="宋体" w:cs="宋体"/>
                <w:color w:val="auto"/>
                <w:highlight w:val="none"/>
              </w:rPr>
              <w:t xml:space="preserve">须清晰可见相应内容</w:t>
            </w:r>
            <w:r>
              <w:rPr>
                <w:rFonts w:ascii="宋体" w:hAnsi="宋体" w:cs="宋体"/>
                <w:color w:val="auto"/>
                <w:szCs w:val="22"/>
                <w:highlight w:val="none"/>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highlight w:val="none"/>
              </w:rPr>
            </w:pPr>
            <w:r>
              <w:rPr>
                <w:rFonts w:hint="eastAsia" w:ascii="宋体" w:hAnsi="宋体" w:cs="宋体"/>
                <w:color w:val="auto"/>
                <w:highlight w:val="none"/>
              </w:rPr>
              <w:t xml:space="preserve">项目经理能力：</w:t>
            </w:r>
            <w:r/>
          </w:p>
          <w:p>
            <w:pPr>
              <w:spacing w:line="264" w:lineRule="auto"/>
              <w:rPr>
                <w:rFonts w:ascii="宋体" w:hAnsi="宋体" w:cs="宋体"/>
                <w:color w:val="auto"/>
                <w:szCs w:val="22"/>
                <w:highlight w:val="none"/>
                <w:lang w:val="zh-CN"/>
              </w:rPr>
            </w:pPr>
            <w:r>
              <w:rPr>
                <w:rFonts w:hint="eastAsia" w:ascii="宋体" w:hAnsi="宋体" w:cs="宋体"/>
                <w:color w:val="auto"/>
                <w:szCs w:val="22"/>
                <w:highlight w:val="none"/>
                <w:lang w:val="zh-CN"/>
              </w:rPr>
              <w:t xml:space="preserve">供应商拟投入本项目的项目经理担任过类似影像解决方案类</w:t>
            </w:r>
            <w:r>
              <w:rPr>
                <w:rFonts w:hint="eastAsia" w:ascii="宋体" w:hAnsi="宋体" w:cs="宋体"/>
                <w:color w:val="auto"/>
                <w:szCs w:val="22"/>
                <w:highlight w:val="none"/>
              </w:rPr>
              <w:t xml:space="preserve">的</w:t>
            </w:r>
            <w:r>
              <w:rPr>
                <w:rFonts w:hint="eastAsia" w:ascii="宋体" w:hAnsi="宋体" w:cs="宋体"/>
                <w:color w:val="auto"/>
                <w:szCs w:val="22"/>
                <w:highlight w:val="none"/>
                <w:lang w:val="zh-CN"/>
              </w:rPr>
              <w:t xml:space="preserve">项目经理，得</w:t>
            </w:r>
            <w:r>
              <w:rPr>
                <w:rFonts w:hint="eastAsia" w:ascii="宋体" w:hAnsi="宋体" w:cs="宋体"/>
                <w:color w:val="auto"/>
                <w:szCs w:val="22"/>
                <w:highlight w:val="none"/>
              </w:rPr>
              <w:t xml:space="preserve">3</w:t>
            </w:r>
            <w:r>
              <w:rPr>
                <w:rFonts w:hint="eastAsia" w:ascii="宋体" w:hAnsi="宋体" w:cs="宋体"/>
                <w:color w:val="auto"/>
                <w:szCs w:val="22"/>
                <w:highlight w:val="none"/>
                <w:lang w:val="zh-CN"/>
              </w:rPr>
              <w:t xml:space="preserve">分；</w:t>
            </w:r>
            <w:r/>
          </w:p>
          <w:p>
            <w:pPr>
              <w:spacing w:line="264" w:lineRule="auto"/>
              <w:rPr>
                <w:color w:val="auto"/>
                <w:highlight w:val="none"/>
              </w:rPr>
            </w:pPr>
            <w:r>
              <w:rPr>
                <w:rFonts w:hint="eastAsia" w:ascii="宋体" w:hAnsi="宋体" w:cs="宋体"/>
                <w:color w:val="auto"/>
                <w:szCs w:val="22"/>
                <w:highlight w:val="none"/>
                <w:lang w:val="zh-CN"/>
              </w:rPr>
              <w:t xml:space="preserve">（提供</w:t>
            </w:r>
            <w:r>
              <w:rPr>
                <w:rFonts w:hint="eastAsia" w:ascii="宋体" w:hAnsi="宋体" w:cs="宋体"/>
                <w:color w:val="auto"/>
                <w:szCs w:val="22"/>
                <w:highlight w:val="none"/>
              </w:rPr>
              <w:t xml:space="preserve">项目经理工作</w:t>
            </w:r>
            <w:r>
              <w:rPr>
                <w:rFonts w:hint="eastAsia" w:ascii="宋体" w:hAnsi="宋体" w:cs="宋体"/>
                <w:color w:val="auto"/>
                <w:szCs w:val="22"/>
                <w:highlight w:val="none"/>
                <w:lang w:val="zh-CN"/>
              </w:rPr>
              <w:t xml:space="preserve">简历或其他证明材料，以及</w:t>
            </w:r>
            <w:r>
              <w:rPr>
                <w:rFonts w:ascii="宋体" w:hAnsi="宋体" w:cs="宋体"/>
                <w:color w:val="auto"/>
                <w:highlight w:val="none"/>
                <w:lang w:val="zh-CN"/>
              </w:rPr>
              <w:t xml:space="preserve">投标人为其缴纳的2025年</w:t>
            </w:r>
            <w:r>
              <w:rPr>
                <w:rFonts w:ascii="宋体" w:hAnsi="宋体" w:cs="宋体"/>
                <w:color w:val="auto"/>
                <w:highlight w:val="none"/>
              </w:rPr>
              <w:t xml:space="preserve">1</w:t>
            </w:r>
            <w:r>
              <w:rPr>
                <w:rFonts w:hint="eastAsia" w:ascii="宋体" w:hAnsi="宋体" w:cs="宋体"/>
                <w:color w:val="auto"/>
                <w:highlight w:val="none"/>
                <w:lang w:val="zh-CN"/>
              </w:rPr>
              <w:t xml:space="preserve">月以来任意</w:t>
            </w:r>
            <w:r>
              <w:rPr>
                <w:rFonts w:ascii="宋体" w:hAnsi="宋体" w:cs="宋体"/>
                <w:color w:val="auto"/>
                <w:highlight w:val="none"/>
                <w:lang w:val="zh-CN"/>
              </w:rPr>
              <w:t xml:space="preserve">1个月社保证明材料</w:t>
            </w:r>
            <w:r>
              <w:rPr>
                <w:rFonts w:hint="eastAsia" w:ascii="宋体" w:hAnsi="宋体" w:cs="宋体"/>
                <w:color w:val="auto"/>
                <w:highlight w:val="none"/>
                <w:lang w:val="zh-CN"/>
              </w:rPr>
              <w:t xml:space="preserve">，缺一不可</w:t>
            </w:r>
            <w:r>
              <w:rPr>
                <w:rFonts w:hint="eastAsia" w:ascii="宋体" w:hAnsi="宋体" w:cs="宋体"/>
                <w:color w:val="auto"/>
                <w:szCs w:val="22"/>
                <w:highlight w:val="none"/>
                <w:lang w:val="zh-CN"/>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2"/>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highlight w:val="none"/>
              </w:rPr>
            </w:pPr>
            <w:r>
              <w:rPr>
                <w:rFonts w:hint="eastAsia" w:ascii="宋体" w:hAnsi="宋体" w:cs="宋体"/>
                <w:color w:val="auto"/>
                <w:highlight w:val="none"/>
              </w:rPr>
              <w:t xml:space="preserve">项目实施团队能力（不含项目经理）：</w:t>
            </w:r>
            <w:r/>
          </w:p>
          <w:p>
            <w:pPr>
              <w:spacing w:line="264" w:lineRule="auto"/>
              <w:rPr>
                <w:rFonts w:ascii="宋体" w:hAnsi="宋体" w:cs="宋体"/>
                <w:color w:val="auto"/>
                <w:highlight w:val="none"/>
              </w:rPr>
            </w:pPr>
            <w:r>
              <w:rPr>
                <w:rFonts w:hint="eastAsia" w:ascii="宋体" w:hAnsi="宋体" w:cs="宋体"/>
                <w:color w:val="auto"/>
                <w:highlight w:val="none"/>
              </w:rPr>
              <w:t xml:space="preserve">团队成员具有</w:t>
            </w:r>
            <w:r>
              <w:rPr>
                <w:rFonts w:hint="eastAsia" w:ascii="宋体" w:hAnsi="宋体" w:cs="宋体"/>
                <w:color w:val="auto"/>
                <w:szCs w:val="22"/>
                <w:highlight w:val="none"/>
              </w:rPr>
              <w:t xml:space="preserve">计算机技术与软件专业技术资格“信息系统项目管理师”、 计算机技术与软件专业技术资格“网络工程师”</w:t>
            </w:r>
            <w:r>
              <w:rPr>
                <w:rFonts w:hint="eastAsia" w:ascii="宋体" w:hAnsi="宋体" w:cs="宋体"/>
                <w:color w:val="auto"/>
                <w:highlight w:val="none"/>
              </w:rPr>
              <w:t xml:space="preserve">证书，每提供1个证书得2分，最高得4分。</w:t>
            </w:r>
            <w:r/>
          </w:p>
          <w:p>
            <w:pPr>
              <w:spacing w:line="264" w:lineRule="auto"/>
              <w:rPr>
                <w:rFonts w:ascii="宋体" w:hAnsi="宋体" w:cs="宋体"/>
                <w:color w:val="auto"/>
                <w:szCs w:val="22"/>
                <w:highlight w:val="none"/>
              </w:rPr>
            </w:pPr>
            <w:r>
              <w:rPr>
                <w:rFonts w:hint="eastAsia" w:ascii="宋体" w:hAnsi="宋体" w:cs="宋体"/>
                <w:color w:val="auto"/>
                <w:highlight w:val="none"/>
              </w:rPr>
              <w:t xml:space="preserve">（提供团队成员证书，投标人为其缴纳的 </w:t>
            </w:r>
            <w:r>
              <w:rPr>
                <w:rFonts w:ascii="宋体" w:hAnsi="宋体" w:cs="宋体"/>
                <w:color w:val="auto"/>
                <w:szCs w:val="22"/>
                <w:highlight w:val="none"/>
              </w:rPr>
              <w:t xml:space="preserve">2025</w:t>
            </w:r>
            <w:r>
              <w:rPr>
                <w:rFonts w:hint="eastAsia" w:ascii="宋体" w:hAnsi="宋体" w:cs="宋体"/>
                <w:color w:val="auto"/>
                <w:szCs w:val="22"/>
                <w:highlight w:val="none"/>
              </w:rPr>
              <w:t xml:space="preserve">年</w:t>
            </w:r>
            <w:r>
              <w:rPr>
                <w:rFonts w:ascii="宋体" w:hAnsi="宋体" w:cs="宋体"/>
                <w:color w:val="auto"/>
                <w:szCs w:val="22"/>
                <w:highlight w:val="none"/>
              </w:rPr>
              <w:t xml:space="preserve">1</w:t>
            </w:r>
            <w:r>
              <w:rPr>
                <w:rFonts w:hint="eastAsia" w:ascii="宋体" w:hAnsi="宋体" w:cs="宋体"/>
                <w:color w:val="auto"/>
                <w:szCs w:val="22"/>
                <w:highlight w:val="none"/>
              </w:rPr>
              <w:t xml:space="preserve">月</w:t>
            </w:r>
            <w:r>
              <w:rPr>
                <w:rFonts w:hint="eastAsia" w:ascii="宋体" w:hAnsi="宋体" w:cs="宋体"/>
                <w:color w:val="auto"/>
                <w:highlight w:val="none"/>
              </w:rPr>
              <w:t xml:space="preserve">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2"/>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color w:val="auto"/>
                <w:highlight w:val="none"/>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highlight w:val="none"/>
              </w:rPr>
            </w:pPr>
            <w:r>
              <w:rPr>
                <w:rFonts w:hint="eastAsia" w:ascii="宋体" w:hAnsi="宋体" w:cs="宋体"/>
                <w:color w:val="auto"/>
                <w:highlight w:val="none"/>
              </w:rPr>
              <w:t xml:space="preserve">投标人具有本项目相关的软件著作权证书，包括</w:t>
            </w:r>
            <w:r>
              <w:rPr>
                <w:rFonts w:ascii="宋体" w:hAnsi="宋体" w:cs="宋体"/>
                <w:color w:val="auto"/>
                <w:highlight w:val="none"/>
              </w:rPr>
              <w:t xml:space="preserve">“</w:t>
            </w:r>
            <w:r>
              <w:rPr>
                <w:rFonts w:hint="eastAsia" w:ascii="宋体" w:hAnsi="宋体" w:cs="宋体"/>
                <w:color w:val="auto"/>
                <w:highlight w:val="none"/>
              </w:rPr>
              <w:t xml:space="preserve">影音</w:t>
            </w:r>
            <w:r>
              <w:rPr>
                <w:rFonts w:hint="eastAsia" w:ascii="宋体" w:hAnsi="宋体" w:cs="宋体"/>
                <w:color w:val="auto"/>
                <w:szCs w:val="22"/>
                <w:highlight w:val="none"/>
              </w:rPr>
              <w:t xml:space="preserve">协同、会议、协同、影像中心</w:t>
            </w:r>
            <w:r>
              <w:rPr>
                <w:rFonts w:ascii="宋体" w:hAnsi="宋体" w:cs="宋体"/>
                <w:color w:val="auto"/>
                <w:highlight w:val="none"/>
              </w:rPr>
              <w:t xml:space="preserve">”</w:t>
            </w:r>
            <w:r>
              <w:rPr>
                <w:rFonts w:hint="eastAsia" w:ascii="宋体" w:hAnsi="宋体" w:cs="宋体"/>
                <w:color w:val="auto"/>
                <w:highlight w:val="none"/>
              </w:rPr>
              <w:t xml:space="preserve">等，每提供1个证书得</w:t>
            </w:r>
            <w:r>
              <w:rPr>
                <w:rFonts w:ascii="宋体" w:hAnsi="宋体" w:cs="宋体"/>
                <w:color w:val="auto"/>
                <w:highlight w:val="none"/>
              </w:rPr>
              <w:t xml:space="preserve">2</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最多8分</w:t>
            </w:r>
            <w:r>
              <w:rPr>
                <w:rFonts w:hint="eastAsia" w:ascii="宋体" w:hAnsi="宋体" w:cs="宋体"/>
                <w:color w:val="auto"/>
                <w:highlight w:val="none"/>
              </w:rPr>
              <w:t xml:space="preserve">。 </w:t>
            </w:r>
            <w:r/>
          </w:p>
          <w:p>
            <w:pPr>
              <w:spacing w:line="264" w:lineRule="auto"/>
              <w:rPr>
                <w:color w:val="auto"/>
                <w:highlight w:val="none"/>
              </w:rPr>
            </w:pPr>
            <w:r>
              <w:rPr>
                <w:rFonts w:hint="eastAsia" w:ascii="宋体" w:hAnsi="宋体" w:cs="宋体"/>
                <w:color w:val="auto"/>
                <w:highlight w:val="none"/>
              </w:rPr>
              <w:t xml:space="preserve">（所提供证书</w:t>
            </w:r>
            <w:r>
              <w:rPr>
                <w:rFonts w:ascii="宋体" w:hAnsi="宋体" w:cs="宋体"/>
                <w:color w:val="auto"/>
                <w:highlight w:val="none"/>
              </w:rPr>
              <w:t xml:space="preserve">“</w:t>
            </w:r>
            <w:r>
              <w:rPr>
                <w:rFonts w:hint="eastAsia" w:ascii="宋体" w:hAnsi="宋体" w:cs="宋体"/>
                <w:color w:val="auto"/>
                <w:highlight w:val="none"/>
              </w:rPr>
              <w:t xml:space="preserve">软件名称</w:t>
            </w:r>
            <w:r>
              <w:rPr>
                <w:rFonts w:ascii="宋体" w:hAnsi="宋体" w:cs="宋体"/>
                <w:color w:val="auto"/>
                <w:highlight w:val="none"/>
              </w:rPr>
              <w:t xml:space="preserve">”</w:t>
            </w:r>
            <w:r>
              <w:rPr>
                <w:rFonts w:hint="eastAsia" w:ascii="宋体" w:hAnsi="宋体" w:cs="宋体"/>
                <w:color w:val="auto"/>
                <w:highlight w:val="none"/>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2"/>
                <w:highlight w:val="none"/>
              </w:rPr>
            </w:pPr>
            <w:r>
              <w:rPr>
                <w:rFonts w:ascii="宋体" w:hAnsi="宋体" w:cs="宋体"/>
                <w:color w:val="auto"/>
                <w:highlight w:val="none"/>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auto"/>
                <w:spacing w:val="-2"/>
                <w:highlight w:val="none"/>
              </w:rPr>
            </w:pPr>
            <w:r>
              <w:rPr>
                <w:rFonts w:ascii="宋体" w:hAnsi="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color w:val="auto"/>
                <w:highlight w:val="none"/>
              </w:rPr>
            </w:pPr>
            <w:r>
              <w:rPr>
                <w:rFonts w:ascii="宋体" w:hAnsi="宋体" w:cs="宋体"/>
                <w:color w:val="auto"/>
                <w:spacing w:val="-11"/>
                <w:highlight w:val="none"/>
              </w:rPr>
              <w:t xml:space="preserve">100分</w:t>
            </w:r>
            <w:r/>
          </w:p>
        </w:tc>
      </w:tr>
    </w:tbl>
    <w:p>
      <w:pPr>
        <w:spacing w:line="264" w:lineRule="auto"/>
        <w:rPr>
          <w:color w:val="auto"/>
          <w:highlight w:val="none"/>
        </w:rPr>
      </w:pPr>
      <w:r>
        <w:rPr>
          <w:color w:val="auto"/>
          <w:highlight w:val="none"/>
        </w:rPr>
      </w:r>
      <w:r/>
    </w:p>
    <w:p>
      <w:pPr>
        <w:spacing w:line="264" w:lineRule="auto"/>
        <w:rPr>
          <w:color w:val="auto"/>
          <w:highlight w:val="none"/>
        </w:rPr>
      </w:pPr>
      <w:r>
        <w:rPr>
          <w:color w:val="auto"/>
          <w:highlight w:val="none"/>
        </w:rPr>
      </w:r>
      <w:r/>
    </w:p>
    <w:p>
      <w:pPr>
        <w:spacing w:line="264" w:lineRule="auto"/>
        <w:rPr>
          <w:color w:val="auto"/>
          <w:highlight w:val="none"/>
        </w:rPr>
      </w:pPr>
      <w:r>
        <w:rPr>
          <w:color w:val="auto"/>
          <w:highlight w:val="none"/>
        </w:rPr>
      </w:r>
      <w:r/>
    </w:p>
    <w:p>
      <w:pPr>
        <w:pStyle w:val="1048"/>
        <w:rPr>
          <w:rFonts w:ascii="宋体" w:hAnsi="宋体" w:eastAsia="宋体"/>
          <w:b/>
          <w:bCs/>
          <w:color w:val="auto"/>
          <w:sz w:val="24"/>
          <w:szCs w:val="24"/>
          <w:highlight w:val="none"/>
          <w:lang w:val="en-US"/>
        </w:rPr>
      </w:pPr>
      <w:r>
        <w:rPr>
          <w:rFonts w:ascii="宋体" w:hAnsi="宋体" w:eastAsia="宋体"/>
          <w:b/>
          <w:bCs/>
          <w:color w:val="auto"/>
          <w:sz w:val="24"/>
          <w:szCs w:val="24"/>
          <w:highlight w:val="none"/>
          <w:lang w:val="en-US"/>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投标</w:t>
      </w:r>
      <w:bookmarkEnd w:id="191"/>
      <w:r/>
      <w:bookmarkEnd w:id="192"/>
      <w:r/>
      <w:bookmarkEnd w:id="194"/>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ascii="宋体" w:hAnsi="宋体"/>
          <w:b/>
          <w:color w:val="auto"/>
          <w:sz w:val="72"/>
          <w:highlight w:val="none"/>
        </w:rPr>
      </w:pPr>
      <w:r/>
      <w:bookmarkStart w:id="195" w:name="_Hlt26955039"/>
      <w:r/>
      <w:bookmarkEnd w:id="195"/>
      <w:r/>
      <w:bookmarkStart w:id="196" w:name="_Hlt26671244"/>
      <w:r/>
      <w:bookmarkEnd w:id="196"/>
      <w:r/>
      <w:bookmarkStart w:id="197" w:name="_Toc49090576"/>
      <w:r/>
      <w:bookmarkStart w:id="198" w:name="_Toc120614282"/>
      <w:r/>
      <w:bookmarkStart w:id="199" w:name="_Toc26554094"/>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六、投标分项报价表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十二、分包承诺书（如有）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十三、关于符合本国产品标准的声明函（如有）</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1051"/>
        <w:rPr>
          <w:color w:val="auto"/>
          <w:sz w:val="24"/>
          <w:highlight w:val="none"/>
        </w:rPr>
      </w:pPr>
      <w:r>
        <w:rPr>
          <w:color w:val="auto"/>
          <w:sz w:val="24"/>
          <w:highlight w:val="none"/>
        </w:rPr>
      </w:r>
      <w:r/>
    </w:p>
    <w:p>
      <w:pPr>
        <w:pStyle w:val="1051"/>
        <w:rPr>
          <w:color w:val="auto"/>
          <w:sz w:val="24"/>
          <w:highlight w:val="none"/>
        </w:rPr>
      </w:pPr>
      <w:r>
        <w:rPr>
          <w:color w:val="auto"/>
          <w:sz w:val="24"/>
          <w:highlight w:val="none"/>
        </w:rPr>
      </w:r>
      <w:r/>
    </w:p>
    <w:p>
      <w:pPr>
        <w:pStyle w:val="1051"/>
        <w:rPr>
          <w:color w:val="auto"/>
          <w:sz w:val="24"/>
          <w:highlight w:val="none"/>
        </w:rPr>
      </w:pPr>
      <w:r>
        <w:rPr>
          <w:color w:val="auto"/>
          <w:sz w:val="24"/>
          <w:highlight w:val="none"/>
        </w:rPr>
      </w:r>
      <w:r/>
    </w:p>
    <w:p>
      <w:pPr>
        <w:pStyle w:val="1051"/>
        <w:rPr>
          <w:color w:val="auto"/>
          <w:sz w:val="24"/>
          <w:highlight w:val="none"/>
        </w:rPr>
      </w:pPr>
      <w:r>
        <w:rPr>
          <w:color w:val="auto"/>
          <w:sz w:val="24"/>
          <w:highlight w:val="none"/>
        </w:rPr>
      </w:r>
      <w:r/>
    </w:p>
    <w:p>
      <w:pPr>
        <w:pStyle w:val="1051"/>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bookmarkEnd w:id="197"/>
      <w:r/>
      <w:bookmarkEnd w:id="198"/>
      <w:r/>
      <w:bookmarkEnd w:id="199"/>
      <w:r/>
      <w:r/>
    </w:p>
    <w:p>
      <w:pPr>
        <w:rPr>
          <w:rFonts w:ascii="黑体" w:hAnsi="黑体" w:eastAsia="黑体"/>
          <w:i/>
          <w:color w:val="auto"/>
          <w:sz w:val="32"/>
          <w:szCs w:val="32"/>
          <w:highlight w:val="none"/>
          <w:u w:val="single"/>
        </w:rPr>
      </w:pPr>
      <w:r/>
      <w:bookmarkStart w:id="200" w:name="_Toc120614284"/>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南京市公共资源交易中心：</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88"/>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1090"/>
        <w:rPr>
          <w:rFonts w:ascii="宋体" w:hAnsi="宋体"/>
          <w:b/>
          <w:bCs/>
          <w:color w:val="auto"/>
          <w:highlight w:val="none"/>
          <w:lang w:eastAsia="zh-CN"/>
        </w:rPr>
      </w:pPr>
      <w:r>
        <w:rPr>
          <w:rFonts w:ascii="宋体" w:hAnsi="宋体"/>
          <w:b/>
          <w:bCs/>
          <w:color w:val="auto"/>
          <w:highlight w:val="none"/>
          <w:lang w:eastAsia="zh-CN"/>
        </w:rPr>
      </w:r>
      <w:r/>
    </w:p>
    <w:p>
      <w:pPr>
        <w:rPr>
          <w:color w:val="auto"/>
          <w:highlight w:val="none"/>
        </w:rPr>
      </w:pPr>
      <w:r>
        <w:rPr>
          <w:color w:val="auto"/>
          <w:highlight w:val="none"/>
        </w:rPr>
      </w:r>
      <w:r/>
    </w:p>
    <w:p>
      <w:pPr>
        <w:pStyle w:val="824"/>
        <w:rPr>
          <w:color w:val="auto"/>
          <w:highlight w:val="none"/>
        </w:rPr>
      </w:pPr>
      <w:r>
        <w:rPr>
          <w:color w:val="auto"/>
          <w:highlight w:val="none"/>
        </w:rPr>
      </w:r>
      <w:r/>
    </w:p>
    <w:p>
      <w:pPr>
        <w:rPr>
          <w:color w:val="auto"/>
          <w:highlight w:val="none"/>
        </w:rPr>
      </w:pPr>
      <w:r>
        <w:rPr>
          <w:color w:val="auto"/>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1060"/>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090"/>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法人授权书</w:t>
      </w:r>
      <w:r/>
    </w:p>
    <w:p>
      <w:pPr>
        <w:pStyle w:val="1060"/>
        <w:ind w:firstLine="480"/>
        <w:spacing w:line="420" w:lineRule="exact"/>
        <w:rPr>
          <w:color w:val="auto"/>
          <w:sz w:val="24"/>
          <w:szCs w:val="24"/>
          <w:highlight w:val="none"/>
        </w:rPr>
      </w:pPr>
      <w:r>
        <w:rPr>
          <w:color w:val="auto"/>
          <w:sz w:val="24"/>
          <w:szCs w:val="24"/>
          <w:highlight w:val="none"/>
        </w:rPr>
      </w:r>
      <w:r/>
    </w:p>
    <w:p>
      <w:pPr>
        <w:pStyle w:val="1060"/>
        <w:ind w:firstLine="480"/>
        <w:spacing w:line="480" w:lineRule="exac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1060"/>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1060"/>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1060"/>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1060"/>
        <w:ind w:firstLine="46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1060"/>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1060"/>
        <w:ind w:firstLine="480"/>
        <w:spacing w:line="480" w:lineRule="exact"/>
        <w:rPr>
          <w:color w:val="auto"/>
          <w:sz w:val="24"/>
          <w:szCs w:val="24"/>
          <w:highlight w:val="none"/>
        </w:rPr>
      </w:pPr>
      <w:r>
        <w:rPr>
          <w:rFonts w:hint="eastAsia"/>
          <w:color w:val="auto"/>
          <w:sz w:val="24"/>
          <w:szCs w:val="24"/>
          <w:highlight w:val="none"/>
        </w:rPr>
        <w:t xml:space="preserve">日    期：</w:t>
      </w:r>
      <w:bookmarkStart w:id="201" w:name="_Hlt26671380"/>
      <w:r/>
      <w:bookmarkEnd w:id="201"/>
      <w:r/>
      <w:bookmarkStart w:id="202" w:name="_Hlt26955070"/>
      <w:r/>
      <w:bookmarkEnd w:id="202"/>
      <w:r/>
      <w:bookmarkStart w:id="203" w:name="_格式3__银行出具的资信证明"/>
      <w:r/>
      <w:bookmarkEnd w:id="203"/>
      <w:r/>
      <w:r/>
    </w:p>
    <w:p>
      <w:pPr>
        <w:pStyle w:val="977"/>
        <w:rPr>
          <w:i/>
          <w:color w:val="auto"/>
          <w:sz w:val="24"/>
          <w:szCs w:val="24"/>
          <w:highlight w:val="none"/>
          <w:u w:val="single"/>
        </w:rPr>
      </w:pPr>
      <w:r>
        <w:rPr>
          <w:i/>
          <w:color w:val="auto"/>
          <w:sz w:val="24"/>
          <w:szCs w:val="24"/>
          <w:highlight w:val="none"/>
          <w:u w:val="single"/>
        </w:rPr>
      </w:r>
      <w:r/>
    </w:p>
    <w:p>
      <w:pPr>
        <w:pStyle w:val="977"/>
        <w:rPr>
          <w:i/>
          <w:color w:val="auto"/>
          <w:sz w:val="24"/>
          <w:szCs w:val="24"/>
          <w:highlight w:val="none"/>
          <w:u w:val="single"/>
        </w:rPr>
      </w:pPr>
      <w:r>
        <w:rPr>
          <w:i/>
          <w:color w:val="auto"/>
          <w:sz w:val="24"/>
          <w:szCs w:val="24"/>
          <w:highlight w:val="none"/>
          <w:u w:val="single"/>
        </w:rPr>
      </w:r>
      <w:r/>
    </w:p>
    <w:p>
      <w:pPr>
        <w:pStyle w:val="977"/>
        <w:rPr>
          <w:i/>
          <w:color w:val="auto"/>
          <w:sz w:val="24"/>
          <w:szCs w:val="24"/>
          <w:highlight w:val="none"/>
          <w:u w:val="single"/>
        </w:rPr>
      </w:pPr>
      <w:r>
        <w:rPr>
          <w:i/>
          <w:color w:val="auto"/>
          <w:sz w:val="24"/>
          <w:szCs w:val="24"/>
          <w:highlight w:val="none"/>
          <w:u w:val="single"/>
        </w:rPr>
      </w:r>
      <w:r/>
    </w:p>
    <w:p>
      <w:pPr>
        <w:pStyle w:val="977"/>
        <w:ind w:firstLine="0"/>
        <w:rPr>
          <w:color w:val="auto"/>
          <w:highlight w:val="none"/>
        </w:rPr>
      </w:pPr>
      <w:r>
        <w:rPr>
          <w:color w:val="auto"/>
          <w:highlight w:val="none"/>
        </w:rPr>
      </w:r>
      <w:r/>
    </w:p>
    <w:p>
      <w:pPr>
        <w:spacing w:line="460" w:lineRule="exact"/>
        <w:rPr>
          <w:rFonts w:ascii="楷体" w:hAnsi="楷体" w:eastAsia="楷体"/>
          <w:bCs/>
          <w:color w:val="auto"/>
          <w:sz w:val="24"/>
          <w:szCs w:val="24"/>
          <w:highlight w:val="none"/>
        </w:rPr>
      </w:pPr>
      <w:r>
        <w:rPr>
          <w:rFonts w:ascii="楷体" w:hAnsi="楷体" w:eastAsia="楷体"/>
          <w:bCs/>
          <w:color w:val="auto"/>
          <w:sz w:val="24"/>
          <w:szCs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1051"/>
        <w:rPr>
          <w:bCs/>
          <w:color w:val="auto"/>
          <w:sz w:val="24"/>
          <w:highlight w:val="none"/>
        </w:rPr>
      </w:pPr>
      <w:r>
        <w:rPr>
          <w:bCs/>
          <w:color w:val="auto"/>
          <w:sz w:val="24"/>
          <w:highlight w:val="none"/>
        </w:rPr>
      </w:r>
      <w:r/>
    </w:p>
    <w:p>
      <w:pPr>
        <w:pStyle w:val="1051"/>
        <w:rPr>
          <w:bCs/>
          <w:color w:val="auto"/>
          <w:sz w:val="24"/>
          <w:highlight w:val="none"/>
        </w:rPr>
      </w:pPr>
      <w:r>
        <w:rPr>
          <w:bCs/>
          <w:color w:val="auto"/>
          <w:sz w:val="24"/>
          <w:highlight w:val="none"/>
        </w:rPr>
      </w:r>
      <w:r/>
    </w:p>
    <w:p>
      <w:pPr>
        <w:jc w:val="left"/>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投标函</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致：南京市公共资源交易中心</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62"/>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62"/>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62"/>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1062"/>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1062"/>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1062"/>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62"/>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p>
    <w:p>
      <w:pPr>
        <w:pStyle w:val="1062"/>
        <w:ind w:left="420"/>
        <w:spacing w:before="0" w:after="0" w:line="420" w:lineRule="exact"/>
        <w:rPr>
          <w:rFonts w:ascii="宋体" w:hAnsi="宋体"/>
          <w:color w:val="auto"/>
          <w:szCs w:val="21"/>
          <w:highlight w:val="none"/>
        </w:rPr>
      </w:pPr>
      <w:r>
        <w:rPr>
          <w:rFonts w:ascii="宋体" w:hAnsi="宋体"/>
          <w:color w:val="auto"/>
          <w:szCs w:val="21"/>
          <w:highlight w:val="none"/>
        </w:rPr>
      </w:r>
      <w:r/>
    </w:p>
    <w:p>
      <w:pPr>
        <w:pStyle w:val="1062"/>
        <w:ind w:left="420"/>
        <w:spacing w:before="0" w:after="0" w:line="420" w:lineRule="exact"/>
        <w:rPr>
          <w:rFonts w:ascii="宋体" w:hAnsi="宋体"/>
          <w:color w:val="auto"/>
          <w:szCs w:val="21"/>
          <w:highlight w:val="none"/>
        </w:rPr>
      </w:pPr>
      <w:r>
        <w:rPr>
          <w:rFonts w:ascii="宋体" w:hAnsi="宋体"/>
          <w:color w:val="auto"/>
          <w:szCs w:val="21"/>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48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开标一览表</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480" w:lineRule="auto"/>
        <w:rPr>
          <w:color w:val="auto"/>
          <w:sz w:val="24"/>
          <w:szCs w:val="24"/>
          <w:highlight w:val="none"/>
        </w:rPr>
      </w:pPr>
      <w:r>
        <w:rPr>
          <w:rFonts w:hint="eastAsia" w:ascii="宋体" w:hAnsi="宋体"/>
          <w:color w:val="auto"/>
          <w:sz w:val="24"/>
          <w:szCs w:val="24"/>
          <w:highlight w:val="none"/>
        </w:rPr>
        <w:t xml:space="preserve">项目名称：</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793"/>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9748" w:type="dxa"/>
            <w:vAlign w:val="center"/>
            <w:textDirection w:val="lrTb"/>
            <w:noWrap w:val="false"/>
          </w:tcPr>
          <w:p>
            <w:pPr>
              <w:pStyle w:val="1062"/>
              <w:ind w:firstLine="0"/>
              <w:spacing w:before="0" w:after="0" w:line="480" w:lineRule="auto"/>
              <w:rPr>
                <w:rFonts w:ascii="宋体" w:hAnsi="宋体"/>
                <w:color w:val="auto"/>
                <w:szCs w:val="21"/>
                <w:highlight w:val="none"/>
              </w:rPr>
            </w:pPr>
            <w:r>
              <w:rPr>
                <w:rFonts w:hint="eastAsia" w:ascii="宋体" w:hAnsi="宋体" w:cs="宋体"/>
                <w:color w:val="auto"/>
                <w:highlight w:val="none"/>
              </w:rPr>
              <w:t xml:space="preserve">小写（元）：                             </w:t>
            </w:r>
            <w:r/>
          </w:p>
        </w:tc>
      </w:tr>
    </w:tbl>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pStyle w:val="1048"/>
        <w:rPr>
          <w:rFonts w:ascii="黑体" w:eastAsia="黑体" w:cs="Times New Roman"/>
          <w:color w:val="auto"/>
          <w:sz w:val="32"/>
          <w:szCs w:val="32"/>
          <w:highlight w:val="none"/>
          <w:lang w:val="en-US"/>
        </w:rPr>
      </w:pPr>
      <w:r>
        <w:rPr>
          <w:rFonts w:ascii="黑体" w:eastAsia="黑体" w:cs="Times New Roman"/>
          <w:color w:val="auto"/>
          <w:sz w:val="32"/>
          <w:szCs w:val="32"/>
          <w:highlight w:val="none"/>
          <w:lang w:val="en-US"/>
        </w:rPr>
      </w:r>
      <w:r/>
    </w:p>
    <w:p>
      <w:pPr>
        <w:rPr>
          <w:rFonts w:ascii="黑体" w:eastAsia="黑体"/>
          <w:color w:val="auto"/>
          <w:sz w:val="32"/>
          <w:szCs w:val="32"/>
          <w:highlight w:val="none"/>
        </w:rPr>
      </w:pPr>
      <w:r>
        <w:rPr>
          <w:rFonts w:ascii="黑体" w:eastAsia="黑体"/>
          <w:color w:val="auto"/>
          <w:sz w:val="32"/>
          <w:szCs w:val="32"/>
          <w:highlight w:val="none"/>
        </w:rPr>
      </w:r>
      <w:r/>
    </w:p>
    <w:p>
      <w:pPr>
        <w:pStyle w:val="1048"/>
        <w:rPr>
          <w:rFonts w:ascii="黑体" w:eastAsia="黑体" w:cs="Times New Roman"/>
          <w:color w:val="auto"/>
          <w:sz w:val="32"/>
          <w:szCs w:val="32"/>
          <w:highlight w:val="none"/>
          <w:lang w:val="en-US"/>
        </w:rPr>
      </w:pPr>
      <w:r>
        <w:rPr>
          <w:rFonts w:ascii="黑体" w:eastAsia="黑体" w:cs="Times New Roman"/>
          <w:color w:val="auto"/>
          <w:sz w:val="32"/>
          <w:szCs w:val="32"/>
          <w:highlight w:val="none"/>
          <w:lang w:val="en-US"/>
        </w:rPr>
      </w:r>
      <w:r/>
    </w:p>
    <w:p>
      <w:pPr>
        <w:rPr>
          <w:rFonts w:ascii="黑体" w:eastAsia="黑体"/>
          <w:color w:val="auto"/>
          <w:sz w:val="32"/>
          <w:szCs w:val="32"/>
          <w:highlight w:val="none"/>
        </w:rPr>
      </w:pPr>
      <w:r>
        <w:rPr>
          <w:rFonts w:ascii="黑体" w:eastAsia="黑体"/>
          <w:color w:val="auto"/>
          <w:sz w:val="32"/>
          <w:szCs w:val="32"/>
          <w:highlight w:val="none"/>
        </w:rPr>
      </w:r>
      <w:r/>
    </w:p>
    <w:p>
      <w:pPr>
        <w:pStyle w:val="1048"/>
        <w:rPr>
          <w:rFonts w:ascii="黑体" w:eastAsia="黑体" w:cs="Times New Roman"/>
          <w:color w:val="auto"/>
          <w:sz w:val="32"/>
          <w:szCs w:val="32"/>
          <w:highlight w:val="none"/>
          <w:lang w:val="en-US"/>
        </w:rPr>
      </w:pPr>
      <w:r>
        <w:rPr>
          <w:rFonts w:ascii="黑体" w:eastAsia="黑体" w:cs="Times New Roman"/>
          <w:color w:val="auto"/>
          <w:sz w:val="32"/>
          <w:szCs w:val="32"/>
          <w:highlight w:val="none"/>
          <w:lang w:val="en-US"/>
        </w:rPr>
      </w:r>
      <w:r/>
    </w:p>
    <w:p>
      <w:pPr>
        <w:rPr>
          <w:rFonts w:ascii="黑体" w:eastAsia="黑体"/>
          <w:color w:val="auto"/>
          <w:sz w:val="32"/>
          <w:szCs w:val="32"/>
          <w:highlight w:val="none"/>
        </w:rPr>
      </w:pPr>
      <w:r>
        <w:rPr>
          <w:rFonts w:ascii="黑体" w:eastAsia="黑体"/>
          <w:color w:val="auto"/>
          <w:sz w:val="32"/>
          <w:szCs w:val="32"/>
          <w:highlight w:val="none"/>
        </w:rPr>
      </w:r>
      <w:r/>
    </w:p>
    <w:p>
      <w:pPr>
        <w:pStyle w:val="1048"/>
        <w:rPr>
          <w:rFonts w:ascii="黑体" w:eastAsia="黑体" w:cs="Times New Roman"/>
          <w:color w:val="auto"/>
          <w:sz w:val="32"/>
          <w:szCs w:val="32"/>
          <w:highlight w:val="none"/>
          <w:lang w:val="en-US"/>
        </w:rPr>
      </w:pPr>
      <w:r>
        <w:rPr>
          <w:rFonts w:ascii="黑体" w:eastAsia="黑体" w:cs="Times New Roman"/>
          <w:color w:val="auto"/>
          <w:sz w:val="32"/>
          <w:szCs w:val="32"/>
          <w:highlight w:val="none"/>
          <w:lang w:val="en-US"/>
        </w:rPr>
      </w:r>
      <w:r/>
    </w:p>
    <w:p>
      <w:pPr>
        <w:rPr>
          <w:rFonts w:ascii="黑体" w:eastAsia="黑体"/>
          <w:color w:val="auto"/>
          <w:sz w:val="32"/>
          <w:szCs w:val="32"/>
          <w:highlight w:val="none"/>
        </w:rPr>
      </w:pPr>
      <w:r>
        <w:rPr>
          <w:rFonts w:ascii="黑体" w:eastAsia="黑体"/>
          <w:color w:val="auto"/>
          <w:sz w:val="32"/>
          <w:szCs w:val="32"/>
          <w:highlight w:val="none"/>
        </w:rPr>
      </w:r>
      <w:r/>
    </w:p>
    <w:p>
      <w:pPr>
        <w:pStyle w:val="1048"/>
        <w:rPr>
          <w:rFonts w:ascii="黑体" w:eastAsia="黑体" w:cs="Times New Roman"/>
          <w:color w:val="auto"/>
          <w:sz w:val="32"/>
          <w:szCs w:val="32"/>
          <w:highlight w:val="none"/>
          <w:lang w:val="en-US"/>
        </w:rPr>
      </w:pPr>
      <w:r>
        <w:rPr>
          <w:rFonts w:ascii="黑体" w:eastAsia="黑体" w:cs="Times New Roman"/>
          <w:color w:val="auto"/>
          <w:sz w:val="32"/>
          <w:szCs w:val="32"/>
          <w:highlight w:val="none"/>
          <w:lang w:val="en-US"/>
        </w:rPr>
      </w:r>
      <w:r/>
    </w:p>
    <w:p>
      <w:pPr>
        <w:rPr>
          <w:color w:val="auto"/>
          <w:highlight w:val="none"/>
        </w:rPr>
      </w:pPr>
      <w:r>
        <w:rPr>
          <w:color w:val="auto"/>
          <w:highlight w:val="non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left"/>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六、投标分项报价表</w:t>
      </w:r>
      <w:r/>
    </w:p>
    <w:p>
      <w:pPr>
        <w:jc w:val="center"/>
        <w:spacing w:line="48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投标分项报价表</w:t>
      </w:r>
      <w:r/>
    </w:p>
    <w:tbl>
      <w:tblPr>
        <w:tblStyle w:val="793"/>
        <w:tblW w:w="95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544"/>
        </w:trPr>
        <w:tc>
          <w:tcPr>
            <w:tcW w:w="581"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01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0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51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84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581"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201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160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1515" w:type="dxa"/>
            <w:vAlign w:val="center"/>
            <w:textDirection w:val="lrTb"/>
            <w:noWrap w:val="false"/>
          </w:tcPr>
          <w:p>
            <w:pPr>
              <w:jc w:val="center"/>
              <w:spacing w:line="0" w:lineRule="atLeast"/>
              <w:rPr>
                <w:color w:val="auto"/>
                <w:highlight w:val="none"/>
              </w:rPr>
            </w:pPr>
            <w:r>
              <w:rPr>
                <w:rFonts w:hint="eastAsia" w:ascii="宋体" w:hAnsi="宋体"/>
                <w:color w:val="auto"/>
                <w:sz w:val="24"/>
                <w:szCs w:val="24"/>
                <w:highlight w:val="none"/>
              </w:rPr>
              <w:t xml:space="preserve">单价</w:t>
            </w:r>
            <w:r/>
          </w:p>
        </w:tc>
        <w:tc>
          <w:tcPr>
            <w:tcW w:w="184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01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0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1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8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01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0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1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8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01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0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1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8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201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投标总价（元）</w:t>
            </w:r>
            <w:r/>
          </w:p>
        </w:tc>
        <w:tc>
          <w:tcPr>
            <w:gridSpan w:val="5"/>
            <w:tcW w:w="69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bl>
    <w:p>
      <w:pPr>
        <w:pStyle w:val="1036"/>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1036"/>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1.“投标总报价”应包括为完成整个项目所产生的所有费用，招标文件另有规定的除外。</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2.《投标分项报价表》中“投标总价”应当与《开标一览表》中“投标总报价”一致。</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3.供应商所报产品须与“第四章-项目清单”中的产品一一对应，如有缺项、漏项或者超出单价上限的，视为无效投标。</w:t>
      </w:r>
      <w:r>
        <w:rPr>
          <w:rFonts w:hint="eastAsia"/>
          <w:color w:val="auto"/>
          <w:highlight w:val="none"/>
        </w:rPr>
        <w:t xml:space="preserve">“项目清单”中分项仅为一项的，此表无需提供。</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1048"/>
        <w:rPr>
          <w:rFonts w:ascii="黑体" w:hAnsi="黑体" w:eastAsia="黑体" w:cs="Times New Roman"/>
          <w:color w:val="auto"/>
          <w:sz w:val="32"/>
          <w:szCs w:val="32"/>
          <w:highlight w:val="none"/>
          <w:lang w:val="en-US"/>
        </w:rPr>
      </w:pPr>
      <w:r>
        <w:rPr>
          <w:rFonts w:ascii="黑体" w:hAnsi="黑体" w:eastAsia="黑体" w:cs="Times New Roman"/>
          <w:color w:val="auto"/>
          <w:sz w:val="32"/>
          <w:szCs w:val="32"/>
          <w:highlight w:val="none"/>
          <w:lang w:val="en-US"/>
        </w:rPr>
      </w:r>
      <w:r/>
    </w:p>
    <w:p>
      <w:pPr>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七</w:t>
      </w:r>
      <w:bookmarkEnd w:id="46"/>
      <w:r/>
      <w:bookmarkEnd w:id="47"/>
      <w:r/>
      <w:bookmarkEnd w:id="200"/>
      <w:r>
        <w:rPr>
          <w:rFonts w:hint="eastAsia" w:ascii="黑体" w:hAnsi="黑体" w:eastAsia="黑体"/>
          <w:iCs/>
          <w:color w:val="auto"/>
          <w:sz w:val="32"/>
          <w:szCs w:val="32"/>
          <w:highlight w:val="none"/>
        </w:rPr>
        <w:t xml:space="preserve">、技术要求响应及偏离表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70"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color w:val="auto"/>
                <w:highlight w:val="none"/>
              </w:rPr>
            </w:pPr>
            <w:r>
              <w:rPr>
                <w:color w:val="auto"/>
                <w:highlight w:val="none"/>
              </w:rPr>
            </w:r>
            <w:r/>
          </w:p>
          <w:p>
            <w:pPr>
              <w:pStyle w:val="824"/>
              <w:rPr>
                <w:color w:val="auto"/>
                <w:highlight w:val="none"/>
              </w:rPr>
            </w:pPr>
            <w:r>
              <w:rPr>
                <w:color w:val="auto"/>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7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1036"/>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ascii="宋体" w:hAnsi="宋体"/>
          <w:color w:val="auto"/>
          <w:sz w:val="24"/>
          <w:szCs w:val="24"/>
          <w:highlight w:val="none"/>
        </w:rPr>
      </w:pPr>
      <w:r>
        <w:rPr>
          <w:rFonts w:ascii="宋体" w:hAnsi="宋体"/>
          <w:color w:val="auto"/>
          <w:sz w:val="24"/>
          <w:szCs w:val="24"/>
          <w:highlight w:val="none"/>
        </w:rPr>
      </w:r>
      <w:r/>
    </w:p>
    <w:p>
      <w:pPr>
        <w:pStyle w:val="1036"/>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3.行数不够，可自行添加。</w:t>
      </w:r>
      <w:r/>
    </w:p>
    <w:p>
      <w:pPr>
        <w:rPr>
          <w:rFonts w:ascii="黑体" w:hAnsi="黑体" w:eastAsia="黑体"/>
          <w:iCs/>
          <w:color w:val="auto"/>
          <w:sz w:val="32"/>
          <w:szCs w:val="32"/>
          <w:highlight w:val="none"/>
        </w:rPr>
      </w:pPr>
      <w:r/>
      <w:bookmarkStart w:id="204" w:name="_Hlt26955054"/>
      <w:r/>
      <w:bookmarkEnd w:id="204"/>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ascii="宋体" w:hAnsi="宋体"/>
                <w:color w:val="auto"/>
                <w:sz w:val="24"/>
                <w:szCs w:val="24"/>
                <w:highlight w:val="none"/>
              </w:rPr>
            </w:pPr>
            <w:r/>
            <w:bookmarkStart w:id="205" w:name="_Hlt26671372"/>
            <w:r/>
            <w:bookmarkEnd w:id="205"/>
            <w:r/>
            <w:bookmarkStart w:id="206" w:name="_Hlt26580838"/>
            <w:r/>
            <w:bookmarkEnd w:id="206"/>
            <w:r/>
            <w:bookmarkStart w:id="207" w:name="_Hlt26955056"/>
            <w:r/>
            <w:bookmarkEnd w:id="207"/>
            <w:r/>
            <w:bookmarkStart w:id="208" w:name="_Hlt26671343"/>
            <w:r/>
            <w:bookmarkEnd w:id="208"/>
            <w:r/>
            <w:bookmarkStart w:id="209" w:name="_Hlt26609391"/>
            <w:r/>
            <w:bookmarkEnd w:id="209"/>
            <w:r/>
            <w:bookmarkStart w:id="210" w:name="_Hlt26955064"/>
            <w:r/>
            <w:bookmarkEnd w:id="210"/>
            <w:r/>
            <w:bookmarkStart w:id="211" w:name="_Hlt24879081"/>
            <w:r/>
            <w:bookmarkEnd w:id="211"/>
            <w:r/>
            <w:bookmarkStart w:id="212" w:name="_Hlt26782999"/>
            <w:r/>
            <w:bookmarkEnd w:id="212"/>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81"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color w:val="auto"/>
                <w:highlight w:val="none"/>
              </w:rPr>
            </w:pPr>
            <w:r>
              <w:rPr>
                <w:color w:val="auto"/>
                <w:highlight w:val="none"/>
              </w:rPr>
            </w:r>
            <w:r/>
          </w:p>
          <w:p>
            <w:pPr>
              <w:pStyle w:val="824"/>
              <w:rPr>
                <w:color w:val="auto"/>
                <w:highlight w:val="none"/>
              </w:rPr>
            </w:pPr>
            <w:r>
              <w:rPr>
                <w:color w:val="auto"/>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8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1036"/>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ascii="宋体" w:hAnsi="宋体"/>
          <w:color w:val="auto"/>
          <w:sz w:val="24"/>
          <w:szCs w:val="24"/>
          <w:highlight w:val="none"/>
        </w:rPr>
      </w:pPr>
      <w:r>
        <w:rPr>
          <w:rFonts w:ascii="宋体" w:hAnsi="宋体"/>
          <w:color w:val="auto"/>
          <w:sz w:val="24"/>
          <w:szCs w:val="24"/>
          <w:highlight w:val="none"/>
        </w:rPr>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1036"/>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048"/>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048"/>
        <w:rPr>
          <w:color w:val="auto"/>
          <w:highlight w:val="none"/>
        </w:rPr>
      </w:pPr>
      <w:r>
        <w:rPr>
          <w:color w:val="auto"/>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1048"/>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048"/>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824"/>
        <w:ind w:firstLine="480"/>
        <w:rPr>
          <w:color w:val="auto"/>
          <w:sz w:val="24"/>
          <w:highlight w:val="none"/>
        </w:rPr>
      </w:pPr>
      <w:r>
        <w:rPr>
          <w:color w:val="auto"/>
          <w:sz w:val="24"/>
          <w:highlight w:val="none"/>
        </w:rPr>
      </w:r>
      <w:r/>
    </w:p>
    <w:p>
      <w:pPr>
        <w:rPr>
          <w:color w:val="auto"/>
          <w:highlight w:val="none"/>
        </w:rPr>
      </w:pPr>
      <w:r>
        <w:rPr>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pStyle w:val="1048"/>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048"/>
        <w:rPr>
          <w:color w:val="auto"/>
          <w:highlight w:val="none"/>
        </w:rPr>
      </w:pPr>
      <w:r>
        <w:rPr>
          <w:color w:val="auto"/>
          <w:highlight w:val="none"/>
        </w:rPr>
      </w:r>
      <w:r/>
    </w:p>
    <w:p>
      <w:pPr>
        <w:jc w:val="left"/>
        <w:rPr>
          <w:rFonts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p>
    <w:p>
      <w:pPr>
        <w:jc w:val="left"/>
        <w:spacing w:line="360" w:lineRule="auto"/>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十二、分包承诺书</w:t>
      </w:r>
      <w:r/>
    </w:p>
    <w:p>
      <w:pPr>
        <w:rPr>
          <w:color w:val="auto"/>
          <w:highlight w:val="none"/>
        </w:rPr>
      </w:pPr>
      <w:r>
        <w:rPr>
          <w:color w:val="auto"/>
          <w:highlight w:val="none"/>
        </w:rPr>
      </w:r>
      <w:r/>
    </w:p>
    <w:p>
      <w:pPr>
        <w:jc w:val="center"/>
        <w:spacing w:line="360" w:lineRule="auto"/>
        <w:rPr>
          <w:rFonts w:ascii="方正小标宋简体" w:hAnsi="方正小标宋简体" w:eastAsia="方正小标宋简体" w:cs="方正小标宋简体"/>
          <w:color w:val="auto"/>
          <w:sz w:val="32"/>
          <w:szCs w:val="32"/>
          <w:highlight w:val="none"/>
          <w:lang w:val="zh-CN"/>
        </w:rPr>
      </w:pPr>
      <w:r>
        <w:rPr>
          <w:rFonts w:hint="eastAsia" w:ascii="方正小标宋简体" w:hAnsi="方正小标宋简体" w:eastAsia="方正小标宋简体" w:cs="方正小标宋简体"/>
          <w:color w:val="auto"/>
          <w:sz w:val="32"/>
          <w:szCs w:val="32"/>
          <w:highlight w:val="none"/>
          <w:lang w:val="zh-CN"/>
        </w:rPr>
        <w:t xml:space="preserve">分包承诺书</w:t>
      </w:r>
      <w:r/>
    </w:p>
    <w:p>
      <w:pPr>
        <w:ind w:firstLine="2640"/>
        <w:spacing w:line="480" w:lineRule="auto"/>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：（采购人名称）</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（供应商名称）郑重承诺：</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如我公司中标（成交）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（项目名称）项目，拟将项目中的</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建设内容，分包给具有相应资质的供应商实施，并在签订合同时提供分包意向协议。</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供应商名称：（加盖电子公章）</w:t>
      </w:r>
      <w:r/>
    </w:p>
    <w:p>
      <w:pPr>
        <w:jc w:val="cente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824"/>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824"/>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824"/>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824"/>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p>
    <w:p>
      <w:pPr>
        <w:jc w:val="left"/>
        <w:spacing w:line="360" w:lineRule="auto"/>
        <w:rPr>
          <w:rFonts w:ascii="宋体" w:hAnsi="宋体"/>
          <w:color w:val="auto"/>
          <w:sz w:val="24"/>
          <w:highlight w:val="none"/>
        </w:rPr>
      </w:pPr>
      <w:r>
        <w:rPr>
          <w:rFonts w:hint="eastAsia" w:ascii="黑体" w:hAnsi="黑体" w:eastAsia="黑体"/>
          <w:color w:val="auto"/>
          <w:sz w:val="32"/>
          <w:szCs w:val="32"/>
          <w:highlight w:val="none"/>
        </w:rPr>
        <w:t xml:space="preserve">十三、关于符合本国产品标准的声明函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820"/>
          <w:rFonts w:hint="eastAsia"/>
          <w:i w:val="0"/>
          <w:color w:val="auto"/>
          <w:highlight w:val="none"/>
          <w:u w:val="single"/>
          <w:shd w:val="clear" w:color="auto" w:fill="ffffff"/>
        </w:rPr>
        <w:t xml:space="preserve">（产品名称1）</w:t>
      </w:r>
      <w:r>
        <w:rPr>
          <w:rStyle w:val="820"/>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820"/>
          <w:rFonts w:hint="eastAsia"/>
          <w:i w:val="0"/>
          <w:color w:val="auto"/>
          <w:highlight w:val="none"/>
          <w:u w:val="single"/>
          <w:shd w:val="clear" w:color="auto" w:fill="ffffff"/>
        </w:rPr>
        <w:t xml:space="preserve">（厂名）</w:t>
      </w:r>
      <w:r>
        <w:rPr>
          <w:rStyle w:val="820"/>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820"/>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20"/>
          <w:rFonts w:hint="eastAsia"/>
          <w:i w:val="0"/>
          <w:strike/>
          <w:color w:val="auto"/>
          <w:highlight w:val="none"/>
          <w:u w:val="single"/>
          <w:shd w:val="clear" w:color="auto" w:fill="ffffff"/>
        </w:rPr>
        <w:t xml:space="preserve">（产品名称1）</w:t>
      </w:r>
      <w:r>
        <w:rPr>
          <w:rFonts w:hint="eastAsia"/>
          <w:strike/>
          <w:color w:val="auto"/>
          <w:highlight w:val="none"/>
          <w:shd w:val="clear" w:color="auto" w:fill="ffffff"/>
        </w:rPr>
        <w:t xml:space="preserve">的中国境内生产的组件成本占比≥</w:t>
      </w:r>
      <w:r>
        <w:rPr>
          <w:rStyle w:val="820"/>
          <w:rFonts w:hint="eastAsia"/>
          <w:i w:val="0"/>
          <w:strike/>
          <w:color w:val="auto"/>
          <w:highlight w:val="none"/>
          <w:u w:val="single"/>
          <w:shd w:val="clear" w:color="auto" w:fill="ffffff"/>
        </w:rPr>
        <w:t xml:space="preserve">（规定比例）</w:t>
      </w:r>
      <w:r>
        <w:rPr>
          <w:rStyle w:val="820"/>
          <w:rFonts w:hint="eastAsia"/>
          <w:i w:val="0"/>
          <w:color w:val="auto"/>
          <w:highlight w:val="none"/>
          <w:shd w:val="clear" w:color="auto" w:fill="ffffff"/>
          <w:vertAlign w:val="superscript"/>
        </w:rPr>
        <w:t xml:space="preserve">3</w:t>
      </w:r>
      <w:r>
        <w:rPr>
          <w:rFonts w:hint="eastAsia"/>
          <w:strike/>
          <w:color w:val="auto"/>
          <w:highlight w:val="none"/>
          <w:shd w:val="clear" w:color="auto" w:fill="ffffff"/>
        </w:rPr>
        <w:t xml:space="preserve">。</w:t>
      </w:r>
      <w:r>
        <w:rPr>
          <w:rStyle w:val="820"/>
          <w:rFonts w:hint="eastAsia"/>
          <w:i w:val="0"/>
          <w:strike/>
          <w:color w:val="auto"/>
          <w:highlight w:val="none"/>
          <w:u w:val="single"/>
          <w:shd w:val="clear" w:color="auto" w:fill="ffffff"/>
        </w:rPr>
        <w:t xml:space="preserve">（产品名称1）</w:t>
      </w:r>
      <w:r>
        <w:rPr>
          <w:rFonts w:hint="eastAsia"/>
          <w:strike/>
          <w:color w:val="auto"/>
          <w:highlight w:val="none"/>
          <w:shd w:val="clear" w:color="auto" w:fill="ffffff"/>
        </w:rPr>
        <w:t xml:space="preserve">的</w:t>
      </w:r>
      <w:r>
        <w:rPr>
          <w:rStyle w:val="820"/>
          <w:rFonts w:hint="eastAsia"/>
          <w:i w:val="0"/>
          <w:strike/>
          <w:color w:val="auto"/>
          <w:highlight w:val="none"/>
          <w:u w:val="single"/>
          <w:shd w:val="clear" w:color="auto" w:fill="ffffff"/>
        </w:rPr>
        <w:t xml:space="preserve">（关键组件）</w:t>
      </w:r>
      <w:r>
        <w:rPr>
          <w:rStyle w:val="820"/>
          <w:rFonts w:hint="eastAsia"/>
          <w:i w:val="0"/>
          <w:color w:val="auto"/>
          <w:highlight w:val="none"/>
          <w:shd w:val="clear" w:color="auto" w:fill="ffffff"/>
          <w:vertAlign w:val="superscript"/>
        </w:rPr>
        <w:t xml:space="preserve">4</w:t>
      </w:r>
      <w:r>
        <w:rPr>
          <w:rFonts w:hint="eastAsia"/>
          <w:strike/>
          <w:color w:val="auto"/>
          <w:highlight w:val="none"/>
          <w:shd w:val="clear" w:color="auto" w:fill="ffffff"/>
        </w:rPr>
        <w:t xml:space="preserve">在中国境内生产。</w:t>
      </w:r>
      <w:r>
        <w:rPr>
          <w:rStyle w:val="820"/>
          <w:rFonts w:hint="eastAsia"/>
          <w:i w:val="0"/>
          <w:strike/>
          <w:color w:val="auto"/>
          <w:highlight w:val="none"/>
          <w:u w:val="single"/>
          <w:shd w:val="clear" w:color="auto" w:fill="ffffff"/>
        </w:rPr>
        <w:t xml:space="preserve">（产品名称1）</w:t>
      </w:r>
      <w:r>
        <w:rPr>
          <w:rFonts w:hint="eastAsia"/>
          <w:strike/>
          <w:color w:val="auto"/>
          <w:highlight w:val="none"/>
          <w:shd w:val="clear" w:color="auto" w:fill="ffffff"/>
        </w:rPr>
        <w:t xml:space="preserve">的</w:t>
      </w:r>
      <w:r>
        <w:rPr>
          <w:rStyle w:val="820"/>
          <w:rFonts w:hint="eastAsia"/>
          <w:i w:val="0"/>
          <w:strike/>
          <w:color w:val="auto"/>
          <w:highlight w:val="none"/>
          <w:u w:val="single"/>
          <w:shd w:val="clear" w:color="auto" w:fill="ffffff"/>
        </w:rPr>
        <w:t xml:space="preserve">（关键工序）</w:t>
      </w:r>
      <w:r>
        <w:rPr>
          <w:rStyle w:val="820"/>
          <w:rFonts w:hint="eastAsia"/>
          <w:i w:val="0"/>
          <w:color w:val="auto"/>
          <w:highlight w:val="none"/>
          <w:shd w:val="clear" w:color="auto" w:fill="ffffff"/>
          <w:vertAlign w:val="superscript"/>
        </w:rPr>
        <w:t xml:space="preserve">5</w:t>
      </w:r>
      <w:r>
        <w:rPr>
          <w:rFonts w:hint="eastAsia"/>
          <w:strike/>
          <w:color w:val="auto"/>
          <w:highlight w:val="none"/>
          <w:shd w:val="clear" w:color="auto" w:fill="ffffff"/>
        </w:rPr>
        <w:t xml:space="preserve">在中国境内完成。</w:t>
      </w:r>
      <w:r/>
    </w:p>
    <w:p>
      <w:pPr>
        <w:pStyle w:val="816"/>
        <w:ind w:firstLine="420"/>
        <w:spacing w:before="24" w:beforeAutospacing="0" w:after="24" w:afterAutospacing="0" w:line="360" w:lineRule="auto"/>
        <w:shd w:val="clear" w:color="auto" w:fill="ffffff"/>
        <w:rPr>
          <w:strike/>
          <w:color w:val="auto"/>
          <w:highlight w:val="none"/>
        </w:rPr>
      </w:pPr>
      <w:r>
        <w:rPr>
          <w:rFonts w:hint="eastAsia"/>
          <w:color w:val="auto"/>
          <w:highlight w:val="none"/>
          <w:shd w:val="clear" w:color="auto" w:fill="ffffff"/>
        </w:rPr>
        <w:t xml:space="preserve">2.</w:t>
      </w:r>
      <w:r>
        <w:rPr>
          <w:rStyle w:val="820"/>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820"/>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820"/>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20"/>
          <w:rFonts w:hint="eastAsia"/>
          <w:i w:val="0"/>
          <w:strike/>
          <w:color w:val="auto"/>
          <w:highlight w:val="none"/>
          <w:u w:val="single"/>
          <w:shd w:val="clear" w:color="auto" w:fill="ffffff"/>
        </w:rPr>
        <w:t xml:space="preserve">（产品名称2）</w:t>
      </w:r>
      <w:r>
        <w:rPr>
          <w:rFonts w:hint="eastAsia"/>
          <w:strike/>
          <w:color w:val="auto"/>
          <w:highlight w:val="none"/>
          <w:shd w:val="clear" w:color="auto" w:fill="ffffff"/>
        </w:rPr>
        <w:t xml:space="preserve">的中国境内生产的组件成本占比≥</w:t>
      </w:r>
      <w:r>
        <w:rPr>
          <w:rStyle w:val="820"/>
          <w:rFonts w:hint="eastAsia"/>
          <w:i w:val="0"/>
          <w:strike/>
          <w:color w:val="auto"/>
          <w:highlight w:val="none"/>
          <w:u w:val="single"/>
          <w:shd w:val="clear" w:color="auto" w:fill="ffffff"/>
        </w:rPr>
        <w:t xml:space="preserve">（规定比例）</w:t>
      </w:r>
      <w:r>
        <w:rPr>
          <w:rFonts w:hint="eastAsia"/>
          <w:strike/>
          <w:color w:val="auto"/>
          <w:highlight w:val="none"/>
          <w:shd w:val="clear" w:color="auto" w:fill="ffffff"/>
        </w:rPr>
        <w:t xml:space="preserve">。</w:t>
      </w:r>
      <w:r>
        <w:rPr>
          <w:rStyle w:val="820"/>
          <w:rFonts w:hint="eastAsia"/>
          <w:i w:val="0"/>
          <w:strike/>
          <w:color w:val="auto"/>
          <w:highlight w:val="none"/>
          <w:u w:val="single"/>
          <w:shd w:val="clear" w:color="auto" w:fill="ffffff"/>
        </w:rPr>
        <w:t xml:space="preserve">（产品名称2）</w:t>
      </w:r>
      <w:r>
        <w:rPr>
          <w:rFonts w:hint="eastAsia"/>
          <w:strike/>
          <w:color w:val="auto"/>
          <w:highlight w:val="none"/>
          <w:shd w:val="clear" w:color="auto" w:fill="ffffff"/>
        </w:rPr>
        <w:t xml:space="preserve">的</w:t>
      </w:r>
      <w:r>
        <w:rPr>
          <w:rStyle w:val="820"/>
          <w:rFonts w:hint="eastAsia"/>
          <w:i w:val="0"/>
          <w:strike/>
          <w:color w:val="auto"/>
          <w:highlight w:val="none"/>
          <w:u w:val="single"/>
          <w:shd w:val="clear" w:color="auto" w:fill="ffffff"/>
        </w:rPr>
        <w:t xml:space="preserve">（关键组件）</w:t>
      </w:r>
      <w:r>
        <w:rPr>
          <w:rFonts w:hint="eastAsia"/>
          <w:strike/>
          <w:color w:val="auto"/>
          <w:highlight w:val="none"/>
          <w:shd w:val="clear" w:color="auto" w:fill="ffffff"/>
        </w:rPr>
        <w:t xml:space="preserve">在中国境内生产。</w:t>
      </w:r>
      <w:r>
        <w:rPr>
          <w:rStyle w:val="820"/>
          <w:rFonts w:hint="eastAsia"/>
          <w:i w:val="0"/>
          <w:strike/>
          <w:color w:val="auto"/>
          <w:highlight w:val="none"/>
          <w:u w:val="single"/>
          <w:shd w:val="clear" w:color="auto" w:fill="ffffff"/>
        </w:rPr>
        <w:t xml:space="preserve">（产品名称2）</w:t>
      </w:r>
      <w:r>
        <w:rPr>
          <w:rFonts w:hint="eastAsia"/>
          <w:strike/>
          <w:color w:val="auto"/>
          <w:highlight w:val="none"/>
          <w:shd w:val="clear" w:color="auto" w:fill="ffffff"/>
        </w:rPr>
        <w:t xml:space="preserve">的</w:t>
      </w:r>
      <w:r>
        <w:rPr>
          <w:rStyle w:val="820"/>
          <w:rFonts w:hint="eastAsia"/>
          <w:i w:val="0"/>
          <w:strike/>
          <w:color w:val="auto"/>
          <w:highlight w:val="none"/>
          <w:u w:val="single"/>
          <w:shd w:val="clear" w:color="auto" w:fill="ffffff"/>
        </w:rPr>
        <w:t xml:space="preserve">（关键工序）</w:t>
      </w:r>
      <w:r>
        <w:rPr>
          <w:rFonts w:hint="eastAsia"/>
          <w:strike/>
          <w:color w:val="auto"/>
          <w:highlight w:val="none"/>
          <w:shd w:val="clear" w:color="auto" w:fill="ffffff"/>
        </w:rPr>
        <w:t xml:space="preserve">在中国境内完成。</w:t>
      </w:r>
      <w:r/>
    </w:p>
    <w:p>
      <w:pPr>
        <w:pStyle w:val="816"/>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816"/>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本采购包中提供的符合本国产品标准的产品成本之和占该采购包提供的全部产品成本之和的比例为</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Style w:val="820"/>
          <w:color w:val="auto"/>
          <w:highlight w:val="none"/>
          <w:vertAlign w:val="superscript"/>
        </w:rPr>
        <w:t xml:space="preserve">6</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816"/>
        <w:jc w:val="right"/>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公司（单位）名称（盖章）：　        </w:t>
      </w:r>
      <w:r/>
    </w:p>
    <w:p>
      <w:pPr>
        <w:pStyle w:val="816"/>
        <w:jc w:val="right"/>
        <w:spacing w:before="24" w:beforeAutospacing="0" w:after="24" w:afterAutospacing="0" w:line="360" w:lineRule="auto"/>
        <w:shd w:val="clear" w:color="auto" w:fill="ffffff"/>
        <w:rPr>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816"/>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816"/>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16"/>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16"/>
        <w:ind w:firstLine="420"/>
        <w:spacing w:before="24" w:beforeAutospacing="0" w:after="24" w:afterAutospacing="0" w:line="360" w:lineRule="auto"/>
        <w:shd w:val="clear" w:color="auto" w:fill="ffffff"/>
        <w:rPr>
          <w:b/>
          <w:bCs/>
          <w:color w:val="auto"/>
          <w:sz w:val="21"/>
          <w:szCs w:val="21"/>
          <w:highlight w:val="none"/>
        </w:rPr>
      </w:pPr>
      <w:r>
        <w:rPr>
          <w:rFonts w:hint="eastAsia"/>
          <w:b/>
          <w:bCs/>
          <w:color w:val="auto"/>
          <w:sz w:val="21"/>
          <w:szCs w:val="21"/>
          <w:highlight w:val="none"/>
          <w:shd w:val="clear" w:color="auto" w:fill="ffffff"/>
        </w:rPr>
        <w:t xml:space="preserve">3.该产品的中国境内生产的组件成本占比相关要求实施前，“规定比例”栏可不填。</w:t>
      </w:r>
      <w:r/>
    </w:p>
    <w:p>
      <w:pPr>
        <w:pStyle w:val="816"/>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4.该产品的关键组件要求实施前，“关键组件”栏可不填。</w:t>
      </w:r>
      <w:r/>
    </w:p>
    <w:p>
      <w:pPr>
        <w:pStyle w:val="816"/>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5.该产品的关键工序要求实施前，“关键工序”栏可不填。</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分包号：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3.质疑供应商针对项目的某一分包进行质疑的，《质疑函》中应明确分包号。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0983"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10982"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rPr>
                              <w:rStyle w:val="1044"/>
                              <w:rFonts w:ascii="宋体" w:hAnsi="宋体"/>
                            </w:rPr>
                          </w:pPr>
                          <w:r>
                            <w:rPr>
                              <w:rFonts w:ascii="宋体" w:hAnsi="宋体"/>
                            </w:rPr>
                            <w:fldChar w:fldCharType="begin"/>
                          </w:r>
                          <w:r>
                            <w:rPr>
                              <w:rStyle w:val="1044"/>
                              <w:rFonts w:ascii="宋体" w:hAnsi="宋体"/>
                            </w:rPr>
                            <w:instrText xml:space="preserve">PAGE  </w:instrText>
                          </w:r>
                          <w:r>
                            <w:rPr>
                              <w:rFonts w:ascii="宋体" w:hAnsi="宋体"/>
                            </w:rPr>
                            <w:fldChar w:fldCharType="separate"/>
                          </w:r>
                          <w:r>
                            <w:rPr>
                              <w:rStyle w:val="1044"/>
                              <w:rFonts w:ascii="宋体" w:hAnsi="宋体"/>
                            </w:rPr>
                            <w:t xml:space="preserve">19</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7pt;height:11.7pt;mso-wrap-distance-left:9.0pt;mso-wrap-distance-top:0.0pt;mso-wrap-distance-right:9.0pt;mso-wrap-distance-bottom:0.0pt;v-text-anchor:top;visibility:visible;" filled="f" stroked="f" strokeweight="0.50pt">
              <v:textbox inset="0,0,0,0">
                <w:txbxContent>
                  <w:p>
                    <w:pPr>
                      <w:pStyle w:val="1021"/>
                      <w:rPr>
                        <w:rStyle w:val="1044"/>
                        <w:rFonts w:ascii="宋体" w:hAnsi="宋体"/>
                      </w:rPr>
                    </w:pPr>
                    <w:r>
                      <w:rPr>
                        <w:rFonts w:ascii="宋体" w:hAnsi="宋体"/>
                      </w:rPr>
                      <w:fldChar w:fldCharType="begin"/>
                    </w:r>
                    <w:r>
                      <w:rPr>
                        <w:rStyle w:val="1044"/>
                        <w:rFonts w:ascii="宋体" w:hAnsi="宋体"/>
                      </w:rPr>
                      <w:instrText xml:space="preserve">PAGE  </w:instrText>
                    </w:r>
                    <w:r>
                      <w:rPr>
                        <w:rFonts w:ascii="宋体" w:hAnsi="宋体"/>
                      </w:rPr>
                      <w:fldChar w:fldCharType="separate"/>
                    </w:r>
                    <w:r>
                      <w:rPr>
                        <w:rStyle w:val="1044"/>
                        <w:rFonts w:ascii="宋体" w:hAnsi="宋体"/>
                      </w:rPr>
                      <w:t xml:space="preserve">19</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4"/>
      </w:rPr>
      <w:framePr w:wrap="around" w:vAnchor="text" w:hAnchor="margin" w:xAlign="center" w:y="1"/>
    </w:pPr>
    <w:r>
      <w:fldChar w:fldCharType="begin"/>
    </w:r>
    <w:r>
      <w:rPr>
        <w:rStyle w:val="1044"/>
      </w:rPr>
      <w:instrText xml:space="preserve">PAGE  </w:instrText>
    </w:r>
    <w:r>
      <w:fldChar w:fldCharType="separate"/>
    </w:r>
    <w:r>
      <w:rPr>
        <w:rStyle w:val="1044"/>
      </w:rPr>
      <w:t xml:space="preserve">1</w:t>
    </w:r>
    <w:r>
      <w:fldChar w:fldCharType="end"/>
    </w:r>
    <w:r/>
  </w:p>
  <w:p>
    <w:pPr>
      <w:pStyle w:val="10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1"/>
      <w:isLgl w:val="false"/>
      <w:suff w:val="nothing"/>
      <w:lvlText w:val=""/>
      <w:lvlJc w:val="left"/>
      <w:pPr>
        <w:ind w:left="0" w:firstLine="0"/>
      </w:pPr>
      <w:rPr>
        <w:rFonts w:hint="eastAsia"/>
      </w:rPr>
    </w:lvl>
    <w:lvl w:ilvl="6">
      <w:start w:val="1"/>
      <w:numFmt w:val="decimal"/>
      <w:pStyle w:val="982"/>
      <w:isLgl w:val="false"/>
      <w:suff w:val="nothing"/>
      <w:lvlText w:val=""/>
      <w:lvlJc w:val="left"/>
      <w:pPr>
        <w:ind w:left="0" w:firstLine="0"/>
      </w:pPr>
      <w:rPr>
        <w:rFonts w:hint="eastAsia"/>
      </w:rPr>
    </w:lvl>
    <w:lvl w:ilvl="7">
      <w:start w:val="1"/>
      <w:numFmt w:val="decimal"/>
      <w:pStyle w:val="983"/>
      <w:isLgl w:val="false"/>
      <w:suff w:val="nothing"/>
      <w:lvlText w:val=""/>
      <w:lvlJc w:val="left"/>
      <w:pPr>
        <w:ind w:left="0" w:firstLine="0"/>
      </w:pPr>
      <w:rPr>
        <w:rFonts w:hint="eastAsia"/>
      </w:rPr>
    </w:lvl>
    <w:lvl w:ilvl="8">
      <w:start w:val="1"/>
      <w:numFmt w:val="decimal"/>
      <w:pStyle w:val="984"/>
      <w:isLgl w:val="false"/>
      <w:suff w:val="nothing"/>
      <w:lvlText w:val=""/>
      <w:lvlJc w:val="left"/>
      <w:pPr>
        <w:ind w:left="0" w:firstLine="0"/>
      </w:pPr>
      <w:rPr>
        <w:rFonts w:hint="eastAsia"/>
      </w:rPr>
    </w:lvl>
  </w:abstractNum>
  <w:abstractNum w:abstractNumId="3">
    <w:multiLevelType w:val="hybridMultilevel"/>
    <w:lvl w:ilvl="0">
      <w:start w:val="1"/>
      <w:numFmt w:val="decimalEnclosedCircle"/>
      <w:isLgl w:val="false"/>
      <w:suff w:val="tab"/>
      <w:lvlText w:val="%1"/>
      <w:lvlJc w:val="left"/>
      <w:pPr>
        <w:ind w:left="440" w:hanging="440"/>
      </w:pPr>
      <w:rPr>
        <w:b/>
        <w:bCs/>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792"/>
    <w:link w:val="783"/>
    <w:uiPriority w:val="9"/>
    <w:rPr>
      <w:rFonts w:ascii="Arial" w:hAnsi="Arial" w:eastAsia="Arial" w:cs="Arial"/>
      <w:sz w:val="40"/>
      <w:szCs w:val="40"/>
    </w:rPr>
  </w:style>
  <w:style w:type="character" w:styleId="746">
    <w:name w:val="Heading 2 Char"/>
    <w:basedOn w:val="792"/>
    <w:link w:val="784"/>
    <w:uiPriority w:val="9"/>
    <w:rPr>
      <w:rFonts w:ascii="Arial" w:hAnsi="Arial" w:eastAsia="Arial" w:cs="Arial"/>
      <w:sz w:val="34"/>
    </w:rPr>
  </w:style>
  <w:style w:type="character" w:styleId="747">
    <w:name w:val="Heading 3 Char"/>
    <w:basedOn w:val="792"/>
    <w:link w:val="785"/>
    <w:uiPriority w:val="9"/>
    <w:rPr>
      <w:rFonts w:ascii="Arial" w:hAnsi="Arial" w:eastAsia="Arial" w:cs="Arial"/>
      <w:sz w:val="30"/>
      <w:szCs w:val="30"/>
    </w:rPr>
  </w:style>
  <w:style w:type="character" w:styleId="748">
    <w:name w:val="Heading 4 Char"/>
    <w:basedOn w:val="792"/>
    <w:link w:val="786"/>
    <w:uiPriority w:val="9"/>
    <w:rPr>
      <w:rFonts w:ascii="Arial" w:hAnsi="Arial" w:eastAsia="Arial" w:cs="Arial"/>
      <w:b/>
      <w:bCs/>
      <w:sz w:val="26"/>
      <w:szCs w:val="26"/>
    </w:rPr>
  </w:style>
  <w:style w:type="character" w:styleId="749">
    <w:name w:val="Heading 5 Char"/>
    <w:basedOn w:val="792"/>
    <w:link w:val="787"/>
    <w:uiPriority w:val="9"/>
    <w:rPr>
      <w:rFonts w:ascii="Arial" w:hAnsi="Arial" w:eastAsia="Arial" w:cs="Arial"/>
      <w:b/>
      <w:bCs/>
      <w:sz w:val="24"/>
      <w:szCs w:val="24"/>
    </w:rPr>
  </w:style>
  <w:style w:type="character" w:styleId="750">
    <w:name w:val="Heading 6 Char"/>
    <w:basedOn w:val="792"/>
    <w:link w:val="788"/>
    <w:uiPriority w:val="9"/>
    <w:rPr>
      <w:rFonts w:ascii="Arial" w:hAnsi="Arial" w:eastAsia="Arial" w:cs="Arial"/>
      <w:b/>
      <w:bCs/>
      <w:sz w:val="22"/>
      <w:szCs w:val="22"/>
    </w:rPr>
  </w:style>
  <w:style w:type="character" w:styleId="751">
    <w:name w:val="Heading 7 Char"/>
    <w:basedOn w:val="792"/>
    <w:link w:val="789"/>
    <w:uiPriority w:val="9"/>
    <w:rPr>
      <w:rFonts w:ascii="Arial" w:hAnsi="Arial" w:eastAsia="Arial" w:cs="Arial"/>
      <w:b/>
      <w:bCs/>
      <w:i/>
      <w:iCs/>
      <w:sz w:val="22"/>
      <w:szCs w:val="22"/>
    </w:rPr>
  </w:style>
  <w:style w:type="character" w:styleId="752">
    <w:name w:val="Heading 8 Char"/>
    <w:basedOn w:val="792"/>
    <w:link w:val="790"/>
    <w:uiPriority w:val="9"/>
    <w:rPr>
      <w:rFonts w:ascii="Arial" w:hAnsi="Arial" w:eastAsia="Arial" w:cs="Arial"/>
      <w:i/>
      <w:iCs/>
      <w:sz w:val="22"/>
      <w:szCs w:val="22"/>
    </w:rPr>
  </w:style>
  <w:style w:type="character" w:styleId="753">
    <w:name w:val="Heading 9 Char"/>
    <w:basedOn w:val="792"/>
    <w:link w:val="791"/>
    <w:uiPriority w:val="9"/>
    <w:rPr>
      <w:rFonts w:ascii="Arial" w:hAnsi="Arial" w:eastAsia="Arial" w:cs="Arial"/>
      <w:i/>
      <w:iCs/>
      <w:sz w:val="21"/>
      <w:szCs w:val="21"/>
    </w:rPr>
  </w:style>
  <w:style w:type="character" w:styleId="754">
    <w:name w:val="Title Char"/>
    <w:basedOn w:val="792"/>
    <w:link w:val="817"/>
    <w:uiPriority w:val="10"/>
    <w:rPr>
      <w:sz w:val="48"/>
      <w:szCs w:val="48"/>
    </w:rPr>
  </w:style>
  <w:style w:type="character" w:styleId="755">
    <w:name w:val="Subtitle Char"/>
    <w:basedOn w:val="792"/>
    <w:link w:val="810"/>
    <w:uiPriority w:val="11"/>
    <w:rPr>
      <w:sz w:val="24"/>
      <w:szCs w:val="24"/>
    </w:rPr>
  </w:style>
  <w:style w:type="character" w:styleId="756">
    <w:name w:val="Quote Char"/>
    <w:link w:val="840"/>
    <w:uiPriority w:val="29"/>
    <w:rPr>
      <w:i/>
    </w:rPr>
  </w:style>
  <w:style w:type="character" w:styleId="757">
    <w:name w:val="Intense Quote Char"/>
    <w:link w:val="842"/>
    <w:uiPriority w:val="30"/>
    <w:rPr>
      <w:i/>
    </w:rPr>
  </w:style>
  <w:style w:type="character" w:styleId="758">
    <w:name w:val="Header Char"/>
    <w:basedOn w:val="792"/>
    <w:link w:val="807"/>
    <w:uiPriority w:val="99"/>
  </w:style>
  <w:style w:type="character" w:styleId="759">
    <w:name w:val="Caption Char"/>
    <w:basedOn w:val="799"/>
    <w:link w:val="806"/>
    <w:uiPriority w:val="99"/>
  </w:style>
  <w:style w:type="table" w:styleId="760">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9">
    <w:name w:val="Footnote Text Char"/>
    <w:link w:val="811"/>
    <w:uiPriority w:val="99"/>
    <w:rPr>
      <w:sz w:val="18"/>
    </w:rPr>
  </w:style>
  <w:style w:type="character" w:styleId="780">
    <w:name w:val="Endnote Text Char"/>
    <w:link w:val="804"/>
    <w:uiPriority w:val="99"/>
    <w:rPr>
      <w:sz w:val="20"/>
    </w:rPr>
  </w:style>
  <w:style w:type="paragraph" w:styleId="781">
    <w:name w:val="TOC Heading"/>
    <w:uiPriority w:val="39"/>
    <w:unhideWhenUsed/>
  </w:style>
  <w:style w:type="paragraph" w:styleId="782" w:default="1">
    <w:name w:val="Normal"/>
    <w:next w:val="794"/>
    <w:uiPriority w:val="0"/>
    <w:qFormat/>
    <w:pPr>
      <w:jc w:val="both"/>
      <w:widowControl w:val="off"/>
    </w:pPr>
    <w:rPr>
      <w:rFonts w:ascii="Times New Roman" w:hAnsi="Times New Roman" w:eastAsia="宋体" w:cs="Times New Roman"/>
      <w:sz w:val="21"/>
      <w:szCs w:val="21"/>
      <w:lang w:val="en-US" w:eastAsia="zh-CN" w:bidi="ar-SA"/>
    </w:rPr>
  </w:style>
  <w:style w:type="paragraph" w:styleId="783">
    <w:name w:val="Heading 1"/>
    <w:basedOn w:val="782"/>
    <w:next w:val="782"/>
    <w:link w:val="827"/>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28"/>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9"/>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97"/>
    <w:link w:val="830"/>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97"/>
    <w:link w:val="831"/>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3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34"/>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35"/>
    <w:uiPriority w:val="9"/>
    <w:unhideWhenUsed/>
    <w:qFormat/>
    <w:pPr>
      <w:keepLines/>
      <w:keepNext/>
      <w:spacing w:before="320" w:after="200"/>
      <w:outlineLvl w:val="8"/>
    </w:pPr>
    <w:rPr>
      <w:rFonts w:ascii="Arial" w:hAnsi="Arial" w:eastAsia="Arial" w:cs="Arial"/>
      <w:i/>
      <w:iCs/>
    </w:rPr>
  </w:style>
  <w:style w:type="character" w:styleId="792" w:default="1">
    <w:name w:val="Default Paragraph Font"/>
    <w:uiPriority w:val="1"/>
    <w:semiHidden/>
    <w:unhideWhenUsed/>
  </w:style>
  <w:style w:type="table" w:styleId="793" w:default="1">
    <w:name w:val="Normal Table"/>
    <w:uiPriority w:val="99"/>
    <w:semiHidden/>
    <w:unhideWhenUsed/>
    <w:tblPr>
      <w:tblCellMar>
        <w:left w:w="108" w:type="dxa"/>
        <w:top w:w="0" w:type="dxa"/>
        <w:right w:w="108" w:type="dxa"/>
        <w:bottom w:w="0" w:type="dxa"/>
      </w:tblCellMar>
    </w:tblPr>
  </w:style>
  <w:style w:type="paragraph" w:styleId="794">
    <w:name w:val="Body Text First Indent 2"/>
    <w:basedOn w:val="795"/>
    <w:next w:val="782"/>
    <w:uiPriority w:val="0"/>
    <w:pPr>
      <w:ind w:firstLine="420"/>
      <w:spacing w:line="360" w:lineRule="auto"/>
    </w:pPr>
    <w:rPr>
      <w:rFonts w:ascii="宋体" w:hAnsi="宋体" w:eastAsia="宋体"/>
      <w:sz w:val="21"/>
      <w:szCs w:val="20"/>
    </w:rPr>
  </w:style>
  <w:style w:type="paragraph" w:styleId="795">
    <w:name w:val="Body Text Indent"/>
    <w:basedOn w:val="782"/>
    <w:next w:val="796"/>
    <w:uiPriority w:val="0"/>
    <w:qFormat/>
    <w:pPr>
      <w:ind w:firstLine="645"/>
    </w:pPr>
    <w:rPr>
      <w:rFonts w:ascii="楷体_GB2312" w:eastAsia="楷体_GB2312"/>
      <w:sz w:val="32"/>
      <w:szCs w:val="32"/>
    </w:rPr>
  </w:style>
  <w:style w:type="paragraph" w:styleId="796">
    <w:name w:val="envelope return"/>
    <w:basedOn w:val="782"/>
    <w:uiPriority w:val="0"/>
    <w:qFormat/>
    <w:rPr>
      <w:rFonts w:ascii="Arial" w:hAnsi="Arial" w:cs="宋体"/>
    </w:rPr>
  </w:style>
  <w:style w:type="paragraph" w:styleId="797">
    <w:name w:val="Normal Indent"/>
    <w:basedOn w:val="782"/>
    <w:uiPriority w:val="0"/>
    <w:pPr>
      <w:ind w:firstLine="420"/>
    </w:pPr>
  </w:style>
  <w:style w:type="paragraph" w:styleId="798">
    <w:name w:val="toc 7"/>
    <w:basedOn w:val="782"/>
    <w:next w:val="782"/>
    <w:uiPriority w:val="39"/>
    <w:unhideWhenUsed/>
    <w:pPr>
      <w:ind w:left="1701"/>
      <w:spacing w:after="57"/>
    </w:pPr>
  </w:style>
  <w:style w:type="paragraph" w:styleId="799">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2"/>
    <w:uiPriority w:val="0"/>
    <w:semiHidden/>
    <w:qFormat/>
    <w:pPr>
      <w:jc w:val="left"/>
    </w:pPr>
  </w:style>
  <w:style w:type="paragraph" w:styleId="801">
    <w:name w:val="toc 5"/>
    <w:basedOn w:val="782"/>
    <w:next w:val="782"/>
    <w:uiPriority w:val="39"/>
    <w:unhideWhenUsed/>
    <w:qFormat/>
    <w:pPr>
      <w:ind w:left="1134"/>
      <w:spacing w:after="57"/>
    </w:pPr>
  </w:style>
  <w:style w:type="paragraph" w:styleId="802">
    <w:name w:val="toc 3"/>
    <w:basedOn w:val="782"/>
    <w:next w:val="782"/>
    <w:uiPriority w:val="39"/>
    <w:unhideWhenUsed/>
    <w:qFormat/>
    <w:pPr>
      <w:ind w:left="567"/>
      <w:spacing w:after="57"/>
    </w:pPr>
  </w:style>
  <w:style w:type="paragraph" w:styleId="803">
    <w:name w:val="toc 8"/>
    <w:basedOn w:val="782"/>
    <w:next w:val="782"/>
    <w:uiPriority w:val="39"/>
    <w:unhideWhenUsed/>
    <w:qFormat/>
    <w:pPr>
      <w:ind w:left="1984"/>
      <w:spacing w:after="57"/>
    </w:pPr>
  </w:style>
  <w:style w:type="paragraph" w:styleId="804">
    <w:name w:val="endnote text"/>
    <w:basedOn w:val="782"/>
    <w:link w:val="973"/>
    <w:uiPriority w:val="99"/>
    <w:semiHidden/>
    <w:unhideWhenUsed/>
    <w:qFormat/>
    <w:rPr>
      <w:sz w:val="20"/>
    </w:rPr>
  </w:style>
  <w:style w:type="paragraph" w:styleId="805">
    <w:name w:val="Balloon Text"/>
    <w:basedOn w:val="782"/>
    <w:link w:val="1098"/>
    <w:uiPriority w:val="99"/>
    <w:semiHidden/>
    <w:unhideWhenUsed/>
    <w:rPr>
      <w:sz w:val="18"/>
      <w:szCs w:val="18"/>
    </w:rPr>
  </w:style>
  <w:style w:type="paragraph" w:styleId="806">
    <w:name w:val="Footer"/>
    <w:basedOn w:val="782"/>
    <w:link w:val="846"/>
    <w:uiPriority w:val="99"/>
    <w:unhideWhenUsed/>
    <w:qFormat/>
    <w:pPr>
      <w:tabs>
        <w:tab w:val="center" w:pos="7143" w:leader="none"/>
        <w:tab w:val="right" w:pos="14287" w:leader="none"/>
      </w:tabs>
    </w:pPr>
  </w:style>
  <w:style w:type="paragraph" w:styleId="807">
    <w:name w:val="Header"/>
    <w:basedOn w:val="782"/>
    <w:link w:val="844"/>
    <w:uiPriority w:val="99"/>
    <w:unhideWhenUsed/>
    <w:qFormat/>
    <w:pPr>
      <w:tabs>
        <w:tab w:val="center" w:pos="7143" w:leader="none"/>
        <w:tab w:val="right" w:pos="14287" w:leader="none"/>
      </w:tabs>
    </w:pPr>
  </w:style>
  <w:style w:type="paragraph" w:styleId="808">
    <w:name w:val="toc 1"/>
    <w:basedOn w:val="782"/>
    <w:next w:val="782"/>
    <w:uiPriority w:val="39"/>
    <w:unhideWhenUsed/>
    <w:qFormat/>
    <w:pPr>
      <w:spacing w:after="57"/>
    </w:pPr>
  </w:style>
  <w:style w:type="paragraph" w:styleId="809">
    <w:name w:val="toc 4"/>
    <w:basedOn w:val="782"/>
    <w:next w:val="782"/>
    <w:uiPriority w:val="39"/>
    <w:unhideWhenUsed/>
    <w:qFormat/>
    <w:pPr>
      <w:ind w:left="850"/>
      <w:spacing w:after="57"/>
    </w:pPr>
  </w:style>
  <w:style w:type="paragraph" w:styleId="810">
    <w:name w:val="Subtitle"/>
    <w:basedOn w:val="782"/>
    <w:next w:val="782"/>
    <w:link w:val="839"/>
    <w:uiPriority w:val="11"/>
    <w:qFormat/>
    <w:pPr>
      <w:spacing w:before="200" w:after="200"/>
    </w:pPr>
    <w:rPr>
      <w:sz w:val="24"/>
      <w:szCs w:val="24"/>
    </w:rPr>
  </w:style>
  <w:style w:type="paragraph" w:styleId="811">
    <w:name w:val="footnote text"/>
    <w:basedOn w:val="782"/>
    <w:link w:val="972"/>
    <w:uiPriority w:val="99"/>
    <w:semiHidden/>
    <w:unhideWhenUsed/>
    <w:qFormat/>
    <w:pPr>
      <w:spacing w:after="40"/>
    </w:pPr>
    <w:rPr>
      <w:sz w:val="18"/>
    </w:rPr>
  </w:style>
  <w:style w:type="paragraph" w:styleId="812">
    <w:name w:val="toc 6"/>
    <w:basedOn w:val="782"/>
    <w:next w:val="782"/>
    <w:uiPriority w:val="39"/>
    <w:unhideWhenUsed/>
    <w:pPr>
      <w:ind w:left="1417"/>
      <w:spacing w:after="57"/>
    </w:pPr>
  </w:style>
  <w:style w:type="paragraph" w:styleId="813">
    <w:name w:val="table of figures"/>
    <w:basedOn w:val="782"/>
    <w:next w:val="782"/>
    <w:uiPriority w:val="99"/>
    <w:unhideWhenUsed/>
    <w:qFormat/>
  </w:style>
  <w:style w:type="paragraph" w:styleId="814">
    <w:name w:val="toc 2"/>
    <w:basedOn w:val="782"/>
    <w:next w:val="782"/>
    <w:uiPriority w:val="39"/>
    <w:unhideWhenUsed/>
    <w:qFormat/>
    <w:pPr>
      <w:ind w:left="283"/>
      <w:spacing w:after="57"/>
    </w:pPr>
  </w:style>
  <w:style w:type="paragraph" w:styleId="815">
    <w:name w:val="toc 9"/>
    <w:basedOn w:val="782"/>
    <w:next w:val="782"/>
    <w:uiPriority w:val="39"/>
    <w:unhideWhenUsed/>
    <w:qFormat/>
    <w:pPr>
      <w:ind w:left="2268"/>
      <w:spacing w:after="57"/>
    </w:pPr>
  </w:style>
  <w:style w:type="paragraph" w:styleId="816">
    <w:name w:val="Normal (Web)"/>
    <w:basedOn w:val="782"/>
    <w:uiPriority w:val="99"/>
    <w:qFormat/>
    <w:pPr>
      <w:jc w:val="left"/>
      <w:spacing w:before="100" w:beforeAutospacing="1" w:after="100" w:afterAutospacing="1"/>
      <w:widowControl/>
    </w:pPr>
    <w:rPr>
      <w:rFonts w:ascii="宋体" w:hAnsi="宋体" w:cs="宋体"/>
      <w:sz w:val="24"/>
      <w:szCs w:val="24"/>
    </w:rPr>
  </w:style>
  <w:style w:type="paragraph" w:styleId="817">
    <w:name w:val="Title"/>
    <w:basedOn w:val="782"/>
    <w:next w:val="782"/>
    <w:link w:val="838"/>
    <w:uiPriority w:val="10"/>
    <w:qFormat/>
    <w:pPr>
      <w:contextualSpacing/>
      <w:spacing w:before="300" w:after="200"/>
    </w:pPr>
    <w:rPr>
      <w:sz w:val="48"/>
      <w:szCs w:val="48"/>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Emphasis"/>
    <w:uiPriority w:val="0"/>
    <w:qFormat/>
    <w:rPr>
      <w:i/>
    </w:rPr>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annotation reference"/>
    <w:basedOn w:val="792"/>
    <w:uiPriority w:val="99"/>
    <w:semiHidden/>
    <w:unhideWhenUsed/>
    <w:rPr>
      <w:sz w:val="21"/>
      <w:szCs w:val="21"/>
    </w:rPr>
  </w:style>
  <w:style w:type="character" w:styleId="823">
    <w:name w:val="footnote reference"/>
    <w:uiPriority w:val="99"/>
    <w:unhideWhenUsed/>
    <w:qFormat/>
    <w:rPr>
      <w:vertAlign w:val="superscript"/>
    </w:rPr>
  </w:style>
  <w:style w:type="paragraph" w:styleId="824" w:customStyle="1">
    <w:name w:val="正文首行缩进 21"/>
    <w:basedOn w:val="825"/>
    <w:next w:val="782"/>
    <w:link w:val="988"/>
    <w:uiPriority w:val="0"/>
    <w:qFormat/>
    <w:pPr>
      <w:ind w:firstLine="420"/>
      <w:spacing w:line="360" w:lineRule="auto"/>
    </w:pPr>
    <w:rPr>
      <w:rFonts w:ascii="宋体" w:hAnsi="宋体" w:eastAsia="宋体"/>
      <w:sz w:val="21"/>
      <w:szCs w:val="20"/>
    </w:rPr>
  </w:style>
  <w:style w:type="paragraph" w:styleId="825" w:customStyle="1">
    <w:name w:val="正文文本缩进1"/>
    <w:basedOn w:val="782"/>
    <w:next w:val="826"/>
    <w:link w:val="987"/>
    <w:uiPriority w:val="0"/>
    <w:qFormat/>
    <w:pPr>
      <w:ind w:firstLine="645"/>
    </w:pPr>
    <w:rPr>
      <w:rFonts w:ascii="楷体_GB2312" w:eastAsia="楷体_GB2312"/>
      <w:sz w:val="32"/>
      <w:szCs w:val="32"/>
    </w:rPr>
  </w:style>
  <w:style w:type="paragraph" w:styleId="826" w:customStyle="1">
    <w:name w:val="寄信人地址1"/>
    <w:basedOn w:val="782"/>
    <w:uiPriority w:val="0"/>
    <w:qFormat/>
    <w:rPr>
      <w:rFonts w:ascii="Arial" w:hAnsi="Arial" w:cs="宋体"/>
    </w:rPr>
  </w:style>
  <w:style w:type="character" w:styleId="827" w:customStyle="1">
    <w:name w:val="标题 1 Char1"/>
    <w:link w:val="783"/>
    <w:uiPriority w:val="9"/>
    <w:qFormat/>
    <w:rPr>
      <w:rFonts w:ascii="Arial" w:hAnsi="Arial" w:eastAsia="Arial" w:cs="Arial"/>
      <w:sz w:val="40"/>
      <w:szCs w:val="40"/>
    </w:rPr>
  </w:style>
  <w:style w:type="character" w:styleId="828" w:customStyle="1">
    <w:name w:val="标题 2 Char1"/>
    <w:link w:val="784"/>
    <w:uiPriority w:val="9"/>
    <w:rPr>
      <w:rFonts w:ascii="Arial" w:hAnsi="Arial" w:eastAsia="Arial" w:cs="Arial"/>
      <w:sz w:val="34"/>
    </w:rPr>
  </w:style>
  <w:style w:type="character" w:styleId="829" w:customStyle="1">
    <w:name w:val="标题 3 Char1"/>
    <w:link w:val="785"/>
    <w:uiPriority w:val="9"/>
    <w:rPr>
      <w:rFonts w:ascii="Arial" w:hAnsi="Arial" w:eastAsia="Arial" w:cs="Arial"/>
      <w:sz w:val="30"/>
      <w:szCs w:val="30"/>
    </w:rPr>
  </w:style>
  <w:style w:type="character" w:styleId="830" w:customStyle="1">
    <w:name w:val="标题 4 Char1"/>
    <w:link w:val="786"/>
    <w:uiPriority w:val="9"/>
    <w:qFormat/>
    <w:rPr>
      <w:rFonts w:ascii="Arial" w:hAnsi="Arial" w:eastAsia="Arial" w:cs="Arial"/>
      <w:b/>
      <w:bCs/>
      <w:sz w:val="26"/>
      <w:szCs w:val="26"/>
    </w:rPr>
  </w:style>
  <w:style w:type="character" w:styleId="831" w:customStyle="1">
    <w:name w:val="标题 5 Char1"/>
    <w:link w:val="787"/>
    <w:uiPriority w:val="9"/>
    <w:qFormat/>
    <w:rPr>
      <w:rFonts w:ascii="Arial" w:hAnsi="Arial" w:eastAsia="Arial" w:cs="Arial"/>
      <w:b/>
      <w:bCs/>
      <w:sz w:val="24"/>
      <w:szCs w:val="24"/>
    </w:rPr>
  </w:style>
  <w:style w:type="character" w:styleId="832" w:customStyle="1">
    <w:name w:val="标题 6 Char1"/>
    <w:link w:val="788"/>
    <w:uiPriority w:val="9"/>
    <w:qFormat/>
    <w:rPr>
      <w:rFonts w:ascii="Arial" w:hAnsi="Arial" w:eastAsia="Arial" w:cs="Arial"/>
      <w:b/>
      <w:bCs/>
      <w:sz w:val="22"/>
      <w:szCs w:val="22"/>
    </w:rPr>
  </w:style>
  <w:style w:type="character" w:styleId="833" w:customStyle="1">
    <w:name w:val="标题 7 Char1"/>
    <w:link w:val="789"/>
    <w:uiPriority w:val="9"/>
    <w:rPr>
      <w:rFonts w:ascii="Arial" w:hAnsi="Arial" w:eastAsia="Arial" w:cs="Arial"/>
      <w:b/>
      <w:bCs/>
      <w:i/>
      <w:iCs/>
      <w:sz w:val="22"/>
      <w:szCs w:val="22"/>
    </w:rPr>
  </w:style>
  <w:style w:type="character" w:styleId="834" w:customStyle="1">
    <w:name w:val="标题 8 Char1"/>
    <w:link w:val="790"/>
    <w:uiPriority w:val="9"/>
    <w:rPr>
      <w:rFonts w:ascii="Arial" w:hAnsi="Arial" w:eastAsia="Arial" w:cs="Arial"/>
      <w:i/>
      <w:iCs/>
      <w:sz w:val="22"/>
      <w:szCs w:val="22"/>
    </w:rPr>
  </w:style>
  <w:style w:type="character" w:styleId="835" w:customStyle="1">
    <w:name w:val="标题 9 Char1"/>
    <w:link w:val="791"/>
    <w:uiPriority w:val="9"/>
    <w:qFormat/>
    <w:rPr>
      <w:rFonts w:ascii="Arial" w:hAnsi="Arial" w:eastAsia="Arial" w:cs="Arial"/>
      <w:i/>
      <w:iCs/>
      <w:sz w:val="21"/>
      <w:szCs w:val="21"/>
    </w:rPr>
  </w:style>
  <w:style w:type="paragraph" w:styleId="836">
    <w:name w:val="List Paragraph"/>
    <w:basedOn w:val="782"/>
    <w:uiPriority w:val="34"/>
    <w:qFormat/>
    <w:pPr>
      <w:contextualSpacing/>
      <w:ind w:left="720"/>
    </w:p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Char"/>
    <w:link w:val="817"/>
    <w:uiPriority w:val="10"/>
    <w:qFormat/>
    <w:rPr>
      <w:sz w:val="48"/>
      <w:szCs w:val="48"/>
    </w:rPr>
  </w:style>
  <w:style w:type="character" w:styleId="839" w:customStyle="1">
    <w:name w:val="副标题 Char"/>
    <w:link w:val="810"/>
    <w:uiPriority w:val="11"/>
    <w:qFormat/>
    <w:rPr>
      <w:sz w:val="24"/>
      <w:szCs w:val="24"/>
    </w:rPr>
  </w:style>
  <w:style w:type="paragraph" w:styleId="840">
    <w:name w:val="Quote"/>
    <w:basedOn w:val="782"/>
    <w:next w:val="782"/>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82"/>
    <w:next w:val="782"/>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页眉 Char1"/>
    <w:link w:val="807"/>
    <w:uiPriority w:val="99"/>
    <w:qFormat/>
  </w:style>
  <w:style w:type="character" w:styleId="845" w:customStyle="1">
    <w:name w:val="Footer Char"/>
    <w:uiPriority w:val="99"/>
    <w:qFormat/>
  </w:style>
  <w:style w:type="character" w:styleId="846" w:customStyle="1">
    <w:name w:val="页脚 Char1"/>
    <w:link w:val="806"/>
    <w:uiPriority w:val="99"/>
    <w:qFormat/>
  </w:style>
  <w:style w:type="table" w:styleId="8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811"/>
    <w:uiPriority w:val="99"/>
    <w:qFormat/>
    <w:rPr>
      <w:sz w:val="18"/>
    </w:rPr>
  </w:style>
  <w:style w:type="character" w:styleId="973" w:customStyle="1">
    <w:name w:val="尾注文本 Char"/>
    <w:link w:val="804"/>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标题 11"/>
    <w:basedOn w:val="782"/>
    <w:next w:val="782"/>
    <w:link w:val="989"/>
    <w:uiPriority w:val="0"/>
    <w:qFormat/>
    <w:pPr>
      <w:jc w:val="center"/>
      <w:keepNext/>
      <w:outlineLvl w:val="0"/>
    </w:pPr>
    <w:rPr>
      <w:rFonts w:ascii="楷体_GB2312" w:eastAsia="楷体_GB2312"/>
      <w:sz w:val="28"/>
      <w:szCs w:val="28"/>
    </w:rPr>
  </w:style>
  <w:style w:type="paragraph" w:styleId="976" w:customStyle="1">
    <w:name w:val="标题 21"/>
    <w:basedOn w:val="782"/>
    <w:next w:val="977"/>
    <w:link w:val="9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7" w:customStyle="1">
    <w:name w:val="正文缩进11"/>
    <w:basedOn w:val="782"/>
    <w:link w:val="991"/>
    <w:uiPriority w:val="0"/>
    <w:qFormat/>
    <w:pPr>
      <w:ind w:firstLine="420"/>
    </w:pPr>
  </w:style>
  <w:style w:type="paragraph" w:styleId="978" w:customStyle="1">
    <w:name w:val="标题 31"/>
    <w:basedOn w:val="782"/>
    <w:next w:val="977"/>
    <w:link w:val="992"/>
    <w:uiPriority w:val="0"/>
    <w:qFormat/>
    <w:pPr>
      <w:keepLines/>
      <w:keepNext/>
      <w:spacing w:before="260" w:after="260" w:line="416" w:lineRule="auto"/>
      <w:outlineLvl w:val="2"/>
    </w:pPr>
    <w:rPr>
      <w:b/>
      <w:bCs/>
      <w:sz w:val="32"/>
      <w:szCs w:val="32"/>
    </w:rPr>
  </w:style>
  <w:style w:type="paragraph" w:styleId="979" w:customStyle="1">
    <w:name w:val="标题 411"/>
    <w:basedOn w:val="782"/>
    <w:next w:val="977"/>
    <w:link w:val="993"/>
    <w:uiPriority w:val="0"/>
    <w:qFormat/>
    <w:pPr>
      <w:keepLines/>
      <w:keepNext/>
      <w:spacing w:before="280" w:after="290" w:line="376" w:lineRule="auto"/>
      <w:outlineLvl w:val="3"/>
    </w:pPr>
    <w:rPr>
      <w:rFonts w:ascii="Arial" w:hAnsi="Arial" w:eastAsia="黑体" w:cs="Arial"/>
      <w:b/>
      <w:bCs/>
      <w:sz w:val="28"/>
      <w:szCs w:val="28"/>
    </w:rPr>
  </w:style>
  <w:style w:type="paragraph" w:styleId="980" w:customStyle="1">
    <w:name w:val="标题 51"/>
    <w:basedOn w:val="782"/>
    <w:next w:val="977"/>
    <w:link w:val="994"/>
    <w:uiPriority w:val="0"/>
    <w:qFormat/>
    <w:pPr>
      <w:keepNext/>
      <w:outlineLvl w:val="4"/>
    </w:pPr>
    <w:rPr>
      <w:rFonts w:ascii="宋体"/>
      <w:color w:val="000000"/>
      <w:sz w:val="28"/>
      <w:szCs w:val="28"/>
    </w:rPr>
  </w:style>
  <w:style w:type="paragraph" w:styleId="981" w:customStyle="1">
    <w:name w:val="标题 61"/>
    <w:basedOn w:val="782"/>
    <w:next w:val="782"/>
    <w:link w:val="99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2" w:customStyle="1">
    <w:name w:val="标题 71"/>
    <w:basedOn w:val="782"/>
    <w:next w:val="782"/>
    <w:link w:val="996"/>
    <w:uiPriority w:val="0"/>
    <w:qFormat/>
    <w:pPr>
      <w:numPr>
        <w:ilvl w:val="6"/>
        <w:numId w:val="1"/>
      </w:numPr>
      <w:keepLines/>
      <w:keepNext/>
      <w:spacing w:before="240" w:after="64" w:line="320" w:lineRule="auto"/>
      <w:outlineLvl w:val="6"/>
    </w:pPr>
    <w:rPr>
      <w:b/>
      <w:bCs/>
      <w:sz w:val="24"/>
      <w:szCs w:val="24"/>
    </w:rPr>
  </w:style>
  <w:style w:type="paragraph" w:styleId="983" w:customStyle="1">
    <w:name w:val="标题 81"/>
    <w:basedOn w:val="782"/>
    <w:next w:val="782"/>
    <w:link w:val="99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4" w:customStyle="1">
    <w:name w:val="标题 91"/>
    <w:basedOn w:val="782"/>
    <w:next w:val="782"/>
    <w:link w:val="998"/>
    <w:uiPriority w:val="0"/>
    <w:qFormat/>
    <w:pPr>
      <w:numPr>
        <w:ilvl w:val="8"/>
        <w:numId w:val="1"/>
      </w:numPr>
      <w:keepLines/>
      <w:keepNext/>
      <w:spacing w:before="240" w:after="64" w:line="320" w:lineRule="auto"/>
      <w:outlineLvl w:val="8"/>
    </w:pPr>
    <w:rPr>
      <w:rFonts w:ascii="Arial" w:hAnsi="Arial" w:eastAsia="黑体"/>
    </w:rPr>
  </w:style>
  <w:style w:type="character" w:styleId="985" w:customStyle="1">
    <w:name w:val="默认段落字体1"/>
    <w:uiPriority w:val="1"/>
    <w:unhideWhenUsed/>
    <w:qFormat/>
  </w:style>
  <w:style w:type="table" w:styleId="986" w:customStyle="1">
    <w:name w:val="普通表格11"/>
    <w:uiPriority w:val="99"/>
    <w:unhideWhenUsed/>
    <w:qFormat/>
    <w:tblPr>
      <w:tblCellMar>
        <w:left w:w="0" w:type="dxa"/>
        <w:top w:w="0" w:type="dxa"/>
        <w:right w:w="0" w:type="dxa"/>
        <w:bottom w:w="0" w:type="dxa"/>
      </w:tblCellMar>
    </w:tblPr>
  </w:style>
  <w:style w:type="character" w:styleId="987" w:customStyle="1">
    <w:name w:val="正文文本缩进 Char"/>
    <w:link w:val="825"/>
    <w:uiPriority w:val="0"/>
    <w:qFormat/>
    <w:rPr>
      <w:rFonts w:ascii="楷体_GB2312" w:hAnsi="Times New Roman" w:eastAsia="楷体_GB2312" w:cs="Times New Roman"/>
      <w:sz w:val="32"/>
      <w:szCs w:val="32"/>
    </w:rPr>
  </w:style>
  <w:style w:type="character" w:styleId="988" w:customStyle="1">
    <w:name w:val="正文首行缩进 2 Char"/>
    <w:link w:val="824"/>
    <w:uiPriority w:val="0"/>
    <w:qFormat/>
    <w:rPr>
      <w:rFonts w:ascii="宋体" w:hAnsi="宋体" w:eastAsia="宋体" w:cs="Times New Roman"/>
      <w:sz w:val="32"/>
      <w:szCs w:val="20"/>
    </w:rPr>
  </w:style>
  <w:style w:type="character" w:styleId="989" w:customStyle="1">
    <w:name w:val="标题 1 Char"/>
    <w:link w:val="975"/>
    <w:uiPriority w:val="0"/>
    <w:qFormat/>
    <w:rPr>
      <w:rFonts w:ascii="楷体_GB2312" w:hAnsi="Times New Roman" w:eastAsia="楷体_GB2312" w:cs="Times New Roman"/>
      <w:sz w:val="28"/>
      <w:szCs w:val="28"/>
    </w:rPr>
  </w:style>
  <w:style w:type="character" w:styleId="990" w:customStyle="1">
    <w:name w:val="标题 2 Char"/>
    <w:link w:val="976"/>
    <w:uiPriority w:val="0"/>
    <w:qFormat/>
    <w:rPr>
      <w:rFonts w:ascii="Arial" w:hAnsi="Arial" w:eastAsia="幼圆" w:cs="Arial"/>
      <w:b/>
      <w:bCs/>
      <w:sz w:val="44"/>
      <w:szCs w:val="44"/>
    </w:rPr>
  </w:style>
  <w:style w:type="character" w:styleId="991" w:customStyle="1">
    <w:name w:val="正文缩进 Char"/>
    <w:link w:val="977"/>
    <w:uiPriority w:val="0"/>
    <w:qFormat/>
    <w:rPr>
      <w:rFonts w:ascii="Times New Roman" w:hAnsi="Times New Roman" w:eastAsia="宋体" w:cs="Times New Roman"/>
      <w:szCs w:val="21"/>
    </w:rPr>
  </w:style>
  <w:style w:type="character" w:styleId="992" w:customStyle="1">
    <w:name w:val="标题 3 Char"/>
    <w:link w:val="978"/>
    <w:uiPriority w:val="0"/>
    <w:qFormat/>
    <w:rPr>
      <w:rFonts w:ascii="Times New Roman" w:hAnsi="Times New Roman" w:eastAsia="宋体" w:cs="Times New Roman"/>
      <w:b/>
      <w:bCs/>
      <w:sz w:val="32"/>
      <w:szCs w:val="32"/>
    </w:rPr>
  </w:style>
  <w:style w:type="character" w:styleId="993" w:customStyle="1">
    <w:name w:val="标题 4 Char"/>
    <w:link w:val="979"/>
    <w:uiPriority w:val="0"/>
    <w:qFormat/>
    <w:rPr>
      <w:rFonts w:ascii="Arial" w:hAnsi="Arial" w:eastAsia="黑体" w:cs="Arial"/>
      <w:b/>
      <w:bCs/>
      <w:sz w:val="28"/>
      <w:szCs w:val="28"/>
    </w:rPr>
  </w:style>
  <w:style w:type="character" w:styleId="994" w:customStyle="1">
    <w:name w:val="标题 5 Char"/>
    <w:link w:val="980"/>
    <w:uiPriority w:val="0"/>
    <w:qFormat/>
    <w:rPr>
      <w:rFonts w:ascii="宋体" w:hAnsi="Times New Roman" w:eastAsia="宋体" w:cs="Times New Roman"/>
      <w:color w:val="000000"/>
      <w:sz w:val="28"/>
      <w:szCs w:val="28"/>
    </w:rPr>
  </w:style>
  <w:style w:type="character" w:styleId="995" w:customStyle="1">
    <w:name w:val="标题 6 Char"/>
    <w:link w:val="981"/>
    <w:uiPriority w:val="0"/>
    <w:qFormat/>
    <w:rPr>
      <w:rFonts w:ascii="Arial" w:hAnsi="Arial" w:eastAsia="黑体" w:cs="Times New Roman"/>
      <w:b/>
      <w:bCs/>
      <w:sz w:val="24"/>
      <w:szCs w:val="24"/>
    </w:rPr>
  </w:style>
  <w:style w:type="character" w:styleId="996" w:customStyle="1">
    <w:name w:val="标题 7 Char"/>
    <w:link w:val="982"/>
    <w:uiPriority w:val="0"/>
    <w:qFormat/>
    <w:rPr>
      <w:rFonts w:ascii="Times New Roman" w:hAnsi="Times New Roman" w:eastAsia="宋体" w:cs="Times New Roman"/>
      <w:b/>
      <w:bCs/>
      <w:sz w:val="24"/>
      <w:szCs w:val="24"/>
    </w:rPr>
  </w:style>
  <w:style w:type="character" w:styleId="997" w:customStyle="1">
    <w:name w:val="标题 8 Char"/>
    <w:link w:val="983"/>
    <w:uiPriority w:val="0"/>
    <w:qFormat/>
    <w:rPr>
      <w:rFonts w:ascii="Arial" w:hAnsi="Arial" w:eastAsia="黑体" w:cs="Times New Roman"/>
      <w:sz w:val="24"/>
      <w:szCs w:val="24"/>
    </w:rPr>
  </w:style>
  <w:style w:type="character" w:styleId="998" w:customStyle="1">
    <w:name w:val="标题 9 Char"/>
    <w:link w:val="984"/>
    <w:uiPriority w:val="0"/>
    <w:qFormat/>
    <w:rPr>
      <w:rFonts w:ascii="Arial" w:hAnsi="Arial" w:eastAsia="黑体" w:cs="Times New Roman"/>
      <w:szCs w:val="21"/>
    </w:rPr>
  </w:style>
  <w:style w:type="paragraph" w:styleId="999" w:customStyle="1">
    <w:name w:val="列表 31"/>
    <w:basedOn w:val="782"/>
    <w:uiPriority w:val="0"/>
    <w:qFormat/>
    <w:pPr>
      <w:ind w:left="100" w:hanging="200"/>
    </w:pPr>
  </w:style>
  <w:style w:type="paragraph" w:styleId="1000" w:customStyle="1">
    <w:name w:val="目录 71"/>
    <w:basedOn w:val="782"/>
    <w:next w:val="782"/>
    <w:uiPriority w:val="0"/>
    <w:semiHidden/>
    <w:qFormat/>
    <w:pPr>
      <w:ind w:left="1260"/>
      <w:jc w:val="left"/>
    </w:pPr>
  </w:style>
  <w:style w:type="paragraph" w:styleId="1001" w:customStyle="1">
    <w:name w:val="文档结构图1"/>
    <w:basedOn w:val="782"/>
    <w:link w:val="1002"/>
    <w:uiPriority w:val="0"/>
    <w:semiHidden/>
    <w:qFormat/>
    <w:pPr>
      <w:shd w:val="clear" w:color="auto" w:fill="000080"/>
    </w:pPr>
  </w:style>
  <w:style w:type="character" w:styleId="1002" w:customStyle="1">
    <w:name w:val="文档结构图 Char"/>
    <w:link w:val="1001"/>
    <w:uiPriority w:val="0"/>
    <w:semiHidden/>
    <w:qFormat/>
    <w:rPr>
      <w:rFonts w:ascii="Times New Roman" w:hAnsi="Times New Roman" w:eastAsia="宋体" w:cs="Times New Roman"/>
      <w:szCs w:val="21"/>
      <w:shd w:val="clear" w:color="auto" w:fill="000080"/>
    </w:rPr>
  </w:style>
  <w:style w:type="paragraph" w:styleId="1003" w:customStyle="1">
    <w:name w:val="批注文字1"/>
    <w:basedOn w:val="782"/>
    <w:link w:val="1004"/>
    <w:uiPriority w:val="0"/>
    <w:semiHidden/>
    <w:qFormat/>
    <w:pPr>
      <w:jc w:val="left"/>
    </w:pPr>
  </w:style>
  <w:style w:type="character" w:styleId="1004" w:customStyle="1">
    <w:name w:val="批注文字 Char"/>
    <w:link w:val="1003"/>
    <w:uiPriority w:val="0"/>
    <w:semiHidden/>
    <w:qFormat/>
    <w:rPr>
      <w:rFonts w:ascii="Times New Roman" w:hAnsi="Times New Roman" w:eastAsia="宋体" w:cs="Times New Roman"/>
      <w:szCs w:val="21"/>
    </w:rPr>
  </w:style>
  <w:style w:type="paragraph" w:styleId="1005" w:customStyle="1">
    <w:name w:val="正文文本 31"/>
    <w:basedOn w:val="782"/>
    <w:link w:val="1006"/>
    <w:uiPriority w:val="0"/>
    <w:qFormat/>
    <w:rPr>
      <w:rFonts w:ascii="仿宋_GB2312" w:hAnsi="Arial" w:eastAsia="仿宋_GB2312"/>
      <w:sz w:val="32"/>
      <w:szCs w:val="32"/>
    </w:rPr>
  </w:style>
  <w:style w:type="character" w:styleId="1006" w:customStyle="1">
    <w:name w:val="正文文本 3 Char"/>
    <w:link w:val="1005"/>
    <w:uiPriority w:val="0"/>
    <w:qFormat/>
    <w:rPr>
      <w:rFonts w:ascii="仿宋_GB2312" w:hAnsi="Arial" w:eastAsia="仿宋_GB2312" w:cs="Times New Roman"/>
      <w:sz w:val="32"/>
      <w:szCs w:val="32"/>
    </w:rPr>
  </w:style>
  <w:style w:type="paragraph" w:styleId="1007" w:customStyle="1">
    <w:name w:val="正文文本11"/>
    <w:basedOn w:val="782"/>
    <w:link w:val="1008"/>
    <w:uiPriority w:val="0"/>
    <w:qFormat/>
    <w:rPr>
      <w:rFonts w:ascii="楷体_GB2312" w:hAnsi="Arial" w:eastAsia="楷体_GB2312"/>
      <w:sz w:val="28"/>
      <w:szCs w:val="28"/>
    </w:rPr>
  </w:style>
  <w:style w:type="character" w:styleId="1008" w:customStyle="1">
    <w:name w:val="正文文本 Char"/>
    <w:link w:val="1007"/>
    <w:uiPriority w:val="0"/>
    <w:qFormat/>
    <w:rPr>
      <w:rFonts w:ascii="楷体_GB2312" w:hAnsi="Arial" w:eastAsia="楷体_GB2312" w:cs="Times New Roman"/>
      <w:sz w:val="28"/>
      <w:szCs w:val="28"/>
    </w:rPr>
  </w:style>
  <w:style w:type="paragraph" w:styleId="1009" w:customStyle="1">
    <w:name w:val="列表 21"/>
    <w:basedOn w:val="782"/>
    <w:uiPriority w:val="0"/>
    <w:qFormat/>
    <w:pPr>
      <w:ind w:left="100" w:hanging="200"/>
    </w:pPr>
  </w:style>
  <w:style w:type="paragraph" w:styleId="1010" w:customStyle="1">
    <w:name w:val="目录 51"/>
    <w:basedOn w:val="782"/>
    <w:next w:val="782"/>
    <w:uiPriority w:val="0"/>
    <w:semiHidden/>
    <w:qFormat/>
    <w:pPr>
      <w:ind w:left="840"/>
      <w:jc w:val="left"/>
    </w:pPr>
  </w:style>
  <w:style w:type="paragraph" w:styleId="1011" w:customStyle="1">
    <w:name w:val="目录 31"/>
    <w:basedOn w:val="782"/>
    <w:next w:val="782"/>
    <w:uiPriority w:val="0"/>
    <w:semiHidden/>
    <w:qFormat/>
    <w:pPr>
      <w:ind w:left="420"/>
      <w:jc w:val="left"/>
    </w:pPr>
    <w:rPr>
      <w:i/>
      <w:iCs/>
      <w:szCs w:val="24"/>
    </w:rPr>
  </w:style>
  <w:style w:type="paragraph" w:styleId="1012" w:customStyle="1">
    <w:name w:val="纯文本11"/>
    <w:basedOn w:val="782"/>
    <w:link w:val="1013"/>
    <w:uiPriority w:val="0"/>
    <w:qFormat/>
    <w:rPr>
      <w:rFonts w:ascii="宋体" w:hAnsi="Courier New" w:cs="Courier New"/>
    </w:rPr>
  </w:style>
  <w:style w:type="character" w:styleId="1013" w:customStyle="1">
    <w:name w:val="纯文本 Char"/>
    <w:link w:val="1012"/>
    <w:uiPriority w:val="0"/>
    <w:qFormat/>
    <w:rPr>
      <w:rFonts w:ascii="宋体" w:hAnsi="Courier New" w:eastAsia="宋体" w:cs="Courier New"/>
      <w:szCs w:val="21"/>
    </w:rPr>
  </w:style>
  <w:style w:type="paragraph" w:styleId="1014" w:customStyle="1">
    <w:name w:val="目录 81"/>
    <w:basedOn w:val="782"/>
    <w:next w:val="782"/>
    <w:uiPriority w:val="0"/>
    <w:semiHidden/>
    <w:qFormat/>
    <w:pPr>
      <w:ind w:left="1470"/>
      <w:jc w:val="left"/>
    </w:pPr>
  </w:style>
  <w:style w:type="paragraph" w:styleId="1015" w:customStyle="1">
    <w:name w:val="日期1"/>
    <w:basedOn w:val="782"/>
    <w:next w:val="782"/>
    <w:link w:val="1016"/>
    <w:uiPriority w:val="0"/>
    <w:qFormat/>
    <w:rPr>
      <w:sz w:val="24"/>
      <w:szCs w:val="24"/>
    </w:rPr>
  </w:style>
  <w:style w:type="character" w:styleId="1016" w:customStyle="1">
    <w:name w:val="日期 Char"/>
    <w:link w:val="1015"/>
    <w:uiPriority w:val="0"/>
    <w:qFormat/>
    <w:rPr>
      <w:rFonts w:ascii="Times New Roman" w:hAnsi="Times New Roman" w:eastAsia="宋体" w:cs="Times New Roman"/>
      <w:sz w:val="24"/>
      <w:szCs w:val="24"/>
    </w:rPr>
  </w:style>
  <w:style w:type="paragraph" w:styleId="1017" w:customStyle="1">
    <w:name w:val="正文文本缩进 21"/>
    <w:basedOn w:val="782"/>
    <w:link w:val="1018"/>
    <w:uiPriority w:val="0"/>
    <w:qFormat/>
    <w:pPr>
      <w:ind w:left="630" w:firstLine="645"/>
    </w:pPr>
    <w:rPr>
      <w:rFonts w:ascii="Arial" w:hAnsi="Arial" w:eastAsia="仿宋_GB2312" w:cs="Arial"/>
      <w:sz w:val="32"/>
      <w:szCs w:val="32"/>
    </w:rPr>
  </w:style>
  <w:style w:type="character" w:styleId="1018" w:customStyle="1">
    <w:name w:val="正文文本缩进 2 Char"/>
    <w:link w:val="1017"/>
    <w:uiPriority w:val="0"/>
    <w:qFormat/>
    <w:rPr>
      <w:rFonts w:ascii="Arial" w:hAnsi="Arial" w:eastAsia="仿宋_GB2312" w:cs="Arial"/>
      <w:sz w:val="32"/>
      <w:szCs w:val="32"/>
    </w:rPr>
  </w:style>
  <w:style w:type="paragraph" w:styleId="1019" w:customStyle="1">
    <w:name w:val="批注框文本1"/>
    <w:basedOn w:val="782"/>
    <w:link w:val="1020"/>
    <w:uiPriority w:val="0"/>
    <w:semiHidden/>
    <w:qFormat/>
    <w:rPr>
      <w:sz w:val="18"/>
      <w:szCs w:val="18"/>
    </w:rPr>
  </w:style>
  <w:style w:type="character" w:styleId="1020" w:customStyle="1">
    <w:name w:val="批注框文本 Char"/>
    <w:link w:val="1019"/>
    <w:uiPriority w:val="0"/>
    <w:semiHidden/>
    <w:qFormat/>
    <w:rPr>
      <w:rFonts w:ascii="Times New Roman" w:hAnsi="Times New Roman" w:eastAsia="宋体" w:cs="Times New Roman"/>
      <w:sz w:val="18"/>
      <w:szCs w:val="18"/>
    </w:rPr>
  </w:style>
  <w:style w:type="paragraph" w:styleId="1021" w:customStyle="1">
    <w:name w:val="页脚1"/>
    <w:basedOn w:val="782"/>
    <w:link w:val="1022"/>
    <w:uiPriority w:val="0"/>
    <w:qFormat/>
    <w:pPr>
      <w:jc w:val="left"/>
      <w:tabs>
        <w:tab w:val="center" w:pos="4153" w:leader="none"/>
        <w:tab w:val="right" w:pos="8306" w:leader="none"/>
      </w:tabs>
    </w:pPr>
    <w:rPr>
      <w:sz w:val="18"/>
      <w:szCs w:val="18"/>
    </w:rPr>
  </w:style>
  <w:style w:type="character" w:styleId="1022" w:customStyle="1">
    <w:name w:val="页脚 Char"/>
    <w:link w:val="1021"/>
    <w:uiPriority w:val="0"/>
    <w:qFormat/>
    <w:rPr>
      <w:rFonts w:ascii="Times New Roman" w:hAnsi="Times New Roman" w:eastAsia="宋体" w:cs="Times New Roman"/>
      <w:sz w:val="18"/>
      <w:szCs w:val="18"/>
    </w:rPr>
  </w:style>
  <w:style w:type="paragraph" w:styleId="1023" w:customStyle="1">
    <w:name w:val="页眉1"/>
    <w:basedOn w:val="782"/>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Char"/>
    <w:link w:val="1023"/>
    <w:uiPriority w:val="0"/>
    <w:qFormat/>
    <w:rPr>
      <w:rFonts w:ascii="Times New Roman" w:hAnsi="Times New Roman" w:eastAsia="宋体" w:cs="Times New Roman"/>
      <w:sz w:val="18"/>
      <w:szCs w:val="18"/>
    </w:rPr>
  </w:style>
  <w:style w:type="paragraph" w:styleId="1025" w:customStyle="1">
    <w:name w:val="目录 11"/>
    <w:basedOn w:val="782"/>
    <w:next w:val="782"/>
    <w:uiPriority w:val="0"/>
    <w:semiHidden/>
    <w:qFormat/>
    <w:pPr>
      <w:jc w:val="left"/>
      <w:spacing w:before="120" w:after="120" w:line="400" w:lineRule="exact"/>
      <w:tabs>
        <w:tab w:val="right" w:pos="8720" w:leader="dot"/>
      </w:tabs>
    </w:pPr>
    <w:rPr>
      <w:rFonts w:ascii="宋体" w:hAnsi="宋体"/>
      <w:caps/>
      <w:sz w:val="24"/>
      <w:szCs w:val="24"/>
    </w:rPr>
  </w:style>
  <w:style w:type="paragraph" w:styleId="1026" w:customStyle="1">
    <w:name w:val="目录 41"/>
    <w:basedOn w:val="782"/>
    <w:next w:val="782"/>
    <w:uiPriority w:val="0"/>
    <w:semiHidden/>
    <w:qFormat/>
    <w:pPr>
      <w:ind w:left="630"/>
      <w:jc w:val="left"/>
    </w:pPr>
  </w:style>
  <w:style w:type="paragraph" w:styleId="1027" w:customStyle="1">
    <w:name w:val="列表1"/>
    <w:basedOn w:val="782"/>
    <w:uiPriority w:val="0"/>
    <w:qFormat/>
    <w:pPr>
      <w:ind w:left="200" w:hanging="200"/>
    </w:pPr>
  </w:style>
  <w:style w:type="paragraph" w:styleId="1028" w:customStyle="1">
    <w:name w:val="目录 61"/>
    <w:basedOn w:val="782"/>
    <w:next w:val="782"/>
    <w:uiPriority w:val="0"/>
    <w:semiHidden/>
    <w:qFormat/>
    <w:pPr>
      <w:ind w:left="1050"/>
      <w:jc w:val="left"/>
    </w:pPr>
  </w:style>
  <w:style w:type="paragraph" w:styleId="1029" w:customStyle="1">
    <w:name w:val="正文文本缩进 31"/>
    <w:basedOn w:val="782"/>
    <w:link w:val="1030"/>
    <w:uiPriority w:val="0"/>
    <w:qFormat/>
    <w:pPr>
      <w:ind w:left="645" w:firstLine="645"/>
    </w:pPr>
    <w:rPr>
      <w:rFonts w:ascii="Arial" w:hAnsi="Arial" w:eastAsia="仿宋_GB2312" w:cs="Arial"/>
      <w:color w:val="ffff00"/>
      <w:sz w:val="32"/>
      <w:szCs w:val="32"/>
    </w:rPr>
  </w:style>
  <w:style w:type="character" w:styleId="1030" w:customStyle="1">
    <w:name w:val="正文文本缩进 3 Char"/>
    <w:link w:val="1029"/>
    <w:uiPriority w:val="0"/>
    <w:qFormat/>
    <w:rPr>
      <w:rFonts w:ascii="Arial" w:hAnsi="Arial" w:eastAsia="仿宋_GB2312" w:cs="Arial"/>
      <w:color w:val="ffff00"/>
      <w:sz w:val="32"/>
      <w:szCs w:val="32"/>
    </w:rPr>
  </w:style>
  <w:style w:type="paragraph" w:styleId="1031" w:customStyle="1">
    <w:name w:val="图表目录1"/>
    <w:basedOn w:val="782"/>
    <w:next w:val="782"/>
    <w:uiPriority w:val="0"/>
    <w:semiHidden/>
    <w:qFormat/>
    <w:pPr>
      <w:ind w:left="840" w:hanging="420"/>
    </w:pPr>
  </w:style>
  <w:style w:type="paragraph" w:styleId="1032" w:customStyle="1">
    <w:name w:val="目录 21"/>
    <w:basedOn w:val="782"/>
    <w:next w:val="782"/>
    <w:uiPriority w:val="0"/>
    <w:semiHidden/>
    <w:qFormat/>
    <w:pPr>
      <w:ind w:left="210"/>
      <w:jc w:val="left"/>
    </w:pPr>
    <w:rPr>
      <w:smallCaps/>
      <w:szCs w:val="24"/>
    </w:rPr>
  </w:style>
  <w:style w:type="paragraph" w:styleId="1033" w:customStyle="1">
    <w:name w:val="目录 91"/>
    <w:basedOn w:val="782"/>
    <w:next w:val="782"/>
    <w:uiPriority w:val="0"/>
    <w:semiHidden/>
    <w:qFormat/>
    <w:pPr>
      <w:ind w:left="1680"/>
      <w:jc w:val="left"/>
    </w:pPr>
  </w:style>
  <w:style w:type="paragraph" w:styleId="1034" w:customStyle="1">
    <w:name w:val="正文文本 21"/>
    <w:basedOn w:val="782"/>
    <w:link w:val="1035"/>
    <w:uiPriority w:val="0"/>
    <w:qFormat/>
    <w:pPr>
      <w:jc w:val="center"/>
      <w:widowControl/>
    </w:pPr>
    <w:rPr>
      <w:rFonts w:ascii="楷体_GB2312" w:eastAsia="楷体_GB2312"/>
      <w:sz w:val="28"/>
      <w:szCs w:val="28"/>
    </w:rPr>
  </w:style>
  <w:style w:type="character" w:styleId="1035" w:customStyle="1">
    <w:name w:val="正文文本 2 Char"/>
    <w:link w:val="1034"/>
    <w:uiPriority w:val="0"/>
    <w:qFormat/>
    <w:rPr>
      <w:rFonts w:ascii="楷体_GB2312" w:hAnsi="Times New Roman" w:eastAsia="楷体_GB2312" w:cs="Times New Roman"/>
      <w:sz w:val="28"/>
      <w:szCs w:val="28"/>
    </w:rPr>
  </w:style>
  <w:style w:type="paragraph" w:styleId="1036" w:customStyle="1">
    <w:name w:val="普通(网站)1"/>
    <w:basedOn w:val="782"/>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82"/>
    <w:next w:val="782"/>
    <w:uiPriority w:val="0"/>
    <w:semiHidden/>
    <w:pPr>
      <w:spacing w:line="240" w:lineRule="atLeast"/>
    </w:pPr>
    <w:rPr>
      <w:b/>
      <w:bCs/>
    </w:rPr>
  </w:style>
  <w:style w:type="paragraph" w:styleId="1038" w:customStyle="1">
    <w:name w:val="批注主题1"/>
    <w:basedOn w:val="1003"/>
    <w:next w:val="1003"/>
    <w:link w:val="1039"/>
    <w:uiPriority w:val="0"/>
    <w:semiHidden/>
    <w:rPr>
      <w:b/>
      <w:bCs/>
    </w:rPr>
  </w:style>
  <w:style w:type="character" w:styleId="1039" w:customStyle="1">
    <w:name w:val="批注主题 Char"/>
    <w:link w:val="1038"/>
    <w:uiPriority w:val="0"/>
    <w:semiHidden/>
    <w:rPr>
      <w:rFonts w:ascii="Times New Roman" w:hAnsi="Times New Roman" w:eastAsia="宋体" w:cs="Times New Roman"/>
      <w:b/>
      <w:bCs/>
      <w:szCs w:val="21"/>
    </w:rPr>
  </w:style>
  <w:style w:type="paragraph" w:styleId="1040" w:customStyle="1">
    <w:name w:val="正文首行缩进1"/>
    <w:basedOn w:val="782"/>
    <w:link w:val="1041"/>
    <w:uiPriority w:val="0"/>
    <w:pPr>
      <w:ind w:firstLine="200"/>
      <w:spacing w:line="360" w:lineRule="auto"/>
    </w:pPr>
    <w:rPr>
      <w:rFonts w:ascii="仿宋_GB2312" w:eastAsia="仿宋_GB2312"/>
      <w:sz w:val="30"/>
      <w:szCs w:val="30"/>
    </w:rPr>
  </w:style>
  <w:style w:type="character" w:styleId="1041" w:customStyle="1">
    <w:name w:val="正文首行缩进 Char"/>
    <w:link w:val="1040"/>
    <w:uiPriority w:val="0"/>
    <w:qFormat/>
    <w:rPr>
      <w:rFonts w:ascii="仿宋_GB2312" w:hAnsi="Times New Roman" w:eastAsia="仿宋_GB2312" w:cs="Times New Roman"/>
      <w:sz w:val="30"/>
      <w:szCs w:val="30"/>
    </w:rPr>
  </w:style>
  <w:style w:type="table" w:styleId="1042" w:customStyle="1">
    <w:name w:val="网格型11"/>
    <w:basedOn w:val="986"/>
    <w:uiPriority w:val="0"/>
    <w:pPr>
      <w:jc w:val="both"/>
      <w:widowControl w:val="off"/>
    </w:pPr>
    <w:tblPr>
      <w:tblCellMar>
        <w:left w:w="0" w:type="dxa"/>
        <w:top w:w="0" w:type="dxa"/>
        <w:right w:w="0" w:type="dxa"/>
        <w:bottom w:w="0" w:type="dxa"/>
      </w:tblCellMar>
    </w:tblPr>
  </w:style>
  <w:style w:type="character" w:styleId="1043" w:customStyle="1">
    <w:name w:val="要点1"/>
    <w:uiPriority w:val="0"/>
    <w:qFormat/>
    <w:rPr>
      <w:b/>
      <w:bCs/>
    </w:rPr>
  </w:style>
  <w:style w:type="character" w:styleId="1044" w:customStyle="1">
    <w:name w:val="页码1"/>
    <w:uiPriority w:val="0"/>
    <w:qFormat/>
  </w:style>
  <w:style w:type="character" w:styleId="1045" w:customStyle="1">
    <w:name w:val="访问过的超链接1"/>
    <w:uiPriority w:val="0"/>
    <w:qFormat/>
    <w:rPr>
      <w:color w:val="800080"/>
      <w:u w:val="single"/>
    </w:rPr>
  </w:style>
  <w:style w:type="character" w:styleId="1046" w:customStyle="1">
    <w:name w:val="超链接1"/>
    <w:uiPriority w:val="0"/>
    <w:qFormat/>
    <w:rPr>
      <w:color w:val="0000ff"/>
      <w:u w:val="single"/>
    </w:rPr>
  </w:style>
  <w:style w:type="character" w:styleId="1047" w:customStyle="1">
    <w:name w:val="批注引用1"/>
    <w:uiPriority w:val="0"/>
    <w:semiHidden/>
    <w:qFormat/>
    <w:rPr>
      <w:sz w:val="21"/>
      <w:szCs w:val="21"/>
    </w:rPr>
  </w:style>
  <w:style w:type="paragraph" w:styleId="1048" w:customStyle="1">
    <w:name w:val="索引 41"/>
    <w:basedOn w:val="782"/>
    <w:next w:val="782"/>
    <w:uiPriority w:val="0"/>
    <w:semiHidden/>
    <w:qFormat/>
    <w:pPr>
      <w:ind w:left="1260"/>
    </w:pPr>
    <w:rPr>
      <w:rFonts w:ascii="Calibri" w:hAnsi="Calibri" w:eastAsia="Calibri" w:cs="宋体"/>
      <w:sz w:val="20"/>
      <w:lang w:val="zh-CN"/>
    </w:rPr>
  </w:style>
  <w:style w:type="paragraph" w:styleId="1049" w:customStyle="1">
    <w:name w:val="标题 41"/>
    <w:basedOn w:val="782"/>
    <w:next w:val="1050"/>
    <w:uiPriority w:val="0"/>
    <w:qFormat/>
    <w:pPr>
      <w:keepLines/>
      <w:keepNext/>
      <w:spacing w:before="280" w:after="290" w:line="376" w:lineRule="auto"/>
      <w:outlineLvl w:val="3"/>
    </w:pPr>
    <w:rPr>
      <w:rFonts w:ascii="Arial" w:hAnsi="Arial" w:eastAsia="黑体" w:cs="Arial"/>
      <w:b/>
      <w:bCs/>
      <w:sz w:val="28"/>
      <w:szCs w:val="28"/>
    </w:rPr>
  </w:style>
  <w:style w:type="paragraph" w:styleId="1050" w:customStyle="1">
    <w:name w:val="正文缩进1"/>
    <w:basedOn w:val="782"/>
    <w:uiPriority w:val="0"/>
    <w:qFormat/>
    <w:pPr>
      <w:ind w:firstLine="420"/>
    </w:pPr>
  </w:style>
  <w:style w:type="paragraph" w:styleId="1051" w:customStyle="1">
    <w:name w:val="正文文本12"/>
    <w:basedOn w:val="782"/>
    <w:uiPriority w:val="1"/>
    <w:qFormat/>
    <w:pPr>
      <w:ind w:left="120"/>
    </w:pPr>
    <w:rPr>
      <w:rFonts w:ascii="宋体" w:hAnsi="宋体" w:cs="宋体"/>
      <w:lang w:val="zh-CN" w:bidi="zh-CN"/>
    </w:rPr>
  </w:style>
  <w:style w:type="character" w:styleId="1052" w:customStyle="1">
    <w:name w:val="font5 Char"/>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rPr>
  </w:style>
  <w:style w:type="paragraph" w:styleId="1054" w:customStyle="1">
    <w:name w:val="二级目录"/>
    <w:next w:val="782"/>
    <w:link w:val="105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82"/>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82"/>
    <w:next w:val="1007"/>
    <w:uiPriority w:val="0"/>
    <w:qFormat/>
    <w:pPr>
      <w:spacing w:after="120"/>
    </w:pPr>
    <w:rPr>
      <w:rFonts w:ascii="宋体" w:hAnsi="Arial"/>
      <w:bCs/>
      <w:iCs/>
      <w:szCs w:val="24"/>
    </w:rPr>
  </w:style>
  <w:style w:type="paragraph" w:styleId="1058"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82"/>
    <w:uiPriority w:val="0"/>
    <w:qFormat/>
    <w:pPr>
      <w:ind w:firstLine="200"/>
      <w:tabs>
        <w:tab w:val="left" w:pos="360" w:leader="none"/>
      </w:tabs>
    </w:pPr>
    <w:rPr>
      <w:sz w:val="28"/>
      <w:szCs w:val="30"/>
    </w:rPr>
  </w:style>
  <w:style w:type="paragraph" w:styleId="1061" w:customStyle="1">
    <w:name w:val="Char1"/>
    <w:basedOn w:val="1001"/>
    <w:uiPriority w:val="0"/>
    <w:qFormat/>
    <w:rPr>
      <w:rFonts w:ascii="Tahoma" w:hAnsi="Tahoma"/>
      <w:sz w:val="24"/>
      <w:szCs w:val="24"/>
    </w:rPr>
  </w:style>
  <w:style w:type="paragraph" w:styleId="1062"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82"/>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5"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Char Char Char Char"/>
    <w:basedOn w:val="1001"/>
    <w:uiPriority w:val="0"/>
    <w:qFormat/>
    <w:pPr>
      <w:spacing w:line="360" w:lineRule="auto"/>
    </w:pPr>
    <w:rPr>
      <w:rFonts w:ascii="Tahoma" w:hAnsi="Tahoma"/>
      <w:sz w:val="24"/>
      <w:szCs w:val="24"/>
    </w:rPr>
  </w:style>
  <w:style w:type="paragraph" w:styleId="1067" w:customStyle="1">
    <w:name w:val="列出段落2"/>
    <w:basedOn w:val="782"/>
    <w:uiPriority w:val="0"/>
    <w:qFormat/>
    <w:pPr>
      <w:contextualSpacing/>
      <w:ind w:left="720"/>
      <w:jc w:val="left"/>
      <w:widowControl/>
    </w:pPr>
    <w:rPr>
      <w:rFonts w:ascii="Calibri" w:hAnsi="Calibri"/>
      <w:sz w:val="24"/>
      <w:szCs w:val="24"/>
      <w:lang w:eastAsia="en-US" w:bidi="en-US"/>
    </w:rPr>
  </w:style>
  <w:style w:type="paragraph" w:styleId="1068" w:customStyle="1">
    <w:name w:val="4"/>
    <w:basedOn w:val="782"/>
    <w:next w:val="1029"/>
    <w:uiPriority w:val="0"/>
    <w:qFormat/>
    <w:pPr>
      <w:ind w:firstLine="420"/>
      <w:spacing w:line="360" w:lineRule="auto"/>
    </w:pPr>
    <w:rPr>
      <w:color w:val="ff0000"/>
      <w:sz w:val="24"/>
      <w:szCs w:val="24"/>
    </w:rPr>
  </w:style>
  <w:style w:type="paragraph" w:styleId="1069"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070" w:customStyle="1">
    <w:name w:val="Char Char Char Char Char Char Char Char Char Char"/>
    <w:basedOn w:val="782"/>
    <w:uiPriority w:val="0"/>
    <w:qFormat/>
    <w:pPr>
      <w:spacing w:line="360" w:lineRule="auto"/>
    </w:pPr>
    <w:rPr>
      <w:sz w:val="24"/>
      <w:szCs w:val="20"/>
    </w:rPr>
  </w:style>
  <w:style w:type="paragraph" w:styleId="1071" w:customStyle="1">
    <w:name w:val="样式1"/>
    <w:basedOn w:val="782"/>
    <w:uiPriority w:val="0"/>
    <w:qFormat/>
    <w:pPr>
      <w:numPr>
        <w:ilvl w:val="0"/>
        <w:numId w:val="3"/>
      </w:numPr>
    </w:pPr>
    <w:rPr>
      <w:rFonts w:ascii="宋体" w:hAnsi="宋体"/>
    </w:rPr>
  </w:style>
  <w:style w:type="paragraph" w:styleId="1072"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82"/>
    <w:next w:val="782"/>
    <w:uiPriority w:val="0"/>
    <w:qFormat/>
    <w:pPr>
      <w:ind w:firstLine="624"/>
      <w:spacing w:line="590" w:lineRule="atLeast"/>
    </w:pPr>
    <w:rPr>
      <w:rFonts w:ascii="方正黑体_GBK" w:eastAsia="方正黑体_GBK"/>
      <w:sz w:val="32"/>
      <w:szCs w:val="32"/>
    </w:rPr>
  </w:style>
  <w:style w:type="paragraph" w:styleId="1076"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1"/>
    <w:basedOn w:val="1001"/>
    <w:uiPriority w:val="0"/>
    <w:qFormat/>
    <w:pPr>
      <w:spacing w:line="360" w:lineRule="auto"/>
    </w:pPr>
    <w:rPr>
      <w:rFonts w:ascii="Tahoma" w:hAnsi="Tahoma"/>
      <w:sz w:val="24"/>
      <w:szCs w:val="24"/>
    </w:rPr>
  </w:style>
  <w:style w:type="paragraph" w:styleId="1083" w:customStyle="1">
    <w:name w:val="table_1stline"/>
    <w:basedOn w:val="782"/>
    <w:uiPriority w:val="0"/>
    <w:qFormat/>
    <w:pPr>
      <w:jc w:val="left"/>
      <w:spacing w:before="120"/>
      <w:widowControl/>
    </w:pPr>
    <w:rPr>
      <w:bCs/>
      <w:sz w:val="20"/>
      <w:szCs w:val="20"/>
      <w:lang w:val="de-DE" w:eastAsia="de-DE"/>
    </w:rPr>
  </w:style>
  <w:style w:type="paragraph" w:styleId="1084"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82"/>
    <w:next w:val="7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1"/>
    <w:uiPriority w:val="99"/>
    <w:semiHidden/>
    <w:qFormat/>
    <w:rPr>
      <w:rFonts w:ascii="Times New Roman" w:hAnsi="Times New Roman" w:eastAsia="宋体" w:cs="Times New Roman"/>
      <w:sz w:val="21"/>
      <w:szCs w:val="21"/>
      <w:lang w:val="en-US" w:eastAsia="zh-CN" w:bidi="ar-SA"/>
    </w:rPr>
  </w:style>
  <w:style w:type="paragraph" w:styleId="108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8" w:customStyle="1">
    <w:name w:val="正文文本 211"/>
    <w:basedOn w:val="782"/>
    <w:uiPriority w:val="99"/>
    <w:qFormat/>
    <w:pPr>
      <w:jc w:val="center"/>
    </w:pPr>
    <w:rPr>
      <w:b/>
      <w:bCs/>
      <w:sz w:val="20"/>
      <w:szCs w:val="20"/>
    </w:rPr>
  </w:style>
  <w:style w:type="table" w:styleId="1089" w:customStyle="1">
    <w:name w:val="Table Normal"/>
    <w:uiPriority w:val="0"/>
    <w:qFormat/>
    <w:tblPr>
      <w:tblCellMar>
        <w:left w:w="0" w:type="dxa"/>
        <w:top w:w="0" w:type="dxa"/>
        <w:right w:w="0" w:type="dxa"/>
        <w:bottom w:w="0" w:type="dxa"/>
      </w:tblCellMar>
    </w:tblPr>
  </w:style>
  <w:style w:type="paragraph" w:styleId="1090" w:customStyle="1">
    <w:name w:val="正文文本1"/>
    <w:basedOn w:val="782"/>
    <w:next w:val="782"/>
    <w:uiPriority w:val="0"/>
    <w:semiHidden/>
    <w:qFormat/>
    <w:rPr>
      <w:rFonts w:ascii="Arial" w:hAnsi="Arial" w:eastAsia="Arial" w:cs="Arial"/>
      <w:lang w:eastAsia="en-US"/>
    </w:rPr>
  </w:style>
  <w:style w:type="paragraph" w:styleId="1091" w:customStyle="1">
    <w:name w:val="纯文本1"/>
    <w:basedOn w:val="782"/>
    <w:uiPriority w:val="0"/>
    <w:qFormat/>
    <w:rPr>
      <w:rFonts w:ascii="宋体" w:hAnsi="Courier New" w:cs="Courier New"/>
    </w:rPr>
  </w:style>
  <w:style w:type="table" w:styleId="1092" w:customStyle="1">
    <w:name w:val="网格型1"/>
    <w:basedOn w:val="1093"/>
    <w:uiPriority w:val="0"/>
    <w:qFormat/>
    <w:pPr>
      <w:jc w:val="both"/>
      <w:widowControl w:val="off"/>
    </w:pPr>
    <w:tblPr>
      <w:tblCellMar>
        <w:left w:w="0" w:type="dxa"/>
        <w:top w:w="0" w:type="dxa"/>
        <w:right w:w="0" w:type="dxa"/>
        <w:bottom w:w="0" w:type="dxa"/>
      </w:tblCellMar>
    </w:tblPr>
  </w:style>
  <w:style w:type="table" w:styleId="1093" w:customStyle="1">
    <w:name w:val="普通表格1"/>
    <w:uiPriority w:val="99"/>
    <w:unhideWhenUsed/>
    <w:qFormat/>
    <w:tblPr>
      <w:tblCellMar>
        <w:left w:w="0" w:type="dxa"/>
        <w:top w:w="0" w:type="dxa"/>
        <w:right w:w="0" w:type="dxa"/>
        <w:bottom w:w="0" w:type="dxa"/>
      </w:tblCellMar>
    </w:tblPr>
  </w:style>
  <w:style w:type="character" w:styleId="1094" w:customStyle="1">
    <w:name w:val="bumpedfont15"/>
    <w:uiPriority w:val="0"/>
    <w:qFormat/>
  </w:style>
  <w:style w:type="character" w:styleId="1095" w:customStyle="1">
    <w:name w:val="s100"/>
    <w:uiPriority w:val="0"/>
    <w:qFormat/>
  </w:style>
  <w:style w:type="character" w:styleId="1096" w:customStyle="1">
    <w:name w:val="apple-converted-space"/>
    <w:uiPriority w:val="0"/>
    <w:qFormat/>
  </w:style>
  <w:style w:type="character" w:styleId="1097" w:customStyle="1">
    <w:name w:val="正文文本首行缩进 2 字符"/>
    <w:uiPriority w:val="0"/>
    <w:qFormat/>
    <w:rPr>
      <w:rFonts w:ascii="宋体" w:hAnsi="宋体" w:eastAsia="宋体" w:cs="Times New Roman"/>
      <w:sz w:val="32"/>
      <w:szCs w:val="20"/>
    </w:rPr>
  </w:style>
  <w:style w:type="character" w:styleId="1098" w:customStyle="1">
    <w:name w:val="批注框文本 Char1"/>
    <w:basedOn w:val="792"/>
    <w:link w:val="805"/>
    <w:uiPriority w:val="99"/>
    <w:semiHidden/>
    <w:rPr>
      <w:sz w:val="18"/>
      <w:szCs w:val="18"/>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5</cp:revision>
  <dcterms:created xsi:type="dcterms:W3CDTF">2026-01-07T08:20:00Z</dcterms:created>
  <dcterms:modified xsi:type="dcterms:W3CDTF">2026-01-12T06:35:04Z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342B7255B6F6405299399A5BBF1906E1</vt:lpwstr>
  </property>
</Properties>
</file>